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pPr>
    </w:p>
    <w:p/>
    <w:p>
      <w:pPr>
        <w:rPr>
          <w:rFonts w:eastAsia="仿宋_GB2312"/>
          <w:sz w:val="36"/>
          <w:szCs w:val="36"/>
        </w:rPr>
      </w:pPr>
    </w:p>
    <w:p>
      <w:pPr>
        <w:adjustRightInd w:val="0"/>
        <w:snapToGrid w:val="0"/>
        <w:jc w:val="center"/>
        <w:outlineLvl w:val="0"/>
        <w:rPr>
          <w:rFonts w:eastAsia="方正小标宋_GBK"/>
          <w:bCs/>
          <w:sz w:val="72"/>
          <w:szCs w:val="72"/>
        </w:rPr>
      </w:pPr>
      <w:r>
        <w:rPr>
          <w:rFonts w:eastAsia="方正小标宋_GBK"/>
          <w:bCs/>
          <w:sz w:val="72"/>
          <w:szCs w:val="72"/>
        </w:rPr>
        <w:t>建设项目环境影响报告表</w:t>
      </w:r>
    </w:p>
    <w:p>
      <w:pPr>
        <w:adjustRightInd w:val="0"/>
        <w:snapToGrid w:val="0"/>
        <w:jc w:val="center"/>
        <w:outlineLvl w:val="0"/>
        <w:rPr>
          <w:rFonts w:eastAsia="方正小标宋_GBK"/>
          <w:bCs/>
          <w:sz w:val="72"/>
          <w:szCs w:val="72"/>
        </w:rPr>
      </w:pPr>
      <w:r>
        <w:rPr>
          <w:rFonts w:eastAsia="方正小标宋_GBK"/>
          <w:bCs/>
          <w:sz w:val="44"/>
          <w:szCs w:val="44"/>
        </w:rPr>
        <w:t>（报批版）</w:t>
      </w:r>
    </w:p>
    <w:p>
      <w:pPr>
        <w:adjustRightInd w:val="0"/>
        <w:snapToGrid w:val="0"/>
        <w:spacing w:line="288" w:lineRule="auto"/>
        <w:jc w:val="center"/>
        <w:outlineLvl w:val="0"/>
        <w:rPr>
          <w:rFonts w:eastAsia="华文仿宋"/>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left="3150" w:leftChars="414" w:hanging="2156" w:hangingChars="674"/>
        <w:rPr>
          <w:rFonts w:eastAsia="仿宋_GB2312"/>
          <w:sz w:val="32"/>
          <w:szCs w:val="32"/>
          <w:u w:val="single"/>
        </w:rPr>
      </w:pPr>
      <w:r>
        <w:rPr>
          <w:rFonts w:eastAsia="仿宋_GB2312"/>
          <w:sz w:val="32"/>
          <w:szCs w:val="32"/>
        </w:rPr>
        <w:t>项目名称：</w:t>
      </w:r>
      <w:r>
        <w:rPr>
          <w:rFonts w:eastAsia="仿宋_GB2312"/>
          <w:sz w:val="32"/>
          <w:szCs w:val="32"/>
          <w:u w:val="single"/>
        </w:rPr>
        <w:t>巴州盛砼祥新型材料建材有限公司新能源</w:t>
      </w:r>
    </w:p>
    <w:p>
      <w:pPr>
        <w:adjustRightInd w:val="0"/>
        <w:snapToGrid w:val="0"/>
        <w:spacing w:line="288" w:lineRule="auto"/>
        <w:ind w:left="3143" w:leftChars="1079" w:hanging="553" w:hangingChars="173"/>
        <w:rPr>
          <w:rFonts w:hint="default" w:eastAsia="仿宋_GB2312"/>
          <w:sz w:val="32"/>
          <w:szCs w:val="32"/>
          <w:u w:val="single"/>
          <w:lang w:val="en-US" w:eastAsia="zh-CN"/>
        </w:rPr>
      </w:pPr>
      <w:r>
        <w:rPr>
          <w:rFonts w:eastAsia="仿宋_GB2312"/>
          <w:sz w:val="32"/>
          <w:szCs w:val="32"/>
          <w:u w:val="single"/>
        </w:rPr>
        <w:t>配套设施太阳能光伏桩项目</w:t>
      </w:r>
      <w:r>
        <w:rPr>
          <w:rFonts w:hint="eastAsia" w:eastAsia="仿宋_GB2312"/>
          <w:sz w:val="32"/>
          <w:szCs w:val="32"/>
          <w:u w:val="single"/>
          <w:lang w:val="en-US" w:eastAsia="zh-CN"/>
        </w:rPr>
        <w:t xml:space="preserve">           </w:t>
      </w:r>
    </w:p>
    <w:p>
      <w:pPr>
        <w:adjustRightInd w:val="0"/>
        <w:snapToGrid w:val="0"/>
        <w:spacing w:line="288" w:lineRule="auto"/>
        <w:ind w:left="3150" w:leftChars="414" w:hanging="2156" w:hangingChars="674"/>
        <w:rPr>
          <w:rFonts w:eastAsia="仿宋_GB2312"/>
          <w:sz w:val="32"/>
          <w:szCs w:val="32"/>
          <w:u w:val="single"/>
        </w:rPr>
      </w:pPr>
      <w:r>
        <w:rPr>
          <w:rFonts w:eastAsia="仿宋_GB2312"/>
          <w:sz w:val="32"/>
          <w:szCs w:val="32"/>
        </w:rPr>
        <w:t>建设单位（盖章）：</w:t>
      </w:r>
      <w:r>
        <w:rPr>
          <w:rFonts w:eastAsia="仿宋_GB2312"/>
          <w:sz w:val="32"/>
          <w:szCs w:val="32"/>
          <w:u w:val="single"/>
        </w:rPr>
        <w:t>巴州盛砼祥新型材料建材有限公司</w:t>
      </w:r>
    </w:p>
    <w:p>
      <w:pPr>
        <w:adjustRightInd w:val="0"/>
        <w:snapToGrid w:val="0"/>
        <w:spacing w:line="288" w:lineRule="auto"/>
        <w:ind w:left="3150" w:leftChars="414" w:hanging="2156" w:hangingChars="674"/>
        <w:rPr>
          <w:rFonts w:hint="default" w:eastAsia="仿宋_GB2312"/>
          <w:sz w:val="32"/>
          <w:szCs w:val="32"/>
          <w:lang w:val="en-US" w:eastAsia="zh-CN"/>
        </w:rPr>
      </w:pPr>
      <w:r>
        <w:rPr>
          <w:rFonts w:eastAsia="仿宋_GB2312"/>
          <w:sz w:val="32"/>
          <w:szCs w:val="32"/>
        </w:rPr>
        <w:t>编制日期：</w:t>
      </w:r>
      <w:r>
        <w:rPr>
          <w:rFonts w:hint="eastAsia" w:eastAsia="仿宋_GB2312"/>
          <w:sz w:val="32"/>
          <w:szCs w:val="32"/>
          <w:u w:val="single"/>
          <w:lang w:val="en-US" w:eastAsia="zh-CN"/>
        </w:rPr>
        <w:t xml:space="preserve">        </w:t>
      </w:r>
      <w:r>
        <w:rPr>
          <w:rFonts w:eastAsia="仿宋_GB2312"/>
          <w:sz w:val="32"/>
          <w:szCs w:val="32"/>
          <w:u w:val="single"/>
        </w:rPr>
        <w:t>2023年10月</w:t>
      </w:r>
      <w:r>
        <w:rPr>
          <w:rFonts w:hint="eastAsia" w:eastAsia="仿宋_GB2312"/>
          <w:sz w:val="32"/>
          <w:szCs w:val="32"/>
          <w:u w:val="single"/>
          <w:lang w:val="en-US" w:eastAsia="zh-CN"/>
        </w:rPr>
        <w:t xml:space="preserve">           </w:t>
      </w:r>
    </w:p>
    <w:p>
      <w:pPr>
        <w:adjustRightInd w:val="0"/>
        <w:snapToGrid w:val="0"/>
        <w:spacing w:line="288" w:lineRule="auto"/>
        <w:ind w:firstLine="1040"/>
        <w:rPr>
          <w:rFonts w:eastAsia="仿宋_GB2312"/>
          <w:sz w:val="32"/>
          <w:szCs w:val="32"/>
          <w:u w:val="single"/>
        </w:rPr>
      </w:pPr>
      <w:bookmarkStart w:id="0" w:name="_Hlk57884087"/>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bookmarkEnd w:id="0"/>
    <w:p>
      <w:pPr>
        <w:adjustRightInd w:val="0"/>
        <w:snapToGrid w:val="0"/>
        <w:spacing w:line="288" w:lineRule="auto"/>
        <w:jc w:val="cente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eastAsia="楷体_GB2312"/>
          <w:sz w:val="36"/>
          <w:szCs w:val="36"/>
        </w:rPr>
        <w:t>中华人民共和国生态环境部制</w:t>
      </w:r>
    </w:p>
    <w:p>
      <w:pPr>
        <w:pStyle w:val="21"/>
        <w:adjustRightInd w:val="0"/>
        <w:snapToGrid w:val="0"/>
        <w:spacing w:before="0" w:beforeAutospacing="0" w:after="0" w:afterAutospacing="0"/>
        <w:jc w:val="center"/>
        <w:outlineLvl w:val="0"/>
        <w:rPr>
          <w:rFonts w:ascii="Times New Roman" w:eastAsia="黑体"/>
          <w:snapToGrid w:val="0"/>
          <w:sz w:val="30"/>
          <w:szCs w:val="30"/>
        </w:rPr>
      </w:pPr>
      <w:r>
        <w:rPr>
          <w:rFonts w:ascii="Times New Roman" w:eastAsia="黑体"/>
          <w:snapToGrid w:val="0"/>
          <w:sz w:val="30"/>
          <w:szCs w:val="30"/>
        </w:rPr>
        <w:t>一、建设项目基本情况</w:t>
      </w:r>
    </w:p>
    <w:tbl>
      <w:tblPr>
        <w:tblStyle w:val="26"/>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04"/>
        <w:gridCol w:w="1713"/>
        <w:gridCol w:w="2325"/>
        <w:gridCol w:w="2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建设项目名称</w:t>
            </w:r>
          </w:p>
        </w:tc>
        <w:tc>
          <w:tcPr>
            <w:tcW w:w="6866" w:type="dxa"/>
            <w:gridSpan w:val="3"/>
            <w:vAlign w:val="center"/>
          </w:tcPr>
          <w:p>
            <w:pPr>
              <w:adjustRightInd w:val="0"/>
              <w:snapToGrid w:val="0"/>
              <w:spacing w:line="276" w:lineRule="auto"/>
              <w:jc w:val="center"/>
              <w:rPr>
                <w:szCs w:val="21"/>
              </w:rPr>
            </w:pPr>
            <w:r>
              <w:rPr>
                <w:szCs w:val="21"/>
              </w:rPr>
              <w:t>巴州盛砼祥新型材料建材有限公司新能源配套设施太阳能光伏桩项目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项目代码</w:t>
            </w:r>
          </w:p>
        </w:tc>
        <w:tc>
          <w:tcPr>
            <w:tcW w:w="6866" w:type="dxa"/>
            <w:gridSpan w:val="3"/>
            <w:vAlign w:val="center"/>
          </w:tcPr>
          <w:p>
            <w:pPr>
              <w:adjustRightInd w:val="0"/>
              <w:snapToGrid w:val="0"/>
              <w:spacing w:line="276" w:lineRule="auto"/>
              <w:jc w:val="center"/>
              <w:rPr>
                <w:szCs w:val="21"/>
              </w:rPr>
            </w:pPr>
            <w:r>
              <w:rPr>
                <w:szCs w:val="21"/>
              </w:rPr>
              <w:t>2309-652823-07-01-948211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建设单位联系人</w:t>
            </w:r>
          </w:p>
        </w:tc>
        <w:tc>
          <w:tcPr>
            <w:tcW w:w="1713" w:type="dxa"/>
            <w:vAlign w:val="center"/>
          </w:tcPr>
          <w:p>
            <w:pPr>
              <w:adjustRightInd w:val="0"/>
              <w:snapToGrid w:val="0"/>
              <w:spacing w:line="276" w:lineRule="auto"/>
              <w:jc w:val="center"/>
              <w:rPr>
                <w:szCs w:val="21"/>
              </w:rPr>
            </w:pPr>
            <w:r>
              <w:rPr>
                <w:szCs w:val="21"/>
              </w:rPr>
              <w:t>孔德盛</w:t>
            </w:r>
          </w:p>
        </w:tc>
        <w:tc>
          <w:tcPr>
            <w:tcW w:w="2325" w:type="dxa"/>
            <w:vAlign w:val="center"/>
          </w:tcPr>
          <w:p>
            <w:pPr>
              <w:adjustRightInd w:val="0"/>
              <w:snapToGrid w:val="0"/>
              <w:spacing w:line="276" w:lineRule="auto"/>
              <w:jc w:val="center"/>
              <w:rPr>
                <w:szCs w:val="21"/>
              </w:rPr>
            </w:pPr>
            <w:r>
              <w:rPr>
                <w:szCs w:val="21"/>
              </w:rPr>
              <w:t>联系方式</w:t>
            </w:r>
          </w:p>
        </w:tc>
        <w:tc>
          <w:tcPr>
            <w:tcW w:w="2828" w:type="dxa"/>
            <w:vAlign w:val="center"/>
          </w:tcPr>
          <w:p>
            <w:pPr>
              <w:adjustRightInd w:val="0"/>
              <w:snapToGrid w:val="0"/>
              <w:spacing w:line="276" w:lineRule="auto"/>
              <w:jc w:val="center"/>
              <w:rPr>
                <w:szCs w:val="21"/>
              </w:rPr>
            </w:pPr>
            <w:r>
              <w:rPr>
                <w:szCs w:val="21"/>
              </w:rPr>
              <w:t>18699672555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建设地点</w:t>
            </w:r>
          </w:p>
        </w:tc>
        <w:tc>
          <w:tcPr>
            <w:tcW w:w="6866" w:type="dxa"/>
            <w:gridSpan w:val="3"/>
            <w:vAlign w:val="center"/>
          </w:tcPr>
          <w:p>
            <w:pPr>
              <w:adjustRightInd w:val="0"/>
              <w:snapToGrid w:val="0"/>
              <w:spacing w:line="276" w:lineRule="auto"/>
              <w:jc w:val="center"/>
              <w:rPr>
                <w:szCs w:val="21"/>
                <w:lang w:bidi="en-US"/>
              </w:rPr>
            </w:pPr>
            <w:r>
              <w:rPr>
                <w:szCs w:val="21"/>
                <w:lang w:bidi="en-US"/>
              </w:rPr>
              <w:t>新疆巴音郭楞蒙古自治州尉犁县工业园区装备制造区二期2号厂房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地理坐标</w:t>
            </w:r>
          </w:p>
        </w:tc>
        <w:tc>
          <w:tcPr>
            <w:tcW w:w="6866" w:type="dxa"/>
            <w:gridSpan w:val="3"/>
            <w:vAlign w:val="center"/>
          </w:tcPr>
          <w:p>
            <w:pPr>
              <w:adjustRightInd w:val="0"/>
              <w:snapToGrid w:val="0"/>
              <w:spacing w:line="276" w:lineRule="auto"/>
              <w:jc w:val="center"/>
              <w:rPr>
                <w:szCs w:val="21"/>
              </w:rPr>
            </w:pPr>
            <w:r>
              <w:rPr>
                <w:szCs w:val="21"/>
              </w:rPr>
              <w:t>东经</w:t>
            </w:r>
            <w:r>
              <w:rPr>
                <w:szCs w:val="21"/>
                <w:u w:val="single"/>
              </w:rPr>
              <w:t>86</w:t>
            </w:r>
            <w:r>
              <w:rPr>
                <w:szCs w:val="21"/>
              </w:rPr>
              <w:t>度</w:t>
            </w:r>
            <w:r>
              <w:rPr>
                <w:szCs w:val="21"/>
                <w:u w:val="single"/>
              </w:rPr>
              <w:t>16</w:t>
            </w:r>
            <w:r>
              <w:rPr>
                <w:szCs w:val="21"/>
              </w:rPr>
              <w:t>分</w:t>
            </w:r>
            <w:r>
              <w:rPr>
                <w:szCs w:val="21"/>
                <w:u w:val="single"/>
              </w:rPr>
              <w:t>21.801</w:t>
            </w:r>
            <w:r>
              <w:rPr>
                <w:szCs w:val="21"/>
              </w:rPr>
              <w:t>秒，北纬</w:t>
            </w:r>
            <w:r>
              <w:rPr>
                <w:szCs w:val="21"/>
                <w:u w:val="single"/>
              </w:rPr>
              <w:t>41</w:t>
            </w:r>
            <w:r>
              <w:rPr>
                <w:szCs w:val="21"/>
              </w:rPr>
              <w:t>度</w:t>
            </w:r>
            <w:r>
              <w:rPr>
                <w:szCs w:val="21"/>
                <w:u w:val="single"/>
              </w:rPr>
              <w:t>21</w:t>
            </w:r>
            <w:r>
              <w:rPr>
                <w:szCs w:val="21"/>
              </w:rPr>
              <w:t>分</w:t>
            </w:r>
            <w:r>
              <w:rPr>
                <w:szCs w:val="21"/>
                <w:u w:val="single"/>
              </w:rPr>
              <w:t>55.480</w:t>
            </w:r>
            <w:r>
              <w:rPr>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国民经济</w:t>
            </w:r>
          </w:p>
          <w:p>
            <w:pPr>
              <w:adjustRightInd w:val="0"/>
              <w:snapToGrid w:val="0"/>
              <w:spacing w:line="276" w:lineRule="auto"/>
              <w:jc w:val="center"/>
              <w:rPr>
                <w:szCs w:val="21"/>
              </w:rPr>
            </w:pPr>
            <w:r>
              <w:rPr>
                <w:szCs w:val="21"/>
              </w:rPr>
              <w:t>行业类别</w:t>
            </w:r>
          </w:p>
        </w:tc>
        <w:tc>
          <w:tcPr>
            <w:tcW w:w="1713" w:type="dxa"/>
            <w:vAlign w:val="center"/>
          </w:tcPr>
          <w:p>
            <w:pPr>
              <w:adjustRightInd w:val="0"/>
              <w:snapToGrid w:val="0"/>
              <w:spacing w:line="276" w:lineRule="auto"/>
              <w:jc w:val="center"/>
              <w:rPr>
                <w:szCs w:val="21"/>
              </w:rPr>
            </w:pPr>
            <w:r>
              <w:rPr>
                <w:szCs w:val="21"/>
              </w:rPr>
              <w:t>C3022砼结构构件制造</w:t>
            </w:r>
          </w:p>
        </w:tc>
        <w:tc>
          <w:tcPr>
            <w:tcW w:w="2325" w:type="dxa"/>
            <w:vAlign w:val="center"/>
          </w:tcPr>
          <w:p>
            <w:pPr>
              <w:adjustRightInd w:val="0"/>
              <w:snapToGrid w:val="0"/>
              <w:spacing w:line="276" w:lineRule="auto"/>
              <w:jc w:val="center"/>
              <w:rPr>
                <w:szCs w:val="21"/>
              </w:rPr>
            </w:pPr>
            <w:bookmarkStart w:id="1" w:name="_Hlk49843745"/>
            <w:r>
              <w:rPr>
                <w:szCs w:val="21"/>
              </w:rPr>
              <w:t>建设项目</w:t>
            </w:r>
          </w:p>
          <w:p>
            <w:pPr>
              <w:adjustRightInd w:val="0"/>
              <w:snapToGrid w:val="0"/>
              <w:spacing w:line="276" w:lineRule="auto"/>
              <w:jc w:val="center"/>
              <w:rPr>
                <w:szCs w:val="21"/>
              </w:rPr>
            </w:pPr>
            <w:r>
              <w:rPr>
                <w:szCs w:val="21"/>
              </w:rPr>
              <w:t>行业类别</w:t>
            </w:r>
            <w:bookmarkEnd w:id="1"/>
          </w:p>
        </w:tc>
        <w:tc>
          <w:tcPr>
            <w:tcW w:w="2828" w:type="dxa"/>
            <w:vAlign w:val="center"/>
          </w:tcPr>
          <w:p>
            <w:pPr>
              <w:adjustRightInd w:val="0"/>
              <w:snapToGrid w:val="0"/>
              <w:spacing w:line="276" w:lineRule="auto"/>
              <w:rPr>
                <w:szCs w:val="21"/>
              </w:rPr>
            </w:pPr>
            <w:r>
              <w:rPr>
                <w:szCs w:val="21"/>
              </w:rPr>
              <w:t>二十七、非金属矿物制品业30：55、石膏、水泥制品及类似制品制造302中“砼结构构件制造”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建设性质</w:t>
            </w:r>
          </w:p>
        </w:tc>
        <w:tc>
          <w:tcPr>
            <w:tcW w:w="1713" w:type="dxa"/>
            <w:vAlign w:val="center"/>
          </w:tcPr>
          <w:p>
            <w:pPr>
              <w:adjustRightInd w:val="0"/>
              <w:snapToGrid w:val="0"/>
              <w:spacing w:line="276" w:lineRule="auto"/>
              <w:jc w:val="left"/>
              <w:rPr>
                <w:szCs w:val="21"/>
              </w:rPr>
            </w:pPr>
            <w:r>
              <w:rPr>
                <w:rFonts w:ascii="Segoe UI Symbol" w:hAnsi="Segoe UI Symbol" w:cs="Segoe UI Symbol"/>
                <w:szCs w:val="21"/>
              </w:rPr>
              <w:t>☑</w:t>
            </w:r>
            <w:r>
              <w:rPr>
                <w:szCs w:val="21"/>
              </w:rPr>
              <w:t>新建（迁建）</w:t>
            </w:r>
          </w:p>
          <w:p>
            <w:pPr>
              <w:adjustRightInd w:val="0"/>
              <w:snapToGrid w:val="0"/>
              <w:spacing w:line="276" w:lineRule="auto"/>
              <w:jc w:val="left"/>
              <w:rPr>
                <w:szCs w:val="21"/>
              </w:rPr>
            </w:pPr>
            <w:r>
              <w:rPr>
                <w:szCs w:val="21"/>
              </w:rPr>
              <w:t>□改建</w:t>
            </w:r>
          </w:p>
          <w:p>
            <w:pPr>
              <w:adjustRightInd w:val="0"/>
              <w:snapToGrid w:val="0"/>
              <w:spacing w:line="276" w:lineRule="auto"/>
              <w:jc w:val="left"/>
              <w:rPr>
                <w:szCs w:val="21"/>
              </w:rPr>
            </w:pPr>
            <w:r>
              <w:rPr>
                <w:szCs w:val="21"/>
              </w:rPr>
              <w:t>□扩建</w:t>
            </w:r>
          </w:p>
          <w:p>
            <w:pPr>
              <w:adjustRightInd w:val="0"/>
              <w:snapToGrid w:val="0"/>
              <w:spacing w:line="276" w:lineRule="auto"/>
              <w:jc w:val="left"/>
              <w:rPr>
                <w:szCs w:val="21"/>
              </w:rPr>
            </w:pPr>
            <w:r>
              <w:rPr>
                <w:szCs w:val="21"/>
              </w:rPr>
              <w:t>□技术改造</w:t>
            </w:r>
          </w:p>
        </w:tc>
        <w:tc>
          <w:tcPr>
            <w:tcW w:w="2325" w:type="dxa"/>
            <w:vAlign w:val="center"/>
          </w:tcPr>
          <w:p>
            <w:pPr>
              <w:adjustRightInd w:val="0"/>
              <w:snapToGrid w:val="0"/>
              <w:spacing w:line="276" w:lineRule="auto"/>
              <w:jc w:val="center"/>
              <w:rPr>
                <w:szCs w:val="21"/>
              </w:rPr>
            </w:pPr>
            <w:r>
              <w:rPr>
                <w:szCs w:val="21"/>
              </w:rPr>
              <w:t>建设项目</w:t>
            </w:r>
          </w:p>
          <w:p>
            <w:pPr>
              <w:adjustRightInd w:val="0"/>
              <w:snapToGrid w:val="0"/>
              <w:spacing w:line="276" w:lineRule="auto"/>
              <w:jc w:val="center"/>
              <w:rPr>
                <w:szCs w:val="21"/>
              </w:rPr>
            </w:pPr>
            <w:r>
              <w:rPr>
                <w:szCs w:val="21"/>
              </w:rPr>
              <w:t>申报情形</w:t>
            </w:r>
          </w:p>
        </w:tc>
        <w:tc>
          <w:tcPr>
            <w:tcW w:w="2828" w:type="dxa"/>
            <w:vAlign w:val="center"/>
          </w:tcPr>
          <w:p>
            <w:pPr>
              <w:adjustRightInd w:val="0"/>
              <w:snapToGrid w:val="0"/>
              <w:spacing w:line="276" w:lineRule="auto"/>
              <w:jc w:val="left"/>
              <w:rPr>
                <w:szCs w:val="21"/>
              </w:rPr>
            </w:pPr>
            <w:r>
              <w:rPr>
                <w:rFonts w:ascii="Segoe UI Symbol" w:hAnsi="Segoe UI Symbol" w:cs="Segoe UI Symbol"/>
                <w:szCs w:val="21"/>
              </w:rPr>
              <w:t>☑</w:t>
            </w:r>
            <w:r>
              <w:rPr>
                <w:szCs w:val="21"/>
              </w:rPr>
              <w:t>首次申报项目</w:t>
            </w:r>
          </w:p>
          <w:p>
            <w:pPr>
              <w:adjustRightInd w:val="0"/>
              <w:snapToGrid w:val="0"/>
              <w:spacing w:line="276" w:lineRule="auto"/>
              <w:jc w:val="left"/>
              <w:rPr>
                <w:szCs w:val="21"/>
              </w:rPr>
            </w:pPr>
            <w:r>
              <w:rPr>
                <w:szCs w:val="21"/>
              </w:rPr>
              <w:t>□不予批准后再次申报项目</w:t>
            </w:r>
          </w:p>
          <w:p>
            <w:pPr>
              <w:adjustRightInd w:val="0"/>
              <w:snapToGrid w:val="0"/>
              <w:spacing w:line="276" w:lineRule="auto"/>
              <w:jc w:val="left"/>
              <w:rPr>
                <w:szCs w:val="21"/>
              </w:rPr>
            </w:pPr>
            <w:r>
              <w:rPr>
                <w:szCs w:val="21"/>
              </w:rPr>
              <w:t>□超五年重新审核项目</w:t>
            </w:r>
          </w:p>
          <w:p>
            <w:pPr>
              <w:adjustRightInd w:val="0"/>
              <w:snapToGrid w:val="0"/>
              <w:spacing w:line="276" w:lineRule="auto"/>
              <w:jc w:val="left"/>
              <w:rPr>
                <w:szCs w:val="21"/>
              </w:rPr>
            </w:pPr>
            <w:r>
              <w:rPr>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项目审批（核准/</w:t>
            </w:r>
          </w:p>
          <w:p>
            <w:pPr>
              <w:adjustRightInd w:val="0"/>
              <w:snapToGrid w:val="0"/>
              <w:spacing w:line="276" w:lineRule="auto"/>
              <w:jc w:val="center"/>
              <w:rPr>
                <w:szCs w:val="21"/>
              </w:rPr>
            </w:pPr>
            <w:r>
              <w:rPr>
                <w:szCs w:val="21"/>
              </w:rPr>
              <w:t>备案）部门（选填）</w:t>
            </w:r>
          </w:p>
        </w:tc>
        <w:tc>
          <w:tcPr>
            <w:tcW w:w="1713" w:type="dxa"/>
            <w:vAlign w:val="center"/>
          </w:tcPr>
          <w:p>
            <w:pPr>
              <w:adjustRightInd w:val="0"/>
              <w:snapToGrid w:val="0"/>
              <w:spacing w:line="276" w:lineRule="auto"/>
              <w:jc w:val="center"/>
              <w:rPr>
                <w:szCs w:val="21"/>
              </w:rPr>
            </w:pPr>
            <w:r>
              <w:rPr>
                <w:szCs w:val="21"/>
              </w:rPr>
              <w:t>尉犁县发展</w:t>
            </w:r>
          </w:p>
          <w:p>
            <w:pPr>
              <w:adjustRightInd w:val="0"/>
              <w:snapToGrid w:val="0"/>
              <w:spacing w:line="276" w:lineRule="auto"/>
              <w:jc w:val="center"/>
              <w:rPr>
                <w:szCs w:val="21"/>
              </w:rPr>
            </w:pPr>
            <w:r>
              <w:rPr>
                <w:szCs w:val="21"/>
              </w:rPr>
              <w:t>和改革委员会</w:t>
            </w:r>
          </w:p>
        </w:tc>
        <w:tc>
          <w:tcPr>
            <w:tcW w:w="2325" w:type="dxa"/>
            <w:vAlign w:val="center"/>
          </w:tcPr>
          <w:p>
            <w:pPr>
              <w:adjustRightInd w:val="0"/>
              <w:snapToGrid w:val="0"/>
              <w:spacing w:line="276" w:lineRule="auto"/>
              <w:jc w:val="center"/>
              <w:rPr>
                <w:szCs w:val="21"/>
              </w:rPr>
            </w:pPr>
            <w:r>
              <w:rPr>
                <w:szCs w:val="21"/>
              </w:rPr>
              <w:t>项目审批（核准/</w:t>
            </w:r>
          </w:p>
          <w:p>
            <w:pPr>
              <w:adjustRightInd w:val="0"/>
              <w:snapToGrid w:val="0"/>
              <w:spacing w:line="276" w:lineRule="auto"/>
              <w:jc w:val="center"/>
              <w:rPr>
                <w:szCs w:val="21"/>
              </w:rPr>
            </w:pPr>
            <w:r>
              <w:rPr>
                <w:szCs w:val="21"/>
              </w:rPr>
              <w:t>备案）文号（选填）</w:t>
            </w:r>
          </w:p>
        </w:tc>
        <w:tc>
          <w:tcPr>
            <w:tcW w:w="2828" w:type="dxa"/>
            <w:vAlign w:val="center"/>
          </w:tcPr>
          <w:p>
            <w:pPr>
              <w:spacing w:line="276" w:lineRule="auto"/>
              <w:jc w:val="center"/>
            </w:pPr>
            <w:r>
              <w:rPr>
                <w:szCs w:val="21"/>
              </w:rPr>
              <w:t>尉发改备</w:t>
            </w:r>
            <w:r>
              <w:rPr>
                <w:kern w:val="0"/>
                <w:szCs w:val="21"/>
              </w:rPr>
              <w:t>〔2023〕70号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总投资</w:t>
            </w:r>
          </w:p>
          <w:p>
            <w:pPr>
              <w:adjustRightInd w:val="0"/>
              <w:snapToGrid w:val="0"/>
              <w:spacing w:line="276" w:lineRule="auto"/>
              <w:jc w:val="center"/>
              <w:rPr>
                <w:szCs w:val="21"/>
              </w:rPr>
            </w:pPr>
            <w:r>
              <w:rPr>
                <w:szCs w:val="21"/>
              </w:rPr>
              <w:t>（万元）</w:t>
            </w:r>
          </w:p>
        </w:tc>
        <w:tc>
          <w:tcPr>
            <w:tcW w:w="1713" w:type="dxa"/>
            <w:vAlign w:val="center"/>
          </w:tcPr>
          <w:p>
            <w:pPr>
              <w:adjustRightInd w:val="0"/>
              <w:snapToGrid w:val="0"/>
              <w:spacing w:line="276" w:lineRule="auto"/>
              <w:jc w:val="center"/>
              <w:rPr>
                <w:szCs w:val="21"/>
              </w:rPr>
            </w:pPr>
            <w:r>
              <w:rPr>
                <w:szCs w:val="21"/>
              </w:rPr>
              <w:t>4000</w:t>
            </w:r>
          </w:p>
        </w:tc>
        <w:tc>
          <w:tcPr>
            <w:tcW w:w="2325" w:type="dxa"/>
            <w:tcMar>
              <w:top w:w="16" w:type="dxa"/>
              <w:left w:w="16" w:type="dxa"/>
              <w:right w:w="16" w:type="dxa"/>
            </w:tcMar>
            <w:vAlign w:val="center"/>
          </w:tcPr>
          <w:p>
            <w:pPr>
              <w:adjustRightInd w:val="0"/>
              <w:snapToGrid w:val="0"/>
              <w:spacing w:line="276" w:lineRule="auto"/>
              <w:jc w:val="center"/>
              <w:rPr>
                <w:szCs w:val="21"/>
              </w:rPr>
            </w:pPr>
            <w:r>
              <w:rPr>
                <w:szCs w:val="21"/>
              </w:rPr>
              <w:t>环保投资（万元）</w:t>
            </w:r>
          </w:p>
        </w:tc>
        <w:tc>
          <w:tcPr>
            <w:tcW w:w="2828" w:type="dxa"/>
            <w:vAlign w:val="center"/>
          </w:tcPr>
          <w:p>
            <w:pPr>
              <w:adjustRightInd w:val="0"/>
              <w:snapToGrid w:val="0"/>
              <w:spacing w:line="276" w:lineRule="auto"/>
              <w:jc w:val="center"/>
              <w:rPr>
                <w:szCs w:val="21"/>
              </w:rPr>
            </w:pPr>
            <w:r>
              <w:rPr>
                <w:szCs w:val="21"/>
              </w:rPr>
              <w:t>28.5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4" w:type="dxa"/>
            <w:tcMar>
              <w:top w:w="16" w:type="dxa"/>
              <w:left w:w="16" w:type="dxa"/>
              <w:right w:w="16" w:type="dxa"/>
            </w:tcMar>
            <w:vAlign w:val="center"/>
          </w:tcPr>
          <w:p>
            <w:pPr>
              <w:adjustRightInd w:val="0"/>
              <w:snapToGrid w:val="0"/>
              <w:spacing w:line="276" w:lineRule="auto"/>
              <w:jc w:val="center"/>
              <w:rPr>
                <w:szCs w:val="21"/>
              </w:rPr>
            </w:pPr>
            <w:r>
              <w:rPr>
                <w:szCs w:val="21"/>
              </w:rPr>
              <w:t>环保投资占比（%）</w:t>
            </w:r>
          </w:p>
        </w:tc>
        <w:tc>
          <w:tcPr>
            <w:tcW w:w="1713" w:type="dxa"/>
            <w:vAlign w:val="center"/>
          </w:tcPr>
          <w:p>
            <w:pPr>
              <w:adjustRightInd w:val="0"/>
              <w:snapToGrid w:val="0"/>
              <w:spacing w:line="276" w:lineRule="auto"/>
              <w:jc w:val="center"/>
              <w:rPr>
                <w:szCs w:val="21"/>
              </w:rPr>
            </w:pPr>
            <w:r>
              <w:rPr>
                <w:szCs w:val="21"/>
              </w:rPr>
              <w:t>0.71</w:t>
            </w:r>
          </w:p>
        </w:tc>
        <w:tc>
          <w:tcPr>
            <w:tcW w:w="2325" w:type="dxa"/>
            <w:tcMar>
              <w:top w:w="16" w:type="dxa"/>
              <w:left w:w="16" w:type="dxa"/>
              <w:right w:w="16" w:type="dxa"/>
            </w:tcMar>
            <w:vAlign w:val="center"/>
          </w:tcPr>
          <w:p>
            <w:pPr>
              <w:adjustRightInd w:val="0"/>
              <w:snapToGrid w:val="0"/>
              <w:spacing w:line="276" w:lineRule="auto"/>
              <w:jc w:val="center"/>
              <w:rPr>
                <w:szCs w:val="21"/>
              </w:rPr>
            </w:pPr>
            <w:r>
              <w:rPr>
                <w:szCs w:val="21"/>
              </w:rPr>
              <w:t>施工工期</w:t>
            </w:r>
          </w:p>
        </w:tc>
        <w:tc>
          <w:tcPr>
            <w:tcW w:w="2828" w:type="dxa"/>
            <w:vAlign w:val="center"/>
          </w:tcPr>
          <w:p>
            <w:pPr>
              <w:adjustRightInd w:val="0"/>
              <w:snapToGrid w:val="0"/>
              <w:spacing w:line="276" w:lineRule="auto"/>
              <w:jc w:val="center"/>
              <w:rPr>
                <w:szCs w:val="21"/>
              </w:rPr>
            </w:pPr>
            <w:r>
              <w:rPr>
                <w:szCs w:val="21"/>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2004" w:type="dxa"/>
            <w:tcMar>
              <w:top w:w="16" w:type="dxa"/>
              <w:left w:w="16" w:type="dxa"/>
              <w:right w:w="16" w:type="dxa"/>
            </w:tcMar>
            <w:vAlign w:val="center"/>
          </w:tcPr>
          <w:p>
            <w:pPr>
              <w:adjustRightInd w:val="0"/>
              <w:snapToGrid w:val="0"/>
              <w:spacing w:line="276" w:lineRule="auto"/>
              <w:jc w:val="center"/>
              <w:rPr>
                <w:color w:val="auto"/>
                <w:szCs w:val="21"/>
              </w:rPr>
            </w:pPr>
            <w:r>
              <w:rPr>
                <w:color w:val="auto"/>
                <w:szCs w:val="21"/>
              </w:rPr>
              <w:t>是否开工建设</w:t>
            </w:r>
          </w:p>
        </w:tc>
        <w:tc>
          <w:tcPr>
            <w:tcW w:w="1713" w:type="dxa"/>
            <w:vAlign w:val="center"/>
          </w:tcPr>
          <w:p>
            <w:pPr>
              <w:adjustRightInd w:val="0"/>
              <w:snapToGrid w:val="0"/>
              <w:spacing w:line="276" w:lineRule="auto"/>
              <w:rPr>
                <w:color w:val="auto"/>
                <w:szCs w:val="21"/>
              </w:rPr>
            </w:pPr>
            <w:r>
              <w:rPr>
                <w:rFonts w:hint="eastAsia" w:ascii="Segoe UI Symbol" w:hAnsi="Segoe UI Symbol" w:cs="Segoe UI Symbol"/>
                <w:color w:val="auto"/>
                <w:szCs w:val="21"/>
                <w:lang w:eastAsia="zh-CN"/>
              </w:rPr>
              <w:t>☑</w:t>
            </w:r>
            <w:r>
              <w:rPr>
                <w:color w:val="auto"/>
                <w:szCs w:val="21"/>
              </w:rPr>
              <w:t>否</w:t>
            </w:r>
          </w:p>
          <w:p>
            <w:pPr>
              <w:adjustRightInd w:val="0"/>
              <w:snapToGrid w:val="0"/>
              <w:spacing w:line="276" w:lineRule="auto"/>
              <w:rPr>
                <w:rFonts w:hint="default" w:eastAsia="宋体"/>
                <w:color w:val="auto"/>
                <w:szCs w:val="21"/>
                <w:lang w:val="en-US" w:eastAsia="zh-CN"/>
              </w:rPr>
            </w:pPr>
            <w:r>
              <w:rPr>
                <w:rFonts w:hint="eastAsia"/>
                <w:color w:val="auto"/>
                <w:szCs w:val="21"/>
                <w:lang w:eastAsia="zh-CN"/>
              </w:rPr>
              <w:t>□</w:t>
            </w:r>
            <w:r>
              <w:rPr>
                <w:color w:val="auto"/>
                <w:szCs w:val="21"/>
              </w:rPr>
              <w:t>是</w:t>
            </w:r>
            <w:r>
              <w:rPr>
                <w:rFonts w:hint="eastAsia"/>
                <w:color w:val="auto"/>
                <w:szCs w:val="21"/>
                <w:lang w:eastAsia="zh-CN"/>
              </w:rPr>
              <w:t>：</w:t>
            </w:r>
          </w:p>
        </w:tc>
        <w:tc>
          <w:tcPr>
            <w:tcW w:w="2325" w:type="dxa"/>
            <w:tcMar>
              <w:top w:w="16" w:type="dxa"/>
              <w:left w:w="16" w:type="dxa"/>
              <w:right w:w="16" w:type="dxa"/>
            </w:tcMar>
            <w:vAlign w:val="center"/>
          </w:tcPr>
          <w:p>
            <w:pPr>
              <w:adjustRightInd w:val="0"/>
              <w:snapToGrid w:val="0"/>
              <w:spacing w:line="276" w:lineRule="auto"/>
              <w:jc w:val="center"/>
              <w:rPr>
                <w:spacing w:val="-6"/>
                <w:szCs w:val="21"/>
              </w:rPr>
            </w:pPr>
            <w:r>
              <w:rPr>
                <w:spacing w:val="-6"/>
                <w:szCs w:val="21"/>
              </w:rPr>
              <w:t>用地（用海）</w:t>
            </w:r>
          </w:p>
          <w:p>
            <w:pPr>
              <w:adjustRightInd w:val="0"/>
              <w:snapToGrid w:val="0"/>
              <w:spacing w:line="276" w:lineRule="auto"/>
              <w:jc w:val="center"/>
              <w:rPr>
                <w:szCs w:val="21"/>
              </w:rPr>
            </w:pPr>
            <w:r>
              <w:rPr>
                <w:spacing w:val="-6"/>
                <w:szCs w:val="21"/>
              </w:rPr>
              <w:t>面积（m</w:t>
            </w:r>
            <w:r>
              <w:rPr>
                <w:spacing w:val="-6"/>
                <w:szCs w:val="21"/>
                <w:vertAlign w:val="superscript"/>
              </w:rPr>
              <w:t>2</w:t>
            </w:r>
            <w:r>
              <w:rPr>
                <w:spacing w:val="-6"/>
                <w:szCs w:val="21"/>
              </w:rPr>
              <w:t>）</w:t>
            </w:r>
          </w:p>
        </w:tc>
        <w:tc>
          <w:tcPr>
            <w:tcW w:w="2828" w:type="dxa"/>
            <w:vAlign w:val="center"/>
          </w:tcPr>
          <w:p>
            <w:pPr>
              <w:adjustRightInd w:val="0"/>
              <w:snapToGrid w:val="0"/>
              <w:spacing w:line="276" w:lineRule="auto"/>
              <w:jc w:val="center"/>
              <w:rPr>
                <w:rFonts w:hint="eastAsia" w:eastAsia="宋体"/>
                <w:szCs w:val="21"/>
                <w:highlight w:val="yellow"/>
                <w:lang w:eastAsia="zh-CN"/>
              </w:rPr>
            </w:pPr>
            <w:r>
              <w:rPr>
                <w:rFonts w:hint="eastAsia"/>
                <w:color w:val="000000" w:themeColor="text1"/>
                <w:szCs w:val="21"/>
                <w:lang w:eastAsia="zh-CN"/>
                <w14:textFill>
                  <w14:solidFill>
                    <w14:schemeClr w14:val="tx1"/>
                  </w14:solidFill>
                </w14:textFill>
              </w:rPr>
              <w:t>5758.4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2004" w:type="dxa"/>
            <w:vAlign w:val="center"/>
          </w:tcPr>
          <w:p>
            <w:pPr>
              <w:autoSpaceDE w:val="0"/>
              <w:autoSpaceDN w:val="0"/>
              <w:adjustRightInd w:val="0"/>
              <w:snapToGrid w:val="0"/>
              <w:spacing w:line="276" w:lineRule="auto"/>
              <w:jc w:val="center"/>
              <w:rPr>
                <w:kern w:val="0"/>
                <w:szCs w:val="21"/>
              </w:rPr>
            </w:pPr>
            <w:r>
              <w:rPr>
                <w:kern w:val="0"/>
                <w:szCs w:val="21"/>
              </w:rPr>
              <w:t>专项评价设置情况</w:t>
            </w:r>
          </w:p>
        </w:tc>
        <w:tc>
          <w:tcPr>
            <w:tcW w:w="6866" w:type="dxa"/>
            <w:gridSpan w:val="3"/>
            <w:vAlign w:val="center"/>
          </w:tcPr>
          <w:p>
            <w:pPr>
              <w:autoSpaceDE w:val="0"/>
              <w:autoSpaceDN w:val="0"/>
              <w:adjustRightInd w:val="0"/>
              <w:snapToGrid w:val="0"/>
              <w:spacing w:line="276" w:lineRule="auto"/>
              <w:jc w:val="center"/>
              <w:rPr>
                <w:kern w:val="0"/>
              </w:rPr>
            </w:pPr>
            <w:r>
              <w:rPr>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2004" w:type="dxa"/>
            <w:vAlign w:val="center"/>
          </w:tcPr>
          <w:p>
            <w:pPr>
              <w:autoSpaceDE w:val="0"/>
              <w:autoSpaceDN w:val="0"/>
              <w:adjustRightInd w:val="0"/>
              <w:snapToGrid w:val="0"/>
              <w:spacing w:line="276" w:lineRule="auto"/>
              <w:jc w:val="center"/>
              <w:rPr>
                <w:kern w:val="0"/>
                <w:szCs w:val="21"/>
              </w:rPr>
            </w:pPr>
            <w:r>
              <w:rPr>
                <w:szCs w:val="21"/>
              </w:rPr>
              <w:t>规划情况</w:t>
            </w:r>
          </w:p>
        </w:tc>
        <w:tc>
          <w:tcPr>
            <w:tcW w:w="6866" w:type="dxa"/>
            <w:gridSpan w:val="3"/>
            <w:vAlign w:val="center"/>
          </w:tcPr>
          <w:p>
            <w:pPr>
              <w:widowControl/>
              <w:adjustRightInd w:val="0"/>
              <w:snapToGrid w:val="0"/>
              <w:spacing w:line="276" w:lineRule="auto"/>
              <w:jc w:val="center"/>
              <w:rPr>
                <w:kern w:val="0"/>
              </w:rPr>
            </w:pPr>
            <w:r>
              <w:rPr>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2004" w:type="dxa"/>
            <w:vAlign w:val="center"/>
          </w:tcPr>
          <w:p>
            <w:pPr>
              <w:adjustRightInd w:val="0"/>
              <w:snapToGrid w:val="0"/>
              <w:spacing w:line="276" w:lineRule="auto"/>
              <w:jc w:val="center"/>
              <w:rPr>
                <w:szCs w:val="21"/>
              </w:rPr>
            </w:pPr>
            <w:r>
              <w:rPr>
                <w:szCs w:val="21"/>
              </w:rPr>
              <w:t>规划环境影响</w:t>
            </w:r>
          </w:p>
          <w:p>
            <w:pPr>
              <w:adjustRightInd w:val="0"/>
              <w:snapToGrid w:val="0"/>
              <w:spacing w:line="276" w:lineRule="auto"/>
              <w:jc w:val="center"/>
              <w:rPr>
                <w:kern w:val="0"/>
                <w:szCs w:val="21"/>
              </w:rPr>
            </w:pPr>
            <w:r>
              <w:rPr>
                <w:szCs w:val="21"/>
              </w:rPr>
              <w:t>评价情况</w:t>
            </w:r>
          </w:p>
        </w:tc>
        <w:tc>
          <w:tcPr>
            <w:tcW w:w="6866" w:type="dxa"/>
            <w:gridSpan w:val="3"/>
            <w:vAlign w:val="center"/>
          </w:tcPr>
          <w:p>
            <w:pPr>
              <w:autoSpaceDE w:val="0"/>
              <w:autoSpaceDN w:val="0"/>
              <w:adjustRightInd w:val="0"/>
              <w:snapToGrid w:val="0"/>
              <w:spacing w:line="276" w:lineRule="auto"/>
              <w:jc w:val="center"/>
            </w:pPr>
            <w:r>
              <w:rPr>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2004" w:type="dxa"/>
            <w:vAlign w:val="center"/>
          </w:tcPr>
          <w:p>
            <w:pPr>
              <w:autoSpaceDE w:val="0"/>
              <w:autoSpaceDN w:val="0"/>
              <w:adjustRightInd w:val="0"/>
              <w:snapToGrid w:val="0"/>
              <w:spacing w:line="276" w:lineRule="auto"/>
              <w:jc w:val="center"/>
              <w:rPr>
                <w:kern w:val="0"/>
                <w:szCs w:val="21"/>
              </w:rPr>
            </w:pPr>
            <w:r>
              <w:rPr>
                <w:kern w:val="0"/>
                <w:szCs w:val="21"/>
              </w:rPr>
              <w:t>规划及规划环境影响评价符合性分析</w:t>
            </w:r>
          </w:p>
        </w:tc>
        <w:tc>
          <w:tcPr>
            <w:tcW w:w="6866" w:type="dxa"/>
            <w:gridSpan w:val="3"/>
            <w:vAlign w:val="center"/>
          </w:tcPr>
          <w:p>
            <w:pPr>
              <w:pStyle w:val="42"/>
              <w:spacing w:line="276" w:lineRule="auto"/>
              <w:ind w:firstLine="3319" w:firstLineChars="1383"/>
              <w:rPr>
                <w:rFonts w:cs="Times New Roman"/>
              </w:rPr>
            </w:pPr>
            <w:r>
              <w:rPr>
                <w:rFonts w:cs="Times New Roman"/>
                <w:kern w:val="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2004" w:type="dxa"/>
            <w:vAlign w:val="center"/>
          </w:tcPr>
          <w:p>
            <w:pPr>
              <w:autoSpaceDE w:val="0"/>
              <w:autoSpaceDN w:val="0"/>
              <w:adjustRightInd w:val="0"/>
              <w:snapToGrid w:val="0"/>
              <w:jc w:val="center"/>
              <w:rPr>
                <w:kern w:val="0"/>
                <w:szCs w:val="21"/>
                <w:highlight w:val="yellow"/>
              </w:rPr>
            </w:pPr>
            <w:r>
              <w:rPr>
                <w:kern w:val="0"/>
                <w:szCs w:val="21"/>
              </w:rPr>
              <w:t>其他符合性分析</w:t>
            </w:r>
          </w:p>
        </w:tc>
        <w:tc>
          <w:tcPr>
            <w:tcW w:w="6866" w:type="dxa"/>
            <w:gridSpan w:val="3"/>
            <w:vAlign w:val="center"/>
          </w:tcPr>
          <w:p>
            <w:pPr>
              <w:adjustRightInd w:val="0"/>
              <w:snapToGrid w:val="0"/>
              <w:ind w:firstLine="482" w:firstLineChars="200"/>
              <w:rPr>
                <w:b/>
                <w:szCs w:val="21"/>
              </w:rPr>
            </w:pPr>
            <w:bookmarkStart w:id="2" w:name="_Toc6987925"/>
            <w:bookmarkStart w:id="3" w:name="_Toc528766091"/>
            <w:r>
              <w:rPr>
                <w:b/>
                <w:szCs w:val="21"/>
              </w:rPr>
              <w:t>1、产业政策符合性分析</w:t>
            </w:r>
          </w:p>
          <w:p>
            <w:pPr>
              <w:adjustRightInd w:val="0"/>
              <w:ind w:firstLine="480" w:firstLineChars="200"/>
              <w:rPr>
                <w:bCs/>
                <w:szCs w:val="21"/>
              </w:rPr>
            </w:pPr>
            <w:r>
              <w:rPr>
                <w:bCs/>
                <w:szCs w:val="21"/>
              </w:rPr>
              <w:t>根据《产业结构调整指导目录（2019年本）》（2021年修改），本项目属于鼓励类中的</w:t>
            </w:r>
            <w:r>
              <w:t>“</w:t>
            </w:r>
            <w:r>
              <w:rPr>
                <w:bCs/>
                <w:szCs w:val="21"/>
              </w:rPr>
              <w:t>十二建材3、光伏建筑一体化部品部件”，属于鼓励类，因此，项目建设符合国家现行产业政策要求。</w:t>
            </w:r>
          </w:p>
          <w:p>
            <w:pPr>
              <w:numPr>
                <w:ilvl w:val="0"/>
                <w:numId w:val="4"/>
              </w:numPr>
              <w:adjustRightInd w:val="0"/>
              <w:ind w:left="480" w:leftChars="200"/>
              <w:rPr>
                <w:b/>
                <w:bCs/>
                <w:szCs w:val="21"/>
                <w:lang w:bidi="ar"/>
              </w:rPr>
            </w:pPr>
            <w:r>
              <w:rPr>
                <w:b/>
                <w:bCs/>
                <w:szCs w:val="21"/>
                <w:lang w:bidi="ar"/>
              </w:rPr>
              <w:t>用地合理性</w:t>
            </w:r>
          </w:p>
          <w:p>
            <w:pPr>
              <w:adjustRightInd w:val="0"/>
              <w:ind w:firstLine="480" w:firstLineChars="200"/>
              <w:rPr>
                <w:rFonts w:hint="default" w:eastAsia="宋体"/>
                <w:lang w:val="en-US" w:eastAsia="zh-CN"/>
              </w:rPr>
            </w:pPr>
            <w:r>
              <w:rPr>
                <w:color w:val="000000" w:themeColor="text1"/>
                <w:sz w:val="24"/>
                <w14:textFill>
                  <w14:solidFill>
                    <w14:schemeClr w14:val="tx1"/>
                  </w14:solidFill>
                </w14:textFill>
              </w:rPr>
              <w:t>本项目位于</w:t>
            </w:r>
            <w:r>
              <w:rPr>
                <w:szCs w:val="21"/>
                <w:lang w:bidi="ar"/>
              </w:rPr>
              <w:t>新疆巴音郭楞蒙古自治州尉犁县工业园区装备制造区二期2号厂房</w:t>
            </w:r>
            <w:r>
              <w:rPr>
                <w:color w:val="000000" w:themeColor="text1"/>
                <w:sz w:val="24"/>
                <w14:textFill>
                  <w14:solidFill>
                    <w14:schemeClr w14:val="tx1"/>
                  </w14:solidFill>
                </w14:textFill>
              </w:rPr>
              <w:t>，项目建设不属于《限制用地项目目录（2012年本）》和《禁制用地项目目录（2012年本）》的限制或禁止项目</w:t>
            </w:r>
            <w:r>
              <w:rPr>
                <w:szCs w:val="21"/>
                <w:lang w:bidi="ar"/>
              </w:rPr>
              <w:t>。</w:t>
            </w:r>
            <w:r>
              <w:rPr>
                <w:rFonts w:hint="eastAsia"/>
                <w:szCs w:val="21"/>
                <w:lang w:val="en-US" w:eastAsia="zh-CN" w:bidi="ar"/>
              </w:rPr>
              <w:t>该项目</w:t>
            </w:r>
            <w:r>
              <w:rPr>
                <w:rFonts w:hint="eastAsia"/>
                <w:color w:val="auto"/>
                <w:sz w:val="24"/>
                <w:lang w:val="en-US" w:eastAsia="zh-CN"/>
              </w:rPr>
              <w:t>租赁新疆罗布投资发展有限公司生产厂房，不新增用地。</w:t>
            </w:r>
          </w:p>
          <w:p>
            <w:pPr>
              <w:numPr>
                <w:ilvl w:val="0"/>
                <w:numId w:val="4"/>
              </w:numPr>
              <w:adjustRightInd w:val="0"/>
              <w:ind w:left="480" w:leftChars="200"/>
              <w:rPr>
                <w:b/>
                <w:bCs/>
                <w:szCs w:val="21"/>
                <w:lang w:bidi="ar"/>
              </w:rPr>
            </w:pPr>
            <w:r>
              <w:rPr>
                <w:b/>
                <w:bCs/>
                <w:szCs w:val="21"/>
                <w:lang w:bidi="ar"/>
              </w:rPr>
              <w:t>项目选址</w:t>
            </w:r>
            <w:r>
              <w:rPr>
                <w:rFonts w:hint="eastAsia"/>
                <w:b/>
                <w:bCs/>
                <w:color w:val="auto"/>
                <w:sz w:val="24"/>
              </w:rPr>
              <w:t>及平面布置</w:t>
            </w:r>
            <w:r>
              <w:rPr>
                <w:b/>
                <w:bCs/>
                <w:color w:val="auto"/>
                <w:sz w:val="24"/>
              </w:rPr>
              <w:t>合理性</w:t>
            </w:r>
            <w:r>
              <w:rPr>
                <w:rFonts w:hint="eastAsia"/>
                <w:b/>
                <w:bCs/>
                <w:color w:val="auto"/>
                <w:sz w:val="24"/>
              </w:rPr>
              <w:t>分析</w:t>
            </w:r>
          </w:p>
          <w:p>
            <w:pPr>
              <w:adjustRightInd w:val="0"/>
              <w:ind w:firstLine="480" w:firstLineChars="200"/>
              <w:rPr>
                <w:rFonts w:hint="eastAsia"/>
                <w:color w:val="auto"/>
                <w:sz w:val="24"/>
              </w:rPr>
            </w:pPr>
            <w:r>
              <w:rPr>
                <w:szCs w:val="21"/>
                <w:lang w:bidi="ar"/>
              </w:rPr>
              <w:t>本项目位于新疆巴音郭楞蒙古自治州尉犁县工业园区装备制造区二期2号厂房，</w:t>
            </w:r>
            <w:r>
              <w:rPr>
                <w:rFonts w:hint="eastAsia"/>
                <w:szCs w:val="21"/>
                <w:lang w:val="en-US" w:eastAsia="zh-CN" w:bidi="ar"/>
              </w:rPr>
              <w:t>项目建设性质为新建，</w:t>
            </w:r>
            <w:r>
              <w:rPr>
                <w:color w:val="auto"/>
                <w:sz w:val="24"/>
              </w:rPr>
              <w:t>项目</w:t>
            </w:r>
            <w:r>
              <w:rPr>
                <w:rFonts w:hint="eastAsia"/>
                <w:color w:val="auto"/>
                <w:sz w:val="24"/>
                <w:lang w:val="en-US" w:eastAsia="zh-CN"/>
              </w:rPr>
              <w:t>租赁新疆罗布投资发展有限公司生产厂房，厂房</w:t>
            </w:r>
            <w:r>
              <w:rPr>
                <w:color w:val="000000" w:themeColor="text1"/>
                <w:sz w:val="24"/>
                <w14:textFill>
                  <w14:solidFill>
                    <w14:schemeClr w14:val="tx1"/>
                  </w14:solidFill>
                </w14:textFill>
              </w:rPr>
              <w:t>面积为</w:t>
            </w:r>
            <w:r>
              <w:rPr>
                <w:rFonts w:hint="eastAsia"/>
                <w:color w:val="000000" w:themeColor="text1"/>
                <w:sz w:val="24"/>
                <w:lang w:val="en-US" w:eastAsia="zh-CN"/>
                <w14:textFill>
                  <w14:solidFill>
                    <w14:schemeClr w14:val="tx1"/>
                  </w14:solidFill>
                </w14:textFill>
              </w:rPr>
              <w:t>5758.4</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，用地性质为工业用地，</w:t>
            </w:r>
            <w:r>
              <w:rPr>
                <w:rFonts w:hint="eastAsia"/>
                <w:bCs/>
                <w:color w:val="auto"/>
                <w:sz w:val="24"/>
              </w:rPr>
              <w:t>不占基本农田，</w:t>
            </w:r>
            <w:r>
              <w:rPr>
                <w:bCs/>
                <w:color w:val="auto"/>
                <w:sz w:val="24"/>
              </w:rPr>
              <w:t>项目选址交通便利</w:t>
            </w:r>
            <w:r>
              <w:rPr>
                <w:rFonts w:hint="eastAsia"/>
                <w:bCs/>
                <w:color w:val="auto"/>
                <w:sz w:val="24"/>
              </w:rPr>
              <w:t>，</w:t>
            </w:r>
            <w:r>
              <w:rPr>
                <w:rFonts w:hint="eastAsia"/>
                <w:color w:val="auto"/>
                <w:sz w:val="24"/>
              </w:rPr>
              <w:t>项目</w:t>
            </w:r>
            <w:r>
              <w:rPr>
                <w:rFonts w:hint="eastAsia"/>
                <w:color w:val="auto"/>
                <w:sz w:val="24"/>
                <w:lang w:val="en-US" w:eastAsia="zh-CN"/>
              </w:rPr>
              <w:t>东侧和西侧均为园区道路、北侧为新疆鲁胜新能源开发有限公司</w:t>
            </w:r>
            <w:r>
              <w:rPr>
                <w:rFonts w:hint="eastAsia"/>
                <w:color w:val="auto"/>
                <w:sz w:val="24"/>
              </w:rPr>
              <w:t>，南侧为</w:t>
            </w:r>
            <w:r>
              <w:rPr>
                <w:rFonts w:hint="eastAsia"/>
                <w:color w:val="auto"/>
                <w:sz w:val="24"/>
                <w:lang w:val="en-US" w:eastAsia="zh-CN"/>
              </w:rPr>
              <w:t>空置厂房。建设地块不涉及水源地</w:t>
            </w:r>
            <w:r>
              <w:rPr>
                <w:bCs/>
                <w:color w:val="auto"/>
                <w:sz w:val="24"/>
              </w:rPr>
              <w:t>、风景名胜区、自然保护区、国家重点保护文物区等环境敏感区及天然</w:t>
            </w:r>
            <w:bookmarkStart w:id="4" w:name="_Hlk106128375"/>
            <w:r>
              <w:rPr>
                <w:bCs/>
                <w:color w:val="auto"/>
                <w:sz w:val="24"/>
              </w:rPr>
              <w:t>湿地等生态敏感脆弱</w:t>
            </w:r>
            <w:r>
              <w:rPr>
                <w:color w:val="auto"/>
                <w:sz w:val="24"/>
              </w:rPr>
              <w:t>区。</w:t>
            </w:r>
            <w:r>
              <w:rPr>
                <w:rFonts w:hint="eastAsia"/>
                <w:color w:val="auto"/>
                <w:sz w:val="24"/>
              </w:rPr>
              <w:t>因此项目生产过程产生的废气、废水、噪声和固体废物经保护措施后对周边环境造成影响较小。从环保角度，项目选址合理。</w:t>
            </w:r>
          </w:p>
          <w:p>
            <w:pPr>
              <w:pStyle w:val="15"/>
              <w:keepNext w:val="0"/>
              <w:keepLines w:val="0"/>
              <w:pageBreakBefore w:val="0"/>
              <w:widowControl w:val="0"/>
              <w:kinsoku/>
              <w:wordWrap/>
              <w:overflowPunct/>
              <w:topLinePunct w:val="0"/>
              <w:bidi w:val="0"/>
              <w:spacing w:after="0" w:line="360" w:lineRule="auto"/>
              <w:ind w:left="0" w:leftChars="0" w:firstLine="480" w:firstLineChars="200"/>
              <w:textAlignment w:val="auto"/>
            </w:pPr>
            <w:r>
              <w:rPr>
                <w:color w:val="000000" w:themeColor="text1"/>
                <w:sz w:val="24"/>
                <w14:textFill>
                  <w14:solidFill>
                    <w14:schemeClr w14:val="tx1"/>
                  </w14:solidFill>
                </w14:textFill>
              </w:rPr>
              <w:t>项目区总体呈现为长方形，</w:t>
            </w:r>
            <w:r>
              <w:rPr>
                <w:rFonts w:hint="eastAsia"/>
                <w:color w:val="000000" w:themeColor="text1"/>
                <w:sz w:val="24"/>
                <w:lang w:val="en-US" w:eastAsia="zh-CN"/>
                <w14:textFill>
                  <w14:solidFill>
                    <w14:schemeClr w14:val="tx1"/>
                  </w14:solidFill>
                </w14:textFill>
              </w:rPr>
              <w:t>筒仓、锅炉房及产品堆场位于生产车间外，生产车间内布设原料堆存区、原料搅拌区及生产加工区，办公生活用房</w:t>
            </w:r>
            <w:r>
              <w:rPr>
                <w:rFonts w:hint="eastAsia"/>
                <w:color w:val="000000" w:themeColor="text1"/>
                <w:sz w:val="24"/>
                <w:shd w:val="clear" w:color="auto" w:fill="FFFFFF"/>
                <w:lang w:eastAsia="zh-CN"/>
                <w14:textFill>
                  <w14:solidFill>
                    <w14:schemeClr w14:val="tx1"/>
                  </w14:solidFill>
                </w14:textFill>
              </w:rPr>
              <w:t>，</w:t>
            </w:r>
            <w:r>
              <w:rPr>
                <w:rFonts w:hint="eastAsia"/>
                <w:color w:val="000000" w:themeColor="text1"/>
                <w:sz w:val="24"/>
                <w:shd w:val="clear" w:color="auto" w:fill="FFFFFF"/>
                <w:lang w:val="en-US" w:eastAsia="zh-CN"/>
                <w14:textFill>
                  <w14:solidFill>
                    <w14:schemeClr w14:val="tx1"/>
                  </w14:solidFill>
                </w14:textFill>
              </w:rPr>
              <w:t>项目设置一个出入口位于生产车间北侧，项目区</w:t>
            </w:r>
            <w:r>
              <w:rPr>
                <w:rFonts w:hint="eastAsia"/>
                <w:color w:val="000000" w:themeColor="text1"/>
                <w:sz w:val="24"/>
                <w:lang w:val="en-US" w:eastAsia="zh-CN"/>
                <w14:textFill>
                  <w14:solidFill>
                    <w14:schemeClr w14:val="tx1"/>
                  </w14:solidFill>
                </w14:textFill>
              </w:rPr>
              <w:t>生产区和仓储区功能分区明确，便于生产和运输</w:t>
            </w:r>
            <w:r>
              <w:rPr>
                <w:rFonts w:hint="eastAsia"/>
                <w:color w:val="000000" w:themeColor="text1"/>
                <w:sz w:val="24"/>
                <w:lang w:eastAsia="zh-CN"/>
                <w14:textFill>
                  <w14:solidFill>
                    <w14:schemeClr w14:val="tx1"/>
                  </w14:solidFill>
                </w14:textFill>
              </w:rPr>
              <w:t>，</w:t>
            </w:r>
            <w:r>
              <w:rPr>
                <w:rFonts w:hint="eastAsia"/>
                <w:bCs/>
                <w:color w:val="auto"/>
                <w:sz w:val="24"/>
              </w:rPr>
              <w:t>项目平面布局合理。</w:t>
            </w:r>
          </w:p>
          <w:bookmarkEnd w:id="4"/>
          <w:p>
            <w:pPr>
              <w:numPr>
                <w:ilvl w:val="0"/>
                <w:numId w:val="4"/>
              </w:numPr>
              <w:adjustRightInd w:val="0"/>
              <w:ind w:left="480" w:leftChars="200"/>
              <w:rPr>
                <w:b/>
                <w:bCs/>
                <w:szCs w:val="21"/>
                <w:lang w:bidi="ar"/>
              </w:rPr>
            </w:pPr>
            <w:r>
              <w:rPr>
                <w:b/>
                <w:bCs/>
                <w:szCs w:val="21"/>
                <w:lang w:bidi="ar"/>
              </w:rPr>
              <w:t>“三线一单”符合性分析</w:t>
            </w:r>
          </w:p>
          <w:p>
            <w:pPr>
              <w:pStyle w:val="19"/>
              <w:ind w:left="2" w:firstLine="458" w:firstLineChars="190"/>
              <w:jc w:val="left"/>
              <w:rPr>
                <w:b/>
              </w:rPr>
            </w:pPr>
            <w:r>
              <w:rPr>
                <w:b/>
              </w:rPr>
              <w:t>4.1</w:t>
            </w:r>
            <w:r>
              <w:rPr>
                <w:b/>
                <w:bCs/>
              </w:rPr>
              <w:t>与巴音郭楞蒙古自治州“三线一单”生态环境分区管控方案符合性分析</w:t>
            </w:r>
          </w:p>
          <w:p>
            <w:pPr>
              <w:adjustRightInd w:val="0"/>
              <w:ind w:firstLine="480" w:firstLineChars="200"/>
              <w:rPr>
                <w:b/>
                <w:bCs/>
                <w:szCs w:val="21"/>
                <w:lang w:bidi="ar"/>
              </w:rPr>
            </w:pPr>
            <w:r>
              <w:rPr>
                <w:szCs w:val="21"/>
                <w:lang w:bidi="ar"/>
              </w:rPr>
              <w:t>根据《关于以改善环境质量为核心加强环境影响评价管理的通知》（环环评</w:t>
            </w:r>
            <w:r>
              <w:rPr>
                <w:rFonts w:hint="eastAsia"/>
                <w:szCs w:val="21"/>
                <w:lang w:eastAsia="zh-CN" w:bidi="ar"/>
              </w:rPr>
              <w:t>〔</w:t>
            </w:r>
            <w:r>
              <w:rPr>
                <w:szCs w:val="21"/>
                <w:lang w:bidi="ar"/>
              </w:rPr>
              <w:t>2016</w:t>
            </w:r>
            <w:r>
              <w:rPr>
                <w:rFonts w:hint="eastAsia"/>
                <w:szCs w:val="21"/>
                <w:lang w:eastAsia="zh-CN" w:bidi="ar"/>
              </w:rPr>
              <w:t>〕</w:t>
            </w:r>
            <w:r>
              <w:rPr>
                <w:szCs w:val="21"/>
                <w:lang w:bidi="ar"/>
              </w:rPr>
              <w:t>150号）：“为适应以改善环境质量为核心的环境管理要求，切实加强适应以改善环境质量为核心的管理要求，切实加强环境影响评价管理，落实“生态保护红线、环境质量底线、资源利用上线和环境准入负面清单”约束。</w:t>
            </w:r>
          </w:p>
          <w:p>
            <w:pPr>
              <w:adjustRightInd w:val="0"/>
              <w:ind w:firstLine="480" w:firstLineChars="200"/>
              <w:rPr>
                <w:szCs w:val="21"/>
              </w:rPr>
            </w:pPr>
            <w:r>
              <w:rPr>
                <w:szCs w:val="21"/>
                <w:lang w:bidi="ar"/>
              </w:rPr>
              <w:t>根据巴音郭楞蒙古自治州人民政府办公室巴政办发</w:t>
            </w:r>
            <w:r>
              <w:rPr>
                <w:rFonts w:hint="eastAsia"/>
                <w:szCs w:val="21"/>
                <w:lang w:eastAsia="zh-CN" w:bidi="ar"/>
              </w:rPr>
              <w:t>〔</w:t>
            </w:r>
            <w:r>
              <w:rPr>
                <w:szCs w:val="21"/>
                <w:lang w:bidi="ar"/>
              </w:rPr>
              <w:t>2021</w:t>
            </w:r>
            <w:r>
              <w:rPr>
                <w:rFonts w:hint="eastAsia"/>
                <w:szCs w:val="21"/>
                <w:lang w:eastAsia="zh-CN" w:bidi="ar"/>
              </w:rPr>
              <w:t>〕</w:t>
            </w:r>
            <w:r>
              <w:rPr>
                <w:szCs w:val="21"/>
                <w:lang w:bidi="ar"/>
              </w:rPr>
              <w:t>32号关于印发《巴音郭楞蒙古自治州“三线一单”生态环境分区管控方案》的通知，要求，具体如下：</w:t>
            </w:r>
          </w:p>
          <w:p>
            <w:pPr>
              <w:adjustRightInd w:val="0"/>
              <w:ind w:firstLine="480" w:firstLineChars="200"/>
              <w:rPr>
                <w:szCs w:val="21"/>
                <w:lang w:bidi="ar"/>
              </w:rPr>
            </w:pPr>
            <w:r>
              <w:rPr>
                <w:szCs w:val="21"/>
                <w:lang w:bidi="ar"/>
              </w:rPr>
              <w:t>为贯彻落实《中共中央国务院关于全面加强生态环境保护坚决打好污染防治攻坚战的意见》和《自治区党委自治区人民政府关于全面加强生态环境保护坚决打好污染防治攻坚战实施方案》，按照生态环境部统一部署，自治州组织编制了“生态保护红线、环境质量底线、资源利用上线和生态环境准入清单”</w:t>
            </w:r>
            <w:r>
              <w:rPr>
                <w:rFonts w:hint="eastAsia"/>
                <w:szCs w:val="21"/>
                <w:lang w:eastAsia="zh-CN" w:bidi="ar"/>
              </w:rPr>
              <w:t>（</w:t>
            </w:r>
            <w:r>
              <w:rPr>
                <w:szCs w:val="21"/>
                <w:lang w:bidi="ar"/>
              </w:rPr>
              <w:t>以下简称“三线一单”</w:t>
            </w:r>
            <w:r>
              <w:rPr>
                <w:rFonts w:hint="eastAsia"/>
                <w:szCs w:val="21"/>
                <w:lang w:eastAsia="zh-CN" w:bidi="ar"/>
              </w:rPr>
              <w:t>）</w:t>
            </w:r>
            <w:r>
              <w:rPr>
                <w:szCs w:val="21"/>
                <w:lang w:bidi="ar"/>
              </w:rPr>
              <w:t>，明确生态环境保护、污染物控制、环境风险防控、资源开发利用等管控要求，为推动高质量发展提供空间管控依据。现就实施“三线一单”生态环境分区管控，管控单元分布图见附图2，地理位置图见附图1，项目与巴政办发〔2021〕2号文符合性分析见表1-1。</w:t>
            </w:r>
          </w:p>
          <w:p>
            <w:pPr>
              <w:pStyle w:val="38"/>
              <w:bidi w:val="0"/>
            </w:pPr>
            <w:r>
              <w:t>表1-1项目与“三线一单”符合性分析一览表</w:t>
            </w:r>
          </w:p>
          <w:tbl>
            <w:tblPr>
              <w:tblStyle w:val="26"/>
              <w:tblW w:w="66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6"/>
              <w:gridCol w:w="4846"/>
              <w:gridCol w:w="8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6" w:type="dxa"/>
                  <w:shd w:val="clear" w:color="auto" w:fill="auto"/>
                  <w:vAlign w:val="center"/>
                </w:tcPr>
                <w:p>
                  <w:pPr>
                    <w:pStyle w:val="87"/>
                    <w:rPr>
                      <w:rFonts w:ascii="Times New Roman" w:hAnsi="Times New Roman" w:cs="Times New Roman"/>
                    </w:rPr>
                  </w:pPr>
                  <w:r>
                    <w:rPr>
                      <w:rFonts w:ascii="Times New Roman" w:hAnsi="Times New Roman" w:cs="Times New Roman"/>
                    </w:rPr>
                    <w:t>名称</w:t>
                  </w:r>
                </w:p>
              </w:tc>
              <w:tc>
                <w:tcPr>
                  <w:tcW w:w="4846" w:type="dxa"/>
                  <w:shd w:val="clear" w:color="auto" w:fill="auto"/>
                  <w:vAlign w:val="center"/>
                </w:tcPr>
                <w:p>
                  <w:pPr>
                    <w:pStyle w:val="87"/>
                    <w:rPr>
                      <w:rFonts w:ascii="Times New Roman" w:hAnsi="Times New Roman" w:cs="Times New Roman"/>
                    </w:rPr>
                  </w:pPr>
                  <w:r>
                    <w:rPr>
                      <w:rFonts w:ascii="Times New Roman" w:hAnsi="Times New Roman" w:cs="Times New Roman"/>
                    </w:rPr>
                    <w:t>符合性分析</w:t>
                  </w:r>
                </w:p>
              </w:tc>
              <w:tc>
                <w:tcPr>
                  <w:tcW w:w="829" w:type="dxa"/>
                  <w:vAlign w:val="center"/>
                </w:tcPr>
                <w:p>
                  <w:pPr>
                    <w:pStyle w:val="87"/>
                    <w:rPr>
                      <w:rFonts w:ascii="Times New Roman" w:hAnsi="Times New Roman" w:cs="Times New Roman"/>
                    </w:rPr>
                  </w:pPr>
                  <w:r>
                    <w:rPr>
                      <w:rFonts w:ascii="Times New Roman" w:hAnsi="Times New Roman" w:cs="Times New Roman"/>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shd w:val="clear" w:color="auto" w:fill="auto"/>
                  <w:vAlign w:val="center"/>
                </w:tcPr>
                <w:p>
                  <w:pPr>
                    <w:pStyle w:val="87"/>
                    <w:rPr>
                      <w:rFonts w:ascii="Times New Roman" w:hAnsi="Times New Roman" w:cs="Times New Roman"/>
                    </w:rPr>
                  </w:pPr>
                  <w:r>
                    <w:rPr>
                      <w:rFonts w:ascii="Times New Roman" w:hAnsi="Times New Roman" w:cs="Times New Roman"/>
                    </w:rPr>
                    <w:t>生态保护红线</w:t>
                  </w:r>
                </w:p>
              </w:tc>
              <w:tc>
                <w:tcPr>
                  <w:tcW w:w="4846" w:type="dxa"/>
                  <w:shd w:val="clear" w:color="auto" w:fill="auto"/>
                  <w:vAlign w:val="center"/>
                </w:tcPr>
                <w:p>
                  <w:pPr>
                    <w:pStyle w:val="87"/>
                    <w:rPr>
                      <w:rFonts w:ascii="Times New Roman" w:hAnsi="Times New Roman" w:cs="Times New Roman"/>
                    </w:rPr>
                  </w:pPr>
                  <w:r>
                    <w:rPr>
                      <w:rFonts w:ascii="Times New Roman" w:hAnsi="Times New Roman" w:cs="Times New Roman"/>
                    </w:rPr>
                    <w:t>本项目选址位于尉犁县工业园区装备制造区二期2号厂房，根据《关于印发巴音郭楞蒙古自治州“三线一单”生态环境分区管控方案的通知》（巴政办发</w:t>
                  </w:r>
                  <w:r>
                    <w:rPr>
                      <w:rFonts w:hint="eastAsia" w:ascii="Times New Roman" w:hAnsi="Times New Roman" w:cs="Times New Roman"/>
                      <w:lang w:eastAsia="zh-CN"/>
                    </w:rPr>
                    <w:t>〔</w:t>
                  </w:r>
                  <w:r>
                    <w:rPr>
                      <w:rFonts w:ascii="Times New Roman" w:hAnsi="Times New Roman" w:cs="Times New Roman"/>
                    </w:rPr>
                    <w:t>2021</w:t>
                  </w:r>
                  <w:r>
                    <w:rPr>
                      <w:rFonts w:hint="eastAsia" w:ascii="Times New Roman" w:hAnsi="Times New Roman" w:cs="Times New Roman"/>
                      <w:lang w:eastAsia="zh-CN"/>
                    </w:rPr>
                    <w:t>〕</w:t>
                  </w:r>
                  <w:r>
                    <w:rPr>
                      <w:rFonts w:ascii="Times New Roman" w:hAnsi="Times New Roman" w:cs="Times New Roman"/>
                    </w:rPr>
                    <w:t>32号），项目不涉及生态红线保护区域，不会影响所在区域内生态服务功能。</w:t>
                  </w:r>
                </w:p>
              </w:tc>
              <w:tc>
                <w:tcPr>
                  <w:tcW w:w="829" w:type="dxa"/>
                  <w:vAlign w:val="center"/>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shd w:val="clear" w:color="auto" w:fill="auto"/>
                  <w:vAlign w:val="center"/>
                </w:tcPr>
                <w:p>
                  <w:pPr>
                    <w:pStyle w:val="87"/>
                    <w:rPr>
                      <w:rFonts w:ascii="Times New Roman" w:hAnsi="Times New Roman" w:cs="Times New Roman"/>
                    </w:rPr>
                  </w:pPr>
                  <w:r>
                    <w:rPr>
                      <w:rFonts w:ascii="Times New Roman" w:hAnsi="Times New Roman" w:cs="Times New Roman"/>
                    </w:rPr>
                    <w:t>环境质量底线</w:t>
                  </w:r>
                </w:p>
              </w:tc>
              <w:tc>
                <w:tcPr>
                  <w:tcW w:w="4846" w:type="dxa"/>
                  <w:shd w:val="clear" w:color="auto" w:fill="auto"/>
                  <w:vAlign w:val="center"/>
                </w:tcPr>
                <w:p>
                  <w:pPr>
                    <w:pStyle w:val="87"/>
                    <w:rPr>
                      <w:rFonts w:ascii="Times New Roman" w:hAnsi="Times New Roman" w:cs="Times New Roman"/>
                    </w:rPr>
                  </w:pPr>
                  <w:r>
                    <w:rPr>
                      <w:rFonts w:ascii="Times New Roman" w:hAnsi="Times New Roman" w:cs="Times New Roman"/>
                    </w:rPr>
                    <w:t>项目区属于环境空气质量不达标区，地表水、声环境质量良好；对于环境空气质量不达标区域需提交《大气环境不达标区域削减方案》，根据《关于将巴音郭楞蒙古自治州吐鲁番市哈密市纳入执行《环境影响评价技术导则大气环境（HJ2.2-2018）》差别化政策范围的复函》（环办环评函</w:t>
                  </w:r>
                  <w:r>
                    <w:rPr>
                      <w:rFonts w:hint="eastAsia" w:ascii="Times New Roman" w:hAnsi="Times New Roman" w:cs="Times New Roman"/>
                      <w:lang w:eastAsia="zh-CN"/>
                    </w:rPr>
                    <w:t>〔</w:t>
                  </w:r>
                  <w:r>
                    <w:rPr>
                      <w:rFonts w:ascii="Times New Roman" w:hAnsi="Times New Roman" w:cs="Times New Roman"/>
                    </w:rPr>
                    <w:t>2020</w:t>
                  </w:r>
                  <w:r>
                    <w:rPr>
                      <w:rFonts w:hint="eastAsia" w:ascii="Times New Roman" w:hAnsi="Times New Roman" w:cs="Times New Roman"/>
                      <w:lang w:eastAsia="zh-CN"/>
                    </w:rPr>
                    <w:t>〕</w:t>
                  </w:r>
                  <w:r>
                    <w:rPr>
                      <w:rFonts w:ascii="Times New Roman" w:hAnsi="Times New Roman" w:cs="Times New Roman"/>
                    </w:rPr>
                    <w:t>341号），新建项目可不提供颗粒物区域削减方案。</w:t>
                  </w:r>
                </w:p>
              </w:tc>
              <w:tc>
                <w:tcPr>
                  <w:tcW w:w="829" w:type="dxa"/>
                  <w:vAlign w:val="center"/>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shd w:val="clear" w:color="auto" w:fill="auto"/>
                  <w:vAlign w:val="center"/>
                </w:tcPr>
                <w:p>
                  <w:pPr>
                    <w:pStyle w:val="87"/>
                    <w:rPr>
                      <w:rFonts w:ascii="Times New Roman" w:hAnsi="Times New Roman" w:cs="Times New Roman"/>
                    </w:rPr>
                  </w:pPr>
                  <w:r>
                    <w:rPr>
                      <w:rFonts w:ascii="Times New Roman" w:hAnsi="Times New Roman" w:cs="Times New Roman"/>
                    </w:rPr>
                    <w:t>资源利用上线</w:t>
                  </w:r>
                </w:p>
              </w:tc>
              <w:tc>
                <w:tcPr>
                  <w:tcW w:w="4846" w:type="dxa"/>
                  <w:shd w:val="clear" w:color="auto" w:fill="auto"/>
                  <w:vAlign w:val="center"/>
                </w:tcPr>
                <w:p>
                  <w:pPr>
                    <w:pStyle w:val="87"/>
                    <w:rPr>
                      <w:rFonts w:ascii="Times New Roman" w:hAnsi="Times New Roman" w:cs="Times New Roman"/>
                    </w:rPr>
                  </w:pPr>
                  <w:r>
                    <w:rPr>
                      <w:rFonts w:ascii="Times New Roman" w:hAnsi="Times New Roman" w:cs="Times New Roman"/>
                    </w:rPr>
                    <w:t>资源是环境的载体，资源利用上线是各地区能源、水、土壤等资源消耗不得突破的“天花板”。项目不属于“三高”项目，不触及资源利用上线。</w:t>
                  </w:r>
                </w:p>
              </w:tc>
              <w:tc>
                <w:tcPr>
                  <w:tcW w:w="829" w:type="dxa"/>
                  <w:vAlign w:val="center"/>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986" w:type="dxa"/>
                  <w:shd w:val="clear" w:color="auto" w:fill="auto"/>
                  <w:vAlign w:val="center"/>
                </w:tcPr>
                <w:p>
                  <w:pPr>
                    <w:pStyle w:val="87"/>
                    <w:rPr>
                      <w:rFonts w:ascii="Times New Roman" w:hAnsi="Times New Roman" w:cs="Times New Roman"/>
                    </w:rPr>
                  </w:pPr>
                  <w:r>
                    <w:rPr>
                      <w:rFonts w:ascii="Times New Roman" w:hAnsi="Times New Roman" w:cs="Times New Roman"/>
                    </w:rPr>
                    <w:t>环境准入负面清单</w:t>
                  </w:r>
                </w:p>
              </w:tc>
              <w:tc>
                <w:tcPr>
                  <w:tcW w:w="4846" w:type="dxa"/>
                  <w:shd w:val="clear" w:color="auto" w:fill="auto"/>
                  <w:vAlign w:val="center"/>
                </w:tcPr>
                <w:p>
                  <w:pPr>
                    <w:pStyle w:val="87"/>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项目在落实生态环境保护要求，加</w:t>
                  </w:r>
                  <w:r>
                    <w:rPr>
                      <w:rFonts w:ascii="Times New Roman" w:hAnsi="Times New Roman" w:cs="Times New Roman"/>
                    </w:rPr>
                    <w:t>强污染物排放管控的基础上，总体符合分区管控的要求；且不属于《新疆维吾尔自治区28个国家重点生态功能区县（市）和新疆维吾尔自治区17个新增纳入国家重点生态功能区县（市）产业准入负面清单（试行）》中所列行业，属于环境准入类。</w:t>
                  </w:r>
                </w:p>
              </w:tc>
              <w:tc>
                <w:tcPr>
                  <w:tcW w:w="829" w:type="dxa"/>
                  <w:vAlign w:val="center"/>
                </w:tcPr>
                <w:p>
                  <w:pPr>
                    <w:pStyle w:val="87"/>
                    <w:rPr>
                      <w:rFonts w:ascii="Times New Roman" w:hAnsi="Times New Roman" w:cs="Times New Roman"/>
                    </w:rPr>
                  </w:pPr>
                  <w:r>
                    <w:rPr>
                      <w:rFonts w:ascii="Times New Roman" w:hAnsi="Times New Roman" w:cs="Times New Roman"/>
                    </w:rPr>
                    <w:t>符合</w:t>
                  </w:r>
                </w:p>
              </w:tc>
            </w:tr>
          </w:tbl>
          <w:p>
            <w:pPr>
              <w:adjustRightInd w:val="0"/>
              <w:spacing w:line="360" w:lineRule="auto"/>
              <w:ind w:firstLine="480" w:firstLineChars="200"/>
              <w:rPr>
                <w:bCs/>
                <w:kern w:val="0"/>
                <w:sz w:val="24"/>
              </w:rPr>
            </w:pPr>
            <w:r>
              <w:rPr>
                <w:rFonts w:ascii="Times New Roman" w:hAnsi="Times New Roman" w:cs="Times New Roman"/>
              </w:rPr>
              <w:t>根据巴音郭楞蒙古自治州生态环境准入清单，本项目选</w:t>
            </w:r>
            <w:r>
              <w:rPr>
                <w:rFonts w:ascii="Times New Roman" w:hAnsi="Times New Roman" w:cs="Times New Roman"/>
                <w:color w:val="000000" w:themeColor="text1"/>
                <w14:textFill>
                  <w14:solidFill>
                    <w14:schemeClr w14:val="tx1"/>
                  </w14:solidFill>
                </w14:textFill>
              </w:rPr>
              <w:t>址属于</w:t>
            </w:r>
            <w:r>
              <w:rPr>
                <w:rFonts w:hint="eastAsia" w:cs="Times New Roman"/>
                <w:color w:val="000000" w:themeColor="text1"/>
                <w:lang w:eastAsia="zh-CN"/>
                <w14:textFill>
                  <w14:solidFill>
                    <w14:schemeClr w14:val="tx1"/>
                  </w14:solidFill>
                </w14:textFill>
              </w:rPr>
              <w:t>巴音郭楞蒙古自治州</w:t>
            </w:r>
            <w:r>
              <w:rPr>
                <w:rFonts w:ascii="Times New Roman" w:hAnsi="Times New Roman" w:cs="Times New Roman"/>
                <w:color w:val="000000" w:themeColor="text1"/>
                <w14:textFill>
                  <w14:solidFill>
                    <w14:schemeClr w14:val="tx1"/>
                  </w14:solidFill>
                </w14:textFill>
              </w:rPr>
              <w:t>生态环境准入清单中的尉犁县</w:t>
            </w:r>
            <w:r>
              <w:rPr>
                <w:rFonts w:hint="eastAsia" w:ascii="Times New Roman" w:hAnsi="Times New Roman" w:cs="Times New Roman"/>
                <w:color w:val="000000" w:themeColor="text1"/>
                <w:lang w:val="en-US" w:eastAsia="zh-CN"/>
                <w14:textFill>
                  <w14:solidFill>
                    <w14:schemeClr w14:val="tx1"/>
                  </w14:solidFill>
                </w14:textFill>
              </w:rPr>
              <w:t>兴平镇工业水污染重点管控区</w:t>
            </w:r>
            <w:r>
              <w:rPr>
                <w:rFonts w:ascii="Times New Roman" w:hAnsi="Times New Roman" w:cs="Times New Roman"/>
                <w:color w:val="000000" w:themeColor="text1"/>
                <w14:textFill>
                  <w14:solidFill>
                    <w14:schemeClr w14:val="tx1"/>
                  </w14:solidFill>
                </w14:textFill>
              </w:rPr>
              <w:t>，管控单元编码为：ZH6528232000</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，属于</w:t>
            </w:r>
            <w:r>
              <w:rPr>
                <w:rFonts w:hint="eastAsia" w:ascii="Times New Roman" w:hAnsi="Times New Roman" w:cs="Times New Roman"/>
                <w:color w:val="000000" w:themeColor="text1"/>
                <w:lang w:val="en-US" w:eastAsia="zh-CN"/>
                <w14:textFill>
                  <w14:solidFill>
                    <w14:schemeClr w14:val="tx1"/>
                  </w14:solidFill>
                </w14:textFill>
              </w:rPr>
              <w:t>重点</w:t>
            </w:r>
            <w:r>
              <w:rPr>
                <w:rFonts w:ascii="Times New Roman" w:hAnsi="Times New Roman" w:cs="Times New Roman"/>
                <w:color w:val="000000" w:themeColor="text1"/>
                <w14:textFill>
                  <w14:solidFill>
                    <w14:schemeClr w14:val="tx1"/>
                  </w14:solidFill>
                </w14:textFill>
              </w:rPr>
              <w:t>管控单元，</w:t>
            </w:r>
            <w:r>
              <w:rPr>
                <w:bCs/>
                <w:kern w:val="0"/>
                <w:sz w:val="24"/>
              </w:rPr>
              <w:t>本项目与其符合情况见下表1-2。</w:t>
            </w:r>
          </w:p>
          <w:p>
            <w:pPr>
              <w:pStyle w:val="38"/>
              <w:bidi w:val="0"/>
            </w:pPr>
            <w:r>
              <w:t>表1-2项目与“尉犁县</w:t>
            </w:r>
            <w:r>
              <w:rPr>
                <w:rFonts w:hint="eastAsia"/>
                <w:lang w:val="en-US" w:eastAsia="zh-CN"/>
              </w:rPr>
              <w:t>兴平镇工业水污染重点管控区</w:t>
            </w:r>
            <w:r>
              <w:t>环境管控单元准入清单”符合性分析一览表</w:t>
            </w:r>
          </w:p>
          <w:tbl>
            <w:tblPr>
              <w:tblStyle w:val="26"/>
              <w:tblW w:w="66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05"/>
              <w:gridCol w:w="450"/>
              <w:gridCol w:w="2737"/>
              <w:gridCol w:w="1818"/>
              <w:gridCol w:w="8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 w:hRule="atLeast"/>
                <w:jc w:val="center"/>
              </w:trPr>
              <w:tc>
                <w:tcPr>
                  <w:tcW w:w="805" w:type="dxa"/>
                  <w:tcBorders>
                    <w:tl2br w:val="nil"/>
                    <w:tr2bl w:val="nil"/>
                  </w:tcBorders>
                  <w:vAlign w:val="center"/>
                </w:tcPr>
                <w:p>
                  <w:pPr>
                    <w:pStyle w:val="39"/>
                    <w:bidi w:val="0"/>
                    <w:spacing w:line="240" w:lineRule="auto"/>
                    <w:rPr>
                      <w:sz w:val="21"/>
                      <w:szCs w:val="21"/>
                    </w:rPr>
                  </w:pPr>
                  <w:r>
                    <w:rPr>
                      <w:sz w:val="21"/>
                      <w:szCs w:val="21"/>
                    </w:rPr>
                    <w:t>管控单元名称</w:t>
                  </w:r>
                </w:p>
              </w:tc>
              <w:tc>
                <w:tcPr>
                  <w:tcW w:w="3187" w:type="dxa"/>
                  <w:gridSpan w:val="2"/>
                  <w:tcBorders>
                    <w:tl2br w:val="nil"/>
                    <w:tr2bl w:val="nil"/>
                  </w:tcBorders>
                  <w:vAlign w:val="center"/>
                </w:tcPr>
                <w:p>
                  <w:pPr>
                    <w:pStyle w:val="39"/>
                    <w:bidi w:val="0"/>
                    <w:spacing w:line="240" w:lineRule="auto"/>
                    <w:rPr>
                      <w:sz w:val="21"/>
                      <w:szCs w:val="21"/>
                    </w:rPr>
                  </w:pPr>
                  <w:r>
                    <w:rPr>
                      <w:sz w:val="21"/>
                      <w:szCs w:val="21"/>
                    </w:rPr>
                    <w:t>管控要求</w:t>
                  </w:r>
                </w:p>
              </w:tc>
              <w:tc>
                <w:tcPr>
                  <w:tcW w:w="1818" w:type="dxa"/>
                  <w:tcBorders>
                    <w:tl2br w:val="nil"/>
                    <w:tr2bl w:val="nil"/>
                  </w:tcBorders>
                  <w:vAlign w:val="center"/>
                </w:tcPr>
                <w:p>
                  <w:pPr>
                    <w:pStyle w:val="39"/>
                    <w:bidi w:val="0"/>
                    <w:spacing w:line="240" w:lineRule="auto"/>
                    <w:rPr>
                      <w:sz w:val="21"/>
                      <w:szCs w:val="21"/>
                    </w:rPr>
                  </w:pPr>
                  <w:r>
                    <w:rPr>
                      <w:sz w:val="21"/>
                      <w:szCs w:val="21"/>
                    </w:rPr>
                    <w:t>项目情况</w:t>
                  </w:r>
                </w:p>
              </w:tc>
              <w:tc>
                <w:tcPr>
                  <w:tcW w:w="807" w:type="dxa"/>
                  <w:tcBorders>
                    <w:tl2br w:val="nil"/>
                    <w:tr2bl w:val="nil"/>
                  </w:tcBorders>
                  <w:vAlign w:val="center"/>
                </w:tcPr>
                <w:p>
                  <w:pPr>
                    <w:pStyle w:val="39"/>
                    <w:bidi w:val="0"/>
                    <w:spacing w:line="240" w:lineRule="auto"/>
                    <w:rPr>
                      <w:sz w:val="21"/>
                      <w:szCs w:val="21"/>
                    </w:rPr>
                  </w:pPr>
                  <w:r>
                    <w:rPr>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69" w:hRule="atLeast"/>
                <w:jc w:val="center"/>
              </w:trPr>
              <w:tc>
                <w:tcPr>
                  <w:tcW w:w="805" w:type="dxa"/>
                  <w:vMerge w:val="restart"/>
                  <w:tcBorders>
                    <w:tl2br w:val="nil"/>
                    <w:tr2bl w:val="nil"/>
                  </w:tcBorders>
                  <w:vAlign w:val="center"/>
                </w:tcPr>
                <w:p>
                  <w:pPr>
                    <w:pStyle w:val="39"/>
                    <w:bidi w:val="0"/>
                    <w:spacing w:line="240" w:lineRule="auto"/>
                    <w:rPr>
                      <w:sz w:val="21"/>
                      <w:szCs w:val="21"/>
                    </w:rPr>
                  </w:pPr>
                  <w:r>
                    <w:rPr>
                      <w:rFonts w:ascii="Times New Roman" w:hAnsi="Times New Roman" w:cs="Times New Roman"/>
                      <w:color w:val="000000" w:themeColor="text1"/>
                      <w:sz w:val="21"/>
                      <w:szCs w:val="21"/>
                      <w14:textFill>
                        <w14:solidFill>
                          <w14:schemeClr w14:val="tx1"/>
                        </w14:solidFill>
                      </w14:textFill>
                    </w:rPr>
                    <w:t>ZH6528232000</w:t>
                  </w:r>
                  <w:r>
                    <w:rPr>
                      <w:rFonts w:hint="eastAsia" w:ascii="Times New Roman" w:hAnsi="Times New Roman" w:cs="Times New Roman"/>
                      <w:color w:val="000000" w:themeColor="text1"/>
                      <w:sz w:val="21"/>
                      <w:szCs w:val="21"/>
                      <w:lang w:val="en-US" w:eastAsia="zh-CN"/>
                      <w14:textFill>
                        <w14:solidFill>
                          <w14:schemeClr w14:val="tx1"/>
                        </w14:solidFill>
                      </w14:textFill>
                    </w:rPr>
                    <w:t>4</w:t>
                  </w:r>
                  <w:r>
                    <w:rPr>
                      <w:rFonts w:ascii="Times New Roman" w:hAnsi="Times New Roman" w:cs="Times New Roman"/>
                      <w:color w:val="000000" w:themeColor="text1"/>
                      <w:sz w:val="21"/>
                      <w:szCs w:val="21"/>
                      <w14:textFill>
                        <w14:solidFill>
                          <w14:schemeClr w14:val="tx1"/>
                        </w14:solidFill>
                      </w14:textFill>
                    </w:rPr>
                    <w:t>尉犁县</w:t>
                  </w:r>
                  <w:r>
                    <w:rPr>
                      <w:rFonts w:hint="eastAsia" w:ascii="Times New Roman" w:hAnsi="Times New Roman" w:cs="Times New Roman"/>
                      <w:color w:val="000000" w:themeColor="text1"/>
                      <w:sz w:val="21"/>
                      <w:szCs w:val="21"/>
                      <w:lang w:val="en-US" w:eastAsia="zh-CN"/>
                      <w14:textFill>
                        <w14:solidFill>
                          <w14:schemeClr w14:val="tx1"/>
                        </w14:solidFill>
                      </w14:textFill>
                    </w:rPr>
                    <w:t>兴平镇工业水污染重点管控区</w:t>
                  </w:r>
                </w:p>
              </w:tc>
              <w:tc>
                <w:tcPr>
                  <w:tcW w:w="450" w:type="dxa"/>
                  <w:tcBorders>
                    <w:tl2br w:val="nil"/>
                    <w:tr2bl w:val="nil"/>
                  </w:tcBorders>
                  <w:vAlign w:val="center"/>
                </w:tcPr>
                <w:p>
                  <w:pPr>
                    <w:pStyle w:val="39"/>
                    <w:bidi w:val="0"/>
                    <w:spacing w:line="240" w:lineRule="auto"/>
                    <w:rPr>
                      <w:sz w:val="21"/>
                      <w:szCs w:val="21"/>
                    </w:rPr>
                  </w:pPr>
                  <w:r>
                    <w:rPr>
                      <w:sz w:val="21"/>
                      <w:szCs w:val="21"/>
                    </w:rPr>
                    <w:t>空间布局约束</w:t>
                  </w:r>
                </w:p>
              </w:tc>
              <w:tc>
                <w:tcPr>
                  <w:tcW w:w="2737" w:type="dxa"/>
                  <w:tcBorders>
                    <w:tl2br w:val="nil"/>
                    <w:tr2bl w:val="nil"/>
                  </w:tcBorders>
                  <w:vAlign w:val="center"/>
                </w:tcPr>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执行自治区七大片区天山南坡管控要求和巴州总体管控要求中关于水环境重点管控区的空间布局约束准入要求。</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严格环境准入制度，</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三高</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项目坚决禁止引进、立项。</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加强建设期环境监察工作，确保环境环保设施同步建设</w:t>
                  </w:r>
                  <w:r>
                    <w:rPr>
                      <w:rFonts w:hint="eastAsia" w:ascii="宋体" w:hAnsi="宋体" w:cs="宋体"/>
                      <w:color w:val="000000"/>
                      <w:kern w:val="0"/>
                      <w:sz w:val="21"/>
                      <w:szCs w:val="21"/>
                      <w:lang w:val="en-US" w:eastAsia="zh-CN" w:bidi="ar"/>
                    </w:rPr>
                    <w:t>。</w:t>
                  </w:r>
                </w:p>
              </w:tc>
              <w:tc>
                <w:tcPr>
                  <w:tcW w:w="1818" w:type="dxa"/>
                  <w:tcBorders>
                    <w:tl2br w:val="nil"/>
                    <w:tr2bl w:val="nil"/>
                  </w:tcBorders>
                  <w:vAlign w:val="center"/>
                </w:tcPr>
                <w:p>
                  <w:pPr>
                    <w:pStyle w:val="39"/>
                    <w:bidi w:val="0"/>
                    <w:spacing w:line="240" w:lineRule="auto"/>
                    <w:rPr>
                      <w:rFonts w:hint="default" w:eastAsia="宋体"/>
                      <w:sz w:val="21"/>
                      <w:szCs w:val="21"/>
                      <w:lang w:val="en-US" w:eastAsia="zh-CN"/>
                    </w:rPr>
                  </w:pPr>
                  <w:r>
                    <w:rPr>
                      <w:sz w:val="21"/>
                      <w:szCs w:val="21"/>
                    </w:rPr>
                    <w:t>本项目对照《产业结构调整指导目录</w:t>
                  </w:r>
                  <w:r>
                    <w:rPr>
                      <w:rFonts w:hint="eastAsia"/>
                      <w:sz w:val="21"/>
                      <w:szCs w:val="21"/>
                      <w:lang w:eastAsia="zh-CN"/>
                    </w:rPr>
                    <w:t>（</w:t>
                  </w:r>
                  <w:r>
                    <w:rPr>
                      <w:sz w:val="21"/>
                      <w:szCs w:val="21"/>
                    </w:rPr>
                    <w:t>2019年本</w:t>
                  </w:r>
                  <w:r>
                    <w:rPr>
                      <w:rFonts w:hint="eastAsia"/>
                      <w:sz w:val="21"/>
                      <w:szCs w:val="21"/>
                      <w:lang w:eastAsia="zh-CN"/>
                    </w:rPr>
                    <w:t>）</w:t>
                  </w:r>
                  <w:r>
                    <w:rPr>
                      <w:sz w:val="21"/>
                      <w:szCs w:val="21"/>
                    </w:rPr>
                    <w:t>》（2021年修改），本项目属于鼓励类项目，符合国家的产业政策。对照国家发展改革委和商务部发布的《市场准入负面清单（2020年版）》，属于许可准入类。</w:t>
                  </w:r>
                  <w:r>
                    <w:rPr>
                      <w:rFonts w:hint="eastAsia"/>
                      <w:sz w:val="21"/>
                      <w:szCs w:val="21"/>
                      <w:lang w:val="en-US" w:eastAsia="zh-CN"/>
                    </w:rPr>
                    <w:t>本项目不属于“三高”项目。</w:t>
                  </w:r>
                </w:p>
              </w:tc>
              <w:tc>
                <w:tcPr>
                  <w:tcW w:w="807" w:type="dxa"/>
                  <w:tcBorders>
                    <w:tl2br w:val="nil"/>
                    <w:tr2bl w:val="nil"/>
                  </w:tcBorders>
                  <w:vAlign w:val="center"/>
                </w:tcPr>
                <w:p>
                  <w:pPr>
                    <w:pStyle w:val="39"/>
                    <w:bidi w:val="0"/>
                    <w:spacing w:line="240" w:lineRule="auto"/>
                    <w:rPr>
                      <w:sz w:val="21"/>
                      <w:szCs w:val="21"/>
                    </w:rPr>
                  </w:pPr>
                  <w:r>
                    <w:rPr>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805" w:type="dxa"/>
                  <w:vMerge w:val="continue"/>
                  <w:tcBorders>
                    <w:tl2br w:val="nil"/>
                    <w:tr2bl w:val="nil"/>
                  </w:tcBorders>
                  <w:vAlign w:val="center"/>
                </w:tcPr>
                <w:p>
                  <w:pPr>
                    <w:pStyle w:val="39"/>
                    <w:bidi w:val="0"/>
                    <w:spacing w:line="240" w:lineRule="auto"/>
                    <w:rPr>
                      <w:sz w:val="21"/>
                      <w:szCs w:val="21"/>
                    </w:rPr>
                  </w:pPr>
                </w:p>
              </w:tc>
              <w:tc>
                <w:tcPr>
                  <w:tcW w:w="450" w:type="dxa"/>
                  <w:tcBorders>
                    <w:tl2br w:val="nil"/>
                    <w:tr2bl w:val="nil"/>
                  </w:tcBorders>
                  <w:vAlign w:val="center"/>
                </w:tcPr>
                <w:p>
                  <w:pPr>
                    <w:pStyle w:val="39"/>
                    <w:bidi w:val="0"/>
                    <w:spacing w:line="240" w:lineRule="auto"/>
                    <w:rPr>
                      <w:sz w:val="21"/>
                      <w:szCs w:val="21"/>
                    </w:rPr>
                  </w:pPr>
                  <w:r>
                    <w:rPr>
                      <w:sz w:val="21"/>
                      <w:szCs w:val="21"/>
                    </w:rPr>
                    <w:t>污染物排放管控</w:t>
                  </w:r>
                </w:p>
              </w:tc>
              <w:tc>
                <w:tcPr>
                  <w:tcW w:w="2737" w:type="dxa"/>
                  <w:tcBorders>
                    <w:tl2br w:val="nil"/>
                    <w:tr2bl w:val="nil"/>
                  </w:tcBorders>
                  <w:vAlign w:val="center"/>
                </w:tcPr>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执行自治区七大片区天山南坡管控要求和巴州总体管控要求中关于水环境重点管控区的污染物排放管控要求。</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全面推行排污许可。全面完成重点污染源排污许可证的核发工作，加强日常监督检查，依法查处违反排污许可证管理规定的行为。以改善水质、防范环境风险为目标，将污染物排放种类、浓度、总量、排放去向等纳入许可证管理范围，实现对排污单位环境管理要求的全方位规范和全过程监管。</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加强工业污水治理。关停不符合产业政策的企业；淘汰落后产能企业或生产线；推行清洁生产；完善农副产品加工业等工业企业污染治理设施；推进工业污水污染物稳定达标放；县城及周边城镇生活污水处理率达到</w:t>
                  </w:r>
                  <w:r>
                    <w:rPr>
                      <w:rFonts w:hint="default" w:ascii="Times New Roman" w:hAnsi="Times New Roman" w:eastAsia="宋体" w:cs="Times New Roman"/>
                      <w:color w:val="000000"/>
                      <w:kern w:val="0"/>
                      <w:sz w:val="21"/>
                      <w:szCs w:val="21"/>
                      <w:lang w:val="en-US" w:eastAsia="zh-CN" w:bidi="ar"/>
                    </w:rPr>
                    <w:t>90%</w:t>
                  </w:r>
                  <w:r>
                    <w:rPr>
                      <w:rFonts w:hint="eastAsia" w:ascii="宋体" w:hAnsi="宋体" w:eastAsia="宋体" w:cs="宋体"/>
                      <w:color w:val="000000"/>
                      <w:kern w:val="0"/>
                      <w:sz w:val="21"/>
                      <w:szCs w:val="21"/>
                      <w:lang w:val="en-US" w:eastAsia="zh-CN" w:bidi="ar"/>
                    </w:rPr>
                    <w:t>以上。</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加强监督管理，区控以上污染源实现在线监控</w:t>
                  </w:r>
                  <w:r>
                    <w:rPr>
                      <w:rFonts w:hint="eastAsia" w:ascii="宋体" w:hAnsi="宋体" w:cs="宋体"/>
                      <w:color w:val="000000"/>
                      <w:kern w:val="0"/>
                      <w:sz w:val="21"/>
                      <w:szCs w:val="21"/>
                      <w:lang w:val="en-US" w:eastAsia="zh-CN" w:bidi="ar"/>
                    </w:rPr>
                    <w:t>。</w:t>
                  </w:r>
                </w:p>
              </w:tc>
              <w:tc>
                <w:tcPr>
                  <w:tcW w:w="1818" w:type="dxa"/>
                  <w:tcBorders>
                    <w:tl2br w:val="nil"/>
                    <w:tr2bl w:val="nil"/>
                  </w:tcBorders>
                  <w:vAlign w:val="center"/>
                </w:tcPr>
                <w:p>
                  <w:pPr>
                    <w:pStyle w:val="39"/>
                    <w:bidi w:val="0"/>
                    <w:spacing w:line="240" w:lineRule="auto"/>
                    <w:rPr>
                      <w:sz w:val="21"/>
                      <w:szCs w:val="21"/>
                    </w:rPr>
                  </w:pPr>
                  <w:r>
                    <w:rPr>
                      <w:sz w:val="21"/>
                      <w:szCs w:val="21"/>
                    </w:rPr>
                    <w:t>本项目营运期混凝土砼料生产用水、产品养护用水、设备清洗用水及车辆冲洗用水进入产品或回收利用不外排，生活污水达到《污水综合排放标准》中的三级标准后进入</w:t>
                  </w:r>
                  <w:r>
                    <w:rPr>
                      <w:rFonts w:hint="eastAsia"/>
                      <w:sz w:val="21"/>
                      <w:szCs w:val="21"/>
                      <w:lang w:val="en-US" w:eastAsia="zh-CN"/>
                    </w:rPr>
                    <w:t>污水</w:t>
                  </w:r>
                  <w:r>
                    <w:rPr>
                      <w:sz w:val="21"/>
                      <w:szCs w:val="21"/>
                    </w:rPr>
                    <w:t>管网排入最终进入尉犁县城镇污水处理厂处理。</w:t>
                  </w:r>
                </w:p>
                <w:p>
                  <w:pPr>
                    <w:pStyle w:val="39"/>
                    <w:bidi w:val="0"/>
                    <w:spacing w:line="240" w:lineRule="auto"/>
                    <w:rPr>
                      <w:rFonts w:hint="default" w:eastAsia="宋体"/>
                      <w:sz w:val="21"/>
                      <w:szCs w:val="21"/>
                      <w:lang w:val="en-US" w:eastAsia="zh-CN"/>
                    </w:rPr>
                  </w:pPr>
                </w:p>
              </w:tc>
              <w:tc>
                <w:tcPr>
                  <w:tcW w:w="807" w:type="dxa"/>
                  <w:tcBorders>
                    <w:tl2br w:val="nil"/>
                    <w:tr2bl w:val="nil"/>
                  </w:tcBorders>
                  <w:vAlign w:val="center"/>
                </w:tcPr>
                <w:p>
                  <w:pPr>
                    <w:pStyle w:val="39"/>
                    <w:bidi w:val="0"/>
                    <w:spacing w:line="240" w:lineRule="auto"/>
                    <w:rPr>
                      <w:sz w:val="21"/>
                      <w:szCs w:val="21"/>
                    </w:rPr>
                  </w:pPr>
                  <w:r>
                    <w:rPr>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 w:hRule="atLeast"/>
                <w:jc w:val="center"/>
              </w:trPr>
              <w:tc>
                <w:tcPr>
                  <w:tcW w:w="805" w:type="dxa"/>
                  <w:vMerge w:val="continue"/>
                  <w:tcBorders>
                    <w:tl2br w:val="nil"/>
                    <w:tr2bl w:val="nil"/>
                  </w:tcBorders>
                  <w:vAlign w:val="center"/>
                </w:tcPr>
                <w:p>
                  <w:pPr>
                    <w:pStyle w:val="39"/>
                    <w:bidi w:val="0"/>
                    <w:spacing w:line="240" w:lineRule="auto"/>
                    <w:rPr>
                      <w:sz w:val="21"/>
                      <w:szCs w:val="21"/>
                    </w:rPr>
                  </w:pPr>
                </w:p>
              </w:tc>
              <w:tc>
                <w:tcPr>
                  <w:tcW w:w="450" w:type="dxa"/>
                  <w:tcBorders>
                    <w:tl2br w:val="nil"/>
                    <w:tr2bl w:val="nil"/>
                  </w:tcBorders>
                  <w:vAlign w:val="center"/>
                </w:tcPr>
                <w:p>
                  <w:pPr>
                    <w:pStyle w:val="39"/>
                    <w:bidi w:val="0"/>
                    <w:spacing w:line="240" w:lineRule="auto"/>
                    <w:rPr>
                      <w:sz w:val="21"/>
                      <w:szCs w:val="21"/>
                    </w:rPr>
                  </w:pPr>
                  <w:r>
                    <w:rPr>
                      <w:sz w:val="21"/>
                      <w:szCs w:val="21"/>
                    </w:rPr>
                    <w:t>环境风险防控</w:t>
                  </w:r>
                </w:p>
              </w:tc>
              <w:tc>
                <w:tcPr>
                  <w:tcW w:w="2737" w:type="dxa"/>
                  <w:tcBorders>
                    <w:tl2br w:val="nil"/>
                    <w:tr2bl w:val="nil"/>
                  </w:tcBorders>
                  <w:vAlign w:val="center"/>
                </w:tcPr>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执行自治区七大片区天山南坡管控要求和巴州总体管控要求中关于水环境重点管控区的环境风险防控要求。</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严格环境风险控制。防范环境风险，定期评估工业集聚区环境和健康风险，加强预案管理，落实防控措施，排除水污染隐患。评估现有化学物质环境和健康风险，根据国家公布的优先控制化学品名录，对高风险化学品生产、使用进行严格限制。</w:t>
                  </w:r>
                </w:p>
              </w:tc>
              <w:tc>
                <w:tcPr>
                  <w:tcW w:w="1818" w:type="dxa"/>
                  <w:tcBorders>
                    <w:tl2br w:val="nil"/>
                    <w:tr2bl w:val="nil"/>
                  </w:tcBorders>
                  <w:vAlign w:val="center"/>
                </w:tcPr>
                <w:p>
                  <w:pPr>
                    <w:pStyle w:val="39"/>
                    <w:bidi w:val="0"/>
                    <w:spacing w:line="240" w:lineRule="auto"/>
                    <w:rPr>
                      <w:rFonts w:hint="eastAsia"/>
                      <w:sz w:val="21"/>
                      <w:szCs w:val="21"/>
                      <w:lang w:val="en-US" w:eastAsia="zh-CN"/>
                    </w:rPr>
                  </w:pPr>
                  <w:r>
                    <w:rPr>
                      <w:rFonts w:hint="eastAsia"/>
                      <w:sz w:val="21"/>
                      <w:szCs w:val="21"/>
                      <w:lang w:val="en-US" w:eastAsia="zh-CN"/>
                    </w:rPr>
                    <w:t>本环评要求项目建设完成后编制突发环境事件应急预案并完成备案，预备一定的应急物资，并定期开展应急演练。</w:t>
                  </w:r>
                </w:p>
                <w:p>
                  <w:pPr>
                    <w:pStyle w:val="39"/>
                    <w:bidi w:val="0"/>
                    <w:spacing w:line="240" w:lineRule="auto"/>
                    <w:rPr>
                      <w:rFonts w:hint="default"/>
                      <w:lang w:val="en-US" w:eastAsia="zh-CN"/>
                    </w:rPr>
                  </w:pPr>
                  <w:r>
                    <w:rPr>
                      <w:rFonts w:hint="eastAsia"/>
                      <w:sz w:val="21"/>
                      <w:szCs w:val="21"/>
                      <w:lang w:val="en-US" w:eastAsia="zh-CN"/>
                    </w:rPr>
                    <w:t>醇基属于危险化学品，使用应符合</w:t>
                  </w:r>
                  <w:r>
                    <w:rPr>
                      <w:rFonts w:hint="default"/>
                      <w:sz w:val="21"/>
                      <w:szCs w:val="21"/>
                      <w:lang w:val="en-US" w:eastAsia="zh-CN"/>
                    </w:rPr>
                    <w:t>《危险化学品安全管理条例》要求</w:t>
                  </w:r>
                  <w:r>
                    <w:rPr>
                      <w:rFonts w:hint="eastAsia"/>
                      <w:sz w:val="21"/>
                      <w:szCs w:val="21"/>
                      <w:lang w:val="en-US" w:eastAsia="zh-CN"/>
                    </w:rPr>
                    <w:t>。</w:t>
                  </w:r>
                </w:p>
              </w:tc>
              <w:tc>
                <w:tcPr>
                  <w:tcW w:w="807" w:type="dxa"/>
                  <w:tcBorders>
                    <w:tl2br w:val="nil"/>
                    <w:tr2bl w:val="nil"/>
                  </w:tcBorders>
                  <w:vAlign w:val="center"/>
                </w:tcPr>
                <w:p>
                  <w:pPr>
                    <w:pStyle w:val="39"/>
                    <w:bidi w:val="0"/>
                    <w:spacing w:line="240" w:lineRule="auto"/>
                    <w:rPr>
                      <w:sz w:val="21"/>
                      <w:szCs w:val="21"/>
                    </w:rPr>
                  </w:pPr>
                  <w:r>
                    <w:rPr>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 w:hRule="atLeast"/>
                <w:jc w:val="center"/>
              </w:trPr>
              <w:tc>
                <w:tcPr>
                  <w:tcW w:w="805" w:type="dxa"/>
                  <w:vMerge w:val="continue"/>
                  <w:tcBorders>
                    <w:tl2br w:val="nil"/>
                    <w:tr2bl w:val="nil"/>
                  </w:tcBorders>
                  <w:vAlign w:val="center"/>
                </w:tcPr>
                <w:p>
                  <w:pPr>
                    <w:pStyle w:val="39"/>
                    <w:bidi w:val="0"/>
                    <w:spacing w:line="240" w:lineRule="auto"/>
                    <w:rPr>
                      <w:sz w:val="21"/>
                      <w:szCs w:val="21"/>
                    </w:rPr>
                  </w:pPr>
                </w:p>
              </w:tc>
              <w:tc>
                <w:tcPr>
                  <w:tcW w:w="450" w:type="dxa"/>
                  <w:tcBorders>
                    <w:tl2br w:val="nil"/>
                    <w:tr2bl w:val="nil"/>
                  </w:tcBorders>
                  <w:vAlign w:val="center"/>
                </w:tcPr>
                <w:p>
                  <w:pPr>
                    <w:pStyle w:val="39"/>
                    <w:bidi w:val="0"/>
                    <w:spacing w:line="240" w:lineRule="auto"/>
                    <w:rPr>
                      <w:sz w:val="21"/>
                      <w:szCs w:val="21"/>
                    </w:rPr>
                  </w:pPr>
                  <w:r>
                    <w:rPr>
                      <w:sz w:val="21"/>
                      <w:szCs w:val="21"/>
                    </w:rPr>
                    <w:t>资源利用效率</w:t>
                  </w:r>
                </w:p>
              </w:tc>
              <w:tc>
                <w:tcPr>
                  <w:tcW w:w="2737" w:type="dxa"/>
                  <w:tcBorders>
                    <w:tl2br w:val="nil"/>
                    <w:tr2bl w:val="nil"/>
                  </w:tcBorders>
                  <w:vAlign w:val="center"/>
                </w:tcPr>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执行自治区七大片区天山南坡管控要求和巴州总体管控要求中关于水环境重点管控区的资源利用效率要求。</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严格落实水资源管理“三条红线”和“一条警戒线”制度，建立县、乡两级用水总量控制制度，实施水资源论证“一票否决制度”。</w:t>
                  </w:r>
                </w:p>
                <w:p>
                  <w:pPr>
                    <w:keepNext w:val="0"/>
                    <w:keepLines w:val="0"/>
                    <w:widowControl/>
                    <w:suppressLineNumbers w:val="0"/>
                    <w:spacing w:line="240" w:lineRule="auto"/>
                    <w:jc w:val="left"/>
                    <w:rPr>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水资源的开发利用必须遵循综合利用的原则，以资源的合理配置，节约与保护为前提，通过水源控制工程、节水灌溉工程、水土保持工程的实施，发挥水资源的最大作用。</w:t>
                  </w:r>
                </w:p>
              </w:tc>
              <w:tc>
                <w:tcPr>
                  <w:tcW w:w="1818" w:type="dxa"/>
                  <w:tcBorders>
                    <w:tl2br w:val="nil"/>
                    <w:tr2bl w:val="nil"/>
                  </w:tcBorders>
                  <w:vAlign w:val="center"/>
                </w:tcPr>
                <w:p>
                  <w:pPr>
                    <w:pStyle w:val="39"/>
                    <w:bidi w:val="0"/>
                    <w:spacing w:line="240" w:lineRule="auto"/>
                    <w:rPr>
                      <w:rFonts w:hint="default" w:eastAsia="宋体"/>
                      <w:sz w:val="21"/>
                      <w:szCs w:val="21"/>
                      <w:lang w:val="en-US" w:eastAsia="zh-CN"/>
                    </w:rPr>
                  </w:pPr>
                  <w:r>
                    <w:rPr>
                      <w:sz w:val="21"/>
                      <w:szCs w:val="21"/>
                    </w:rPr>
                    <w:t>本项目营运期混凝土砼料生产用水、产品养护用水、设备清洗用水及车辆冲洗用水进入产品或回收利用不外排，生活污水达到《污水综合排放标准》中的三级标准后进入</w:t>
                  </w:r>
                  <w:r>
                    <w:rPr>
                      <w:rFonts w:hint="eastAsia"/>
                      <w:sz w:val="21"/>
                      <w:szCs w:val="21"/>
                      <w:lang w:val="en-US" w:eastAsia="zh-CN"/>
                    </w:rPr>
                    <w:t>污水</w:t>
                  </w:r>
                  <w:r>
                    <w:rPr>
                      <w:sz w:val="21"/>
                      <w:szCs w:val="21"/>
                    </w:rPr>
                    <w:t>管网排入最终进入尉犁县城镇污水处理厂处理。</w:t>
                  </w:r>
                </w:p>
              </w:tc>
              <w:tc>
                <w:tcPr>
                  <w:tcW w:w="807" w:type="dxa"/>
                  <w:tcBorders>
                    <w:tl2br w:val="nil"/>
                    <w:tr2bl w:val="nil"/>
                  </w:tcBorders>
                  <w:vAlign w:val="center"/>
                </w:tcPr>
                <w:p>
                  <w:pPr>
                    <w:pStyle w:val="39"/>
                    <w:bidi w:val="0"/>
                    <w:spacing w:line="240" w:lineRule="auto"/>
                    <w:rPr>
                      <w:sz w:val="21"/>
                      <w:szCs w:val="21"/>
                    </w:rPr>
                  </w:pPr>
                </w:p>
                <w:p>
                  <w:pPr>
                    <w:pStyle w:val="39"/>
                    <w:bidi w:val="0"/>
                    <w:spacing w:line="240" w:lineRule="auto"/>
                    <w:rPr>
                      <w:sz w:val="21"/>
                      <w:szCs w:val="21"/>
                    </w:rPr>
                  </w:pPr>
                  <w:r>
                    <w:rPr>
                      <w:sz w:val="21"/>
                      <w:szCs w:val="21"/>
                    </w:rPr>
                    <w:t>符合</w:t>
                  </w:r>
                </w:p>
              </w:tc>
            </w:tr>
          </w:tbl>
          <w:p>
            <w:pPr>
              <w:pStyle w:val="38"/>
              <w:bidi w:val="0"/>
              <w:rPr>
                <w:rStyle w:val="33"/>
                <w:b/>
                <w:bCs/>
                <w:szCs w:val="21"/>
              </w:rPr>
            </w:pPr>
            <w:r>
              <w:rPr>
                <w:rStyle w:val="33"/>
                <w:b/>
                <w:bCs/>
                <w:szCs w:val="21"/>
              </w:rPr>
              <w:t>4.2与新疆维吾尔自治区“三线一单”生态环境分区管控方案符合性分析</w:t>
            </w:r>
          </w:p>
          <w:p>
            <w:pPr>
              <w:ind w:firstLine="480" w:firstLineChars="200"/>
            </w:pPr>
            <w:r>
              <w:t>根据《新疆维吾尔自治区三线一单分区管控方案》（新政发</w:t>
            </w:r>
            <w:r>
              <w:rPr>
                <w:rFonts w:hint="eastAsia"/>
                <w:lang w:eastAsia="zh-CN"/>
              </w:rPr>
              <w:t>〔</w:t>
            </w:r>
            <w:r>
              <w:t>2021</w:t>
            </w:r>
            <w:r>
              <w:rPr>
                <w:rFonts w:hint="eastAsia"/>
                <w:lang w:eastAsia="zh-CN"/>
              </w:rPr>
              <w:t>〕</w:t>
            </w:r>
            <w:r>
              <w:t>18号）分析本项目与“三线一单”符合性分析见表1-</w:t>
            </w:r>
            <w:r>
              <w:rPr>
                <w:rFonts w:hint="eastAsia"/>
                <w:lang w:val="en-US" w:eastAsia="zh-CN"/>
              </w:rPr>
              <w:t>3</w:t>
            </w:r>
            <w:r>
              <w:t>。</w:t>
            </w:r>
          </w:p>
          <w:p>
            <w:pPr>
              <w:pStyle w:val="38"/>
              <w:bidi w:val="0"/>
            </w:pPr>
            <w:r>
              <w:t>表1-</w:t>
            </w:r>
            <w:r>
              <w:rPr>
                <w:rFonts w:hint="eastAsia"/>
                <w:lang w:val="en-US" w:eastAsia="zh-CN"/>
              </w:rPr>
              <w:t>3</w:t>
            </w:r>
            <w:r>
              <w:t>“三线一单”符合性分析一览表</w:t>
            </w:r>
          </w:p>
          <w:tbl>
            <w:tblPr>
              <w:tblStyle w:val="26"/>
              <w:tblW w:w="68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04"/>
              <w:gridCol w:w="451"/>
              <w:gridCol w:w="456"/>
              <w:gridCol w:w="2790"/>
              <w:gridCol w:w="1968"/>
              <w:gridCol w:w="5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604" w:type="dxa"/>
                  <w:vAlign w:val="center"/>
                </w:tcPr>
                <w:p>
                  <w:pPr>
                    <w:pStyle w:val="87"/>
                    <w:rPr>
                      <w:rFonts w:ascii="Times New Roman" w:hAnsi="Times New Roman" w:cs="Times New Roman"/>
                    </w:rPr>
                  </w:pPr>
                  <w:r>
                    <w:rPr>
                      <w:rFonts w:ascii="Times New Roman" w:hAnsi="Times New Roman" w:cs="Times New Roman"/>
                    </w:rPr>
                    <w:t>名称</w:t>
                  </w:r>
                </w:p>
              </w:tc>
              <w:tc>
                <w:tcPr>
                  <w:tcW w:w="3697" w:type="dxa"/>
                  <w:gridSpan w:val="3"/>
                  <w:vAlign w:val="center"/>
                </w:tcPr>
                <w:p>
                  <w:pPr>
                    <w:pStyle w:val="87"/>
                    <w:rPr>
                      <w:rFonts w:ascii="Times New Roman" w:hAnsi="Times New Roman" w:cs="Times New Roman"/>
                    </w:rPr>
                  </w:pPr>
                  <w:r>
                    <w:rPr>
                      <w:rFonts w:ascii="Times New Roman" w:hAnsi="Times New Roman" w:cs="Times New Roman"/>
                    </w:rPr>
                    <w:t>文件要求</w:t>
                  </w:r>
                </w:p>
              </w:tc>
              <w:tc>
                <w:tcPr>
                  <w:tcW w:w="1968" w:type="dxa"/>
                  <w:vAlign w:val="center"/>
                </w:tcPr>
                <w:p>
                  <w:pPr>
                    <w:pStyle w:val="87"/>
                    <w:rPr>
                      <w:rFonts w:ascii="Times New Roman" w:hAnsi="Times New Roman" w:cs="Times New Roman"/>
                    </w:rPr>
                  </w:pPr>
                  <w:r>
                    <w:rPr>
                      <w:rFonts w:ascii="Times New Roman" w:hAnsi="Times New Roman" w:cs="Times New Roman"/>
                    </w:rPr>
                    <w:t>本项目</w:t>
                  </w:r>
                </w:p>
              </w:tc>
              <w:tc>
                <w:tcPr>
                  <w:tcW w:w="579" w:type="dxa"/>
                  <w:vAlign w:val="center"/>
                </w:tcPr>
                <w:p>
                  <w:pPr>
                    <w:pStyle w:val="87"/>
                    <w:rPr>
                      <w:rFonts w:ascii="Times New Roman" w:hAnsi="Times New Roman" w:cs="Times New Roman"/>
                    </w:rPr>
                  </w:pPr>
                  <w:r>
                    <w:rPr>
                      <w:rFonts w:ascii="Times New Roman" w:hAnsi="Times New Roman" w:cs="Times New Roma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9" w:hRule="atLeast"/>
                <w:jc w:val="center"/>
              </w:trPr>
              <w:tc>
                <w:tcPr>
                  <w:tcW w:w="604" w:type="dxa"/>
                  <w:vMerge w:val="restart"/>
                  <w:vAlign w:val="center"/>
                </w:tcPr>
                <w:p>
                  <w:pPr>
                    <w:pStyle w:val="87"/>
                    <w:rPr>
                      <w:rFonts w:ascii="Times New Roman" w:hAnsi="Times New Roman" w:cs="Times New Roman"/>
                    </w:rPr>
                  </w:pPr>
                  <w:r>
                    <w:rPr>
                      <w:rFonts w:ascii="Times New Roman" w:hAnsi="Times New Roman" w:cs="Times New Roman"/>
                    </w:rPr>
                    <w:t>《新疆维吾尔自治区“三线一单”生态环境分区管控方案》</w:t>
                  </w:r>
                </w:p>
              </w:tc>
              <w:tc>
                <w:tcPr>
                  <w:tcW w:w="907" w:type="dxa"/>
                  <w:gridSpan w:val="2"/>
                  <w:vAlign w:val="center"/>
                </w:tcPr>
                <w:p>
                  <w:pPr>
                    <w:pStyle w:val="87"/>
                    <w:rPr>
                      <w:rFonts w:ascii="Times New Roman" w:hAnsi="Times New Roman" w:cs="Times New Roman"/>
                    </w:rPr>
                  </w:pPr>
                  <w:r>
                    <w:rPr>
                      <w:rFonts w:ascii="Times New Roman" w:hAnsi="Times New Roman" w:cs="Times New Roman"/>
                    </w:rPr>
                    <w:t>生态保护红线</w:t>
                  </w:r>
                </w:p>
              </w:tc>
              <w:tc>
                <w:tcPr>
                  <w:tcW w:w="2790" w:type="dxa"/>
                  <w:vAlign w:val="center"/>
                </w:tcPr>
                <w:p>
                  <w:pPr>
                    <w:pStyle w:val="87"/>
                    <w:rPr>
                      <w:rFonts w:ascii="Times New Roman" w:hAnsi="Times New Roman" w:cs="Times New Roman"/>
                    </w:rPr>
                  </w:pPr>
                  <w:r>
                    <w:rPr>
                      <w:rFonts w:ascii="Times New Roman" w:hAnsi="Times New Roman" w:cs="Times New Roman"/>
                    </w:rPr>
                    <w:t>按照“生态功能不降低、面积不减少、性质不改变”的基本要求，对划定的生态保护红线实施严格管控，保障和维护国家生态安全的底线和生命线</w:t>
                  </w:r>
                </w:p>
              </w:tc>
              <w:tc>
                <w:tcPr>
                  <w:tcW w:w="1968" w:type="dxa"/>
                  <w:vAlign w:val="center"/>
                </w:tcPr>
                <w:p>
                  <w:pPr>
                    <w:pStyle w:val="87"/>
                    <w:rPr>
                      <w:rFonts w:ascii="Times New Roman" w:hAnsi="Times New Roman" w:cs="Times New Roman"/>
                    </w:rPr>
                  </w:pPr>
                  <w:r>
                    <w:rPr>
                      <w:rFonts w:ascii="Times New Roman" w:hAnsi="Times New Roman" w:cs="Times New Roman"/>
                    </w:rPr>
                    <w:t>本项目不在生态保护红线范围内</w:t>
                  </w:r>
                </w:p>
              </w:tc>
              <w:tc>
                <w:tcPr>
                  <w:tcW w:w="579" w:type="dxa"/>
                  <w:vAlign w:val="center"/>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89" w:hRule="atLeast"/>
                <w:jc w:val="center"/>
              </w:trPr>
              <w:tc>
                <w:tcPr>
                  <w:tcW w:w="604" w:type="dxa"/>
                  <w:vMerge w:val="continue"/>
                  <w:vAlign w:val="center"/>
                </w:tcPr>
                <w:p>
                  <w:pPr>
                    <w:pStyle w:val="87"/>
                    <w:rPr>
                      <w:rFonts w:ascii="Times New Roman" w:hAnsi="Times New Roman" w:cs="Times New Roman"/>
                    </w:rPr>
                  </w:pPr>
                </w:p>
              </w:tc>
              <w:tc>
                <w:tcPr>
                  <w:tcW w:w="907" w:type="dxa"/>
                  <w:gridSpan w:val="2"/>
                  <w:vAlign w:val="center"/>
                </w:tcPr>
                <w:p>
                  <w:pPr>
                    <w:pStyle w:val="87"/>
                    <w:rPr>
                      <w:rFonts w:ascii="Times New Roman" w:hAnsi="Times New Roman" w:cs="Times New Roman"/>
                    </w:rPr>
                  </w:pPr>
                  <w:r>
                    <w:rPr>
                      <w:rFonts w:ascii="Times New Roman" w:hAnsi="Times New Roman" w:cs="Times New Roman"/>
                    </w:rPr>
                    <w:t>环境质量底线</w:t>
                  </w:r>
                </w:p>
              </w:tc>
              <w:tc>
                <w:tcPr>
                  <w:tcW w:w="2790" w:type="dxa"/>
                  <w:vAlign w:val="center"/>
                </w:tcPr>
                <w:p>
                  <w:pPr>
                    <w:pStyle w:val="87"/>
                    <w:rPr>
                      <w:rFonts w:ascii="Times New Roman" w:hAnsi="Times New Roman" w:cs="Times New Roman"/>
                    </w:rPr>
                  </w:pPr>
                  <w:r>
                    <w:rPr>
                      <w:rFonts w:ascii="Times New Roman" w:hAnsi="Times New Roman" w:cs="Times New Roman"/>
                    </w:rPr>
                    <w:t>全区水环境质量持续改善，受污染地表水体得到优先治理，饮用水安全保障水平持续提升，地下水超采得到严格控制，地下水水质保持稳定；全区环境空气质量有所提升，重污染天数持续减少，已达标城市环境空气质量保持稳定，未达标城市环境空气质量持续改善，沙尘影响严重地区做好防风固沙、生态环境保护修复等工作；全区土壤环境质量保持稳定，污染地块安全利用水平稳中有升，土壤环境风险得到进一步管控</w:t>
                  </w:r>
                </w:p>
              </w:tc>
              <w:tc>
                <w:tcPr>
                  <w:tcW w:w="1968" w:type="dxa"/>
                  <w:vAlign w:val="center"/>
                </w:tcPr>
                <w:p>
                  <w:pPr>
                    <w:pStyle w:val="87"/>
                    <w:rPr>
                      <w:rFonts w:ascii="Times New Roman" w:hAnsi="Times New Roman" w:cs="Times New Roman"/>
                    </w:rPr>
                  </w:pPr>
                  <w:r>
                    <w:rPr>
                      <w:rFonts w:ascii="Times New Roman" w:hAnsi="Times New Roman" w:cs="Times New Roman"/>
                    </w:rPr>
                    <w:t>本项目锅炉水处理产生的少量废水排入工业园区污水管网，最终进入尉犁县城镇污水处理厂处理；食堂废水经油水分离器处理后同生活污水一起排入工业园区污水管网，最终进入尉犁县城镇污水处理厂处理；大气污染物主要为颗粒物，采取相应措施后能够满足相关排放要求，对周边环境影响可接受</w:t>
                  </w:r>
                </w:p>
              </w:tc>
              <w:tc>
                <w:tcPr>
                  <w:tcW w:w="579" w:type="dxa"/>
                  <w:vAlign w:val="center"/>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59" w:hRule="atLeast"/>
                <w:jc w:val="center"/>
              </w:trPr>
              <w:tc>
                <w:tcPr>
                  <w:tcW w:w="604" w:type="dxa"/>
                  <w:vMerge w:val="continue"/>
                  <w:vAlign w:val="center"/>
                </w:tcPr>
                <w:p>
                  <w:pPr>
                    <w:pStyle w:val="87"/>
                    <w:rPr>
                      <w:rFonts w:ascii="Times New Roman" w:hAnsi="Times New Roman" w:cs="Times New Roman"/>
                    </w:rPr>
                  </w:pPr>
                </w:p>
              </w:tc>
              <w:tc>
                <w:tcPr>
                  <w:tcW w:w="907" w:type="dxa"/>
                  <w:gridSpan w:val="2"/>
                  <w:vAlign w:val="center"/>
                </w:tcPr>
                <w:p>
                  <w:pPr>
                    <w:pStyle w:val="87"/>
                    <w:rPr>
                      <w:rFonts w:ascii="Times New Roman" w:hAnsi="Times New Roman" w:cs="Times New Roman"/>
                    </w:rPr>
                  </w:pPr>
                  <w:r>
                    <w:rPr>
                      <w:rFonts w:ascii="Times New Roman" w:hAnsi="Times New Roman" w:cs="Times New Roman"/>
                    </w:rPr>
                    <w:t>资源利用上线</w:t>
                  </w:r>
                </w:p>
              </w:tc>
              <w:tc>
                <w:tcPr>
                  <w:tcW w:w="2790" w:type="dxa"/>
                  <w:vAlign w:val="center"/>
                </w:tcPr>
                <w:p>
                  <w:pPr>
                    <w:pStyle w:val="87"/>
                    <w:rPr>
                      <w:rFonts w:ascii="Times New Roman" w:hAnsi="Times New Roman" w:cs="Times New Roman"/>
                    </w:rPr>
                  </w:pPr>
                  <w:r>
                    <w:rPr>
                      <w:rFonts w:ascii="Times New Roman" w:hAnsi="Times New Roman" w:cs="Times New Roman"/>
                    </w:rPr>
                    <w:t>强化节约集约利用，持续提升资源能源利用效率，水资源、土地资源、能源消耗等达到国家、自治区下达的总量和强度控制目标</w:t>
                  </w:r>
                </w:p>
              </w:tc>
              <w:tc>
                <w:tcPr>
                  <w:tcW w:w="1968" w:type="dxa"/>
                  <w:vAlign w:val="center"/>
                </w:tcPr>
                <w:p>
                  <w:pPr>
                    <w:pStyle w:val="87"/>
                    <w:rPr>
                      <w:rFonts w:ascii="Times New Roman" w:hAnsi="Times New Roman" w:cs="Times New Roman"/>
                    </w:rPr>
                  </w:pPr>
                  <w:r>
                    <w:rPr>
                      <w:rFonts w:ascii="Times New Roman" w:hAnsi="Times New Roman" w:cs="Times New Roman"/>
                    </w:rPr>
                    <w:t>本项目主要利用资源为生产、生活用水及生产用电，本项目用水量及耗电量较小，占地面积较小，对区域水资源、土地资源、能源消耗较小，不会超过资源利用上线</w:t>
                  </w:r>
                </w:p>
              </w:tc>
              <w:tc>
                <w:tcPr>
                  <w:tcW w:w="579" w:type="dxa"/>
                  <w:vAlign w:val="center"/>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82" w:hRule="atLeast"/>
                <w:jc w:val="center"/>
              </w:trPr>
              <w:tc>
                <w:tcPr>
                  <w:tcW w:w="604" w:type="dxa"/>
                  <w:vMerge w:val="continue"/>
                  <w:vAlign w:val="center"/>
                </w:tcPr>
                <w:p>
                  <w:pPr>
                    <w:pStyle w:val="87"/>
                    <w:rPr>
                      <w:rFonts w:ascii="Times New Roman" w:hAnsi="Times New Roman" w:cs="Times New Roman"/>
                    </w:rPr>
                  </w:pPr>
                </w:p>
              </w:tc>
              <w:tc>
                <w:tcPr>
                  <w:tcW w:w="451" w:type="dxa"/>
                  <w:vAlign w:val="center"/>
                </w:tcPr>
                <w:p>
                  <w:pPr>
                    <w:pStyle w:val="87"/>
                    <w:rPr>
                      <w:rFonts w:ascii="Times New Roman" w:hAnsi="Times New Roman" w:cs="Times New Roman"/>
                    </w:rPr>
                  </w:pPr>
                  <w:r>
                    <w:rPr>
                      <w:rFonts w:ascii="Times New Roman" w:hAnsi="Times New Roman" w:cs="Times New Roman"/>
                    </w:rPr>
                    <w:t>环境管控单元</w:t>
                  </w:r>
                </w:p>
              </w:tc>
              <w:tc>
                <w:tcPr>
                  <w:tcW w:w="456" w:type="dxa"/>
                  <w:vAlign w:val="center"/>
                </w:tcPr>
                <w:p>
                  <w:pPr>
                    <w:pStyle w:val="87"/>
                    <w:rPr>
                      <w:rFonts w:ascii="Times New Roman" w:hAnsi="Times New Roman" w:cs="Times New Roman"/>
                    </w:rPr>
                  </w:pPr>
                  <w:r>
                    <w:rPr>
                      <w:rFonts w:ascii="Times New Roman" w:hAnsi="Times New Roman" w:cs="Times New Roman"/>
                    </w:rPr>
                    <w:t>一般管控区</w:t>
                  </w:r>
                </w:p>
              </w:tc>
              <w:tc>
                <w:tcPr>
                  <w:tcW w:w="2790" w:type="dxa"/>
                  <w:vAlign w:val="center"/>
                </w:tcPr>
                <w:p>
                  <w:pPr>
                    <w:pStyle w:val="87"/>
                    <w:rPr>
                      <w:rFonts w:ascii="Times New Roman" w:hAnsi="Times New Roman" w:cs="Times New Roman"/>
                    </w:rPr>
                  </w:pPr>
                  <w:r>
                    <w:rPr>
                      <w:rFonts w:ascii="Times New Roman" w:hAnsi="Times New Roman" w:cs="Times New Roman"/>
                    </w:rPr>
                    <w:t>自治区划定环境管控单元，分为优先保护单元、重点管控单元和一般管控单元三类，实施分类管控。一般管控单元中，执行区域生态环境保护的基本要求，重点加强农业、生活等领域污染治理。</w:t>
                  </w:r>
                </w:p>
              </w:tc>
              <w:tc>
                <w:tcPr>
                  <w:tcW w:w="1968" w:type="dxa"/>
                  <w:vAlign w:val="center"/>
                </w:tcPr>
                <w:p>
                  <w:pPr>
                    <w:pStyle w:val="87"/>
                    <w:rPr>
                      <w:rFonts w:ascii="Times New Roman" w:hAnsi="Times New Roman" w:cs="Times New Roman"/>
                    </w:rPr>
                  </w:pPr>
                  <w:r>
                    <w:rPr>
                      <w:rFonts w:ascii="Times New Roman" w:hAnsi="Times New Roman" w:cs="Times New Roman"/>
                    </w:rPr>
                    <w:t>本工程实施后通过采取完善的污染治理措施，不会对项目周围大气环境、地表水环境、声环境、地下水、土壤环境产生明显影响</w:t>
                  </w:r>
                </w:p>
              </w:tc>
              <w:tc>
                <w:tcPr>
                  <w:tcW w:w="579" w:type="dxa"/>
                  <w:vAlign w:val="center"/>
                </w:tcPr>
                <w:p>
                  <w:pPr>
                    <w:pStyle w:val="87"/>
                    <w:rPr>
                      <w:rFonts w:ascii="Times New Roman" w:hAnsi="Times New Roman" w:cs="Times New Roman"/>
                    </w:rPr>
                  </w:pPr>
                  <w:r>
                    <w:rPr>
                      <w:rFonts w:ascii="Times New Roman" w:hAnsi="Times New Roman" w:cs="Times New Roman"/>
                    </w:rPr>
                    <w:t>符合</w:t>
                  </w:r>
                </w:p>
              </w:tc>
            </w:tr>
            <w:bookmarkEnd w:id="2"/>
            <w:bookmarkEnd w:id="3"/>
          </w:tbl>
          <w:p>
            <w:pPr>
              <w:pStyle w:val="48"/>
              <w:ind w:firstLine="422"/>
              <w:rPr>
                <w:rStyle w:val="33"/>
                <w:b/>
                <w:szCs w:val="21"/>
              </w:rPr>
            </w:pPr>
            <w:r>
              <w:rPr>
                <w:rStyle w:val="33"/>
                <w:b/>
                <w:szCs w:val="21"/>
              </w:rPr>
              <w:t>5、与《新疆维吾尔自治区国民经济和社会发展第十四个五年规划和2035年远景目标纲要》的符合性分析</w:t>
            </w:r>
          </w:p>
          <w:p>
            <w:pPr>
              <w:ind w:firstLine="480" w:firstLineChars="200"/>
            </w:pPr>
            <w:r>
              <w:t>《新疆维吾尔自治区国民经济和社会发展第十四个五年规划和2035年远景目标纲要》中提出“发展壮大新能源产业。加强风电关键设备及零部件研发和生产，有序发展分布式光伏发电。推进风能、光伏发电进行电解水制氢。”本项目主要产品为光伏桩，属于光伏建筑一体化部品部件，为发展光伏能源提供基本条件，符合《新疆维吾尔自治区国民经济和社会发展第十四个五年规划和2035年远景目标纲要》的要求。</w:t>
            </w:r>
          </w:p>
          <w:p>
            <w:pPr>
              <w:pStyle w:val="48"/>
              <w:ind w:firstLine="422"/>
              <w:rPr>
                <w:rStyle w:val="33"/>
                <w:b/>
                <w:sz w:val="24"/>
                <w:szCs w:val="24"/>
              </w:rPr>
            </w:pPr>
            <w:r>
              <w:rPr>
                <w:rStyle w:val="33"/>
                <w:b/>
                <w:sz w:val="24"/>
                <w:szCs w:val="24"/>
              </w:rPr>
              <w:t>6、《巴音郭楞蒙古自治州国民经济和社会发展第十四个五年规划和二〇三五年远景目标纲要》的符合性分析</w:t>
            </w:r>
          </w:p>
          <w:p>
            <w:pPr>
              <w:ind w:firstLine="480" w:firstLineChars="200"/>
              <w:rPr>
                <w:sz w:val="24"/>
                <w:szCs w:val="24"/>
              </w:rPr>
            </w:pPr>
            <w:r>
              <w:rPr>
                <w:sz w:val="24"/>
                <w:szCs w:val="24"/>
              </w:rPr>
              <w:t>《巴音郭楞蒙古自治州国民经济和社会发展第十四个五年规划和二〇三五年远景目标纲要》中提出“加大新能源开发利用力度，坚持集中开发与分散、分布开发并重，扩大太阳能集中开发利用规模，依托丰富的风能、光能资源，打造且若风电、光电清洁能源基地，提升新能源在能源结构中比重。”本项目主要产品为光伏桩，属于光伏建筑一体化部品部件，为发展光伏能源提供基本条件，符合《新疆维吾尔自治区国民经济和社会发展第十四个五年规划和2035年远景目标纲要》的要求。</w:t>
            </w:r>
          </w:p>
          <w:p>
            <w:pPr>
              <w:ind w:firstLine="482" w:firstLineChars="200"/>
              <w:rPr>
                <w:rStyle w:val="33"/>
                <w:b/>
                <w:sz w:val="24"/>
                <w:szCs w:val="24"/>
              </w:rPr>
            </w:pPr>
            <w:r>
              <w:rPr>
                <w:rStyle w:val="33"/>
                <w:b/>
                <w:sz w:val="24"/>
                <w:szCs w:val="24"/>
              </w:rPr>
              <w:t>7、《新疆生态环境保护“十四五”规划》的符合性分析</w:t>
            </w:r>
          </w:p>
          <w:p>
            <w:pPr>
              <w:ind w:firstLine="480" w:firstLineChars="200"/>
              <w:rPr>
                <w:sz w:val="24"/>
                <w:szCs w:val="24"/>
              </w:rPr>
            </w:pPr>
            <w:r>
              <w:rPr>
                <w:rStyle w:val="33"/>
                <w:bCs/>
                <w:sz w:val="24"/>
                <w:szCs w:val="24"/>
              </w:rPr>
              <w:t>新疆生态环境保护“十四五”规划要求“</w:t>
            </w:r>
            <w:r>
              <w:rPr>
                <w:sz w:val="24"/>
                <w:szCs w:val="24"/>
              </w:rPr>
              <w:t>控制重点领域二氧化碳排放。推动能源、钢铁、建材、有色、电力、化工等重点领域技术升级，控制工业过程温室气体排放，推动工业领域绿色低碳发展。积极鼓励发展二氧化碳捕集利用与封存等低碳技术。”，本项目主要产品为光伏桩，属于光伏建筑一体化部品部件，符合《新疆生态环境保护“十四五”规划》的要求。</w:t>
            </w:r>
          </w:p>
          <w:p>
            <w:pPr>
              <w:ind w:firstLine="482" w:firstLineChars="200"/>
              <w:rPr>
                <w:rStyle w:val="33"/>
                <w:bCs/>
                <w:sz w:val="24"/>
                <w:szCs w:val="24"/>
              </w:rPr>
            </w:pPr>
            <w:r>
              <w:rPr>
                <w:rStyle w:val="33"/>
                <w:b/>
                <w:sz w:val="24"/>
                <w:szCs w:val="24"/>
              </w:rPr>
              <w:t>8、《巴音郭楞蒙古自治州生态环境“十四五”规划》的符合性分</w:t>
            </w:r>
            <w:r>
              <w:rPr>
                <w:rStyle w:val="33"/>
                <w:bCs/>
                <w:sz w:val="24"/>
                <w:szCs w:val="24"/>
              </w:rPr>
              <w:t>析</w:t>
            </w:r>
          </w:p>
          <w:p>
            <w:pPr>
              <w:ind w:firstLine="480" w:firstLineChars="200"/>
              <w:rPr>
                <w:sz w:val="24"/>
                <w:szCs w:val="24"/>
              </w:rPr>
            </w:pPr>
            <w:r>
              <w:rPr>
                <w:sz w:val="24"/>
                <w:szCs w:val="24"/>
              </w:rPr>
              <w:t>《巴音郭楞蒙古自治州生态环境“十四五”规划》中提出“依托清洁能源资源富集优势，支持建设风光储一体化示范基地，发展风电、光电、热能等清洁低碳、安全高效的新能源技术。加快储能技术、高智能电网技术和新型风电技术等关键共性技术和设备引进与研发，提升产业发展水平延伸产业链，形成新能源产业集群。”本项目主要产品为光伏桩，属于光伏建筑一体化部品部件，为发展光伏能源提供基本条件，符合</w:t>
            </w:r>
            <w:r>
              <w:rPr>
                <w:rStyle w:val="33"/>
                <w:bCs/>
                <w:sz w:val="24"/>
                <w:szCs w:val="24"/>
              </w:rPr>
              <w:t>《巴音郭楞蒙古自治州生态环境“十四五”规划》的要求</w:t>
            </w:r>
            <w:r>
              <w:rPr>
                <w:sz w:val="24"/>
                <w:szCs w:val="24"/>
              </w:rPr>
              <w:t>。</w:t>
            </w:r>
          </w:p>
          <w:p>
            <w:pPr>
              <w:pStyle w:val="42"/>
              <w:spacing w:line="360" w:lineRule="auto"/>
              <w:ind w:firstLine="422"/>
              <w:rPr>
                <w:rStyle w:val="33"/>
                <w:rFonts w:cs="Times New Roman"/>
                <w:b/>
                <w:sz w:val="24"/>
                <w:szCs w:val="24"/>
              </w:rPr>
            </w:pPr>
            <w:r>
              <w:rPr>
                <w:rStyle w:val="33"/>
                <w:rFonts w:cs="Times New Roman"/>
                <w:b/>
                <w:sz w:val="24"/>
                <w:szCs w:val="24"/>
              </w:rPr>
              <w:t>9、《新疆维吾尔自治区环境保护条例》的符合性分析</w:t>
            </w:r>
          </w:p>
          <w:p>
            <w:pPr>
              <w:pStyle w:val="42"/>
              <w:spacing w:line="360" w:lineRule="auto"/>
              <w:ind w:firstLine="420"/>
              <w:rPr>
                <w:rFonts w:cs="Times New Roman"/>
              </w:rPr>
            </w:pPr>
            <w:r>
              <w:rPr>
                <w:rFonts w:cs="Times New Roman"/>
              </w:rPr>
              <w:t>《新疆维吾尔自治区环境保护条例》要求“各级人民政府应当采取措施，调整能源结构，淘汰落后产能，加强煤炭清洁高效利用，实施燃煤电厂超低排放和节能改造，鼓励开发利用低污染、无污染的清洁能源。</w:t>
            </w:r>
          </w:p>
          <w:p>
            <w:pPr>
              <w:pStyle w:val="42"/>
              <w:spacing w:line="360" w:lineRule="auto"/>
              <w:ind w:firstLine="480"/>
              <w:rPr>
                <w:rFonts w:cs="Times New Roman"/>
              </w:rPr>
            </w:pPr>
            <w:r>
              <w:rPr>
                <w:rFonts w:cs="Times New Roman"/>
              </w:rPr>
              <w:t>在自治区行政区域内严格控制引进高排放、高污染、高耗能项目，禁止建设不符合国家和自治区环境保护标准的项目</w:t>
            </w:r>
            <w:r>
              <w:rPr>
                <w:rStyle w:val="33"/>
                <w:rFonts w:cs="Times New Roman"/>
              </w:rPr>
              <w:t>”，本项目不属于</w:t>
            </w:r>
            <w:r>
              <w:rPr>
                <w:rFonts w:cs="Times New Roman"/>
              </w:rPr>
              <w:t>高排放、高污染、高耗能项目，相关排放标准科达到相关环境保护标准。并且本项目生产采用醇基锅炉，属于清洁能源。项目符合《新疆维吾尔自治区环境保护条例》相关要求。</w:t>
            </w:r>
          </w:p>
          <w:p>
            <w:pPr>
              <w:ind w:firstLine="422" w:firstLineChars="200"/>
              <w:rPr>
                <w:rStyle w:val="33"/>
                <w:b/>
                <w:szCs w:val="21"/>
              </w:rPr>
            </w:pPr>
            <w:r>
              <w:rPr>
                <w:rStyle w:val="33"/>
                <w:b/>
                <w:szCs w:val="21"/>
              </w:rPr>
              <w:t>10、与《新疆维吾尔自治区大气污染防治条例》相符性分析</w:t>
            </w:r>
          </w:p>
          <w:p>
            <w:pPr>
              <w:pStyle w:val="38"/>
              <w:rPr>
                <w:rStyle w:val="33"/>
                <w:bCs/>
                <w:color w:val="auto"/>
              </w:rPr>
            </w:pPr>
            <w:r>
              <w:rPr>
                <w:rStyle w:val="33"/>
                <w:bCs/>
                <w:color w:val="auto"/>
              </w:rPr>
              <w:t>表1-</w:t>
            </w:r>
            <w:r>
              <w:rPr>
                <w:rStyle w:val="33"/>
                <w:rFonts w:hint="eastAsia"/>
                <w:bCs/>
                <w:color w:val="auto"/>
                <w:lang w:val="en-US" w:eastAsia="zh-CN"/>
              </w:rPr>
              <w:t>4</w:t>
            </w:r>
            <w:r>
              <w:rPr>
                <w:rStyle w:val="33"/>
                <w:bCs/>
                <w:color w:val="auto"/>
              </w:rPr>
              <w:t>与《新疆维吾尔自治区大气污染防治条例》相符性</w:t>
            </w:r>
          </w:p>
          <w:tbl>
            <w:tblPr>
              <w:tblStyle w:val="27"/>
              <w:tblW w:w="685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2268"/>
              <w:gridCol w:w="12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1" w:type="dxa"/>
                  <w:vAlign w:val="center"/>
                </w:tcPr>
                <w:p>
                  <w:pPr>
                    <w:pStyle w:val="87"/>
                    <w:rPr>
                      <w:rFonts w:ascii="Times New Roman" w:hAnsi="Times New Roman" w:cs="Times New Roman"/>
                    </w:rPr>
                  </w:pPr>
                  <w:r>
                    <w:rPr>
                      <w:rFonts w:ascii="Times New Roman" w:hAnsi="Times New Roman" w:cs="Times New Roman"/>
                      <w:lang w:bidi="ar"/>
                    </w:rPr>
                    <w:t>条例要求</w:t>
                  </w:r>
                </w:p>
              </w:tc>
              <w:tc>
                <w:tcPr>
                  <w:tcW w:w="2268" w:type="dxa"/>
                  <w:vAlign w:val="center"/>
                </w:tcPr>
                <w:p>
                  <w:pPr>
                    <w:pStyle w:val="87"/>
                    <w:rPr>
                      <w:rFonts w:ascii="Times New Roman" w:hAnsi="Times New Roman" w:cs="Times New Roman"/>
                    </w:rPr>
                  </w:pPr>
                  <w:r>
                    <w:rPr>
                      <w:rFonts w:ascii="Times New Roman" w:hAnsi="Times New Roman" w:cs="Times New Roman"/>
                      <w:lang w:bidi="ar"/>
                    </w:rPr>
                    <w:t>项目情况</w:t>
                  </w:r>
                </w:p>
              </w:tc>
              <w:tc>
                <w:tcPr>
                  <w:tcW w:w="1261" w:type="dxa"/>
                  <w:vAlign w:val="center"/>
                </w:tcPr>
                <w:p>
                  <w:pPr>
                    <w:pStyle w:val="87"/>
                    <w:rPr>
                      <w:rFonts w:ascii="Times New Roman" w:hAnsi="Times New Roman" w:cs="Times New Roman"/>
                    </w:rPr>
                  </w:pPr>
                  <w:r>
                    <w:rPr>
                      <w:rFonts w:ascii="Times New Roman" w:hAnsi="Times New Roman" w:cs="Times New Roman"/>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1" w:type="dxa"/>
                </w:tcPr>
                <w:p>
                  <w:pPr>
                    <w:pStyle w:val="87"/>
                    <w:rPr>
                      <w:rFonts w:ascii="Times New Roman" w:hAnsi="Times New Roman" w:cs="Times New Roman"/>
                    </w:rPr>
                  </w:pPr>
                  <w:r>
                    <w:rPr>
                      <w:rFonts w:ascii="Times New Roman" w:hAnsi="Times New Roman" w:cs="Times New Roman"/>
                    </w:rPr>
                    <w:t>第十六条向大气排放污染物的排污单位，应当按照国家和自治区的规定，设置大气污染物排放口，并明确其标志。</w:t>
                  </w:r>
                </w:p>
              </w:tc>
              <w:tc>
                <w:tcPr>
                  <w:tcW w:w="2268" w:type="dxa"/>
                </w:tcPr>
                <w:p>
                  <w:pPr>
                    <w:pStyle w:val="87"/>
                    <w:rPr>
                      <w:rFonts w:ascii="Times New Roman" w:hAnsi="Times New Roman" w:cs="Times New Roman"/>
                    </w:rPr>
                  </w:pPr>
                  <w:r>
                    <w:rPr>
                      <w:rFonts w:ascii="Times New Roman" w:hAnsi="Times New Roman" w:cs="Times New Roman"/>
                    </w:rPr>
                    <w:t>本环评要求项目建设完成后应当按照国家和自治区的规定，设置大气污染物排放口，并明确其标志。</w:t>
                  </w:r>
                </w:p>
              </w:tc>
              <w:tc>
                <w:tcPr>
                  <w:tcW w:w="1261" w:type="dxa"/>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1" w:type="dxa"/>
                </w:tcPr>
                <w:p>
                  <w:pPr>
                    <w:pStyle w:val="87"/>
                    <w:rPr>
                      <w:rFonts w:ascii="Times New Roman" w:hAnsi="Times New Roman" w:cs="Times New Roman"/>
                    </w:rPr>
                  </w:pPr>
                  <w:r>
                    <w:rPr>
                      <w:rFonts w:ascii="Times New Roman" w:hAnsi="Times New Roman" w:cs="Times New Roman"/>
                    </w:rPr>
                    <w:t>第二十四条在集中供热未覆盖的区域，鼓励使用清洁能源替代，推广使用高效节能环保型锅炉。</w:t>
                  </w:r>
                </w:p>
              </w:tc>
              <w:tc>
                <w:tcPr>
                  <w:tcW w:w="2268" w:type="dxa"/>
                </w:tcPr>
                <w:p>
                  <w:pPr>
                    <w:pStyle w:val="87"/>
                    <w:rPr>
                      <w:rFonts w:ascii="Times New Roman" w:hAnsi="Times New Roman" w:cs="Times New Roman"/>
                    </w:rPr>
                  </w:pPr>
                  <w:r>
                    <w:rPr>
                      <w:rFonts w:ascii="Times New Roman" w:hAnsi="Times New Roman" w:cs="Times New Roman"/>
                    </w:rPr>
                    <w:t>本项目使用的是醇基锅炉，属于清洁能源。</w:t>
                  </w:r>
                </w:p>
              </w:tc>
              <w:tc>
                <w:tcPr>
                  <w:tcW w:w="1261" w:type="dxa"/>
                </w:tcPr>
                <w:p>
                  <w:pPr>
                    <w:pStyle w:val="87"/>
                    <w:rPr>
                      <w:rFonts w:ascii="Times New Roman" w:hAnsi="Times New Roman" w:cs="Times New Roman"/>
                    </w:rPr>
                  </w:pPr>
                  <w:r>
                    <w:rPr>
                      <w:rFonts w:ascii="Times New Roman" w:hAnsi="Times New Roman" w:cs="Times New Roman"/>
                    </w:rPr>
                    <w:t>符合</w:t>
                  </w:r>
                </w:p>
              </w:tc>
            </w:tr>
          </w:tbl>
          <w:p>
            <w:pPr>
              <w:ind w:firstLine="422" w:firstLineChars="200"/>
              <w:rPr>
                <w:rStyle w:val="33"/>
                <w:b/>
                <w:szCs w:val="21"/>
              </w:rPr>
            </w:pPr>
            <w:r>
              <w:rPr>
                <w:rStyle w:val="33"/>
                <w:b/>
                <w:szCs w:val="21"/>
              </w:rPr>
              <w:t>11、与《工业料堆场扬尘整治规范》（DB65/T4061—2017）相符性分析</w:t>
            </w:r>
          </w:p>
          <w:p>
            <w:pPr>
              <w:ind w:firstLine="422" w:firstLineChars="200"/>
              <w:rPr>
                <w:rStyle w:val="33"/>
                <w:b/>
                <w:bCs/>
                <w:szCs w:val="21"/>
              </w:rPr>
            </w:pPr>
            <w:r>
              <w:rPr>
                <w:rStyle w:val="33"/>
                <w:b/>
                <w:bCs/>
                <w:szCs w:val="21"/>
              </w:rPr>
              <w:t>表1-</w:t>
            </w:r>
            <w:r>
              <w:rPr>
                <w:rStyle w:val="33"/>
                <w:rFonts w:hint="eastAsia"/>
                <w:b/>
                <w:bCs/>
                <w:szCs w:val="21"/>
                <w:lang w:val="en-US" w:eastAsia="zh-CN"/>
              </w:rPr>
              <w:t>5</w:t>
            </w:r>
            <w:r>
              <w:rPr>
                <w:rStyle w:val="33"/>
                <w:b/>
                <w:bCs/>
                <w:szCs w:val="21"/>
              </w:rPr>
              <w:t>与《工业料堆场扬尘整治规范》（DB65/T4061—2017）相符性</w:t>
            </w:r>
          </w:p>
          <w:tbl>
            <w:tblPr>
              <w:tblStyle w:val="27"/>
              <w:tblW w:w="655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96"/>
              <w:gridCol w:w="2267"/>
              <w:gridCol w:w="8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396" w:type="dxa"/>
                </w:tcPr>
                <w:p>
                  <w:pPr>
                    <w:pStyle w:val="87"/>
                    <w:rPr>
                      <w:rFonts w:ascii="Times New Roman" w:hAnsi="Times New Roman" w:cs="Times New Roman"/>
                    </w:rPr>
                  </w:pPr>
                  <w:r>
                    <w:rPr>
                      <w:rFonts w:ascii="Times New Roman" w:hAnsi="Times New Roman" w:cs="Times New Roman"/>
                    </w:rPr>
                    <w:t>规范要求</w:t>
                  </w:r>
                </w:p>
              </w:tc>
              <w:tc>
                <w:tcPr>
                  <w:tcW w:w="2267" w:type="dxa"/>
                </w:tcPr>
                <w:p>
                  <w:pPr>
                    <w:pStyle w:val="87"/>
                    <w:rPr>
                      <w:rFonts w:ascii="Times New Roman" w:hAnsi="Times New Roman" w:cs="Times New Roman"/>
                    </w:rPr>
                  </w:pPr>
                  <w:r>
                    <w:rPr>
                      <w:rFonts w:ascii="Times New Roman" w:hAnsi="Times New Roman" w:cs="Times New Roman"/>
                    </w:rPr>
                    <w:t>项目情况</w:t>
                  </w:r>
                </w:p>
              </w:tc>
              <w:tc>
                <w:tcPr>
                  <w:tcW w:w="895" w:type="dxa"/>
                </w:tcPr>
                <w:p>
                  <w:pPr>
                    <w:pStyle w:val="87"/>
                    <w:rPr>
                      <w:rFonts w:ascii="Times New Roman" w:hAnsi="Times New Roman" w:cs="Times New Roman"/>
                    </w:rPr>
                  </w:pPr>
                  <w:r>
                    <w:rPr>
                      <w:rFonts w:ascii="Times New Roman" w:hAnsi="Times New Roman" w:cs="Times New Roman"/>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396" w:type="dxa"/>
                </w:tcPr>
                <w:p>
                  <w:pPr>
                    <w:pStyle w:val="87"/>
                    <w:rPr>
                      <w:rFonts w:ascii="Times New Roman" w:hAnsi="Times New Roman" w:cs="Times New Roman"/>
                    </w:rPr>
                  </w:pPr>
                  <w:r>
                    <w:rPr>
                      <w:rFonts w:ascii="Times New Roman" w:hAnsi="Times New Roman" w:cs="Times New Roman"/>
                    </w:rPr>
                    <w:t>工业堆料厂与生产车间布置，应符合相关要求，原、燃料堆场及全厂性仓库（棚）宜集中布置在原、燃料进厂处或靠近主要用户的一个区域内。</w:t>
                  </w:r>
                </w:p>
              </w:tc>
              <w:tc>
                <w:tcPr>
                  <w:tcW w:w="2267" w:type="dxa"/>
                </w:tcPr>
                <w:p>
                  <w:pPr>
                    <w:pStyle w:val="87"/>
                    <w:rPr>
                      <w:rFonts w:ascii="Times New Roman" w:hAnsi="Times New Roman" w:cs="Times New Roman"/>
                    </w:rPr>
                  </w:pPr>
                  <w:r>
                    <w:rPr>
                      <w:rFonts w:ascii="Times New Roman" w:hAnsi="Times New Roman" w:cs="Times New Roman"/>
                    </w:rPr>
                    <w:t>本项目原、燃料堆场集中布置，设置合理</w:t>
                  </w:r>
                </w:p>
              </w:tc>
              <w:tc>
                <w:tcPr>
                  <w:tcW w:w="895" w:type="dxa"/>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396" w:type="dxa"/>
                </w:tcPr>
                <w:p>
                  <w:pPr>
                    <w:pStyle w:val="87"/>
                    <w:rPr>
                      <w:rFonts w:ascii="Times New Roman" w:hAnsi="Times New Roman" w:cs="Times New Roman"/>
                    </w:rPr>
                  </w:pPr>
                  <w:r>
                    <w:rPr>
                      <w:rFonts w:ascii="Times New Roman" w:hAnsi="Times New Roman" w:cs="Times New Roman"/>
                    </w:rPr>
                    <w:t>工业料堆场的污染防治应从源头控制、减少堆存量，通过优化生产原料配置、厂区布置，提高管理水平、改善污染防治技术工艺，加强综合利用等措施减少环境污染。</w:t>
                  </w:r>
                </w:p>
              </w:tc>
              <w:tc>
                <w:tcPr>
                  <w:tcW w:w="2267" w:type="dxa"/>
                </w:tcPr>
                <w:p>
                  <w:pPr>
                    <w:pStyle w:val="87"/>
                    <w:rPr>
                      <w:rFonts w:ascii="Times New Roman" w:hAnsi="Times New Roman" w:cs="Times New Roman"/>
                    </w:rPr>
                  </w:pPr>
                  <w:r>
                    <w:rPr>
                      <w:rFonts w:ascii="Times New Roman" w:hAnsi="Times New Roman" w:cs="Times New Roman"/>
                    </w:rPr>
                    <w:t>本环评要求项目区堆棚内减少堆存量，对原料加强覆盖，从而减少环境污染。</w:t>
                  </w:r>
                </w:p>
              </w:tc>
              <w:tc>
                <w:tcPr>
                  <w:tcW w:w="895" w:type="dxa"/>
                </w:tcPr>
                <w:p>
                  <w:pPr>
                    <w:pStyle w:val="87"/>
                    <w:rPr>
                      <w:rFonts w:ascii="Times New Roman" w:hAnsi="Times New Roman" w:cs="Times New Roman"/>
                    </w:rPr>
                  </w:pPr>
                  <w:r>
                    <w:rPr>
                      <w:rFonts w:ascii="Times New Roman" w:hAnsi="Times New Roman" w:cs="Times New Roma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3396" w:type="dxa"/>
                </w:tcPr>
                <w:p>
                  <w:pPr>
                    <w:pStyle w:val="87"/>
                    <w:rPr>
                      <w:rFonts w:ascii="Times New Roman" w:hAnsi="Times New Roman" w:cs="Times New Roman"/>
                    </w:rPr>
                  </w:pPr>
                  <w:r>
                    <w:rPr>
                      <w:rFonts w:ascii="Times New Roman" w:hAnsi="Times New Roman" w:cs="Times New Roman"/>
                    </w:rPr>
                    <w:t>对工业料堆场内装卸、运输等作业过程中，易产生扬尘污染的物料必须采取封闭、遮盖、洒水抑尘等措施，密闭输送物料必须在装料、卸料处配备吸尘、喷淋防尘措施。</w:t>
                  </w:r>
                </w:p>
              </w:tc>
              <w:tc>
                <w:tcPr>
                  <w:tcW w:w="2267" w:type="dxa"/>
                </w:tcPr>
                <w:p>
                  <w:pPr>
                    <w:pStyle w:val="87"/>
                    <w:rPr>
                      <w:rFonts w:ascii="Times New Roman" w:hAnsi="Times New Roman" w:cs="Times New Roman"/>
                    </w:rPr>
                  </w:pPr>
                  <w:r>
                    <w:rPr>
                      <w:rFonts w:ascii="Times New Roman" w:hAnsi="Times New Roman" w:cs="Times New Roman"/>
                    </w:rPr>
                    <w:t>本环评要求对工业料堆场内装卸、运输等作业过程中，易产生扬尘污染的物料必须采取封闭、遮盖、洒水抑尘等措施。</w:t>
                  </w:r>
                </w:p>
              </w:tc>
              <w:tc>
                <w:tcPr>
                  <w:tcW w:w="895" w:type="dxa"/>
                </w:tcPr>
                <w:p>
                  <w:pPr>
                    <w:pStyle w:val="87"/>
                    <w:rPr>
                      <w:rFonts w:ascii="Times New Roman" w:hAnsi="Times New Roman" w:cs="Times New Roman"/>
                    </w:rPr>
                  </w:pPr>
                  <w:r>
                    <w:rPr>
                      <w:rFonts w:ascii="Times New Roman" w:hAnsi="Times New Roman" w:cs="Times New Roman"/>
                    </w:rPr>
                    <w:t>符合</w:t>
                  </w:r>
                </w:p>
              </w:tc>
            </w:tr>
          </w:tbl>
          <w:p>
            <w:pPr>
              <w:pStyle w:val="42"/>
              <w:numPr>
                <w:ilvl w:val="0"/>
                <w:numId w:val="5"/>
              </w:numPr>
              <w:spacing w:line="360" w:lineRule="auto"/>
              <w:ind w:firstLine="422"/>
              <w:rPr>
                <w:rStyle w:val="33"/>
                <w:rFonts w:cs="Times New Roman"/>
                <w:b/>
              </w:rPr>
            </w:pPr>
            <w:r>
              <w:rPr>
                <w:rStyle w:val="33"/>
                <w:rFonts w:hint="eastAsia" w:cs="Times New Roman"/>
                <w:b/>
                <w:lang w:val="en-US" w:eastAsia="zh-CN"/>
              </w:rPr>
              <w:t>与《自治州大气污染防治三年攻坚行动方案（2023-2025年）》（巴政发〔2023〕27号）</w:t>
            </w:r>
            <w:r>
              <w:rPr>
                <w:rStyle w:val="33"/>
                <w:rFonts w:cs="Times New Roman"/>
                <w:b/>
              </w:rPr>
              <w:t>的符合性分析</w:t>
            </w:r>
          </w:p>
          <w:p>
            <w:pPr>
              <w:pStyle w:val="38"/>
              <w:bidi w:val="0"/>
              <w:rPr>
                <w:rStyle w:val="33"/>
                <w:b/>
                <w:bCs/>
                <w:szCs w:val="21"/>
              </w:rPr>
            </w:pPr>
            <w:r>
              <w:rPr>
                <w:rStyle w:val="33"/>
                <w:b/>
                <w:bCs/>
                <w:szCs w:val="21"/>
              </w:rPr>
              <w:t>表1-</w:t>
            </w:r>
            <w:r>
              <w:rPr>
                <w:rStyle w:val="33"/>
                <w:rFonts w:hint="eastAsia"/>
                <w:b/>
                <w:bCs/>
                <w:szCs w:val="21"/>
                <w:lang w:val="en-US" w:eastAsia="zh-CN"/>
              </w:rPr>
              <w:t>6</w:t>
            </w:r>
            <w:r>
              <w:rPr>
                <w:rStyle w:val="33"/>
                <w:b/>
                <w:bCs/>
                <w:szCs w:val="21"/>
              </w:rPr>
              <w:t>与</w:t>
            </w:r>
            <w:r>
              <w:rPr>
                <w:rStyle w:val="33"/>
                <w:rFonts w:hint="eastAsia" w:cs="Times New Roman"/>
                <w:b/>
                <w:lang w:val="en-US" w:eastAsia="zh-CN"/>
              </w:rPr>
              <w:t>巴政发〔2023〕27号）</w:t>
            </w:r>
            <w:r>
              <w:rPr>
                <w:rStyle w:val="33"/>
                <w:b/>
                <w:bCs/>
                <w:szCs w:val="21"/>
              </w:rPr>
              <w:t>相符性</w:t>
            </w:r>
          </w:p>
          <w:tbl>
            <w:tblPr>
              <w:tblStyle w:val="27"/>
              <w:tblW w:w="673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1677"/>
              <w:gridCol w:w="10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64" w:type="dxa"/>
                </w:tcPr>
                <w:p>
                  <w:pPr>
                    <w:pStyle w:val="39"/>
                    <w:bidi w:val="0"/>
                    <w:rPr>
                      <w:sz w:val="21"/>
                      <w:szCs w:val="21"/>
                    </w:rPr>
                  </w:pPr>
                  <w:r>
                    <w:rPr>
                      <w:rFonts w:hint="eastAsia"/>
                      <w:sz w:val="21"/>
                      <w:szCs w:val="21"/>
                      <w:lang w:val="en-US" w:eastAsia="zh-CN"/>
                    </w:rPr>
                    <w:t>方案</w:t>
                  </w:r>
                  <w:r>
                    <w:rPr>
                      <w:sz w:val="21"/>
                      <w:szCs w:val="21"/>
                    </w:rPr>
                    <w:t>要求</w:t>
                  </w:r>
                </w:p>
              </w:tc>
              <w:tc>
                <w:tcPr>
                  <w:tcW w:w="1677" w:type="dxa"/>
                </w:tcPr>
                <w:p>
                  <w:pPr>
                    <w:pStyle w:val="39"/>
                    <w:bidi w:val="0"/>
                    <w:rPr>
                      <w:sz w:val="21"/>
                      <w:szCs w:val="21"/>
                    </w:rPr>
                  </w:pPr>
                  <w:r>
                    <w:rPr>
                      <w:sz w:val="21"/>
                      <w:szCs w:val="21"/>
                    </w:rPr>
                    <w:t>项目情况</w:t>
                  </w:r>
                </w:p>
              </w:tc>
              <w:tc>
                <w:tcPr>
                  <w:tcW w:w="1098" w:type="dxa"/>
                </w:tcPr>
                <w:p>
                  <w:pPr>
                    <w:pStyle w:val="39"/>
                    <w:bidi w:val="0"/>
                    <w:rPr>
                      <w:sz w:val="21"/>
                      <w:szCs w:val="21"/>
                    </w:rPr>
                  </w:pPr>
                  <w:r>
                    <w:rPr>
                      <w:sz w:val="21"/>
                      <w:szCs w:val="21"/>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40" w:hRule="atLeast"/>
              </w:trPr>
              <w:tc>
                <w:tcPr>
                  <w:tcW w:w="3964" w:type="dxa"/>
                </w:tcPr>
                <w:p>
                  <w:pPr>
                    <w:pStyle w:val="39"/>
                    <w:bidi w:val="0"/>
                    <w:rPr>
                      <w:sz w:val="21"/>
                      <w:szCs w:val="21"/>
                    </w:rPr>
                  </w:pPr>
                  <w:r>
                    <w:rPr>
                      <w:sz w:val="21"/>
                      <w:szCs w:val="21"/>
                      <w:lang w:val="en-US" w:eastAsia="zh-CN"/>
                    </w:rPr>
                    <w:t>严把高耗能、高排放、低水平项目准入关</w:t>
                  </w:r>
                  <w:r>
                    <w:rPr>
                      <w:rFonts w:hint="eastAsia"/>
                      <w:sz w:val="21"/>
                      <w:szCs w:val="21"/>
                      <w:lang w:val="en-US" w:eastAsia="zh-CN"/>
                    </w:rPr>
                    <w:t>口，严格落实国家产业规划、产业政策、“三线一单”、规划环评，以及产能置换、煤炭消费减量替代、区域污染物消减要求，</w:t>
                  </w:r>
                </w:p>
                <w:p>
                  <w:pPr>
                    <w:pStyle w:val="39"/>
                    <w:bidi w:val="0"/>
                    <w:rPr>
                      <w:sz w:val="21"/>
                      <w:szCs w:val="21"/>
                    </w:rPr>
                  </w:pPr>
                  <w:r>
                    <w:rPr>
                      <w:rFonts w:hint="eastAsia"/>
                      <w:sz w:val="21"/>
                      <w:szCs w:val="21"/>
                      <w:lang w:val="en-US" w:eastAsia="zh-CN"/>
                    </w:rPr>
                    <w:t>对不符合规定的项目坚决停批停建。加强已审批高耗能高排放项目环评文件审查，动态更新管理台账。库尔勒大气污染联防联控区严禁新增钢铁、水泥熟料、平板玻璃、炼油产能。其他地区钢铁、水泥熟料、平板玻璃、炼油、电解铝等新建、扩建项目严格实施产能等量置换要求</w:t>
                  </w:r>
                </w:p>
              </w:tc>
              <w:tc>
                <w:tcPr>
                  <w:tcW w:w="1677" w:type="dxa"/>
                </w:tcPr>
                <w:p>
                  <w:pPr>
                    <w:pStyle w:val="39"/>
                    <w:bidi w:val="0"/>
                    <w:rPr>
                      <w:rFonts w:hint="default" w:eastAsia="宋体"/>
                      <w:sz w:val="21"/>
                      <w:szCs w:val="21"/>
                      <w:lang w:val="en-US" w:eastAsia="zh-CN"/>
                    </w:rPr>
                  </w:pPr>
                  <w:r>
                    <w:rPr>
                      <w:sz w:val="21"/>
                      <w:szCs w:val="21"/>
                    </w:rPr>
                    <w:t>本项目</w:t>
                  </w:r>
                  <w:r>
                    <w:rPr>
                      <w:rFonts w:hint="eastAsia"/>
                      <w:sz w:val="21"/>
                      <w:szCs w:val="21"/>
                      <w:lang w:val="en-US" w:eastAsia="zh-CN"/>
                    </w:rPr>
                    <w:t>不属于</w:t>
                  </w:r>
                  <w:r>
                    <w:rPr>
                      <w:sz w:val="21"/>
                      <w:szCs w:val="21"/>
                      <w:lang w:val="en-US" w:eastAsia="zh-CN"/>
                    </w:rPr>
                    <w:t>高耗能、高排放、低水平项目</w:t>
                  </w:r>
                  <w:r>
                    <w:rPr>
                      <w:rFonts w:hint="eastAsia"/>
                      <w:sz w:val="21"/>
                      <w:szCs w:val="21"/>
                      <w:lang w:val="en-US" w:eastAsia="zh-CN"/>
                    </w:rPr>
                    <w:t>，项目符合国家产业政策。项目锅炉燃料采用醇基，属于清洁能源。</w:t>
                  </w:r>
                </w:p>
              </w:tc>
              <w:tc>
                <w:tcPr>
                  <w:tcW w:w="1098" w:type="dxa"/>
                </w:tcPr>
                <w:p>
                  <w:pPr>
                    <w:pStyle w:val="39"/>
                    <w:bidi w:val="0"/>
                    <w:rPr>
                      <w:sz w:val="21"/>
                      <w:szCs w:val="21"/>
                    </w:rPr>
                  </w:pPr>
                  <w:r>
                    <w:rPr>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64" w:type="dxa"/>
                </w:tcPr>
                <w:p>
                  <w:pPr>
                    <w:pStyle w:val="39"/>
                    <w:bidi w:val="0"/>
                    <w:rPr>
                      <w:sz w:val="21"/>
                      <w:szCs w:val="21"/>
                    </w:rPr>
                  </w:pPr>
                  <w:r>
                    <w:rPr>
                      <w:sz w:val="21"/>
                      <w:szCs w:val="21"/>
                      <w:lang w:val="en-US" w:eastAsia="zh-CN"/>
                    </w:rPr>
                    <w:t>构建新能源占比逐渐提高的新型电力</w:t>
                  </w:r>
                  <w:r>
                    <w:rPr>
                      <w:rFonts w:hint="eastAsia"/>
                      <w:sz w:val="21"/>
                      <w:szCs w:val="21"/>
                      <w:lang w:val="en-US" w:eastAsia="zh-CN"/>
                    </w:rPr>
                    <w:t>系统，推动风能、光能、水能、氢能等清洁能源产业一体化配套发展，积极开发分布式太阳能发电和分散式风电。</w:t>
                  </w:r>
                </w:p>
              </w:tc>
              <w:tc>
                <w:tcPr>
                  <w:tcW w:w="1677" w:type="dxa"/>
                </w:tcPr>
                <w:p>
                  <w:pPr>
                    <w:pStyle w:val="39"/>
                    <w:bidi w:val="0"/>
                    <w:rPr>
                      <w:rFonts w:hint="default" w:eastAsia="宋体"/>
                      <w:sz w:val="21"/>
                      <w:szCs w:val="21"/>
                      <w:lang w:val="en-US" w:eastAsia="zh-CN"/>
                    </w:rPr>
                  </w:pPr>
                  <w:r>
                    <w:rPr>
                      <w:rFonts w:hint="eastAsia"/>
                      <w:sz w:val="21"/>
                      <w:szCs w:val="21"/>
                      <w:lang w:val="en-US" w:eastAsia="zh-CN"/>
                    </w:rPr>
                    <w:t>本项目属于推动新能源发展的基础设施建设</w:t>
                  </w:r>
                </w:p>
              </w:tc>
              <w:tc>
                <w:tcPr>
                  <w:tcW w:w="1098" w:type="dxa"/>
                </w:tcPr>
                <w:p>
                  <w:pPr>
                    <w:pStyle w:val="39"/>
                    <w:bidi w:val="0"/>
                    <w:rPr>
                      <w:sz w:val="21"/>
                      <w:szCs w:val="21"/>
                    </w:rPr>
                  </w:pPr>
                  <w:r>
                    <w:rPr>
                      <w:sz w:val="21"/>
                      <w:szCs w:val="21"/>
                    </w:rPr>
                    <w:t>符合</w:t>
                  </w:r>
                </w:p>
              </w:tc>
            </w:tr>
          </w:tbl>
          <w:p>
            <w:pPr>
              <w:pStyle w:val="38"/>
              <w:bidi w:val="0"/>
              <w:rPr>
                <w:rStyle w:val="33"/>
                <w:b/>
                <w:bCs/>
                <w:szCs w:val="21"/>
              </w:rPr>
            </w:pPr>
          </w:p>
          <w:p>
            <w:pPr>
              <w:pStyle w:val="38"/>
              <w:bidi w:val="0"/>
              <w:rPr>
                <w:rStyle w:val="33"/>
                <w:b/>
                <w:bCs/>
                <w:szCs w:val="21"/>
              </w:rPr>
            </w:pPr>
          </w:p>
          <w:p>
            <w:pPr>
              <w:pStyle w:val="42"/>
              <w:numPr>
                <w:ilvl w:val="0"/>
                <w:numId w:val="0"/>
              </w:numPr>
              <w:spacing w:line="360" w:lineRule="auto"/>
              <w:rPr>
                <w:rStyle w:val="33"/>
                <w:b/>
                <w:bCs/>
                <w:szCs w:val="21"/>
              </w:rPr>
            </w:pPr>
          </w:p>
          <w:p>
            <w:pPr>
              <w:pStyle w:val="42"/>
              <w:ind w:firstLine="480"/>
              <w:rPr>
                <w:rFonts w:cs="Times New Roman"/>
              </w:rPr>
            </w:pPr>
          </w:p>
          <w:p/>
          <w:p/>
          <w:p/>
          <w:p/>
          <w:p/>
          <w:p>
            <w:pPr>
              <w:bidi w:val="0"/>
            </w:pPr>
          </w:p>
          <w:p>
            <w:pPr>
              <w:pStyle w:val="2"/>
              <w:numPr>
                <w:ilvl w:val="1"/>
                <w:numId w:val="0"/>
              </w:numPr>
              <w:ind w:leftChars="0"/>
            </w:pPr>
          </w:p>
          <w:p>
            <w:pPr>
              <w:pStyle w:val="2"/>
              <w:numPr>
                <w:ilvl w:val="1"/>
                <w:numId w:val="0"/>
              </w:numPr>
              <w:ind w:leftChars="0"/>
            </w:pPr>
          </w:p>
          <w:p>
            <w:pPr>
              <w:pStyle w:val="2"/>
              <w:numPr>
                <w:ilvl w:val="1"/>
                <w:numId w:val="0"/>
              </w:numPr>
              <w:ind w:leftChars="0"/>
            </w:pPr>
          </w:p>
          <w:p/>
        </w:tc>
      </w:tr>
    </w:tbl>
    <w:p>
      <w:pPr>
        <w:adjustRightInd w:val="0"/>
        <w:snapToGrid w:val="0"/>
        <w:outlineLvl w:val="0"/>
        <w:rPr>
          <w:rFonts w:eastAsia="黑体"/>
          <w:sz w:val="30"/>
          <w:highlight w:val="yellow"/>
        </w:rPr>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1"/>
        <w:adjustRightInd w:val="0"/>
        <w:snapToGrid w:val="0"/>
        <w:spacing w:before="0" w:beforeAutospacing="0" w:after="0" w:afterAutospacing="0"/>
        <w:jc w:val="center"/>
        <w:outlineLvl w:val="0"/>
        <w:rPr>
          <w:rFonts w:ascii="Times New Roman" w:eastAsia="黑体"/>
          <w:snapToGrid w:val="0"/>
          <w:sz w:val="30"/>
          <w:szCs w:val="30"/>
        </w:rPr>
      </w:pPr>
      <w:r>
        <w:rPr>
          <w:rFonts w:ascii="Times New Roman" w:eastAsia="黑体"/>
          <w:snapToGrid w:val="0"/>
          <w:sz w:val="30"/>
          <w:szCs w:val="30"/>
        </w:rPr>
        <w:t>二、建设项目工程分析</w:t>
      </w:r>
    </w:p>
    <w:tbl>
      <w:tblPr>
        <w:tblStyle w:val="26"/>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676" w:type="dxa"/>
            <w:vAlign w:val="center"/>
          </w:tcPr>
          <w:p>
            <w:pPr>
              <w:pStyle w:val="21"/>
              <w:adjustRightInd w:val="0"/>
              <w:snapToGrid w:val="0"/>
              <w:spacing w:before="0" w:beforeAutospacing="0" w:after="0" w:afterAutospacing="0"/>
              <w:jc w:val="center"/>
              <w:rPr>
                <w:rFonts w:ascii="Times New Roman"/>
                <w:sz w:val="21"/>
                <w:szCs w:val="21"/>
              </w:rPr>
            </w:pPr>
            <w:r>
              <w:rPr>
                <w:rFonts w:ascii="Times New Roman"/>
                <w:b/>
                <w:bCs/>
                <w:sz w:val="24"/>
                <w:szCs w:val="24"/>
              </w:rPr>
              <w:t>建设内容</w:t>
            </w:r>
          </w:p>
        </w:tc>
        <w:tc>
          <w:tcPr>
            <w:tcW w:w="8384" w:type="dxa"/>
          </w:tcPr>
          <w:p>
            <w:pPr>
              <w:pStyle w:val="75"/>
              <w:numPr>
                <w:ilvl w:val="0"/>
                <w:numId w:val="6"/>
              </w:numPr>
              <w:adjustRightInd w:val="0"/>
              <w:snapToGrid w:val="0"/>
              <w:ind w:firstLineChars="0"/>
              <w:outlineLvl w:val="0"/>
              <w:rPr>
                <w:b/>
                <w:szCs w:val="21"/>
              </w:rPr>
            </w:pPr>
            <w:r>
              <w:rPr>
                <w:b/>
                <w:szCs w:val="21"/>
              </w:rPr>
              <w:t>建设内容</w:t>
            </w:r>
          </w:p>
          <w:p>
            <w:pPr>
              <w:ind w:firstLine="480" w:firstLineChars="200"/>
            </w:pPr>
            <w:r>
              <w:t>（1）建设内容</w:t>
            </w:r>
          </w:p>
          <w:p>
            <w:pPr>
              <w:ind w:firstLine="480"/>
              <w:rPr>
                <w:bCs/>
              </w:rPr>
            </w:pPr>
            <w:r>
              <w:rPr>
                <w:bCs/>
              </w:rPr>
              <w:t>本项目位于新疆巴音郭楞蒙古自治州尉犁县工业园区装备制造区二期2号厂房，厂房为租赁</w:t>
            </w:r>
            <w:r>
              <w:rPr>
                <w:rFonts w:hint="eastAsia"/>
                <w:color w:val="auto"/>
                <w:sz w:val="24"/>
                <w:lang w:val="en-US" w:eastAsia="zh-CN"/>
              </w:rPr>
              <w:t>新疆罗布投资发展有限公司标准化厂房</w:t>
            </w:r>
            <w:r>
              <w:rPr>
                <w:bCs/>
              </w:rPr>
              <w:t>，租赁厂房面积</w:t>
            </w:r>
            <w:r>
              <w:rPr>
                <w:rFonts w:hint="eastAsia"/>
                <w:bCs/>
                <w:lang w:eastAsia="zh-CN"/>
              </w:rPr>
              <w:t>5758.4</w:t>
            </w:r>
            <w:r>
              <w:rPr>
                <w:bCs/>
              </w:rPr>
              <w:t>m</w:t>
            </w:r>
            <w:r>
              <w:rPr>
                <w:bCs/>
                <w:vertAlign w:val="superscript"/>
              </w:rPr>
              <w:t>2</w:t>
            </w:r>
            <w:r>
              <w:rPr>
                <w:bCs/>
              </w:rPr>
              <w:t>。</w:t>
            </w:r>
          </w:p>
          <w:p>
            <w:pPr>
              <w:pStyle w:val="37"/>
              <w:ind w:firstLine="480" w:firstLineChars="200"/>
              <w:jc w:val="left"/>
              <w:rPr>
                <w:rFonts w:ascii="Times New Roman" w:cs="Times New Roman"/>
                <w:b w:val="0"/>
                <w:bCs/>
                <w:color w:val="auto"/>
                <w:sz w:val="24"/>
              </w:rPr>
            </w:pPr>
            <w:r>
              <w:rPr>
                <w:rFonts w:ascii="Times New Roman" w:cs="Times New Roman"/>
                <w:b w:val="0"/>
                <w:bCs/>
                <w:color w:val="auto"/>
                <w:sz w:val="24"/>
              </w:rPr>
              <w:t>建设内容：本项目总投资4000万元，</w:t>
            </w:r>
            <w:r>
              <w:rPr>
                <w:rFonts w:hint="eastAsia" w:ascii="Times New Roman" w:cs="Times New Roman"/>
                <w:b w:val="0"/>
                <w:bCs/>
                <w:color w:val="auto"/>
                <w:sz w:val="24"/>
                <w:lang w:val="en-US" w:eastAsia="zh-CN"/>
              </w:rPr>
              <w:t>占地面积</w:t>
            </w:r>
            <w:r>
              <w:rPr>
                <w:rFonts w:hint="eastAsia" w:ascii="Times New Roman" w:cs="Times New Roman"/>
                <w:b w:val="0"/>
                <w:bCs/>
                <w:color w:val="auto"/>
                <w:sz w:val="24"/>
                <w:lang w:eastAsia="zh-CN"/>
              </w:rPr>
              <w:t>5758.4</w:t>
            </w:r>
            <w:r>
              <w:rPr>
                <w:rFonts w:ascii="Times New Roman" w:cs="Times New Roman"/>
                <w:b w:val="0"/>
                <w:bCs/>
                <w:color w:val="auto"/>
                <w:sz w:val="24"/>
              </w:rPr>
              <w:t>m</w:t>
            </w:r>
            <w:r>
              <w:rPr>
                <w:rFonts w:ascii="Times New Roman" w:cs="Times New Roman"/>
                <w:b w:val="0"/>
                <w:bCs/>
                <w:color w:val="auto"/>
                <w:sz w:val="24"/>
                <w:vertAlign w:val="superscript"/>
              </w:rPr>
              <w:t>2</w:t>
            </w:r>
            <w:r>
              <w:rPr>
                <w:rFonts w:ascii="Times New Roman" w:cs="Times New Roman"/>
                <w:b w:val="0"/>
                <w:bCs/>
                <w:color w:val="auto"/>
                <w:sz w:val="24"/>
              </w:rPr>
              <w:t>，</w:t>
            </w:r>
            <w:r>
              <w:rPr>
                <w:rFonts w:hint="eastAsia" w:ascii="Times New Roman" w:cs="Times New Roman"/>
                <w:b w:val="0"/>
                <w:bCs/>
                <w:color w:val="auto"/>
                <w:sz w:val="24"/>
                <w:lang w:val="en-US" w:eastAsia="zh-CN"/>
              </w:rPr>
              <w:t>建设内容主要为水泥筒仓2座、外加剂筒仓1座，醇基储罐1座、醇基锅炉2座及其配套附属设施</w:t>
            </w:r>
            <w:r>
              <w:rPr>
                <w:rFonts w:ascii="Times New Roman" w:cs="Times New Roman"/>
                <w:b w:val="0"/>
                <w:bCs/>
                <w:color w:val="auto"/>
                <w:sz w:val="24"/>
              </w:rPr>
              <w:t>。</w:t>
            </w:r>
          </w:p>
          <w:p>
            <w:pPr>
              <w:pStyle w:val="37"/>
              <w:ind w:firstLine="480" w:firstLineChars="200"/>
              <w:jc w:val="left"/>
              <w:rPr>
                <w:rFonts w:ascii="Times New Roman" w:cs="Times New Roman"/>
                <w:b w:val="0"/>
                <w:bCs/>
                <w:color w:val="auto"/>
                <w:sz w:val="24"/>
              </w:rPr>
            </w:pPr>
            <w:r>
              <w:rPr>
                <w:rFonts w:ascii="Times New Roman" w:cs="Times New Roman"/>
                <w:b w:val="0"/>
                <w:bCs/>
                <w:color w:val="auto"/>
                <w:sz w:val="24"/>
              </w:rPr>
              <w:t>建设规模：本项目建设5条太阳能光伏管桩生产线（同时可生产水泥电杆）；年生产预应力混凝土管桩300万米，其中：年产600毫米光伏管桩（用于风电）50万米，年产300毫米光伏管桩（用于光伏发电）250万米；年生产水泥电杆5000根及附属配套设施。平面布置图见附图3，具体建设内容见表2-1。</w:t>
            </w:r>
          </w:p>
          <w:p>
            <w:pPr>
              <w:pStyle w:val="38"/>
              <w:rPr>
                <w:snapToGrid w:val="0"/>
              </w:rPr>
            </w:pPr>
            <w:r>
              <w:rPr>
                <w:bCs/>
                <w:szCs w:val="16"/>
              </w:rPr>
              <w:t>表2-</w:t>
            </w:r>
            <w:r>
              <w:rPr>
                <w:snapToGrid w:val="0"/>
              </w:rPr>
              <w:t>1项目建设内容一览表</w:t>
            </w:r>
          </w:p>
          <w:tbl>
            <w:tblPr>
              <w:tblStyle w:val="26"/>
              <w:tblW w:w="816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92"/>
              <w:gridCol w:w="5191"/>
              <w:gridCol w:w="8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Align w:val="center"/>
                </w:tcPr>
                <w:p>
                  <w:pPr>
                    <w:pStyle w:val="87"/>
                    <w:rPr>
                      <w:rFonts w:ascii="Times New Roman" w:hAnsi="Times New Roman" w:cs="Times New Roman"/>
                    </w:rPr>
                  </w:pPr>
                  <w:r>
                    <w:rPr>
                      <w:rFonts w:ascii="Times New Roman" w:hAnsi="Times New Roman" w:cs="Times New Roman"/>
                    </w:rPr>
                    <w:t>类别</w:t>
                  </w:r>
                </w:p>
              </w:tc>
              <w:tc>
                <w:tcPr>
                  <w:tcW w:w="1392" w:type="dxa"/>
                  <w:vAlign w:val="center"/>
                </w:tcPr>
                <w:p>
                  <w:pPr>
                    <w:pStyle w:val="87"/>
                    <w:rPr>
                      <w:rFonts w:ascii="Times New Roman" w:hAnsi="Times New Roman" w:cs="Times New Roman"/>
                    </w:rPr>
                  </w:pPr>
                  <w:r>
                    <w:rPr>
                      <w:rFonts w:ascii="Times New Roman" w:hAnsi="Times New Roman" w:cs="Times New Roman"/>
                    </w:rPr>
                    <w:t>名称</w:t>
                  </w:r>
                </w:p>
              </w:tc>
              <w:tc>
                <w:tcPr>
                  <w:tcW w:w="5191" w:type="dxa"/>
                  <w:vAlign w:val="center"/>
                </w:tcPr>
                <w:p>
                  <w:pPr>
                    <w:pStyle w:val="87"/>
                    <w:rPr>
                      <w:rFonts w:ascii="Times New Roman" w:hAnsi="Times New Roman" w:cs="Times New Roman"/>
                    </w:rPr>
                  </w:pPr>
                  <w:r>
                    <w:rPr>
                      <w:rFonts w:ascii="Times New Roman" w:hAnsi="Times New Roman" w:cs="Times New Roman"/>
                    </w:rPr>
                    <w:t>工程内容及规模</w:t>
                  </w:r>
                </w:p>
              </w:tc>
              <w:tc>
                <w:tcPr>
                  <w:tcW w:w="876" w:type="dxa"/>
                  <w:vAlign w:val="center"/>
                </w:tcPr>
                <w:p>
                  <w:pPr>
                    <w:pStyle w:val="87"/>
                    <w:rPr>
                      <w:rFonts w:ascii="Times New Roman" w:hAnsi="Times New Roman" w:cs="Times New Roman"/>
                    </w:rPr>
                  </w:pPr>
                  <w:r>
                    <w:rPr>
                      <w:rFonts w:ascii="Times New Roman" w:hAnsi="Times New Roman" w:cs="Times New Roma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Align w:val="center"/>
                </w:tcPr>
                <w:p>
                  <w:pPr>
                    <w:pStyle w:val="87"/>
                    <w:rPr>
                      <w:rFonts w:ascii="Times New Roman" w:hAnsi="Times New Roman" w:cs="Times New Roman"/>
                    </w:rPr>
                  </w:pPr>
                  <w:r>
                    <w:rPr>
                      <w:rFonts w:ascii="Times New Roman" w:hAnsi="Times New Roman" w:cs="Times New Roman"/>
                    </w:rPr>
                    <w:t>主体工程</w:t>
                  </w:r>
                </w:p>
              </w:tc>
              <w:tc>
                <w:tcPr>
                  <w:tcW w:w="1392" w:type="dxa"/>
                  <w:vAlign w:val="center"/>
                </w:tcPr>
                <w:p>
                  <w:pPr>
                    <w:pStyle w:val="87"/>
                    <w:rPr>
                      <w:rFonts w:ascii="Times New Roman" w:hAnsi="Times New Roman" w:cs="Times New Roman"/>
                    </w:rPr>
                  </w:pPr>
                  <w:r>
                    <w:rPr>
                      <w:rFonts w:ascii="Times New Roman" w:hAnsi="Times New Roman" w:cs="Times New Roman"/>
                    </w:rPr>
                    <w:t>生产车间</w:t>
                  </w:r>
                </w:p>
              </w:tc>
              <w:tc>
                <w:tcPr>
                  <w:tcW w:w="5191" w:type="dxa"/>
                  <w:vAlign w:val="center"/>
                </w:tcPr>
                <w:p>
                  <w:pPr>
                    <w:pStyle w:val="87"/>
                    <w:rPr>
                      <w:rFonts w:ascii="Times New Roman" w:hAnsi="Times New Roman" w:cs="Times New Roman"/>
                    </w:rPr>
                  </w:pPr>
                  <w:r>
                    <w:rPr>
                      <w:rFonts w:ascii="Times New Roman" w:hAnsi="Times New Roman" w:cs="Times New Roman"/>
                    </w:rPr>
                    <w:t>1座，占地面积：</w:t>
                  </w:r>
                  <w:r>
                    <w:rPr>
                      <w:rFonts w:hint="eastAsia" w:ascii="Times New Roman" w:hAnsi="Times New Roman" w:cs="Times New Roman"/>
                      <w:lang w:eastAsia="zh-CN"/>
                    </w:rPr>
                    <w:t>5758.4</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，车间1F，内设5条太阳能光伏管桩生产线（同时可生产水泥电杆）及配套设施</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pStyle w:val="87"/>
                    <w:rPr>
                      <w:rFonts w:ascii="Times New Roman" w:hAnsi="Times New Roman" w:cs="Times New Roman"/>
                    </w:rPr>
                  </w:pPr>
                  <w:r>
                    <w:rPr>
                      <w:rFonts w:ascii="Times New Roman" w:hAnsi="Times New Roman" w:cs="Times New Roman"/>
                    </w:rPr>
                    <w:t>辅助工程</w:t>
                  </w:r>
                </w:p>
              </w:tc>
              <w:tc>
                <w:tcPr>
                  <w:tcW w:w="1392" w:type="dxa"/>
                  <w:vAlign w:val="center"/>
                </w:tcPr>
                <w:p>
                  <w:pPr>
                    <w:pStyle w:val="87"/>
                    <w:rPr>
                      <w:rFonts w:ascii="Times New Roman" w:hAnsi="Times New Roman" w:cs="Times New Roman"/>
                    </w:rPr>
                  </w:pPr>
                  <w:r>
                    <w:rPr>
                      <w:rFonts w:ascii="Times New Roman" w:hAnsi="Times New Roman" w:cs="Times New Roman"/>
                    </w:rPr>
                    <w:t>办公生活区</w:t>
                  </w:r>
                </w:p>
              </w:tc>
              <w:tc>
                <w:tcPr>
                  <w:tcW w:w="5191" w:type="dxa"/>
                  <w:vAlign w:val="center"/>
                </w:tcPr>
                <w:p>
                  <w:pPr>
                    <w:pStyle w:val="87"/>
                    <w:rPr>
                      <w:rFonts w:hint="default" w:ascii="Times New Roman" w:hAnsi="Times New Roman" w:eastAsia="宋体" w:cs="Times New Roman"/>
                      <w:lang w:val="en-US" w:eastAsia="zh-CN"/>
                    </w:rPr>
                  </w:pPr>
                  <w:r>
                    <w:rPr>
                      <w:rFonts w:ascii="Times New Roman" w:hAnsi="Times New Roman" w:cs="Times New Roman"/>
                    </w:rPr>
                    <w:t>1栋1层办公楼</w:t>
                  </w:r>
                  <w:r>
                    <w:rPr>
                      <w:rFonts w:hint="eastAsia" w:ascii="Times New Roman" w:hAnsi="Times New Roman" w:cs="Times New Roman"/>
                      <w:lang w:eastAsia="zh-CN"/>
                    </w:rPr>
                    <w:t>，</w:t>
                  </w:r>
                  <w:r>
                    <w:rPr>
                      <w:rFonts w:hint="eastAsia" w:ascii="Times New Roman" w:hAnsi="Times New Roman" w:cs="Times New Roman"/>
                      <w:lang w:val="en-US" w:eastAsia="zh-CN"/>
                    </w:rPr>
                    <w:t>位于生产车间东侧</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锅炉房</w:t>
                  </w:r>
                </w:p>
              </w:tc>
              <w:tc>
                <w:tcPr>
                  <w:tcW w:w="5191" w:type="dxa"/>
                  <w:vAlign w:val="center"/>
                </w:tcPr>
                <w:p>
                  <w:pPr>
                    <w:pStyle w:val="87"/>
                    <w:rPr>
                      <w:rFonts w:hint="default" w:ascii="Times New Roman" w:hAnsi="Times New Roman" w:eastAsia="宋体" w:cs="Times New Roman"/>
                      <w:lang w:val="en-US" w:eastAsia="zh-CN"/>
                    </w:rPr>
                  </w:pPr>
                  <w:r>
                    <w:rPr>
                      <w:rFonts w:ascii="Times New Roman" w:hAnsi="Times New Roman" w:cs="Times New Roman"/>
                    </w:rPr>
                    <w:t>建筑面积</w:t>
                  </w:r>
                  <w:r>
                    <w:rPr>
                      <w:rFonts w:ascii="Times New Roman" w:hAnsi="Times New Roman" w:cs="Times New Roman"/>
                      <w:color w:val="000000" w:themeColor="text1"/>
                      <w14:textFill>
                        <w14:solidFill>
                          <w14:schemeClr w14:val="tx1"/>
                        </w14:solidFill>
                      </w14:textFill>
                    </w:rPr>
                    <w:t>12</w:t>
                  </w:r>
                  <w:r>
                    <w:rPr>
                      <w:rFonts w:hint="eastAsia" w:ascii="Times New Roman" w:hAnsi="Times New Roman" w:cs="Times New Roman"/>
                      <w:color w:val="000000" w:themeColor="text1"/>
                      <w:lang w:eastAsia="zh-CN"/>
                      <w14:textFill>
                        <w14:solidFill>
                          <w14:schemeClr w14:val="tx1"/>
                        </w14:solidFill>
                      </w14:textFill>
                    </w:rPr>
                    <w:t>15m</w:t>
                  </w:r>
                  <w:r>
                    <w:rPr>
                      <w:rFonts w:ascii="Times New Roman" w:hAnsi="Times New Roman" w:cs="Times New Roman"/>
                      <w:vertAlign w:val="superscript"/>
                    </w:rPr>
                    <w:t>2</w:t>
                  </w:r>
                  <w:r>
                    <w:rPr>
                      <w:rFonts w:ascii="Times New Roman" w:hAnsi="Times New Roman" w:cs="Times New Roman"/>
                    </w:rPr>
                    <w:t>，2台2t/h醇基蒸汽锅炉</w:t>
                  </w:r>
                  <w:r>
                    <w:rPr>
                      <w:rFonts w:hint="eastAsia" w:ascii="Times New Roman" w:hAnsi="Times New Roman" w:cs="Times New Roman"/>
                      <w:lang w:eastAsia="zh-CN"/>
                    </w:rPr>
                    <w:t>，</w:t>
                  </w:r>
                  <w:r>
                    <w:rPr>
                      <w:rFonts w:hint="eastAsia" w:ascii="Times New Roman" w:hAnsi="Times New Roman" w:cs="Times New Roman"/>
                      <w:lang w:val="en-US" w:eastAsia="zh-CN"/>
                    </w:rPr>
                    <w:t>位于生产车间外南侧</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pStyle w:val="87"/>
                    <w:rPr>
                      <w:rFonts w:ascii="Times New Roman" w:hAnsi="Times New Roman" w:cs="Times New Roman"/>
                    </w:rPr>
                  </w:pPr>
                  <w:r>
                    <w:rPr>
                      <w:rFonts w:ascii="Times New Roman" w:hAnsi="Times New Roman" w:cs="Times New Roman"/>
                    </w:rPr>
                    <w:t>储运工程</w:t>
                  </w:r>
                </w:p>
              </w:tc>
              <w:tc>
                <w:tcPr>
                  <w:tcW w:w="1392" w:type="dxa"/>
                  <w:vAlign w:val="center"/>
                </w:tcPr>
                <w:p>
                  <w:pPr>
                    <w:pStyle w:val="87"/>
                    <w:rPr>
                      <w:rFonts w:ascii="Times New Roman" w:hAnsi="Times New Roman" w:cs="Times New Roman"/>
                    </w:rPr>
                  </w:pPr>
                  <w:r>
                    <w:rPr>
                      <w:rFonts w:ascii="Times New Roman" w:hAnsi="Times New Roman" w:cs="Times New Roman"/>
                    </w:rPr>
                    <w:t>原料储存</w:t>
                  </w:r>
                </w:p>
              </w:tc>
              <w:tc>
                <w:tcPr>
                  <w:tcW w:w="5191" w:type="dxa"/>
                  <w:vAlign w:val="center"/>
                </w:tcPr>
                <w:p>
                  <w:pPr>
                    <w:pStyle w:val="87"/>
                    <w:rPr>
                      <w:rFonts w:ascii="Times New Roman" w:hAnsi="Times New Roman" w:cs="Times New Roman"/>
                    </w:rPr>
                  </w:pPr>
                  <w:r>
                    <w:rPr>
                      <w:rFonts w:ascii="Times New Roman" w:hAnsi="Times New Roman" w:cs="Times New Roman"/>
                    </w:rPr>
                    <w:t>设置3个100t的筒仓，位于生产车间的西侧，其中</w:t>
                  </w:r>
                  <w:r>
                    <w:rPr>
                      <w:rFonts w:ascii="Times New Roman" w:hAnsi="Times New Roman" w:cs="Times New Roman"/>
                      <w:color w:val="000000" w:themeColor="text1"/>
                      <w14:textFill>
                        <w14:solidFill>
                          <w14:schemeClr w14:val="tx1"/>
                        </w14:solidFill>
                      </w14:textFill>
                    </w:rPr>
                    <w:t>2个用于储存水泥、1个用于储存外加剂</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成品堆场</w:t>
                  </w:r>
                </w:p>
              </w:tc>
              <w:tc>
                <w:tcPr>
                  <w:tcW w:w="5191" w:type="dxa"/>
                  <w:vAlign w:val="center"/>
                </w:tcPr>
                <w:p>
                  <w:pPr>
                    <w:pStyle w:val="87"/>
                    <w:rPr>
                      <w:rFonts w:hint="default" w:ascii="Times New Roman" w:hAnsi="Times New Roman" w:eastAsia="宋体" w:cs="Times New Roman"/>
                      <w:lang w:val="en-US" w:eastAsia="zh-CN"/>
                    </w:rPr>
                  </w:pPr>
                  <w:r>
                    <w:rPr>
                      <w:rFonts w:ascii="Times New Roman" w:hAnsi="Times New Roman" w:cs="Times New Roman"/>
                    </w:rPr>
                    <w:t>2座，地面水泥硬化，分别设置于</w:t>
                  </w:r>
                  <w:r>
                    <w:rPr>
                      <w:rFonts w:hint="eastAsia" w:ascii="Times New Roman" w:hAnsi="Times New Roman" w:cs="Times New Roman"/>
                      <w:lang w:val="en-US" w:eastAsia="zh-CN"/>
                    </w:rPr>
                    <w:t>生产车间外北侧</w:t>
                  </w:r>
                  <w:r>
                    <w:rPr>
                      <w:rFonts w:ascii="Times New Roman" w:hAnsi="Times New Roman" w:cs="Times New Roman"/>
                    </w:rPr>
                    <w:t>，用于成品的堆放</w:t>
                  </w:r>
                  <w:r>
                    <w:rPr>
                      <w:rFonts w:hint="eastAsia" w:ascii="Times New Roman" w:hAnsi="Times New Roman" w:cs="Times New Roman"/>
                      <w:lang w:eastAsia="zh-CN"/>
                    </w:rPr>
                    <w:t>，</w:t>
                  </w:r>
                  <w:r>
                    <w:rPr>
                      <w:rFonts w:hint="eastAsia" w:ascii="Times New Roman" w:hAnsi="Times New Roman" w:cs="Times New Roman"/>
                      <w:lang w:val="en-US" w:eastAsia="zh-CN"/>
                    </w:rPr>
                    <w:t>占地面积1500m</w:t>
                  </w:r>
                  <w:r>
                    <w:rPr>
                      <w:rFonts w:hint="eastAsia" w:ascii="Times New Roman" w:hAnsi="Times New Roman" w:cs="Times New Roman"/>
                      <w:vertAlign w:val="superscript"/>
                      <w:lang w:val="en-US" w:eastAsia="zh-CN"/>
                    </w:rPr>
                    <w:t>2</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堆料区</w:t>
                  </w:r>
                </w:p>
              </w:tc>
              <w:tc>
                <w:tcPr>
                  <w:tcW w:w="5191" w:type="dxa"/>
                  <w:vAlign w:val="center"/>
                </w:tcPr>
                <w:p>
                  <w:pPr>
                    <w:pStyle w:val="87"/>
                    <w:rPr>
                      <w:rFonts w:ascii="Times New Roman" w:hAnsi="Times New Roman" w:cs="Times New Roman"/>
                    </w:rPr>
                  </w:pPr>
                  <w:r>
                    <w:rPr>
                      <w:rFonts w:ascii="Times New Roman" w:hAnsi="Times New Roman" w:cs="Times New Roman"/>
                    </w:rPr>
                    <w:t>总占地</w:t>
                  </w:r>
                  <w:r>
                    <w:rPr>
                      <w:rFonts w:ascii="Times New Roman" w:hAnsi="Times New Roman" w:cs="Times New Roman"/>
                      <w:color w:val="000000" w:themeColor="text1"/>
                      <w14:textFill>
                        <w14:solidFill>
                          <w14:schemeClr w14:val="tx1"/>
                        </w14:solidFill>
                      </w14:textFill>
                    </w:rPr>
                    <w:t>640</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，位于</w:t>
                  </w:r>
                  <w:r>
                    <w:rPr>
                      <w:rFonts w:hint="eastAsia" w:ascii="Times New Roman" w:hAnsi="Times New Roman" w:cs="Times New Roman"/>
                      <w:lang w:val="en-US" w:eastAsia="zh-CN"/>
                    </w:rPr>
                    <w:t>生产车间</w:t>
                  </w:r>
                  <w:r>
                    <w:rPr>
                      <w:rFonts w:ascii="Times New Roman" w:hAnsi="Times New Roman" w:cs="Times New Roman"/>
                    </w:rPr>
                    <w:t>内西南角，主要用于贮存砂子、石子</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醇基储罐</w:t>
                  </w:r>
                </w:p>
              </w:tc>
              <w:tc>
                <w:tcPr>
                  <w:tcW w:w="5191" w:type="dxa"/>
                  <w:vAlign w:val="center"/>
                </w:tcPr>
                <w:p>
                  <w:pPr>
                    <w:pStyle w:val="87"/>
                    <w:rPr>
                      <w:rFonts w:ascii="Times New Roman" w:hAnsi="Times New Roman" w:cs="Times New Roman"/>
                    </w:rPr>
                  </w:pPr>
                  <w:r>
                    <w:rPr>
                      <w:rFonts w:ascii="Times New Roman" w:hAnsi="Times New Roman" w:cs="Times New Roman"/>
                    </w:rPr>
                    <w:t>6m</w:t>
                  </w:r>
                  <w:r>
                    <w:rPr>
                      <w:rFonts w:ascii="Times New Roman" w:hAnsi="Times New Roman" w:cs="Times New Roman"/>
                      <w:vertAlign w:val="superscript"/>
                    </w:rPr>
                    <w:t>3</w:t>
                  </w:r>
                  <w:r>
                    <w:rPr>
                      <w:rFonts w:ascii="Times New Roman" w:hAnsi="Times New Roman" w:cs="Times New Roman"/>
                    </w:rPr>
                    <w:t>醇基地下储罐</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pStyle w:val="87"/>
                    <w:rPr>
                      <w:rFonts w:ascii="Times New Roman" w:hAnsi="Times New Roman" w:cs="Times New Roman"/>
                    </w:rPr>
                  </w:pPr>
                  <w:r>
                    <w:rPr>
                      <w:rFonts w:ascii="Times New Roman" w:hAnsi="Times New Roman" w:cs="Times New Roman"/>
                    </w:rPr>
                    <w:t>公用工程</w:t>
                  </w:r>
                </w:p>
              </w:tc>
              <w:tc>
                <w:tcPr>
                  <w:tcW w:w="1392" w:type="dxa"/>
                  <w:vAlign w:val="center"/>
                </w:tcPr>
                <w:p>
                  <w:pPr>
                    <w:pStyle w:val="87"/>
                    <w:rPr>
                      <w:rFonts w:ascii="Times New Roman" w:hAnsi="Times New Roman" w:cs="Times New Roman"/>
                    </w:rPr>
                  </w:pPr>
                  <w:r>
                    <w:rPr>
                      <w:rFonts w:ascii="Times New Roman" w:hAnsi="Times New Roman" w:cs="Times New Roman"/>
                    </w:rPr>
                    <w:t>供水</w:t>
                  </w:r>
                </w:p>
              </w:tc>
              <w:tc>
                <w:tcPr>
                  <w:tcW w:w="5191" w:type="dxa"/>
                  <w:vAlign w:val="center"/>
                </w:tcPr>
                <w:p>
                  <w:pPr>
                    <w:pStyle w:val="87"/>
                    <w:rPr>
                      <w:rFonts w:ascii="Times New Roman" w:hAnsi="Times New Roman" w:cs="Times New Roman"/>
                    </w:rPr>
                  </w:pPr>
                  <w:r>
                    <w:rPr>
                      <w:rFonts w:ascii="Times New Roman" w:hAnsi="Times New Roman" w:cs="Times New Roman"/>
                    </w:rPr>
                    <w:t>园区供水管网</w:t>
                  </w:r>
                </w:p>
              </w:tc>
              <w:tc>
                <w:tcPr>
                  <w:tcW w:w="876" w:type="dxa"/>
                  <w:vMerge w:val="restart"/>
                  <w:vAlign w:val="center"/>
                </w:tcPr>
                <w:p>
                  <w:pPr>
                    <w:pStyle w:val="87"/>
                    <w:rPr>
                      <w:rFonts w:ascii="Times New Roman" w:hAnsi="Times New Roman" w:cs="Times New Roman"/>
                    </w:rPr>
                  </w:pPr>
                  <w:r>
                    <w:rPr>
                      <w:rFonts w:ascii="Times New Roman" w:hAnsi="Times New Roman" w:cs="Times New Roman"/>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排水</w:t>
                  </w:r>
                </w:p>
              </w:tc>
              <w:tc>
                <w:tcPr>
                  <w:tcW w:w="5191" w:type="dxa"/>
                  <w:vAlign w:val="center"/>
                </w:tcPr>
                <w:p>
                  <w:pPr>
                    <w:pStyle w:val="87"/>
                    <w:rPr>
                      <w:rFonts w:ascii="Times New Roman" w:hAnsi="Times New Roman" w:cs="Times New Roman"/>
                    </w:rPr>
                  </w:pPr>
                  <w:r>
                    <w:rPr>
                      <w:rFonts w:ascii="Times New Roman" w:hAnsi="Times New Roman" w:cs="Times New Roman"/>
                    </w:rPr>
                    <w:t>园区排水管网</w:t>
                  </w:r>
                </w:p>
              </w:tc>
              <w:tc>
                <w:tcPr>
                  <w:tcW w:w="876" w:type="dxa"/>
                  <w:vMerge w:val="continue"/>
                  <w:vAlign w:val="center"/>
                </w:tcPr>
                <w:p>
                  <w:pPr>
                    <w:pStyle w:val="87"/>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供电</w:t>
                  </w:r>
                </w:p>
              </w:tc>
              <w:tc>
                <w:tcPr>
                  <w:tcW w:w="5191" w:type="dxa"/>
                  <w:vAlign w:val="center"/>
                </w:tcPr>
                <w:p>
                  <w:pPr>
                    <w:pStyle w:val="87"/>
                    <w:rPr>
                      <w:rFonts w:ascii="Times New Roman" w:hAnsi="Times New Roman" w:cs="Times New Roman"/>
                    </w:rPr>
                  </w:pPr>
                  <w:r>
                    <w:rPr>
                      <w:rFonts w:ascii="Times New Roman" w:hAnsi="Times New Roman" w:cs="Times New Roman"/>
                    </w:rPr>
                    <w:t>由工业园区电网接入</w:t>
                  </w:r>
                </w:p>
              </w:tc>
              <w:tc>
                <w:tcPr>
                  <w:tcW w:w="876" w:type="dxa"/>
                  <w:vMerge w:val="continue"/>
                  <w:vAlign w:val="center"/>
                </w:tcPr>
                <w:p>
                  <w:pPr>
                    <w:pStyle w:val="87"/>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供热</w:t>
                  </w:r>
                </w:p>
              </w:tc>
              <w:tc>
                <w:tcPr>
                  <w:tcW w:w="5191" w:type="dxa"/>
                  <w:vAlign w:val="center"/>
                </w:tcPr>
                <w:p>
                  <w:pPr>
                    <w:pStyle w:val="87"/>
                    <w:rPr>
                      <w:rFonts w:ascii="Times New Roman" w:hAnsi="Times New Roman" w:cs="Times New Roman"/>
                    </w:rPr>
                  </w:pPr>
                  <w:r>
                    <w:rPr>
                      <w:rFonts w:ascii="Times New Roman" w:hAnsi="Times New Roman" w:cs="Times New Roman"/>
                    </w:rPr>
                    <w:t>本项目配套建设2台2/h醇基蒸汽锅炉，用于项目生产蒸汽供应及冬季供暖</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pStyle w:val="87"/>
                    <w:rPr>
                      <w:rFonts w:ascii="Times New Roman" w:hAnsi="Times New Roman" w:cs="Times New Roman"/>
                    </w:rPr>
                  </w:pPr>
                  <w:r>
                    <w:rPr>
                      <w:rFonts w:ascii="Times New Roman" w:hAnsi="Times New Roman" w:cs="Times New Roman"/>
                    </w:rPr>
                    <w:t>环保工程</w:t>
                  </w:r>
                </w:p>
              </w:tc>
              <w:tc>
                <w:tcPr>
                  <w:tcW w:w="1392" w:type="dxa"/>
                  <w:vAlign w:val="center"/>
                </w:tcPr>
                <w:p>
                  <w:pPr>
                    <w:pStyle w:val="87"/>
                    <w:rPr>
                      <w:rFonts w:ascii="Times New Roman" w:hAnsi="Times New Roman" w:cs="Times New Roman"/>
                    </w:rPr>
                  </w:pPr>
                  <w:r>
                    <w:rPr>
                      <w:rFonts w:ascii="Times New Roman" w:hAnsi="Times New Roman" w:cs="Times New Roman"/>
                    </w:rPr>
                    <w:t>废气</w:t>
                  </w:r>
                </w:p>
              </w:tc>
              <w:tc>
                <w:tcPr>
                  <w:tcW w:w="5191" w:type="dxa"/>
                  <w:vAlign w:val="center"/>
                </w:tcPr>
                <w:p>
                  <w:pPr>
                    <w:pStyle w:val="87"/>
                    <w:rPr>
                      <w:rFonts w:ascii="Times New Roman" w:hAnsi="Times New Roman" w:cs="Times New Roman"/>
                    </w:rPr>
                  </w:pPr>
                  <w:r>
                    <w:rPr>
                      <w:rFonts w:ascii="Times New Roman" w:hAnsi="Times New Roman" w:cs="Times New Roman"/>
                      <w:lang w:bidi="ar"/>
                    </w:rPr>
                    <w:t>水泥筒仓、外加剂筒仓</w:t>
                  </w:r>
                  <w:r>
                    <w:rPr>
                      <w:rFonts w:ascii="Times New Roman" w:hAnsi="Times New Roman" w:cs="Times New Roman"/>
                      <w:color w:val="000000" w:themeColor="text1"/>
                      <w14:textFill>
                        <w14:solidFill>
                          <w14:schemeClr w14:val="tx1"/>
                        </w14:solidFill>
                      </w14:textFill>
                    </w:rPr>
                    <w:t>配套安装布袋除尘器+15m排气筒（</w:t>
                  </w:r>
                  <w:r>
                    <w:rPr>
                      <w:rFonts w:ascii="Times New Roman" w:hAnsi="Times New Roman" w:cs="Times New Roman"/>
                      <w:color w:val="000000" w:themeColor="text1"/>
                      <w:lang w:bidi="ar"/>
                      <w14:textFill>
                        <w14:solidFill>
                          <w14:schemeClr w14:val="tx1"/>
                        </w14:solidFill>
                      </w14:textFill>
                    </w:rPr>
                    <w:t>DA00</w:t>
                  </w:r>
                  <w:r>
                    <w:rPr>
                      <w:rFonts w:hint="eastAsia" w:ascii="Times New Roman" w:hAnsi="Times New Roman" w:cs="Times New Roman"/>
                      <w:color w:val="000000" w:themeColor="text1"/>
                      <w:lang w:val="en-US" w:eastAsia="zh-CN" w:bidi="ar"/>
                      <w14:textFill>
                        <w14:solidFill>
                          <w14:schemeClr w14:val="tx1"/>
                        </w14:solidFill>
                      </w14:textFill>
                    </w:rPr>
                    <w:t>4、</w:t>
                  </w:r>
                  <w:r>
                    <w:rPr>
                      <w:rFonts w:ascii="Times New Roman" w:hAnsi="Times New Roman" w:cs="Times New Roman"/>
                      <w:color w:val="000000" w:themeColor="text1"/>
                      <w:lang w:bidi="ar"/>
                      <w14:textFill>
                        <w14:solidFill>
                          <w14:schemeClr w14:val="tx1"/>
                        </w14:solidFill>
                      </w14:textFill>
                    </w:rPr>
                    <w:t>DA00</w:t>
                  </w:r>
                  <w:r>
                    <w:rPr>
                      <w:rFonts w:hint="eastAsia" w:ascii="Times New Roman" w:hAnsi="Times New Roman" w:cs="Times New Roman"/>
                      <w:color w:val="000000" w:themeColor="text1"/>
                      <w:lang w:val="en-US" w:eastAsia="zh-CN" w:bidi="ar"/>
                      <w14:textFill>
                        <w14:solidFill>
                          <w14:schemeClr w14:val="tx1"/>
                        </w14:solidFill>
                      </w14:textFill>
                    </w:rPr>
                    <w:t>5、</w:t>
                  </w:r>
                  <w:r>
                    <w:rPr>
                      <w:rFonts w:ascii="Times New Roman" w:hAnsi="Times New Roman" w:cs="Times New Roman"/>
                      <w:color w:val="000000" w:themeColor="text1"/>
                      <w:lang w:bidi="ar"/>
                      <w14:textFill>
                        <w14:solidFill>
                          <w14:schemeClr w14:val="tx1"/>
                        </w14:solidFill>
                      </w14:textFill>
                    </w:rPr>
                    <w:t>DA00</w:t>
                  </w:r>
                  <w:r>
                    <w:rPr>
                      <w:rFonts w:hint="eastAsia" w:ascii="Times New Roman" w:hAnsi="Times New Roman" w:cs="Times New Roman"/>
                      <w:color w:val="000000" w:themeColor="text1"/>
                      <w:lang w:val="en-US" w:eastAsia="zh-CN" w:bidi="ar"/>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w:t>
                  </w:r>
                  <w:r>
                    <w:rPr>
                      <w:rFonts w:ascii="Times New Roman" w:hAnsi="Times New Roman" w:cs="Times New Roman"/>
                      <w:lang w:bidi="ar"/>
                    </w:rPr>
                    <w:t>；</w:t>
                  </w:r>
                  <w:r>
                    <w:rPr>
                      <w:rFonts w:ascii="Times New Roman" w:hAnsi="Times New Roman" w:cs="Times New Roman"/>
                      <w:color w:val="000000" w:themeColor="text1"/>
                      <w14:textFill>
                        <w14:solidFill>
                          <w14:schemeClr w14:val="tx1"/>
                        </w14:solidFill>
                      </w14:textFill>
                    </w:rPr>
                    <w:t>混合搅拌1套，配套安装布袋除尘器+15m排气筒（</w:t>
                  </w:r>
                  <w:r>
                    <w:rPr>
                      <w:rFonts w:ascii="Times New Roman" w:hAnsi="Times New Roman" w:cs="Times New Roman"/>
                      <w:color w:val="000000" w:themeColor="text1"/>
                      <w:lang w:bidi="ar"/>
                      <w14:textFill>
                        <w14:solidFill>
                          <w14:schemeClr w14:val="tx1"/>
                        </w14:solidFill>
                      </w14:textFill>
                    </w:rPr>
                    <w:t>DA001</w:t>
                  </w:r>
                  <w:r>
                    <w:rPr>
                      <w:rFonts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lang w:bidi="ar"/>
                      <w14:textFill>
                        <w14:solidFill>
                          <w14:schemeClr w14:val="tx1"/>
                        </w14:solidFill>
                      </w14:textFill>
                    </w:rPr>
                    <w:t>；</w:t>
                  </w:r>
                  <w:r>
                    <w:rPr>
                      <w:rFonts w:ascii="Times New Roman" w:hAnsi="Times New Roman" w:cs="Times New Roman"/>
                      <w:lang w:bidi="ar"/>
                    </w:rPr>
                    <w:t>2台醇基锅炉燃烧废气通过</w:t>
                  </w:r>
                  <w:r>
                    <w:rPr>
                      <w:rFonts w:hint="eastAsia" w:ascii="Times New Roman" w:hAnsi="Times New Roman" w:cs="Times New Roman"/>
                      <w:lang w:eastAsia="zh-CN" w:bidi="ar"/>
                    </w:rPr>
                    <w:t>15m</w:t>
                  </w:r>
                  <w:r>
                    <w:rPr>
                      <w:rFonts w:ascii="Times New Roman" w:hAnsi="Times New Roman" w:cs="Times New Roman"/>
                    </w:rPr>
                    <w:t>排气筒（</w:t>
                  </w:r>
                  <w:r>
                    <w:rPr>
                      <w:rFonts w:ascii="Times New Roman" w:hAnsi="Times New Roman" w:cs="Times New Roman"/>
                      <w:lang w:bidi="ar"/>
                    </w:rPr>
                    <w:t>DA002、DA003</w:t>
                  </w:r>
                  <w:r>
                    <w:rPr>
                      <w:rFonts w:ascii="Times New Roman" w:hAnsi="Times New Roman" w:cs="Times New Roman"/>
                    </w:rPr>
                    <w:t>）排放；食堂油烟经油烟净化器处理后高空排放</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废水</w:t>
                  </w:r>
                </w:p>
              </w:tc>
              <w:tc>
                <w:tcPr>
                  <w:tcW w:w="5191"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软化水制备产的废水</w:t>
                  </w:r>
                  <w:r>
                    <w:rPr>
                      <w:rFonts w:ascii="Times New Roman" w:hAnsi="Times New Roman" w:cs="Times New Roman"/>
                    </w:rPr>
                    <w:t>排入污水管网，最终进入尉犁县城镇污水处理厂处理；食堂废水经油水分离器处理后同生活污水一起排入工业园区污水管网，最终进入尉犁县城镇污水处理厂处理</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噪声</w:t>
                  </w:r>
                </w:p>
              </w:tc>
              <w:tc>
                <w:tcPr>
                  <w:tcW w:w="5191" w:type="dxa"/>
                  <w:vAlign w:val="center"/>
                </w:tcPr>
                <w:p>
                  <w:pPr>
                    <w:pStyle w:val="87"/>
                    <w:rPr>
                      <w:rFonts w:hint="eastAsia" w:ascii="Times New Roman" w:hAnsi="Times New Roman" w:eastAsia="宋体" w:cs="Times New Roman"/>
                      <w:lang w:eastAsia="zh-CN"/>
                    </w:rPr>
                  </w:pPr>
                  <w:r>
                    <w:rPr>
                      <w:rFonts w:ascii="Times New Roman" w:hAnsi="Times New Roman" w:cs="Times New Roman"/>
                      <w:snapToGrid w:val="0"/>
                    </w:rPr>
                    <w:t>选用低噪声设备、安装</w:t>
                  </w:r>
                  <w:r>
                    <w:rPr>
                      <w:rFonts w:ascii="Times New Roman" w:hAnsi="Times New Roman" w:cs="Times New Roman"/>
                    </w:rPr>
                    <w:t>减振垫、隔音等措施</w:t>
                  </w:r>
                  <w:r>
                    <w:rPr>
                      <w:rFonts w:ascii="Times New Roman" w:hAnsi="Times New Roman" w:cs="Times New Roman"/>
                      <w:snapToGrid w:val="0"/>
                    </w:rPr>
                    <w:t>等</w:t>
                  </w:r>
                  <w:r>
                    <w:rPr>
                      <w:rFonts w:hint="eastAsia" w:ascii="Times New Roman" w:hAnsi="Times New Roman" w:cs="Times New Roman"/>
                      <w:snapToGrid w:val="0"/>
                      <w:lang w:eastAsia="zh-CN"/>
                    </w:rPr>
                    <w:t>；</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pStyle w:val="87"/>
                    <w:rPr>
                      <w:rFonts w:ascii="Times New Roman" w:hAnsi="Times New Roman" w:cs="Times New Roman"/>
                    </w:rPr>
                  </w:pPr>
                </w:p>
              </w:tc>
              <w:tc>
                <w:tcPr>
                  <w:tcW w:w="1392" w:type="dxa"/>
                  <w:vAlign w:val="center"/>
                </w:tcPr>
                <w:p>
                  <w:pPr>
                    <w:pStyle w:val="87"/>
                    <w:rPr>
                      <w:rFonts w:ascii="Times New Roman" w:hAnsi="Times New Roman" w:cs="Times New Roman"/>
                    </w:rPr>
                  </w:pPr>
                  <w:r>
                    <w:rPr>
                      <w:rFonts w:ascii="Times New Roman" w:hAnsi="Times New Roman" w:cs="Times New Roman"/>
                    </w:rPr>
                    <w:t>固废</w:t>
                  </w:r>
                </w:p>
              </w:tc>
              <w:tc>
                <w:tcPr>
                  <w:tcW w:w="5191" w:type="dxa"/>
                  <w:vAlign w:val="center"/>
                </w:tcPr>
                <w:p>
                  <w:pPr>
                    <w:pStyle w:val="87"/>
                    <w:rPr>
                      <w:rFonts w:ascii="Times New Roman" w:hAnsi="Times New Roman" w:cs="Times New Roman"/>
                    </w:rPr>
                  </w:pPr>
                  <w:r>
                    <w:rPr>
                      <w:rFonts w:hint="eastAsia" w:ascii="Times New Roman" w:hAnsi="Times New Roman" w:cs="Times New Roman"/>
                      <w:lang w:val="en-US" w:eastAsia="zh-CN"/>
                    </w:rPr>
                    <w:t>设置</w:t>
                  </w:r>
                  <w:r>
                    <w:rPr>
                      <w:rFonts w:ascii="Times New Roman" w:hAnsi="Times New Roman" w:cs="Times New Roman"/>
                    </w:rPr>
                    <w:t>生活垃圾箱、1座危险废物暂存间（占地5m</w:t>
                  </w:r>
                  <w:r>
                    <w:rPr>
                      <w:rFonts w:ascii="Times New Roman" w:hAnsi="Times New Roman" w:cs="Times New Roman"/>
                      <w:vertAlign w:val="superscript"/>
                    </w:rPr>
                    <w:t>2</w:t>
                  </w:r>
                  <w:r>
                    <w:rPr>
                      <w:rFonts w:ascii="Times New Roman" w:hAnsi="Times New Roman" w:cs="Times New Roman"/>
                    </w:rPr>
                    <w:t>，防渗层为至少1m厚粘土层渗透系数≤10</w:t>
                  </w:r>
                  <w:r>
                    <w:rPr>
                      <w:rFonts w:ascii="Times New Roman" w:hAnsi="Times New Roman" w:cs="Times New Roman"/>
                      <w:vertAlign w:val="superscript"/>
                    </w:rPr>
                    <w:t>-7</w:t>
                  </w:r>
                  <w:r>
                    <w:rPr>
                      <w:rFonts w:ascii="Times New Roman" w:hAnsi="Times New Roman" w:cs="Times New Roman"/>
                    </w:rPr>
                    <w:t>cm/s）；</w:t>
                  </w:r>
                </w:p>
                <w:p>
                  <w:pPr>
                    <w:pStyle w:val="87"/>
                    <w:rPr>
                      <w:rFonts w:ascii="Times New Roman" w:hAnsi="Times New Roman" w:cs="Times New Roman"/>
                    </w:rPr>
                  </w:pPr>
                  <w:r>
                    <w:rPr>
                      <w:rFonts w:ascii="Times New Roman" w:hAnsi="Times New Roman" w:cs="Times New Roman"/>
                    </w:rPr>
                    <w:t>生活垃圾、包装袋收集至垃圾桶，由环卫部门定期清运处置；金属边角料集中收集后在废料收集区存放，定期外售；废脱模剂桶由厂家回收；废机油、废油桶为危险废物，集中收集至危废暂存间，委托有资质的单位进行处置；</w:t>
                  </w:r>
                </w:p>
              </w:tc>
              <w:tc>
                <w:tcPr>
                  <w:tcW w:w="876" w:type="dxa"/>
                  <w:vAlign w:val="center"/>
                </w:tcPr>
                <w:p>
                  <w:pPr>
                    <w:pStyle w:val="87"/>
                    <w:rPr>
                      <w:rFonts w:ascii="Times New Roman" w:hAnsi="Times New Roman" w:cs="Times New Roman"/>
                    </w:rPr>
                  </w:pPr>
                  <w:r>
                    <w:rPr>
                      <w:rFonts w:ascii="Times New Roman" w:hAnsi="Times New Roman" w:cs="Times New Roman"/>
                    </w:rPr>
                    <w:t>新建</w:t>
                  </w:r>
                </w:p>
              </w:tc>
            </w:tr>
          </w:tbl>
          <w:p>
            <w:pPr>
              <w:ind w:left="420"/>
              <w:rPr>
                <w:sz w:val="24"/>
                <w:szCs w:val="24"/>
              </w:rPr>
            </w:pPr>
            <w:r>
              <w:rPr>
                <w:sz w:val="24"/>
                <w:szCs w:val="24"/>
              </w:rPr>
              <w:t>（2）建设规模及产品方案</w:t>
            </w:r>
          </w:p>
          <w:p>
            <w:pPr>
              <w:pStyle w:val="37"/>
              <w:ind w:firstLine="480" w:firstLineChars="200"/>
              <w:jc w:val="both"/>
              <w:rPr>
                <w:rFonts w:ascii="Times New Roman" w:cs="Times New Roman"/>
                <w:b w:val="0"/>
                <w:bCs/>
                <w:color w:val="auto"/>
                <w:sz w:val="24"/>
                <w:szCs w:val="24"/>
              </w:rPr>
            </w:pPr>
            <w:r>
              <w:rPr>
                <w:rFonts w:ascii="Times New Roman" w:cs="Times New Roman"/>
                <w:b w:val="0"/>
                <w:bCs/>
                <w:color w:val="auto"/>
                <w:sz w:val="24"/>
                <w:szCs w:val="24"/>
              </w:rPr>
              <w:t>本项目建设规模为年生产预应力混凝土管桩300万米；其中：年产600毫米光伏管桩（用于风电）50万米，年产300毫米光伏管桩（用于光伏发电）250万米；年生产水泥电杆5000根。具体产品方案见表2-2。</w:t>
            </w:r>
          </w:p>
          <w:p>
            <w:pPr>
              <w:pStyle w:val="38"/>
              <w:bidi w:val="0"/>
            </w:pPr>
            <w:r>
              <w:t>表2-2项目建设规模</w:t>
            </w:r>
          </w:p>
          <w:tbl>
            <w:tblPr>
              <w:tblStyle w:val="26"/>
              <w:tblW w:w="816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151"/>
              <w:gridCol w:w="1712"/>
              <w:gridCol w:w="1590"/>
              <w:gridCol w:w="16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87"/>
                    <w:bidi w:val="0"/>
                  </w:pPr>
                  <w:r>
                    <w:t>产品名称</w:t>
                  </w:r>
                </w:p>
              </w:tc>
              <w:tc>
                <w:tcPr>
                  <w:tcW w:w="1151" w:type="dxa"/>
                </w:tcPr>
                <w:p>
                  <w:pPr>
                    <w:pStyle w:val="87"/>
                    <w:bidi w:val="0"/>
                  </w:pPr>
                  <w:r>
                    <w:t>单位</w:t>
                  </w:r>
                </w:p>
              </w:tc>
              <w:tc>
                <w:tcPr>
                  <w:tcW w:w="1712" w:type="dxa"/>
                </w:tcPr>
                <w:p>
                  <w:pPr>
                    <w:pStyle w:val="87"/>
                    <w:bidi w:val="0"/>
                  </w:pPr>
                  <w:r>
                    <w:t>年产量</w:t>
                  </w:r>
                </w:p>
              </w:tc>
              <w:tc>
                <w:tcPr>
                  <w:tcW w:w="1590" w:type="dxa"/>
                </w:tcPr>
                <w:p>
                  <w:pPr>
                    <w:pStyle w:val="87"/>
                    <w:bidi w:val="0"/>
                  </w:pPr>
                  <w:r>
                    <w:t>备注</w:t>
                  </w:r>
                </w:p>
              </w:tc>
              <w:tc>
                <w:tcPr>
                  <w:tcW w:w="1622" w:type="dxa"/>
                </w:tcPr>
                <w:p>
                  <w:pPr>
                    <w:pStyle w:val="87"/>
                    <w:bidi w:val="0"/>
                  </w:pPr>
                  <w:r>
                    <w:t>规格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093" w:type="dxa"/>
                </w:tcPr>
                <w:p>
                  <w:pPr>
                    <w:pStyle w:val="87"/>
                    <w:bidi w:val="0"/>
                  </w:pPr>
                  <w:r>
                    <w:t>太阳能光伏管桩</w:t>
                  </w:r>
                </w:p>
              </w:tc>
              <w:tc>
                <w:tcPr>
                  <w:tcW w:w="1151" w:type="dxa"/>
                </w:tcPr>
                <w:p>
                  <w:pPr>
                    <w:pStyle w:val="87"/>
                    <w:bidi w:val="0"/>
                  </w:pPr>
                  <w:r>
                    <w:t>万米</w:t>
                  </w:r>
                </w:p>
              </w:tc>
              <w:tc>
                <w:tcPr>
                  <w:tcW w:w="1712" w:type="dxa"/>
                  <w:vAlign w:val="center"/>
                </w:tcPr>
                <w:p>
                  <w:pPr>
                    <w:pStyle w:val="87"/>
                    <w:bidi w:val="0"/>
                  </w:pPr>
                  <w:r>
                    <w:t>300</w:t>
                  </w:r>
                </w:p>
              </w:tc>
              <w:tc>
                <w:tcPr>
                  <w:tcW w:w="1590" w:type="dxa"/>
                </w:tcPr>
                <w:p>
                  <w:pPr>
                    <w:pStyle w:val="87"/>
                    <w:bidi w:val="0"/>
                  </w:pPr>
                  <w:r>
                    <w:t>约386250吨</w:t>
                  </w:r>
                </w:p>
              </w:tc>
              <w:tc>
                <w:tcPr>
                  <w:tcW w:w="1622" w:type="dxa"/>
                  <w:vMerge w:val="restart"/>
                  <w:vAlign w:val="center"/>
                </w:tcPr>
                <w:p>
                  <w:pPr>
                    <w:pStyle w:val="87"/>
                    <w:bidi w:val="0"/>
                  </w:pPr>
                  <w:r>
                    <w:t>根据订单调整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093" w:type="dxa"/>
                </w:tcPr>
                <w:p>
                  <w:pPr>
                    <w:pStyle w:val="87"/>
                    <w:bidi w:val="0"/>
                  </w:pPr>
                  <w:r>
                    <w:t>水泥电杆</w:t>
                  </w:r>
                </w:p>
              </w:tc>
              <w:tc>
                <w:tcPr>
                  <w:tcW w:w="1151" w:type="dxa"/>
                </w:tcPr>
                <w:p>
                  <w:pPr>
                    <w:pStyle w:val="87"/>
                    <w:bidi w:val="0"/>
                  </w:pPr>
                  <w:r>
                    <w:t>根</w:t>
                  </w:r>
                </w:p>
              </w:tc>
              <w:tc>
                <w:tcPr>
                  <w:tcW w:w="1712" w:type="dxa"/>
                </w:tcPr>
                <w:p>
                  <w:pPr>
                    <w:pStyle w:val="87"/>
                    <w:bidi w:val="0"/>
                  </w:pPr>
                  <w:r>
                    <w:t>5000</w:t>
                  </w:r>
                </w:p>
              </w:tc>
              <w:tc>
                <w:tcPr>
                  <w:tcW w:w="1590" w:type="dxa"/>
                </w:tcPr>
                <w:p>
                  <w:pPr>
                    <w:pStyle w:val="87"/>
                    <w:bidi w:val="0"/>
                  </w:pPr>
                  <w:r>
                    <w:t>约4732吨</w:t>
                  </w:r>
                </w:p>
              </w:tc>
              <w:tc>
                <w:tcPr>
                  <w:tcW w:w="1622" w:type="dxa"/>
                  <w:vMerge w:val="continue"/>
                </w:tcPr>
                <w:p>
                  <w:pPr>
                    <w:pStyle w:val="87"/>
                    <w:bidi w:val="0"/>
                  </w:pPr>
                </w:p>
              </w:tc>
            </w:tr>
          </w:tbl>
          <w:p>
            <w:pPr>
              <w:ind w:left="480" w:leftChars="200"/>
              <w:rPr>
                <w:sz w:val="24"/>
                <w:szCs w:val="24"/>
              </w:rPr>
            </w:pPr>
            <w:r>
              <w:rPr>
                <w:sz w:val="24"/>
                <w:szCs w:val="24"/>
              </w:rPr>
              <w:t>（3）主要设备</w:t>
            </w:r>
          </w:p>
          <w:p>
            <w:pPr>
              <w:pStyle w:val="37"/>
              <w:ind w:left="480" w:leftChars="200"/>
              <w:jc w:val="both"/>
              <w:rPr>
                <w:rFonts w:ascii="Times New Roman" w:cs="Times New Roman"/>
                <w:b w:val="0"/>
                <w:bCs/>
                <w:color w:val="auto"/>
                <w:sz w:val="24"/>
                <w:szCs w:val="24"/>
              </w:rPr>
            </w:pPr>
            <w:r>
              <w:rPr>
                <w:rFonts w:ascii="Times New Roman" w:cs="Times New Roman"/>
                <w:b w:val="0"/>
                <w:bCs/>
                <w:color w:val="auto"/>
                <w:sz w:val="24"/>
                <w:szCs w:val="24"/>
              </w:rPr>
              <w:t>本项目主要设备见表2-3。</w:t>
            </w:r>
          </w:p>
          <w:p>
            <w:pPr>
              <w:pStyle w:val="38"/>
            </w:pPr>
            <w:r>
              <w:t>表2-3主要设备一览表</w:t>
            </w:r>
          </w:p>
          <w:tbl>
            <w:tblPr>
              <w:tblStyle w:val="26"/>
              <w:tblW w:w="816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2107"/>
              <w:gridCol w:w="2460"/>
              <w:gridCol w:w="1201"/>
              <w:gridCol w:w="12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序号</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设备名称</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规格型号</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单位</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喂料机</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kern w:val="2"/>
                      <w:shd w:val="clear" w:color="auto" w:fill="FFFFFF"/>
                    </w:rPr>
                    <w:t>液压式2m</w:t>
                  </w:r>
                  <w:r>
                    <w:rPr>
                      <w:rFonts w:ascii="Times New Roman" w:hAnsi="Times New Roman" w:cs="Times New Roman"/>
                      <w:kern w:val="2"/>
                      <w:shd w:val="clear" w:color="auto" w:fill="FFFFFF"/>
                      <w:vertAlign w:val="superscript"/>
                    </w:rPr>
                    <w:t>3</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搅拌机</w:t>
                  </w:r>
                </w:p>
              </w:tc>
              <w:tc>
                <w:tcPr>
                  <w:tcW w:w="2460" w:type="dxa"/>
                  <w:tcBorders>
                    <w:tl2br w:val="nil"/>
                    <w:tr2bl w:val="nil"/>
                  </w:tcBorders>
                  <w:vAlign w:val="center"/>
                </w:tcPr>
                <w:p>
                  <w:pPr>
                    <w:pStyle w:val="87"/>
                    <w:rPr>
                      <w:rFonts w:hint="eastAsia" w:ascii="Times New Roman" w:hAnsi="Times New Roman" w:eastAsia="宋体" w:cs="Times New Roman"/>
                      <w:shd w:val="clear" w:color="auto" w:fill="FFFFFF"/>
                      <w:lang w:eastAsia="zh-CN"/>
                    </w:rPr>
                  </w:pPr>
                  <w:r>
                    <w:rPr>
                      <w:rFonts w:ascii="Times New Roman" w:hAnsi="Times New Roman" w:cs="Times New Roman"/>
                      <w:kern w:val="2"/>
                      <w:shd w:val="clear" w:color="auto" w:fill="FFFFFF"/>
                    </w:rPr>
                    <w:t>HZS120</w:t>
                  </w:r>
                  <w:r>
                    <w:rPr>
                      <w:rFonts w:hint="eastAsia" w:ascii="Times New Roman" w:hAnsi="Times New Roman" w:cs="Times New Roman"/>
                      <w:kern w:val="2"/>
                      <w:shd w:val="clear" w:color="auto" w:fill="FFFFFF"/>
                      <w:lang w:eastAsia="zh-CN"/>
                    </w:rPr>
                    <w:t>（</w:t>
                  </w:r>
                  <w:r>
                    <w:rPr>
                      <w:rFonts w:ascii="Times New Roman" w:hAnsi="Times New Roman" w:cs="Times New Roman"/>
                      <w:kern w:val="2"/>
                      <w:shd w:val="clear" w:color="auto" w:fill="FFFFFF"/>
                    </w:rPr>
                    <w:t>1.5m</w:t>
                  </w:r>
                  <w:r>
                    <w:rPr>
                      <w:rFonts w:ascii="Times New Roman" w:hAnsi="Times New Roman" w:cs="Times New Roman"/>
                      <w:kern w:val="2"/>
                      <w:shd w:val="clear" w:color="auto" w:fill="FFFFFF"/>
                      <w:vertAlign w:val="superscript"/>
                    </w:rPr>
                    <w:t>3</w:t>
                  </w:r>
                  <w:r>
                    <w:rPr>
                      <w:rFonts w:hint="eastAsia" w:ascii="Times New Roman" w:hAnsi="Times New Roman" w:cs="Times New Roman"/>
                      <w:kern w:val="2"/>
                      <w:shd w:val="clear" w:color="auto" w:fill="FFFFFF"/>
                      <w:lang w:eastAsia="zh-CN"/>
                    </w:rPr>
                    <w:t>）</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107" w:type="dxa"/>
                  <w:tcBorders>
                    <w:tl2br w:val="nil"/>
                    <w:tr2bl w:val="nil"/>
                  </w:tcBorders>
                  <w:vAlign w:val="center"/>
                </w:tcPr>
                <w:p>
                  <w:pPr>
                    <w:pStyle w:val="87"/>
                    <w:rPr>
                      <w:rFonts w:hint="default" w:ascii="Times New Roman" w:hAnsi="Times New Roman" w:eastAsia="宋体" w:cs="Times New Roman"/>
                      <w:shd w:val="clear" w:color="auto" w:fill="FFFFFF"/>
                      <w:lang w:val="en-US" w:eastAsia="zh-CN"/>
                    </w:rPr>
                  </w:pPr>
                  <w:r>
                    <w:rPr>
                      <w:rFonts w:hint="eastAsia" w:ascii="Times New Roman" w:hAnsi="Times New Roman" w:cs="Times New Roman"/>
                      <w:shd w:val="clear" w:color="auto" w:fill="FFFFFF"/>
                      <w:lang w:val="en-US" w:eastAsia="zh-CN"/>
                    </w:rPr>
                    <w:t>水泥筒仓</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100吨</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个</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2107" w:type="dxa"/>
                  <w:tcBorders>
                    <w:tl2br w:val="nil"/>
                    <w:tr2bl w:val="nil"/>
                  </w:tcBorders>
                  <w:vAlign w:val="center"/>
                </w:tcPr>
                <w:p>
                  <w:pPr>
                    <w:pStyle w:val="87"/>
                    <w:rPr>
                      <w:rFonts w:hint="default" w:ascii="Times New Roman" w:hAnsi="Times New Roman" w:eastAsia="宋体" w:cs="Times New Roman"/>
                      <w:shd w:val="clear" w:color="auto" w:fill="FFFFFF"/>
                      <w:lang w:val="en-US" w:eastAsia="zh-CN"/>
                    </w:rPr>
                  </w:pPr>
                  <w:r>
                    <w:rPr>
                      <w:rFonts w:hint="eastAsia" w:ascii="Times New Roman" w:hAnsi="Times New Roman" w:cs="Times New Roman"/>
                      <w:shd w:val="clear" w:color="auto" w:fill="FFFFFF"/>
                      <w:lang w:val="en-US" w:eastAsia="zh-CN"/>
                    </w:rPr>
                    <w:t>外加剂筒仓</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100吨</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个</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切断机</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GQ2-14</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鐓头机</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DT-12</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7</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滚焊机</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Ghj-360</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张拉机</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YDCL200</w:t>
                  </w:r>
                  <w:r>
                    <w:rPr>
                      <w:rFonts w:ascii="Times New Roman" w:hAnsi="Times New Roman" w:cs="Times New Roman"/>
                      <w:shd w:val="clear" w:color="auto" w:fill="FFFFFF"/>
                    </w:rPr>
                    <w:t>/</w:t>
                  </w:r>
                </w:p>
              </w:tc>
              <w:tc>
                <w:tcPr>
                  <w:tcW w:w="1201" w:type="dxa"/>
                  <w:tcBorders>
                    <w:tl2br w:val="nil"/>
                    <w:tr2bl w:val="nil"/>
                  </w:tcBorders>
                  <w:vAlign w:val="center"/>
                </w:tcPr>
                <w:p>
                  <w:pPr>
                    <w:pStyle w:val="87"/>
                    <w:rPr>
                      <w:rFonts w:ascii="Times New Roman" w:hAnsi="Times New Roman" w:cs="Times New Roman"/>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9</w:t>
                  </w:r>
                </w:p>
              </w:tc>
              <w:tc>
                <w:tcPr>
                  <w:tcW w:w="2107" w:type="dxa"/>
                  <w:tcBorders>
                    <w:tl2br w:val="nil"/>
                    <w:tr2bl w:val="nil"/>
                  </w:tcBorders>
                </w:tcPr>
                <w:p>
                  <w:pPr>
                    <w:pStyle w:val="87"/>
                    <w:rPr>
                      <w:rFonts w:ascii="Times New Roman" w:hAnsi="Times New Roman" w:cs="Times New Roman"/>
                    </w:rPr>
                  </w:pPr>
                  <w:r>
                    <w:rPr>
                      <w:rFonts w:ascii="Times New Roman" w:hAnsi="Times New Roman" w:cs="Times New Roman"/>
                    </w:rPr>
                    <w:t>离心机</w:t>
                  </w:r>
                </w:p>
              </w:tc>
              <w:tc>
                <w:tcPr>
                  <w:tcW w:w="2460" w:type="dxa"/>
                  <w:tcBorders>
                    <w:tl2br w:val="nil"/>
                    <w:tr2bl w:val="nil"/>
                  </w:tcBorders>
                </w:tcPr>
                <w:p>
                  <w:pPr>
                    <w:pStyle w:val="87"/>
                    <w:rPr>
                      <w:rFonts w:ascii="Times New Roman" w:hAnsi="Times New Roman" w:cs="Times New Roman"/>
                    </w:rPr>
                  </w:pPr>
                  <w:r>
                    <w:rPr>
                      <w:rFonts w:ascii="Times New Roman" w:hAnsi="Times New Roman" w:cs="Times New Roman"/>
                    </w:rPr>
                    <w:t>GZ300/600</w:t>
                  </w:r>
                </w:p>
              </w:tc>
              <w:tc>
                <w:tcPr>
                  <w:tcW w:w="1201" w:type="dxa"/>
                  <w:tcBorders>
                    <w:tl2br w:val="nil"/>
                    <w:tr2bl w:val="nil"/>
                  </w:tcBorders>
                  <w:vAlign w:val="center"/>
                </w:tcPr>
                <w:p>
                  <w:pPr>
                    <w:pStyle w:val="87"/>
                    <w:rPr>
                      <w:rFonts w:ascii="Times New Roman" w:hAnsi="Times New Roman" w:cs="Times New Roman"/>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10</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管桩</w:t>
                  </w:r>
                  <w:r>
                    <w:rPr>
                      <w:rFonts w:ascii="Times New Roman" w:hAnsi="Times New Roman" w:cs="Times New Roman"/>
                      <w:shd w:val="clear" w:color="auto" w:fill="FFFFFF"/>
                    </w:rPr>
                    <w:t>模具</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套</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11</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张拉工具</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套</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12</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钢模出池平移车</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套</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13</w:t>
                  </w:r>
                </w:p>
              </w:tc>
              <w:tc>
                <w:tcPr>
                  <w:tcW w:w="2107" w:type="dxa"/>
                  <w:tcBorders>
                    <w:tl2br w:val="nil"/>
                    <w:tr2bl w:val="nil"/>
                  </w:tcBorders>
                  <w:vAlign w:val="center"/>
                </w:tcPr>
                <w:p>
                  <w:pPr>
                    <w:pStyle w:val="87"/>
                    <w:rPr>
                      <w:rFonts w:ascii="Times New Roman" w:hAnsi="Times New Roman" w:cs="Times New Roman"/>
                    </w:rPr>
                  </w:pPr>
                  <w:r>
                    <w:rPr>
                      <w:rFonts w:ascii="Times New Roman" w:hAnsi="Times New Roman" w:cs="Times New Roman"/>
                    </w:rPr>
                    <w:t>出桩车</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3吨</w:t>
                  </w:r>
                </w:p>
              </w:tc>
              <w:tc>
                <w:tcPr>
                  <w:tcW w:w="1201" w:type="dxa"/>
                  <w:tcBorders>
                    <w:tl2br w:val="nil"/>
                    <w:tr2bl w:val="nil"/>
                  </w:tcBorders>
                  <w:vAlign w:val="center"/>
                </w:tcPr>
                <w:p>
                  <w:pPr>
                    <w:pStyle w:val="87"/>
                    <w:rPr>
                      <w:rFonts w:ascii="Times New Roman" w:hAnsi="Times New Roman" w:cs="Times New Roman"/>
                    </w:rPr>
                  </w:pPr>
                  <w:r>
                    <w:rPr>
                      <w:rFonts w:ascii="Times New Roman" w:hAnsi="Times New Roman" w:cs="Times New Roman"/>
                    </w:rPr>
                    <w:t>台</w:t>
                  </w:r>
                </w:p>
              </w:tc>
              <w:tc>
                <w:tcPr>
                  <w:tcW w:w="1202" w:type="dxa"/>
                  <w:tcBorders>
                    <w:tl2br w:val="nil"/>
                    <w:tr2bl w:val="nil"/>
                  </w:tcBorders>
                  <w:vAlign w:val="center"/>
                </w:tcPr>
                <w:p>
                  <w:pPr>
                    <w:pStyle w:val="87"/>
                    <w:rPr>
                      <w:rFonts w:ascii="Times New Roman" w:hAnsi="Times New Roman" w:cs="Times New Roman"/>
                    </w:rPr>
                  </w:pPr>
                  <w:r>
                    <w:rPr>
                      <w:rFonts w:ascii="Times New Roman" w:hAnsi="Times New Roman" w:cs="Times New Roma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14</w:t>
                  </w:r>
                </w:p>
              </w:tc>
              <w:tc>
                <w:tcPr>
                  <w:tcW w:w="2107"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蒸养窑</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个</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15</w:t>
                  </w:r>
                </w:p>
              </w:tc>
              <w:tc>
                <w:tcPr>
                  <w:tcW w:w="2107" w:type="dxa"/>
                  <w:tcBorders>
                    <w:tl2br w:val="nil"/>
                    <w:tr2bl w:val="nil"/>
                  </w:tcBorders>
                  <w:vAlign w:val="center"/>
                </w:tcPr>
                <w:p>
                  <w:pPr>
                    <w:pStyle w:val="87"/>
                    <w:rPr>
                      <w:rFonts w:ascii="Times New Roman" w:hAnsi="Times New Roman" w:cs="Times New Roman"/>
                    </w:rPr>
                  </w:pPr>
                  <w:r>
                    <w:rPr>
                      <w:rFonts w:ascii="Times New Roman" w:hAnsi="Times New Roman" w:cs="Times New Roman"/>
                      <w:shd w:val="clear" w:color="auto" w:fill="FFFFFF"/>
                    </w:rPr>
                    <w:t>醇基锅炉</w:t>
                  </w:r>
                </w:p>
              </w:tc>
              <w:tc>
                <w:tcPr>
                  <w:tcW w:w="2460"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2.0t/h</w:t>
                  </w:r>
                </w:p>
              </w:tc>
              <w:tc>
                <w:tcPr>
                  <w:tcW w:w="1201"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台</w:t>
                  </w:r>
                </w:p>
              </w:tc>
              <w:tc>
                <w:tcPr>
                  <w:tcW w:w="1202" w:type="dxa"/>
                  <w:tcBorders>
                    <w:tl2br w:val="nil"/>
                    <w:tr2bl w:val="nil"/>
                  </w:tcBorders>
                  <w:vAlign w:val="center"/>
                </w:tcPr>
                <w:p>
                  <w:pPr>
                    <w:pStyle w:val="87"/>
                    <w:rPr>
                      <w:rFonts w:ascii="Times New Roman" w:hAnsi="Times New Roman" w:cs="Times New Roman"/>
                      <w:shd w:val="clear" w:color="auto" w:fill="FFFFFF"/>
                    </w:rPr>
                  </w:pPr>
                  <w:r>
                    <w:rPr>
                      <w:rFonts w:ascii="Times New Roman" w:hAnsi="Times New Roman" w:cs="Times New Roman"/>
                      <w:shd w:val="clear" w:color="auto" w:fill="FFFFFF"/>
                    </w:rPr>
                    <w:t>2</w:t>
                  </w:r>
                </w:p>
              </w:tc>
            </w:tr>
          </w:tbl>
          <w:p>
            <w:pPr>
              <w:ind w:firstLine="480" w:firstLineChars="200"/>
              <w:rPr>
                <w:szCs w:val="21"/>
              </w:rPr>
            </w:pPr>
            <w:r>
              <w:rPr>
                <w:szCs w:val="21"/>
              </w:rPr>
              <w:t>（4）原辅材料</w:t>
            </w:r>
          </w:p>
          <w:p>
            <w:pPr>
              <w:ind w:firstLine="480" w:firstLineChars="200"/>
              <w:rPr>
                <w:szCs w:val="21"/>
              </w:rPr>
            </w:pPr>
            <w:r>
              <w:rPr>
                <w:szCs w:val="21"/>
              </w:rPr>
              <w:t>本项目主要原辅材料及能源消耗量见表2-4。</w:t>
            </w:r>
          </w:p>
          <w:p>
            <w:pPr>
              <w:pStyle w:val="38"/>
              <w:rPr>
                <w:snapToGrid w:val="0"/>
              </w:rPr>
            </w:pPr>
            <w:r>
              <w:rPr>
                <w:snapToGrid w:val="0"/>
              </w:rPr>
              <w:t>表2-4主要原辅材料及用量表</w:t>
            </w:r>
          </w:p>
          <w:tbl>
            <w:tblPr>
              <w:tblStyle w:val="26"/>
              <w:tblW w:w="816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8"/>
              <w:gridCol w:w="962"/>
              <w:gridCol w:w="831"/>
              <w:gridCol w:w="892"/>
              <w:gridCol w:w="1098"/>
              <w:gridCol w:w="1219"/>
              <w:gridCol w:w="850"/>
              <w:gridCol w:w="851"/>
              <w:gridCol w:w="8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序号</w:t>
                  </w:r>
                </w:p>
              </w:tc>
              <w:tc>
                <w:tcPr>
                  <w:tcW w:w="962" w:type="dxa"/>
                  <w:vAlign w:val="center"/>
                </w:tcPr>
                <w:p>
                  <w:pPr>
                    <w:pStyle w:val="87"/>
                    <w:rPr>
                      <w:rFonts w:ascii="Times New Roman" w:hAnsi="Times New Roman" w:cs="Times New Roman"/>
                    </w:rPr>
                  </w:pPr>
                  <w:r>
                    <w:rPr>
                      <w:rFonts w:ascii="Times New Roman" w:hAnsi="Times New Roman" w:cs="Times New Roman"/>
                    </w:rPr>
                    <w:t>名称</w:t>
                  </w:r>
                </w:p>
              </w:tc>
              <w:tc>
                <w:tcPr>
                  <w:tcW w:w="831" w:type="dxa"/>
                  <w:vAlign w:val="center"/>
                </w:tcPr>
                <w:p>
                  <w:pPr>
                    <w:pStyle w:val="87"/>
                    <w:rPr>
                      <w:rFonts w:ascii="Times New Roman" w:hAnsi="Times New Roman" w:cs="Times New Roman"/>
                    </w:rPr>
                  </w:pPr>
                  <w:r>
                    <w:rPr>
                      <w:rFonts w:ascii="Times New Roman" w:hAnsi="Times New Roman" w:cs="Times New Roman"/>
                    </w:rPr>
                    <w:t>形态</w:t>
                  </w:r>
                </w:p>
              </w:tc>
              <w:tc>
                <w:tcPr>
                  <w:tcW w:w="892" w:type="dxa"/>
                  <w:vAlign w:val="center"/>
                </w:tcPr>
                <w:p>
                  <w:pPr>
                    <w:pStyle w:val="87"/>
                    <w:rPr>
                      <w:rFonts w:ascii="Times New Roman" w:hAnsi="Times New Roman" w:cs="Times New Roman"/>
                    </w:rPr>
                  </w:pPr>
                  <w:r>
                    <w:rPr>
                      <w:rFonts w:ascii="Times New Roman" w:hAnsi="Times New Roman" w:cs="Times New Roman"/>
                    </w:rPr>
                    <w:t>年耗量（吨）</w:t>
                  </w:r>
                </w:p>
              </w:tc>
              <w:tc>
                <w:tcPr>
                  <w:tcW w:w="1098" w:type="dxa"/>
                  <w:vAlign w:val="center"/>
                </w:tcPr>
                <w:p>
                  <w:pPr>
                    <w:pStyle w:val="87"/>
                    <w:rPr>
                      <w:rFonts w:ascii="Times New Roman" w:hAnsi="Times New Roman" w:cs="Times New Roman"/>
                    </w:rPr>
                  </w:pPr>
                  <w:r>
                    <w:rPr>
                      <w:rFonts w:ascii="Times New Roman" w:hAnsi="Times New Roman" w:cs="Times New Roman"/>
                    </w:rPr>
                    <w:t>储存方式</w:t>
                  </w:r>
                </w:p>
              </w:tc>
              <w:tc>
                <w:tcPr>
                  <w:tcW w:w="1219" w:type="dxa"/>
                  <w:vAlign w:val="center"/>
                </w:tcPr>
                <w:p>
                  <w:pPr>
                    <w:pStyle w:val="87"/>
                    <w:rPr>
                      <w:rFonts w:ascii="Times New Roman" w:hAnsi="Times New Roman" w:cs="Times New Roman"/>
                    </w:rPr>
                  </w:pPr>
                  <w:r>
                    <w:rPr>
                      <w:rFonts w:ascii="Times New Roman" w:hAnsi="Times New Roman" w:cs="Times New Roman"/>
                    </w:rPr>
                    <w:t>储存位置</w:t>
                  </w:r>
                </w:p>
              </w:tc>
              <w:tc>
                <w:tcPr>
                  <w:tcW w:w="850" w:type="dxa"/>
                  <w:vAlign w:val="center"/>
                </w:tcPr>
                <w:p>
                  <w:pPr>
                    <w:pStyle w:val="87"/>
                    <w:rPr>
                      <w:rFonts w:ascii="Times New Roman" w:hAnsi="Times New Roman" w:cs="Times New Roman"/>
                    </w:rPr>
                  </w:pPr>
                  <w:r>
                    <w:rPr>
                      <w:rFonts w:ascii="Times New Roman" w:hAnsi="Times New Roman" w:cs="Times New Roman"/>
                    </w:rPr>
                    <w:t>规格</w:t>
                  </w:r>
                </w:p>
              </w:tc>
              <w:tc>
                <w:tcPr>
                  <w:tcW w:w="851" w:type="dxa"/>
                  <w:vAlign w:val="center"/>
                </w:tcPr>
                <w:p>
                  <w:pPr>
                    <w:pStyle w:val="87"/>
                    <w:rPr>
                      <w:rFonts w:ascii="Times New Roman" w:hAnsi="Times New Roman" w:cs="Times New Roman"/>
                    </w:rPr>
                  </w:pPr>
                  <w:r>
                    <w:rPr>
                      <w:rFonts w:ascii="Times New Roman" w:hAnsi="Times New Roman" w:cs="Times New Roman"/>
                    </w:rPr>
                    <w:t>来源</w:t>
                  </w:r>
                </w:p>
              </w:tc>
              <w:tc>
                <w:tcPr>
                  <w:tcW w:w="857" w:type="dxa"/>
                </w:tcPr>
                <w:p>
                  <w:pPr>
                    <w:pStyle w:val="87"/>
                    <w:rPr>
                      <w:rFonts w:ascii="Times New Roman" w:hAnsi="Times New Roman" w:cs="Times New Roman"/>
                    </w:rPr>
                  </w:pPr>
                  <w:r>
                    <w:rPr>
                      <w:rFonts w:ascii="Times New Roman" w:hAnsi="Times New Roman" w:cs="Times New Roman"/>
                    </w:rPr>
                    <w:t>运输方式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1</w:t>
                  </w:r>
                </w:p>
              </w:tc>
              <w:tc>
                <w:tcPr>
                  <w:tcW w:w="962" w:type="dxa"/>
                  <w:vAlign w:val="center"/>
                </w:tcPr>
                <w:p>
                  <w:pPr>
                    <w:pStyle w:val="87"/>
                    <w:rPr>
                      <w:rFonts w:ascii="Times New Roman" w:hAnsi="Times New Roman" w:cs="Times New Roman"/>
                    </w:rPr>
                  </w:pPr>
                  <w:r>
                    <w:rPr>
                      <w:rFonts w:ascii="Times New Roman" w:hAnsi="Times New Roman" w:cs="Times New Roman"/>
                    </w:rPr>
                    <w:t>水泥</w:t>
                  </w:r>
                </w:p>
              </w:tc>
              <w:tc>
                <w:tcPr>
                  <w:tcW w:w="831" w:type="dxa"/>
                  <w:vAlign w:val="center"/>
                </w:tcPr>
                <w:p>
                  <w:pPr>
                    <w:pStyle w:val="87"/>
                    <w:rPr>
                      <w:rFonts w:ascii="Times New Roman" w:hAnsi="Times New Roman" w:cs="Times New Roman"/>
                    </w:rPr>
                  </w:pPr>
                  <w:r>
                    <w:rPr>
                      <w:rFonts w:ascii="Times New Roman" w:hAnsi="Times New Roman" w:cs="Times New Roman"/>
                    </w:rPr>
                    <w:t>颗粒</w:t>
                  </w:r>
                </w:p>
              </w:tc>
              <w:tc>
                <w:tcPr>
                  <w:tcW w:w="892" w:type="dxa"/>
                  <w:vAlign w:val="center"/>
                </w:tcPr>
                <w:p>
                  <w:pPr>
                    <w:pStyle w:val="87"/>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95000</w:t>
                  </w:r>
                </w:p>
              </w:tc>
              <w:tc>
                <w:tcPr>
                  <w:tcW w:w="1098" w:type="dxa"/>
                  <w:vAlign w:val="center"/>
                </w:tcPr>
                <w:p>
                  <w:pPr>
                    <w:pStyle w:val="87"/>
                    <w:rPr>
                      <w:rFonts w:ascii="Times New Roman" w:hAnsi="Times New Roman" w:cs="Times New Roman"/>
                    </w:rPr>
                  </w:pPr>
                  <w:r>
                    <w:rPr>
                      <w:rFonts w:ascii="Times New Roman" w:hAnsi="Times New Roman" w:cs="Times New Roman"/>
                    </w:rPr>
                    <w:t>筒仓储存</w:t>
                  </w:r>
                </w:p>
              </w:tc>
              <w:tc>
                <w:tcPr>
                  <w:tcW w:w="1219" w:type="dxa"/>
                  <w:vAlign w:val="center"/>
                </w:tcPr>
                <w:p>
                  <w:pPr>
                    <w:pStyle w:val="87"/>
                    <w:rPr>
                      <w:rFonts w:ascii="Times New Roman" w:hAnsi="Times New Roman" w:cs="Times New Roman"/>
                    </w:rPr>
                  </w:pPr>
                  <w:r>
                    <w:rPr>
                      <w:rFonts w:ascii="Times New Roman" w:hAnsi="Times New Roman" w:cs="Times New Roman"/>
                    </w:rPr>
                    <w:t>生产车间西侧</w:t>
                  </w:r>
                </w:p>
              </w:tc>
              <w:tc>
                <w:tcPr>
                  <w:tcW w:w="850" w:type="dxa"/>
                </w:tcPr>
                <w:p>
                  <w:pPr>
                    <w:pStyle w:val="87"/>
                    <w:rPr>
                      <w:rFonts w:ascii="Times New Roman" w:hAnsi="Times New Roman" w:cs="Times New Roman"/>
                    </w:rPr>
                  </w:pPr>
                  <w:r>
                    <w:rPr>
                      <w:rFonts w:ascii="Times New Roman" w:hAnsi="Times New Roman" w:cs="Times New Roman"/>
                    </w:rPr>
                    <w:t>/</w:t>
                  </w:r>
                </w:p>
              </w:tc>
              <w:tc>
                <w:tcPr>
                  <w:tcW w:w="851" w:type="dxa"/>
                  <w:vAlign w:val="center"/>
                </w:tcPr>
                <w:p>
                  <w:pPr>
                    <w:pStyle w:val="87"/>
                    <w:rPr>
                      <w:rFonts w:ascii="Times New Roman" w:hAnsi="Times New Roman" w:cs="Times New Roman"/>
                    </w:rPr>
                  </w:pPr>
                  <w:r>
                    <w:rPr>
                      <w:rFonts w:ascii="Times New Roman" w:hAnsi="Times New Roman" w:cs="Times New Roman"/>
                    </w:rPr>
                    <w:t>外购散装水泥</w:t>
                  </w:r>
                </w:p>
              </w:tc>
              <w:tc>
                <w:tcPr>
                  <w:tcW w:w="857" w:type="dxa"/>
                </w:tcPr>
                <w:p>
                  <w:pPr>
                    <w:pStyle w:val="87"/>
                    <w:rPr>
                      <w:rFonts w:ascii="Times New Roman" w:hAnsi="Times New Roman" w:cs="Times New Roman"/>
                    </w:rPr>
                  </w:pPr>
                  <w:r>
                    <w:rPr>
                      <w:rFonts w:ascii="Times New Roman" w:hAnsi="Times New Roman" w:cs="Times New Roma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2</w:t>
                  </w:r>
                </w:p>
              </w:tc>
              <w:tc>
                <w:tcPr>
                  <w:tcW w:w="962" w:type="dxa"/>
                  <w:vAlign w:val="center"/>
                </w:tcPr>
                <w:p>
                  <w:pPr>
                    <w:pStyle w:val="87"/>
                    <w:rPr>
                      <w:rFonts w:ascii="Times New Roman" w:hAnsi="Times New Roman" w:cs="Times New Roman"/>
                    </w:rPr>
                  </w:pPr>
                  <w:r>
                    <w:rPr>
                      <w:rFonts w:ascii="Times New Roman" w:hAnsi="Times New Roman" w:cs="Times New Roman"/>
                    </w:rPr>
                    <w:t>石子</w:t>
                  </w:r>
                </w:p>
              </w:tc>
              <w:tc>
                <w:tcPr>
                  <w:tcW w:w="831" w:type="dxa"/>
                  <w:vAlign w:val="center"/>
                </w:tcPr>
                <w:p>
                  <w:pPr>
                    <w:pStyle w:val="87"/>
                    <w:rPr>
                      <w:rFonts w:ascii="Times New Roman" w:hAnsi="Times New Roman" w:cs="Times New Roman"/>
                    </w:rPr>
                  </w:pPr>
                  <w:r>
                    <w:rPr>
                      <w:rFonts w:ascii="Times New Roman" w:hAnsi="Times New Roman" w:cs="Times New Roman"/>
                    </w:rPr>
                    <w:t>颗粒</w:t>
                  </w:r>
                </w:p>
              </w:tc>
              <w:tc>
                <w:tcPr>
                  <w:tcW w:w="892" w:type="dxa"/>
                  <w:vAlign w:val="center"/>
                </w:tcPr>
                <w:p>
                  <w:pPr>
                    <w:pStyle w:val="87"/>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190000</w:t>
                  </w:r>
                </w:p>
              </w:tc>
              <w:tc>
                <w:tcPr>
                  <w:tcW w:w="1098" w:type="dxa"/>
                  <w:vAlign w:val="center"/>
                </w:tcPr>
                <w:p>
                  <w:pPr>
                    <w:pStyle w:val="87"/>
                    <w:rPr>
                      <w:rFonts w:ascii="Times New Roman" w:hAnsi="Times New Roman" w:cs="Times New Roman"/>
                    </w:rPr>
                  </w:pPr>
                  <w:r>
                    <w:rPr>
                      <w:rFonts w:ascii="Times New Roman" w:hAnsi="Times New Roman" w:cs="Times New Roman"/>
                    </w:rPr>
                    <w:t>堆存</w:t>
                  </w:r>
                </w:p>
              </w:tc>
              <w:tc>
                <w:tcPr>
                  <w:tcW w:w="1219" w:type="dxa"/>
                  <w:vAlign w:val="center"/>
                </w:tcPr>
                <w:p>
                  <w:pPr>
                    <w:pStyle w:val="87"/>
                    <w:rPr>
                      <w:rFonts w:hint="default" w:ascii="Times New Roman" w:hAnsi="Times New Roman" w:eastAsia="宋体" w:cs="Times New Roman"/>
                      <w:lang w:val="en-US" w:eastAsia="zh-CN"/>
                    </w:rPr>
                  </w:pPr>
                  <w:r>
                    <w:rPr>
                      <w:rFonts w:ascii="Times New Roman" w:hAnsi="Times New Roman" w:cs="Times New Roman"/>
                    </w:rPr>
                    <w:t>生产车间</w:t>
                  </w:r>
                  <w:r>
                    <w:rPr>
                      <w:rFonts w:hint="eastAsia" w:ascii="Times New Roman" w:hAnsi="Times New Roman" w:cs="Times New Roman"/>
                      <w:lang w:val="en-US" w:eastAsia="zh-CN"/>
                    </w:rPr>
                    <w:t>西南角</w:t>
                  </w:r>
                </w:p>
              </w:tc>
              <w:tc>
                <w:tcPr>
                  <w:tcW w:w="850" w:type="dxa"/>
                </w:tcPr>
                <w:p>
                  <w:pPr>
                    <w:pStyle w:val="87"/>
                    <w:rPr>
                      <w:rFonts w:ascii="Times New Roman" w:hAnsi="Times New Roman" w:cs="Times New Roman"/>
                    </w:rPr>
                  </w:pPr>
                  <w:r>
                    <w:rPr>
                      <w:rFonts w:ascii="Times New Roman" w:hAnsi="Times New Roman" w:cs="Times New Roman"/>
                    </w:rPr>
                    <w:t>5-22mm</w:t>
                  </w:r>
                </w:p>
              </w:tc>
              <w:tc>
                <w:tcPr>
                  <w:tcW w:w="851" w:type="dxa"/>
                  <w:vAlign w:val="center"/>
                </w:tcPr>
                <w:p>
                  <w:pPr>
                    <w:pStyle w:val="87"/>
                    <w:rPr>
                      <w:rFonts w:ascii="Times New Roman" w:hAnsi="Times New Roman" w:cs="Times New Roman"/>
                    </w:rPr>
                  </w:pPr>
                  <w:r>
                    <w:rPr>
                      <w:rFonts w:ascii="Times New Roman" w:hAnsi="Times New Roman" w:cs="Times New Roman"/>
                    </w:rPr>
                    <w:t>外购</w:t>
                  </w:r>
                </w:p>
              </w:tc>
              <w:tc>
                <w:tcPr>
                  <w:tcW w:w="857" w:type="dxa"/>
                </w:tcPr>
                <w:p>
                  <w:pPr>
                    <w:pStyle w:val="87"/>
                    <w:rPr>
                      <w:rFonts w:ascii="Times New Roman" w:hAnsi="Times New Roman" w:cs="Times New Roman"/>
                    </w:rPr>
                  </w:pPr>
                  <w:r>
                    <w:rPr>
                      <w:rFonts w:ascii="Times New Roman" w:hAnsi="Times New Roman" w:cs="Times New Roma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3</w:t>
                  </w:r>
                </w:p>
              </w:tc>
              <w:tc>
                <w:tcPr>
                  <w:tcW w:w="962" w:type="dxa"/>
                  <w:vAlign w:val="center"/>
                </w:tcPr>
                <w:p>
                  <w:pPr>
                    <w:pStyle w:val="87"/>
                    <w:rPr>
                      <w:rFonts w:ascii="Times New Roman" w:hAnsi="Times New Roman" w:cs="Times New Roman"/>
                    </w:rPr>
                  </w:pPr>
                  <w:r>
                    <w:rPr>
                      <w:rFonts w:ascii="Times New Roman" w:hAnsi="Times New Roman" w:cs="Times New Roman"/>
                    </w:rPr>
                    <w:t>砂子</w:t>
                  </w:r>
                </w:p>
              </w:tc>
              <w:tc>
                <w:tcPr>
                  <w:tcW w:w="831" w:type="dxa"/>
                  <w:vAlign w:val="center"/>
                </w:tcPr>
                <w:p>
                  <w:pPr>
                    <w:pStyle w:val="87"/>
                    <w:rPr>
                      <w:rFonts w:ascii="Times New Roman" w:hAnsi="Times New Roman" w:cs="Times New Roman"/>
                    </w:rPr>
                  </w:pPr>
                  <w:r>
                    <w:rPr>
                      <w:rFonts w:ascii="Times New Roman" w:hAnsi="Times New Roman" w:cs="Times New Roman"/>
                    </w:rPr>
                    <w:t>颗粒</w:t>
                  </w:r>
                </w:p>
              </w:tc>
              <w:tc>
                <w:tcPr>
                  <w:tcW w:w="892" w:type="dxa"/>
                  <w:vAlign w:val="center"/>
                </w:tcPr>
                <w:p>
                  <w:pPr>
                    <w:pStyle w:val="87"/>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99000</w:t>
                  </w:r>
                </w:p>
              </w:tc>
              <w:tc>
                <w:tcPr>
                  <w:tcW w:w="1098" w:type="dxa"/>
                  <w:vAlign w:val="center"/>
                </w:tcPr>
                <w:p>
                  <w:pPr>
                    <w:pStyle w:val="87"/>
                    <w:rPr>
                      <w:rFonts w:ascii="Times New Roman" w:hAnsi="Times New Roman" w:cs="Times New Roman"/>
                    </w:rPr>
                  </w:pPr>
                  <w:r>
                    <w:rPr>
                      <w:rFonts w:ascii="Times New Roman" w:hAnsi="Times New Roman" w:cs="Times New Roman"/>
                    </w:rPr>
                    <w:t>堆存</w:t>
                  </w:r>
                </w:p>
              </w:tc>
              <w:tc>
                <w:tcPr>
                  <w:tcW w:w="1219" w:type="dxa"/>
                  <w:vAlign w:val="center"/>
                </w:tcPr>
                <w:p>
                  <w:pPr>
                    <w:pStyle w:val="87"/>
                    <w:rPr>
                      <w:rFonts w:ascii="Times New Roman" w:hAnsi="Times New Roman" w:cs="Times New Roman"/>
                    </w:rPr>
                  </w:pPr>
                  <w:r>
                    <w:rPr>
                      <w:rFonts w:ascii="Times New Roman" w:hAnsi="Times New Roman" w:cs="Times New Roman"/>
                    </w:rPr>
                    <w:t>生产车间</w:t>
                  </w:r>
                  <w:r>
                    <w:rPr>
                      <w:rFonts w:hint="eastAsia" w:ascii="Times New Roman" w:hAnsi="Times New Roman" w:cs="Times New Roman"/>
                      <w:lang w:val="en-US" w:eastAsia="zh-CN"/>
                    </w:rPr>
                    <w:t>西南角</w:t>
                  </w:r>
                </w:p>
              </w:tc>
              <w:tc>
                <w:tcPr>
                  <w:tcW w:w="850" w:type="dxa"/>
                </w:tcPr>
                <w:p>
                  <w:pPr>
                    <w:pStyle w:val="87"/>
                    <w:rPr>
                      <w:rFonts w:ascii="Times New Roman" w:hAnsi="Times New Roman" w:cs="Times New Roman"/>
                    </w:rPr>
                  </w:pPr>
                  <w:r>
                    <w:rPr>
                      <w:rFonts w:ascii="Times New Roman" w:hAnsi="Times New Roman" w:cs="Times New Roman"/>
                    </w:rPr>
                    <w:t>细沙</w:t>
                  </w:r>
                </w:p>
              </w:tc>
              <w:tc>
                <w:tcPr>
                  <w:tcW w:w="851" w:type="dxa"/>
                  <w:vAlign w:val="center"/>
                </w:tcPr>
                <w:p>
                  <w:pPr>
                    <w:pStyle w:val="87"/>
                    <w:rPr>
                      <w:rFonts w:ascii="Times New Roman" w:hAnsi="Times New Roman" w:cs="Times New Roman"/>
                    </w:rPr>
                  </w:pPr>
                  <w:r>
                    <w:rPr>
                      <w:rFonts w:ascii="Times New Roman" w:hAnsi="Times New Roman" w:cs="Times New Roman"/>
                    </w:rPr>
                    <w:t>外购</w:t>
                  </w:r>
                </w:p>
              </w:tc>
              <w:tc>
                <w:tcPr>
                  <w:tcW w:w="857" w:type="dxa"/>
                </w:tcPr>
                <w:p>
                  <w:pPr>
                    <w:pStyle w:val="87"/>
                    <w:rPr>
                      <w:rFonts w:ascii="Times New Roman" w:hAnsi="Times New Roman" w:cs="Times New Roman"/>
                    </w:rPr>
                  </w:pPr>
                  <w:r>
                    <w:rPr>
                      <w:rFonts w:ascii="Times New Roman" w:hAnsi="Times New Roman" w:cs="Times New Roma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4</w:t>
                  </w:r>
                </w:p>
              </w:tc>
              <w:tc>
                <w:tcPr>
                  <w:tcW w:w="962" w:type="dxa"/>
                  <w:vAlign w:val="center"/>
                </w:tcPr>
                <w:p>
                  <w:pPr>
                    <w:pStyle w:val="87"/>
                    <w:rPr>
                      <w:rFonts w:ascii="Times New Roman" w:hAnsi="Times New Roman" w:cs="Times New Roman"/>
                    </w:rPr>
                  </w:pPr>
                  <w:r>
                    <w:rPr>
                      <w:rFonts w:ascii="Times New Roman" w:hAnsi="Times New Roman" w:cs="Times New Roman"/>
                    </w:rPr>
                    <w:t>钢筋</w:t>
                  </w:r>
                </w:p>
              </w:tc>
              <w:tc>
                <w:tcPr>
                  <w:tcW w:w="831" w:type="dxa"/>
                  <w:vAlign w:val="center"/>
                </w:tcPr>
                <w:p>
                  <w:pPr>
                    <w:pStyle w:val="87"/>
                    <w:rPr>
                      <w:rFonts w:ascii="Times New Roman" w:hAnsi="Times New Roman" w:cs="Times New Roman"/>
                    </w:rPr>
                  </w:pPr>
                  <w:r>
                    <w:rPr>
                      <w:rFonts w:ascii="Times New Roman" w:hAnsi="Times New Roman" w:cs="Times New Roman"/>
                    </w:rPr>
                    <w:t>固态</w:t>
                  </w:r>
                </w:p>
              </w:tc>
              <w:tc>
                <w:tcPr>
                  <w:tcW w:w="892" w:type="dxa"/>
                  <w:vAlign w:val="center"/>
                </w:tcPr>
                <w:p>
                  <w:pPr>
                    <w:pStyle w:val="87"/>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6200</w:t>
                  </w:r>
                </w:p>
              </w:tc>
              <w:tc>
                <w:tcPr>
                  <w:tcW w:w="1098" w:type="dxa"/>
                  <w:vAlign w:val="center"/>
                </w:tcPr>
                <w:p>
                  <w:pPr>
                    <w:pStyle w:val="87"/>
                    <w:rPr>
                      <w:rFonts w:ascii="Times New Roman" w:hAnsi="Times New Roman" w:cs="Times New Roman"/>
                    </w:rPr>
                  </w:pPr>
                  <w:r>
                    <w:rPr>
                      <w:rFonts w:ascii="Times New Roman" w:hAnsi="Times New Roman" w:cs="Times New Roman"/>
                    </w:rPr>
                    <w:t>密闭车间</w:t>
                  </w:r>
                </w:p>
              </w:tc>
              <w:tc>
                <w:tcPr>
                  <w:tcW w:w="1219" w:type="dxa"/>
                  <w:vAlign w:val="center"/>
                </w:tcPr>
                <w:p>
                  <w:pPr>
                    <w:pStyle w:val="87"/>
                    <w:rPr>
                      <w:rFonts w:ascii="Times New Roman" w:hAnsi="Times New Roman" w:cs="Times New Roman"/>
                    </w:rPr>
                  </w:pPr>
                  <w:r>
                    <w:rPr>
                      <w:rFonts w:ascii="Times New Roman" w:hAnsi="Times New Roman" w:cs="Times New Roman"/>
                    </w:rPr>
                    <w:t>生产车间</w:t>
                  </w:r>
                </w:p>
              </w:tc>
              <w:tc>
                <w:tcPr>
                  <w:tcW w:w="850" w:type="dxa"/>
                </w:tcPr>
                <w:p>
                  <w:pPr>
                    <w:pStyle w:val="87"/>
                    <w:rPr>
                      <w:rFonts w:ascii="Times New Roman" w:hAnsi="Times New Roman" w:cs="Times New Roman"/>
                    </w:rPr>
                  </w:pPr>
                  <w:r>
                    <w:rPr>
                      <w:rFonts w:ascii="Times New Roman" w:hAnsi="Times New Roman" w:cs="Times New Roman"/>
                    </w:rPr>
                    <w:t>/</w:t>
                  </w:r>
                </w:p>
              </w:tc>
              <w:tc>
                <w:tcPr>
                  <w:tcW w:w="851" w:type="dxa"/>
                  <w:vAlign w:val="center"/>
                </w:tcPr>
                <w:p>
                  <w:pPr>
                    <w:pStyle w:val="87"/>
                    <w:rPr>
                      <w:rFonts w:ascii="Times New Roman" w:hAnsi="Times New Roman" w:cs="Times New Roman"/>
                    </w:rPr>
                  </w:pPr>
                  <w:r>
                    <w:rPr>
                      <w:rFonts w:ascii="Times New Roman" w:hAnsi="Times New Roman" w:cs="Times New Roman"/>
                    </w:rPr>
                    <w:t>外购</w:t>
                  </w:r>
                </w:p>
              </w:tc>
              <w:tc>
                <w:tcPr>
                  <w:tcW w:w="857" w:type="dxa"/>
                </w:tcPr>
                <w:p>
                  <w:pPr>
                    <w:pStyle w:val="87"/>
                    <w:rPr>
                      <w:rFonts w:ascii="Times New Roman" w:hAnsi="Times New Roman" w:cs="Times New Roman"/>
                    </w:rPr>
                  </w:pPr>
                  <w:r>
                    <w:rPr>
                      <w:rFonts w:ascii="Times New Roman" w:hAnsi="Times New Roman" w:cs="Times New Roma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5</w:t>
                  </w:r>
                </w:p>
              </w:tc>
              <w:tc>
                <w:tcPr>
                  <w:tcW w:w="962" w:type="dxa"/>
                  <w:vAlign w:val="center"/>
                </w:tcPr>
                <w:p>
                  <w:pPr>
                    <w:pStyle w:val="87"/>
                    <w:rPr>
                      <w:rFonts w:ascii="Times New Roman" w:hAnsi="Times New Roman" w:cs="Times New Roman"/>
                    </w:rPr>
                  </w:pPr>
                  <w:r>
                    <w:rPr>
                      <w:rFonts w:ascii="Times New Roman" w:hAnsi="Times New Roman" w:cs="Times New Roman"/>
                    </w:rPr>
                    <w:t>外加剂（粉煤灰、矿粉等）</w:t>
                  </w:r>
                </w:p>
              </w:tc>
              <w:tc>
                <w:tcPr>
                  <w:tcW w:w="831" w:type="dxa"/>
                  <w:vAlign w:val="center"/>
                </w:tcPr>
                <w:p>
                  <w:pPr>
                    <w:pStyle w:val="87"/>
                    <w:rPr>
                      <w:rFonts w:ascii="Times New Roman" w:hAnsi="Times New Roman" w:cs="Times New Roman"/>
                    </w:rPr>
                  </w:pPr>
                  <w:r>
                    <w:rPr>
                      <w:rFonts w:ascii="Times New Roman" w:hAnsi="Times New Roman" w:cs="Times New Roman"/>
                    </w:rPr>
                    <w:t>固态</w:t>
                  </w:r>
                </w:p>
              </w:tc>
              <w:tc>
                <w:tcPr>
                  <w:tcW w:w="892" w:type="dxa"/>
                  <w:vAlign w:val="center"/>
                </w:tcPr>
                <w:p>
                  <w:pPr>
                    <w:pStyle w:val="87"/>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1000</w:t>
                  </w:r>
                </w:p>
              </w:tc>
              <w:tc>
                <w:tcPr>
                  <w:tcW w:w="1098" w:type="dxa"/>
                  <w:vAlign w:val="center"/>
                </w:tcPr>
                <w:p>
                  <w:pPr>
                    <w:pStyle w:val="87"/>
                    <w:rPr>
                      <w:rFonts w:ascii="Times New Roman" w:hAnsi="Times New Roman" w:cs="Times New Roman"/>
                    </w:rPr>
                  </w:pPr>
                  <w:r>
                    <w:rPr>
                      <w:rFonts w:ascii="Times New Roman" w:hAnsi="Times New Roman" w:cs="Times New Roman"/>
                    </w:rPr>
                    <w:t>筒仓储存</w:t>
                  </w:r>
                </w:p>
              </w:tc>
              <w:tc>
                <w:tcPr>
                  <w:tcW w:w="1219" w:type="dxa"/>
                  <w:vAlign w:val="center"/>
                </w:tcPr>
                <w:p>
                  <w:pPr>
                    <w:pStyle w:val="87"/>
                    <w:rPr>
                      <w:rFonts w:ascii="Times New Roman" w:hAnsi="Times New Roman" w:cs="Times New Roman"/>
                    </w:rPr>
                  </w:pPr>
                  <w:r>
                    <w:rPr>
                      <w:rFonts w:ascii="Times New Roman" w:hAnsi="Times New Roman" w:cs="Times New Roman"/>
                    </w:rPr>
                    <w:t>生产车间西侧</w:t>
                  </w:r>
                </w:p>
              </w:tc>
              <w:tc>
                <w:tcPr>
                  <w:tcW w:w="850" w:type="dxa"/>
                </w:tcPr>
                <w:p>
                  <w:pPr>
                    <w:pStyle w:val="87"/>
                    <w:rPr>
                      <w:rFonts w:ascii="Times New Roman" w:hAnsi="Times New Roman" w:cs="Times New Roman"/>
                    </w:rPr>
                  </w:pPr>
                  <w:r>
                    <w:rPr>
                      <w:rFonts w:ascii="Times New Roman" w:hAnsi="Times New Roman" w:cs="Times New Roman"/>
                    </w:rPr>
                    <w:t>/</w:t>
                  </w:r>
                </w:p>
              </w:tc>
              <w:tc>
                <w:tcPr>
                  <w:tcW w:w="851" w:type="dxa"/>
                  <w:vAlign w:val="center"/>
                </w:tcPr>
                <w:p>
                  <w:pPr>
                    <w:pStyle w:val="87"/>
                    <w:rPr>
                      <w:rFonts w:ascii="Times New Roman" w:hAnsi="Times New Roman" w:cs="Times New Roman"/>
                    </w:rPr>
                  </w:pPr>
                  <w:r>
                    <w:rPr>
                      <w:rFonts w:ascii="Times New Roman" w:hAnsi="Times New Roman" w:cs="Times New Roman"/>
                    </w:rPr>
                    <w:t>外购散装粉煤灰和矿粉</w:t>
                  </w:r>
                </w:p>
              </w:tc>
              <w:tc>
                <w:tcPr>
                  <w:tcW w:w="857" w:type="dxa"/>
                </w:tcPr>
                <w:p>
                  <w:pPr>
                    <w:pStyle w:val="87"/>
                    <w:rPr>
                      <w:rFonts w:ascii="Times New Roman" w:hAnsi="Times New Roman" w:cs="Times New Roman"/>
                    </w:rPr>
                  </w:pPr>
                  <w:r>
                    <w:rPr>
                      <w:rFonts w:ascii="Times New Roman" w:hAnsi="Times New Roman" w:cs="Times New Roma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6</w:t>
                  </w:r>
                </w:p>
              </w:tc>
              <w:tc>
                <w:tcPr>
                  <w:tcW w:w="962" w:type="dxa"/>
                  <w:vAlign w:val="center"/>
                </w:tcPr>
                <w:p>
                  <w:pPr>
                    <w:pStyle w:val="87"/>
                    <w:rPr>
                      <w:rFonts w:ascii="Times New Roman" w:hAnsi="Times New Roman" w:cs="Times New Roman"/>
                    </w:rPr>
                  </w:pPr>
                  <w:r>
                    <w:rPr>
                      <w:rFonts w:ascii="Times New Roman" w:hAnsi="Times New Roman" w:cs="Times New Roman"/>
                    </w:rPr>
                    <w:t>水性脱模剂</w:t>
                  </w:r>
                </w:p>
              </w:tc>
              <w:tc>
                <w:tcPr>
                  <w:tcW w:w="831" w:type="dxa"/>
                  <w:vAlign w:val="center"/>
                </w:tcPr>
                <w:p>
                  <w:pPr>
                    <w:pStyle w:val="87"/>
                    <w:rPr>
                      <w:rFonts w:ascii="Times New Roman" w:hAnsi="Times New Roman" w:cs="Times New Roman"/>
                    </w:rPr>
                  </w:pPr>
                  <w:r>
                    <w:rPr>
                      <w:rFonts w:ascii="Times New Roman" w:hAnsi="Times New Roman" w:cs="Times New Roman"/>
                    </w:rPr>
                    <w:t>液态</w:t>
                  </w:r>
                </w:p>
              </w:tc>
              <w:tc>
                <w:tcPr>
                  <w:tcW w:w="892" w:type="dxa"/>
                  <w:vAlign w:val="center"/>
                </w:tcPr>
                <w:p>
                  <w:pPr>
                    <w:pStyle w:val="87"/>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37</w:t>
                  </w:r>
                </w:p>
              </w:tc>
              <w:tc>
                <w:tcPr>
                  <w:tcW w:w="1098" w:type="dxa"/>
                  <w:vAlign w:val="center"/>
                </w:tcPr>
                <w:p>
                  <w:pPr>
                    <w:pStyle w:val="87"/>
                    <w:rPr>
                      <w:rFonts w:ascii="Times New Roman" w:hAnsi="Times New Roman" w:cs="Times New Roman"/>
                    </w:rPr>
                  </w:pPr>
                  <w:r>
                    <w:rPr>
                      <w:rFonts w:ascii="Times New Roman" w:hAnsi="Times New Roman" w:cs="Times New Roman"/>
                    </w:rPr>
                    <w:t>桶装</w:t>
                  </w:r>
                </w:p>
              </w:tc>
              <w:tc>
                <w:tcPr>
                  <w:tcW w:w="1219" w:type="dxa"/>
                  <w:vAlign w:val="center"/>
                </w:tcPr>
                <w:p>
                  <w:pPr>
                    <w:pStyle w:val="87"/>
                    <w:rPr>
                      <w:rFonts w:ascii="Times New Roman" w:hAnsi="Times New Roman" w:cs="Times New Roman"/>
                    </w:rPr>
                  </w:pPr>
                  <w:r>
                    <w:rPr>
                      <w:rFonts w:ascii="Times New Roman" w:hAnsi="Times New Roman" w:cs="Times New Roman"/>
                    </w:rPr>
                    <w:t>生产车间</w:t>
                  </w:r>
                </w:p>
              </w:tc>
              <w:tc>
                <w:tcPr>
                  <w:tcW w:w="850" w:type="dxa"/>
                </w:tcPr>
                <w:p>
                  <w:pPr>
                    <w:pStyle w:val="87"/>
                    <w:rPr>
                      <w:rFonts w:ascii="Times New Roman" w:hAnsi="Times New Roman" w:cs="Times New Roman"/>
                    </w:rPr>
                  </w:pPr>
                  <w:r>
                    <w:rPr>
                      <w:rFonts w:ascii="Times New Roman" w:hAnsi="Times New Roman" w:cs="Times New Roman"/>
                    </w:rPr>
                    <w:t>/</w:t>
                  </w:r>
                </w:p>
              </w:tc>
              <w:tc>
                <w:tcPr>
                  <w:tcW w:w="851" w:type="dxa"/>
                  <w:vAlign w:val="center"/>
                </w:tcPr>
                <w:p>
                  <w:pPr>
                    <w:pStyle w:val="87"/>
                    <w:rPr>
                      <w:rFonts w:ascii="Times New Roman" w:hAnsi="Times New Roman" w:cs="Times New Roman"/>
                    </w:rPr>
                  </w:pPr>
                  <w:r>
                    <w:rPr>
                      <w:rFonts w:ascii="Times New Roman" w:hAnsi="Times New Roman" w:cs="Times New Roman"/>
                    </w:rPr>
                    <w:t>外购</w:t>
                  </w:r>
                </w:p>
              </w:tc>
              <w:tc>
                <w:tcPr>
                  <w:tcW w:w="857" w:type="dxa"/>
                </w:tcPr>
                <w:p>
                  <w:pPr>
                    <w:pStyle w:val="87"/>
                    <w:rPr>
                      <w:rFonts w:ascii="Times New Roman" w:hAnsi="Times New Roman" w:cs="Times New Roman"/>
                    </w:rPr>
                  </w:pPr>
                  <w:r>
                    <w:rPr>
                      <w:rFonts w:ascii="Times New Roman" w:hAnsi="Times New Roman" w:cs="Times New Roma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eastAsia="宋体" w:cs="Times New Roman"/>
                      <w:bCs/>
                      <w:spacing w:val="5"/>
                      <w:kern w:val="0"/>
                      <w:sz w:val="21"/>
                      <w:szCs w:val="21"/>
                      <w:lang w:val="en-US" w:eastAsia="zh-CN" w:bidi="ar-SA"/>
                    </w:rPr>
                  </w:pPr>
                  <w:r>
                    <w:rPr>
                      <w:rFonts w:ascii="Times New Roman" w:hAnsi="Times New Roman" w:cs="Times New Roman"/>
                    </w:rPr>
                    <w:t>7</w:t>
                  </w:r>
                </w:p>
              </w:tc>
              <w:tc>
                <w:tcPr>
                  <w:tcW w:w="962" w:type="dxa"/>
                  <w:vAlign w:val="center"/>
                </w:tcPr>
                <w:p>
                  <w:pPr>
                    <w:pStyle w:val="87"/>
                    <w:rPr>
                      <w:rFonts w:ascii="Times New Roman" w:hAnsi="Times New Roman" w:cs="Times New Roman"/>
                    </w:rPr>
                  </w:pPr>
                  <w:r>
                    <w:rPr>
                      <w:rFonts w:ascii="Times New Roman" w:hAnsi="Times New Roman" w:cs="Times New Roman"/>
                    </w:rPr>
                    <w:t>醇基</w:t>
                  </w:r>
                </w:p>
              </w:tc>
              <w:tc>
                <w:tcPr>
                  <w:tcW w:w="831" w:type="dxa"/>
                  <w:vAlign w:val="center"/>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液态</w:t>
                  </w:r>
                </w:p>
              </w:tc>
              <w:tc>
                <w:tcPr>
                  <w:tcW w:w="892" w:type="dxa"/>
                  <w:vAlign w:val="center"/>
                </w:tcPr>
                <w:p>
                  <w:pPr>
                    <w:pStyle w:val="87"/>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484.8</w:t>
                  </w:r>
                </w:p>
              </w:tc>
              <w:tc>
                <w:tcPr>
                  <w:tcW w:w="1098" w:type="dxa"/>
                  <w:vAlign w:val="center"/>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储罐</w:t>
                  </w:r>
                </w:p>
              </w:tc>
              <w:tc>
                <w:tcPr>
                  <w:tcW w:w="1219"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锅炉房（地面）</w:t>
                  </w:r>
                </w:p>
              </w:tc>
              <w:tc>
                <w:tcPr>
                  <w:tcW w:w="850" w:type="dxa"/>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6m3</w:t>
                  </w:r>
                </w:p>
              </w:tc>
              <w:tc>
                <w:tcPr>
                  <w:tcW w:w="851" w:type="dxa"/>
                  <w:vAlign w:val="center"/>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外购</w:t>
                  </w:r>
                </w:p>
              </w:tc>
              <w:tc>
                <w:tcPr>
                  <w:tcW w:w="857" w:type="dxa"/>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eastAsia="宋体" w:cs="Times New Roman"/>
                      <w:bCs/>
                      <w:spacing w:val="5"/>
                      <w:kern w:val="0"/>
                      <w:sz w:val="21"/>
                      <w:szCs w:val="21"/>
                      <w:lang w:val="en-US" w:eastAsia="zh-CN" w:bidi="ar-SA"/>
                    </w:rPr>
                  </w:pPr>
                  <w:r>
                    <w:rPr>
                      <w:rFonts w:ascii="Times New Roman" w:hAnsi="Times New Roman" w:cs="Times New Roman"/>
                    </w:rPr>
                    <w:t>8</w:t>
                  </w:r>
                </w:p>
              </w:tc>
              <w:tc>
                <w:tcPr>
                  <w:tcW w:w="962" w:type="dxa"/>
                  <w:vAlign w:val="center"/>
                </w:tcPr>
                <w:p>
                  <w:pPr>
                    <w:pStyle w:val="87"/>
                    <w:rPr>
                      <w:rFonts w:ascii="Times New Roman" w:hAnsi="Times New Roman" w:cs="Times New Roman"/>
                    </w:rPr>
                  </w:pPr>
                  <w:r>
                    <w:rPr>
                      <w:rFonts w:ascii="Times New Roman" w:hAnsi="Times New Roman" w:cs="Times New Roman"/>
                    </w:rPr>
                    <w:t>水</w:t>
                  </w:r>
                </w:p>
              </w:tc>
              <w:tc>
                <w:tcPr>
                  <w:tcW w:w="6598" w:type="dxa"/>
                  <w:gridSpan w:val="7"/>
                  <w:vAlign w:val="center"/>
                </w:tcPr>
                <w:p>
                  <w:pPr>
                    <w:pStyle w:val="87"/>
                    <w:rPr>
                      <w:rFonts w:ascii="Times New Roman" w:hAnsi="Times New Roman" w:cs="Times New Roman"/>
                    </w:rPr>
                  </w:pPr>
                  <w:r>
                    <w:rPr>
                      <w:rFonts w:hint="eastAsia" w:ascii="Times New Roman" w:hAnsi="Times New Roman" w:cs="Times New Roman"/>
                      <w:lang w:val="en-US" w:eastAsia="zh-CN"/>
                    </w:rPr>
                    <w:t>18120</w:t>
                  </w:r>
                  <w:r>
                    <w:rPr>
                      <w:rFonts w:ascii="Times New Roman" w:hAnsi="Times New Roman" w:cs="Times New Roman"/>
                    </w:rPr>
                    <w:t>m</w:t>
                  </w:r>
                  <w:r>
                    <w:rPr>
                      <w:rFonts w:ascii="Times New Roman" w:hAnsi="Times New Roman" w:cs="Times New Roman"/>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 w:type="dxa"/>
                  <w:vAlign w:val="center"/>
                </w:tcPr>
                <w:p>
                  <w:pPr>
                    <w:pStyle w:val="87"/>
                    <w:rPr>
                      <w:rFonts w:ascii="Times New Roman" w:hAnsi="Times New Roman" w:cs="Times New Roman"/>
                    </w:rPr>
                  </w:pPr>
                  <w:r>
                    <w:rPr>
                      <w:rFonts w:ascii="Times New Roman" w:hAnsi="Times New Roman" w:cs="Times New Roman"/>
                    </w:rPr>
                    <w:t>9</w:t>
                  </w:r>
                </w:p>
              </w:tc>
              <w:tc>
                <w:tcPr>
                  <w:tcW w:w="962" w:type="dxa"/>
                  <w:vAlign w:val="center"/>
                </w:tcPr>
                <w:p>
                  <w:pPr>
                    <w:pStyle w:val="87"/>
                    <w:rPr>
                      <w:rFonts w:ascii="Times New Roman" w:hAnsi="Times New Roman" w:cs="Times New Roman"/>
                    </w:rPr>
                  </w:pPr>
                  <w:r>
                    <w:rPr>
                      <w:rFonts w:ascii="Times New Roman" w:hAnsi="Times New Roman" w:cs="Times New Roman"/>
                    </w:rPr>
                    <w:t>电</w:t>
                  </w:r>
                </w:p>
              </w:tc>
              <w:tc>
                <w:tcPr>
                  <w:tcW w:w="6598" w:type="dxa"/>
                  <w:gridSpan w:val="7"/>
                  <w:vAlign w:val="center"/>
                </w:tcPr>
                <w:p>
                  <w:pPr>
                    <w:pStyle w:val="87"/>
                    <w:rPr>
                      <w:rFonts w:ascii="Times New Roman" w:hAnsi="Times New Roman" w:cs="Times New Roman"/>
                    </w:rPr>
                  </w:pPr>
                  <w:r>
                    <w:rPr>
                      <w:rFonts w:ascii="Times New Roman" w:hAnsi="Times New Roman" w:cs="Times New Roman"/>
                    </w:rPr>
                    <w:t>25万Kw·h</w:t>
                  </w:r>
                </w:p>
              </w:tc>
            </w:tr>
          </w:tbl>
          <w:p>
            <w:pPr>
              <w:keepNext w:val="0"/>
              <w:keepLines w:val="0"/>
              <w:pageBreakBefore w:val="0"/>
              <w:widowControl w:val="0"/>
              <w:numPr>
                <w:ilvl w:val="0"/>
                <w:numId w:val="7"/>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原辅料理化性质</w:t>
            </w:r>
          </w:p>
          <w:p>
            <w:pPr>
              <w:numPr>
                <w:ilvl w:val="0"/>
                <w:numId w:val="0"/>
              </w:numPr>
              <w:bidi w:val="0"/>
              <w:ind w:firstLine="480" w:firstLineChars="200"/>
              <w:rPr>
                <w:rFonts w:hint="eastAsia"/>
                <w:lang w:val="en-US" w:eastAsia="zh-CN"/>
              </w:rPr>
            </w:pPr>
            <w:r>
              <w:rPr>
                <w:rFonts w:hint="eastAsia"/>
                <w:lang w:val="en-US" w:eastAsia="zh-CN"/>
              </w:rPr>
              <w:t>本项目主要原辅量为水泥、石子、沙子、外加剂、钢筋、水性脱模剂、醇基。主要原辅料理化性质见表2-5。</w:t>
            </w:r>
          </w:p>
          <w:p>
            <w:pPr>
              <w:pStyle w:val="38"/>
              <w:bidi w:val="0"/>
              <w:rPr>
                <w:rFonts w:hint="eastAsia"/>
                <w:lang w:val="en-US" w:eastAsia="zh-CN"/>
              </w:rPr>
            </w:pPr>
            <w:r>
              <w:rPr>
                <w:rFonts w:hint="eastAsia"/>
                <w:lang w:val="en-US" w:eastAsia="zh-CN"/>
              </w:rPr>
              <w:t>表2-5项目原辅料理化性质</w:t>
            </w:r>
          </w:p>
          <w:tbl>
            <w:tblPr>
              <w:tblStyle w:val="27"/>
              <w:tblW w:w="78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67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16" w:type="dxa"/>
                  <w:tcBorders>
                    <w:tl2br w:val="nil"/>
                    <w:tr2bl w:val="nil"/>
                  </w:tcBorders>
                </w:tcPr>
                <w:p>
                  <w:pPr>
                    <w:pStyle w:val="39"/>
                    <w:bidi w:val="0"/>
                    <w:rPr>
                      <w:rFonts w:hint="default"/>
                      <w:lang w:val="en-US" w:eastAsia="zh-CN"/>
                    </w:rPr>
                  </w:pPr>
                  <w:r>
                    <w:rPr>
                      <w:rFonts w:hint="eastAsia"/>
                      <w:lang w:val="en-US" w:eastAsia="zh-CN"/>
                    </w:rPr>
                    <w:t>名称</w:t>
                  </w:r>
                </w:p>
              </w:tc>
              <w:tc>
                <w:tcPr>
                  <w:tcW w:w="6783" w:type="dxa"/>
                  <w:tcBorders>
                    <w:tl2br w:val="nil"/>
                    <w:tr2bl w:val="nil"/>
                  </w:tcBorders>
                </w:tcPr>
                <w:p>
                  <w:pPr>
                    <w:pStyle w:val="39"/>
                    <w:bidi w:val="0"/>
                    <w:rPr>
                      <w:rFonts w:hint="default"/>
                      <w:lang w:val="en-US" w:eastAsia="zh-CN"/>
                    </w:rPr>
                  </w:pPr>
                  <w:r>
                    <w:rPr>
                      <w:rFonts w:hint="eastAsia"/>
                      <w:lang w:val="en-US" w:eastAsia="zh-CN"/>
                    </w:rPr>
                    <w:t>理化性质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16" w:type="dxa"/>
                  <w:tcBorders>
                    <w:tl2br w:val="nil"/>
                    <w:tr2bl w:val="nil"/>
                  </w:tcBorders>
                </w:tcPr>
                <w:p>
                  <w:pPr>
                    <w:pStyle w:val="39"/>
                    <w:bidi w:val="0"/>
                    <w:rPr>
                      <w:rFonts w:hint="default"/>
                      <w:lang w:val="en-US" w:eastAsia="zh-CN"/>
                    </w:rPr>
                  </w:pPr>
                  <w:r>
                    <w:t>水性脱模剂</w:t>
                  </w:r>
                </w:p>
              </w:tc>
              <w:tc>
                <w:tcPr>
                  <w:tcW w:w="6783" w:type="dxa"/>
                  <w:tcBorders>
                    <w:tl2br w:val="nil"/>
                    <w:tr2bl w:val="nil"/>
                  </w:tcBorders>
                </w:tcPr>
                <w:p>
                  <w:pPr>
                    <w:pStyle w:val="39"/>
                    <w:bidi w:val="0"/>
                    <w:rPr>
                      <w:rFonts w:hint="default"/>
                      <w:lang w:val="en-US" w:eastAsia="zh-CN"/>
                    </w:rPr>
                  </w:pPr>
                  <w:r>
                    <w:t>水性脱模剂亦称离型剂、脱模油、硅油等，是一种高安定性水性乳液，主要成份为高固含量聚硅氧烷水乳液，PH值6～8，含固量大于60%。具有以下特性：无毒、无腐蚀性、无环境污染、无火灾隐患；能迅速于模具上形成油膜，易于产品脱模；使用后残留极少，便于产品的二次加工；极度稳定性，冷水即溶、操作简便；价格低廉、应用范围广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16" w:type="dxa"/>
                  <w:tcBorders>
                    <w:tl2br w:val="nil"/>
                    <w:tr2bl w:val="nil"/>
                  </w:tcBorders>
                </w:tcPr>
                <w:p>
                  <w:pPr>
                    <w:pStyle w:val="39"/>
                    <w:bidi w:val="0"/>
                    <w:rPr>
                      <w:rFonts w:hint="default"/>
                      <w:lang w:val="en-US" w:eastAsia="zh-CN"/>
                    </w:rPr>
                  </w:pPr>
                  <w:r>
                    <w:rPr>
                      <w:rFonts w:hint="eastAsia"/>
                      <w:lang w:val="en-US" w:eastAsia="zh-CN"/>
                    </w:rPr>
                    <w:t>醇基</w:t>
                  </w:r>
                </w:p>
              </w:tc>
              <w:tc>
                <w:tcPr>
                  <w:tcW w:w="6783" w:type="dxa"/>
                  <w:tcBorders>
                    <w:tl2br w:val="nil"/>
                    <w:tr2bl w:val="nil"/>
                  </w:tcBorders>
                </w:tcPr>
                <w:p>
                  <w:pPr>
                    <w:pStyle w:val="39"/>
                    <w:bidi w:val="0"/>
                    <w:rPr>
                      <w:rFonts w:hint="eastAsia"/>
                      <w:lang w:val="en-US" w:eastAsia="zh-CN"/>
                    </w:rPr>
                  </w:pPr>
                  <w:r>
                    <w:t>醇基燃料是以醇类为主体配制的燃料，主要成分为甲醇，具有</w:t>
                  </w:r>
                  <w:r>
                    <w:rPr>
                      <w:rFonts w:hint="default"/>
                    </w:rPr>
                    <w:t>毒性，通常以液体或固体形式存在。</w:t>
                  </w:r>
                  <w:r>
                    <w:rPr>
                      <w:rFonts w:hint="eastAsia"/>
                      <w:lang w:val="en-US" w:eastAsia="zh-CN"/>
                    </w:rPr>
                    <w:t>属于清洁能源，</w:t>
                  </w:r>
                  <w:r>
                    <w:t>醇基燃料</w:t>
                  </w:r>
                  <w:r>
                    <w:rPr>
                      <w:rFonts w:hint="eastAsia"/>
                      <w:lang w:val="en-US" w:eastAsia="zh-CN"/>
                    </w:rPr>
                    <w:t>可</w:t>
                  </w:r>
                  <w:r>
                    <w:t>完全彻底燃烧，热转换效率最高，排放是水与</w:t>
                  </w:r>
                  <w:r>
                    <w:rPr>
                      <w:rFonts w:hint="default"/>
                    </w:rPr>
                    <w:fldChar w:fldCharType="begin"/>
                  </w:r>
                  <w:r>
                    <w:rPr>
                      <w:rFonts w:hint="default"/>
                    </w:rPr>
                    <w:instrText xml:space="preserve"> HYPERLINK "https://baike.baidu.com/item/%E4%BA%8C%E6%B0%A7%E5%8C%96%E7%A2%B3/349143?fromModule=lemma_inlink" \t "https://baike.baidu.com/item/%E9%86%87%E5%9F%BA%E7%87%83%E6%96%99/_blank" </w:instrText>
                  </w:r>
                  <w:r>
                    <w:rPr>
                      <w:rFonts w:hint="default"/>
                    </w:rPr>
                    <w:fldChar w:fldCharType="separate"/>
                  </w:r>
                  <w:r>
                    <w:rPr>
                      <w:rFonts w:hint="default"/>
                    </w:rPr>
                    <w:t>二氧化碳</w:t>
                  </w:r>
                  <w:r>
                    <w:rPr>
                      <w:rFonts w:hint="default"/>
                    </w:rPr>
                    <w:fldChar w:fldCharType="end"/>
                  </w:r>
                  <w:r>
                    <w:rPr>
                      <w:rFonts w:hint="default"/>
                    </w:rPr>
                    <w:t>为主</w:t>
                  </w:r>
                  <w:r>
                    <w:rPr>
                      <w:rFonts w:hint="eastAsia"/>
                      <w:lang w:eastAsia="zh-CN"/>
                    </w:rPr>
                    <w:t>。</w:t>
                  </w:r>
                </w:p>
              </w:tc>
            </w:tr>
          </w:tbl>
          <w:p>
            <w:pPr>
              <w:pStyle w:val="25"/>
              <w:ind w:left="228" w:leftChars="95" w:firstLine="228" w:firstLineChars="95"/>
              <w:rPr>
                <w:sz w:val="24"/>
                <w:szCs w:val="24"/>
                <w:lang w:bidi="ar"/>
              </w:rPr>
            </w:pPr>
            <w:r>
              <w:rPr>
                <w:sz w:val="24"/>
                <w:szCs w:val="24"/>
                <w:lang w:bidi="ar"/>
              </w:rPr>
              <w:t>（5）物料平衡</w:t>
            </w:r>
          </w:p>
          <w:p>
            <w:pPr>
              <w:ind w:firstLine="480" w:firstLineChars="200"/>
              <w:rPr>
                <w:sz w:val="24"/>
                <w:szCs w:val="24"/>
                <w:lang w:bidi="ar"/>
              </w:rPr>
            </w:pPr>
            <w:r>
              <w:rPr>
                <w:sz w:val="24"/>
                <w:szCs w:val="24"/>
                <w:lang w:bidi="ar"/>
              </w:rPr>
              <w:t>本项目物料平衡见表2-</w:t>
            </w:r>
            <w:r>
              <w:rPr>
                <w:rFonts w:hint="eastAsia"/>
                <w:sz w:val="24"/>
                <w:szCs w:val="24"/>
                <w:lang w:val="en-US" w:eastAsia="zh-CN" w:bidi="ar"/>
              </w:rPr>
              <w:t>6</w:t>
            </w:r>
            <w:r>
              <w:rPr>
                <w:sz w:val="24"/>
                <w:szCs w:val="24"/>
                <w:lang w:bidi="ar"/>
              </w:rPr>
              <w:t>。</w:t>
            </w:r>
          </w:p>
          <w:p>
            <w:pPr>
              <w:pStyle w:val="38"/>
              <w:rPr>
                <w:lang w:bidi="ar"/>
              </w:rPr>
            </w:pPr>
            <w:r>
              <w:rPr>
                <w:lang w:bidi="ar"/>
              </w:rPr>
              <w:t>表2-</w:t>
            </w:r>
            <w:r>
              <w:rPr>
                <w:rFonts w:hint="eastAsia"/>
                <w:lang w:val="en-US" w:eastAsia="zh-CN" w:bidi="ar"/>
              </w:rPr>
              <w:t>6</w:t>
            </w:r>
            <w:r>
              <w:rPr>
                <w:lang w:bidi="ar"/>
              </w:rPr>
              <w:t>项目物料平衡表</w:t>
            </w:r>
          </w:p>
          <w:tbl>
            <w:tblPr>
              <w:tblStyle w:val="26"/>
              <w:tblW w:w="8059" w:type="dxa"/>
              <w:tblInd w:w="-15" w:type="dxa"/>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752"/>
              <w:gridCol w:w="1495"/>
              <w:gridCol w:w="2188"/>
              <w:gridCol w:w="1624"/>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 w:hRule="atLeast"/>
              </w:trPr>
              <w:tc>
                <w:tcPr>
                  <w:tcW w:w="424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投入（</w:t>
                  </w:r>
                  <w:r>
                    <w:rPr>
                      <w:rFonts w:hint="default" w:ascii="Times New Roman" w:hAnsi="Times New Roman" w:eastAsia="宋体" w:cs="Times New Roman"/>
                      <w:i w:val="0"/>
                      <w:iCs w:val="0"/>
                      <w:color w:val="auto"/>
                      <w:kern w:val="0"/>
                      <w:sz w:val="21"/>
                      <w:szCs w:val="21"/>
                      <w:u w:val="none"/>
                      <w:lang w:val="en-US" w:eastAsia="zh-CN" w:bidi="ar"/>
                    </w:rPr>
                    <w:t>t/a</w:t>
                  </w:r>
                  <w:r>
                    <w:rPr>
                      <w:rFonts w:hint="eastAsia" w:ascii="宋体" w:hAnsi="宋体" w:eastAsia="宋体" w:cs="宋体"/>
                      <w:i w:val="0"/>
                      <w:iCs w:val="0"/>
                      <w:color w:val="auto"/>
                      <w:kern w:val="0"/>
                      <w:sz w:val="21"/>
                      <w:szCs w:val="21"/>
                      <w:u w:val="none"/>
                      <w:lang w:val="en-US" w:eastAsia="zh-CN" w:bidi="ar"/>
                    </w:rPr>
                    <w:t>）</w:t>
                  </w:r>
                </w:p>
              </w:tc>
              <w:tc>
                <w:tcPr>
                  <w:tcW w:w="381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产出（</w:t>
                  </w:r>
                  <w:r>
                    <w:rPr>
                      <w:rFonts w:hint="default" w:ascii="Times New Roman" w:hAnsi="Times New Roman" w:eastAsia="宋体" w:cs="Times New Roman"/>
                      <w:i w:val="0"/>
                      <w:iCs w:val="0"/>
                      <w:color w:val="auto"/>
                      <w:kern w:val="0"/>
                      <w:sz w:val="21"/>
                      <w:szCs w:val="21"/>
                      <w:u w:val="none"/>
                      <w:lang w:val="en-US" w:eastAsia="zh-CN" w:bidi="ar"/>
                    </w:rPr>
                    <w:t>t/a</w:t>
                  </w:r>
                  <w:r>
                    <w:rPr>
                      <w:rFonts w:hint="eastAsia" w:ascii="宋体" w:hAnsi="宋体" w:eastAsia="宋体" w:cs="宋体"/>
                      <w:i w:val="0"/>
                      <w:iCs w:val="0"/>
                      <w:color w:val="auto"/>
                      <w:kern w:val="0"/>
                      <w:sz w:val="21"/>
                      <w:szCs w:val="21"/>
                      <w:u w:val="none"/>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水泥</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95000</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太阳能光伏管桩</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386250</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石子</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190000</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水泥电杆</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4732</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砂子</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99000</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除尘器收集的粉尘</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207</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钢筋</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6200</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废金属边角料</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51</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外加剂（粉煤灰、矿粉等）</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排放粉尘</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水性脱模剂</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37</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不合格产品</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391</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16200</w:t>
                  </w:r>
                </w:p>
              </w:tc>
              <w:tc>
                <w:tcPr>
                  <w:tcW w:w="21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水蒸气蒸发</w:t>
                  </w: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15785</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 w:hRule="atLeast"/>
              </w:trPr>
              <w:tc>
                <w:tcPr>
                  <w:tcW w:w="27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合计</w:t>
                  </w:r>
                </w:p>
              </w:tc>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407437</w:t>
                  </w:r>
                </w:p>
              </w:tc>
              <w:tc>
                <w:tcPr>
                  <w:tcW w:w="2188"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auto"/>
                      <w:sz w:val="21"/>
                      <w:szCs w:val="21"/>
                      <w:u w:val="none"/>
                    </w:rPr>
                  </w:pPr>
                </w:p>
              </w:tc>
              <w:tc>
                <w:tcPr>
                  <w:tcW w:w="162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407437</w:t>
                  </w:r>
                </w:p>
              </w:tc>
            </w:tr>
          </w:tbl>
          <w:p>
            <w:pPr>
              <w:ind w:firstLine="480" w:firstLineChars="200"/>
              <w:rPr>
                <w:szCs w:val="21"/>
              </w:rPr>
            </w:pPr>
            <w:r>
              <w:rPr>
                <w:szCs w:val="21"/>
              </w:rPr>
              <w:t>（6）公用设施</w:t>
            </w:r>
          </w:p>
          <w:p>
            <w:pPr>
              <w:ind w:firstLine="480" w:firstLineChars="200"/>
              <w:rPr>
                <w:szCs w:val="21"/>
              </w:rPr>
            </w:pPr>
            <w:r>
              <w:rPr>
                <w:szCs w:val="21"/>
              </w:rPr>
              <w:fldChar w:fldCharType="begin"/>
            </w:r>
            <w:r>
              <w:rPr>
                <w:szCs w:val="21"/>
              </w:rPr>
              <w:instrText xml:space="preserve"> = 1 \* GB3 </w:instrText>
            </w:r>
            <w:r>
              <w:rPr>
                <w:szCs w:val="21"/>
              </w:rPr>
              <w:fldChar w:fldCharType="separate"/>
            </w:r>
            <w:r>
              <w:rPr>
                <w:rFonts w:hint="eastAsia" w:ascii="宋体" w:hAnsi="宋体" w:cs="宋体"/>
                <w:szCs w:val="21"/>
              </w:rPr>
              <w:t>①</w:t>
            </w:r>
            <w:r>
              <w:rPr>
                <w:szCs w:val="21"/>
              </w:rPr>
              <w:fldChar w:fldCharType="end"/>
            </w:r>
            <w:r>
              <w:rPr>
                <w:szCs w:val="21"/>
              </w:rPr>
              <w:t>供电</w:t>
            </w:r>
          </w:p>
          <w:p>
            <w:pPr>
              <w:ind w:firstLine="480" w:firstLineChars="200"/>
              <w:rPr>
                <w:szCs w:val="21"/>
              </w:rPr>
            </w:pPr>
            <w:r>
              <w:rPr>
                <w:szCs w:val="21"/>
              </w:rPr>
              <w:t>本项目用电由国家电网统一供给，可满足本项目用电负荷及对供电可靠性的要求。</w:t>
            </w:r>
          </w:p>
          <w:p>
            <w:pPr>
              <w:ind w:firstLine="480" w:firstLineChars="200"/>
              <w:rPr>
                <w:szCs w:val="21"/>
              </w:rPr>
            </w:pPr>
            <w:r>
              <w:rPr>
                <w:szCs w:val="21"/>
              </w:rPr>
              <w:fldChar w:fldCharType="begin"/>
            </w:r>
            <w:r>
              <w:rPr>
                <w:szCs w:val="21"/>
              </w:rPr>
              <w:instrText xml:space="preserve"> = 2 \* GB3 </w:instrText>
            </w:r>
            <w:r>
              <w:rPr>
                <w:szCs w:val="21"/>
              </w:rPr>
              <w:fldChar w:fldCharType="separate"/>
            </w:r>
            <w:r>
              <w:rPr>
                <w:rFonts w:hint="eastAsia" w:ascii="宋体" w:hAnsi="宋体" w:cs="宋体"/>
                <w:szCs w:val="21"/>
              </w:rPr>
              <w:t>②</w:t>
            </w:r>
            <w:r>
              <w:rPr>
                <w:szCs w:val="21"/>
              </w:rPr>
              <w:fldChar w:fldCharType="end"/>
            </w:r>
            <w:r>
              <w:rPr>
                <w:szCs w:val="21"/>
              </w:rPr>
              <w:t>供水</w:t>
            </w:r>
          </w:p>
          <w:p>
            <w:pPr>
              <w:autoSpaceDE w:val="0"/>
              <w:autoSpaceDN w:val="0"/>
              <w:ind w:firstLine="480" w:firstLineChars="200"/>
              <w:rPr>
                <w:kern w:val="0"/>
                <w:sz w:val="24"/>
                <w:szCs w:val="24"/>
              </w:rPr>
            </w:pPr>
            <w:r>
              <w:rPr>
                <w:szCs w:val="21"/>
              </w:rPr>
              <w:t>本项目</w:t>
            </w:r>
            <w:r>
              <w:rPr>
                <w:kern w:val="0"/>
                <w:szCs w:val="21"/>
              </w:rPr>
              <w:t>运营期用水主要为生产用水及生活用水，</w:t>
            </w:r>
            <w:r>
              <w:rPr>
                <w:szCs w:val="21"/>
              </w:rPr>
              <w:t>由市政供水管网提供，</w:t>
            </w:r>
            <w:r>
              <w:rPr>
                <w:kern w:val="0"/>
                <w:szCs w:val="21"/>
              </w:rPr>
              <w:t>水质及水量</w:t>
            </w:r>
            <w:r>
              <w:rPr>
                <w:kern w:val="0"/>
                <w:sz w:val="24"/>
                <w:szCs w:val="24"/>
              </w:rPr>
              <w:t>可满足项目所需。</w:t>
            </w:r>
          </w:p>
          <w:p>
            <w:pPr>
              <w:pStyle w:val="37"/>
              <w:tabs>
                <w:tab w:val="left" w:pos="312"/>
              </w:tabs>
              <w:ind w:left="422"/>
              <w:jc w:val="left"/>
              <w:rPr>
                <w:rFonts w:ascii="Times New Roman" w:cs="Times New Roman"/>
                <w:b w:val="0"/>
                <w:color w:val="auto"/>
                <w:sz w:val="24"/>
                <w:szCs w:val="24"/>
              </w:rPr>
            </w:pPr>
            <w:r>
              <w:rPr>
                <w:rFonts w:ascii="Times New Roman" w:cs="Times New Roman"/>
                <w:b w:val="0"/>
                <w:color w:val="auto"/>
                <w:sz w:val="24"/>
                <w:szCs w:val="24"/>
              </w:rPr>
              <w:t>a.生活用水</w:t>
            </w:r>
          </w:p>
          <w:p>
            <w:pPr>
              <w:adjustRightInd w:val="0"/>
              <w:snapToGrid w:val="0"/>
              <w:ind w:firstLine="480" w:firstLineChars="200"/>
              <w:rPr>
                <w:sz w:val="24"/>
                <w:szCs w:val="24"/>
              </w:rPr>
            </w:pPr>
            <w:r>
              <w:rPr>
                <w:sz w:val="24"/>
                <w:szCs w:val="24"/>
              </w:rPr>
              <w:t>本项目员工共计50人，每天工作8小时，年工作300天，根据《新疆维吾尔自治区生活用水定额》中用水定额要求，人均用水按照80L/人·d，预计生活用水量为4m</w:t>
            </w:r>
            <w:r>
              <w:rPr>
                <w:sz w:val="24"/>
                <w:szCs w:val="24"/>
                <w:vertAlign w:val="superscript"/>
              </w:rPr>
              <w:t>3</w:t>
            </w:r>
            <w:r>
              <w:rPr>
                <w:sz w:val="24"/>
                <w:szCs w:val="24"/>
              </w:rPr>
              <w:t>/d（1200m</w:t>
            </w:r>
            <w:r>
              <w:rPr>
                <w:sz w:val="24"/>
                <w:szCs w:val="24"/>
                <w:vertAlign w:val="superscript"/>
              </w:rPr>
              <w:t>3</w:t>
            </w:r>
            <w:r>
              <w:rPr>
                <w:sz w:val="24"/>
                <w:szCs w:val="24"/>
              </w:rPr>
              <w:t>/a）。</w:t>
            </w:r>
          </w:p>
          <w:p>
            <w:pPr>
              <w:pStyle w:val="37"/>
              <w:tabs>
                <w:tab w:val="left" w:pos="312"/>
              </w:tabs>
              <w:ind w:left="422"/>
              <w:jc w:val="left"/>
              <w:rPr>
                <w:rFonts w:ascii="Times New Roman" w:cs="Times New Roman"/>
                <w:b w:val="0"/>
                <w:color w:val="auto"/>
                <w:sz w:val="24"/>
                <w:szCs w:val="24"/>
              </w:rPr>
            </w:pPr>
            <w:r>
              <w:rPr>
                <w:rFonts w:ascii="Times New Roman" w:cs="Times New Roman"/>
                <w:b w:val="0"/>
                <w:color w:val="auto"/>
                <w:sz w:val="24"/>
                <w:szCs w:val="24"/>
              </w:rPr>
              <w:t>b.生产用水</w:t>
            </w:r>
          </w:p>
          <w:p>
            <w:pPr>
              <w:ind w:firstLine="480" w:firstLineChars="200"/>
              <w:rPr>
                <w:kern w:val="0"/>
                <w:sz w:val="24"/>
                <w:szCs w:val="24"/>
              </w:rPr>
            </w:pPr>
            <w:r>
              <w:rPr>
                <w:kern w:val="0"/>
                <w:sz w:val="24"/>
                <w:szCs w:val="24"/>
              </w:rPr>
              <w:t>本项目生产用水主要为混凝土砼料生产用水、</w:t>
            </w:r>
            <w:r>
              <w:rPr>
                <w:rFonts w:hint="eastAsia"/>
                <w:kern w:val="0"/>
                <w:sz w:val="24"/>
                <w:szCs w:val="24"/>
                <w:lang w:val="en-US" w:eastAsia="zh-CN"/>
              </w:rPr>
              <w:t>锅炉软化水制备用水</w:t>
            </w:r>
            <w:r>
              <w:rPr>
                <w:kern w:val="0"/>
                <w:sz w:val="24"/>
                <w:szCs w:val="24"/>
              </w:rPr>
              <w:t>。</w:t>
            </w:r>
          </w:p>
          <w:p>
            <w:pPr>
              <w:adjustRightInd w:val="0"/>
              <w:snapToGrid w:val="0"/>
              <w:ind w:firstLine="480" w:firstLineChars="200"/>
              <w:rPr>
                <w:rFonts w:hint="eastAsia" w:eastAsia="宋体"/>
                <w:kern w:val="0"/>
                <w:szCs w:val="21"/>
                <w:lang w:val="en-US" w:eastAsia="zh-CN"/>
              </w:rPr>
            </w:pPr>
            <w:r>
              <w:rPr>
                <w:kern w:val="0"/>
                <w:sz w:val="24"/>
                <w:szCs w:val="24"/>
              </w:rPr>
              <w:t>混凝土砼料</w:t>
            </w:r>
            <w:r>
              <w:rPr>
                <w:kern w:val="0"/>
                <w:szCs w:val="21"/>
              </w:rPr>
              <w:t>生产用水：根据业主提供的资料及经验数据，项目混凝土砼料生产过程用水约30m</w:t>
            </w:r>
            <w:r>
              <w:rPr>
                <w:kern w:val="0"/>
                <w:szCs w:val="21"/>
                <w:vertAlign w:val="superscript"/>
              </w:rPr>
              <w:t>3</w:t>
            </w:r>
            <w:r>
              <w:rPr>
                <w:kern w:val="0"/>
                <w:szCs w:val="21"/>
              </w:rPr>
              <w:t>/d，合计9000m</w:t>
            </w:r>
            <w:r>
              <w:rPr>
                <w:kern w:val="0"/>
                <w:szCs w:val="21"/>
                <w:vertAlign w:val="superscript"/>
              </w:rPr>
              <w:t>3</w:t>
            </w:r>
            <w:r>
              <w:rPr>
                <w:kern w:val="0"/>
                <w:szCs w:val="21"/>
              </w:rPr>
              <w:t>/a，全部进入产品中。</w:t>
            </w:r>
          </w:p>
          <w:p>
            <w:pPr>
              <w:adjustRightInd w:val="0"/>
              <w:snapToGrid w:val="0"/>
              <w:ind w:firstLine="480" w:firstLineChars="200"/>
              <w:rPr>
                <w:rFonts w:hint="eastAsia" w:eastAsia="宋体"/>
                <w:kern w:val="0"/>
                <w:szCs w:val="21"/>
                <w:lang w:eastAsia="zh-CN"/>
              </w:rPr>
            </w:pPr>
            <w:r>
              <w:rPr>
                <w:rFonts w:hint="eastAsia"/>
                <w:kern w:val="0"/>
                <w:sz w:val="24"/>
                <w:szCs w:val="24"/>
                <w:lang w:val="en-US" w:eastAsia="zh-CN"/>
              </w:rPr>
              <w:t>锅炉软化水制备用水</w:t>
            </w:r>
            <w:r>
              <w:rPr>
                <w:kern w:val="0"/>
                <w:szCs w:val="21"/>
              </w:rPr>
              <w:t>：项目产品养护采取蒸汽养护，蒸汽由醇基锅炉加热供给，根据业主提供的资料，项目</w:t>
            </w:r>
            <w:r>
              <w:rPr>
                <w:rFonts w:hint="eastAsia"/>
                <w:kern w:val="0"/>
                <w:szCs w:val="21"/>
                <w:lang w:val="en-US" w:eastAsia="zh-CN"/>
              </w:rPr>
              <w:t>锅炉软化用水量</w:t>
            </w:r>
            <w:r>
              <w:rPr>
                <w:kern w:val="0"/>
                <w:szCs w:val="21"/>
              </w:rPr>
              <w:t>约</w:t>
            </w:r>
            <w:r>
              <w:rPr>
                <w:rFonts w:hint="eastAsia"/>
                <w:kern w:val="0"/>
                <w:szCs w:val="21"/>
                <w:lang w:val="en-US" w:eastAsia="zh-CN"/>
              </w:rPr>
              <w:t>30</w:t>
            </w:r>
            <w:r>
              <w:rPr>
                <w:kern w:val="0"/>
                <w:szCs w:val="21"/>
              </w:rPr>
              <w:t>m</w:t>
            </w:r>
            <w:r>
              <w:rPr>
                <w:kern w:val="0"/>
                <w:szCs w:val="21"/>
                <w:vertAlign w:val="superscript"/>
              </w:rPr>
              <w:t>3</w:t>
            </w:r>
            <w:r>
              <w:rPr>
                <w:kern w:val="0"/>
                <w:szCs w:val="21"/>
              </w:rPr>
              <w:t>/d，合计</w:t>
            </w:r>
            <w:r>
              <w:rPr>
                <w:rFonts w:hint="eastAsia"/>
                <w:kern w:val="0"/>
                <w:szCs w:val="21"/>
                <w:lang w:val="en-US" w:eastAsia="zh-CN"/>
              </w:rPr>
              <w:t>90</w:t>
            </w:r>
            <w:r>
              <w:rPr>
                <w:kern w:val="0"/>
                <w:szCs w:val="21"/>
              </w:rPr>
              <w:t>00m</w:t>
            </w:r>
            <w:r>
              <w:rPr>
                <w:kern w:val="0"/>
                <w:szCs w:val="21"/>
                <w:vertAlign w:val="superscript"/>
              </w:rPr>
              <w:t>3</w:t>
            </w:r>
            <w:r>
              <w:rPr>
                <w:kern w:val="0"/>
                <w:szCs w:val="21"/>
              </w:rPr>
              <w:t>/a</w:t>
            </w:r>
            <w:r>
              <w:rPr>
                <w:rFonts w:hint="eastAsia"/>
                <w:kern w:val="0"/>
                <w:szCs w:val="21"/>
                <w:lang w:eastAsia="zh-CN"/>
              </w:rPr>
              <w:t>。</w:t>
            </w:r>
          </w:p>
          <w:p>
            <w:pPr>
              <w:autoSpaceDE w:val="0"/>
              <w:autoSpaceDN w:val="0"/>
              <w:ind w:left="0" w:leftChars="0" w:firstLine="0" w:firstLineChars="0"/>
              <w:jc w:val="center"/>
              <w:rPr>
                <w:rFonts w:hint="eastAsia" w:eastAsia="宋体"/>
                <w:b/>
                <w:bCs/>
                <w:szCs w:val="21"/>
                <w:lang w:eastAsia="zh-CN"/>
              </w:rPr>
            </w:pPr>
            <w:r>
              <w:rPr>
                <w:rFonts w:hint="eastAsia" w:eastAsia="宋体"/>
                <w:b/>
                <w:bCs/>
                <w:szCs w:val="21"/>
                <w:lang w:eastAsia="zh-CN"/>
              </w:rPr>
              <w:object>
                <v:shape id="_x0000_i1025" o:spt="75" type="#_x0000_t75" style="height:152.9pt;width:400.85pt;" o:ole="t" filled="f" o:preferrelative="t" stroked="f" coordsize="21600,21600">
                  <v:path/>
                  <v:fill on="f" focussize="0,0"/>
                  <v:stroke on="f"/>
                  <v:imagedata r:id="rId9" o:title=""/>
                  <o:lock v:ext="edit" aspectratio="t"/>
                  <w10:wrap type="none"/>
                  <w10:anchorlock/>
                </v:shape>
                <o:OLEObject Type="Embed" ProgID="Visio.Drawing.15" ShapeID="_x0000_i1025" DrawAspect="Content" ObjectID="_1468075725" r:id="rId8">
                  <o:LockedField>false</o:LockedField>
                </o:OLEObject>
              </w:object>
            </w:r>
          </w:p>
          <w:p>
            <w:pPr>
              <w:pStyle w:val="38"/>
              <w:rPr>
                <w:rFonts w:hint="eastAsia" w:eastAsia="宋体"/>
                <w:lang w:eastAsia="zh-CN"/>
              </w:rPr>
            </w:pPr>
            <w:r>
              <w:t>图2-1</w:t>
            </w:r>
            <w:r>
              <w:rPr>
                <w:rFonts w:hint="eastAsia"/>
                <w:lang w:val="en-US" w:eastAsia="zh-CN"/>
              </w:rPr>
              <w:t>项目</w:t>
            </w:r>
            <w:r>
              <w:t>水平衡图</w:t>
            </w:r>
            <w:r>
              <w:rPr>
                <w:rFonts w:hint="eastAsia"/>
                <w:lang w:val="en-US" w:eastAsia="zh-CN"/>
              </w:rPr>
              <w:t xml:space="preserve">    </w:t>
            </w:r>
            <w:r>
              <w:t>单位m</w:t>
            </w:r>
            <w:r>
              <w:rPr>
                <w:vertAlign w:val="superscript"/>
              </w:rPr>
              <w:t>3</w:t>
            </w:r>
            <w:r>
              <w:t>/</w:t>
            </w:r>
            <w:r>
              <w:rPr>
                <w:rFonts w:hint="eastAsia"/>
                <w:lang w:val="en-US" w:eastAsia="zh-CN"/>
              </w:rPr>
              <w:t>d</w:t>
            </w:r>
          </w:p>
          <w:p>
            <w:pPr>
              <w:autoSpaceDE w:val="0"/>
              <w:autoSpaceDN w:val="0"/>
              <w:ind w:firstLine="480" w:firstLineChars="200"/>
              <w:rPr>
                <w:szCs w:val="21"/>
              </w:rPr>
            </w:pPr>
            <w:r>
              <w:rPr>
                <w:szCs w:val="21"/>
              </w:rPr>
              <w:fldChar w:fldCharType="begin"/>
            </w:r>
            <w:r>
              <w:rPr>
                <w:szCs w:val="21"/>
              </w:rPr>
              <w:instrText xml:space="preserve"> = 3 \* GB3 </w:instrText>
            </w:r>
            <w:r>
              <w:rPr>
                <w:szCs w:val="21"/>
              </w:rPr>
              <w:fldChar w:fldCharType="separate"/>
            </w:r>
            <w:r>
              <w:rPr>
                <w:rFonts w:hint="eastAsia" w:ascii="宋体" w:hAnsi="宋体" w:cs="宋体"/>
                <w:szCs w:val="21"/>
              </w:rPr>
              <w:t>③</w:t>
            </w:r>
            <w:r>
              <w:rPr>
                <w:szCs w:val="21"/>
              </w:rPr>
              <w:fldChar w:fldCharType="end"/>
            </w:r>
            <w:r>
              <w:rPr>
                <w:szCs w:val="21"/>
              </w:rPr>
              <w:t>排水</w:t>
            </w:r>
          </w:p>
          <w:p>
            <w:pPr>
              <w:autoSpaceDE w:val="0"/>
              <w:autoSpaceDN w:val="0"/>
              <w:ind w:firstLine="480" w:firstLineChars="200"/>
              <w:rPr>
                <w:snapToGrid w:val="0"/>
                <w:kern w:val="0"/>
                <w:szCs w:val="21"/>
              </w:rPr>
            </w:pPr>
            <w:r>
              <w:rPr>
                <w:snapToGrid w:val="0"/>
                <w:kern w:val="0"/>
                <w:szCs w:val="21"/>
              </w:rPr>
              <w:t>项目区排水主要为生活污水，</w:t>
            </w:r>
            <w:r>
              <w:rPr>
                <w:rFonts w:hint="default"/>
                <w:snapToGrid w:val="0"/>
                <w:kern w:val="0"/>
                <w:szCs w:val="21"/>
              </w:rPr>
              <w:t>生活污水排放量按生活用水量的80%计，既3.2</w:t>
            </w:r>
            <w:r>
              <w:rPr>
                <w:snapToGrid w:val="0"/>
                <w:kern w:val="0"/>
                <w:szCs w:val="21"/>
              </w:rPr>
              <w:t>m</w:t>
            </w:r>
            <w:r>
              <w:rPr>
                <w:snapToGrid w:val="0"/>
                <w:kern w:val="0"/>
                <w:szCs w:val="21"/>
                <w:vertAlign w:val="superscript"/>
              </w:rPr>
              <w:t>3</w:t>
            </w:r>
            <w:r>
              <w:rPr>
                <w:snapToGrid w:val="0"/>
                <w:kern w:val="0"/>
                <w:szCs w:val="21"/>
              </w:rPr>
              <w:t>/d</w:t>
            </w:r>
            <w:r>
              <w:rPr>
                <w:rFonts w:hint="default"/>
                <w:snapToGrid w:val="0"/>
                <w:kern w:val="0"/>
                <w:szCs w:val="21"/>
              </w:rPr>
              <w:t>（960</w:t>
            </w:r>
            <w:r>
              <w:rPr>
                <w:snapToGrid w:val="0"/>
                <w:kern w:val="0"/>
                <w:szCs w:val="21"/>
              </w:rPr>
              <w:t>m</w:t>
            </w:r>
            <w:r>
              <w:rPr>
                <w:snapToGrid w:val="0"/>
                <w:kern w:val="0"/>
                <w:szCs w:val="21"/>
                <w:vertAlign w:val="superscript"/>
              </w:rPr>
              <w:t>3</w:t>
            </w:r>
            <w:r>
              <w:rPr>
                <w:snapToGrid w:val="0"/>
                <w:kern w:val="0"/>
                <w:szCs w:val="21"/>
              </w:rPr>
              <w:t>/a</w:t>
            </w:r>
            <w:r>
              <w:rPr>
                <w:rFonts w:hint="default"/>
                <w:snapToGrid w:val="0"/>
                <w:kern w:val="0"/>
                <w:szCs w:val="21"/>
              </w:rPr>
              <w:t>）</w:t>
            </w:r>
            <w:r>
              <w:rPr>
                <w:snapToGrid w:val="0"/>
                <w:kern w:val="0"/>
                <w:szCs w:val="21"/>
              </w:rPr>
              <w:t>，经</w:t>
            </w:r>
            <w:r>
              <w:rPr>
                <w:rFonts w:hint="eastAsia"/>
                <w:snapToGrid w:val="0"/>
                <w:kern w:val="0"/>
                <w:szCs w:val="21"/>
                <w:lang w:val="en-US" w:eastAsia="zh-CN"/>
              </w:rPr>
              <w:t>化粪池预处理后排入</w:t>
            </w:r>
            <w:r>
              <w:rPr>
                <w:snapToGrid w:val="0"/>
                <w:kern w:val="0"/>
                <w:szCs w:val="21"/>
              </w:rPr>
              <w:t>排水</w:t>
            </w:r>
            <w:r>
              <w:rPr>
                <w:rFonts w:hint="eastAsia"/>
                <w:snapToGrid w:val="0"/>
                <w:kern w:val="0"/>
                <w:szCs w:val="21"/>
                <w:lang w:val="en-US" w:eastAsia="zh-CN"/>
              </w:rPr>
              <w:t>污水</w:t>
            </w:r>
            <w:r>
              <w:rPr>
                <w:snapToGrid w:val="0"/>
                <w:kern w:val="0"/>
                <w:szCs w:val="21"/>
              </w:rPr>
              <w:t>管网</w:t>
            </w:r>
            <w:r>
              <w:rPr>
                <w:rFonts w:hint="eastAsia"/>
                <w:snapToGrid w:val="0"/>
                <w:kern w:val="0"/>
                <w:szCs w:val="21"/>
                <w:lang w:val="en-US" w:eastAsia="zh-CN"/>
              </w:rPr>
              <w:t>最终</w:t>
            </w:r>
            <w:r>
              <w:rPr>
                <w:snapToGrid w:val="0"/>
                <w:kern w:val="0"/>
                <w:szCs w:val="21"/>
              </w:rPr>
              <w:t>进入尉犁县城镇污水处理厂进一步处理。</w:t>
            </w:r>
          </w:p>
          <w:p>
            <w:pPr>
              <w:autoSpaceDE w:val="0"/>
              <w:autoSpaceDN w:val="0"/>
              <w:ind w:firstLine="480" w:firstLineChars="200"/>
              <w:rPr>
                <w:rFonts w:hint="default" w:eastAsia="宋体"/>
                <w:snapToGrid w:val="0"/>
                <w:kern w:val="0"/>
                <w:szCs w:val="21"/>
                <w:lang w:val="en-US" w:eastAsia="zh-CN"/>
              </w:rPr>
            </w:pPr>
            <w:r>
              <w:rPr>
                <w:rFonts w:hint="eastAsia"/>
                <w:snapToGrid w:val="0"/>
                <w:kern w:val="0"/>
                <w:szCs w:val="21"/>
                <w:lang w:val="en-US" w:eastAsia="zh-CN"/>
              </w:rPr>
              <w:t>锅炉软化水制备需水量为30</w:t>
            </w:r>
            <w:r>
              <w:rPr>
                <w:snapToGrid w:val="0"/>
                <w:kern w:val="0"/>
                <w:szCs w:val="21"/>
              </w:rPr>
              <w:t>m</w:t>
            </w:r>
            <w:r>
              <w:rPr>
                <w:snapToGrid w:val="0"/>
                <w:kern w:val="0"/>
                <w:szCs w:val="21"/>
                <w:vertAlign w:val="superscript"/>
              </w:rPr>
              <w:t>3</w:t>
            </w:r>
            <w:r>
              <w:rPr>
                <w:snapToGrid w:val="0"/>
                <w:kern w:val="0"/>
                <w:szCs w:val="21"/>
              </w:rPr>
              <w:t>/d</w:t>
            </w:r>
            <w:r>
              <w:rPr>
                <w:rFonts w:hint="default"/>
                <w:snapToGrid w:val="0"/>
                <w:kern w:val="0"/>
                <w:szCs w:val="21"/>
              </w:rPr>
              <w:t>（</w:t>
            </w:r>
            <w:r>
              <w:rPr>
                <w:rFonts w:hint="eastAsia"/>
                <w:snapToGrid w:val="0"/>
                <w:kern w:val="0"/>
                <w:szCs w:val="21"/>
                <w:lang w:val="en-US" w:eastAsia="zh-CN"/>
              </w:rPr>
              <w:t>9000</w:t>
            </w:r>
            <w:r>
              <w:rPr>
                <w:snapToGrid w:val="0"/>
                <w:kern w:val="0"/>
                <w:szCs w:val="21"/>
              </w:rPr>
              <w:t>m</w:t>
            </w:r>
            <w:r>
              <w:rPr>
                <w:snapToGrid w:val="0"/>
                <w:kern w:val="0"/>
                <w:szCs w:val="21"/>
                <w:vertAlign w:val="superscript"/>
              </w:rPr>
              <w:t>3</w:t>
            </w:r>
            <w:r>
              <w:rPr>
                <w:snapToGrid w:val="0"/>
                <w:kern w:val="0"/>
                <w:szCs w:val="21"/>
              </w:rPr>
              <w:t>/a</w:t>
            </w:r>
            <w:r>
              <w:rPr>
                <w:rFonts w:hint="default"/>
                <w:snapToGrid w:val="0"/>
                <w:kern w:val="0"/>
                <w:szCs w:val="21"/>
              </w:rPr>
              <w:t>）</w:t>
            </w:r>
            <w:r>
              <w:rPr>
                <w:rFonts w:hint="eastAsia"/>
                <w:snapToGrid w:val="0"/>
                <w:kern w:val="0"/>
                <w:szCs w:val="21"/>
                <w:lang w:eastAsia="zh-CN"/>
              </w:rPr>
              <w:t>，</w:t>
            </w:r>
            <w:r>
              <w:rPr>
                <w:rFonts w:hint="eastAsia"/>
                <w:snapToGrid w:val="0"/>
                <w:kern w:val="0"/>
                <w:szCs w:val="21"/>
                <w:lang w:val="en-US" w:eastAsia="zh-CN"/>
              </w:rPr>
              <w:t>软化水制备效率为80%，外排废水为6</w:t>
            </w:r>
            <w:r>
              <w:rPr>
                <w:snapToGrid w:val="0"/>
                <w:kern w:val="0"/>
                <w:szCs w:val="21"/>
              </w:rPr>
              <w:t>m</w:t>
            </w:r>
            <w:r>
              <w:rPr>
                <w:snapToGrid w:val="0"/>
                <w:kern w:val="0"/>
                <w:szCs w:val="21"/>
                <w:vertAlign w:val="superscript"/>
              </w:rPr>
              <w:t>3</w:t>
            </w:r>
            <w:r>
              <w:rPr>
                <w:snapToGrid w:val="0"/>
                <w:kern w:val="0"/>
                <w:szCs w:val="21"/>
              </w:rPr>
              <w:t>/d</w:t>
            </w:r>
            <w:r>
              <w:rPr>
                <w:rFonts w:hint="default"/>
                <w:snapToGrid w:val="0"/>
                <w:kern w:val="0"/>
                <w:szCs w:val="21"/>
              </w:rPr>
              <w:t>（</w:t>
            </w:r>
            <w:r>
              <w:rPr>
                <w:rFonts w:hint="eastAsia"/>
                <w:snapToGrid w:val="0"/>
                <w:kern w:val="0"/>
                <w:szCs w:val="21"/>
                <w:lang w:val="en-US" w:eastAsia="zh-CN"/>
              </w:rPr>
              <w:t>1800</w:t>
            </w:r>
            <w:r>
              <w:rPr>
                <w:snapToGrid w:val="0"/>
                <w:kern w:val="0"/>
                <w:szCs w:val="21"/>
              </w:rPr>
              <w:t>m</w:t>
            </w:r>
            <w:r>
              <w:rPr>
                <w:snapToGrid w:val="0"/>
                <w:kern w:val="0"/>
                <w:szCs w:val="21"/>
                <w:vertAlign w:val="superscript"/>
              </w:rPr>
              <w:t>3</w:t>
            </w:r>
            <w:r>
              <w:rPr>
                <w:snapToGrid w:val="0"/>
                <w:kern w:val="0"/>
                <w:szCs w:val="21"/>
              </w:rPr>
              <w:t>/a</w:t>
            </w:r>
            <w:r>
              <w:rPr>
                <w:rFonts w:hint="default"/>
                <w:snapToGrid w:val="0"/>
                <w:kern w:val="0"/>
                <w:szCs w:val="21"/>
              </w:rPr>
              <w:t>）</w:t>
            </w:r>
            <w:r>
              <w:rPr>
                <w:rFonts w:hint="eastAsia"/>
                <w:snapToGrid w:val="0"/>
                <w:kern w:val="0"/>
                <w:szCs w:val="21"/>
                <w:lang w:eastAsia="zh-CN"/>
              </w:rPr>
              <w:t>，</w:t>
            </w:r>
            <w:r>
              <w:rPr>
                <w:rFonts w:hint="eastAsia"/>
                <w:snapToGrid w:val="0"/>
                <w:kern w:val="0"/>
                <w:szCs w:val="21"/>
                <w:lang w:val="en-US" w:eastAsia="zh-CN"/>
              </w:rPr>
              <w:t>软化水制备废水排入污水管网后进入尉犁县城镇污水处理厂进一步处理。</w:t>
            </w:r>
          </w:p>
          <w:p>
            <w:pPr>
              <w:autoSpaceDE w:val="0"/>
              <w:autoSpaceDN w:val="0"/>
              <w:ind w:firstLine="480" w:firstLineChars="200"/>
              <w:rPr>
                <w:szCs w:val="21"/>
              </w:rPr>
            </w:pPr>
            <w:r>
              <w:rPr>
                <w:szCs w:val="21"/>
              </w:rPr>
              <w:fldChar w:fldCharType="begin"/>
            </w:r>
            <w:r>
              <w:rPr>
                <w:szCs w:val="21"/>
              </w:rPr>
              <w:instrText xml:space="preserve"> = 4 \* GB3 </w:instrText>
            </w:r>
            <w:r>
              <w:rPr>
                <w:szCs w:val="21"/>
              </w:rPr>
              <w:fldChar w:fldCharType="separate"/>
            </w:r>
            <w:r>
              <w:rPr>
                <w:rFonts w:hint="eastAsia" w:ascii="宋体" w:hAnsi="宋体" w:cs="宋体"/>
                <w:szCs w:val="21"/>
              </w:rPr>
              <w:t>④</w:t>
            </w:r>
            <w:r>
              <w:rPr>
                <w:szCs w:val="21"/>
              </w:rPr>
              <w:fldChar w:fldCharType="end"/>
            </w:r>
            <w:r>
              <w:rPr>
                <w:szCs w:val="21"/>
              </w:rPr>
              <w:t>供热</w:t>
            </w:r>
          </w:p>
          <w:p>
            <w:pPr>
              <w:ind w:firstLine="480" w:firstLineChars="200"/>
              <w:rPr>
                <w:szCs w:val="21"/>
              </w:rPr>
            </w:pPr>
            <w:r>
              <w:rPr>
                <w:kern w:val="0"/>
                <w:szCs w:val="21"/>
              </w:rPr>
              <w:t>本项目建设2台2t/h醇基锅炉，用于项目生产蒸汽供应及冬季供暖。</w:t>
            </w:r>
          </w:p>
          <w:p>
            <w:pPr>
              <w:ind w:firstLine="480" w:firstLineChars="200"/>
              <w:rPr>
                <w:szCs w:val="21"/>
              </w:rPr>
            </w:pPr>
            <w:r>
              <w:rPr>
                <w:szCs w:val="21"/>
              </w:rPr>
              <w:t>（6）工作制度及劳动定员</w:t>
            </w:r>
          </w:p>
          <w:p>
            <w:pPr>
              <w:pStyle w:val="37"/>
              <w:ind w:firstLine="480" w:firstLineChars="200"/>
              <w:jc w:val="left"/>
              <w:rPr>
                <w:rFonts w:ascii="Times New Roman" w:hAnsi="Times New Roman" w:eastAsia="宋体" w:cs="Times New Roman"/>
                <w:b w:val="0"/>
                <w:bCs/>
                <w:kern w:val="0"/>
                <w:sz w:val="24"/>
                <w:szCs w:val="21"/>
                <w:lang w:val="en-US" w:eastAsia="zh-CN" w:bidi="ar-SA"/>
              </w:rPr>
            </w:pPr>
            <w:r>
              <w:rPr>
                <w:rFonts w:ascii="Times New Roman" w:hAnsi="Times New Roman" w:eastAsia="宋体" w:cs="Times New Roman"/>
                <w:b w:val="0"/>
                <w:bCs/>
                <w:kern w:val="0"/>
                <w:sz w:val="24"/>
                <w:szCs w:val="21"/>
                <w:lang w:val="en-US" w:eastAsia="zh-CN" w:bidi="ar-SA"/>
              </w:rPr>
              <w:t>本项目员工共计50人，每天工作8小时，年工作300天，在厂区内食宿。</w:t>
            </w:r>
          </w:p>
          <w:p>
            <w:pPr>
              <w:ind w:firstLine="482" w:firstLineChars="200"/>
              <w:rPr>
                <w:b/>
                <w:szCs w:val="21"/>
              </w:rPr>
            </w:pPr>
            <w:r>
              <w:rPr>
                <w:b/>
                <w:szCs w:val="21"/>
              </w:rPr>
              <w:t>2平面布置</w:t>
            </w:r>
          </w:p>
          <w:p>
            <w:pPr>
              <w:adjustRightInd w:val="0"/>
              <w:snapToGrid w:val="0"/>
              <w:ind w:firstLine="480" w:firstLineChars="200"/>
              <w:rPr>
                <w:szCs w:val="21"/>
              </w:rPr>
            </w:pPr>
            <w:r>
              <w:rPr>
                <w:szCs w:val="21"/>
              </w:rPr>
              <w:t>项目区呈东西向矩形，厂区设2个门，分别位于项目区西侧与东侧，办公生活区位于项目区东测，生产车间位于项目区中部，</w:t>
            </w:r>
            <w:r>
              <w:rPr>
                <w:rFonts w:hint="eastAsia"/>
                <w:szCs w:val="21"/>
                <w:lang w:val="en-US" w:eastAsia="zh-CN"/>
              </w:rPr>
              <w:t>堆料区</w:t>
            </w:r>
            <w:r>
              <w:rPr>
                <w:szCs w:val="21"/>
              </w:rPr>
              <w:t>设置在生产车间内部西南角位置，项目区内设置2个成品堆场，分别位于生产车间外的空地；锅炉房位于项目区南侧的闲置厂房内。</w:t>
            </w:r>
          </w:p>
          <w:p>
            <w:pPr>
              <w:adjustRightInd w:val="0"/>
              <w:snapToGrid w:val="0"/>
              <w:ind w:firstLine="480" w:firstLineChars="200"/>
              <w:rPr>
                <w:szCs w:val="21"/>
              </w:rPr>
            </w:pPr>
            <w:r>
              <w:rPr>
                <w:szCs w:val="21"/>
              </w:rPr>
              <w:t>项目区内生产功能区相互独立，分区明确，保证了各个区域使用过程中互不干扰。平面布置图见附图3。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76" w:type="dxa"/>
            <w:vAlign w:val="center"/>
          </w:tcPr>
          <w:p>
            <w:pPr>
              <w:pStyle w:val="21"/>
              <w:adjustRightInd w:val="0"/>
              <w:snapToGrid w:val="0"/>
              <w:spacing w:before="0" w:beforeAutospacing="0" w:after="0" w:afterAutospacing="0"/>
              <w:jc w:val="center"/>
              <w:rPr>
                <w:rFonts w:ascii="Times New Roman"/>
                <w:sz w:val="21"/>
                <w:szCs w:val="21"/>
                <w:highlight w:val="yellow"/>
              </w:rPr>
            </w:pPr>
            <w:r>
              <w:rPr>
                <w:rFonts w:ascii="Times New Roman"/>
                <w:b/>
                <w:bCs/>
                <w:sz w:val="24"/>
                <w:szCs w:val="24"/>
              </w:rPr>
              <w:t>工艺流程和产排污环节</w:t>
            </w:r>
          </w:p>
        </w:tc>
        <w:tc>
          <w:tcPr>
            <w:tcW w:w="8384" w:type="dxa"/>
          </w:tcPr>
          <w:p>
            <w:pPr>
              <w:ind w:firstLine="482" w:firstLineChars="200"/>
              <w:rPr>
                <w:b/>
                <w:bCs/>
              </w:rPr>
            </w:pPr>
            <w:r>
              <w:rPr>
                <w:b/>
                <w:bCs/>
              </w:rPr>
              <w:t>1施工期工艺流程</w:t>
            </w:r>
          </w:p>
          <w:p>
            <w:pPr>
              <w:adjustRightInd w:val="0"/>
              <w:ind w:firstLine="480"/>
              <w:textAlignment w:val="baseline"/>
            </w:pPr>
            <w:r>
              <w:t>本项目建筑已建成，无土建施工期影响，主要施工期在于厂内内部分割、装修及设备的安装。</w:t>
            </w:r>
          </w:p>
          <w:p>
            <w:pPr>
              <w:jc w:val="center"/>
              <w:rPr>
                <w:b/>
                <w:bCs/>
              </w:rPr>
            </w:pPr>
            <w: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77470</wp:posOffset>
                      </wp:positionV>
                      <wp:extent cx="5066665" cy="1804035"/>
                      <wp:effectExtent l="0" t="3175" r="4445" b="2540"/>
                      <wp:wrapNone/>
                      <wp:docPr id="930" name="矩形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noTextEdit="1"/>
                            </wps:cNvSpPr>
                            <wps:spPr bwMode="auto">
                              <a:xfrm>
                                <a:off x="0" y="0"/>
                                <a:ext cx="5066665" cy="180403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矩形 216" o:spid="_x0000_s1026" o:spt="1" style="position:absolute;left:0pt;margin-left:18.85pt;margin-top:6.1pt;height:142.05pt;width:398.95pt;z-index:251659264;mso-width-relative:page;mso-height-relative:page;" filled="f" stroked="f" coordsize="21600,21600" o:gfxdata="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&#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rBXK2wAAAAkBAAAPAAAAAAAAAAEAIAAAACIAAABk&#10;cnMvZG93bnJldi54bWxQSwECFAAUAAAACACHTuJAIfPBVwMCAADgAwAADgAAAAAAAAABACAAAAAq&#10;AQAAZHJzL2Uyb0RvYy54bWxQSwUGAAAAAAYABgBZAQAAnwUAAAAA&#10;">
                      <v:fill on="f" focussize="0,0"/>
                      <v:stroke on="f"/>
                      <v:imagedata o:title=""/>
                      <o:lock v:ext="edit" rotation="t" text="t" aspectratio="t"/>
                    </v:rect>
                  </w:pict>
                </mc:Fallback>
              </mc:AlternateContent>
            </w:r>
            <w:r>
              <w:drawing>
                <wp:inline distT="0" distB="0" distL="0" distR="0">
                  <wp:extent cx="4054475" cy="1188085"/>
                  <wp:effectExtent l="0" t="0" r="317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059884" cy="1190196"/>
                          </a:xfrm>
                          <a:prstGeom prst="rect">
                            <a:avLst/>
                          </a:prstGeom>
                        </pic:spPr>
                      </pic:pic>
                    </a:graphicData>
                  </a:graphic>
                </wp:inline>
              </w:drawing>
            </w:r>
          </w:p>
          <w:p>
            <w:pPr>
              <w:pStyle w:val="38"/>
            </w:pPr>
            <w:r>
              <w:t>图2-2施工期工艺流程及产污节点图</w:t>
            </w:r>
          </w:p>
          <w:p>
            <w:pPr>
              <w:ind w:firstLine="480" w:firstLineChars="200"/>
            </w:pPr>
            <w:r>
              <w:t>工艺流程简介：</w:t>
            </w:r>
          </w:p>
          <w:p>
            <w:pPr>
              <w:ind w:firstLine="480" w:firstLineChars="200"/>
            </w:pPr>
            <w:r>
              <w:t>（1）厂房装修：本项目为租赁已建成厂房，厂房装修为对厂房内部进行功能区划分，按照设计图纸对各功能区进行分割，装修。</w:t>
            </w:r>
          </w:p>
          <w:p>
            <w:pPr>
              <w:ind w:firstLine="480" w:firstLineChars="200"/>
            </w:pPr>
            <w:r>
              <w:t>（2）设备安装：将采购设备安装至固定的功能区内。</w:t>
            </w:r>
          </w:p>
          <w:p>
            <w:pPr>
              <w:ind w:firstLine="482" w:firstLineChars="200"/>
              <w:rPr>
                <w:b/>
                <w:bCs/>
              </w:rPr>
            </w:pPr>
            <w:r>
              <w:rPr>
                <w:b/>
                <w:bCs/>
              </w:rPr>
              <w:t>2运营期工艺流程</w:t>
            </w:r>
          </w:p>
          <w:p>
            <w:pPr>
              <w:ind w:firstLine="480" w:firstLineChars="200"/>
            </w:pPr>
            <w:r>
              <w:t>（1）工艺流程</w:t>
            </w:r>
          </w:p>
          <w:p>
            <w:pPr>
              <w:pStyle w:val="48"/>
              <w:ind w:firstLine="420"/>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本项目运营期，光伏桩和电杆工艺相同，使用同一套生产设备，其运行工艺流程及产污节点可见下图2-3：</w:t>
            </w:r>
          </w:p>
          <w:p>
            <w:pPr>
              <w:pStyle w:val="48"/>
              <w:ind w:firstLine="0" w:firstLineChars="0"/>
            </w:pPr>
            <w:r>
              <w:object>
                <v:shape id="_x0000_i1026" o:spt="75" type="#_x0000_t75" style="height:218pt;width:402pt;" o:ole="t" filled="f" o:preferrelative="t" stroked="f" coordsize="21600,21600">
                  <v:path/>
                  <v:fill on="f" focussize="0,0"/>
                  <v:stroke on="f"/>
                  <v:imagedata r:id="rId12" o:title=""/>
                  <o:lock v:ext="edit" aspectratio="t"/>
                  <w10:wrap type="none"/>
                  <w10:anchorlock/>
                </v:shape>
                <o:OLEObject Type="Embed" ProgID="Visio.Drawing.15" ShapeID="_x0000_i1026" DrawAspect="Content" ObjectID="_1468075726" r:id="rId11">
                  <o:LockedField>false</o:LockedField>
                </o:OLEObject>
              </w:object>
            </w:r>
          </w:p>
          <w:p>
            <w:pPr>
              <w:pStyle w:val="38"/>
            </w:pPr>
            <w:r>
              <w:t>图2-3光伏桩及电杆加工工艺流程及产污节点</w:t>
            </w:r>
          </w:p>
          <w:p>
            <w:pPr>
              <w:ind w:firstLine="480" w:firstLineChars="200"/>
            </w:pPr>
            <w:r>
              <w:t>工艺流程简介：</w:t>
            </w:r>
          </w:p>
          <w:p>
            <w:pPr>
              <w:ind w:firstLine="480" w:firstLineChars="200"/>
            </w:pPr>
            <w:r>
              <w:fldChar w:fldCharType="begin"/>
            </w:r>
            <w:r>
              <w:instrText xml:space="preserve"> = 1 \* GB3 </w:instrText>
            </w:r>
            <w:r>
              <w:fldChar w:fldCharType="separate"/>
            </w:r>
            <w:r>
              <w:rPr>
                <w:rFonts w:hint="eastAsia" w:ascii="宋体" w:hAnsi="宋体" w:cs="宋体"/>
              </w:rPr>
              <w:t>①</w:t>
            </w:r>
            <w:r>
              <w:fldChar w:fldCharType="end"/>
            </w:r>
            <w:r>
              <w:t>原料入场：项目外购的外加剂水泥通过罐车输送至厂区，通过泵打入厂区内筒仓内待用，砂子、石子通过自卸式卡车运送至厂区，堆放于</w:t>
            </w:r>
            <w:r>
              <w:rPr>
                <w:rFonts w:hint="eastAsia"/>
                <w:lang w:val="en-US" w:eastAsia="zh-CN"/>
              </w:rPr>
              <w:t>生产车间堆料区</w:t>
            </w:r>
            <w:r>
              <w:t>。</w:t>
            </w:r>
          </w:p>
          <w:p>
            <w:pPr>
              <w:ind w:firstLine="480" w:firstLineChars="200"/>
            </w:pPr>
            <w:r>
              <w:fldChar w:fldCharType="begin"/>
            </w:r>
            <w:r>
              <w:instrText xml:space="preserve"> = 2 \* GB3 </w:instrText>
            </w:r>
            <w:r>
              <w:fldChar w:fldCharType="separate"/>
            </w:r>
            <w:r>
              <w:rPr>
                <w:rFonts w:hint="eastAsia" w:ascii="宋体" w:hAnsi="宋体" w:cs="宋体"/>
              </w:rPr>
              <w:t>②</w:t>
            </w:r>
            <w:r>
              <w:fldChar w:fldCharType="end"/>
            </w:r>
            <w:r>
              <w:t>搅拌：外购的外加剂、水泥通过筒仓卸料到计量斗称量后经密闭输送至搅拌机，水通过泵打入搅拌一体机，砂子、石子通过螺旋上料机自动上料，经混合搅拌后，从卸料口卸料至微型混罐站。</w:t>
            </w:r>
            <w:r>
              <w:rPr>
                <w:szCs w:val="21"/>
              </w:rPr>
              <w:t>混合</w:t>
            </w:r>
            <w:r>
              <w:t>搅拌产生的粉尘</w:t>
            </w:r>
            <w:r>
              <w:rPr>
                <w:szCs w:val="21"/>
              </w:rPr>
              <w:t>经集气罩收集后使用布袋除尘处理后经15m高排气筒排放。</w:t>
            </w:r>
          </w:p>
          <w:p>
            <w:pPr>
              <w:ind w:firstLine="480" w:firstLineChars="200"/>
            </w:pPr>
            <w:r>
              <w:fldChar w:fldCharType="begin"/>
            </w:r>
            <w:r>
              <w:instrText xml:space="preserve"> = 3 \* GB3 </w:instrText>
            </w:r>
            <w:r>
              <w:fldChar w:fldCharType="separate"/>
            </w:r>
            <w:r>
              <w:rPr>
                <w:rFonts w:hint="eastAsia" w:ascii="宋体" w:hAnsi="宋体" w:cs="宋体"/>
              </w:rPr>
              <w:t>③</w:t>
            </w:r>
            <w:r>
              <w:fldChar w:fldCharType="end"/>
            </w:r>
            <w:r>
              <w:t>成型：将加工完成的钢筋放入模具内，根据装配式建筑构件的混凝土用量，在模型腔内进行浇筑混凝土。</w:t>
            </w:r>
          </w:p>
          <w:p>
            <w:pPr>
              <w:ind w:firstLine="480" w:firstLineChars="200"/>
            </w:pPr>
            <w:r>
              <w:fldChar w:fldCharType="begin"/>
            </w:r>
            <w:r>
              <w:instrText xml:space="preserve"> = 4 \* GB3 </w:instrText>
            </w:r>
            <w:r>
              <w:fldChar w:fldCharType="separate"/>
            </w:r>
            <w:r>
              <w:rPr>
                <w:rFonts w:hint="eastAsia" w:ascii="宋体" w:hAnsi="宋体" w:cs="宋体"/>
              </w:rPr>
              <w:t>④</w:t>
            </w:r>
            <w:r>
              <w:fldChar w:fldCharType="end"/>
            </w:r>
            <w:r>
              <w:t>蒸养：将成型后的半成品构件在产品养护区进行蒸汽养护，蒸汽由醇基锅炉加热蒸汽发生器提供。</w:t>
            </w:r>
          </w:p>
          <w:p>
            <w:pPr>
              <w:ind w:firstLine="480" w:firstLineChars="200"/>
            </w:pPr>
            <w:r>
              <w:fldChar w:fldCharType="begin"/>
            </w:r>
            <w:r>
              <w:instrText xml:space="preserve"> = 5 \* GB3 </w:instrText>
            </w:r>
            <w:r>
              <w:fldChar w:fldCharType="separate"/>
            </w:r>
            <w:r>
              <w:rPr>
                <w:rFonts w:hint="eastAsia" w:ascii="宋体" w:hAnsi="宋体" w:cs="宋体"/>
              </w:rPr>
              <w:t>⑤</w:t>
            </w:r>
            <w:r>
              <w:fldChar w:fldCharType="end"/>
            </w:r>
            <w:r>
              <w:t>脱模：构件成型后，将构件从模具内分离，也称拆模，拆模所得的模具返回生产线重新使用，产品送至成品堆场待售。</w:t>
            </w:r>
          </w:p>
          <w:p>
            <w:pPr>
              <w:spacing w:line="480" w:lineRule="auto"/>
              <w:ind w:firstLine="480" w:firstLineChars="200"/>
            </w:pPr>
            <w:r>
              <w:t>产物环节分析：项目主要污染工序见下表。</w:t>
            </w:r>
          </w:p>
          <w:p>
            <w:pPr>
              <w:pStyle w:val="38"/>
              <w:rPr>
                <w:snapToGrid w:val="0"/>
              </w:rPr>
            </w:pPr>
            <w:r>
              <w:rPr>
                <w:snapToGrid w:val="0"/>
              </w:rPr>
              <w:t>表2-</w:t>
            </w:r>
            <w:r>
              <w:rPr>
                <w:rFonts w:hint="eastAsia"/>
                <w:snapToGrid w:val="0"/>
                <w:lang w:val="en-US" w:eastAsia="zh-CN"/>
              </w:rPr>
              <w:t>7</w:t>
            </w:r>
            <w:r>
              <w:rPr>
                <w:snapToGrid w:val="0"/>
              </w:rPr>
              <w:t>主要污染工序表</w:t>
            </w:r>
          </w:p>
          <w:tbl>
            <w:tblPr>
              <w:tblStyle w:val="27"/>
              <w:tblW w:w="807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578"/>
              <w:gridCol w:w="3403"/>
              <w:gridCol w:w="18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tcPr>
                <w:p>
                  <w:pPr>
                    <w:pStyle w:val="87"/>
                    <w:rPr>
                      <w:rFonts w:ascii="Times New Roman" w:hAnsi="Times New Roman" w:cs="Times New Roman"/>
                    </w:rPr>
                  </w:pPr>
                  <w:r>
                    <w:rPr>
                      <w:rFonts w:ascii="Times New Roman" w:hAnsi="Times New Roman" w:cs="Times New Roman"/>
                    </w:rPr>
                    <w:t>污染类别</w:t>
                  </w:r>
                </w:p>
              </w:tc>
              <w:tc>
                <w:tcPr>
                  <w:tcW w:w="1578" w:type="dxa"/>
                </w:tcPr>
                <w:p>
                  <w:pPr>
                    <w:pStyle w:val="87"/>
                    <w:rPr>
                      <w:rFonts w:ascii="Times New Roman" w:hAnsi="Times New Roman" w:cs="Times New Roman"/>
                    </w:rPr>
                  </w:pPr>
                  <w:r>
                    <w:rPr>
                      <w:rFonts w:ascii="Times New Roman" w:hAnsi="Times New Roman" w:cs="Times New Roman"/>
                    </w:rPr>
                    <w:t>来源</w:t>
                  </w:r>
                </w:p>
              </w:tc>
              <w:tc>
                <w:tcPr>
                  <w:tcW w:w="3403" w:type="dxa"/>
                </w:tcPr>
                <w:p>
                  <w:pPr>
                    <w:pStyle w:val="87"/>
                    <w:rPr>
                      <w:rFonts w:ascii="Times New Roman" w:hAnsi="Times New Roman" w:cs="Times New Roman"/>
                    </w:rPr>
                  </w:pPr>
                  <w:r>
                    <w:rPr>
                      <w:rFonts w:ascii="Times New Roman" w:hAnsi="Times New Roman" w:cs="Times New Roman"/>
                    </w:rPr>
                    <w:t>污染物种类</w:t>
                  </w:r>
                </w:p>
              </w:tc>
              <w:tc>
                <w:tcPr>
                  <w:tcW w:w="1877" w:type="dxa"/>
                </w:tcPr>
                <w:p>
                  <w:pPr>
                    <w:pStyle w:val="87"/>
                    <w:rPr>
                      <w:rFonts w:ascii="Times New Roman" w:hAnsi="Times New Roman" w:cs="Times New Roman"/>
                    </w:rPr>
                  </w:pPr>
                  <w:r>
                    <w:rPr>
                      <w:rFonts w:ascii="Times New Roman" w:hAnsi="Times New Roman" w:cs="Times New Roman"/>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vMerge w:val="restart"/>
                </w:tcPr>
                <w:p>
                  <w:pPr>
                    <w:pStyle w:val="87"/>
                    <w:rPr>
                      <w:rFonts w:ascii="Times New Roman" w:hAnsi="Times New Roman" w:cs="Times New Roman"/>
                    </w:rPr>
                  </w:pPr>
                  <w:r>
                    <w:rPr>
                      <w:rFonts w:ascii="Times New Roman" w:hAnsi="Times New Roman" w:cs="Times New Roman"/>
                    </w:rPr>
                    <w:t>废气</w:t>
                  </w:r>
                </w:p>
              </w:tc>
              <w:tc>
                <w:tcPr>
                  <w:tcW w:w="1578" w:type="dxa"/>
                </w:tcPr>
                <w:p>
                  <w:pPr>
                    <w:pStyle w:val="87"/>
                    <w:rPr>
                      <w:rFonts w:ascii="Times New Roman" w:hAnsi="Times New Roman" w:cs="Times New Roman"/>
                    </w:rPr>
                  </w:pPr>
                  <w:r>
                    <w:rPr>
                      <w:rFonts w:ascii="Times New Roman" w:hAnsi="Times New Roman" w:cs="Times New Roman"/>
                    </w:rPr>
                    <w:t>钢筋切断</w:t>
                  </w:r>
                </w:p>
              </w:tc>
              <w:tc>
                <w:tcPr>
                  <w:tcW w:w="3403" w:type="dxa"/>
                </w:tcPr>
                <w:p>
                  <w:pPr>
                    <w:pStyle w:val="87"/>
                    <w:rPr>
                      <w:rFonts w:ascii="Times New Roman" w:hAnsi="Times New Roman" w:cs="Times New Roman"/>
                    </w:rPr>
                  </w:pPr>
                  <w:r>
                    <w:rPr>
                      <w:rFonts w:ascii="Times New Roman" w:hAnsi="Times New Roman" w:cs="Times New Roman"/>
                    </w:rPr>
                    <w:t>粉尘</w:t>
                  </w:r>
                </w:p>
              </w:tc>
              <w:tc>
                <w:tcPr>
                  <w:tcW w:w="1877" w:type="dxa"/>
                </w:tcPr>
                <w:p>
                  <w:pPr>
                    <w:pStyle w:val="87"/>
                    <w:rPr>
                      <w:rFonts w:ascii="Times New Roman" w:hAnsi="Times New Roman" w:cs="Times New Roman"/>
                    </w:rPr>
                  </w:pPr>
                  <w:r>
                    <w:rPr>
                      <w:rFonts w:ascii="Times New Roman" w:hAnsi="Times New Roman" w:cs="Times New Roma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vMerge w:val="continue"/>
                </w:tcPr>
                <w:p>
                  <w:pPr>
                    <w:pStyle w:val="87"/>
                    <w:rPr>
                      <w:rFonts w:ascii="Times New Roman" w:hAnsi="Times New Roman" w:cs="Times New Roman"/>
                    </w:rPr>
                  </w:pPr>
                </w:p>
              </w:tc>
              <w:tc>
                <w:tcPr>
                  <w:tcW w:w="1578" w:type="dxa"/>
                </w:tcPr>
                <w:p>
                  <w:pPr>
                    <w:pStyle w:val="87"/>
                    <w:rPr>
                      <w:rFonts w:ascii="Times New Roman" w:hAnsi="Times New Roman" w:cs="Times New Roman"/>
                    </w:rPr>
                  </w:pPr>
                  <w:r>
                    <w:rPr>
                      <w:rFonts w:ascii="Times New Roman" w:hAnsi="Times New Roman" w:cs="Times New Roman"/>
                    </w:rPr>
                    <w:t>骨料堆存</w:t>
                  </w:r>
                </w:p>
              </w:tc>
              <w:tc>
                <w:tcPr>
                  <w:tcW w:w="3403" w:type="dxa"/>
                </w:tcPr>
                <w:p>
                  <w:pPr>
                    <w:pStyle w:val="87"/>
                    <w:rPr>
                      <w:rFonts w:ascii="Times New Roman" w:hAnsi="Times New Roman" w:cs="Times New Roman"/>
                    </w:rPr>
                  </w:pPr>
                  <w:r>
                    <w:rPr>
                      <w:rFonts w:ascii="Times New Roman" w:hAnsi="Times New Roman" w:cs="Times New Roman"/>
                    </w:rPr>
                    <w:t>粉尘</w:t>
                  </w:r>
                </w:p>
              </w:tc>
              <w:tc>
                <w:tcPr>
                  <w:tcW w:w="1877" w:type="dxa"/>
                </w:tcPr>
                <w:p>
                  <w:pPr>
                    <w:pStyle w:val="87"/>
                    <w:rPr>
                      <w:rFonts w:ascii="Times New Roman" w:hAnsi="Times New Roman" w:cs="Times New Roman"/>
                    </w:rPr>
                  </w:pPr>
                  <w:r>
                    <w:rPr>
                      <w:rFonts w:ascii="Times New Roman" w:hAnsi="Times New Roman" w:cs="Times New Roma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vMerge w:val="continue"/>
                </w:tcPr>
                <w:p>
                  <w:pPr>
                    <w:pStyle w:val="87"/>
                    <w:rPr>
                      <w:rFonts w:ascii="Times New Roman" w:hAnsi="Times New Roman" w:cs="Times New Roman"/>
                    </w:rPr>
                  </w:pPr>
                </w:p>
              </w:tc>
              <w:tc>
                <w:tcPr>
                  <w:tcW w:w="1578" w:type="dxa"/>
                </w:tcPr>
                <w:p>
                  <w:pPr>
                    <w:pStyle w:val="87"/>
                    <w:rPr>
                      <w:rFonts w:ascii="Times New Roman" w:hAnsi="Times New Roman" w:cs="Times New Roman"/>
                    </w:rPr>
                  </w:pPr>
                  <w:r>
                    <w:rPr>
                      <w:rFonts w:hint="eastAsia" w:ascii="Times New Roman" w:hAnsi="Times New Roman" w:cs="Times New Roman"/>
                      <w:lang w:val="en-US" w:eastAsia="zh-CN"/>
                    </w:rPr>
                    <w:t>物料</w:t>
                  </w:r>
                  <w:r>
                    <w:rPr>
                      <w:rFonts w:ascii="Times New Roman" w:hAnsi="Times New Roman" w:cs="Times New Roman"/>
                    </w:rPr>
                    <w:t>运输</w:t>
                  </w:r>
                </w:p>
              </w:tc>
              <w:tc>
                <w:tcPr>
                  <w:tcW w:w="3403" w:type="dxa"/>
                </w:tcPr>
                <w:p>
                  <w:pPr>
                    <w:pStyle w:val="87"/>
                    <w:rPr>
                      <w:rFonts w:ascii="Times New Roman" w:hAnsi="Times New Roman" w:cs="Times New Roman"/>
                    </w:rPr>
                  </w:pPr>
                  <w:r>
                    <w:rPr>
                      <w:rFonts w:ascii="Times New Roman" w:hAnsi="Times New Roman" w:cs="Times New Roman"/>
                    </w:rPr>
                    <w:t>粉尘</w:t>
                  </w:r>
                </w:p>
              </w:tc>
              <w:tc>
                <w:tcPr>
                  <w:tcW w:w="1877" w:type="dxa"/>
                </w:tcPr>
                <w:p>
                  <w:pPr>
                    <w:pStyle w:val="87"/>
                    <w:rPr>
                      <w:rFonts w:ascii="Times New Roman" w:hAnsi="Times New Roman" w:cs="Times New Roman"/>
                    </w:rPr>
                  </w:pPr>
                  <w:r>
                    <w:rPr>
                      <w:rFonts w:hint="eastAsia" w:ascii="Times New Roman" w:hAnsi="Times New Roman" w:cs="Times New Roman"/>
                      <w:lang w:val="en-US" w:eastAsia="zh-CN"/>
                    </w:rPr>
                    <w:t>无</w:t>
                  </w:r>
                  <w:r>
                    <w:rPr>
                      <w:rFonts w:ascii="Times New Roman" w:hAnsi="Times New Roman" w:cs="Times New Roman"/>
                    </w:rPr>
                    <w:t>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vMerge w:val="continue"/>
                </w:tcPr>
                <w:p>
                  <w:pPr>
                    <w:pStyle w:val="87"/>
                    <w:rPr>
                      <w:rFonts w:ascii="Times New Roman" w:hAnsi="Times New Roman" w:cs="Times New Roman"/>
                    </w:rPr>
                  </w:pPr>
                </w:p>
              </w:tc>
              <w:tc>
                <w:tcPr>
                  <w:tcW w:w="1578" w:type="dxa"/>
                </w:tcPr>
                <w:p>
                  <w:pPr>
                    <w:pStyle w:val="87"/>
                    <w:rPr>
                      <w:rFonts w:ascii="Times New Roman" w:hAnsi="Times New Roman" w:cs="Times New Roman"/>
                    </w:rPr>
                  </w:pPr>
                  <w:r>
                    <w:rPr>
                      <w:rFonts w:ascii="Times New Roman" w:hAnsi="Times New Roman" w:cs="Times New Roman"/>
                    </w:rPr>
                    <w:t>筒仓贮存</w:t>
                  </w:r>
                </w:p>
              </w:tc>
              <w:tc>
                <w:tcPr>
                  <w:tcW w:w="3403" w:type="dxa"/>
                  <w:vAlign w:val="top"/>
                </w:tcPr>
                <w:p>
                  <w:pPr>
                    <w:pStyle w:val="87"/>
                    <w:rPr>
                      <w:rFonts w:ascii="Times New Roman" w:hAnsi="Times New Roman" w:eastAsia="宋体" w:cs="Times New Roman"/>
                      <w:bCs/>
                      <w:spacing w:val="5"/>
                      <w:kern w:val="0"/>
                      <w:sz w:val="21"/>
                      <w:szCs w:val="21"/>
                      <w:lang w:val="en-US" w:eastAsia="zh-CN" w:bidi="ar-SA"/>
                    </w:rPr>
                  </w:pPr>
                  <w:r>
                    <w:rPr>
                      <w:rFonts w:ascii="Times New Roman" w:hAnsi="Times New Roman" w:cs="Times New Roman"/>
                    </w:rPr>
                    <w:t>粉尘</w:t>
                  </w:r>
                </w:p>
              </w:tc>
              <w:tc>
                <w:tcPr>
                  <w:tcW w:w="1877" w:type="dxa"/>
                  <w:vAlign w:val="top"/>
                </w:tcPr>
                <w:p>
                  <w:pPr>
                    <w:pStyle w:val="87"/>
                    <w:rPr>
                      <w:rFonts w:hint="eastAsia" w:ascii="Times New Roman" w:hAnsi="Times New Roman" w:eastAsia="宋体" w:cs="Times New Roman"/>
                      <w:bCs/>
                      <w:spacing w:val="5"/>
                      <w:kern w:val="0"/>
                      <w:sz w:val="21"/>
                      <w:szCs w:val="21"/>
                      <w:lang w:val="en-US" w:eastAsia="zh-CN" w:bidi="ar-SA"/>
                    </w:rPr>
                  </w:pPr>
                  <w:r>
                    <w:rPr>
                      <w:rFonts w:ascii="Times New Roman" w:hAnsi="Times New Roman" w:cs="Times New Roman"/>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vMerge w:val="continue"/>
                </w:tcPr>
                <w:p>
                  <w:pPr>
                    <w:pStyle w:val="87"/>
                    <w:rPr>
                      <w:rFonts w:ascii="Times New Roman" w:hAnsi="Times New Roman" w:cs="Times New Roman"/>
                    </w:rPr>
                  </w:pPr>
                </w:p>
              </w:tc>
              <w:tc>
                <w:tcPr>
                  <w:tcW w:w="1578" w:type="dxa"/>
                </w:tcPr>
                <w:p>
                  <w:pPr>
                    <w:pStyle w:val="87"/>
                    <w:rPr>
                      <w:rFonts w:ascii="Times New Roman" w:hAnsi="Times New Roman" w:cs="Times New Roman"/>
                    </w:rPr>
                  </w:pPr>
                  <w:r>
                    <w:rPr>
                      <w:rFonts w:ascii="Times New Roman" w:hAnsi="Times New Roman" w:cs="Times New Roman"/>
                    </w:rPr>
                    <w:t>混合搅拌</w:t>
                  </w:r>
                </w:p>
              </w:tc>
              <w:tc>
                <w:tcPr>
                  <w:tcW w:w="3403" w:type="dxa"/>
                </w:tcPr>
                <w:p>
                  <w:pPr>
                    <w:pStyle w:val="87"/>
                    <w:rPr>
                      <w:rFonts w:ascii="Times New Roman" w:hAnsi="Times New Roman" w:cs="Times New Roman"/>
                    </w:rPr>
                  </w:pPr>
                  <w:r>
                    <w:rPr>
                      <w:rFonts w:ascii="Times New Roman" w:hAnsi="Times New Roman" w:cs="Times New Roman"/>
                    </w:rPr>
                    <w:t>粉尘</w:t>
                  </w:r>
                </w:p>
              </w:tc>
              <w:tc>
                <w:tcPr>
                  <w:tcW w:w="1877" w:type="dxa"/>
                </w:tcPr>
                <w:p>
                  <w:pPr>
                    <w:pStyle w:val="87"/>
                    <w:rPr>
                      <w:rFonts w:ascii="Times New Roman" w:hAnsi="Times New Roman" w:cs="Times New Roman"/>
                    </w:rPr>
                  </w:pPr>
                  <w:r>
                    <w:rPr>
                      <w:rFonts w:ascii="Times New Roman" w:hAnsi="Times New Roman" w:cs="Times New Roman"/>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vMerge w:val="continue"/>
                </w:tcPr>
                <w:p>
                  <w:pPr>
                    <w:pStyle w:val="87"/>
                    <w:rPr>
                      <w:rFonts w:ascii="Times New Roman" w:hAnsi="Times New Roman" w:cs="Times New Roman"/>
                    </w:rPr>
                  </w:pPr>
                </w:p>
              </w:tc>
              <w:tc>
                <w:tcPr>
                  <w:tcW w:w="1578" w:type="dxa"/>
                </w:tcPr>
                <w:p>
                  <w:pPr>
                    <w:pStyle w:val="87"/>
                    <w:rPr>
                      <w:rFonts w:ascii="Times New Roman" w:hAnsi="Times New Roman" w:cs="Times New Roman"/>
                    </w:rPr>
                  </w:pPr>
                  <w:r>
                    <w:rPr>
                      <w:rFonts w:ascii="Times New Roman" w:hAnsi="Times New Roman" w:cs="Times New Roman"/>
                    </w:rPr>
                    <w:t>锅炉废气</w:t>
                  </w:r>
                </w:p>
              </w:tc>
              <w:tc>
                <w:tcPr>
                  <w:tcW w:w="3403" w:type="dxa"/>
                </w:tcPr>
                <w:p>
                  <w:pPr>
                    <w:pStyle w:val="87"/>
                    <w:rPr>
                      <w:rFonts w:ascii="Times New Roman" w:hAnsi="Times New Roman" w:cs="Times New Roman"/>
                    </w:rPr>
                  </w:pPr>
                  <w:r>
                    <w:rPr>
                      <w:rFonts w:ascii="Times New Roman" w:hAnsi="Times New Roman" w:cs="Times New Roman"/>
                    </w:rPr>
                    <w:t>二氧化硫、氮氧化物、颗粒物</w:t>
                  </w:r>
                </w:p>
              </w:tc>
              <w:tc>
                <w:tcPr>
                  <w:tcW w:w="1877" w:type="dxa"/>
                </w:tcPr>
                <w:p>
                  <w:pPr>
                    <w:pStyle w:val="87"/>
                    <w:rPr>
                      <w:rFonts w:ascii="Times New Roman" w:hAnsi="Times New Roman" w:cs="Times New Roman"/>
                    </w:rPr>
                  </w:pPr>
                  <w:r>
                    <w:rPr>
                      <w:rFonts w:ascii="Times New Roman" w:hAnsi="Times New Roman" w:cs="Times New Roman"/>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tcPr>
                <w:p>
                  <w:pPr>
                    <w:pStyle w:val="87"/>
                    <w:rPr>
                      <w:rFonts w:ascii="Times New Roman" w:hAnsi="Times New Roman" w:cs="Times New Roman"/>
                    </w:rPr>
                  </w:pPr>
                  <w:r>
                    <w:rPr>
                      <w:rFonts w:ascii="Times New Roman" w:hAnsi="Times New Roman" w:cs="Times New Roman"/>
                    </w:rPr>
                    <w:t>废水</w:t>
                  </w:r>
                </w:p>
              </w:tc>
              <w:tc>
                <w:tcPr>
                  <w:tcW w:w="1578" w:type="dxa"/>
                </w:tcPr>
                <w:p>
                  <w:pPr>
                    <w:pStyle w:val="87"/>
                    <w:rPr>
                      <w:rFonts w:ascii="Times New Roman" w:hAnsi="Times New Roman" w:cs="Times New Roman"/>
                    </w:rPr>
                  </w:pPr>
                  <w:r>
                    <w:rPr>
                      <w:rFonts w:ascii="Times New Roman" w:hAnsi="Times New Roman" w:cs="Times New Roman"/>
                    </w:rPr>
                    <w:t>生活污水</w:t>
                  </w:r>
                </w:p>
              </w:tc>
              <w:tc>
                <w:tcPr>
                  <w:tcW w:w="3403" w:type="dxa"/>
                </w:tcPr>
                <w:p>
                  <w:pPr>
                    <w:pStyle w:val="87"/>
                    <w:rPr>
                      <w:rFonts w:ascii="Times New Roman" w:hAnsi="Times New Roman" w:cs="Times New Roman"/>
                    </w:rPr>
                  </w:pPr>
                  <w:r>
                    <w:rPr>
                      <w:rFonts w:ascii="Times New Roman" w:hAnsi="Times New Roman" w:cs="Times New Roman"/>
                    </w:rPr>
                    <w:t>COD、BOD</w:t>
                  </w:r>
                  <w:r>
                    <w:rPr>
                      <w:rFonts w:ascii="Times New Roman" w:hAnsi="Times New Roman" w:cs="Times New Roman"/>
                      <w:vertAlign w:val="subscript"/>
                    </w:rPr>
                    <w:t>5</w:t>
                  </w: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-N、SS、pH</w:t>
                  </w:r>
                </w:p>
              </w:tc>
              <w:tc>
                <w:tcPr>
                  <w:tcW w:w="1877" w:type="dxa"/>
                </w:tcPr>
                <w:p>
                  <w:pPr>
                    <w:pStyle w:val="87"/>
                    <w:rPr>
                      <w:rFonts w:ascii="Times New Roman" w:hAnsi="Times New Roman" w:cs="Times New Roman"/>
                    </w:rPr>
                  </w:pPr>
                  <w:r>
                    <w:rPr>
                      <w:rFonts w:ascii="Times New Roman" w:hAnsi="Times New Roman" w:cs="Times New Roman"/>
                    </w:rPr>
                    <w:t>间歇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tcPr>
                <w:p>
                  <w:pPr>
                    <w:pStyle w:val="87"/>
                    <w:rPr>
                      <w:rFonts w:ascii="Times New Roman" w:hAnsi="Times New Roman" w:cs="Times New Roman"/>
                    </w:rPr>
                  </w:pPr>
                  <w:r>
                    <w:rPr>
                      <w:rFonts w:ascii="Times New Roman" w:hAnsi="Times New Roman" w:cs="Times New Roman"/>
                    </w:rPr>
                    <w:t>噪声</w:t>
                  </w:r>
                </w:p>
              </w:tc>
              <w:tc>
                <w:tcPr>
                  <w:tcW w:w="1578" w:type="dxa"/>
                </w:tcPr>
                <w:p>
                  <w:pPr>
                    <w:pStyle w:val="87"/>
                    <w:rPr>
                      <w:rFonts w:ascii="Times New Roman" w:hAnsi="Times New Roman" w:cs="Times New Roman"/>
                    </w:rPr>
                  </w:pPr>
                  <w:r>
                    <w:rPr>
                      <w:rFonts w:ascii="Times New Roman" w:hAnsi="Times New Roman" w:cs="Times New Roman"/>
                    </w:rPr>
                    <w:t>生产设备</w:t>
                  </w:r>
                </w:p>
              </w:tc>
              <w:tc>
                <w:tcPr>
                  <w:tcW w:w="3403" w:type="dxa"/>
                </w:tcPr>
                <w:p>
                  <w:pPr>
                    <w:pStyle w:val="87"/>
                    <w:rPr>
                      <w:rFonts w:ascii="Times New Roman" w:hAnsi="Times New Roman" w:cs="Times New Roman"/>
                    </w:rPr>
                  </w:pPr>
                  <w:r>
                    <w:rPr>
                      <w:rFonts w:ascii="Times New Roman" w:hAnsi="Times New Roman" w:cs="Times New Roman"/>
                    </w:rPr>
                    <w:t>Leq（A）</w:t>
                  </w:r>
                </w:p>
              </w:tc>
              <w:tc>
                <w:tcPr>
                  <w:tcW w:w="1877" w:type="dxa"/>
                </w:tcPr>
                <w:p>
                  <w:pPr>
                    <w:pStyle w:val="87"/>
                    <w:rPr>
                      <w:rFonts w:ascii="Times New Roman" w:hAnsi="Times New Roman" w:cs="Times New Roman"/>
                    </w:rPr>
                  </w:pPr>
                  <w:r>
                    <w:rPr>
                      <w:rFonts w:ascii="Times New Roman" w:hAnsi="Times New Roman" w:cs="Times New Roman"/>
                    </w:rPr>
                    <w:t>连续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9" w:type="dxa"/>
                </w:tcPr>
                <w:p>
                  <w:pPr>
                    <w:pStyle w:val="87"/>
                    <w:rPr>
                      <w:rFonts w:ascii="Times New Roman" w:hAnsi="Times New Roman" w:cs="Times New Roman"/>
                    </w:rPr>
                  </w:pPr>
                  <w:r>
                    <w:rPr>
                      <w:rFonts w:ascii="Times New Roman" w:hAnsi="Times New Roman" w:cs="Times New Roman"/>
                    </w:rPr>
                    <w:t>固废</w:t>
                  </w:r>
                </w:p>
              </w:tc>
              <w:tc>
                <w:tcPr>
                  <w:tcW w:w="1578" w:type="dxa"/>
                </w:tcPr>
                <w:p>
                  <w:pPr>
                    <w:pStyle w:val="87"/>
                    <w:rPr>
                      <w:rFonts w:ascii="Times New Roman" w:hAnsi="Times New Roman" w:cs="Times New Roman"/>
                    </w:rPr>
                  </w:pPr>
                  <w:r>
                    <w:rPr>
                      <w:rFonts w:ascii="Times New Roman" w:hAnsi="Times New Roman" w:cs="Times New Roman"/>
                    </w:rPr>
                    <w:t>生产加工</w:t>
                  </w:r>
                </w:p>
              </w:tc>
              <w:tc>
                <w:tcPr>
                  <w:tcW w:w="3403" w:type="dxa"/>
                </w:tcPr>
                <w:p>
                  <w:pPr>
                    <w:pStyle w:val="87"/>
                    <w:rPr>
                      <w:rFonts w:ascii="Times New Roman" w:hAnsi="Times New Roman" w:cs="Times New Roman"/>
                    </w:rPr>
                  </w:pPr>
                  <w:r>
                    <w:rPr>
                      <w:rFonts w:ascii="Times New Roman" w:hAnsi="Times New Roman" w:cs="Times New Roman"/>
                    </w:rPr>
                    <w:t>废包装物、金属边角料、</w:t>
                  </w:r>
                  <w:r>
                    <w:rPr>
                      <w:rFonts w:hint="eastAsia" w:ascii="Times New Roman" w:hAnsi="Times New Roman" w:cs="Times New Roman"/>
                      <w:lang w:val="en-US" w:eastAsia="zh-CN"/>
                    </w:rPr>
                    <w:t>不合格产品、除尘器收集的粉尘、</w:t>
                  </w:r>
                  <w:r>
                    <w:rPr>
                      <w:rFonts w:ascii="Times New Roman" w:hAnsi="Times New Roman" w:cs="Times New Roman"/>
                    </w:rPr>
                    <w:t>废机油、废油桶</w:t>
                  </w:r>
                </w:p>
              </w:tc>
              <w:tc>
                <w:tcPr>
                  <w:tcW w:w="1877" w:type="dxa"/>
                  <w:vAlign w:val="center"/>
                </w:tcPr>
                <w:p>
                  <w:pPr>
                    <w:pStyle w:val="87"/>
                    <w:rPr>
                      <w:rFonts w:ascii="Times New Roman" w:hAnsi="Times New Roman" w:cs="Times New Roman"/>
                    </w:rPr>
                  </w:pPr>
                  <w:r>
                    <w:rPr>
                      <w:rFonts w:ascii="Times New Roman" w:hAnsi="Times New Roman" w:cs="Times New Roman"/>
                    </w:rPr>
                    <w:t>间歇</w:t>
                  </w:r>
                </w:p>
              </w:tc>
            </w:tr>
          </w:tbl>
          <w:p>
            <w:pPr>
              <w:pStyle w:val="4"/>
              <w:numPr>
                <w:ilvl w:val="0"/>
                <w:numId w:val="0"/>
              </w:numPr>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676" w:type="dxa"/>
            <w:vAlign w:val="center"/>
          </w:tcPr>
          <w:p>
            <w:pPr>
              <w:pStyle w:val="21"/>
              <w:adjustRightInd w:val="0"/>
              <w:snapToGrid w:val="0"/>
              <w:spacing w:before="0" w:beforeAutospacing="0" w:after="0" w:afterAutospacing="0"/>
              <w:jc w:val="center"/>
              <w:rPr>
                <w:rFonts w:ascii="Times New Roman"/>
                <w:sz w:val="21"/>
                <w:szCs w:val="21"/>
              </w:rPr>
            </w:pPr>
            <w:r>
              <w:rPr>
                <w:rFonts w:ascii="Times New Roman"/>
                <w:b/>
                <w:bCs w:val="0"/>
                <w:kern w:val="2"/>
                <w:sz w:val="24"/>
                <w:szCs w:val="24"/>
              </w:rPr>
              <w:t>与项目有关的原有环境污染问题</w:t>
            </w:r>
          </w:p>
        </w:tc>
        <w:tc>
          <w:tcPr>
            <w:tcW w:w="8384" w:type="dxa"/>
          </w:tcPr>
          <w:p>
            <w:pPr>
              <w:ind w:firstLine="480" w:firstLineChars="200"/>
            </w:pPr>
            <w:r>
              <w:t>本项目为新建项目，用地现状为空置厂房，根据现场踏勘，不存在与项目有关的原有环境污染问题。</w:t>
            </w:r>
          </w:p>
          <w:p>
            <w:pPr>
              <w:adjustRightInd w:val="0"/>
              <w:snapToGrid w:val="0"/>
              <w:jc w:val="left"/>
            </w:pPr>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tc>
      </w:tr>
    </w:tbl>
    <w:p>
      <w:pPr>
        <w:pStyle w:val="21"/>
        <w:adjustRightInd w:val="0"/>
        <w:snapToGrid w:val="0"/>
        <w:spacing w:before="0" w:beforeAutospacing="0" w:after="0" w:afterAutospacing="0"/>
        <w:jc w:val="center"/>
        <w:rPr>
          <w:rFonts w:ascii="Times New Roman" w:eastAsia="黑体"/>
          <w:snapToGrid w:val="0"/>
          <w:sz w:val="36"/>
          <w:szCs w:val="36"/>
          <w:highlight w:val="yellow"/>
        </w:rPr>
        <w:sectPr>
          <w:pgSz w:w="11906" w:h="16838"/>
          <w:pgMar w:top="1701" w:right="1531" w:bottom="1560" w:left="1531" w:header="851" w:footer="851" w:gutter="0"/>
          <w:pgBorders>
            <w:top w:val="none" w:sz="0" w:space="0"/>
            <w:left w:val="none" w:sz="0" w:space="0"/>
            <w:bottom w:val="none" w:sz="0" w:space="0"/>
            <w:right w:val="none" w:sz="0" w:space="0"/>
          </w:pgBorders>
          <w:cols w:space="720" w:num="1"/>
          <w:docGrid w:linePitch="312" w:charSpace="0"/>
        </w:sectPr>
      </w:pPr>
    </w:p>
    <w:p>
      <w:pPr>
        <w:pStyle w:val="21"/>
        <w:adjustRightInd w:val="0"/>
        <w:snapToGrid w:val="0"/>
        <w:spacing w:before="0" w:beforeAutospacing="0" w:after="0" w:afterAutospacing="0"/>
        <w:jc w:val="center"/>
        <w:outlineLvl w:val="0"/>
        <w:rPr>
          <w:rFonts w:ascii="Times New Roman" w:eastAsia="黑体"/>
          <w:snapToGrid w:val="0"/>
          <w:sz w:val="30"/>
          <w:szCs w:val="30"/>
        </w:rPr>
      </w:pPr>
      <w:r>
        <w:rPr>
          <w:rFonts w:ascii="Times New Roman" w:eastAsia="黑体"/>
          <w:snapToGrid w:val="0"/>
          <w:sz w:val="30"/>
          <w:szCs w:val="30"/>
        </w:rPr>
        <w:t>三、区域环境质量现状、环境保护目标及评价标准</w:t>
      </w:r>
    </w:p>
    <w:tbl>
      <w:tblPr>
        <w:tblStyle w:val="26"/>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32" w:type="dxa"/>
            <w:vAlign w:val="center"/>
          </w:tcPr>
          <w:p>
            <w:pPr>
              <w:adjustRightInd w:val="0"/>
              <w:snapToGrid w:val="0"/>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区域</w:t>
            </w:r>
          </w:p>
          <w:p>
            <w:pPr>
              <w:adjustRightInd w:val="0"/>
              <w:snapToGrid w:val="0"/>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环境</w:t>
            </w:r>
          </w:p>
          <w:p>
            <w:pPr>
              <w:adjustRightInd w:val="0"/>
              <w:snapToGrid w:val="0"/>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质量</w:t>
            </w:r>
          </w:p>
          <w:p>
            <w:pPr>
              <w:adjustRightInd w:val="0"/>
              <w:snapToGrid w:val="0"/>
              <w:jc w:val="center"/>
              <w:rPr>
                <w:rFonts w:hint="default" w:ascii="Times New Roman" w:hAnsi="Times New Roman" w:cs="Times New Roman"/>
                <w:kern w:val="0"/>
                <w:szCs w:val="21"/>
                <w:highlight w:val="yellow"/>
              </w:rPr>
            </w:pPr>
            <w:r>
              <w:rPr>
                <w:rFonts w:hint="default" w:ascii="Times New Roman" w:hAnsi="Times New Roman" w:cs="Times New Roman"/>
                <w:b/>
                <w:bCs/>
                <w:kern w:val="0"/>
                <w:szCs w:val="21"/>
              </w:rPr>
              <w:t>现状</w:t>
            </w:r>
          </w:p>
        </w:tc>
        <w:tc>
          <w:tcPr>
            <w:tcW w:w="8429" w:type="dxa"/>
            <w:vAlign w:val="center"/>
          </w:tcPr>
          <w:p>
            <w:pPr>
              <w:topLinePunct/>
              <w:ind w:firstLine="482" w:firstLineChars="200"/>
              <w:rPr>
                <w:rFonts w:hint="default" w:ascii="Times New Roman" w:hAnsi="Times New Roman" w:cs="Times New Roman"/>
                <w:b/>
                <w:szCs w:val="21"/>
              </w:rPr>
            </w:pPr>
            <w:r>
              <w:rPr>
                <w:rFonts w:hint="default" w:ascii="Times New Roman" w:hAnsi="Times New Roman" w:cs="Times New Roman"/>
                <w:b/>
                <w:szCs w:val="21"/>
              </w:rPr>
              <w:t>1大气环境质量现状调查及评价</w:t>
            </w:r>
          </w:p>
          <w:p>
            <w:pPr>
              <w:ind w:firstLine="482" w:firstLineChars="200"/>
              <w:rPr>
                <w:rFonts w:hint="default" w:ascii="Times New Roman" w:hAnsi="Times New Roman" w:cs="Times New Roman"/>
                <w:b/>
                <w:kern w:val="0"/>
                <w:szCs w:val="21"/>
              </w:rPr>
            </w:pPr>
            <w:r>
              <w:rPr>
                <w:rFonts w:hint="default" w:ascii="Times New Roman" w:hAnsi="Times New Roman" w:cs="Times New Roman"/>
                <w:b/>
                <w:szCs w:val="21"/>
              </w:rPr>
              <w:t>1.1基本污染物环境空气质量现状评价</w:t>
            </w:r>
          </w:p>
          <w:p>
            <w:pPr>
              <w:ind w:firstLine="480" w:firstLineChars="200"/>
              <w:textAlignment w:val="center"/>
              <w:rPr>
                <w:rFonts w:hint="default" w:ascii="Times New Roman" w:hAnsi="Times New Roman" w:cs="Times New Roman"/>
                <w:szCs w:val="21"/>
              </w:rPr>
            </w:pPr>
            <w:r>
              <w:rPr>
                <w:rFonts w:hint="default" w:ascii="Times New Roman" w:hAnsi="Times New Roman" w:cs="Times New Roman"/>
                <w:szCs w:val="21"/>
              </w:rPr>
              <w:t>本项目位于新疆巴音郭楞蒙古自治州尉犁县工业园区装备制造区二期，敬业路北侧、五一路西侧，项目周边最近的空气监测站为尉犁县环境空气质量监测站，本次环境空气质量现状采用2021年巴音郭楞蒙古自治州尉犁县环境空气质量监测站中公布的尉犁县2021年SO</w:t>
            </w:r>
            <w:r>
              <w:rPr>
                <w:rFonts w:hint="default" w:ascii="Times New Roman" w:hAnsi="Times New Roman" w:cs="Times New Roman"/>
                <w:szCs w:val="21"/>
                <w:vertAlign w:val="subscript"/>
              </w:rPr>
              <w:t>2</w:t>
            </w:r>
            <w:r>
              <w:rPr>
                <w:rFonts w:hint="default" w:ascii="Times New Roman" w:hAnsi="Times New Roman" w:cs="Times New Roman"/>
                <w:szCs w:val="21"/>
              </w:rPr>
              <w:t>、NO</w:t>
            </w:r>
            <w:r>
              <w:rPr>
                <w:rFonts w:hint="default" w:ascii="Times New Roman" w:hAnsi="Times New Roman" w:cs="Times New Roman"/>
                <w:szCs w:val="21"/>
                <w:vertAlign w:val="subscript"/>
              </w:rPr>
              <w:t>2</w:t>
            </w:r>
            <w:r>
              <w:rPr>
                <w:rFonts w:hint="default" w:ascii="Times New Roman" w:hAnsi="Times New Roman" w:cs="Times New Roman"/>
                <w:szCs w:val="21"/>
              </w:rPr>
              <w:t>、CO、O</w:t>
            </w:r>
            <w:r>
              <w:rPr>
                <w:rFonts w:hint="default" w:ascii="Times New Roman" w:hAnsi="Times New Roman" w:cs="Times New Roman"/>
                <w:szCs w:val="21"/>
                <w:vertAlign w:val="subscript"/>
              </w:rPr>
              <w:t>3</w:t>
            </w:r>
            <w:r>
              <w:rPr>
                <w:rFonts w:hint="default" w:ascii="Times New Roman" w:hAnsi="Times New Roman" w:cs="Times New Roman"/>
                <w:szCs w:val="21"/>
              </w:rPr>
              <w:t>、PM</w:t>
            </w:r>
            <w:r>
              <w:rPr>
                <w:rFonts w:hint="default" w:ascii="Times New Roman" w:hAnsi="Times New Roman" w:cs="Times New Roman"/>
                <w:szCs w:val="21"/>
                <w:vertAlign w:val="subscript"/>
              </w:rPr>
              <w:t>10</w:t>
            </w:r>
            <w:r>
              <w:rPr>
                <w:rFonts w:hint="default" w:ascii="Times New Roman" w:hAnsi="Times New Roman" w:cs="Times New Roman"/>
                <w:szCs w:val="21"/>
              </w:rPr>
              <w:t>、PM</w:t>
            </w:r>
            <w:r>
              <w:rPr>
                <w:rFonts w:hint="default" w:ascii="Times New Roman" w:hAnsi="Times New Roman" w:cs="Times New Roman"/>
                <w:szCs w:val="21"/>
                <w:vertAlign w:val="subscript"/>
              </w:rPr>
              <w:t>2.5</w:t>
            </w:r>
            <w:r>
              <w:rPr>
                <w:rFonts w:hint="default" w:ascii="Times New Roman" w:hAnsi="Times New Roman" w:cs="Times New Roman"/>
                <w:szCs w:val="21"/>
              </w:rPr>
              <w:t>等六项基本污染物环境空气质量现状数据，详见下表。</w:t>
            </w:r>
          </w:p>
          <w:p>
            <w:pPr>
              <w:pStyle w:val="38"/>
              <w:rPr>
                <w:rFonts w:hint="default" w:ascii="Times New Roman" w:hAnsi="Times New Roman" w:cs="Times New Roman"/>
              </w:rPr>
            </w:pPr>
            <w:r>
              <w:rPr>
                <w:rFonts w:hint="default" w:ascii="Times New Roman" w:hAnsi="Times New Roman" w:cs="Times New Roman"/>
              </w:rPr>
              <w:t>表3-1区域空气质量现状表</w:t>
            </w:r>
          </w:p>
          <w:tbl>
            <w:tblPr>
              <w:tblStyle w:val="27"/>
              <w:tblW w:w="821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2594"/>
              <w:gridCol w:w="1989"/>
              <w:gridCol w:w="18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Align w:val="center"/>
                </w:tcPr>
                <w:p>
                  <w:pPr>
                    <w:pStyle w:val="87"/>
                    <w:rPr>
                      <w:rFonts w:hint="default" w:ascii="Times New Roman" w:hAnsi="Times New Roman" w:cs="Times New Roman"/>
                      <w:b/>
                    </w:rPr>
                  </w:pPr>
                  <w:r>
                    <w:rPr>
                      <w:rFonts w:hint="default" w:ascii="Times New Roman" w:hAnsi="Times New Roman" w:cs="Times New Roman"/>
                    </w:rPr>
                    <w:t>污染物</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评价项目</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浓度（μm/m</w:t>
                  </w:r>
                  <w:r>
                    <w:rPr>
                      <w:rFonts w:hint="default" w:ascii="Times New Roman" w:hAnsi="Times New Roman" w:cs="Times New Roman"/>
                      <w:vertAlign w:val="superscript"/>
                    </w:rPr>
                    <w:t>3</w:t>
                  </w:r>
                  <w:r>
                    <w:rPr>
                      <w:rFonts w:hint="default" w:ascii="Times New Roman" w:hAnsi="Times New Roman" w:cs="Times New Roman"/>
                    </w:rPr>
                    <w:t>）</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标准（二级）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pStyle w:val="87"/>
                    <w:rPr>
                      <w:rFonts w:hint="default" w:ascii="Times New Roman" w:hAnsi="Times New Roman" w:cs="Times New Roman"/>
                      <w:b/>
                    </w:rPr>
                  </w:pPr>
                  <w:r>
                    <w:rPr>
                      <w:rFonts w:hint="default" w:ascii="Times New Roman" w:hAnsi="Times New Roman" w:cs="Times New Roman"/>
                    </w:rPr>
                    <w:t>SO</w:t>
                  </w:r>
                  <w:r>
                    <w:rPr>
                      <w:rFonts w:hint="default" w:ascii="Times New Roman" w:hAnsi="Times New Roman" w:cs="Times New Roman"/>
                      <w:vertAlign w:val="subscript"/>
                    </w:rPr>
                    <w:t>2</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年均值</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2</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pStyle w:val="87"/>
                    <w:rPr>
                      <w:rFonts w:hint="default" w:ascii="Times New Roman" w:hAnsi="Times New Roman" w:cs="Times New Roman"/>
                      <w:b/>
                    </w:rPr>
                  </w:pP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百分位日均值（98）</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7</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pStyle w:val="87"/>
                    <w:rPr>
                      <w:rFonts w:hint="default" w:ascii="Times New Roman" w:hAnsi="Times New Roman" w:cs="Times New Roman"/>
                      <w:b/>
                    </w:rPr>
                  </w:pPr>
                  <w:r>
                    <w:rPr>
                      <w:rFonts w:hint="default" w:ascii="Times New Roman" w:hAnsi="Times New Roman" w:cs="Times New Roman"/>
                    </w:rPr>
                    <w:t>NO</w:t>
                  </w:r>
                  <w:r>
                    <w:rPr>
                      <w:rFonts w:hint="default" w:ascii="Times New Roman" w:hAnsi="Times New Roman" w:cs="Times New Roman"/>
                      <w:vertAlign w:val="subscript"/>
                    </w:rPr>
                    <w:t>2</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年均值</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29</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pStyle w:val="87"/>
                    <w:rPr>
                      <w:rFonts w:hint="default" w:ascii="Times New Roman" w:hAnsi="Times New Roman" w:cs="Times New Roman"/>
                      <w:b/>
                    </w:rPr>
                  </w:pP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百分位日均值（98）</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57</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pStyle w:val="87"/>
                    <w:rPr>
                      <w:rFonts w:hint="default" w:ascii="Times New Roman" w:hAnsi="Times New Roman" w:cs="Times New Roman"/>
                      <w:b/>
                    </w:rPr>
                  </w:pPr>
                  <w:r>
                    <w:rPr>
                      <w:rFonts w:hint="default" w:ascii="Times New Roman" w:hAnsi="Times New Roman" w:cs="Times New Roman"/>
                    </w:rPr>
                    <w:t>CO（mg/m</w:t>
                  </w:r>
                  <w:r>
                    <w:rPr>
                      <w:rFonts w:hint="default" w:ascii="Times New Roman" w:hAnsi="Times New Roman" w:cs="Times New Roman"/>
                      <w:vertAlign w:val="superscript"/>
                    </w:rPr>
                    <w:t>3</w:t>
                  </w:r>
                  <w:r>
                    <w:rPr>
                      <w:rFonts w:hint="default" w:ascii="Times New Roman" w:hAnsi="Times New Roman" w:cs="Times New Roman"/>
                    </w:rPr>
                    <w:t>）</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百分位日均值（95）</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1.6</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pStyle w:val="87"/>
                    <w:rPr>
                      <w:rFonts w:hint="default" w:ascii="Times New Roman" w:hAnsi="Times New Roman" w:cs="Times New Roman"/>
                      <w:b/>
                    </w:rPr>
                  </w:pPr>
                  <w:r>
                    <w:rPr>
                      <w:rFonts w:hint="default" w:ascii="Times New Roman" w:hAnsi="Times New Roman" w:cs="Times New Roman"/>
                    </w:rPr>
                    <w:t>O</w:t>
                  </w:r>
                  <w:r>
                    <w:rPr>
                      <w:rFonts w:hint="default" w:ascii="Times New Roman" w:hAnsi="Times New Roman" w:cs="Times New Roman"/>
                      <w:vertAlign w:val="subscript"/>
                    </w:rPr>
                    <w:t>3</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百分位8h平均值（90）</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105</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pStyle w:val="87"/>
                    <w:rPr>
                      <w:rFonts w:hint="default" w:ascii="Times New Roman" w:hAnsi="Times New Roman" w:cs="Times New Roman"/>
                      <w:b/>
                    </w:rPr>
                  </w:pPr>
                  <w:r>
                    <w:rPr>
                      <w:rFonts w:hint="default" w:ascii="Times New Roman" w:hAnsi="Times New Roman" w:cs="Times New Roman"/>
                    </w:rPr>
                    <w:t>PM</w:t>
                  </w:r>
                  <w:r>
                    <w:rPr>
                      <w:rFonts w:hint="default" w:ascii="Times New Roman" w:hAnsi="Times New Roman" w:cs="Times New Roman"/>
                      <w:vertAlign w:val="subscript"/>
                    </w:rPr>
                    <w:t>10</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年均值</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170</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pStyle w:val="87"/>
                    <w:rPr>
                      <w:rFonts w:hint="default" w:ascii="Times New Roman" w:hAnsi="Times New Roman" w:cs="Times New Roman"/>
                      <w:b/>
                    </w:rPr>
                  </w:pP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百分位日均值（95）</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444</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pStyle w:val="87"/>
                    <w:rPr>
                      <w:rFonts w:hint="default" w:ascii="Times New Roman" w:hAnsi="Times New Roman" w:cs="Times New Roman"/>
                      <w:b/>
                    </w:rPr>
                  </w:pPr>
                  <w:r>
                    <w:rPr>
                      <w:rFonts w:hint="default" w:ascii="Times New Roman" w:hAnsi="Times New Roman" w:cs="Times New Roman"/>
                    </w:rPr>
                    <w:t>PM</w:t>
                  </w:r>
                  <w:r>
                    <w:rPr>
                      <w:rFonts w:hint="default" w:ascii="Times New Roman" w:hAnsi="Times New Roman" w:cs="Times New Roman"/>
                      <w:vertAlign w:val="subscript"/>
                    </w:rPr>
                    <w:t>2.5</w:t>
                  </w: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年均值</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51</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pStyle w:val="87"/>
                    <w:rPr>
                      <w:rFonts w:hint="default" w:ascii="Times New Roman" w:hAnsi="Times New Roman" w:cs="Times New Roman"/>
                      <w:b/>
                    </w:rPr>
                  </w:pPr>
                </w:p>
              </w:tc>
              <w:tc>
                <w:tcPr>
                  <w:tcW w:w="2594" w:type="dxa"/>
                  <w:vAlign w:val="center"/>
                </w:tcPr>
                <w:p>
                  <w:pPr>
                    <w:pStyle w:val="87"/>
                    <w:rPr>
                      <w:rFonts w:hint="default" w:ascii="Times New Roman" w:hAnsi="Times New Roman" w:cs="Times New Roman"/>
                      <w:b/>
                    </w:rPr>
                  </w:pPr>
                  <w:r>
                    <w:rPr>
                      <w:rFonts w:hint="default" w:ascii="Times New Roman" w:hAnsi="Times New Roman" w:cs="Times New Roman"/>
                    </w:rPr>
                    <w:t>百分位日均值（95）</w:t>
                  </w:r>
                </w:p>
              </w:tc>
              <w:tc>
                <w:tcPr>
                  <w:tcW w:w="1989" w:type="dxa"/>
                  <w:vAlign w:val="center"/>
                </w:tcPr>
                <w:p>
                  <w:pPr>
                    <w:pStyle w:val="87"/>
                    <w:rPr>
                      <w:rFonts w:hint="default" w:ascii="Times New Roman" w:hAnsi="Times New Roman" w:cs="Times New Roman"/>
                      <w:b/>
                    </w:rPr>
                  </w:pPr>
                  <w:r>
                    <w:rPr>
                      <w:rFonts w:hint="default" w:ascii="Times New Roman" w:hAnsi="Times New Roman" w:cs="Times New Roman"/>
                    </w:rPr>
                    <w:t>123</w:t>
                  </w:r>
                </w:p>
              </w:tc>
              <w:tc>
                <w:tcPr>
                  <w:tcW w:w="1807" w:type="dxa"/>
                  <w:vAlign w:val="center"/>
                </w:tcPr>
                <w:p>
                  <w:pPr>
                    <w:pStyle w:val="87"/>
                    <w:rPr>
                      <w:rFonts w:hint="default" w:ascii="Times New Roman" w:hAnsi="Times New Roman" w:cs="Times New Roman"/>
                      <w:b/>
                    </w:rPr>
                  </w:pPr>
                  <w:r>
                    <w:rPr>
                      <w:rFonts w:hint="default" w:ascii="Times New Roman" w:hAnsi="Times New Roman" w:cs="Times New Roman"/>
                    </w:rPr>
                    <w:t>75</w:t>
                  </w:r>
                </w:p>
              </w:tc>
            </w:tr>
          </w:tbl>
          <w:p>
            <w:pPr>
              <w:ind w:firstLine="480" w:firstLineChars="200"/>
              <w:textAlignment w:val="center"/>
              <w:rPr>
                <w:rFonts w:hint="default" w:ascii="Times New Roman" w:hAnsi="Times New Roman" w:cs="Times New Roman"/>
                <w:szCs w:val="21"/>
              </w:rPr>
            </w:pPr>
            <w:r>
              <w:rPr>
                <w:rFonts w:hint="default" w:ascii="Times New Roman" w:hAnsi="Times New Roman" w:cs="Times New Roman"/>
                <w:szCs w:val="21"/>
              </w:rPr>
              <w:t>根据上表基本污染物年评价指标的分析结果，项目所在区域SO</w:t>
            </w:r>
            <w:r>
              <w:rPr>
                <w:rFonts w:hint="default" w:ascii="Times New Roman" w:hAnsi="Times New Roman" w:cs="Times New Roman"/>
                <w:szCs w:val="21"/>
                <w:vertAlign w:val="subscript"/>
              </w:rPr>
              <w:t>2</w:t>
            </w:r>
            <w:r>
              <w:rPr>
                <w:rFonts w:hint="default" w:ascii="Times New Roman" w:hAnsi="Times New Roman" w:cs="Times New Roman"/>
                <w:szCs w:val="21"/>
              </w:rPr>
              <w:t>、NO</w:t>
            </w:r>
            <w:r>
              <w:rPr>
                <w:rFonts w:hint="default" w:ascii="Times New Roman" w:hAnsi="Times New Roman" w:cs="Times New Roman"/>
                <w:szCs w:val="21"/>
                <w:vertAlign w:val="subscript"/>
              </w:rPr>
              <w:t>2</w:t>
            </w:r>
            <w:r>
              <w:rPr>
                <w:rFonts w:hint="default" w:ascii="Times New Roman" w:hAnsi="Times New Roman" w:cs="Times New Roman"/>
                <w:szCs w:val="21"/>
              </w:rPr>
              <w:t>、CO和O</w:t>
            </w:r>
            <w:r>
              <w:rPr>
                <w:rFonts w:hint="default" w:ascii="Times New Roman" w:hAnsi="Times New Roman" w:cs="Times New Roman"/>
                <w:szCs w:val="21"/>
                <w:vertAlign w:val="subscript"/>
              </w:rPr>
              <w:t>3</w:t>
            </w:r>
            <w:r>
              <w:rPr>
                <w:rFonts w:hint="default" w:ascii="Times New Roman" w:hAnsi="Times New Roman" w:cs="Times New Roman"/>
                <w:szCs w:val="21"/>
              </w:rPr>
              <w:t>平均浓度均满足《环境空气质量标准》（GB3095-2012）的二级标准要求；PM</w:t>
            </w:r>
            <w:r>
              <w:rPr>
                <w:rFonts w:hint="default" w:ascii="Times New Roman" w:hAnsi="Times New Roman" w:cs="Times New Roman"/>
                <w:szCs w:val="21"/>
                <w:vertAlign w:val="subscript"/>
              </w:rPr>
              <w:t>2.5</w:t>
            </w:r>
            <w:r>
              <w:rPr>
                <w:rFonts w:hint="default" w:ascii="Times New Roman" w:hAnsi="Times New Roman" w:cs="Times New Roman"/>
                <w:szCs w:val="21"/>
              </w:rPr>
              <w:t>、PM</w:t>
            </w:r>
            <w:r>
              <w:rPr>
                <w:rFonts w:hint="default" w:ascii="Times New Roman" w:hAnsi="Times New Roman" w:cs="Times New Roman"/>
                <w:szCs w:val="21"/>
                <w:vertAlign w:val="subscript"/>
              </w:rPr>
              <w:t>10</w:t>
            </w:r>
            <w:r>
              <w:rPr>
                <w:rFonts w:hint="default" w:ascii="Times New Roman" w:hAnsi="Times New Roman" w:cs="Times New Roman"/>
                <w:szCs w:val="21"/>
              </w:rPr>
              <w:t>的最大年、日均浓度均超过《环境空气质量标准》（GB3095-2012）的二级标准要求，本项目所在区域为非达标区域。</w:t>
            </w:r>
          </w:p>
          <w:p>
            <w:pPr>
              <w:ind w:firstLine="480" w:firstLineChars="200"/>
              <w:textAlignment w:val="center"/>
              <w:rPr>
                <w:rFonts w:hint="default" w:ascii="Times New Roman" w:hAnsi="Times New Roman" w:cs="Times New Roman"/>
                <w:szCs w:val="21"/>
              </w:rPr>
            </w:pPr>
            <w:r>
              <w:rPr>
                <w:rFonts w:hint="default" w:ascii="Times New Roman" w:hAnsi="Times New Roman" w:cs="Times New Roman"/>
                <w:szCs w:val="21"/>
              </w:rPr>
              <w:t>对于环境空气质量不达标区域需提交《大气环境不达标区域削减方案》，根据《关于将巴音郭楞蒙古自治州吐鲁番市哈密市纳入执行《环境影响评价技术导则大气环境（HJ2.2-2018）》差别化政策范围的复函》（环办环评函〔2020〕341号），本地区新建项目可不提供颗粒物区域削减方案。</w:t>
            </w:r>
          </w:p>
          <w:p>
            <w:pPr>
              <w:topLinePunct/>
              <w:ind w:firstLine="482" w:firstLineChars="200"/>
              <w:rPr>
                <w:rFonts w:hint="default" w:ascii="Times New Roman" w:hAnsi="Times New Roman" w:cs="Times New Roman"/>
                <w:b/>
                <w:szCs w:val="21"/>
              </w:rPr>
            </w:pPr>
            <w:r>
              <w:rPr>
                <w:rFonts w:hint="default" w:ascii="Times New Roman" w:hAnsi="Times New Roman" w:cs="Times New Roman"/>
                <w:b/>
                <w:szCs w:val="21"/>
              </w:rPr>
              <w:t>1.2其他污染物空气质量现状调查</w:t>
            </w:r>
          </w:p>
          <w:p>
            <w:pPr>
              <w:ind w:firstLine="480" w:firstLineChars="200"/>
              <w:rPr>
                <w:rFonts w:hint="default" w:ascii="Times New Roman" w:hAnsi="Times New Roman" w:cs="Times New Roman"/>
                <w:szCs w:val="21"/>
              </w:rPr>
            </w:pPr>
            <w:r>
              <w:rPr>
                <w:rFonts w:hint="default" w:ascii="Times New Roman" w:hAnsi="Times New Roman" w:cs="Times New Roman"/>
                <w:szCs w:val="21"/>
              </w:rPr>
              <w:t>（1）监测布点</w:t>
            </w:r>
          </w:p>
          <w:p>
            <w:pPr>
              <w:ind w:firstLine="480" w:firstLineChars="200"/>
              <w:rPr>
                <w:rFonts w:hint="default" w:ascii="Times New Roman" w:hAnsi="Times New Roman" w:cs="Times New Roman"/>
                <w:szCs w:val="21"/>
              </w:rPr>
            </w:pPr>
            <w:r>
              <w:rPr>
                <w:rFonts w:hint="default" w:ascii="Times New Roman" w:hAnsi="Times New Roman" w:cs="Times New Roman"/>
                <w:szCs w:val="21"/>
              </w:rPr>
              <w:t>大气环境现状监测依据</w:t>
            </w:r>
            <w:r>
              <w:rPr>
                <w:rFonts w:hint="default" w:ascii="Times New Roman" w:hAnsi="Times New Roman" w:cs="Times New Roman"/>
                <w:kern w:val="0"/>
                <w:szCs w:val="21"/>
              </w:rPr>
              <w:t>《建设项目环境影响报告表编制技术指南（污染影响类）》</w:t>
            </w:r>
            <w:r>
              <w:rPr>
                <w:rFonts w:hint="default" w:ascii="Times New Roman" w:hAnsi="Times New Roman" w:cs="Times New Roman"/>
                <w:kern w:val="0"/>
                <w:szCs w:val="21"/>
                <w:lang w:eastAsia="zh-CN"/>
              </w:rPr>
              <w:t>（</w:t>
            </w:r>
            <w:r>
              <w:rPr>
                <w:rFonts w:hint="default" w:ascii="Times New Roman" w:hAnsi="Times New Roman" w:cs="Times New Roman"/>
                <w:kern w:val="0"/>
                <w:szCs w:val="21"/>
              </w:rPr>
              <w:t>试行</w:t>
            </w:r>
            <w:r>
              <w:rPr>
                <w:rFonts w:hint="default" w:ascii="Times New Roman" w:hAnsi="Times New Roman" w:cs="Times New Roman"/>
                <w:kern w:val="0"/>
                <w:szCs w:val="21"/>
                <w:lang w:eastAsia="zh-CN"/>
              </w:rPr>
              <w:t>）</w:t>
            </w:r>
            <w:r>
              <w:rPr>
                <w:rFonts w:hint="default" w:ascii="Times New Roman" w:hAnsi="Times New Roman" w:cs="Times New Roman"/>
                <w:szCs w:val="21"/>
              </w:rPr>
              <w:t>中监测点设置要求，厂址当季主导风向下风向设监测点1个，本次引用尉犁县林源畜牧有限公司环境监测报告，监测点名称及相对位置、距离详见表3-2及附件6监测报告。</w:t>
            </w:r>
          </w:p>
          <w:p>
            <w:pPr>
              <w:pStyle w:val="38"/>
              <w:rPr>
                <w:rFonts w:hint="default" w:ascii="Times New Roman" w:hAnsi="Times New Roman" w:cs="Times New Roman"/>
              </w:rPr>
            </w:pPr>
            <w:r>
              <w:rPr>
                <w:rFonts w:hint="default" w:ascii="Times New Roman" w:hAnsi="Times New Roman" w:cs="Times New Roman"/>
              </w:rPr>
              <w:t>表3-2特征污染物监测点位基本信息</w:t>
            </w:r>
          </w:p>
          <w:tbl>
            <w:tblPr>
              <w:tblStyle w:val="26"/>
              <w:tblW w:w="8090" w:type="dxa"/>
              <w:tblInd w:w="123"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496"/>
              <w:gridCol w:w="1126"/>
              <w:gridCol w:w="920"/>
              <w:gridCol w:w="960"/>
              <w:gridCol w:w="915"/>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3" w:type="dxa"/>
                  <w:vAlign w:val="center"/>
                </w:tcPr>
                <w:p>
                  <w:pPr>
                    <w:pStyle w:val="87"/>
                    <w:rPr>
                      <w:rFonts w:hint="default" w:ascii="Times New Roman" w:hAnsi="Times New Roman" w:cs="Times New Roman"/>
                    </w:rPr>
                  </w:pPr>
                  <w:r>
                    <w:rPr>
                      <w:rFonts w:hint="default" w:ascii="Times New Roman" w:hAnsi="Times New Roman" w:cs="Times New Roman"/>
                    </w:rPr>
                    <w:t>监测点名称</w:t>
                  </w:r>
                </w:p>
              </w:tc>
              <w:tc>
                <w:tcPr>
                  <w:tcW w:w="1496" w:type="dxa"/>
                  <w:vAlign w:val="center"/>
                </w:tcPr>
                <w:p>
                  <w:pPr>
                    <w:pStyle w:val="87"/>
                    <w:rPr>
                      <w:rFonts w:hint="default" w:ascii="Times New Roman" w:hAnsi="Times New Roman" w:cs="Times New Roman"/>
                    </w:rPr>
                  </w:pPr>
                  <w:r>
                    <w:rPr>
                      <w:rFonts w:hint="default" w:ascii="Times New Roman" w:hAnsi="Times New Roman" w:cs="Times New Roman"/>
                    </w:rPr>
                    <w:t>监测点坐标</w:t>
                  </w:r>
                </w:p>
              </w:tc>
              <w:tc>
                <w:tcPr>
                  <w:tcW w:w="1126" w:type="dxa"/>
                  <w:vAlign w:val="center"/>
                </w:tcPr>
                <w:p>
                  <w:pPr>
                    <w:pStyle w:val="87"/>
                    <w:rPr>
                      <w:rFonts w:hint="default" w:ascii="Times New Roman" w:hAnsi="Times New Roman" w:cs="Times New Roman"/>
                    </w:rPr>
                  </w:pPr>
                  <w:r>
                    <w:rPr>
                      <w:rFonts w:hint="default" w:ascii="Times New Roman" w:hAnsi="Times New Roman" w:cs="Times New Roman"/>
                    </w:rPr>
                    <w:t>距本项目距离</w:t>
                  </w:r>
                </w:p>
              </w:tc>
              <w:tc>
                <w:tcPr>
                  <w:tcW w:w="920" w:type="dxa"/>
                  <w:vAlign w:val="center"/>
                </w:tcPr>
                <w:p>
                  <w:pPr>
                    <w:pStyle w:val="87"/>
                    <w:rPr>
                      <w:rFonts w:hint="default" w:ascii="Times New Roman" w:hAnsi="Times New Roman" w:cs="Times New Roman"/>
                    </w:rPr>
                  </w:pPr>
                  <w:r>
                    <w:rPr>
                      <w:rFonts w:hint="default" w:ascii="Times New Roman" w:hAnsi="Times New Roman" w:cs="Times New Roman"/>
                    </w:rPr>
                    <w:t>与本项目方位</w:t>
                  </w:r>
                </w:p>
              </w:tc>
              <w:tc>
                <w:tcPr>
                  <w:tcW w:w="960" w:type="dxa"/>
                  <w:vAlign w:val="center"/>
                </w:tcPr>
                <w:p>
                  <w:pPr>
                    <w:pStyle w:val="87"/>
                    <w:rPr>
                      <w:rFonts w:hint="default" w:ascii="Times New Roman" w:hAnsi="Times New Roman" w:cs="Times New Roman"/>
                    </w:rPr>
                  </w:pPr>
                  <w:r>
                    <w:rPr>
                      <w:rFonts w:hint="default" w:ascii="Times New Roman" w:hAnsi="Times New Roman" w:cs="Times New Roman"/>
                    </w:rPr>
                    <w:t>监测因子</w:t>
                  </w:r>
                </w:p>
              </w:tc>
              <w:tc>
                <w:tcPr>
                  <w:tcW w:w="915" w:type="dxa"/>
                  <w:vAlign w:val="center"/>
                </w:tcPr>
                <w:p>
                  <w:pPr>
                    <w:pStyle w:val="87"/>
                    <w:rPr>
                      <w:rFonts w:hint="default" w:ascii="Times New Roman" w:hAnsi="Times New Roman" w:cs="Times New Roman"/>
                    </w:rPr>
                  </w:pPr>
                  <w:r>
                    <w:rPr>
                      <w:rFonts w:hint="default" w:ascii="Times New Roman" w:hAnsi="Times New Roman" w:cs="Times New Roman"/>
                    </w:rPr>
                    <w:t>监测时段</w:t>
                  </w:r>
                </w:p>
              </w:tc>
              <w:tc>
                <w:tcPr>
                  <w:tcW w:w="960" w:type="dxa"/>
                  <w:vAlign w:val="center"/>
                </w:tcPr>
                <w:p>
                  <w:pPr>
                    <w:pStyle w:val="87"/>
                    <w:rPr>
                      <w:rFonts w:hint="default" w:ascii="Times New Roman" w:hAnsi="Times New Roman" w:cs="Times New Roman"/>
                    </w:rPr>
                  </w:pPr>
                  <w:r>
                    <w:rPr>
                      <w:rFonts w:hint="default" w:ascii="Times New Roman" w:hAnsi="Times New Roman" w:cs="Times New Roman"/>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3" w:type="dxa"/>
                  <w:vAlign w:val="center"/>
                </w:tcPr>
                <w:p>
                  <w:pPr>
                    <w:pStyle w:val="87"/>
                    <w:rPr>
                      <w:rFonts w:hint="default" w:ascii="Times New Roman" w:hAnsi="Times New Roman" w:cs="Times New Roman"/>
                    </w:rPr>
                  </w:pPr>
                  <w:r>
                    <w:rPr>
                      <w:rFonts w:hint="default" w:ascii="Times New Roman" w:hAnsi="Times New Roman" w:cs="Times New Roman"/>
                    </w:rPr>
                    <w:t>尉犁县林源畜牧有限公司厂址下风向</w:t>
                  </w:r>
                </w:p>
              </w:tc>
              <w:tc>
                <w:tcPr>
                  <w:tcW w:w="1496" w:type="dxa"/>
                  <w:vAlign w:val="center"/>
                </w:tcPr>
                <w:p>
                  <w:pPr>
                    <w:pStyle w:val="87"/>
                    <w:rPr>
                      <w:rFonts w:hint="default" w:ascii="Times New Roman" w:hAnsi="Times New Roman" w:cs="Times New Roman"/>
                    </w:rPr>
                  </w:pPr>
                  <w:r>
                    <w:rPr>
                      <w:rFonts w:hint="default" w:ascii="Times New Roman" w:hAnsi="Times New Roman" w:cs="Times New Roman"/>
                    </w:rPr>
                    <w:t>86°18′08.167″</w:t>
                  </w:r>
                </w:p>
                <w:p>
                  <w:pPr>
                    <w:pStyle w:val="87"/>
                    <w:rPr>
                      <w:rFonts w:hint="default" w:ascii="Times New Roman" w:hAnsi="Times New Roman" w:cs="Times New Roman"/>
                    </w:rPr>
                  </w:pPr>
                  <w:r>
                    <w:rPr>
                      <w:rFonts w:hint="default" w:ascii="Times New Roman" w:hAnsi="Times New Roman" w:cs="Times New Roman"/>
                    </w:rPr>
                    <w:t>41°21′57.178″</w:t>
                  </w:r>
                </w:p>
              </w:tc>
              <w:tc>
                <w:tcPr>
                  <w:tcW w:w="1126" w:type="dxa"/>
                  <w:vAlign w:val="center"/>
                </w:tcPr>
                <w:p>
                  <w:pPr>
                    <w:pStyle w:val="87"/>
                    <w:rPr>
                      <w:rFonts w:hint="default" w:ascii="Times New Roman" w:hAnsi="Times New Roman" w:cs="Times New Roman"/>
                    </w:rPr>
                  </w:pPr>
                  <w:r>
                    <w:rPr>
                      <w:rFonts w:hint="default" w:ascii="Times New Roman" w:hAnsi="Times New Roman" w:cs="Times New Roman"/>
                    </w:rPr>
                    <w:t>2.47km</w:t>
                  </w:r>
                </w:p>
              </w:tc>
              <w:tc>
                <w:tcPr>
                  <w:tcW w:w="920" w:type="dxa"/>
                  <w:vAlign w:val="center"/>
                </w:tcPr>
                <w:p>
                  <w:pPr>
                    <w:pStyle w:val="87"/>
                    <w:rPr>
                      <w:rFonts w:hint="default" w:ascii="Times New Roman" w:hAnsi="Times New Roman" w:cs="Times New Roman"/>
                    </w:rPr>
                  </w:pPr>
                  <w:r>
                    <w:rPr>
                      <w:rFonts w:hint="default" w:ascii="Times New Roman" w:hAnsi="Times New Roman" w:cs="Times New Roman"/>
                    </w:rPr>
                    <w:t>东侧</w:t>
                  </w:r>
                </w:p>
              </w:tc>
              <w:tc>
                <w:tcPr>
                  <w:tcW w:w="960" w:type="dxa"/>
                  <w:vAlign w:val="center"/>
                </w:tcPr>
                <w:p>
                  <w:pPr>
                    <w:pStyle w:val="87"/>
                    <w:rPr>
                      <w:rFonts w:hint="default" w:ascii="Times New Roman" w:hAnsi="Times New Roman" w:cs="Times New Roman"/>
                    </w:rPr>
                  </w:pPr>
                  <w:r>
                    <w:rPr>
                      <w:rFonts w:hint="default" w:ascii="Times New Roman" w:hAnsi="Times New Roman" w:cs="Times New Roman"/>
                    </w:rPr>
                    <w:t>总悬浮颗粒物</w:t>
                  </w:r>
                </w:p>
              </w:tc>
              <w:tc>
                <w:tcPr>
                  <w:tcW w:w="915" w:type="dxa"/>
                  <w:vAlign w:val="center"/>
                </w:tcPr>
                <w:p>
                  <w:pPr>
                    <w:pStyle w:val="87"/>
                    <w:rPr>
                      <w:rFonts w:hint="default" w:ascii="Times New Roman" w:hAnsi="Times New Roman" w:cs="Times New Roman"/>
                    </w:rPr>
                  </w:pPr>
                  <w:r>
                    <w:rPr>
                      <w:rFonts w:hint="default" w:ascii="Times New Roman" w:hAnsi="Times New Roman" w:cs="Times New Roman"/>
                    </w:rPr>
                    <w:t>24小时值</w:t>
                  </w:r>
                </w:p>
              </w:tc>
              <w:tc>
                <w:tcPr>
                  <w:tcW w:w="960" w:type="dxa"/>
                  <w:vAlign w:val="center"/>
                </w:tcPr>
                <w:p>
                  <w:pPr>
                    <w:pStyle w:val="87"/>
                    <w:rPr>
                      <w:rFonts w:hint="default" w:ascii="Times New Roman" w:hAnsi="Times New Roman" w:cs="Times New Roman"/>
                    </w:rPr>
                  </w:pPr>
                  <w:r>
                    <w:rPr>
                      <w:rFonts w:hint="default" w:ascii="Times New Roman" w:hAnsi="Times New Roman" w:cs="Times New Roman"/>
                    </w:rPr>
                    <w:t>委托监测</w:t>
                  </w:r>
                </w:p>
              </w:tc>
            </w:tr>
          </w:tbl>
          <w:p>
            <w:pPr>
              <w:ind w:firstLine="480" w:firstLineChars="200"/>
              <w:rPr>
                <w:rFonts w:hint="default" w:ascii="Times New Roman" w:hAnsi="Times New Roman" w:cs="Times New Roman"/>
                <w:szCs w:val="21"/>
              </w:rPr>
            </w:pPr>
            <w:r>
              <w:rPr>
                <w:rFonts w:hint="default" w:ascii="Times New Roman" w:hAnsi="Times New Roman" w:cs="Times New Roman"/>
                <w:szCs w:val="21"/>
              </w:rPr>
              <w:t>（2）监测时间及频率</w:t>
            </w:r>
          </w:p>
          <w:p>
            <w:pPr>
              <w:ind w:firstLine="480" w:firstLineChars="200"/>
              <w:rPr>
                <w:rFonts w:hint="default" w:ascii="Times New Roman" w:hAnsi="Times New Roman" w:cs="Times New Roman"/>
                <w:szCs w:val="21"/>
              </w:rPr>
            </w:pPr>
            <w:r>
              <w:rPr>
                <w:rFonts w:hint="default" w:ascii="Times New Roman" w:hAnsi="Times New Roman" w:cs="Times New Roman"/>
                <w:szCs w:val="21"/>
              </w:rPr>
              <w:t>监测时间：2023年6月23日~6月29日，连续监测7天，由新疆中测测试有限责任公司完成。</w:t>
            </w:r>
          </w:p>
          <w:p>
            <w:pPr>
              <w:ind w:firstLine="480" w:firstLineChars="200"/>
              <w:rPr>
                <w:rFonts w:hint="default" w:ascii="Times New Roman" w:hAnsi="Times New Roman" w:cs="Times New Roman"/>
                <w:szCs w:val="21"/>
              </w:rPr>
            </w:pPr>
            <w:r>
              <w:rPr>
                <w:rFonts w:hint="default" w:ascii="Times New Roman" w:hAnsi="Times New Roman" w:cs="Times New Roman"/>
                <w:szCs w:val="21"/>
              </w:rPr>
              <w:t>（3）监测分析方法</w:t>
            </w:r>
          </w:p>
          <w:p>
            <w:pPr>
              <w:pStyle w:val="38"/>
              <w:rPr>
                <w:rFonts w:hint="default" w:ascii="Times New Roman" w:hAnsi="Times New Roman" w:cs="Times New Roman"/>
              </w:rPr>
            </w:pPr>
            <w:r>
              <w:rPr>
                <w:rFonts w:hint="default" w:ascii="Times New Roman" w:hAnsi="Times New Roman" w:cs="Times New Roman"/>
              </w:rPr>
              <w:t>表3-3检测分析方法及检出限</w:t>
            </w:r>
          </w:p>
          <w:tbl>
            <w:tblPr>
              <w:tblStyle w:val="26"/>
              <w:tblW w:w="79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285"/>
              <w:gridCol w:w="2126"/>
              <w:gridCol w:w="1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Align w:val="center"/>
                </w:tcPr>
                <w:p>
                  <w:pPr>
                    <w:pStyle w:val="87"/>
                    <w:rPr>
                      <w:rFonts w:hint="default" w:ascii="Times New Roman" w:hAnsi="Times New Roman" w:cs="Times New Roman"/>
                    </w:rPr>
                  </w:pPr>
                  <w:r>
                    <w:rPr>
                      <w:rFonts w:hint="default" w:ascii="Times New Roman" w:hAnsi="Times New Roman" w:cs="Times New Roman"/>
                    </w:rPr>
                    <w:t>监测项目</w:t>
                  </w:r>
                </w:p>
              </w:tc>
              <w:tc>
                <w:tcPr>
                  <w:tcW w:w="2285" w:type="dxa"/>
                  <w:vAlign w:val="center"/>
                </w:tcPr>
                <w:p>
                  <w:pPr>
                    <w:pStyle w:val="87"/>
                    <w:rPr>
                      <w:rFonts w:hint="default" w:ascii="Times New Roman" w:hAnsi="Times New Roman" w:cs="Times New Roman"/>
                    </w:rPr>
                  </w:pPr>
                  <w:r>
                    <w:rPr>
                      <w:rFonts w:hint="default" w:ascii="Times New Roman" w:hAnsi="Times New Roman" w:cs="Times New Roman"/>
                    </w:rPr>
                    <w:t>分析方法</w:t>
                  </w:r>
                </w:p>
              </w:tc>
              <w:tc>
                <w:tcPr>
                  <w:tcW w:w="2126" w:type="dxa"/>
                  <w:vAlign w:val="center"/>
                </w:tcPr>
                <w:p>
                  <w:pPr>
                    <w:pStyle w:val="87"/>
                    <w:rPr>
                      <w:rFonts w:hint="default" w:ascii="Times New Roman" w:hAnsi="Times New Roman" w:cs="Times New Roman"/>
                    </w:rPr>
                  </w:pPr>
                  <w:r>
                    <w:rPr>
                      <w:rFonts w:hint="default" w:ascii="Times New Roman" w:hAnsi="Times New Roman" w:cs="Times New Roman"/>
                    </w:rPr>
                    <w:t>方法来源</w:t>
                  </w:r>
                </w:p>
              </w:tc>
              <w:tc>
                <w:tcPr>
                  <w:tcW w:w="1985" w:type="dxa"/>
                  <w:vAlign w:val="center"/>
                </w:tcPr>
                <w:p>
                  <w:pPr>
                    <w:pStyle w:val="87"/>
                    <w:rPr>
                      <w:rFonts w:hint="default" w:ascii="Times New Roman" w:hAnsi="Times New Roman" w:cs="Times New Roman"/>
                    </w:rPr>
                  </w:pPr>
                  <w:r>
                    <w:rPr>
                      <w:rFonts w:hint="default" w:ascii="Times New Roman" w:hAnsi="Times New Roman" w:cs="Times New Roman"/>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Align w:val="center"/>
                </w:tcPr>
                <w:p>
                  <w:pPr>
                    <w:pStyle w:val="87"/>
                    <w:rPr>
                      <w:rFonts w:hint="default" w:ascii="Times New Roman" w:hAnsi="Times New Roman" w:cs="Times New Roman"/>
                    </w:rPr>
                  </w:pPr>
                  <w:r>
                    <w:rPr>
                      <w:rFonts w:hint="default" w:ascii="Times New Roman" w:hAnsi="Times New Roman" w:cs="Times New Roman"/>
                    </w:rPr>
                    <w:t>总悬浮颗粒物</w:t>
                  </w:r>
                </w:p>
              </w:tc>
              <w:tc>
                <w:tcPr>
                  <w:tcW w:w="2285" w:type="dxa"/>
                  <w:vAlign w:val="center"/>
                </w:tcPr>
                <w:p>
                  <w:pPr>
                    <w:pStyle w:val="87"/>
                    <w:rPr>
                      <w:rFonts w:hint="default" w:ascii="Times New Roman" w:hAnsi="Times New Roman" w:cs="Times New Roman"/>
                    </w:rPr>
                  </w:pPr>
                  <w:r>
                    <w:rPr>
                      <w:rFonts w:hint="default" w:ascii="Times New Roman" w:hAnsi="Times New Roman" w:cs="Times New Roman"/>
                    </w:rPr>
                    <w:t>环境空气总悬浮颗粒物的测定重量法</w:t>
                  </w:r>
                </w:p>
              </w:tc>
              <w:tc>
                <w:tcPr>
                  <w:tcW w:w="2126" w:type="dxa"/>
                  <w:vAlign w:val="center"/>
                </w:tcPr>
                <w:p>
                  <w:pPr>
                    <w:pStyle w:val="87"/>
                    <w:rPr>
                      <w:rFonts w:hint="default" w:ascii="Times New Roman" w:hAnsi="Times New Roman" w:cs="Times New Roman"/>
                    </w:rPr>
                  </w:pPr>
                  <w:r>
                    <w:rPr>
                      <w:rFonts w:hint="default" w:ascii="Times New Roman" w:hAnsi="Times New Roman" w:cs="Times New Roman"/>
                    </w:rPr>
                    <w:t>HJ1263-2022</w:t>
                  </w:r>
                </w:p>
              </w:tc>
              <w:tc>
                <w:tcPr>
                  <w:tcW w:w="1985" w:type="dxa"/>
                  <w:vAlign w:val="center"/>
                </w:tcPr>
                <w:p>
                  <w:pPr>
                    <w:pStyle w:val="87"/>
                    <w:rPr>
                      <w:rFonts w:hint="default" w:ascii="Times New Roman" w:hAnsi="Times New Roman" w:cs="Times New Roman"/>
                    </w:rPr>
                  </w:pPr>
                  <w:r>
                    <w:rPr>
                      <w:rFonts w:hint="default" w:ascii="Times New Roman" w:hAnsi="Times New Roman" w:cs="Times New Roman"/>
                    </w:rPr>
                    <w:t>0.007mg/m</w:t>
                  </w:r>
                  <w:r>
                    <w:rPr>
                      <w:rFonts w:hint="default" w:ascii="Times New Roman" w:hAnsi="Times New Roman" w:cs="Times New Roman"/>
                      <w:vertAlign w:val="superscript"/>
                    </w:rPr>
                    <w:t>3</w:t>
                  </w:r>
                </w:p>
              </w:tc>
            </w:tr>
          </w:tbl>
          <w:p>
            <w:pPr>
              <w:ind w:firstLine="480" w:firstLineChars="200"/>
              <w:rPr>
                <w:rFonts w:hint="default" w:ascii="Times New Roman" w:hAnsi="Times New Roman" w:cs="Times New Roman"/>
                <w:szCs w:val="21"/>
              </w:rPr>
            </w:pPr>
            <w:r>
              <w:rPr>
                <w:rFonts w:hint="default" w:ascii="Times New Roman" w:hAnsi="Times New Roman" w:cs="Times New Roman"/>
                <w:szCs w:val="21"/>
              </w:rPr>
              <w:t>（4）评价标准</w:t>
            </w:r>
          </w:p>
          <w:p>
            <w:pPr>
              <w:ind w:firstLine="480" w:firstLineChars="200"/>
              <w:rPr>
                <w:rFonts w:hint="default" w:ascii="Times New Roman" w:hAnsi="Times New Roman" w:cs="Times New Roman"/>
                <w:szCs w:val="21"/>
              </w:rPr>
            </w:pPr>
            <w:r>
              <w:rPr>
                <w:rFonts w:hint="default" w:ascii="Times New Roman" w:hAnsi="Times New Roman" w:cs="Times New Roman"/>
                <w:szCs w:val="21"/>
              </w:rPr>
              <w:t>特征污染物参照执行</w:t>
            </w:r>
            <w:r>
              <w:rPr>
                <w:rFonts w:hint="default" w:ascii="Times New Roman" w:hAnsi="Times New Roman" w:cs="Times New Roman"/>
                <w:szCs w:val="21"/>
                <w:shd w:val="clear" w:color="auto" w:fill="FFFFFF"/>
              </w:rPr>
              <w:t>《环境空气质量标准（GB3095-2012）》二级标准</w:t>
            </w:r>
            <w:r>
              <w:rPr>
                <w:rFonts w:hint="default" w:ascii="Times New Roman" w:hAnsi="Times New Roman" w:cs="Times New Roman"/>
                <w:szCs w:val="21"/>
              </w:rPr>
              <w:t>。</w:t>
            </w:r>
          </w:p>
          <w:p>
            <w:pPr>
              <w:pStyle w:val="38"/>
              <w:rPr>
                <w:rFonts w:hint="default" w:ascii="Times New Roman" w:hAnsi="Times New Roman" w:cs="Times New Roman"/>
              </w:rPr>
            </w:pPr>
            <w:r>
              <w:rPr>
                <w:rFonts w:hint="default" w:ascii="Times New Roman" w:hAnsi="Times New Roman" w:cs="Times New Roman"/>
              </w:rPr>
              <w:t>表3-4特征污染物浓度限值</w:t>
            </w:r>
          </w:p>
          <w:tbl>
            <w:tblPr>
              <w:tblStyle w:val="26"/>
              <w:tblW w:w="794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511"/>
              <w:gridCol w:w="1600"/>
              <w:gridCol w:w="1848"/>
              <w:gridCol w:w="21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2" w:type="dxa"/>
                  <w:vAlign w:val="center"/>
                </w:tcPr>
                <w:p>
                  <w:pPr>
                    <w:pStyle w:val="87"/>
                    <w:rPr>
                      <w:rFonts w:hint="default" w:ascii="Times New Roman" w:hAnsi="Times New Roman" w:cs="Times New Roman"/>
                    </w:rPr>
                  </w:pPr>
                  <w:r>
                    <w:rPr>
                      <w:rFonts w:hint="default" w:ascii="Times New Roman" w:hAnsi="Times New Roman" w:cs="Times New Roman"/>
                    </w:rPr>
                    <w:t>序号</w:t>
                  </w:r>
                </w:p>
              </w:tc>
              <w:tc>
                <w:tcPr>
                  <w:tcW w:w="1511" w:type="dxa"/>
                  <w:vAlign w:val="center"/>
                </w:tcPr>
                <w:p>
                  <w:pPr>
                    <w:pStyle w:val="87"/>
                    <w:rPr>
                      <w:rFonts w:hint="default" w:ascii="Times New Roman" w:hAnsi="Times New Roman" w:cs="Times New Roman"/>
                    </w:rPr>
                  </w:pPr>
                  <w:r>
                    <w:rPr>
                      <w:rFonts w:hint="default" w:ascii="Times New Roman" w:hAnsi="Times New Roman" w:cs="Times New Roman"/>
                    </w:rPr>
                    <w:t>污染物名称</w:t>
                  </w:r>
                </w:p>
              </w:tc>
              <w:tc>
                <w:tcPr>
                  <w:tcW w:w="1600" w:type="dxa"/>
                  <w:vAlign w:val="center"/>
                </w:tcPr>
                <w:p>
                  <w:pPr>
                    <w:pStyle w:val="87"/>
                    <w:rPr>
                      <w:rFonts w:hint="default" w:ascii="Times New Roman" w:hAnsi="Times New Roman" w:cs="Times New Roman"/>
                    </w:rPr>
                  </w:pPr>
                  <w:r>
                    <w:rPr>
                      <w:rFonts w:hint="default" w:ascii="Times New Roman" w:hAnsi="Times New Roman" w:cs="Times New Roman"/>
                    </w:rPr>
                    <w:t>取值时间</w:t>
                  </w:r>
                </w:p>
              </w:tc>
              <w:tc>
                <w:tcPr>
                  <w:tcW w:w="1848" w:type="dxa"/>
                  <w:vAlign w:val="center"/>
                </w:tcPr>
                <w:p>
                  <w:pPr>
                    <w:pStyle w:val="87"/>
                    <w:rPr>
                      <w:rFonts w:hint="default" w:ascii="Times New Roman" w:hAnsi="Times New Roman" w:cs="Times New Roman"/>
                    </w:rPr>
                  </w:pPr>
                  <w:r>
                    <w:rPr>
                      <w:rFonts w:hint="default" w:ascii="Times New Roman" w:hAnsi="Times New Roman" w:cs="Times New Roman"/>
                    </w:rPr>
                    <w:t>浓度限值（μg/m</w:t>
                  </w:r>
                  <w:r>
                    <w:rPr>
                      <w:rFonts w:hint="default" w:ascii="Times New Roman" w:hAnsi="Times New Roman" w:cs="Times New Roman"/>
                      <w:vertAlign w:val="superscript"/>
                    </w:rPr>
                    <w:t>3</w:t>
                  </w:r>
                  <w:r>
                    <w:rPr>
                      <w:rFonts w:hint="default" w:ascii="Times New Roman" w:hAnsi="Times New Roman" w:cs="Times New Roman"/>
                    </w:rPr>
                    <w:t>）</w:t>
                  </w:r>
                </w:p>
              </w:tc>
              <w:tc>
                <w:tcPr>
                  <w:tcW w:w="2173" w:type="dxa"/>
                  <w:vAlign w:val="center"/>
                </w:tcPr>
                <w:p>
                  <w:pPr>
                    <w:pStyle w:val="87"/>
                    <w:rPr>
                      <w:rFonts w:hint="default" w:ascii="Times New Roman" w:hAnsi="Times New Roman" w:cs="Times New Roman"/>
                    </w:rPr>
                  </w:pPr>
                  <w:r>
                    <w:rPr>
                      <w:rFonts w:hint="default" w:ascii="Times New Roman" w:hAnsi="Times New Roman" w:cs="Times New Roma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12" w:type="dxa"/>
                  <w:vAlign w:val="center"/>
                </w:tcPr>
                <w:p>
                  <w:pPr>
                    <w:pStyle w:val="87"/>
                    <w:rPr>
                      <w:rFonts w:hint="default" w:ascii="Times New Roman" w:hAnsi="Times New Roman" w:cs="Times New Roman"/>
                    </w:rPr>
                  </w:pPr>
                  <w:r>
                    <w:rPr>
                      <w:rFonts w:hint="default" w:ascii="Times New Roman" w:hAnsi="Times New Roman" w:cs="Times New Roman"/>
                    </w:rPr>
                    <w:t>1</w:t>
                  </w:r>
                </w:p>
              </w:tc>
              <w:tc>
                <w:tcPr>
                  <w:tcW w:w="1511" w:type="dxa"/>
                  <w:vAlign w:val="center"/>
                </w:tcPr>
                <w:p>
                  <w:pPr>
                    <w:pStyle w:val="87"/>
                    <w:rPr>
                      <w:rFonts w:hint="default" w:ascii="Times New Roman" w:hAnsi="Times New Roman" w:cs="Times New Roman"/>
                    </w:rPr>
                  </w:pPr>
                  <w:r>
                    <w:rPr>
                      <w:rFonts w:hint="default" w:ascii="Times New Roman" w:hAnsi="Times New Roman" w:cs="Times New Roman"/>
                    </w:rPr>
                    <w:t>总悬浮颗粒物</w:t>
                  </w:r>
                </w:p>
              </w:tc>
              <w:tc>
                <w:tcPr>
                  <w:tcW w:w="1600" w:type="dxa"/>
                  <w:vAlign w:val="center"/>
                </w:tcPr>
                <w:p>
                  <w:pPr>
                    <w:pStyle w:val="87"/>
                    <w:rPr>
                      <w:rFonts w:hint="default" w:ascii="Times New Roman" w:hAnsi="Times New Roman" w:cs="Times New Roman"/>
                    </w:rPr>
                  </w:pPr>
                  <w:r>
                    <w:rPr>
                      <w:rFonts w:hint="default" w:ascii="Times New Roman" w:hAnsi="Times New Roman" w:cs="Times New Roman"/>
                    </w:rPr>
                    <w:t>24小时平均值</w:t>
                  </w:r>
                </w:p>
              </w:tc>
              <w:tc>
                <w:tcPr>
                  <w:tcW w:w="1848" w:type="dxa"/>
                  <w:vAlign w:val="center"/>
                </w:tcPr>
                <w:p>
                  <w:pPr>
                    <w:pStyle w:val="87"/>
                    <w:rPr>
                      <w:rFonts w:hint="default" w:ascii="Times New Roman" w:hAnsi="Times New Roman" w:cs="Times New Roman"/>
                    </w:rPr>
                  </w:pPr>
                  <w:r>
                    <w:rPr>
                      <w:rFonts w:hint="default" w:ascii="Times New Roman" w:hAnsi="Times New Roman" w:cs="Times New Roman"/>
                    </w:rPr>
                    <w:t>0.213</w:t>
                  </w:r>
                </w:p>
              </w:tc>
              <w:tc>
                <w:tcPr>
                  <w:tcW w:w="2173" w:type="dxa"/>
                  <w:vAlign w:val="center"/>
                </w:tcPr>
                <w:p>
                  <w:pPr>
                    <w:pStyle w:val="87"/>
                    <w:rPr>
                      <w:rFonts w:hint="default" w:ascii="Times New Roman" w:hAnsi="Times New Roman" w:cs="Times New Roman"/>
                    </w:rPr>
                  </w:pPr>
                  <w:r>
                    <w:rPr>
                      <w:rFonts w:hint="default" w:ascii="Times New Roman" w:hAnsi="Times New Roman" w:cs="Times New Roman"/>
                    </w:rPr>
                    <w:t>《大气污染物综合排放标准详解》</w:t>
                  </w:r>
                </w:p>
              </w:tc>
            </w:tr>
          </w:tbl>
          <w:p>
            <w:pPr>
              <w:ind w:firstLine="480" w:firstLineChars="200"/>
              <w:rPr>
                <w:rFonts w:hint="default" w:ascii="Times New Roman" w:hAnsi="Times New Roman" w:cs="Times New Roman"/>
                <w:szCs w:val="21"/>
              </w:rPr>
            </w:pPr>
            <w:r>
              <w:rPr>
                <w:rFonts w:hint="default" w:ascii="Times New Roman" w:hAnsi="Times New Roman" w:cs="Times New Roman"/>
                <w:szCs w:val="21"/>
              </w:rPr>
              <w:t>（5）评价方法</w:t>
            </w:r>
          </w:p>
          <w:p>
            <w:pPr>
              <w:adjustRightInd w:val="0"/>
              <w:snapToGrid w:val="0"/>
              <w:ind w:firstLine="480" w:firstLineChars="200"/>
              <w:rPr>
                <w:rFonts w:hint="default" w:ascii="Times New Roman" w:hAnsi="Times New Roman" w:cs="Times New Roman"/>
                <w:bCs/>
                <w:szCs w:val="21"/>
              </w:rPr>
            </w:pPr>
            <w:r>
              <w:rPr>
                <w:rFonts w:hint="default" w:ascii="Times New Roman" w:hAnsi="Times New Roman" w:cs="Times New Roman"/>
                <w:bCs/>
                <w:szCs w:val="21"/>
              </w:rPr>
              <w:t>采用单因子标准指数法，根据评价标准对项目环境空气质量现状进行评价。单因子污染指数公式为：</w:t>
            </w:r>
          </w:p>
          <w:p>
            <w:pPr>
              <w:adjustRightInd w:val="0"/>
              <w:snapToGrid w:val="0"/>
              <w:spacing w:line="520" w:lineRule="exact"/>
              <w:ind w:firstLine="170" w:firstLineChars="71"/>
              <w:jc w:val="center"/>
              <w:rPr>
                <w:rFonts w:hint="default" w:ascii="Times New Roman" w:hAnsi="Times New Roman" w:cs="Times New Roman"/>
                <w:bCs/>
                <w:szCs w:val="21"/>
              </w:rPr>
            </w:pPr>
            <w:r>
              <w:rPr>
                <w:rFonts w:hint="default" w:ascii="Times New Roman" w:hAnsi="Times New Roman" w:cs="Times New Roman"/>
                <w:bCs/>
                <w:szCs w:val="21"/>
              </w:rPr>
              <w:t>P</w:t>
            </w:r>
            <w:r>
              <w:rPr>
                <w:rFonts w:hint="default" w:ascii="Times New Roman" w:hAnsi="Times New Roman" w:cs="Times New Roman"/>
                <w:bCs/>
                <w:szCs w:val="21"/>
                <w:vertAlign w:val="subscript"/>
              </w:rPr>
              <w:t>i</w:t>
            </w:r>
            <w:r>
              <w:rPr>
                <w:rFonts w:hint="default" w:ascii="Times New Roman" w:hAnsi="Times New Roman" w:cs="Times New Roman"/>
                <w:bCs/>
                <w:szCs w:val="21"/>
              </w:rPr>
              <w:t>=C</w:t>
            </w:r>
            <w:r>
              <w:rPr>
                <w:rFonts w:hint="default" w:ascii="Times New Roman" w:hAnsi="Times New Roman" w:cs="Times New Roman"/>
                <w:bCs/>
                <w:szCs w:val="21"/>
                <w:vertAlign w:val="subscript"/>
              </w:rPr>
              <w:t>i</w:t>
            </w:r>
            <w:r>
              <w:rPr>
                <w:rFonts w:hint="default" w:ascii="Times New Roman" w:hAnsi="Times New Roman" w:cs="Times New Roman"/>
                <w:bCs/>
                <w:szCs w:val="21"/>
              </w:rPr>
              <w:t>/C</w:t>
            </w:r>
            <w:r>
              <w:rPr>
                <w:rFonts w:hint="default" w:ascii="Times New Roman" w:hAnsi="Times New Roman" w:cs="Times New Roman"/>
                <w:bCs/>
                <w:szCs w:val="21"/>
                <w:vertAlign w:val="subscript"/>
              </w:rPr>
              <w:t>oi</w:t>
            </w:r>
          </w:p>
          <w:p>
            <w:pPr>
              <w:adjustRightInd w:val="0"/>
              <w:snapToGrid w:val="0"/>
              <w:spacing w:line="520" w:lineRule="exact"/>
              <w:ind w:firstLine="480" w:firstLineChars="200"/>
              <w:jc w:val="left"/>
              <w:rPr>
                <w:rFonts w:hint="default" w:ascii="Times New Roman" w:hAnsi="Times New Roman" w:cs="Times New Roman"/>
                <w:bCs/>
                <w:szCs w:val="21"/>
              </w:rPr>
            </w:pPr>
            <w:r>
              <w:rPr>
                <w:rFonts w:hint="default" w:ascii="Times New Roman" w:hAnsi="Times New Roman" w:cs="Times New Roman"/>
                <w:bCs/>
                <w:szCs w:val="21"/>
              </w:rPr>
              <w:t>式中，P</w:t>
            </w:r>
            <w:r>
              <w:rPr>
                <w:rFonts w:hint="default" w:ascii="Times New Roman" w:hAnsi="Times New Roman" w:cs="Times New Roman"/>
                <w:bCs/>
                <w:szCs w:val="21"/>
                <w:vertAlign w:val="subscript"/>
              </w:rPr>
              <w:t>i</w:t>
            </w:r>
            <w:r>
              <w:rPr>
                <w:rFonts w:hint="default" w:ascii="Times New Roman" w:hAnsi="Times New Roman" w:cs="Times New Roman"/>
                <w:bCs/>
                <w:szCs w:val="21"/>
              </w:rPr>
              <w:t>——i物质的污染指数；</w:t>
            </w:r>
          </w:p>
          <w:p>
            <w:pPr>
              <w:adjustRightInd w:val="0"/>
              <w:snapToGrid w:val="0"/>
              <w:spacing w:line="520" w:lineRule="exact"/>
              <w:ind w:left="0" w:leftChars="0" w:firstLine="720" w:firstLineChars="300"/>
              <w:jc w:val="left"/>
              <w:rPr>
                <w:rFonts w:hint="default" w:ascii="Times New Roman" w:hAnsi="Times New Roman" w:cs="Times New Roman"/>
                <w:bCs/>
                <w:szCs w:val="21"/>
              </w:rPr>
            </w:pPr>
            <w:r>
              <w:rPr>
                <w:rFonts w:hint="default" w:ascii="Times New Roman" w:hAnsi="Times New Roman" w:cs="Times New Roman"/>
                <w:bCs/>
                <w:szCs w:val="21"/>
              </w:rPr>
              <w:t>C</w:t>
            </w:r>
            <w:r>
              <w:rPr>
                <w:rFonts w:hint="default" w:ascii="Times New Roman" w:hAnsi="Times New Roman" w:cs="Times New Roman"/>
                <w:bCs/>
                <w:szCs w:val="21"/>
                <w:vertAlign w:val="subscript"/>
              </w:rPr>
              <w:t>i</w:t>
            </w:r>
            <w:r>
              <w:rPr>
                <w:rFonts w:hint="default" w:ascii="Times New Roman" w:hAnsi="Times New Roman" w:cs="Times New Roman"/>
                <w:bCs/>
                <w:szCs w:val="21"/>
              </w:rPr>
              <w:t>——i物质的监测浓度，mg/m</w:t>
            </w:r>
            <w:r>
              <w:rPr>
                <w:rFonts w:hint="default" w:ascii="Times New Roman" w:hAnsi="Times New Roman" w:cs="Times New Roman"/>
                <w:bCs/>
                <w:szCs w:val="21"/>
                <w:vertAlign w:val="superscript"/>
              </w:rPr>
              <w:t>3</w:t>
            </w:r>
            <w:r>
              <w:rPr>
                <w:rFonts w:hint="default" w:ascii="Times New Roman" w:hAnsi="Times New Roman" w:cs="Times New Roman"/>
                <w:bCs/>
                <w:szCs w:val="21"/>
              </w:rPr>
              <w:t>；</w:t>
            </w:r>
          </w:p>
          <w:p>
            <w:pPr>
              <w:ind w:left="0" w:leftChars="0" w:firstLine="720" w:firstLineChars="300"/>
              <w:rPr>
                <w:rFonts w:hint="default" w:ascii="Times New Roman" w:hAnsi="Times New Roman" w:cs="Times New Roman"/>
                <w:szCs w:val="21"/>
              </w:rPr>
            </w:pPr>
            <w:r>
              <w:rPr>
                <w:rFonts w:hint="default" w:ascii="Times New Roman" w:hAnsi="Times New Roman" w:cs="Times New Roman"/>
                <w:szCs w:val="21"/>
              </w:rPr>
              <w:t>C</w:t>
            </w:r>
            <w:r>
              <w:rPr>
                <w:rFonts w:hint="default" w:ascii="Times New Roman" w:hAnsi="Times New Roman" w:cs="Times New Roman"/>
                <w:szCs w:val="21"/>
                <w:vertAlign w:val="subscript"/>
              </w:rPr>
              <w:t>oi</w:t>
            </w:r>
            <w:r>
              <w:rPr>
                <w:rFonts w:hint="default" w:ascii="Times New Roman" w:hAnsi="Times New Roman" w:cs="Times New Roman"/>
                <w:szCs w:val="21"/>
              </w:rPr>
              <w:t>——i物质的评价标准，mg/m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ind w:firstLine="480" w:firstLineChars="200"/>
              <w:rPr>
                <w:rFonts w:hint="default" w:ascii="Times New Roman" w:hAnsi="Times New Roman" w:cs="Times New Roman"/>
                <w:szCs w:val="21"/>
              </w:rPr>
            </w:pPr>
            <w:r>
              <w:rPr>
                <w:rFonts w:hint="default" w:ascii="Times New Roman" w:hAnsi="Times New Roman" w:cs="Times New Roman"/>
                <w:szCs w:val="21"/>
              </w:rPr>
              <w:t>当Pi&lt;1时，表示大气环境中该污染物不超标，当Pi≥1时，表示该污染物超过评价标准。Pi值越大，说明该污染物的含量越高，污染越重。</w:t>
            </w:r>
          </w:p>
          <w:p>
            <w:pPr>
              <w:ind w:firstLine="480" w:firstLineChars="200"/>
              <w:rPr>
                <w:rFonts w:hint="default" w:ascii="Times New Roman" w:hAnsi="Times New Roman" w:cs="Times New Roman"/>
                <w:szCs w:val="21"/>
              </w:rPr>
            </w:pPr>
            <w:r>
              <w:rPr>
                <w:rFonts w:hint="default" w:ascii="Times New Roman" w:hAnsi="Times New Roman" w:cs="Times New Roman"/>
                <w:szCs w:val="21"/>
              </w:rPr>
              <w:t>（6）监测结果及评价</w:t>
            </w:r>
          </w:p>
          <w:p>
            <w:pPr>
              <w:ind w:firstLine="480" w:firstLineChars="200"/>
              <w:rPr>
                <w:rFonts w:hint="default" w:ascii="Times New Roman" w:hAnsi="Times New Roman" w:cs="Times New Roman"/>
                <w:szCs w:val="21"/>
              </w:rPr>
            </w:pPr>
            <w:r>
              <w:rPr>
                <w:rFonts w:hint="default" w:ascii="Times New Roman" w:hAnsi="Times New Roman" w:cs="Times New Roman"/>
                <w:szCs w:val="21"/>
              </w:rPr>
              <w:t>特征污染物环境质量现状监测结果见表3-5。</w:t>
            </w:r>
          </w:p>
          <w:p>
            <w:pPr>
              <w:pStyle w:val="38"/>
              <w:rPr>
                <w:rFonts w:hint="default" w:ascii="Times New Roman" w:hAnsi="Times New Roman" w:cs="Times New Roman"/>
              </w:rPr>
            </w:pPr>
            <w:r>
              <w:rPr>
                <w:rFonts w:hint="default" w:ascii="Times New Roman" w:hAnsi="Times New Roman" w:cs="Times New Roman"/>
              </w:rPr>
              <w:t>表3-5特征污染物环境质量现状监测结果</w:t>
            </w:r>
          </w:p>
          <w:tbl>
            <w:tblPr>
              <w:tblStyle w:val="26"/>
              <w:tblW w:w="8090" w:type="dxa"/>
              <w:tblInd w:w="123" w:type="dxa"/>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60"/>
              <w:gridCol w:w="675"/>
              <w:gridCol w:w="690"/>
              <w:gridCol w:w="1240"/>
              <w:gridCol w:w="1527"/>
              <w:gridCol w:w="1042"/>
              <w:gridCol w:w="796"/>
              <w:gridCol w:w="760"/>
            </w:tblGrid>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360" w:type="dxa"/>
                  <w:vAlign w:val="center"/>
                </w:tcPr>
                <w:p>
                  <w:pPr>
                    <w:pStyle w:val="87"/>
                    <w:rPr>
                      <w:rFonts w:hint="default" w:ascii="Times New Roman" w:hAnsi="Times New Roman" w:cs="Times New Roman"/>
                    </w:rPr>
                  </w:pPr>
                  <w:r>
                    <w:rPr>
                      <w:rFonts w:hint="default" w:ascii="Times New Roman" w:hAnsi="Times New Roman" w:cs="Times New Roman"/>
                    </w:rPr>
                    <w:t>监测</w:t>
                  </w:r>
                </w:p>
                <w:p>
                  <w:pPr>
                    <w:pStyle w:val="87"/>
                    <w:rPr>
                      <w:rFonts w:hint="default" w:ascii="Times New Roman" w:hAnsi="Times New Roman" w:cs="Times New Roman"/>
                    </w:rPr>
                  </w:pPr>
                  <w:r>
                    <w:rPr>
                      <w:rFonts w:hint="default" w:ascii="Times New Roman" w:hAnsi="Times New Roman" w:cs="Times New Roman"/>
                    </w:rPr>
                    <w:t>点位</w:t>
                  </w:r>
                </w:p>
              </w:tc>
              <w:tc>
                <w:tcPr>
                  <w:tcW w:w="675" w:type="dxa"/>
                  <w:vAlign w:val="center"/>
                </w:tcPr>
                <w:p>
                  <w:pPr>
                    <w:pStyle w:val="87"/>
                    <w:rPr>
                      <w:rFonts w:hint="default" w:ascii="Times New Roman" w:hAnsi="Times New Roman" w:cs="Times New Roman"/>
                    </w:rPr>
                  </w:pPr>
                  <w:r>
                    <w:rPr>
                      <w:rFonts w:hint="default" w:ascii="Times New Roman" w:hAnsi="Times New Roman" w:cs="Times New Roman"/>
                    </w:rPr>
                    <w:t>污染物</w:t>
                  </w:r>
                </w:p>
              </w:tc>
              <w:tc>
                <w:tcPr>
                  <w:tcW w:w="690" w:type="dxa"/>
                  <w:vAlign w:val="center"/>
                </w:tcPr>
                <w:p>
                  <w:pPr>
                    <w:pStyle w:val="87"/>
                    <w:rPr>
                      <w:rFonts w:hint="default" w:ascii="Times New Roman" w:hAnsi="Times New Roman" w:cs="Times New Roman"/>
                    </w:rPr>
                  </w:pPr>
                  <w:r>
                    <w:rPr>
                      <w:rFonts w:hint="default" w:ascii="Times New Roman" w:hAnsi="Times New Roman" w:cs="Times New Roman"/>
                    </w:rPr>
                    <w:t>平均</w:t>
                  </w:r>
                </w:p>
                <w:p>
                  <w:pPr>
                    <w:pStyle w:val="87"/>
                    <w:rPr>
                      <w:rFonts w:hint="default" w:ascii="Times New Roman" w:hAnsi="Times New Roman" w:cs="Times New Roman"/>
                    </w:rPr>
                  </w:pPr>
                  <w:r>
                    <w:rPr>
                      <w:rFonts w:hint="default" w:ascii="Times New Roman" w:hAnsi="Times New Roman" w:cs="Times New Roman"/>
                    </w:rPr>
                    <w:t>时间</w:t>
                  </w:r>
                </w:p>
              </w:tc>
              <w:tc>
                <w:tcPr>
                  <w:tcW w:w="1240" w:type="dxa"/>
                  <w:vAlign w:val="center"/>
                </w:tcPr>
                <w:p>
                  <w:pPr>
                    <w:pStyle w:val="87"/>
                    <w:rPr>
                      <w:rFonts w:hint="default" w:ascii="Times New Roman" w:hAnsi="Times New Roman" w:cs="Times New Roman"/>
                    </w:rPr>
                  </w:pPr>
                  <w:r>
                    <w:rPr>
                      <w:rFonts w:hint="default" w:ascii="Times New Roman" w:hAnsi="Times New Roman" w:cs="Times New Roman"/>
                    </w:rPr>
                    <w:t>评价标准（mg/m</w:t>
                  </w:r>
                  <w:r>
                    <w:rPr>
                      <w:rFonts w:hint="default" w:ascii="Times New Roman" w:hAnsi="Times New Roman" w:cs="Times New Roman"/>
                      <w:vertAlign w:val="superscript"/>
                    </w:rPr>
                    <w:t>3</w:t>
                  </w:r>
                  <w:r>
                    <w:rPr>
                      <w:rFonts w:hint="default" w:ascii="Times New Roman" w:hAnsi="Times New Roman" w:cs="Times New Roman"/>
                    </w:rPr>
                    <w:t>）</w:t>
                  </w:r>
                </w:p>
              </w:tc>
              <w:tc>
                <w:tcPr>
                  <w:tcW w:w="1527" w:type="dxa"/>
                  <w:vAlign w:val="center"/>
                </w:tcPr>
                <w:p>
                  <w:pPr>
                    <w:pStyle w:val="87"/>
                    <w:rPr>
                      <w:rFonts w:hint="default" w:ascii="Times New Roman" w:hAnsi="Times New Roman" w:cs="Times New Roman"/>
                    </w:rPr>
                  </w:pPr>
                  <w:r>
                    <w:rPr>
                      <w:rFonts w:hint="default" w:ascii="Times New Roman" w:hAnsi="Times New Roman" w:cs="Times New Roman"/>
                    </w:rPr>
                    <w:t>监测浓度范围（mg/m</w:t>
                  </w:r>
                  <w:r>
                    <w:rPr>
                      <w:rFonts w:hint="default" w:ascii="Times New Roman" w:hAnsi="Times New Roman" w:cs="Times New Roman"/>
                      <w:vertAlign w:val="superscript"/>
                    </w:rPr>
                    <w:t>3</w:t>
                  </w:r>
                  <w:r>
                    <w:rPr>
                      <w:rFonts w:hint="default" w:ascii="Times New Roman" w:hAnsi="Times New Roman" w:cs="Times New Roman"/>
                    </w:rPr>
                    <w:t>）</w:t>
                  </w:r>
                </w:p>
              </w:tc>
              <w:tc>
                <w:tcPr>
                  <w:tcW w:w="1042" w:type="dxa"/>
                  <w:vAlign w:val="center"/>
                </w:tcPr>
                <w:p>
                  <w:pPr>
                    <w:pStyle w:val="87"/>
                    <w:rPr>
                      <w:rFonts w:hint="default" w:ascii="Times New Roman" w:hAnsi="Times New Roman" w:cs="Times New Roman"/>
                    </w:rPr>
                  </w:pPr>
                  <w:r>
                    <w:rPr>
                      <w:rFonts w:hint="default" w:ascii="Times New Roman" w:hAnsi="Times New Roman" w:cs="Times New Roman"/>
                    </w:rPr>
                    <w:t>最大污染指数P</w:t>
                  </w:r>
                  <w:r>
                    <w:rPr>
                      <w:rFonts w:hint="default" w:ascii="Times New Roman" w:hAnsi="Times New Roman" w:cs="Times New Roman"/>
                      <w:vertAlign w:val="subscript"/>
                    </w:rPr>
                    <w:t>i</w:t>
                  </w:r>
                </w:p>
              </w:tc>
              <w:tc>
                <w:tcPr>
                  <w:tcW w:w="796" w:type="dxa"/>
                  <w:vAlign w:val="center"/>
                </w:tcPr>
                <w:p>
                  <w:pPr>
                    <w:pStyle w:val="87"/>
                    <w:rPr>
                      <w:rFonts w:hint="default" w:ascii="Times New Roman" w:hAnsi="Times New Roman" w:cs="Times New Roman"/>
                    </w:rPr>
                  </w:pPr>
                  <w:r>
                    <w:rPr>
                      <w:rFonts w:hint="default" w:ascii="Times New Roman" w:hAnsi="Times New Roman" w:cs="Times New Roman"/>
                    </w:rPr>
                    <w:t>超标率%</w:t>
                  </w:r>
                </w:p>
              </w:tc>
              <w:tc>
                <w:tcPr>
                  <w:tcW w:w="760" w:type="dxa"/>
                  <w:vAlign w:val="center"/>
                </w:tcPr>
                <w:p>
                  <w:pPr>
                    <w:pStyle w:val="87"/>
                    <w:rPr>
                      <w:rFonts w:hint="default" w:ascii="Times New Roman" w:hAnsi="Times New Roman" w:cs="Times New Roman"/>
                    </w:rPr>
                  </w:pPr>
                  <w:r>
                    <w:rPr>
                      <w:rFonts w:hint="default" w:ascii="Times New Roman" w:hAnsi="Times New Roman" w:cs="Times New Roman"/>
                    </w:rPr>
                    <w:t>达标情况</w:t>
                  </w: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360" w:type="dxa"/>
                  <w:vAlign w:val="center"/>
                </w:tcPr>
                <w:p>
                  <w:pPr>
                    <w:pStyle w:val="87"/>
                    <w:rPr>
                      <w:rFonts w:hint="default" w:ascii="Times New Roman" w:hAnsi="Times New Roman" w:cs="Times New Roman"/>
                    </w:rPr>
                  </w:pPr>
                  <w:r>
                    <w:rPr>
                      <w:rFonts w:hint="default" w:ascii="Times New Roman" w:hAnsi="Times New Roman" w:cs="Times New Roman"/>
                    </w:rPr>
                    <w:t>尉犁县林源畜牧有限公司厂址下风向</w:t>
                  </w:r>
                </w:p>
              </w:tc>
              <w:tc>
                <w:tcPr>
                  <w:tcW w:w="675" w:type="dxa"/>
                  <w:vAlign w:val="center"/>
                </w:tcPr>
                <w:p>
                  <w:pPr>
                    <w:pStyle w:val="87"/>
                    <w:rPr>
                      <w:rFonts w:hint="default" w:ascii="Times New Roman" w:hAnsi="Times New Roman" w:cs="Times New Roman"/>
                    </w:rPr>
                  </w:pPr>
                  <w:r>
                    <w:rPr>
                      <w:rFonts w:hint="default" w:ascii="Times New Roman" w:hAnsi="Times New Roman" w:cs="Times New Roman"/>
                    </w:rPr>
                    <w:t>总悬浮颗粒物</w:t>
                  </w:r>
                </w:p>
              </w:tc>
              <w:tc>
                <w:tcPr>
                  <w:tcW w:w="690" w:type="dxa"/>
                  <w:vAlign w:val="center"/>
                </w:tcPr>
                <w:p>
                  <w:pPr>
                    <w:pStyle w:val="87"/>
                    <w:rPr>
                      <w:rFonts w:hint="default" w:ascii="Times New Roman" w:hAnsi="Times New Roman" w:cs="Times New Roman"/>
                    </w:rPr>
                  </w:pPr>
                  <w:r>
                    <w:rPr>
                      <w:rFonts w:hint="default" w:ascii="Times New Roman" w:hAnsi="Times New Roman" w:cs="Times New Roman"/>
                    </w:rPr>
                    <w:t>24小时</w:t>
                  </w:r>
                </w:p>
              </w:tc>
              <w:tc>
                <w:tcPr>
                  <w:tcW w:w="1240" w:type="dxa"/>
                  <w:vAlign w:val="center"/>
                </w:tcPr>
                <w:p>
                  <w:pPr>
                    <w:pStyle w:val="87"/>
                    <w:rPr>
                      <w:rFonts w:hint="default" w:ascii="Times New Roman" w:hAnsi="Times New Roman" w:cs="Times New Roman"/>
                    </w:rPr>
                  </w:pPr>
                  <w:r>
                    <w:rPr>
                      <w:rFonts w:hint="default" w:ascii="Times New Roman" w:hAnsi="Times New Roman" w:cs="Times New Roman"/>
                    </w:rPr>
                    <w:t>1.0</w:t>
                  </w:r>
                </w:p>
              </w:tc>
              <w:tc>
                <w:tcPr>
                  <w:tcW w:w="1527" w:type="dxa"/>
                  <w:vAlign w:val="center"/>
                </w:tcPr>
                <w:p>
                  <w:pPr>
                    <w:pStyle w:val="87"/>
                    <w:rPr>
                      <w:rFonts w:hint="default" w:ascii="Times New Roman" w:hAnsi="Times New Roman" w:cs="Times New Roman"/>
                    </w:rPr>
                  </w:pPr>
                  <w:r>
                    <w:rPr>
                      <w:rFonts w:hint="default" w:ascii="Times New Roman" w:hAnsi="Times New Roman" w:cs="Times New Roman"/>
                    </w:rPr>
                    <w:t>0.204L~0.223</w:t>
                  </w:r>
                </w:p>
              </w:tc>
              <w:tc>
                <w:tcPr>
                  <w:tcW w:w="1042" w:type="dxa"/>
                  <w:vAlign w:val="center"/>
                </w:tcPr>
                <w:p>
                  <w:pPr>
                    <w:pStyle w:val="87"/>
                    <w:rPr>
                      <w:rFonts w:hint="default" w:ascii="Times New Roman" w:hAnsi="Times New Roman" w:cs="Times New Roman"/>
                    </w:rPr>
                  </w:pPr>
                  <w:r>
                    <w:rPr>
                      <w:rFonts w:hint="default" w:ascii="Times New Roman" w:hAnsi="Times New Roman" w:cs="Times New Roman"/>
                    </w:rPr>
                    <w:t>0.223</w:t>
                  </w:r>
                </w:p>
              </w:tc>
              <w:tc>
                <w:tcPr>
                  <w:tcW w:w="796" w:type="dxa"/>
                  <w:vAlign w:val="center"/>
                </w:tcPr>
                <w:p>
                  <w:pPr>
                    <w:pStyle w:val="87"/>
                    <w:rPr>
                      <w:rFonts w:hint="default" w:ascii="Times New Roman" w:hAnsi="Times New Roman" w:cs="Times New Roman"/>
                    </w:rPr>
                  </w:pPr>
                  <w:r>
                    <w:rPr>
                      <w:rFonts w:hint="default" w:ascii="Times New Roman" w:hAnsi="Times New Roman" w:cs="Times New Roman"/>
                    </w:rPr>
                    <w:t>0</w:t>
                  </w:r>
                </w:p>
              </w:tc>
              <w:tc>
                <w:tcPr>
                  <w:tcW w:w="760" w:type="dxa"/>
                  <w:vAlign w:val="center"/>
                </w:tcPr>
                <w:p>
                  <w:pPr>
                    <w:pStyle w:val="87"/>
                    <w:rPr>
                      <w:rFonts w:hint="default" w:ascii="Times New Roman" w:hAnsi="Times New Roman" w:cs="Times New Roman"/>
                    </w:rPr>
                  </w:pPr>
                  <w:r>
                    <w:rPr>
                      <w:rFonts w:hint="default" w:ascii="Times New Roman" w:hAnsi="Times New Roman" w:cs="Times New Roman"/>
                    </w:rPr>
                    <w:t>达标</w:t>
                  </w:r>
                </w:p>
              </w:tc>
            </w:tr>
          </w:tbl>
          <w:p>
            <w:pPr>
              <w:ind w:firstLine="480" w:firstLineChars="200"/>
              <w:rPr>
                <w:rFonts w:hint="default" w:ascii="Times New Roman" w:hAnsi="Times New Roman" w:cs="Times New Roman"/>
                <w:szCs w:val="21"/>
              </w:rPr>
            </w:pPr>
            <w:r>
              <w:rPr>
                <w:rFonts w:hint="default" w:ascii="Times New Roman" w:hAnsi="Times New Roman" w:cs="Times New Roman"/>
                <w:szCs w:val="21"/>
              </w:rPr>
              <w:t>从监测结果可知，总悬浮颗粒物24小时平均浓度符合</w:t>
            </w:r>
            <w:r>
              <w:rPr>
                <w:rFonts w:hint="default" w:ascii="Times New Roman" w:hAnsi="Times New Roman" w:cs="Times New Roman"/>
                <w:szCs w:val="21"/>
                <w:shd w:val="clear" w:color="auto" w:fill="FFFFFF"/>
              </w:rPr>
              <w:t>《环境空气质量标准（GB3095-2012）》二级标准</w:t>
            </w:r>
            <w:r>
              <w:rPr>
                <w:rFonts w:hint="default" w:ascii="Times New Roman" w:hAnsi="Times New Roman" w:cs="Times New Roman"/>
                <w:szCs w:val="21"/>
              </w:rPr>
              <w:t>限值。</w:t>
            </w:r>
          </w:p>
          <w:p>
            <w:pPr>
              <w:ind w:firstLine="482" w:firstLineChars="200"/>
              <w:rPr>
                <w:rFonts w:hint="default" w:ascii="Times New Roman" w:hAnsi="Times New Roman" w:cs="Times New Roman"/>
                <w:b/>
                <w:bCs/>
                <w:kern w:val="0"/>
                <w:szCs w:val="21"/>
              </w:rPr>
            </w:pPr>
            <w:r>
              <w:rPr>
                <w:rFonts w:hint="default" w:ascii="Times New Roman" w:hAnsi="Times New Roman" w:cs="Times New Roman"/>
                <w:b/>
                <w:bCs/>
                <w:kern w:val="0"/>
                <w:szCs w:val="21"/>
                <w:lang w:bidi="ar"/>
              </w:rPr>
              <w:t>2地表水</w:t>
            </w:r>
            <w:r>
              <w:rPr>
                <w:rFonts w:hint="default" w:ascii="Times New Roman" w:hAnsi="Times New Roman" w:cs="Times New Roman"/>
                <w:b/>
                <w:szCs w:val="21"/>
                <w:lang w:bidi="ar"/>
              </w:rPr>
              <w:t>质量现状调查与评价</w:t>
            </w:r>
          </w:p>
          <w:p>
            <w:pPr>
              <w:adjustRightInd w:val="0"/>
              <w:snapToGrid w:val="0"/>
              <w:ind w:firstLine="480" w:firstLineChars="200"/>
              <w:rPr>
                <w:rFonts w:hint="default" w:ascii="Times New Roman" w:hAnsi="Times New Roman" w:cs="Times New Roman"/>
                <w:szCs w:val="21"/>
              </w:rPr>
            </w:pPr>
            <w:r>
              <w:rPr>
                <w:rFonts w:hint="default" w:ascii="Times New Roman" w:hAnsi="Times New Roman" w:cs="Times New Roman"/>
                <w:szCs w:val="21"/>
              </w:rPr>
              <w:t>本项目所在区域主要河流为孔雀河，根据《2020年巴音郭楞蒙古自治州生态环境状况公报》，全州6条主要河流的14个监测断面中，Ⅰ-Ⅲ类优良水质断面占100%，与上年相比没有明显变化。其中，开都河、黄水沟水环境质量为Ⅰ类，孔雀河、塔里木河（氟化物不参与考核）、车尔臣河、迪那河为Ⅱ类。</w:t>
            </w:r>
          </w:p>
          <w:p>
            <w:pPr>
              <w:adjustRightInd w:val="0"/>
              <w:snapToGrid w:val="0"/>
              <w:ind w:firstLine="480" w:firstLineChars="200"/>
              <w:rPr>
                <w:rFonts w:hint="default" w:ascii="Times New Roman" w:hAnsi="Times New Roman" w:cs="Times New Roman"/>
                <w:szCs w:val="21"/>
              </w:rPr>
            </w:pPr>
            <w:r>
              <w:rPr>
                <w:rFonts w:hint="default" w:ascii="Times New Roman" w:hAnsi="Times New Roman" w:cs="Times New Roman"/>
                <w:szCs w:val="21"/>
              </w:rPr>
              <w:t>距离本项目最近的地表水体为孔雀河，位于项目区南侧，相距3.6km，根据《2020年巴音郭楞蒙古自治州生态环境状况公报》，塔里木河水质可达到《地表水环境质量标准》（GB3838-2002）II类标准。</w:t>
            </w:r>
          </w:p>
          <w:p>
            <w:pPr>
              <w:ind w:firstLine="482" w:firstLineChars="200"/>
              <w:rPr>
                <w:rFonts w:hint="default" w:ascii="Times New Roman" w:hAnsi="Times New Roman" w:cs="Times New Roman"/>
                <w:b/>
                <w:szCs w:val="21"/>
                <w:lang w:bidi="ar"/>
              </w:rPr>
            </w:pPr>
            <w:r>
              <w:rPr>
                <w:rFonts w:hint="default" w:ascii="Times New Roman" w:hAnsi="Times New Roman" w:cs="Times New Roman"/>
                <w:b/>
                <w:szCs w:val="21"/>
                <w:lang w:bidi="ar"/>
              </w:rPr>
              <w:t>3声环境质量现状及评价</w:t>
            </w:r>
          </w:p>
          <w:p>
            <w:pPr>
              <w:bidi w:val="0"/>
              <w:ind w:firstLine="480" w:firstLineChars="200"/>
              <w:rPr>
                <w:rFonts w:hint="default" w:ascii="Times New Roman" w:hAnsi="Times New Roman" w:cs="Times New Roman"/>
                <w:lang w:val="en-US" w:eastAsia="zh-CN"/>
              </w:rPr>
            </w:pPr>
            <w:r>
              <w:rPr>
                <w:rFonts w:hint="default" w:ascii="Times New Roman" w:hAnsi="Times New Roman" w:cs="Times New Roman"/>
                <w:lang w:val="en-US" w:eastAsia="zh-CN"/>
              </w:rPr>
              <w:t>本项目厂界周边50m范围内无声环境保护目标，未进行声环境质量现状监测。</w:t>
            </w:r>
          </w:p>
          <w:p>
            <w:pPr>
              <w:ind w:firstLine="482" w:firstLineChars="200"/>
              <w:rPr>
                <w:rFonts w:hint="default" w:ascii="Times New Roman" w:hAnsi="Times New Roman" w:cs="Times New Roman"/>
                <w:szCs w:val="21"/>
              </w:rPr>
            </w:pPr>
            <w:r>
              <w:rPr>
                <w:rFonts w:hint="default" w:ascii="Times New Roman" w:hAnsi="Times New Roman" w:cs="Times New Roman"/>
                <w:b/>
                <w:kern w:val="0"/>
                <w:szCs w:val="21"/>
                <w:lang w:bidi="ar"/>
              </w:rPr>
              <w:t>4地下水、</w:t>
            </w:r>
            <w:r>
              <w:rPr>
                <w:rFonts w:hint="default" w:ascii="Times New Roman" w:hAnsi="Times New Roman" w:cs="Times New Roman"/>
                <w:b/>
                <w:bCs/>
                <w:kern w:val="0"/>
                <w:szCs w:val="21"/>
                <w:lang w:bidi="ar"/>
              </w:rPr>
              <w:t>土壤环境质量现状调查及评价</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Cs w:val="21"/>
              </w:rPr>
              <w:t>根据《建设项目环境影响报告表编制技术指南》（污染影响类）（试行）的中对于地下水、土壤环境，原则上不开展环境质量现状调查。建设项目存在土壤、地下水环境污染途径的，应集合污染源、保护目标分布情况开展现状调查以留作背景值。本项目属于砼结构构件制造项目，</w:t>
            </w:r>
            <w:r>
              <w:rPr>
                <w:rFonts w:hint="default" w:ascii="Times New Roman" w:hAnsi="Times New Roman" w:cs="Times New Roman"/>
                <w:bCs/>
                <w:szCs w:val="21"/>
              </w:rPr>
              <w:t>位于</w:t>
            </w:r>
            <w:r>
              <w:rPr>
                <w:rFonts w:hint="default" w:ascii="Times New Roman" w:hAnsi="Times New Roman" w:cs="Times New Roman"/>
                <w:szCs w:val="21"/>
                <w:lang w:bidi="en-US"/>
              </w:rPr>
              <w:t>尉犁县工业园区装备制造区二期2号厂房</w:t>
            </w:r>
            <w:r>
              <w:rPr>
                <w:rFonts w:hint="default" w:ascii="Times New Roman" w:hAnsi="Times New Roman" w:cs="Times New Roman"/>
                <w:szCs w:val="21"/>
              </w:rPr>
              <w:t>，周边无敏感目标，不存在直接的地下水、土壤污染途径，故无需开展地下水环境、土壤质量现状调查。</w:t>
            </w:r>
          </w:p>
          <w:p>
            <w:pPr>
              <w:topLinePunct/>
              <w:ind w:firstLine="482" w:firstLineChars="200"/>
              <w:rPr>
                <w:rFonts w:hint="default" w:ascii="Times New Roman" w:hAnsi="Times New Roman" w:cs="Times New Roman"/>
                <w:b/>
                <w:szCs w:val="21"/>
              </w:rPr>
            </w:pPr>
            <w:r>
              <w:rPr>
                <w:rFonts w:hint="default" w:ascii="Times New Roman" w:hAnsi="Times New Roman" w:cs="Times New Roman"/>
                <w:b/>
                <w:szCs w:val="21"/>
              </w:rPr>
              <w:t>5生态环境质量现状调查</w:t>
            </w:r>
          </w:p>
          <w:p>
            <w:pPr>
              <w:ind w:firstLine="480" w:firstLineChars="200"/>
              <w:rPr>
                <w:rFonts w:hint="default" w:ascii="Times New Roman" w:hAnsi="Times New Roman" w:cs="Times New Roman"/>
              </w:rPr>
            </w:pPr>
            <w:r>
              <w:rPr>
                <w:rFonts w:hint="default" w:ascii="Times New Roman" w:hAnsi="Times New Roman" w:cs="Times New Roman"/>
                <w:szCs w:val="21"/>
                <w:lang w:bidi="ar"/>
              </w:rPr>
              <w:t>根据《建设项目环境影响报告表编制技术指南（污染影响类）（试行）》中要求，产业园区外建设项目新增用地且用地范围内含有生态环境保护目标时，应进行生态现状调查。本项目位于</w:t>
            </w:r>
            <w:r>
              <w:rPr>
                <w:rFonts w:hint="default" w:ascii="Times New Roman" w:hAnsi="Times New Roman" w:cs="Times New Roman"/>
                <w:szCs w:val="21"/>
                <w:lang w:bidi="en-US"/>
              </w:rPr>
              <w:t>尉犁县工业园区装备制造区二期2号厂房</w:t>
            </w:r>
            <w:r>
              <w:rPr>
                <w:rFonts w:hint="default" w:ascii="Times New Roman" w:hAnsi="Times New Roman" w:cs="Times New Roman"/>
                <w:szCs w:val="21"/>
                <w:lang w:bidi="ar"/>
              </w:rPr>
              <w:t>，不新增用地且用地范围不含有生态环境保护目标，故不进行生态环境质量现状调查及评价。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32" w:type="dxa"/>
            <w:vAlign w:val="center"/>
          </w:tcPr>
          <w:p>
            <w:pPr>
              <w:adjustRightInd w:val="0"/>
              <w:snapToGrid w:val="0"/>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环境</w:t>
            </w:r>
          </w:p>
          <w:p>
            <w:pPr>
              <w:adjustRightInd w:val="0"/>
              <w:snapToGrid w:val="0"/>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保护</w:t>
            </w:r>
          </w:p>
          <w:p>
            <w:pPr>
              <w:adjustRightInd w:val="0"/>
              <w:snapToGrid w:val="0"/>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目标</w:t>
            </w:r>
          </w:p>
        </w:tc>
        <w:tc>
          <w:tcPr>
            <w:tcW w:w="8429" w:type="dxa"/>
            <w:vAlign w:val="center"/>
          </w:tcPr>
          <w:p>
            <w:pPr>
              <w:rPr>
                <w:rFonts w:hint="default" w:ascii="Times New Roman" w:hAnsi="Times New Roman" w:cs="Times New Roman"/>
                <w:szCs w:val="21"/>
              </w:rPr>
            </w:pPr>
            <w:r>
              <w:rPr>
                <w:rFonts w:hint="default" w:ascii="Times New Roman" w:hAnsi="Times New Roman" w:cs="Times New Roman"/>
                <w:szCs w:val="21"/>
              </w:rPr>
              <w:t>1、环境空气保护目标：</w:t>
            </w:r>
          </w:p>
          <w:p>
            <w:pPr>
              <w:ind w:firstLine="480" w:firstLineChars="200"/>
              <w:rPr>
                <w:rFonts w:hint="default" w:ascii="Times New Roman" w:hAnsi="Times New Roman" w:cs="Times New Roman"/>
                <w:szCs w:val="21"/>
              </w:rPr>
            </w:pPr>
            <w:r>
              <w:rPr>
                <w:rFonts w:hint="default" w:ascii="Times New Roman" w:hAnsi="Times New Roman" w:cs="Times New Roman"/>
                <w:szCs w:val="21"/>
              </w:rPr>
              <w:t>根据现场勘察，项目厂界外500m范围内无自然保护区、风景名胜区、居住区、文化区和农村地区中人群较集中的区域等保护目标。</w:t>
            </w:r>
          </w:p>
          <w:p>
            <w:pPr>
              <w:rPr>
                <w:rFonts w:hint="default" w:ascii="Times New Roman" w:hAnsi="Times New Roman" w:cs="Times New Roman"/>
                <w:szCs w:val="21"/>
              </w:rPr>
            </w:pPr>
            <w:r>
              <w:rPr>
                <w:rFonts w:hint="default" w:ascii="Times New Roman" w:hAnsi="Times New Roman" w:cs="Times New Roman"/>
                <w:szCs w:val="21"/>
              </w:rPr>
              <w:t>2、地下水环境保护目标：</w:t>
            </w:r>
          </w:p>
          <w:p>
            <w:pPr>
              <w:ind w:firstLine="480" w:firstLineChars="200"/>
              <w:rPr>
                <w:rFonts w:hint="default" w:ascii="Times New Roman" w:hAnsi="Times New Roman" w:cs="Times New Roman"/>
                <w:szCs w:val="21"/>
              </w:rPr>
            </w:pPr>
            <w:r>
              <w:rPr>
                <w:rFonts w:hint="default" w:ascii="Times New Roman" w:hAnsi="Times New Roman" w:cs="Times New Roman"/>
                <w:szCs w:val="21"/>
              </w:rPr>
              <w:t>本项目厂界外500米范围内无地下水集中式饮用水水源和热水、矿泉水、温泉等特殊地下水资源。</w:t>
            </w:r>
          </w:p>
          <w:p>
            <w:pPr>
              <w:rPr>
                <w:rFonts w:hint="default" w:ascii="Times New Roman" w:hAnsi="Times New Roman" w:cs="Times New Roman"/>
                <w:szCs w:val="21"/>
              </w:rPr>
            </w:pPr>
            <w:r>
              <w:rPr>
                <w:rFonts w:hint="default" w:ascii="Times New Roman" w:hAnsi="Times New Roman" w:cs="Times New Roman"/>
                <w:szCs w:val="21"/>
              </w:rPr>
              <w:t>3、声环境保护目标：</w:t>
            </w:r>
          </w:p>
          <w:p>
            <w:pPr>
              <w:ind w:firstLine="480" w:firstLineChars="200"/>
              <w:rPr>
                <w:rFonts w:hint="default" w:ascii="Times New Roman" w:hAnsi="Times New Roman" w:cs="Times New Roman"/>
                <w:szCs w:val="21"/>
              </w:rPr>
            </w:pPr>
            <w:r>
              <w:rPr>
                <w:rFonts w:hint="default" w:ascii="Times New Roman" w:hAnsi="Times New Roman" w:cs="Times New Roman"/>
                <w:szCs w:val="21"/>
              </w:rPr>
              <w:t>现场根据勘察，项目区周边50m范围内没有声环境保护目标。</w:t>
            </w:r>
          </w:p>
          <w:p>
            <w:pPr>
              <w:rPr>
                <w:rFonts w:hint="default" w:ascii="Times New Roman" w:hAnsi="Times New Roman" w:cs="Times New Roman"/>
                <w:szCs w:val="21"/>
              </w:rPr>
            </w:pPr>
            <w:r>
              <w:rPr>
                <w:rFonts w:hint="default" w:ascii="Times New Roman" w:hAnsi="Times New Roman" w:cs="Times New Roman"/>
                <w:szCs w:val="21"/>
              </w:rPr>
              <w:t>4、生态环境保护目标：</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Cs w:val="21"/>
              </w:rPr>
              <w:t>根据现场调查，项目区周边无生态环境保护目标。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tcMar>
              <w:left w:w="28" w:type="dxa"/>
              <w:right w:w="28" w:type="dxa"/>
            </w:tcMar>
            <w:vAlign w:val="center"/>
          </w:tcPr>
          <w:p>
            <w:pPr>
              <w:adjustRightInd w:val="0"/>
              <w:snapToGrid w:val="0"/>
              <w:jc w:val="center"/>
              <w:rPr>
                <w:rFonts w:hint="default" w:ascii="Times New Roman" w:hAnsi="Times New Roman" w:cs="Times New Roman"/>
                <w:b/>
                <w:bCs/>
              </w:rPr>
            </w:pPr>
            <w:r>
              <w:rPr>
                <w:rFonts w:hint="default" w:ascii="Times New Roman" w:hAnsi="Times New Roman" w:cs="Times New Roman"/>
                <w:b/>
                <w:bCs/>
              </w:rPr>
              <w:t>污染</w:t>
            </w:r>
          </w:p>
          <w:p>
            <w:pPr>
              <w:adjustRightInd w:val="0"/>
              <w:snapToGrid w:val="0"/>
              <w:jc w:val="center"/>
              <w:rPr>
                <w:rFonts w:hint="default" w:ascii="Times New Roman" w:hAnsi="Times New Roman" w:cs="Times New Roman"/>
                <w:b/>
                <w:bCs/>
              </w:rPr>
            </w:pPr>
            <w:r>
              <w:rPr>
                <w:rFonts w:hint="default" w:ascii="Times New Roman" w:hAnsi="Times New Roman" w:cs="Times New Roman"/>
                <w:b/>
                <w:bCs/>
              </w:rPr>
              <w:t>物排</w:t>
            </w:r>
          </w:p>
          <w:p>
            <w:pPr>
              <w:adjustRightInd w:val="0"/>
              <w:snapToGrid w:val="0"/>
              <w:jc w:val="center"/>
              <w:rPr>
                <w:rFonts w:hint="default" w:ascii="Times New Roman" w:hAnsi="Times New Roman" w:cs="Times New Roman"/>
                <w:b/>
                <w:bCs/>
              </w:rPr>
            </w:pPr>
            <w:r>
              <w:rPr>
                <w:rFonts w:hint="default" w:ascii="Times New Roman" w:hAnsi="Times New Roman" w:cs="Times New Roman"/>
                <w:b/>
                <w:bCs/>
              </w:rPr>
              <w:t>放控</w:t>
            </w:r>
          </w:p>
          <w:p>
            <w:pPr>
              <w:adjustRightInd w:val="0"/>
              <w:snapToGrid w:val="0"/>
              <w:jc w:val="center"/>
              <w:rPr>
                <w:rFonts w:hint="default" w:ascii="Times New Roman" w:hAnsi="Times New Roman" w:cs="Times New Roman"/>
                <w:b/>
                <w:bCs/>
              </w:rPr>
            </w:pPr>
            <w:r>
              <w:rPr>
                <w:rFonts w:hint="default" w:ascii="Times New Roman" w:hAnsi="Times New Roman" w:cs="Times New Roman"/>
                <w:b/>
                <w:bCs/>
              </w:rPr>
              <w:t>制标</w:t>
            </w:r>
          </w:p>
          <w:p>
            <w:pPr>
              <w:adjustRightInd w:val="0"/>
              <w:snapToGrid w:val="0"/>
              <w:jc w:val="center"/>
              <w:rPr>
                <w:rFonts w:hint="default" w:ascii="Times New Roman" w:hAnsi="Times New Roman" w:cs="Times New Roman"/>
                <w:b/>
                <w:bCs/>
              </w:rPr>
            </w:pPr>
            <w:r>
              <w:rPr>
                <w:rFonts w:hint="default" w:ascii="Times New Roman" w:hAnsi="Times New Roman" w:cs="Times New Roman"/>
                <w:b/>
                <w:bCs/>
              </w:rPr>
              <w:t>准</w:t>
            </w:r>
          </w:p>
          <w:p>
            <w:pPr>
              <w:ind w:right="-240" w:rightChars="-100"/>
              <w:rPr>
                <w:rFonts w:hint="default" w:ascii="Times New Roman" w:hAnsi="Times New Roman" w:cs="Times New Roman"/>
                <w:b/>
                <w:bCs/>
              </w:rPr>
            </w:pPr>
          </w:p>
        </w:tc>
        <w:tc>
          <w:tcPr>
            <w:tcW w:w="8429" w:type="dxa"/>
            <w:vAlign w:val="center"/>
          </w:tcPr>
          <w:p>
            <w:pPr>
              <w:adjustRightInd w:val="0"/>
              <w:snapToGrid w:val="0"/>
              <w:rPr>
                <w:rFonts w:hint="default" w:ascii="Times New Roman" w:hAnsi="Times New Roman" w:cs="Times New Roman"/>
                <w:b/>
                <w:bCs/>
                <w:szCs w:val="21"/>
              </w:rPr>
            </w:pPr>
            <w:r>
              <w:rPr>
                <w:rFonts w:hint="default" w:ascii="Times New Roman" w:hAnsi="Times New Roman" w:cs="Times New Roman"/>
                <w:b/>
                <w:bCs/>
                <w:szCs w:val="21"/>
              </w:rPr>
              <w:t>1大气污染物排放标准：</w:t>
            </w:r>
          </w:p>
          <w:p>
            <w:pPr>
              <w:pStyle w:val="38"/>
              <w:rPr>
                <w:rFonts w:hint="default" w:ascii="Times New Roman" w:hAnsi="Times New Roman" w:cs="Times New Roman"/>
              </w:rPr>
            </w:pPr>
            <w:r>
              <w:rPr>
                <w:rFonts w:hint="default" w:ascii="Times New Roman" w:hAnsi="Times New Roman" w:cs="Times New Roman"/>
              </w:rPr>
              <w:t>表3-6废气污染物排放标准</w:t>
            </w:r>
          </w:p>
          <w:tbl>
            <w:tblPr>
              <w:tblStyle w:val="26"/>
              <w:tblW w:w="82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43"/>
              <w:gridCol w:w="1243"/>
              <w:gridCol w:w="923"/>
              <w:gridCol w:w="39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废气种类</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污染物</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标准限值</w:t>
                  </w:r>
                </w:p>
              </w:tc>
              <w:tc>
                <w:tcPr>
                  <w:tcW w:w="92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排气筒</w:t>
                  </w:r>
                </w:p>
              </w:tc>
              <w:tc>
                <w:tcPr>
                  <w:tcW w:w="390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混合搅拌废气</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0mg/m</w:t>
                  </w:r>
                  <w:r>
                    <w:rPr>
                      <w:rFonts w:hint="default" w:ascii="Times New Roman" w:hAnsi="Times New Roman" w:cs="Times New Roman"/>
                      <w:vertAlign w:val="superscript"/>
                    </w:rPr>
                    <w:t>3</w:t>
                  </w:r>
                </w:p>
              </w:tc>
              <w:tc>
                <w:tcPr>
                  <w:tcW w:w="92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15m</w:t>
                  </w:r>
                </w:p>
              </w:tc>
              <w:tc>
                <w:tcPr>
                  <w:tcW w:w="390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《水泥工业大气污染物排放标准》（4915-2013）表2大气污染物特别排放限值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锅炉废气</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30mg/m</w:t>
                  </w:r>
                  <w:r>
                    <w:rPr>
                      <w:rFonts w:hint="default" w:ascii="Times New Roman" w:hAnsi="Times New Roman" w:cs="Times New Roman"/>
                      <w:vertAlign w:val="superscript"/>
                    </w:rPr>
                    <w:t>3</w:t>
                  </w:r>
                </w:p>
              </w:tc>
              <w:tc>
                <w:tcPr>
                  <w:tcW w:w="923" w:type="dxa"/>
                  <w:vMerge w:val="restart"/>
                  <w:tcBorders>
                    <w:tl2br w:val="nil"/>
                    <w:tr2bl w:val="nil"/>
                  </w:tcBorders>
                  <w:vAlign w:val="center"/>
                </w:tcPr>
                <w:p>
                  <w:pPr>
                    <w:pStyle w:val="87"/>
                    <w:rPr>
                      <w:rFonts w:hint="default" w:ascii="Times New Roman" w:hAnsi="Times New Roman" w:eastAsia="宋体" w:cs="Times New Roman"/>
                      <w:lang w:eastAsia="zh-CN"/>
                    </w:rPr>
                  </w:pPr>
                  <w:r>
                    <w:rPr>
                      <w:rFonts w:hint="default" w:ascii="Times New Roman" w:hAnsi="Times New Roman" w:cs="Times New Roman"/>
                      <w:lang w:eastAsia="zh-CN"/>
                    </w:rPr>
                    <w:t>15m</w:t>
                  </w:r>
                </w:p>
              </w:tc>
              <w:tc>
                <w:tcPr>
                  <w:tcW w:w="3907"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根据环境保护部函环函〔2015〕319号，关于醇基燃料锅炉执行标准有关问题的复函中建议醇基燃料的锅炉参考《锅炉大气污染物排放标准》（GB13271-2014）中表3燃油锅炉排放控制要求（项目位于巴州联防联控区内）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vMerge w:val="continue"/>
                  <w:tcBorders>
                    <w:tl2br w:val="nil"/>
                    <w:tr2bl w:val="nil"/>
                  </w:tcBorders>
                  <w:vAlign w:val="center"/>
                </w:tcPr>
                <w:p>
                  <w:pPr>
                    <w:pStyle w:val="87"/>
                    <w:rPr>
                      <w:rFonts w:hint="default" w:ascii="Times New Roman" w:hAnsi="Times New Roman" w:cs="Times New Roman"/>
                    </w:rPr>
                  </w:pP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100mg/m</w:t>
                  </w:r>
                  <w:r>
                    <w:rPr>
                      <w:rFonts w:hint="default" w:ascii="Times New Roman" w:hAnsi="Times New Roman" w:cs="Times New Roman"/>
                      <w:vertAlign w:val="superscript"/>
                    </w:rPr>
                    <w:t>3</w:t>
                  </w:r>
                </w:p>
              </w:tc>
              <w:tc>
                <w:tcPr>
                  <w:tcW w:w="923" w:type="dxa"/>
                  <w:vMerge w:val="continue"/>
                  <w:tcBorders>
                    <w:tl2br w:val="nil"/>
                    <w:tr2bl w:val="nil"/>
                  </w:tcBorders>
                  <w:vAlign w:val="center"/>
                </w:tcPr>
                <w:p>
                  <w:pPr>
                    <w:pStyle w:val="87"/>
                    <w:rPr>
                      <w:rFonts w:hint="default" w:ascii="Times New Roman" w:hAnsi="Times New Roman" w:cs="Times New Roman"/>
                    </w:rPr>
                  </w:pPr>
                </w:p>
              </w:tc>
              <w:tc>
                <w:tcPr>
                  <w:tcW w:w="3907" w:type="dxa"/>
                  <w:vMerge w:val="continue"/>
                  <w:tcBorders>
                    <w:tl2br w:val="nil"/>
                    <w:tr2bl w:val="nil"/>
                  </w:tcBorders>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vMerge w:val="continue"/>
                  <w:tcBorders>
                    <w:tl2br w:val="nil"/>
                    <w:tr2bl w:val="nil"/>
                  </w:tcBorders>
                  <w:vAlign w:val="center"/>
                </w:tcPr>
                <w:p>
                  <w:pPr>
                    <w:pStyle w:val="87"/>
                    <w:rPr>
                      <w:rFonts w:hint="default" w:ascii="Times New Roman" w:hAnsi="Times New Roman" w:cs="Times New Roman"/>
                    </w:rPr>
                  </w:pP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200mg/m</w:t>
                  </w:r>
                  <w:r>
                    <w:rPr>
                      <w:rFonts w:hint="default" w:ascii="Times New Roman" w:hAnsi="Times New Roman" w:cs="Times New Roman"/>
                      <w:vertAlign w:val="superscript"/>
                    </w:rPr>
                    <w:t>3</w:t>
                  </w:r>
                </w:p>
              </w:tc>
              <w:tc>
                <w:tcPr>
                  <w:tcW w:w="923" w:type="dxa"/>
                  <w:vMerge w:val="continue"/>
                  <w:tcBorders>
                    <w:tl2br w:val="nil"/>
                    <w:tr2bl w:val="nil"/>
                  </w:tcBorders>
                  <w:vAlign w:val="center"/>
                </w:tcPr>
                <w:p>
                  <w:pPr>
                    <w:pStyle w:val="87"/>
                    <w:rPr>
                      <w:rFonts w:hint="default" w:ascii="Times New Roman" w:hAnsi="Times New Roman" w:cs="Times New Roman"/>
                    </w:rPr>
                  </w:pPr>
                </w:p>
              </w:tc>
              <w:tc>
                <w:tcPr>
                  <w:tcW w:w="3907" w:type="dxa"/>
                  <w:vMerge w:val="continue"/>
                  <w:tcBorders>
                    <w:tl2br w:val="nil"/>
                    <w:tr2bl w:val="nil"/>
                  </w:tcBorders>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vMerge w:val="continue"/>
                  <w:tcBorders>
                    <w:tl2br w:val="nil"/>
                    <w:tr2bl w:val="nil"/>
                  </w:tcBorders>
                  <w:vAlign w:val="center"/>
                </w:tcPr>
                <w:p>
                  <w:pPr>
                    <w:pStyle w:val="87"/>
                    <w:rPr>
                      <w:rFonts w:hint="default" w:ascii="Times New Roman" w:hAnsi="Times New Roman" w:cs="Times New Roman"/>
                    </w:rPr>
                  </w:pP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烟气黑度</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1级</w:t>
                  </w:r>
                </w:p>
              </w:tc>
              <w:tc>
                <w:tcPr>
                  <w:tcW w:w="923" w:type="dxa"/>
                  <w:vMerge w:val="continue"/>
                  <w:tcBorders>
                    <w:tl2br w:val="nil"/>
                    <w:tr2bl w:val="nil"/>
                  </w:tcBorders>
                  <w:vAlign w:val="center"/>
                </w:tcPr>
                <w:p>
                  <w:pPr>
                    <w:pStyle w:val="87"/>
                    <w:rPr>
                      <w:rFonts w:hint="default" w:ascii="Times New Roman" w:hAnsi="Times New Roman" w:cs="Times New Roman"/>
                    </w:rPr>
                  </w:pPr>
                </w:p>
              </w:tc>
              <w:tc>
                <w:tcPr>
                  <w:tcW w:w="3907" w:type="dxa"/>
                  <w:vMerge w:val="continue"/>
                  <w:tcBorders>
                    <w:tl2br w:val="nil"/>
                    <w:tr2bl w:val="nil"/>
                  </w:tcBorders>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食堂油烟</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油烟</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2.0mg/m</w:t>
                  </w:r>
                  <w:r>
                    <w:rPr>
                      <w:rFonts w:hint="default" w:ascii="Times New Roman" w:hAnsi="Times New Roman" w:cs="Times New Roman"/>
                      <w:vertAlign w:val="superscript"/>
                    </w:rPr>
                    <w:t>3</w:t>
                  </w:r>
                </w:p>
              </w:tc>
              <w:tc>
                <w:tcPr>
                  <w:tcW w:w="92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12m</w:t>
                  </w:r>
                </w:p>
              </w:tc>
              <w:tc>
                <w:tcPr>
                  <w:tcW w:w="390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《饮食油烟排放标准》（试行）（GB18483-2001）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厂界无组织废气</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4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0.5mg/m</w:t>
                  </w:r>
                  <w:r>
                    <w:rPr>
                      <w:rFonts w:hint="default" w:ascii="Times New Roman" w:hAnsi="Times New Roman" w:cs="Times New Roman"/>
                      <w:vertAlign w:val="superscript"/>
                    </w:rPr>
                    <w:t>3</w:t>
                  </w:r>
                </w:p>
              </w:tc>
              <w:tc>
                <w:tcPr>
                  <w:tcW w:w="923"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w:t>
                  </w:r>
                </w:p>
              </w:tc>
              <w:tc>
                <w:tcPr>
                  <w:tcW w:w="390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《水泥工业大气污染物排放标准》（4915-2013）表3无组织排放标准要求</w:t>
                  </w:r>
                </w:p>
              </w:tc>
            </w:tr>
          </w:tbl>
          <w:p>
            <w:pPr>
              <w:adjustRightInd w:val="0"/>
              <w:snapToGrid w:val="0"/>
              <w:rPr>
                <w:rFonts w:hint="default" w:ascii="Times New Roman" w:hAnsi="Times New Roman" w:cs="Times New Roman"/>
                <w:b/>
                <w:bCs/>
                <w:kern w:val="0"/>
                <w:szCs w:val="21"/>
              </w:rPr>
            </w:pPr>
            <w:r>
              <w:rPr>
                <w:rFonts w:hint="default" w:ascii="Times New Roman" w:hAnsi="Times New Roman" w:cs="Times New Roman"/>
                <w:b/>
                <w:bCs/>
                <w:kern w:val="0"/>
                <w:szCs w:val="21"/>
              </w:rPr>
              <w:t>2水污染物排放标准：</w:t>
            </w:r>
          </w:p>
          <w:p>
            <w:pPr>
              <w:bidi w:val="0"/>
              <w:ind w:firstLine="480" w:firstLineChars="200"/>
              <w:rPr>
                <w:rFonts w:hint="default" w:ascii="Times New Roman" w:hAnsi="Times New Roman" w:cs="Times New Roman"/>
                <w:lang w:val="en-US" w:eastAsia="zh-CN"/>
              </w:rPr>
            </w:pPr>
            <w:r>
              <w:rPr>
                <w:rFonts w:hint="default" w:ascii="Times New Roman" w:hAnsi="Times New Roman" w:cs="Times New Roman"/>
                <w:lang w:val="en-US" w:eastAsia="zh-CN"/>
              </w:rPr>
              <w:t>生活污水执行《污水综合排放标准》（GB8978-1996）中的三级标准，具体标准值见下表3-7。</w:t>
            </w:r>
          </w:p>
          <w:p>
            <w:pPr>
              <w:pStyle w:val="38"/>
              <w:rPr>
                <w:rFonts w:hint="default" w:ascii="Times New Roman" w:hAnsi="Times New Roman" w:cs="Times New Roman"/>
              </w:rPr>
            </w:pPr>
            <w:r>
              <w:rPr>
                <w:rFonts w:hint="default" w:ascii="Times New Roman" w:hAnsi="Times New Roman" w:cs="Times New Roman"/>
              </w:rPr>
              <w:t>表3-7污水排放标准</w:t>
            </w:r>
            <w:r>
              <w:rPr>
                <w:rFonts w:hint="default" w:ascii="Times New Roman" w:hAnsi="Times New Roman" w:cs="Times New Roman"/>
                <w:lang w:val="en-US" w:eastAsia="zh-CN"/>
              </w:rPr>
              <w:t xml:space="preserve">  </w:t>
            </w:r>
          </w:p>
          <w:tbl>
            <w:tblPr>
              <w:tblStyle w:val="26"/>
              <w:tblW w:w="821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569"/>
              <w:gridCol w:w="1679"/>
              <w:gridCol w:w="36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废水类型</w:t>
                  </w:r>
                </w:p>
              </w:tc>
              <w:tc>
                <w:tcPr>
                  <w:tcW w:w="156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污染物</w:t>
                  </w:r>
                </w:p>
              </w:tc>
              <w:tc>
                <w:tcPr>
                  <w:tcW w:w="16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标准值</w:t>
                  </w:r>
                </w:p>
              </w:tc>
              <w:tc>
                <w:tcPr>
                  <w:tcW w:w="3620"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生活污水</w:t>
                  </w:r>
                </w:p>
              </w:tc>
              <w:tc>
                <w:tcPr>
                  <w:tcW w:w="156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pH</w:t>
                  </w:r>
                </w:p>
              </w:tc>
              <w:tc>
                <w:tcPr>
                  <w:tcW w:w="16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6-9无量纲</w:t>
                  </w:r>
                </w:p>
              </w:tc>
              <w:tc>
                <w:tcPr>
                  <w:tcW w:w="3620"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《污水综合排放标准》</w:t>
                  </w:r>
                </w:p>
                <w:p>
                  <w:pPr>
                    <w:pStyle w:val="87"/>
                    <w:rPr>
                      <w:rFonts w:hint="default" w:ascii="Times New Roman" w:hAnsi="Times New Roman" w:cs="Times New Roman"/>
                    </w:rPr>
                  </w:pPr>
                  <w:r>
                    <w:rPr>
                      <w:rFonts w:hint="default" w:ascii="Times New Roman" w:hAnsi="Times New Roman" w:cs="Times New Roman"/>
                    </w:rPr>
                    <w:t>（GB8978-1996）中的三级标准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vMerge w:val="continue"/>
                  <w:tcBorders>
                    <w:tl2br w:val="nil"/>
                    <w:tr2bl w:val="nil"/>
                  </w:tcBorders>
                  <w:vAlign w:val="center"/>
                </w:tcPr>
                <w:p>
                  <w:pPr>
                    <w:pStyle w:val="87"/>
                    <w:rPr>
                      <w:rFonts w:hint="default" w:ascii="Times New Roman" w:hAnsi="Times New Roman" w:cs="Times New Roman"/>
                    </w:rPr>
                  </w:pPr>
                </w:p>
              </w:tc>
              <w:tc>
                <w:tcPr>
                  <w:tcW w:w="156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SS</w:t>
                  </w:r>
                </w:p>
              </w:tc>
              <w:tc>
                <w:tcPr>
                  <w:tcW w:w="16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400mg/L</w:t>
                  </w:r>
                </w:p>
              </w:tc>
              <w:tc>
                <w:tcPr>
                  <w:tcW w:w="3620" w:type="dxa"/>
                  <w:vMerge w:val="continue"/>
                  <w:tcBorders>
                    <w:tl2br w:val="nil"/>
                    <w:tr2bl w:val="nil"/>
                  </w:tcBorders>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vMerge w:val="continue"/>
                  <w:tcBorders>
                    <w:tl2br w:val="nil"/>
                    <w:tr2bl w:val="nil"/>
                  </w:tcBorders>
                  <w:vAlign w:val="center"/>
                </w:tcPr>
                <w:p>
                  <w:pPr>
                    <w:pStyle w:val="87"/>
                    <w:rPr>
                      <w:rFonts w:hint="default" w:ascii="Times New Roman" w:hAnsi="Times New Roman" w:cs="Times New Roman"/>
                    </w:rPr>
                  </w:pPr>
                </w:p>
              </w:tc>
              <w:tc>
                <w:tcPr>
                  <w:tcW w:w="156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BOD</w:t>
                  </w:r>
                  <w:r>
                    <w:rPr>
                      <w:rFonts w:hint="default" w:ascii="Times New Roman" w:hAnsi="Times New Roman" w:cs="Times New Roman"/>
                      <w:vertAlign w:val="subscript"/>
                    </w:rPr>
                    <w:t>5</w:t>
                  </w:r>
                </w:p>
              </w:tc>
              <w:tc>
                <w:tcPr>
                  <w:tcW w:w="16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300mg/L</w:t>
                  </w:r>
                </w:p>
              </w:tc>
              <w:tc>
                <w:tcPr>
                  <w:tcW w:w="3620" w:type="dxa"/>
                  <w:vMerge w:val="continue"/>
                  <w:tcBorders>
                    <w:tl2br w:val="nil"/>
                    <w:tr2bl w:val="nil"/>
                  </w:tcBorders>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vMerge w:val="continue"/>
                  <w:tcBorders>
                    <w:tl2br w:val="nil"/>
                    <w:tr2bl w:val="nil"/>
                  </w:tcBorders>
                  <w:vAlign w:val="center"/>
                </w:tcPr>
                <w:p>
                  <w:pPr>
                    <w:pStyle w:val="87"/>
                    <w:rPr>
                      <w:rFonts w:hint="default" w:ascii="Times New Roman" w:hAnsi="Times New Roman" w:cs="Times New Roman"/>
                    </w:rPr>
                  </w:pPr>
                </w:p>
              </w:tc>
              <w:tc>
                <w:tcPr>
                  <w:tcW w:w="156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CODcr</w:t>
                  </w:r>
                </w:p>
              </w:tc>
              <w:tc>
                <w:tcPr>
                  <w:tcW w:w="16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500mg/L</w:t>
                  </w:r>
                </w:p>
              </w:tc>
              <w:tc>
                <w:tcPr>
                  <w:tcW w:w="3620" w:type="dxa"/>
                  <w:vMerge w:val="continue"/>
                  <w:tcBorders>
                    <w:tl2br w:val="nil"/>
                    <w:tr2bl w:val="nil"/>
                  </w:tcBorders>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vMerge w:val="continue"/>
                  <w:tcBorders>
                    <w:tl2br w:val="nil"/>
                    <w:tr2bl w:val="nil"/>
                  </w:tcBorders>
                  <w:vAlign w:val="center"/>
                </w:tcPr>
                <w:p>
                  <w:pPr>
                    <w:pStyle w:val="87"/>
                    <w:rPr>
                      <w:rFonts w:hint="default" w:ascii="Times New Roman" w:hAnsi="Times New Roman" w:cs="Times New Roman"/>
                    </w:rPr>
                  </w:pPr>
                </w:p>
              </w:tc>
              <w:tc>
                <w:tcPr>
                  <w:tcW w:w="156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氨氮</w:t>
                  </w:r>
                </w:p>
              </w:tc>
              <w:tc>
                <w:tcPr>
                  <w:tcW w:w="16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/mg/L</w:t>
                  </w:r>
                </w:p>
              </w:tc>
              <w:tc>
                <w:tcPr>
                  <w:tcW w:w="3620" w:type="dxa"/>
                  <w:vMerge w:val="continue"/>
                  <w:tcBorders>
                    <w:tl2br w:val="nil"/>
                    <w:tr2bl w:val="nil"/>
                  </w:tcBorders>
                  <w:vAlign w:val="center"/>
                </w:tcPr>
                <w:p>
                  <w:pPr>
                    <w:pStyle w:val="87"/>
                    <w:rPr>
                      <w:rFonts w:hint="default" w:ascii="Times New Roman" w:hAnsi="Times New Roman" w:cs="Times New Roman"/>
                    </w:rPr>
                  </w:pPr>
                </w:p>
              </w:tc>
            </w:tr>
          </w:tbl>
          <w:p>
            <w:pPr>
              <w:autoSpaceDE w:val="0"/>
              <w:autoSpaceDN w:val="0"/>
              <w:adjustRightInd w:val="0"/>
              <w:snapToGrid w:val="0"/>
              <w:jc w:val="left"/>
              <w:rPr>
                <w:rFonts w:hint="default" w:ascii="Times New Roman" w:hAnsi="Times New Roman" w:cs="Times New Roman"/>
                <w:b/>
                <w:bCs/>
                <w:kern w:val="0"/>
                <w:szCs w:val="21"/>
              </w:rPr>
            </w:pPr>
            <w:r>
              <w:rPr>
                <w:rFonts w:hint="default" w:ascii="Times New Roman" w:hAnsi="Times New Roman" w:cs="Times New Roman"/>
                <w:b/>
                <w:bCs/>
                <w:kern w:val="0"/>
                <w:szCs w:val="21"/>
              </w:rPr>
              <w:t>3噪声排放标准:</w:t>
            </w:r>
          </w:p>
          <w:p>
            <w:pPr>
              <w:tabs>
                <w:tab w:val="left" w:pos="5252"/>
              </w:tabs>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施工期：厂界噪声执行《建筑施工场界环境噪声排放标准》（GB12523-2011）环境噪声限值排放标准，具体标准值见下表。</w:t>
            </w:r>
          </w:p>
          <w:p>
            <w:pPr>
              <w:tabs>
                <w:tab w:val="left" w:pos="5252"/>
              </w:tabs>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运营期：厂界四周噪声排放执行《工业企业厂界环境噪声排放标准》（GB12348-2008）中3类标准，具体标准值见下表。</w:t>
            </w:r>
          </w:p>
          <w:p>
            <w:pPr>
              <w:pStyle w:val="38"/>
              <w:rPr>
                <w:rFonts w:hint="default" w:ascii="Times New Roman" w:hAnsi="Times New Roman" w:cs="Times New Roman"/>
              </w:rPr>
            </w:pPr>
            <w:r>
              <w:rPr>
                <w:rFonts w:hint="default" w:ascii="Times New Roman" w:hAnsi="Times New Roman" w:cs="Times New Roman"/>
              </w:rPr>
              <w:t>表3-8工业企业厂界噪声排放标准值一览表</w:t>
            </w:r>
            <w:r>
              <w:rPr>
                <w:rFonts w:hint="default" w:ascii="Times New Roman" w:hAnsi="Times New Roman" w:cs="Times New Roman"/>
                <w:lang w:val="en-US" w:eastAsia="zh-CN"/>
              </w:rPr>
              <w:t xml:space="preserve">   </w:t>
            </w:r>
            <w:r>
              <w:rPr>
                <w:rFonts w:hint="default" w:ascii="Times New Roman" w:hAnsi="Times New Roman" w:cs="Times New Roman"/>
              </w:rPr>
              <w:t>单位：dB（A）</w:t>
            </w:r>
          </w:p>
          <w:tbl>
            <w:tblPr>
              <w:tblStyle w:val="26"/>
              <w:tblW w:w="805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47"/>
              <w:gridCol w:w="702"/>
              <w:gridCol w:w="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47" w:type="dxa"/>
                  <w:vAlign w:val="center"/>
                </w:tcPr>
                <w:p>
                  <w:pPr>
                    <w:pStyle w:val="87"/>
                    <w:rPr>
                      <w:rFonts w:hint="default" w:ascii="Times New Roman" w:hAnsi="Times New Roman" w:cs="Times New Roman"/>
                    </w:rPr>
                  </w:pPr>
                  <w:r>
                    <w:rPr>
                      <w:rFonts w:hint="default" w:ascii="Times New Roman" w:hAnsi="Times New Roman" w:cs="Times New Roman"/>
                    </w:rPr>
                    <w:t>类别</w:t>
                  </w:r>
                </w:p>
              </w:tc>
              <w:tc>
                <w:tcPr>
                  <w:tcW w:w="702" w:type="dxa"/>
                  <w:vAlign w:val="center"/>
                </w:tcPr>
                <w:p>
                  <w:pPr>
                    <w:pStyle w:val="87"/>
                    <w:rPr>
                      <w:rFonts w:hint="default" w:ascii="Times New Roman" w:hAnsi="Times New Roman" w:cs="Times New Roman"/>
                    </w:rPr>
                  </w:pPr>
                  <w:r>
                    <w:rPr>
                      <w:rFonts w:hint="default" w:ascii="Times New Roman" w:hAnsi="Times New Roman" w:cs="Times New Roman"/>
                    </w:rPr>
                    <w:t>昼间</w:t>
                  </w:r>
                </w:p>
              </w:tc>
              <w:tc>
                <w:tcPr>
                  <w:tcW w:w="702" w:type="dxa"/>
                  <w:vAlign w:val="center"/>
                </w:tcPr>
                <w:p>
                  <w:pPr>
                    <w:pStyle w:val="87"/>
                    <w:rPr>
                      <w:rFonts w:hint="default" w:ascii="Times New Roman" w:hAnsi="Times New Roman" w:cs="Times New Roman"/>
                    </w:rPr>
                  </w:pPr>
                  <w:r>
                    <w:rPr>
                      <w:rFonts w:hint="default" w:ascii="Times New Roman" w:hAnsi="Times New Roman" w:cs="Times New Roma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47" w:type="dxa"/>
                  <w:vAlign w:val="center"/>
                </w:tcPr>
                <w:p>
                  <w:pPr>
                    <w:pStyle w:val="87"/>
                    <w:rPr>
                      <w:rFonts w:hint="default" w:ascii="Times New Roman" w:hAnsi="Times New Roman" w:cs="Times New Roman"/>
                    </w:rPr>
                  </w:pPr>
                  <w:r>
                    <w:rPr>
                      <w:rFonts w:hint="default" w:ascii="Times New Roman" w:hAnsi="Times New Roman" w:cs="Times New Roman"/>
                    </w:rPr>
                    <w:t>《建筑施工场界环境噪声排放标准》（GB12523-2011）</w:t>
                  </w:r>
                </w:p>
              </w:tc>
              <w:tc>
                <w:tcPr>
                  <w:tcW w:w="702" w:type="dxa"/>
                  <w:vAlign w:val="center"/>
                </w:tcPr>
                <w:p>
                  <w:pPr>
                    <w:pStyle w:val="87"/>
                    <w:rPr>
                      <w:rFonts w:hint="default" w:ascii="Times New Roman" w:hAnsi="Times New Roman" w:cs="Times New Roman"/>
                    </w:rPr>
                  </w:pPr>
                  <w:r>
                    <w:rPr>
                      <w:rFonts w:hint="default" w:ascii="Times New Roman" w:hAnsi="Times New Roman" w:cs="Times New Roman"/>
                    </w:rPr>
                    <w:t>70</w:t>
                  </w:r>
                </w:p>
              </w:tc>
              <w:tc>
                <w:tcPr>
                  <w:tcW w:w="702" w:type="dxa"/>
                  <w:vAlign w:val="center"/>
                </w:tcPr>
                <w:p>
                  <w:pPr>
                    <w:pStyle w:val="87"/>
                    <w:rPr>
                      <w:rFonts w:hint="default" w:ascii="Times New Roman" w:hAnsi="Times New Roman" w:cs="Times New Roman"/>
                    </w:rPr>
                  </w:pPr>
                  <w:r>
                    <w:rPr>
                      <w:rFonts w:hint="default" w:ascii="Times New Roman" w:hAnsi="Times New Roman" w:cs="Times New Roma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47" w:type="dxa"/>
                  <w:vAlign w:val="center"/>
                </w:tcPr>
                <w:p>
                  <w:pPr>
                    <w:pStyle w:val="87"/>
                    <w:rPr>
                      <w:rFonts w:hint="default" w:ascii="Times New Roman" w:hAnsi="Times New Roman" w:cs="Times New Roman"/>
                    </w:rPr>
                  </w:pPr>
                  <w:r>
                    <w:rPr>
                      <w:rFonts w:hint="default" w:ascii="Times New Roman" w:hAnsi="Times New Roman" w:cs="Times New Roman"/>
                    </w:rPr>
                    <w:t>《工业企业厂界环境噪声排放标准》（GB12348-2008）中3类标准</w:t>
                  </w:r>
                </w:p>
              </w:tc>
              <w:tc>
                <w:tcPr>
                  <w:tcW w:w="702" w:type="dxa"/>
                  <w:vAlign w:val="center"/>
                </w:tcPr>
                <w:p>
                  <w:pPr>
                    <w:pStyle w:val="87"/>
                    <w:rPr>
                      <w:rFonts w:hint="default" w:ascii="Times New Roman" w:hAnsi="Times New Roman" w:cs="Times New Roman"/>
                    </w:rPr>
                  </w:pPr>
                  <w:r>
                    <w:rPr>
                      <w:rFonts w:hint="default" w:ascii="Times New Roman" w:hAnsi="Times New Roman" w:cs="Times New Roman"/>
                    </w:rPr>
                    <w:t>65</w:t>
                  </w:r>
                </w:p>
              </w:tc>
              <w:tc>
                <w:tcPr>
                  <w:tcW w:w="702" w:type="dxa"/>
                  <w:vAlign w:val="center"/>
                </w:tcPr>
                <w:p>
                  <w:pPr>
                    <w:pStyle w:val="87"/>
                    <w:rPr>
                      <w:rFonts w:hint="default" w:ascii="Times New Roman" w:hAnsi="Times New Roman" w:cs="Times New Roman"/>
                    </w:rPr>
                  </w:pPr>
                  <w:r>
                    <w:rPr>
                      <w:rFonts w:hint="default" w:ascii="Times New Roman" w:hAnsi="Times New Roman" w:cs="Times New Roman"/>
                    </w:rPr>
                    <w:t>55</w:t>
                  </w:r>
                </w:p>
              </w:tc>
            </w:tr>
          </w:tbl>
          <w:p>
            <w:pPr>
              <w:autoSpaceDE w:val="0"/>
              <w:autoSpaceDN w:val="0"/>
              <w:adjustRightInd w:val="0"/>
              <w:snapToGrid w:val="0"/>
              <w:jc w:val="left"/>
              <w:rPr>
                <w:rFonts w:hint="default" w:ascii="Times New Roman" w:hAnsi="Times New Roman" w:cs="Times New Roman"/>
                <w:b/>
                <w:bCs/>
                <w:kern w:val="0"/>
                <w:szCs w:val="21"/>
              </w:rPr>
            </w:pPr>
            <w:r>
              <w:rPr>
                <w:rFonts w:hint="default" w:ascii="Times New Roman" w:hAnsi="Times New Roman" w:cs="Times New Roman"/>
                <w:b/>
                <w:bCs/>
                <w:kern w:val="0"/>
                <w:szCs w:val="21"/>
              </w:rPr>
              <w:t>4固废污染物控制标准：</w:t>
            </w:r>
          </w:p>
          <w:p>
            <w:pPr>
              <w:tabs>
                <w:tab w:val="left" w:pos="5252"/>
              </w:tabs>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本项目一般工业固体废物处理和处置执行《一般工业固体废物贮存和填埋污染控制标准》</w:t>
            </w:r>
            <w:r>
              <w:rPr>
                <w:rFonts w:hint="default" w:ascii="Times New Roman" w:hAnsi="Times New Roman" w:cs="Times New Roman"/>
                <w:szCs w:val="21"/>
                <w:lang w:eastAsia="zh-CN"/>
              </w:rPr>
              <w:t>（</w:t>
            </w:r>
            <w:r>
              <w:rPr>
                <w:rFonts w:hint="default" w:ascii="Times New Roman" w:hAnsi="Times New Roman" w:cs="Times New Roman"/>
                <w:szCs w:val="21"/>
              </w:rPr>
              <w:t>GB18599-2020</w:t>
            </w:r>
            <w:r>
              <w:rPr>
                <w:rFonts w:hint="default" w:ascii="Times New Roman" w:hAnsi="Times New Roman" w:cs="Times New Roman"/>
                <w:szCs w:val="21"/>
                <w:lang w:eastAsia="zh-CN"/>
              </w:rPr>
              <w:t>）</w:t>
            </w:r>
            <w:r>
              <w:rPr>
                <w:rFonts w:hint="default" w:ascii="Times New Roman" w:hAnsi="Times New Roman" w:cs="Times New Roman"/>
                <w:szCs w:val="21"/>
              </w:rPr>
              <w:t>；危险废物执行《危险废物贮存污染控制标准》（GB18597-2023）中相关规定要求。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32" w:type="dxa"/>
            <w:vAlign w:val="center"/>
          </w:tcPr>
          <w:p>
            <w:pPr>
              <w:adjustRightInd w:val="0"/>
              <w:snapToGrid w:val="0"/>
              <w:ind w:right="-240" w:rightChars="-100"/>
              <w:jc w:val="left"/>
              <w:rPr>
                <w:rFonts w:hint="default" w:ascii="Times New Roman" w:hAnsi="Times New Roman" w:cs="Times New Roman"/>
                <w:kern w:val="0"/>
                <w:szCs w:val="21"/>
                <w:highlight w:val="yellow"/>
              </w:rPr>
            </w:pPr>
            <w:r>
              <w:rPr>
                <w:rFonts w:hint="default" w:ascii="Times New Roman" w:hAnsi="Times New Roman" w:cs="Times New Roman"/>
                <w:b/>
                <w:bCs/>
                <w:kern w:val="0"/>
                <w:szCs w:val="21"/>
              </w:rPr>
              <w:t>总量控制指标</w:t>
            </w:r>
          </w:p>
        </w:tc>
        <w:tc>
          <w:tcPr>
            <w:tcW w:w="8429" w:type="dxa"/>
            <w:vAlign w:val="center"/>
          </w:tcPr>
          <w:p>
            <w:pPr>
              <w:ind w:firstLine="480" w:firstLineChars="200"/>
              <w:jc w:val="left"/>
              <w:rPr>
                <w:rFonts w:hint="default" w:ascii="Times New Roman" w:hAnsi="Times New Roman" w:cs="Times New Roman"/>
                <w:szCs w:val="21"/>
              </w:rPr>
            </w:pPr>
            <w:r>
              <w:rPr>
                <w:rFonts w:hint="default" w:ascii="Times New Roman" w:hAnsi="Times New Roman" w:cs="Times New Roman"/>
                <w:szCs w:val="21"/>
              </w:rPr>
              <w:t>根据国家实施的污染物排放总量控制要求以及本项目污染物排放的特点，本评价确定项目污染物排放控制因子：氮氧化物。</w:t>
            </w:r>
          </w:p>
          <w:p>
            <w:pPr>
              <w:ind w:firstLine="48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总量控制指标：氮氧化物0.28t/a。</w:t>
            </w:r>
          </w:p>
          <w:p>
            <w:pPr>
              <w:pStyle w:val="2"/>
              <w:numPr>
                <w:ilvl w:val="1"/>
                <w:numId w:val="0"/>
              </w:numPr>
              <w:ind w:leftChars="0"/>
              <w:rPr>
                <w:rFonts w:hint="default"/>
              </w:rPr>
            </w:pPr>
          </w:p>
          <w:p>
            <w:pPr>
              <w:rPr>
                <w:rFonts w:hint="default" w:ascii="Times New Roman" w:hAnsi="Times New Roman" w:cs="Times New Roman"/>
                <w:color w:val="000000" w:themeColor="text1"/>
                <w:szCs w:val="21"/>
                <w14:textFill>
                  <w14:solidFill>
                    <w14:schemeClr w14:val="tx1"/>
                  </w14:solidFill>
                </w14:textFill>
              </w:rPr>
            </w:pPr>
          </w:p>
          <w:p>
            <w:pPr>
              <w:pStyle w:val="2"/>
              <w:numPr>
                <w:ilvl w:val="1"/>
                <w:numId w:val="0"/>
              </w:numPr>
              <w:ind w:leftChars="0"/>
              <w:rPr>
                <w:rFonts w:hint="default"/>
              </w:rPr>
            </w:pPr>
          </w:p>
          <w:p>
            <w:pPr>
              <w:pStyle w:val="2"/>
              <w:numPr>
                <w:ilvl w:val="1"/>
                <w:numId w:val="0"/>
              </w:numPr>
              <w:ind w:leftChars="0"/>
              <w:rPr>
                <w:rFonts w:hint="default"/>
              </w:rPr>
            </w:pPr>
          </w:p>
          <w:p>
            <w:pPr>
              <w:rPr>
                <w:rFonts w:hint="default" w:ascii="Times New Roman" w:hAnsi="Times New Roman" w:cs="Times New Roman"/>
                <w:color w:val="000000" w:themeColor="text1"/>
                <w:szCs w:val="21"/>
                <w14:textFill>
                  <w14:solidFill>
                    <w14:schemeClr w14:val="tx1"/>
                  </w14:solidFill>
                </w14:textFill>
              </w:rPr>
            </w:pPr>
          </w:p>
          <w:p>
            <w:pPr>
              <w:pStyle w:val="2"/>
              <w:numPr>
                <w:ilvl w:val="1"/>
                <w:numId w:val="0"/>
              </w:numPr>
              <w:ind w:leftChars="0"/>
              <w:rPr>
                <w:rFonts w:hint="default"/>
              </w:rPr>
            </w:pPr>
          </w:p>
          <w:p>
            <w:pPr>
              <w:rPr>
                <w:rFonts w:hint="default" w:ascii="Times New Roman" w:hAnsi="Times New Roman" w:cs="Times New Roman"/>
                <w:color w:val="000000" w:themeColor="text1"/>
                <w:szCs w:val="21"/>
                <w14:textFill>
                  <w14:solidFill>
                    <w14:schemeClr w14:val="tx1"/>
                  </w14:solidFill>
                </w14:textFill>
              </w:rPr>
            </w:pPr>
          </w:p>
          <w:p>
            <w:pPr>
              <w:pStyle w:val="2"/>
              <w:numPr>
                <w:ilvl w:val="1"/>
                <w:numId w:val="0"/>
              </w:numPr>
              <w:ind w:leftChars="0"/>
              <w:rPr>
                <w:rFonts w:hint="default"/>
              </w:rPr>
            </w:pPr>
          </w:p>
          <w:p>
            <w:pPr>
              <w:rPr>
                <w:rFonts w:hint="default" w:ascii="Times New Roman" w:hAnsi="Times New Roman" w:cs="Times New Roman"/>
                <w:color w:val="000000" w:themeColor="text1"/>
                <w:szCs w:val="21"/>
                <w14:textFill>
                  <w14:solidFill>
                    <w14:schemeClr w14:val="tx1"/>
                  </w14:solidFill>
                </w14:textFill>
              </w:rPr>
            </w:pPr>
          </w:p>
          <w:p>
            <w:pPr>
              <w:pStyle w:val="2"/>
              <w:numPr>
                <w:ilvl w:val="1"/>
                <w:numId w:val="0"/>
              </w:numPr>
              <w:ind w:leftChars="0"/>
              <w:rPr>
                <w:rFonts w:hint="default"/>
              </w:rPr>
            </w:pPr>
          </w:p>
          <w:p>
            <w:pPr>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numPr>
                <w:ilvl w:val="1"/>
                <w:numId w:val="0"/>
              </w:numPr>
              <w:ind w:leftChars="0"/>
              <w:rPr>
                <w:rFonts w:hint="default"/>
              </w:rPr>
            </w:pPr>
          </w:p>
        </w:tc>
      </w:tr>
    </w:tbl>
    <w:p>
      <w:pPr>
        <w:pStyle w:val="21"/>
        <w:adjustRightInd w:val="0"/>
        <w:snapToGrid w:val="0"/>
        <w:spacing w:before="0" w:beforeAutospacing="0" w:after="0" w:afterAutospacing="0"/>
        <w:jc w:val="center"/>
        <w:outlineLvl w:val="0"/>
        <w:rPr>
          <w:rFonts w:ascii="Times New Roman" w:eastAsia="黑体"/>
          <w:snapToGrid w:val="0"/>
          <w:sz w:val="30"/>
          <w:szCs w:val="30"/>
          <w:highlight w:val="yellow"/>
        </w:rPr>
      </w:pPr>
      <w:r>
        <w:rPr>
          <w:rFonts w:ascii="Times New Roman" w:eastAsia="黑体"/>
          <w:snapToGrid w:val="0"/>
          <w:sz w:val="36"/>
          <w:szCs w:val="36"/>
          <w:highlight w:val="yellow"/>
        </w:rPr>
        <w:br w:type="page"/>
      </w:r>
      <w:r>
        <w:rPr>
          <w:rFonts w:ascii="Times New Roman" w:eastAsia="黑体"/>
          <w:snapToGrid w:val="0"/>
          <w:sz w:val="30"/>
          <w:szCs w:val="30"/>
        </w:rPr>
        <w:t>四、主要环境影响和保护措施</w:t>
      </w:r>
    </w:p>
    <w:tbl>
      <w:tblPr>
        <w:tblStyle w:val="26"/>
        <w:tblW w:w="9868" w:type="dxa"/>
        <w:jc w:val="center"/>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178"/>
      </w:tblGrid>
      <w:tr>
        <w:tblPrEx>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Mar>
              <w:left w:w="28" w:type="dxa"/>
              <w:right w:w="28" w:type="dxa"/>
            </w:tcMar>
            <w:vAlign w:val="center"/>
          </w:tcPr>
          <w:p>
            <w:pPr>
              <w:pStyle w:val="21"/>
              <w:adjustRightInd w:val="0"/>
              <w:snapToGrid w:val="0"/>
              <w:spacing w:before="0" w:beforeAutospacing="0" w:after="0" w:afterAutospacing="0"/>
              <w:rPr>
                <w:rFonts w:hint="default" w:ascii="Times New Roman" w:hAnsi="Times New Roman" w:cs="Times New Roman"/>
                <w:bCs/>
                <w:kern w:val="2"/>
                <w:sz w:val="21"/>
                <w:szCs w:val="21"/>
                <w:highlight w:val="yellow"/>
              </w:rPr>
            </w:pPr>
            <w:r>
              <w:rPr>
                <w:rFonts w:hint="default" w:ascii="Times New Roman" w:hAnsi="Times New Roman" w:eastAsia="宋体" w:cs="Times New Roman"/>
                <w:b/>
                <w:bCs w:val="0"/>
                <w:kern w:val="2"/>
                <w:sz w:val="24"/>
                <w:szCs w:val="21"/>
                <w:lang w:val="en-US" w:eastAsia="zh-CN" w:bidi="ar-SA"/>
              </w:rPr>
              <w:t>施工期环境保护措施</w:t>
            </w:r>
          </w:p>
        </w:tc>
        <w:tc>
          <w:tcPr>
            <w:tcW w:w="9178" w:type="dxa"/>
            <w:vAlign w:val="center"/>
          </w:tcPr>
          <w:p>
            <w:pPr>
              <w:tabs>
                <w:tab w:val="left" w:pos="5252"/>
              </w:tabs>
              <w:adjustRightInd w:val="0"/>
              <w:snapToGrid w:val="0"/>
              <w:ind w:firstLine="480"/>
              <w:rPr>
                <w:rFonts w:hint="default" w:ascii="Times New Roman" w:hAnsi="Times New Roman" w:cs="Times New Roman"/>
                <w:highlight w:val="yellow"/>
              </w:rPr>
            </w:pPr>
            <w:r>
              <w:rPr>
                <w:rFonts w:hint="default" w:ascii="Times New Roman" w:hAnsi="Times New Roman" w:cs="Times New Roman"/>
                <w:snapToGrid w:val="0"/>
                <w:kern w:val="0"/>
                <w:szCs w:val="21"/>
              </w:rPr>
              <w:t>本项目施工过程主要为厂房内部装修及各设备的安装。安装过程不涉及大型施工器械，噪声源强有限，且施工期较短，在文明施工，对包装废物妥善收集处置的基础上，项目施工期间设备安装噪声及包装废弃物基本不会对周边环境产生明显的负面影响。本项目不新增建筑物，不新增占地，对区域地表基本无扰动，无生态环境影响。</w:t>
            </w:r>
          </w:p>
        </w:tc>
      </w:tr>
      <w:tr>
        <w:tblPrEx>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Mar>
              <w:left w:w="28" w:type="dxa"/>
              <w:right w:w="28" w:type="dxa"/>
            </w:tcMar>
            <w:vAlign w:val="center"/>
          </w:tcPr>
          <w:p>
            <w:pPr>
              <w:adjustRightInd w:val="0"/>
              <w:snapToGrid w:val="0"/>
              <w:jc w:val="center"/>
              <w:rPr>
                <w:rFonts w:hint="default" w:ascii="Times New Roman" w:hAnsi="Times New Roman" w:cs="Times New Roman"/>
                <w:b/>
                <w:bCs w:val="0"/>
                <w:szCs w:val="21"/>
              </w:rPr>
            </w:pPr>
            <w:r>
              <w:rPr>
                <w:rFonts w:hint="default" w:ascii="Times New Roman" w:hAnsi="Times New Roman" w:cs="Times New Roman"/>
                <w:b/>
                <w:bCs w:val="0"/>
                <w:szCs w:val="21"/>
              </w:rPr>
              <w:t>运营</w:t>
            </w:r>
          </w:p>
          <w:p>
            <w:pPr>
              <w:adjustRightInd w:val="0"/>
              <w:snapToGrid w:val="0"/>
              <w:jc w:val="center"/>
              <w:rPr>
                <w:rFonts w:hint="default" w:ascii="Times New Roman" w:hAnsi="Times New Roman" w:cs="Times New Roman"/>
                <w:b/>
                <w:bCs w:val="0"/>
                <w:szCs w:val="21"/>
              </w:rPr>
            </w:pPr>
            <w:r>
              <w:rPr>
                <w:rFonts w:hint="default" w:ascii="Times New Roman" w:hAnsi="Times New Roman" w:cs="Times New Roman"/>
                <w:b/>
                <w:bCs w:val="0"/>
                <w:szCs w:val="21"/>
              </w:rPr>
              <w:t>期环</w:t>
            </w:r>
          </w:p>
          <w:p>
            <w:pPr>
              <w:adjustRightInd w:val="0"/>
              <w:snapToGrid w:val="0"/>
              <w:jc w:val="center"/>
              <w:rPr>
                <w:rFonts w:hint="default" w:ascii="Times New Roman" w:hAnsi="Times New Roman" w:cs="Times New Roman"/>
                <w:b/>
                <w:bCs w:val="0"/>
                <w:szCs w:val="21"/>
              </w:rPr>
            </w:pPr>
            <w:r>
              <w:rPr>
                <w:rFonts w:hint="default" w:ascii="Times New Roman" w:hAnsi="Times New Roman" w:cs="Times New Roman"/>
                <w:b/>
                <w:bCs w:val="0"/>
                <w:szCs w:val="21"/>
              </w:rPr>
              <w:t>境影</w:t>
            </w:r>
          </w:p>
          <w:p>
            <w:pPr>
              <w:adjustRightInd w:val="0"/>
              <w:snapToGrid w:val="0"/>
              <w:jc w:val="center"/>
              <w:rPr>
                <w:rFonts w:hint="default" w:ascii="Times New Roman" w:hAnsi="Times New Roman" w:cs="Times New Roman"/>
                <w:b/>
                <w:bCs w:val="0"/>
                <w:szCs w:val="21"/>
              </w:rPr>
            </w:pPr>
            <w:r>
              <w:rPr>
                <w:rFonts w:hint="default" w:ascii="Times New Roman" w:hAnsi="Times New Roman" w:cs="Times New Roman"/>
                <w:b/>
                <w:bCs w:val="0"/>
                <w:szCs w:val="21"/>
              </w:rPr>
              <w:t>响和</w:t>
            </w:r>
          </w:p>
          <w:p>
            <w:pPr>
              <w:adjustRightInd w:val="0"/>
              <w:snapToGrid w:val="0"/>
              <w:jc w:val="center"/>
              <w:rPr>
                <w:rFonts w:hint="default" w:ascii="Times New Roman" w:hAnsi="Times New Roman" w:cs="Times New Roman"/>
                <w:b/>
                <w:bCs w:val="0"/>
                <w:szCs w:val="21"/>
              </w:rPr>
            </w:pPr>
            <w:r>
              <w:rPr>
                <w:rFonts w:hint="default" w:ascii="Times New Roman" w:hAnsi="Times New Roman" w:cs="Times New Roman"/>
                <w:b/>
                <w:bCs w:val="0"/>
                <w:szCs w:val="21"/>
              </w:rPr>
              <w:t>保护</w:t>
            </w:r>
          </w:p>
          <w:p>
            <w:pPr>
              <w:adjustRightInd w:val="0"/>
              <w:snapToGrid w:val="0"/>
              <w:jc w:val="center"/>
              <w:rPr>
                <w:rFonts w:hint="default" w:ascii="Times New Roman" w:hAnsi="Times New Roman" w:cs="Times New Roman"/>
                <w:bCs/>
                <w:szCs w:val="21"/>
                <w:highlight w:val="yellow"/>
              </w:rPr>
            </w:pPr>
            <w:r>
              <w:rPr>
                <w:rFonts w:hint="default" w:ascii="Times New Roman" w:hAnsi="Times New Roman" w:cs="Times New Roman"/>
                <w:b/>
                <w:bCs w:val="0"/>
                <w:szCs w:val="21"/>
              </w:rPr>
              <w:t>措施</w:t>
            </w:r>
          </w:p>
        </w:tc>
        <w:tc>
          <w:tcPr>
            <w:tcW w:w="9178" w:type="dxa"/>
            <w:vAlign w:val="center"/>
          </w:tcPr>
          <w:p>
            <w:pPr>
              <w:overflowPunct w:val="0"/>
              <w:ind w:firstLine="482" w:firstLineChars="200"/>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1废气</w:t>
            </w:r>
          </w:p>
          <w:p>
            <w:pPr>
              <w:overflowPunct w:val="0"/>
              <w:ind w:firstLine="482" w:firstLineChars="200"/>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1.1源强分析</w:t>
            </w:r>
          </w:p>
          <w:p>
            <w:pPr>
              <w:overflowPunct w:val="0"/>
              <w:ind w:firstLine="48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本项目运营过程中产生的大气污染因子主要为混合搅拌粉尘、锅炉烟气、运输粉尘</w:t>
            </w:r>
            <w:r>
              <w:rPr>
                <w:rFonts w:hint="eastAsia" w:cs="Times New Roman"/>
                <w:snapToGrid w:val="0"/>
                <w:kern w:val="0"/>
                <w:szCs w:val="21"/>
                <w:lang w:eastAsia="zh-CN"/>
              </w:rPr>
              <w:t>、</w:t>
            </w:r>
            <w:r>
              <w:rPr>
                <w:rFonts w:hint="default" w:ascii="Times New Roman" w:hAnsi="Times New Roman" w:cs="Times New Roman"/>
                <w:snapToGrid w:val="0"/>
                <w:kern w:val="0"/>
              </w:rPr>
              <w:t>物料储存输送粉尘</w:t>
            </w:r>
            <w:r>
              <w:rPr>
                <w:rFonts w:hint="default" w:ascii="Times New Roman" w:hAnsi="Times New Roman" w:cs="Times New Roman"/>
                <w:snapToGrid w:val="0"/>
                <w:kern w:val="0"/>
                <w:szCs w:val="21"/>
              </w:rPr>
              <w:t>以及食堂油烟等。</w:t>
            </w:r>
          </w:p>
          <w:p>
            <w:pPr>
              <w:overflowPunct w:val="0"/>
              <w:ind w:firstLine="48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有组织废气</w:t>
            </w:r>
          </w:p>
          <w:p>
            <w:pPr>
              <w:overflowPunct w:val="0"/>
              <w:ind w:firstLine="48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①物料混合搅拌粉尘</w:t>
            </w:r>
          </w:p>
          <w:p>
            <w:pPr>
              <w:adjustRightInd w:val="0"/>
              <w:ind w:firstLine="480" w:firstLineChars="200"/>
              <w:rPr>
                <w:rFonts w:hint="default" w:ascii="Times New Roman" w:hAnsi="Times New Roman" w:cs="Times New Roman"/>
                <w:kern w:val="0"/>
                <w:szCs w:val="21"/>
                <w:lang w:bidi="ar"/>
              </w:rPr>
            </w:pPr>
            <w:r>
              <w:rPr>
                <w:rFonts w:hint="default" w:ascii="Times New Roman" w:hAnsi="Times New Roman" w:cs="Times New Roman"/>
                <w:kern w:val="0"/>
                <w:szCs w:val="21"/>
                <w:lang w:bidi="ar"/>
              </w:rPr>
              <w:t>根据《排放源统计调查产排污核算方法和系数手册》（生态环境部公告2021年第24号）“3021水泥制品制造”行业系数手册，各工序产排污核算系见下表。</w:t>
            </w:r>
          </w:p>
          <w:p>
            <w:pPr>
              <w:pStyle w:val="38"/>
              <w:rPr>
                <w:rFonts w:hint="default" w:ascii="Times New Roman" w:hAnsi="Times New Roman" w:cs="Times New Roman"/>
              </w:rPr>
            </w:pPr>
            <w:r>
              <w:rPr>
                <w:rFonts w:hint="default" w:ascii="Times New Roman" w:hAnsi="Times New Roman" w:cs="Times New Roman"/>
                <w:lang w:bidi="ar"/>
              </w:rPr>
              <w:t>表4-13021水泥制品制造行业系数</w:t>
            </w:r>
          </w:p>
          <w:tbl>
            <w:tblPr>
              <w:tblStyle w:val="27"/>
              <w:tblW w:w="864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57"/>
              <w:gridCol w:w="1027"/>
              <w:gridCol w:w="722"/>
              <w:gridCol w:w="688"/>
              <w:gridCol w:w="897"/>
              <w:gridCol w:w="1391"/>
              <w:gridCol w:w="776"/>
              <w:gridCol w:w="771"/>
              <w:gridCol w:w="8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74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工段</w:t>
                  </w:r>
                </w:p>
                <w:p>
                  <w:pPr>
                    <w:pStyle w:val="87"/>
                    <w:rPr>
                      <w:rFonts w:hint="default" w:ascii="Times New Roman" w:hAnsi="Times New Roman" w:cs="Times New Roman"/>
                    </w:rPr>
                  </w:pPr>
                  <w:r>
                    <w:rPr>
                      <w:rFonts w:hint="default" w:ascii="Times New Roman" w:hAnsi="Times New Roman" w:cs="Times New Roman"/>
                    </w:rPr>
                    <w:t>名称</w:t>
                  </w:r>
                </w:p>
              </w:tc>
              <w:tc>
                <w:tcPr>
                  <w:tcW w:w="75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产品</w:t>
                  </w:r>
                </w:p>
                <w:p>
                  <w:pPr>
                    <w:pStyle w:val="87"/>
                    <w:rPr>
                      <w:rFonts w:hint="default" w:ascii="Times New Roman" w:hAnsi="Times New Roman" w:cs="Times New Roman"/>
                    </w:rPr>
                  </w:pPr>
                  <w:r>
                    <w:rPr>
                      <w:rFonts w:hint="default" w:ascii="Times New Roman" w:hAnsi="Times New Roman" w:cs="Times New Roman"/>
                    </w:rPr>
                    <w:t>名称</w:t>
                  </w:r>
                </w:p>
              </w:tc>
              <w:tc>
                <w:tcPr>
                  <w:tcW w:w="102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原料名称</w:t>
                  </w:r>
                </w:p>
              </w:tc>
              <w:tc>
                <w:tcPr>
                  <w:tcW w:w="722"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工艺名称</w:t>
                  </w:r>
                </w:p>
              </w:tc>
              <w:tc>
                <w:tcPr>
                  <w:tcW w:w="688"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规模等级</w:t>
                  </w:r>
                </w:p>
              </w:tc>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lang w:bidi="ar"/>
                    </w:rPr>
                    <w:t>污染物</w:t>
                  </w:r>
                </w:p>
                <w:p>
                  <w:pPr>
                    <w:pStyle w:val="87"/>
                    <w:rPr>
                      <w:rFonts w:hint="default" w:ascii="Times New Roman" w:hAnsi="Times New Roman" w:cs="Times New Roman"/>
                    </w:rPr>
                  </w:pPr>
                  <w:r>
                    <w:rPr>
                      <w:rFonts w:hint="default" w:ascii="Times New Roman" w:hAnsi="Times New Roman" w:cs="Times New Roman"/>
                      <w:lang w:bidi="ar"/>
                    </w:rPr>
                    <w:t>指标</w:t>
                  </w:r>
                </w:p>
              </w:tc>
              <w:tc>
                <w:tcPr>
                  <w:tcW w:w="139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系数单位</w:t>
                  </w:r>
                </w:p>
              </w:tc>
              <w:tc>
                <w:tcPr>
                  <w:tcW w:w="776"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产污系数</w:t>
                  </w:r>
                </w:p>
              </w:tc>
              <w:tc>
                <w:tcPr>
                  <w:tcW w:w="77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lang w:bidi="ar"/>
                    </w:rPr>
                    <w:t>末端治理技术名称</w:t>
                  </w:r>
                </w:p>
              </w:tc>
              <w:tc>
                <w:tcPr>
                  <w:tcW w:w="8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末端治理技术效率（％）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41"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物料搅拌</w:t>
                  </w:r>
                </w:p>
              </w:tc>
              <w:tc>
                <w:tcPr>
                  <w:tcW w:w="757"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各种水泥制品</w:t>
                  </w:r>
                </w:p>
              </w:tc>
              <w:tc>
                <w:tcPr>
                  <w:tcW w:w="1027"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水洗砂、水泥、石英砂</w:t>
                  </w:r>
                </w:p>
              </w:tc>
              <w:tc>
                <w:tcPr>
                  <w:tcW w:w="722"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物料混合搅拌</w:t>
                  </w:r>
                </w:p>
              </w:tc>
              <w:tc>
                <w:tcPr>
                  <w:tcW w:w="688"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所有规模</w:t>
                  </w:r>
                </w:p>
              </w:tc>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废气量</w:t>
                  </w:r>
                </w:p>
              </w:tc>
              <w:tc>
                <w:tcPr>
                  <w:tcW w:w="1391" w:type="dxa"/>
                  <w:tcBorders>
                    <w:tl2br w:val="nil"/>
                    <w:tr2bl w:val="nil"/>
                  </w:tcBorders>
                  <w:vAlign w:val="center"/>
                </w:tcPr>
                <w:p>
                  <w:pPr>
                    <w:pStyle w:val="87"/>
                    <w:rPr>
                      <w:rFonts w:hint="default" w:ascii="Times New Roman" w:hAnsi="Times New Roman" w:cs="Times New Roman"/>
                      <w:lang w:bidi="ar"/>
                    </w:rPr>
                  </w:pPr>
                  <w:r>
                    <w:rPr>
                      <w:rFonts w:hint="default" w:ascii="Times New Roman" w:hAnsi="Times New Roman" w:cs="Times New Roman"/>
                      <w:lang w:bidi="ar"/>
                    </w:rPr>
                    <w:t>标立方米/</w:t>
                  </w:r>
                </w:p>
                <w:p>
                  <w:pPr>
                    <w:pStyle w:val="87"/>
                    <w:rPr>
                      <w:rFonts w:hint="default" w:ascii="Times New Roman" w:hAnsi="Times New Roman" w:cs="Times New Roman"/>
                    </w:rPr>
                  </w:pPr>
                  <w:r>
                    <w:rPr>
                      <w:rFonts w:hint="default" w:ascii="Times New Roman" w:hAnsi="Times New Roman" w:cs="Times New Roman"/>
                      <w:lang w:bidi="ar"/>
                    </w:rPr>
                    <w:t>吨-产品</w:t>
                  </w:r>
                </w:p>
              </w:tc>
              <w:tc>
                <w:tcPr>
                  <w:tcW w:w="776"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129</w:t>
                  </w:r>
                </w:p>
              </w:tc>
              <w:tc>
                <w:tcPr>
                  <w:tcW w:w="77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w:t>
                  </w:r>
                </w:p>
              </w:tc>
              <w:tc>
                <w:tcPr>
                  <w:tcW w:w="8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1" w:type="dxa"/>
                  <w:vMerge w:val="continue"/>
                  <w:tcBorders>
                    <w:tl2br w:val="nil"/>
                    <w:tr2bl w:val="nil"/>
                  </w:tcBorders>
                  <w:vAlign w:val="center"/>
                </w:tcPr>
                <w:p>
                  <w:pPr>
                    <w:pStyle w:val="87"/>
                    <w:rPr>
                      <w:rFonts w:hint="default" w:ascii="Times New Roman" w:hAnsi="Times New Roman" w:cs="Times New Roman"/>
                    </w:rPr>
                  </w:pPr>
                </w:p>
              </w:tc>
              <w:tc>
                <w:tcPr>
                  <w:tcW w:w="757" w:type="dxa"/>
                  <w:vMerge w:val="continue"/>
                  <w:tcBorders>
                    <w:tl2br w:val="nil"/>
                    <w:tr2bl w:val="nil"/>
                  </w:tcBorders>
                  <w:vAlign w:val="center"/>
                </w:tcPr>
                <w:p>
                  <w:pPr>
                    <w:pStyle w:val="87"/>
                    <w:rPr>
                      <w:rFonts w:hint="default" w:ascii="Times New Roman" w:hAnsi="Times New Roman" w:cs="Times New Roman"/>
                    </w:rPr>
                  </w:pPr>
                </w:p>
              </w:tc>
              <w:tc>
                <w:tcPr>
                  <w:tcW w:w="1027" w:type="dxa"/>
                  <w:vMerge w:val="continue"/>
                  <w:tcBorders>
                    <w:tl2br w:val="nil"/>
                    <w:tr2bl w:val="nil"/>
                  </w:tcBorders>
                  <w:vAlign w:val="center"/>
                </w:tcPr>
                <w:p>
                  <w:pPr>
                    <w:pStyle w:val="87"/>
                    <w:rPr>
                      <w:rFonts w:hint="default" w:ascii="Times New Roman" w:hAnsi="Times New Roman" w:cs="Times New Roman"/>
                    </w:rPr>
                  </w:pPr>
                </w:p>
              </w:tc>
              <w:tc>
                <w:tcPr>
                  <w:tcW w:w="722" w:type="dxa"/>
                  <w:vMerge w:val="continue"/>
                  <w:tcBorders>
                    <w:tl2br w:val="nil"/>
                    <w:tr2bl w:val="nil"/>
                  </w:tcBorders>
                  <w:vAlign w:val="center"/>
                </w:tcPr>
                <w:p>
                  <w:pPr>
                    <w:pStyle w:val="87"/>
                    <w:rPr>
                      <w:rFonts w:hint="default" w:ascii="Times New Roman" w:hAnsi="Times New Roman" w:cs="Times New Roman"/>
                    </w:rPr>
                  </w:pPr>
                </w:p>
              </w:tc>
              <w:tc>
                <w:tcPr>
                  <w:tcW w:w="688" w:type="dxa"/>
                  <w:vMerge w:val="continue"/>
                  <w:tcBorders>
                    <w:tl2br w:val="nil"/>
                    <w:tr2bl w:val="nil"/>
                  </w:tcBorders>
                  <w:vAlign w:val="center"/>
                </w:tcPr>
                <w:p>
                  <w:pPr>
                    <w:pStyle w:val="87"/>
                    <w:rPr>
                      <w:rFonts w:hint="default" w:ascii="Times New Roman" w:hAnsi="Times New Roman" w:cs="Times New Roman"/>
                    </w:rPr>
                  </w:pPr>
                </w:p>
              </w:tc>
              <w:tc>
                <w:tcPr>
                  <w:tcW w:w="897"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39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lang w:bidi="ar"/>
                    </w:rPr>
                    <w:t>千克/t-产品</w:t>
                  </w:r>
                </w:p>
              </w:tc>
              <w:tc>
                <w:tcPr>
                  <w:tcW w:w="776"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0.523</w:t>
                  </w:r>
                </w:p>
              </w:tc>
              <w:tc>
                <w:tcPr>
                  <w:tcW w:w="77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袋式除尘器</w:t>
                  </w:r>
                </w:p>
              </w:tc>
              <w:tc>
                <w:tcPr>
                  <w:tcW w:w="879"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99.7%</w:t>
                  </w:r>
                </w:p>
              </w:tc>
            </w:tr>
          </w:tbl>
          <w:p>
            <w:pPr>
              <w:jc w:val="left"/>
              <w:rPr>
                <w:rFonts w:hint="default" w:ascii="Times New Roman" w:hAnsi="Times New Roman" w:cs="Times New Roman"/>
                <w:b/>
                <w:bCs/>
                <w:kern w:val="0"/>
                <w:sz w:val="18"/>
                <w:szCs w:val="18"/>
                <w:lang w:bidi="ar"/>
              </w:rPr>
            </w:pPr>
            <w:r>
              <w:rPr>
                <w:rFonts w:hint="default" w:ascii="Times New Roman" w:hAnsi="Times New Roman" w:cs="Times New Roman"/>
                <w:b/>
                <w:bCs/>
                <w:sz w:val="18"/>
                <w:szCs w:val="18"/>
              </w:rPr>
              <w:t>备注：</w:t>
            </w:r>
            <w:r>
              <w:rPr>
                <w:rFonts w:hint="default" w:ascii="Times New Roman" w:hAnsi="Times New Roman" w:cs="Times New Roman"/>
                <w:bCs/>
                <w:sz w:val="18"/>
                <w:szCs w:val="18"/>
              </w:rPr>
              <w:t>k=治理设施正常运行小时数</w:t>
            </w:r>
            <w:r>
              <w:rPr>
                <w:rFonts w:hint="eastAsia" w:cs="Times New Roman"/>
                <w:bCs/>
                <w:sz w:val="18"/>
                <w:szCs w:val="18"/>
                <w:lang w:eastAsia="zh-CN"/>
              </w:rPr>
              <w:t>（</w:t>
            </w:r>
            <w:r>
              <w:rPr>
                <w:rFonts w:hint="default" w:ascii="Times New Roman" w:hAnsi="Times New Roman" w:cs="Times New Roman"/>
                <w:bCs/>
                <w:sz w:val="18"/>
                <w:szCs w:val="18"/>
              </w:rPr>
              <w:t>小时/年</w:t>
            </w:r>
            <w:r>
              <w:rPr>
                <w:rFonts w:hint="eastAsia" w:cs="Times New Roman"/>
                <w:bCs/>
                <w:sz w:val="18"/>
                <w:szCs w:val="18"/>
                <w:lang w:eastAsia="zh-CN"/>
              </w:rPr>
              <w:t>）</w:t>
            </w:r>
            <w:r>
              <w:rPr>
                <w:rFonts w:hint="default" w:ascii="Times New Roman" w:hAnsi="Times New Roman" w:cs="Times New Roman"/>
                <w:bCs/>
                <w:sz w:val="18"/>
                <w:szCs w:val="18"/>
              </w:rPr>
              <w:t>/企业正常运转小时数（小时/年），K=1</w:t>
            </w:r>
          </w:p>
          <w:p>
            <w:pPr>
              <w:adjustRightInd w:val="0"/>
              <w:ind w:firstLine="48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年产光伏桩及电杆390982t，年运行时间2400h，本项目设置1台搅拌机，搅拌机废气产生量为5043万m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/a，搅拌粉尘产生量为204.48t/a，产生速率为85.2kg/h，浓度为4054.26mg/m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p>
          <w:p>
            <w:pPr>
              <w:pStyle w:val="36"/>
              <w:spacing w:after="0" w:line="360" w:lineRule="auto"/>
              <w:ind w:firstLine="480" w:firstLineChars="200"/>
              <w:jc w:val="both"/>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color w:val="000000" w:themeColor="text1"/>
                <w:kern w:val="2"/>
                <w:sz w:val="24"/>
                <w:szCs w:val="24"/>
                <w14:textFill>
                  <w14:solidFill>
                    <w14:schemeClr w14:val="tx1"/>
                  </w14:solidFill>
                </w14:textFill>
              </w:rPr>
              <w:t>建设单位拟在搅拌入料口安装集气罩和布袋除尘器。废气经集气罩（收集效率90％）收集后使用布袋除尘（处理效率为99.7％）处理后经15m高排气筒（DA001）排放，风机风量为30000m</w:t>
            </w:r>
            <w:r>
              <w:rPr>
                <w:rFonts w:hint="default" w:ascii="Times New Roman" w:hAnsi="Times New Roman" w:eastAsia="宋体" w:cs="Times New Roman"/>
                <w:snapToGrid/>
                <w:color w:val="000000" w:themeColor="text1"/>
                <w:kern w:val="2"/>
                <w:sz w:val="24"/>
                <w:szCs w:val="24"/>
                <w:vertAlign w:val="superscript"/>
                <w14:textFill>
                  <w14:solidFill>
                    <w14:schemeClr w14:val="tx1"/>
                  </w14:solidFill>
                </w14:textFill>
              </w:rPr>
              <w:t>3</w:t>
            </w:r>
            <w:r>
              <w:rPr>
                <w:rFonts w:hint="default" w:ascii="Times New Roman" w:hAnsi="Times New Roman" w:eastAsia="宋体" w:cs="Times New Roman"/>
                <w:snapToGrid/>
                <w:color w:val="000000" w:themeColor="text1"/>
                <w:kern w:val="2"/>
                <w:sz w:val="24"/>
                <w:szCs w:val="24"/>
                <w14:textFill>
                  <w14:solidFill>
                    <w14:schemeClr w14:val="tx1"/>
                  </w14:solidFill>
                </w14:textFill>
              </w:rPr>
              <w:t>/h，则搅拌机有</w:t>
            </w:r>
            <w:r>
              <w:rPr>
                <w:rFonts w:hint="default" w:ascii="Times New Roman" w:hAnsi="Times New Roman" w:eastAsia="宋体" w:cs="Times New Roman"/>
                <w:snapToGrid/>
                <w:kern w:val="2"/>
                <w:sz w:val="24"/>
                <w:szCs w:val="24"/>
              </w:rPr>
              <w:t>组织粉尘排放量为0.55t/a，排放速率为0.23kg/h，浓度为7.66mg/m</w:t>
            </w:r>
            <w:r>
              <w:rPr>
                <w:rFonts w:hint="default" w:ascii="Times New Roman" w:hAnsi="Times New Roman" w:eastAsia="宋体" w:cs="Times New Roman"/>
                <w:snapToGrid/>
                <w:kern w:val="2"/>
                <w:sz w:val="24"/>
                <w:szCs w:val="24"/>
                <w:vertAlign w:val="superscript"/>
              </w:rPr>
              <w:t>3</w:t>
            </w:r>
            <w:r>
              <w:rPr>
                <w:rFonts w:hint="default" w:ascii="Times New Roman" w:hAnsi="Times New Roman" w:eastAsia="宋体" w:cs="Times New Roman"/>
                <w:snapToGrid/>
                <w:kern w:val="2"/>
                <w:sz w:val="24"/>
                <w:szCs w:val="24"/>
              </w:rPr>
              <w:t>。</w:t>
            </w:r>
          </w:p>
          <w:p>
            <w:pPr>
              <w:pStyle w:val="36"/>
              <w:spacing w:after="0"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②锅炉燃烧废气</w:t>
            </w:r>
          </w:p>
          <w:p>
            <w:pPr>
              <w:ind w:firstLine="482"/>
              <w:rPr>
                <w:rFonts w:hint="default" w:ascii="Times New Roman" w:hAnsi="Times New Roman" w:cs="Times New Roman"/>
                <w:szCs w:val="21"/>
              </w:rPr>
            </w:pPr>
            <w:r>
              <w:rPr>
                <w:rFonts w:hint="default" w:ascii="Times New Roman" w:hAnsi="Times New Roman" w:cs="Times New Roman"/>
              </w:rPr>
              <w:t>本项目设置2台2t/h醇基锅</w:t>
            </w:r>
            <w:r>
              <w:rPr>
                <w:rFonts w:hint="default" w:ascii="Times New Roman" w:hAnsi="Times New Roman" w:cs="Times New Roman"/>
                <w:szCs w:val="21"/>
              </w:rPr>
              <w:t>炉作为本项目的生产锅炉，醇基锅炉每年每台运行时间以1200h计，每台2t/h醇基锅炉年使用醇基量242.4吨，</w:t>
            </w:r>
            <w:r>
              <w:rPr>
                <w:rFonts w:hint="default" w:ascii="Times New Roman" w:hAnsi="Times New Roman" w:cs="Times New Roman"/>
                <w:szCs w:val="21"/>
                <w:lang w:val="en-US" w:eastAsia="zh-CN"/>
              </w:rPr>
              <w:t>每台锅炉风机风量为</w:t>
            </w:r>
            <w:r>
              <w:rPr>
                <w:rFonts w:hint="eastAsia" w:cs="Times New Roman"/>
                <w:szCs w:val="21"/>
                <w:lang w:val="en-US" w:eastAsia="zh-CN"/>
              </w:rPr>
              <w:t>2</w:t>
            </w:r>
            <w:r>
              <w:rPr>
                <w:rFonts w:hint="default" w:ascii="Times New Roman" w:hAnsi="Times New Roman" w:cs="Times New Roman"/>
                <w:szCs w:val="21"/>
                <w:lang w:val="en-US" w:eastAsia="zh-CN"/>
              </w:rPr>
              <w:t>000m</w:t>
            </w:r>
            <w:r>
              <w:rPr>
                <w:rFonts w:hint="default" w:ascii="Times New Roman" w:hAnsi="Times New Roman" w:cs="Times New Roman"/>
                <w:szCs w:val="21"/>
                <w:vertAlign w:val="superscript"/>
                <w:lang w:val="en-US" w:eastAsia="zh-CN"/>
              </w:rPr>
              <w:t>3</w:t>
            </w:r>
            <w:r>
              <w:rPr>
                <w:rFonts w:hint="default" w:ascii="Times New Roman" w:hAnsi="Times New Roman" w:cs="Times New Roman"/>
                <w:szCs w:val="21"/>
                <w:lang w:val="en-US" w:eastAsia="zh-CN"/>
              </w:rPr>
              <w:t>/h，</w:t>
            </w:r>
            <w:r>
              <w:rPr>
                <w:rFonts w:hint="default" w:ascii="Times New Roman" w:hAnsi="Times New Roman" w:cs="Times New Roman"/>
                <w:szCs w:val="21"/>
              </w:rPr>
              <w:t>锅炉废气通过DA002、DA003排口排放。</w:t>
            </w:r>
          </w:p>
          <w:p>
            <w:pPr>
              <w:adjustRightInd w:val="0"/>
              <w:ind w:firstLine="480" w:firstLineChars="200"/>
              <w:rPr>
                <w:rFonts w:hint="default" w:ascii="Times New Roman" w:hAnsi="Times New Roman" w:cs="Times New Roman"/>
                <w:kern w:val="0"/>
                <w:szCs w:val="21"/>
                <w:lang w:bidi="ar"/>
              </w:rPr>
            </w:pPr>
            <w:r>
              <w:rPr>
                <w:rFonts w:hint="default" w:ascii="Times New Roman" w:hAnsi="Times New Roman" w:cs="Times New Roman"/>
                <w:snapToGrid w:val="0"/>
                <w:kern w:val="0"/>
                <w:szCs w:val="21"/>
              </w:rPr>
              <w:t>废气量、颗粒物、NO</w:t>
            </w:r>
            <w:r>
              <w:rPr>
                <w:rFonts w:hint="default" w:ascii="Times New Roman" w:hAnsi="Times New Roman" w:cs="Times New Roman"/>
                <w:snapToGrid w:val="0"/>
                <w:kern w:val="0"/>
                <w:szCs w:val="21"/>
                <w:vertAlign w:val="subscript"/>
              </w:rPr>
              <w:t>x</w:t>
            </w:r>
            <w:r>
              <w:rPr>
                <w:rFonts w:hint="default" w:ascii="Times New Roman" w:hAnsi="Times New Roman" w:cs="Times New Roman"/>
                <w:snapToGrid w:val="0"/>
                <w:kern w:val="0"/>
                <w:szCs w:val="21"/>
              </w:rPr>
              <w:t>、SO</w:t>
            </w:r>
            <w:r>
              <w:rPr>
                <w:rFonts w:hint="default" w:ascii="Times New Roman" w:hAnsi="Times New Roman" w:cs="Times New Roman"/>
                <w:snapToGrid w:val="0"/>
                <w:kern w:val="0"/>
                <w:szCs w:val="21"/>
                <w:vertAlign w:val="subscript"/>
              </w:rPr>
              <w:t>2</w:t>
            </w:r>
            <w:r>
              <w:rPr>
                <w:rFonts w:hint="default" w:ascii="Times New Roman" w:hAnsi="Times New Roman" w:cs="Times New Roman"/>
                <w:szCs w:val="21"/>
              </w:rPr>
              <w:t>产生量根据</w:t>
            </w:r>
            <w:r>
              <w:rPr>
                <w:rFonts w:hint="default" w:ascii="Times New Roman" w:hAnsi="Times New Roman" w:cs="Times New Roman"/>
                <w:kern w:val="0"/>
                <w:szCs w:val="21"/>
                <w:lang w:bidi="ar"/>
              </w:rPr>
              <w:t>《排放源统计调查产排污核算方法和系数手册》（生态环境部公告2021年第24号）“4430锅炉产排污量核算系数手册”，各工序产排污核算系见下表</w:t>
            </w:r>
            <w:r>
              <w:rPr>
                <w:rFonts w:hint="default" w:ascii="Times New Roman" w:hAnsi="Times New Roman" w:cs="Times New Roman"/>
                <w:szCs w:val="21"/>
              </w:rPr>
              <w:t>4-2。</w:t>
            </w:r>
          </w:p>
          <w:p>
            <w:pPr>
              <w:pStyle w:val="38"/>
              <w:rPr>
                <w:rFonts w:hint="default" w:ascii="Times New Roman" w:hAnsi="Times New Roman" w:cs="Times New Roman"/>
              </w:rPr>
            </w:pPr>
            <w:r>
              <w:rPr>
                <w:rFonts w:hint="default" w:ascii="Times New Roman" w:hAnsi="Times New Roman" w:cs="Times New Roman"/>
              </w:rPr>
              <w:t>表4-2燃气工业锅炉产排污系数表</w:t>
            </w:r>
          </w:p>
          <w:tbl>
            <w:tblPr>
              <w:tblStyle w:val="26"/>
              <w:tblW w:w="861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81"/>
              <w:gridCol w:w="769"/>
              <w:gridCol w:w="1184"/>
              <w:gridCol w:w="1420"/>
              <w:gridCol w:w="1461"/>
              <w:gridCol w:w="1001"/>
              <w:gridCol w:w="16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181" w:type="dxa"/>
                  <w:vAlign w:val="center"/>
                </w:tcPr>
                <w:p>
                  <w:pPr>
                    <w:pStyle w:val="87"/>
                    <w:rPr>
                      <w:rFonts w:hint="default" w:ascii="Times New Roman" w:hAnsi="Times New Roman" w:cs="Times New Roman"/>
                    </w:rPr>
                  </w:pPr>
                  <w:r>
                    <w:rPr>
                      <w:rFonts w:hint="default" w:ascii="Times New Roman" w:hAnsi="Times New Roman" w:cs="Times New Roman"/>
                    </w:rPr>
                    <w:t>产品</w:t>
                  </w:r>
                </w:p>
                <w:p>
                  <w:pPr>
                    <w:pStyle w:val="87"/>
                    <w:rPr>
                      <w:rFonts w:hint="default" w:ascii="Times New Roman" w:hAnsi="Times New Roman" w:cs="Times New Roman"/>
                    </w:rPr>
                  </w:pPr>
                  <w:r>
                    <w:rPr>
                      <w:rFonts w:hint="default" w:ascii="Times New Roman" w:hAnsi="Times New Roman" w:cs="Times New Roman"/>
                    </w:rPr>
                    <w:t>名称</w:t>
                  </w:r>
                </w:p>
              </w:tc>
              <w:tc>
                <w:tcPr>
                  <w:tcW w:w="769" w:type="dxa"/>
                  <w:vAlign w:val="center"/>
                </w:tcPr>
                <w:p>
                  <w:pPr>
                    <w:pStyle w:val="87"/>
                    <w:rPr>
                      <w:rFonts w:hint="default" w:ascii="Times New Roman" w:hAnsi="Times New Roman" w:cs="Times New Roman"/>
                    </w:rPr>
                  </w:pPr>
                  <w:r>
                    <w:rPr>
                      <w:rFonts w:hint="default" w:ascii="Times New Roman" w:hAnsi="Times New Roman" w:cs="Times New Roman"/>
                    </w:rPr>
                    <w:t>原料名称</w:t>
                  </w:r>
                </w:p>
              </w:tc>
              <w:tc>
                <w:tcPr>
                  <w:tcW w:w="1184" w:type="dxa"/>
                  <w:vAlign w:val="center"/>
                </w:tcPr>
                <w:p>
                  <w:pPr>
                    <w:pStyle w:val="87"/>
                    <w:rPr>
                      <w:rFonts w:hint="default" w:ascii="Times New Roman" w:hAnsi="Times New Roman" w:cs="Times New Roman"/>
                    </w:rPr>
                  </w:pPr>
                  <w:r>
                    <w:rPr>
                      <w:rFonts w:hint="default" w:ascii="Times New Roman" w:hAnsi="Times New Roman" w:cs="Times New Roman"/>
                    </w:rPr>
                    <w:t>污染物指标</w:t>
                  </w:r>
                </w:p>
              </w:tc>
              <w:tc>
                <w:tcPr>
                  <w:tcW w:w="1420" w:type="dxa"/>
                  <w:vAlign w:val="center"/>
                </w:tcPr>
                <w:p>
                  <w:pPr>
                    <w:pStyle w:val="87"/>
                    <w:rPr>
                      <w:rFonts w:hint="default" w:ascii="Times New Roman" w:hAnsi="Times New Roman" w:cs="Times New Roman"/>
                    </w:rPr>
                  </w:pPr>
                  <w:r>
                    <w:rPr>
                      <w:rFonts w:hint="default" w:ascii="Times New Roman" w:hAnsi="Times New Roman" w:cs="Times New Roman"/>
                    </w:rPr>
                    <w:t>单位</w:t>
                  </w:r>
                </w:p>
              </w:tc>
              <w:tc>
                <w:tcPr>
                  <w:tcW w:w="1461" w:type="dxa"/>
                  <w:vAlign w:val="center"/>
                </w:tcPr>
                <w:p>
                  <w:pPr>
                    <w:pStyle w:val="87"/>
                    <w:rPr>
                      <w:rFonts w:hint="default" w:ascii="Times New Roman" w:hAnsi="Times New Roman" w:cs="Times New Roman"/>
                    </w:rPr>
                  </w:pPr>
                  <w:r>
                    <w:rPr>
                      <w:rFonts w:hint="default" w:ascii="Times New Roman" w:hAnsi="Times New Roman" w:cs="Times New Roman"/>
                    </w:rPr>
                    <w:t>产污系数</w:t>
                  </w:r>
                </w:p>
              </w:tc>
              <w:tc>
                <w:tcPr>
                  <w:tcW w:w="1001" w:type="dxa"/>
                  <w:vAlign w:val="center"/>
                </w:tcPr>
                <w:p>
                  <w:pPr>
                    <w:pStyle w:val="87"/>
                    <w:rPr>
                      <w:rFonts w:hint="default" w:ascii="Times New Roman" w:hAnsi="Times New Roman" w:cs="Times New Roman"/>
                    </w:rPr>
                  </w:pPr>
                  <w:r>
                    <w:rPr>
                      <w:rFonts w:hint="default" w:ascii="Times New Roman" w:hAnsi="Times New Roman" w:cs="Times New Roman"/>
                    </w:rPr>
                    <w:t>末端治理技术名称</w:t>
                  </w:r>
                </w:p>
              </w:tc>
              <w:tc>
                <w:tcPr>
                  <w:tcW w:w="1602" w:type="dxa"/>
                  <w:vAlign w:val="center"/>
                </w:tcPr>
                <w:p>
                  <w:pPr>
                    <w:pStyle w:val="87"/>
                    <w:rPr>
                      <w:rFonts w:hint="default" w:ascii="Times New Roman" w:hAnsi="Times New Roman" w:cs="Times New Roman"/>
                    </w:rPr>
                  </w:pPr>
                  <w:r>
                    <w:rPr>
                      <w:rFonts w:hint="default" w:ascii="Times New Roman" w:hAnsi="Times New Roman" w:cs="Times New Roman"/>
                    </w:rPr>
                    <w:t>排污系数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181" w:type="dxa"/>
                  <w:vMerge w:val="restart"/>
                  <w:vAlign w:val="center"/>
                </w:tcPr>
                <w:p>
                  <w:pPr>
                    <w:pStyle w:val="87"/>
                    <w:rPr>
                      <w:rFonts w:hint="default" w:ascii="Times New Roman" w:hAnsi="Times New Roman" w:cs="Times New Roman"/>
                    </w:rPr>
                  </w:pPr>
                  <w:r>
                    <w:rPr>
                      <w:rFonts w:hint="default" w:ascii="Times New Roman" w:hAnsi="Times New Roman" w:cs="Times New Roman"/>
                    </w:rPr>
                    <w:t>蒸汽/热水/其他</w:t>
                  </w:r>
                </w:p>
              </w:tc>
              <w:tc>
                <w:tcPr>
                  <w:tcW w:w="769" w:type="dxa"/>
                  <w:vMerge w:val="restart"/>
                  <w:vAlign w:val="center"/>
                </w:tcPr>
                <w:p>
                  <w:pPr>
                    <w:pStyle w:val="87"/>
                    <w:rPr>
                      <w:rFonts w:hint="default" w:ascii="Times New Roman" w:hAnsi="Times New Roman" w:cs="Times New Roman"/>
                    </w:rPr>
                  </w:pPr>
                  <w:r>
                    <w:rPr>
                      <w:rFonts w:hint="default" w:ascii="Times New Roman" w:hAnsi="Times New Roman" w:cs="Times New Roman"/>
                    </w:rPr>
                    <w:t>醇基燃料</w:t>
                  </w:r>
                </w:p>
              </w:tc>
              <w:tc>
                <w:tcPr>
                  <w:tcW w:w="1184" w:type="dxa"/>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420" w:type="dxa"/>
                  <w:vAlign w:val="top"/>
                </w:tcPr>
                <w:p>
                  <w:pPr>
                    <w:pStyle w:val="87"/>
                    <w:rPr>
                      <w:rFonts w:hint="default" w:ascii="Times New Roman" w:hAnsi="Times New Roman" w:cs="Times New Roman"/>
                    </w:rPr>
                  </w:pPr>
                  <w:r>
                    <w:rPr>
                      <w:rFonts w:hint="default" w:ascii="Times New Roman" w:hAnsi="Times New Roman" w:cs="Times New Roman"/>
                    </w:rPr>
                    <w:t>千克/吨原料</w:t>
                  </w:r>
                </w:p>
              </w:tc>
              <w:tc>
                <w:tcPr>
                  <w:tcW w:w="1461" w:type="dxa"/>
                  <w:vAlign w:val="center"/>
                </w:tcPr>
                <w:p>
                  <w:pPr>
                    <w:pStyle w:val="87"/>
                    <w:rPr>
                      <w:rFonts w:hint="default" w:ascii="Times New Roman" w:hAnsi="Times New Roman" w:cs="Times New Roman"/>
                    </w:rPr>
                  </w:pPr>
                  <w:r>
                    <w:rPr>
                      <w:rFonts w:hint="default" w:ascii="Times New Roman" w:hAnsi="Times New Roman" w:cs="Times New Roman"/>
                    </w:rPr>
                    <w:t>0.26</w:t>
                  </w:r>
                </w:p>
              </w:tc>
              <w:tc>
                <w:tcPr>
                  <w:tcW w:w="1001"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w:t>
                  </w:r>
                </w:p>
              </w:tc>
              <w:tc>
                <w:tcPr>
                  <w:tcW w:w="1602" w:type="dxa"/>
                  <w:vAlign w:val="center"/>
                </w:tcPr>
                <w:p>
                  <w:pPr>
                    <w:pStyle w:val="87"/>
                    <w:rPr>
                      <w:rFonts w:hint="default" w:ascii="Times New Roman" w:hAnsi="Times New Roman" w:cs="Times New Roman"/>
                    </w:rPr>
                  </w:pPr>
                  <w:r>
                    <w:rPr>
                      <w:rFonts w:hint="default" w:ascii="Times New Roman" w:hAnsi="Times New Roman" w:cs="Times New Roman"/>
                    </w:rPr>
                    <w:t>0.26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1181" w:type="dxa"/>
                  <w:vMerge w:val="continue"/>
                  <w:vAlign w:val="center"/>
                </w:tcPr>
                <w:p>
                  <w:pPr>
                    <w:pStyle w:val="87"/>
                    <w:rPr>
                      <w:rFonts w:hint="default" w:ascii="Times New Roman" w:hAnsi="Times New Roman" w:cs="Times New Roman"/>
                    </w:rPr>
                  </w:pPr>
                </w:p>
              </w:tc>
              <w:tc>
                <w:tcPr>
                  <w:tcW w:w="769" w:type="dxa"/>
                  <w:vMerge w:val="continue"/>
                  <w:vAlign w:val="center"/>
                </w:tcPr>
                <w:p>
                  <w:pPr>
                    <w:pStyle w:val="87"/>
                    <w:rPr>
                      <w:rFonts w:hint="default" w:ascii="Times New Roman" w:hAnsi="Times New Roman" w:cs="Times New Roman"/>
                    </w:rPr>
                  </w:pPr>
                </w:p>
              </w:tc>
              <w:tc>
                <w:tcPr>
                  <w:tcW w:w="1184" w:type="dxa"/>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1420" w:type="dxa"/>
                  <w:vAlign w:val="top"/>
                </w:tcPr>
                <w:p>
                  <w:pPr>
                    <w:pStyle w:val="87"/>
                    <w:rPr>
                      <w:rFonts w:hint="default" w:ascii="Times New Roman" w:hAnsi="Times New Roman" w:cs="Times New Roman"/>
                    </w:rPr>
                  </w:pPr>
                  <w:r>
                    <w:rPr>
                      <w:rFonts w:hint="default" w:ascii="Times New Roman" w:hAnsi="Times New Roman" w:cs="Times New Roman"/>
                    </w:rPr>
                    <w:t>千克/吨原料</w:t>
                  </w:r>
                </w:p>
              </w:tc>
              <w:tc>
                <w:tcPr>
                  <w:tcW w:w="1461" w:type="dxa"/>
                  <w:vAlign w:val="center"/>
                </w:tcPr>
                <w:p>
                  <w:pPr>
                    <w:pStyle w:val="87"/>
                    <w:rPr>
                      <w:rFonts w:hint="default" w:ascii="Times New Roman" w:hAnsi="Times New Roman" w:cs="Times New Roman"/>
                    </w:rPr>
                  </w:pPr>
                  <w:r>
                    <w:rPr>
                      <w:rFonts w:hint="default" w:ascii="Times New Roman" w:hAnsi="Times New Roman" w:cs="Times New Roman"/>
                    </w:rPr>
                    <w:t>20S</w:t>
                  </w:r>
                </w:p>
              </w:tc>
              <w:tc>
                <w:tcPr>
                  <w:tcW w:w="1001" w:type="dxa"/>
                  <w:vAlign w:val="center"/>
                </w:tcPr>
                <w:p>
                  <w:pPr>
                    <w:pStyle w:val="87"/>
                    <w:rPr>
                      <w:rFonts w:hint="default" w:ascii="Times New Roman" w:hAnsi="Times New Roman" w:cs="Times New Roman"/>
                    </w:rPr>
                  </w:pPr>
                  <w:r>
                    <w:rPr>
                      <w:rFonts w:hint="eastAsia" w:ascii="Times New Roman" w:hAnsi="Times New Roman" w:cs="Times New Roman"/>
                      <w:lang w:val="en-US" w:eastAsia="zh-CN"/>
                    </w:rPr>
                    <w:t>/</w:t>
                  </w:r>
                </w:p>
              </w:tc>
              <w:tc>
                <w:tcPr>
                  <w:tcW w:w="1602" w:type="dxa"/>
                  <w:vAlign w:val="center"/>
                </w:tcPr>
                <w:p>
                  <w:pPr>
                    <w:pStyle w:val="87"/>
                    <w:rPr>
                      <w:rFonts w:hint="default" w:ascii="Times New Roman" w:hAnsi="Times New Roman" w:cs="Times New Roman"/>
                    </w:rPr>
                  </w:pPr>
                  <w:r>
                    <w:rPr>
                      <w:rFonts w:hint="default" w:ascii="Times New Roman" w:hAnsi="Times New Roman" w:cs="Times New Roman"/>
                    </w:rPr>
                    <w:t>20S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1181" w:type="dxa"/>
                  <w:vMerge w:val="continue"/>
                  <w:vAlign w:val="center"/>
                </w:tcPr>
                <w:p>
                  <w:pPr>
                    <w:pStyle w:val="87"/>
                    <w:rPr>
                      <w:rFonts w:hint="default" w:ascii="Times New Roman" w:hAnsi="Times New Roman" w:cs="Times New Roman"/>
                    </w:rPr>
                  </w:pPr>
                </w:p>
              </w:tc>
              <w:tc>
                <w:tcPr>
                  <w:tcW w:w="769" w:type="dxa"/>
                  <w:vMerge w:val="continue"/>
                  <w:vAlign w:val="center"/>
                </w:tcPr>
                <w:p>
                  <w:pPr>
                    <w:pStyle w:val="87"/>
                    <w:rPr>
                      <w:rFonts w:hint="default" w:ascii="Times New Roman" w:hAnsi="Times New Roman" w:cs="Times New Roman"/>
                    </w:rPr>
                  </w:pPr>
                </w:p>
              </w:tc>
              <w:tc>
                <w:tcPr>
                  <w:tcW w:w="1184" w:type="dxa"/>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1420" w:type="dxa"/>
                  <w:vAlign w:val="center"/>
                </w:tcPr>
                <w:p>
                  <w:pPr>
                    <w:pStyle w:val="87"/>
                    <w:rPr>
                      <w:rFonts w:hint="default" w:ascii="Times New Roman" w:hAnsi="Times New Roman" w:cs="Times New Roman"/>
                    </w:rPr>
                  </w:pPr>
                  <w:r>
                    <w:rPr>
                      <w:rFonts w:hint="default" w:ascii="Times New Roman" w:hAnsi="Times New Roman" w:cs="Times New Roman"/>
                    </w:rPr>
                    <w:t>千克/吨原料</w:t>
                  </w:r>
                </w:p>
              </w:tc>
              <w:tc>
                <w:tcPr>
                  <w:tcW w:w="1461" w:type="dxa"/>
                  <w:vAlign w:val="center"/>
                </w:tcPr>
                <w:p>
                  <w:pPr>
                    <w:pStyle w:val="87"/>
                    <w:rPr>
                      <w:rFonts w:hint="default" w:ascii="Times New Roman" w:hAnsi="Times New Roman" w:cs="Times New Roman"/>
                    </w:rPr>
                  </w:pPr>
                  <w:r>
                    <w:rPr>
                      <w:rFonts w:hint="default" w:ascii="Times New Roman" w:hAnsi="Times New Roman" w:cs="Times New Roman"/>
                    </w:rPr>
                    <w:t>0.59</w:t>
                  </w:r>
                </w:p>
              </w:tc>
              <w:tc>
                <w:tcPr>
                  <w:tcW w:w="1001" w:type="dxa"/>
                  <w:vAlign w:val="center"/>
                </w:tcPr>
                <w:p>
                  <w:pPr>
                    <w:pStyle w:val="87"/>
                    <w:rPr>
                      <w:rFonts w:hint="default" w:ascii="Times New Roman" w:hAnsi="Times New Roman" w:cs="Times New Roman"/>
                    </w:rPr>
                  </w:pPr>
                  <w:r>
                    <w:rPr>
                      <w:rFonts w:hint="eastAsia" w:ascii="Times New Roman" w:hAnsi="Times New Roman" w:cs="Times New Roman"/>
                      <w:lang w:val="en-US" w:eastAsia="zh-CN"/>
                    </w:rPr>
                    <w:t>/</w:t>
                  </w:r>
                </w:p>
              </w:tc>
              <w:tc>
                <w:tcPr>
                  <w:tcW w:w="1602" w:type="dxa"/>
                  <w:vAlign w:val="center"/>
                </w:tcPr>
                <w:p>
                  <w:pPr>
                    <w:pStyle w:val="87"/>
                    <w:rPr>
                      <w:rFonts w:hint="default" w:ascii="Times New Roman" w:hAnsi="Times New Roman" w:cs="Times New Roman"/>
                    </w:rPr>
                  </w:pPr>
                  <w:r>
                    <w:rPr>
                      <w:rFonts w:hint="default" w:ascii="Times New Roman" w:hAnsi="Times New Roman" w:cs="Times New Roman"/>
                    </w:rPr>
                    <w:t>0.59</w:t>
                  </w:r>
                </w:p>
              </w:tc>
            </w:tr>
          </w:tbl>
          <w:p>
            <w:pPr>
              <w:spacing w:after="120" w:afterLines="50"/>
              <w:ind w:firstLine="482"/>
              <w:rPr>
                <w:rFonts w:hint="default" w:ascii="Times New Roman" w:hAnsi="Times New Roman" w:cs="Times New Roman"/>
                <w:kern w:val="0"/>
                <w:sz w:val="20"/>
                <w:szCs w:val="20"/>
              </w:rPr>
            </w:pPr>
            <w:r>
              <w:rPr>
                <w:rFonts w:hint="default" w:ascii="Times New Roman" w:hAnsi="Times New Roman" w:cs="Times New Roman"/>
                <w:b/>
                <w:bCs/>
                <w:kern w:val="0"/>
                <w:sz w:val="20"/>
                <w:szCs w:val="20"/>
              </w:rPr>
              <w:t>备注：</w:t>
            </w:r>
            <w:r>
              <w:rPr>
                <w:rFonts w:hint="default" w:ascii="Times New Roman" w:hAnsi="Times New Roman" w:cs="Times New Roman"/>
                <w:kern w:val="0"/>
                <w:sz w:val="20"/>
                <w:szCs w:val="20"/>
              </w:rPr>
              <w:t>产排污系数表中二氧化硫的产排污系数是以含硫量（S%）的形式表示的，其中含硫量（S）是指燃气收到基硫分含量，单位为毫克/立方米。本项目燃料中含硫量（S）为0.005%，则S=0.005。</w:t>
            </w:r>
          </w:p>
          <w:p>
            <w:pPr>
              <w:ind w:firstLine="482"/>
              <w:rPr>
                <w:rFonts w:hint="default" w:ascii="Times New Roman" w:hAnsi="Times New Roman" w:cs="Times New Roman"/>
                <w:lang w:bidi="ar"/>
              </w:rPr>
            </w:pPr>
            <w:r>
              <w:rPr>
                <w:rFonts w:hint="default" w:ascii="Times New Roman" w:hAnsi="Times New Roman" w:cs="Times New Roman"/>
                <w:kern w:val="0"/>
                <w:szCs w:val="21"/>
                <w:lang w:bidi="ar"/>
              </w:rPr>
              <w:t>排放量计算结果件表4-3。</w:t>
            </w:r>
          </w:p>
          <w:p>
            <w:pPr>
              <w:pStyle w:val="38"/>
              <w:rPr>
                <w:rFonts w:hint="default" w:ascii="Times New Roman" w:hAnsi="Times New Roman" w:cs="Times New Roman"/>
              </w:rPr>
            </w:pPr>
            <w:r>
              <w:rPr>
                <w:rFonts w:hint="default" w:ascii="Times New Roman" w:hAnsi="Times New Roman" w:cs="Times New Roman"/>
              </w:rPr>
              <w:t>表4-3燃烧污染物排放情况一览表</w:t>
            </w:r>
          </w:p>
          <w:tbl>
            <w:tblPr>
              <w:tblStyle w:val="26"/>
              <w:tblW w:w="8958" w:type="dxa"/>
              <w:jc w:val="center"/>
              <w:tblLayout w:type="fixed"/>
              <w:tblCellMar>
                <w:top w:w="0" w:type="dxa"/>
                <w:left w:w="108" w:type="dxa"/>
                <w:bottom w:w="0" w:type="dxa"/>
                <w:right w:w="108" w:type="dxa"/>
              </w:tblCellMar>
            </w:tblPr>
            <w:tblGrid>
              <w:gridCol w:w="1192"/>
              <w:gridCol w:w="887"/>
              <w:gridCol w:w="966"/>
              <w:gridCol w:w="957"/>
              <w:gridCol w:w="1517"/>
              <w:gridCol w:w="961"/>
              <w:gridCol w:w="1519"/>
              <w:gridCol w:w="959"/>
            </w:tblGrid>
            <w:tr>
              <w:tblPrEx>
                <w:tblCellMar>
                  <w:top w:w="0" w:type="dxa"/>
                  <w:left w:w="108" w:type="dxa"/>
                  <w:bottom w:w="0" w:type="dxa"/>
                  <w:right w:w="108" w:type="dxa"/>
                </w:tblCellMar>
              </w:tblPrEx>
              <w:trPr>
                <w:trHeight w:val="70" w:hRule="atLeast"/>
                <w:jc w:val="center"/>
              </w:trPr>
              <w:tc>
                <w:tcPr>
                  <w:tcW w:w="1192" w:type="dxa"/>
                  <w:vMerge w:val="restart"/>
                  <w:tcBorders>
                    <w:top w:val="single" w:color="auto" w:sz="4" w:space="0"/>
                    <w:left w:val="nil"/>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产物设施</w:t>
                  </w:r>
                </w:p>
              </w:tc>
              <w:tc>
                <w:tcPr>
                  <w:tcW w:w="887"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污染物</w:t>
                  </w:r>
                </w:p>
              </w:tc>
              <w:tc>
                <w:tcPr>
                  <w:tcW w:w="966" w:type="dxa"/>
                  <w:vMerge w:val="restart"/>
                  <w:tcBorders>
                    <w:top w:val="single" w:color="auto" w:sz="4" w:space="0"/>
                    <w:left w:val="nil"/>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产排污系数</w:t>
                  </w:r>
                </w:p>
                <w:p>
                  <w:pPr>
                    <w:pStyle w:val="87"/>
                    <w:rPr>
                      <w:rFonts w:hint="default" w:ascii="Times New Roman" w:hAnsi="Times New Roman" w:cs="Times New Roman"/>
                    </w:rPr>
                  </w:pPr>
                  <w:r>
                    <w:rPr>
                      <w:rFonts w:hint="default" w:ascii="Times New Roman" w:hAnsi="Times New Roman" w:cs="Times New Roman"/>
                    </w:rPr>
                    <w:t>千克/吨原料</w:t>
                  </w:r>
                </w:p>
              </w:tc>
              <w:tc>
                <w:tcPr>
                  <w:tcW w:w="957" w:type="dxa"/>
                  <w:vMerge w:val="restart"/>
                  <w:tcBorders>
                    <w:top w:val="single" w:color="auto" w:sz="4" w:space="0"/>
                    <w:left w:val="nil"/>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醇基使用量</w:t>
                  </w:r>
                </w:p>
                <w:p>
                  <w:pPr>
                    <w:pStyle w:val="87"/>
                    <w:rPr>
                      <w:rFonts w:hint="default" w:ascii="Times New Roman" w:hAnsi="Times New Roman" w:cs="Times New Roman"/>
                    </w:rPr>
                  </w:pPr>
                  <w:r>
                    <w:rPr>
                      <w:rFonts w:hint="default" w:ascii="Times New Roman" w:hAnsi="Times New Roman" w:cs="Times New Roman"/>
                    </w:rPr>
                    <w:t>（t/a）</w:t>
                  </w:r>
                </w:p>
              </w:tc>
              <w:tc>
                <w:tcPr>
                  <w:tcW w:w="2478" w:type="dxa"/>
                  <w:gridSpan w:val="2"/>
                  <w:tcBorders>
                    <w:top w:val="single" w:color="auto" w:sz="4" w:space="0"/>
                    <w:left w:val="nil"/>
                    <w:bottom w:val="single" w:color="auto" w:sz="8"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产生情况</w:t>
                  </w:r>
                </w:p>
              </w:tc>
              <w:tc>
                <w:tcPr>
                  <w:tcW w:w="2478" w:type="dxa"/>
                  <w:gridSpan w:val="2"/>
                  <w:tcBorders>
                    <w:top w:val="single" w:color="auto" w:sz="4" w:space="0"/>
                    <w:left w:val="single" w:color="auto" w:sz="4" w:space="0"/>
                    <w:bottom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排放情况</w:t>
                  </w:r>
                </w:p>
              </w:tc>
            </w:tr>
            <w:tr>
              <w:tblPrEx>
                <w:tblCellMar>
                  <w:top w:w="0" w:type="dxa"/>
                  <w:left w:w="108" w:type="dxa"/>
                  <w:bottom w:w="0" w:type="dxa"/>
                  <w:right w:w="108" w:type="dxa"/>
                </w:tblCellMar>
              </w:tblPrEx>
              <w:trPr>
                <w:trHeight w:val="176" w:hRule="atLeast"/>
                <w:jc w:val="center"/>
              </w:trPr>
              <w:tc>
                <w:tcPr>
                  <w:tcW w:w="1192" w:type="dxa"/>
                  <w:vMerge w:val="continue"/>
                  <w:tcBorders>
                    <w:top w:val="single" w:color="auto" w:sz="4" w:space="0"/>
                    <w:left w:val="nil"/>
                    <w:bottom w:val="single" w:color="auto" w:sz="4" w:space="0"/>
                    <w:right w:val="single" w:color="auto" w:sz="4" w:space="0"/>
                  </w:tcBorders>
                  <w:vAlign w:val="center"/>
                </w:tcPr>
                <w:p>
                  <w:pPr>
                    <w:pStyle w:val="87"/>
                    <w:rPr>
                      <w:rFonts w:hint="default" w:ascii="Times New Roman" w:hAnsi="Times New Roman" w:cs="Times New Roman"/>
                    </w:rPr>
                  </w:pPr>
                </w:p>
              </w:tc>
              <w:tc>
                <w:tcPr>
                  <w:tcW w:w="887" w:type="dxa"/>
                  <w:vMerge w:val="continue"/>
                  <w:tcBorders>
                    <w:top w:val="single" w:color="auto" w:sz="4" w:space="0"/>
                    <w:left w:val="single" w:color="auto" w:sz="4" w:space="0"/>
                    <w:bottom w:val="single" w:color="auto" w:sz="4" w:space="0"/>
                    <w:right w:val="single" w:color="auto" w:sz="8" w:space="0"/>
                  </w:tcBorders>
                  <w:vAlign w:val="center"/>
                </w:tcPr>
                <w:p>
                  <w:pPr>
                    <w:pStyle w:val="87"/>
                    <w:rPr>
                      <w:rFonts w:hint="default" w:ascii="Times New Roman" w:hAnsi="Times New Roman" w:cs="Times New Roman"/>
                    </w:rPr>
                  </w:pPr>
                </w:p>
              </w:tc>
              <w:tc>
                <w:tcPr>
                  <w:tcW w:w="966" w:type="dxa"/>
                  <w:vMerge w:val="continue"/>
                  <w:tcBorders>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p>
              </w:tc>
              <w:tc>
                <w:tcPr>
                  <w:tcW w:w="957" w:type="dxa"/>
                  <w:vMerge w:val="continue"/>
                  <w:tcBorders>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p>
              </w:tc>
              <w:tc>
                <w:tcPr>
                  <w:tcW w:w="1517"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产生浓度（mg/Nm</w:t>
                  </w:r>
                  <w:r>
                    <w:rPr>
                      <w:rFonts w:hint="default" w:ascii="Times New Roman" w:hAnsi="Times New Roman" w:cs="Times New Roman"/>
                      <w:vertAlign w:val="superscript"/>
                    </w:rPr>
                    <w:t>3</w:t>
                  </w:r>
                  <w:r>
                    <w:rPr>
                      <w:rFonts w:hint="default" w:ascii="Times New Roman" w:hAnsi="Times New Roman" w:cs="Times New Roman"/>
                    </w:rPr>
                    <w:t>）</w:t>
                  </w:r>
                </w:p>
              </w:tc>
              <w:tc>
                <w:tcPr>
                  <w:tcW w:w="961"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产生量（t/a）</w:t>
                  </w:r>
                </w:p>
              </w:tc>
              <w:tc>
                <w:tcPr>
                  <w:tcW w:w="1519"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产生浓度（mg/Nm</w:t>
                  </w:r>
                  <w:r>
                    <w:rPr>
                      <w:rFonts w:hint="default" w:ascii="Times New Roman" w:hAnsi="Times New Roman" w:cs="Times New Roman"/>
                      <w:vertAlign w:val="superscript"/>
                    </w:rPr>
                    <w:t>3</w:t>
                  </w:r>
                  <w:r>
                    <w:rPr>
                      <w:rFonts w:hint="default" w:ascii="Times New Roman" w:hAnsi="Times New Roman" w:cs="Times New Roman"/>
                    </w:rPr>
                    <w:t>）</w:t>
                  </w:r>
                </w:p>
              </w:tc>
              <w:tc>
                <w:tcPr>
                  <w:tcW w:w="959" w:type="dxa"/>
                  <w:tcBorders>
                    <w:top w:val="nil"/>
                    <w:left w:val="nil"/>
                    <w:bottom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产生量（t/a）</w:t>
                  </w:r>
                </w:p>
              </w:tc>
            </w:tr>
            <w:tr>
              <w:tblPrEx>
                <w:tblCellMar>
                  <w:top w:w="0" w:type="dxa"/>
                  <w:left w:w="108" w:type="dxa"/>
                  <w:bottom w:w="0" w:type="dxa"/>
                  <w:right w:w="108" w:type="dxa"/>
                </w:tblCellMar>
              </w:tblPrEx>
              <w:trPr>
                <w:trHeight w:val="70" w:hRule="atLeast"/>
                <w:jc w:val="center"/>
              </w:trPr>
              <w:tc>
                <w:tcPr>
                  <w:tcW w:w="1192" w:type="dxa"/>
                  <w:vMerge w:val="restart"/>
                  <w:tcBorders>
                    <w:top w:val="single" w:color="auto" w:sz="4" w:space="0"/>
                    <w:left w:val="nil"/>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1#醇基锅炉</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SO</w:t>
                  </w:r>
                  <w:r>
                    <w:rPr>
                      <w:rFonts w:hint="default" w:ascii="Times New Roman" w:hAnsi="Times New Roman" w:cs="Times New Roman"/>
                      <w:vertAlign w:val="subscript"/>
                    </w:rPr>
                    <w:t>2</w:t>
                  </w:r>
                </w:p>
              </w:tc>
              <w:tc>
                <w:tcPr>
                  <w:tcW w:w="966" w:type="dxa"/>
                  <w:tcBorders>
                    <w:top w:val="nil"/>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kern w:val="2"/>
                      <w:szCs w:val="24"/>
                      <w:lang w:bidi="ar"/>
                    </w:rPr>
                    <w:t>0.1</w:t>
                  </w:r>
                </w:p>
              </w:tc>
              <w:tc>
                <w:tcPr>
                  <w:tcW w:w="957" w:type="dxa"/>
                  <w:vMerge w:val="restart"/>
                  <w:tcBorders>
                    <w:top w:val="nil"/>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242.4</w:t>
                  </w:r>
                </w:p>
              </w:tc>
              <w:tc>
                <w:tcPr>
                  <w:tcW w:w="15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96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c>
                <w:tcPr>
                  <w:tcW w:w="15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959" w:type="dxa"/>
                  <w:tcBorders>
                    <w:top w:val="nil"/>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r>
            <w:tr>
              <w:tblPrEx>
                <w:tblCellMar>
                  <w:top w:w="0" w:type="dxa"/>
                  <w:left w:w="108" w:type="dxa"/>
                  <w:bottom w:w="0" w:type="dxa"/>
                  <w:right w:w="108" w:type="dxa"/>
                </w:tblCellMar>
              </w:tblPrEx>
              <w:trPr>
                <w:trHeight w:val="70" w:hRule="atLeast"/>
                <w:jc w:val="center"/>
              </w:trPr>
              <w:tc>
                <w:tcPr>
                  <w:tcW w:w="1192" w:type="dxa"/>
                  <w:vMerge w:val="continue"/>
                  <w:tcBorders>
                    <w:top w:val="single" w:color="auto" w:sz="4" w:space="0"/>
                    <w:left w:val="nil"/>
                    <w:bottom w:val="single" w:color="auto" w:sz="4" w:space="0"/>
                    <w:right w:val="single" w:color="auto" w:sz="4" w:space="0"/>
                  </w:tcBorders>
                  <w:vAlign w:val="center"/>
                </w:tcPr>
                <w:p>
                  <w:pPr>
                    <w:pStyle w:val="87"/>
                    <w:rPr>
                      <w:rFonts w:hint="default" w:ascii="Times New Roman" w:hAnsi="Times New Roman" w:cs="Times New Roman"/>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NO</w:t>
                  </w:r>
                  <w:r>
                    <w:rPr>
                      <w:rFonts w:hint="default" w:ascii="Times New Roman" w:hAnsi="Times New Roman" w:cs="Times New Roman"/>
                      <w:vertAlign w:val="subscript"/>
                    </w:rPr>
                    <w:t>x</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0.59</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hint="default" w:ascii="Times New Roman" w:hAnsi="Times New Roman" w:cs="Times New Roma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959"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r>
            <w:tr>
              <w:tblPrEx>
                <w:tblCellMar>
                  <w:top w:w="0" w:type="dxa"/>
                  <w:left w:w="108" w:type="dxa"/>
                  <w:bottom w:w="0" w:type="dxa"/>
                  <w:right w:w="108" w:type="dxa"/>
                </w:tblCellMar>
              </w:tblPrEx>
              <w:trPr>
                <w:trHeight w:val="66" w:hRule="atLeast"/>
                <w:jc w:val="center"/>
              </w:trPr>
              <w:tc>
                <w:tcPr>
                  <w:tcW w:w="1192" w:type="dxa"/>
                  <w:vMerge w:val="continue"/>
                  <w:tcBorders>
                    <w:top w:val="single" w:color="auto" w:sz="4" w:space="0"/>
                    <w:left w:val="nil"/>
                    <w:bottom w:val="single" w:color="auto" w:sz="4" w:space="0"/>
                    <w:right w:val="single" w:color="auto" w:sz="4" w:space="0"/>
                  </w:tcBorders>
                  <w:vAlign w:val="center"/>
                </w:tcPr>
                <w:p>
                  <w:pPr>
                    <w:pStyle w:val="87"/>
                    <w:rPr>
                      <w:rFonts w:hint="default" w:ascii="Times New Roman" w:hAnsi="Times New Roman" w:cs="Times New Roman"/>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0.26</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hint="default" w:ascii="Times New Roman" w:hAnsi="Times New Roman" w:cs="Times New Roma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959"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r>
            <w:tr>
              <w:tblPrEx>
                <w:tblCellMar>
                  <w:top w:w="0" w:type="dxa"/>
                  <w:left w:w="108" w:type="dxa"/>
                  <w:bottom w:w="0" w:type="dxa"/>
                  <w:right w:w="108" w:type="dxa"/>
                </w:tblCellMar>
              </w:tblPrEx>
              <w:trPr>
                <w:trHeight w:val="149" w:hRule="atLeast"/>
                <w:jc w:val="center"/>
              </w:trPr>
              <w:tc>
                <w:tcPr>
                  <w:tcW w:w="1192" w:type="dxa"/>
                  <w:vMerge w:val="restart"/>
                  <w:tcBorders>
                    <w:top w:val="single" w:color="auto" w:sz="4" w:space="0"/>
                    <w:left w:val="nil"/>
                    <w:right w:val="single" w:color="auto" w:sz="4" w:space="0"/>
                  </w:tcBorders>
                  <w:vAlign w:val="center"/>
                </w:tcPr>
                <w:p>
                  <w:pPr>
                    <w:pStyle w:val="87"/>
                    <w:rPr>
                      <w:rFonts w:hint="default" w:ascii="Times New Roman" w:hAnsi="Times New Roman" w:cs="Times New Roman"/>
                    </w:rPr>
                  </w:pPr>
                  <w:r>
                    <w:rPr>
                      <w:rFonts w:hint="default" w:ascii="Times New Roman" w:hAnsi="Times New Roman" w:cs="Times New Roman"/>
                    </w:rPr>
                    <w:t>2#醇基锅炉</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SO</w:t>
                  </w:r>
                  <w:r>
                    <w:rPr>
                      <w:rFonts w:hint="default" w:ascii="Times New Roman" w:hAnsi="Times New Roman" w:cs="Times New Roman"/>
                      <w:vertAlign w:val="subscript"/>
                    </w:rPr>
                    <w:t>2</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kern w:val="2"/>
                      <w:szCs w:val="24"/>
                      <w:lang w:bidi="ar"/>
                    </w:rPr>
                    <w:t>0.1</w:t>
                  </w:r>
                </w:p>
              </w:tc>
              <w:tc>
                <w:tcPr>
                  <w:tcW w:w="957" w:type="dxa"/>
                  <w:vMerge w:val="restart"/>
                  <w:tcBorders>
                    <w:top w:val="single" w:color="auto" w:sz="4" w:space="0"/>
                    <w:left w:val="single" w:color="auto" w:sz="4" w:space="0"/>
                    <w:right w:val="single" w:color="auto" w:sz="4" w:space="0"/>
                  </w:tcBorders>
                  <w:vAlign w:val="center"/>
                </w:tcPr>
                <w:p>
                  <w:pPr>
                    <w:pStyle w:val="87"/>
                    <w:rPr>
                      <w:rFonts w:hint="default" w:ascii="Times New Roman" w:hAnsi="Times New Roman" w:cs="Times New Roman"/>
                    </w:rPr>
                  </w:pPr>
                  <w:r>
                    <w:rPr>
                      <w:rFonts w:hint="default" w:ascii="Times New Roman" w:hAnsi="Times New Roman" w:cs="Times New Roman"/>
                    </w:rPr>
                    <w:t>242.4</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959"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r>
            <w:tr>
              <w:tblPrEx>
                <w:tblCellMar>
                  <w:top w:w="0" w:type="dxa"/>
                  <w:left w:w="108" w:type="dxa"/>
                  <w:bottom w:w="0" w:type="dxa"/>
                  <w:right w:w="108" w:type="dxa"/>
                </w:tblCellMar>
              </w:tblPrEx>
              <w:trPr>
                <w:trHeight w:val="228" w:hRule="atLeast"/>
                <w:jc w:val="center"/>
              </w:trPr>
              <w:tc>
                <w:tcPr>
                  <w:tcW w:w="1192" w:type="dxa"/>
                  <w:vMerge w:val="continue"/>
                  <w:tcBorders>
                    <w:left w:val="nil"/>
                    <w:right w:val="single" w:color="auto" w:sz="4" w:space="0"/>
                  </w:tcBorders>
                  <w:vAlign w:val="center"/>
                </w:tcPr>
                <w:p>
                  <w:pPr>
                    <w:pStyle w:val="87"/>
                    <w:rPr>
                      <w:rFonts w:hint="default" w:ascii="Times New Roman" w:hAnsi="Times New Roman" w:cs="Times New Roman"/>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NO</w:t>
                  </w:r>
                  <w:r>
                    <w:rPr>
                      <w:rFonts w:hint="default" w:ascii="Times New Roman" w:hAnsi="Times New Roman" w:cs="Times New Roman"/>
                      <w:vertAlign w:val="subscript"/>
                    </w:rPr>
                    <w:t>x</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0.59</w:t>
                  </w:r>
                </w:p>
              </w:tc>
              <w:tc>
                <w:tcPr>
                  <w:tcW w:w="957" w:type="dxa"/>
                  <w:vMerge w:val="continue"/>
                  <w:tcBorders>
                    <w:left w:val="single" w:color="auto" w:sz="4" w:space="0"/>
                    <w:right w:val="single" w:color="auto" w:sz="4" w:space="0"/>
                  </w:tcBorders>
                  <w:vAlign w:val="center"/>
                </w:tcPr>
                <w:p>
                  <w:pPr>
                    <w:pStyle w:val="87"/>
                    <w:rPr>
                      <w:rFonts w:hint="default" w:ascii="Times New Roman" w:hAnsi="Times New Roman" w:cs="Times New Roma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959"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r>
            <w:tr>
              <w:tblPrEx>
                <w:tblCellMar>
                  <w:top w:w="0" w:type="dxa"/>
                  <w:left w:w="108" w:type="dxa"/>
                  <w:bottom w:w="0" w:type="dxa"/>
                  <w:right w:w="108" w:type="dxa"/>
                </w:tblCellMar>
              </w:tblPrEx>
              <w:trPr>
                <w:trHeight w:val="66" w:hRule="atLeast"/>
                <w:jc w:val="center"/>
              </w:trPr>
              <w:tc>
                <w:tcPr>
                  <w:tcW w:w="1192" w:type="dxa"/>
                  <w:vMerge w:val="continue"/>
                  <w:tcBorders>
                    <w:left w:val="nil"/>
                    <w:bottom w:val="single" w:color="000000" w:sz="4" w:space="0"/>
                    <w:right w:val="single" w:color="auto" w:sz="4" w:space="0"/>
                  </w:tcBorders>
                  <w:vAlign w:val="center"/>
                </w:tcPr>
                <w:p>
                  <w:pPr>
                    <w:pStyle w:val="87"/>
                    <w:rPr>
                      <w:rFonts w:hint="default" w:ascii="Times New Roman" w:hAnsi="Times New Roman" w:cs="Times New Roman"/>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0.26</w:t>
                  </w:r>
                </w:p>
              </w:tc>
              <w:tc>
                <w:tcPr>
                  <w:tcW w:w="957" w:type="dxa"/>
                  <w:vMerge w:val="continue"/>
                  <w:tcBorders>
                    <w:left w:val="single" w:color="auto" w:sz="4" w:space="0"/>
                    <w:bottom w:val="single" w:color="000000" w:sz="4" w:space="0"/>
                    <w:right w:val="single" w:color="auto" w:sz="4" w:space="0"/>
                  </w:tcBorders>
                  <w:vAlign w:val="center"/>
                </w:tcPr>
                <w:p>
                  <w:pPr>
                    <w:pStyle w:val="87"/>
                    <w:rPr>
                      <w:rFonts w:hint="default" w:ascii="Times New Roman" w:hAnsi="Times New Roman" w:cs="Times New Roma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959"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r>
          </w:tbl>
          <w:p>
            <w:pPr>
              <w:overflowPunct w:val="0"/>
              <w:ind w:firstLine="480" w:firstLineChars="200"/>
              <w:rPr>
                <w:rFonts w:hint="default" w:ascii="Times New Roman" w:hAnsi="Times New Roman" w:cs="Times New Roman"/>
                <w:snapToGrid w:val="0"/>
                <w:kern w:val="0"/>
              </w:rPr>
            </w:pPr>
            <w:r>
              <w:rPr>
                <w:rFonts w:hint="default" w:ascii="Times New Roman" w:hAnsi="Times New Roman" w:cs="Times New Roman"/>
                <w:snapToGrid w:val="0"/>
                <w:kern w:val="0"/>
              </w:rPr>
              <w:t>③物料储存输送粉尘</w:t>
            </w:r>
          </w:p>
          <w:p>
            <w:pPr>
              <w:widowControl/>
              <w:ind w:firstLine="480" w:firstLineChars="200"/>
              <w:rPr>
                <w:rFonts w:hint="default" w:ascii="Times New Roman" w:hAnsi="Times New Roman" w:cs="Times New Roman"/>
              </w:rPr>
            </w:pPr>
            <w:r>
              <w:rPr>
                <w:rFonts w:hint="default" w:ascii="Times New Roman" w:hAnsi="Times New Roman" w:cs="Times New Roman"/>
              </w:rPr>
              <w:t>本项目水泥、外加剂以压缩空气吹入筒仓，辅以螺旋输送机给电子计量秤供料。物料上料采用密闭式螺旋上料方式，物料上料过程不会产生粉尘。</w:t>
            </w:r>
          </w:p>
          <w:p>
            <w:pPr>
              <w:adjustRightInd w:val="0"/>
              <w:ind w:firstLine="48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rPr>
              <w:t>本项目</w:t>
            </w:r>
            <w:r>
              <w:rPr>
                <w:rFonts w:hint="default" w:ascii="Times New Roman" w:hAnsi="Times New Roman" w:cs="Times New Roman"/>
              </w:rPr>
              <w:t>设置2个</w:t>
            </w:r>
            <w:r>
              <w:rPr>
                <w:rFonts w:hint="default" w:ascii="Times New Roman" w:hAnsi="Times New Roman" w:cs="Times New Roman"/>
                <w:shd w:val="clear" w:color="auto" w:fill="FFFFFF"/>
              </w:rPr>
              <w:t>100t</w:t>
            </w:r>
            <w:r>
              <w:rPr>
                <w:rFonts w:hint="default" w:ascii="Times New Roman" w:hAnsi="Times New Roman" w:cs="Times New Roman"/>
              </w:rPr>
              <w:t>筒仓用于储存水泥、1个</w:t>
            </w:r>
            <w:r>
              <w:rPr>
                <w:rFonts w:hint="default" w:ascii="Times New Roman" w:hAnsi="Times New Roman" w:cs="Times New Roman"/>
                <w:shd w:val="clear" w:color="auto" w:fill="FFFFFF"/>
              </w:rPr>
              <w:t>100t</w:t>
            </w:r>
            <w:r>
              <w:rPr>
                <w:rFonts w:hint="default" w:ascii="Times New Roman" w:hAnsi="Times New Roman" w:cs="Times New Roman"/>
              </w:rPr>
              <w:t>储存外加剂</w:t>
            </w:r>
            <w:r>
              <w:rPr>
                <w:rFonts w:hint="default" w:ascii="Times New Roman" w:hAnsi="Times New Roman" w:cs="Times New Roman"/>
                <w:snapToGrid w:val="0"/>
                <w:kern w:val="0"/>
              </w:rPr>
              <w:t>。</w:t>
            </w:r>
            <w:r>
              <w:rPr>
                <w:rFonts w:hint="default" w:ascii="Times New Roman" w:hAnsi="Times New Roman" w:cs="Times New Roman"/>
              </w:rPr>
              <w:t>根据《排放源统计调查产排污核算方法和系数手册》（生态环境部公告2021年第24号）“3021水泥制品制造”行业系数手册，此类物料</w:t>
            </w:r>
            <w:r>
              <w:rPr>
                <w:rFonts w:hint="default" w:ascii="Times New Roman" w:hAnsi="Times New Roman" w:cs="Times New Roman"/>
                <w:snapToGrid w:val="0"/>
                <w:kern w:val="0"/>
              </w:rPr>
              <w:t>储存</w:t>
            </w:r>
            <w:r>
              <w:rPr>
                <w:rFonts w:hint="default" w:ascii="Times New Roman" w:hAnsi="Times New Roman" w:cs="Times New Roman"/>
              </w:rPr>
              <w:t>输送粉尘颗粒物产污系数为0.19kg/t产</w:t>
            </w:r>
            <w:r>
              <w:rPr>
                <w:rFonts w:hint="default" w:ascii="Times New Roman" w:hAnsi="Times New Roman" w:cs="Times New Roman"/>
                <w:szCs w:val="21"/>
              </w:rPr>
              <w:t>品</w:t>
            </w:r>
            <w:r>
              <w:rPr>
                <w:rFonts w:hint="default" w:ascii="Times New Roman" w:hAnsi="Times New Roman" w:cs="Times New Roman"/>
                <w:snapToGrid w:val="0"/>
                <w:kern w:val="0"/>
                <w:szCs w:val="21"/>
              </w:rPr>
              <w:t>，每个筒仓设置一台脉冲反吹式布袋除尘器，风量为4000m</w:t>
            </w:r>
            <w:r>
              <w:rPr>
                <w:rFonts w:hint="default" w:ascii="Times New Roman" w:hAnsi="Times New Roman" w:cs="Times New Roman"/>
                <w:snapToGrid w:val="0"/>
                <w:kern w:val="0"/>
                <w:szCs w:val="21"/>
                <w:vertAlign w:val="superscript"/>
              </w:rPr>
              <w:t>3</w:t>
            </w:r>
            <w:r>
              <w:rPr>
                <w:rFonts w:hint="default" w:ascii="Times New Roman" w:hAnsi="Times New Roman" w:cs="Times New Roman"/>
                <w:snapToGrid w:val="0"/>
                <w:kern w:val="0"/>
                <w:szCs w:val="21"/>
              </w:rPr>
              <w:t>/h。筒仓内粉尘经脉冲反吹式布袋除尘器（收集效率100%，除尘效率99.7%）处理后回落到筒仓回用，处理后的尾气通过</w:t>
            </w:r>
            <w:r>
              <w:rPr>
                <w:rFonts w:hint="eastAsia" w:cs="Times New Roman"/>
                <w:snapToGrid w:val="0"/>
                <w:kern w:val="0"/>
                <w:szCs w:val="21"/>
                <w:lang w:val="en-US" w:eastAsia="zh-CN"/>
              </w:rPr>
              <w:t>除尘器排风口排放</w:t>
            </w:r>
            <w:r>
              <w:rPr>
                <w:rFonts w:hint="default" w:ascii="Times New Roman" w:hAnsi="Times New Roman" w:cs="Times New Roman"/>
                <w:snapToGrid w:val="0"/>
                <w:kern w:val="0"/>
                <w:szCs w:val="21"/>
              </w:rPr>
              <w:t>。</w:t>
            </w:r>
          </w:p>
          <w:p>
            <w:pPr>
              <w:ind w:firstLine="48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本项目水泥年消耗量为95000t/a，罐车卸料至筒仓时间约2h（根据企业提供资料，按30t/辆水泥罐车计），则水泥卸料时间约6333h，单个水泥筒仓卸料时间为3166h。单个水泥筒仓粉尘产生量为9.03t，经脉冲反吹式（收集效率100%，除尘效率99.7%）处理后通过</w:t>
            </w:r>
            <w:r>
              <w:rPr>
                <w:rFonts w:hint="eastAsia" w:cs="Times New Roman"/>
                <w:snapToGrid w:val="0"/>
                <w:kern w:val="0"/>
                <w:szCs w:val="21"/>
                <w:lang w:val="en-US" w:eastAsia="zh-CN"/>
              </w:rPr>
              <w:t>除尘器排风口排放</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DA004、DA005</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，排放量为0.027t/a、排放速率为0.0085kg/h，排放浓度2.14mg/m</w:t>
            </w:r>
            <w:r>
              <w:rPr>
                <w:rFonts w:hint="default" w:ascii="Times New Roman" w:hAnsi="Times New Roman" w:cs="Times New Roman"/>
                <w:color w:val="000000" w:themeColor="text1"/>
                <w:szCs w:val="21"/>
                <w:vertAlign w:val="superscript"/>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w:t>
            </w:r>
          </w:p>
          <w:p>
            <w:pPr>
              <w:adjustRightInd w:val="0"/>
              <w:ind w:firstLine="48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本项目外加剂年消耗量为1000t/a，罐车卸料至筒仓时间约2h（根据企业提供资料，按30t/辆罐车计），则粉煤灰卸料时间约66h，则外加剂筒仓粉尘产生量为0.19t，经脉冲反吹式布袋除尘器（收集效率100%，除尘效率99.7%）处理后通过</w:t>
            </w:r>
            <w:r>
              <w:rPr>
                <w:rFonts w:hint="eastAsia" w:cs="Times New Roman"/>
                <w:snapToGrid w:val="0"/>
                <w:kern w:val="0"/>
                <w:szCs w:val="21"/>
                <w:lang w:val="en-US" w:eastAsia="zh-CN"/>
              </w:rPr>
              <w:t>除尘器排风口</w:t>
            </w:r>
            <w:r>
              <w:rPr>
                <w:rFonts w:hint="default" w:ascii="Times New Roman" w:hAnsi="Times New Roman" w:cs="Times New Roman"/>
                <w:color w:val="000000" w:themeColor="text1"/>
                <w:szCs w:val="21"/>
                <w14:textFill>
                  <w14:solidFill>
                    <w14:schemeClr w14:val="tx1"/>
                  </w14:solidFill>
                </w14:textFill>
              </w:rPr>
              <w:t>排放</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DA006）</w:t>
            </w:r>
            <w:r>
              <w:rPr>
                <w:rFonts w:hint="default" w:ascii="Times New Roman" w:hAnsi="Times New Roman" w:cs="Times New Roman"/>
                <w:color w:val="000000" w:themeColor="text1"/>
                <w:szCs w:val="21"/>
                <w14:textFill>
                  <w14:solidFill>
                    <w14:schemeClr w14:val="tx1"/>
                  </w14:solidFill>
                </w14:textFill>
              </w:rPr>
              <w:t>，排放量为0.00057t/a、排放速率为0.0086kg/h，排放浓度2.15mg/m</w:t>
            </w:r>
            <w:r>
              <w:rPr>
                <w:rFonts w:hint="default" w:ascii="Times New Roman" w:hAnsi="Times New Roman" w:cs="Times New Roman"/>
                <w:color w:val="000000" w:themeColor="text1"/>
                <w:szCs w:val="21"/>
                <w:vertAlign w:val="superscript"/>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w:t>
            </w:r>
          </w:p>
          <w:p>
            <w:pPr>
              <w:pStyle w:val="36"/>
              <w:spacing w:after="0"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4 \* GB3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④</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食堂油烟</w:t>
            </w:r>
          </w:p>
          <w:p>
            <w:pPr>
              <w:pStyle w:val="36"/>
              <w:spacing w:after="0" w:line="360" w:lineRule="auto"/>
              <w:ind w:firstLine="480" w:firstLineChars="200"/>
              <w:jc w:val="both"/>
              <w:rPr>
                <w:rFonts w:hint="default" w:ascii="Times New Roman" w:hAnsi="Times New Roman" w:eastAsia="宋体" w:cs="Times New Roman"/>
                <w:bCs/>
                <w:snapToGrid/>
                <w:kern w:val="2"/>
                <w:sz w:val="24"/>
                <w:szCs w:val="24"/>
              </w:rPr>
            </w:pPr>
            <w:r>
              <w:rPr>
                <w:rFonts w:hint="default" w:ascii="Times New Roman" w:hAnsi="Times New Roman" w:eastAsia="宋体" w:cs="Times New Roman"/>
                <w:bCs/>
                <w:snapToGrid/>
                <w:kern w:val="2"/>
                <w:sz w:val="24"/>
                <w:szCs w:val="24"/>
              </w:rPr>
              <w:t>根据对城市居民用油情况的类比调查，目前居民人均食用油日用量约30g/人·d，根据相关资料统计，烹饪油烟浓度一般为2mg/m</w:t>
            </w:r>
            <w:r>
              <w:rPr>
                <w:rFonts w:hint="default" w:ascii="Times New Roman" w:hAnsi="Times New Roman" w:eastAsia="宋体" w:cs="Times New Roman"/>
                <w:bCs/>
                <w:snapToGrid/>
                <w:kern w:val="2"/>
                <w:sz w:val="24"/>
                <w:szCs w:val="24"/>
                <w:vertAlign w:val="superscript"/>
              </w:rPr>
              <w:t>3</w:t>
            </w:r>
            <w:r>
              <w:rPr>
                <w:rFonts w:hint="default" w:ascii="Times New Roman" w:hAnsi="Times New Roman" w:eastAsia="宋体" w:cs="Times New Roman"/>
                <w:bCs/>
                <w:snapToGrid/>
                <w:kern w:val="2"/>
                <w:sz w:val="24"/>
                <w:szCs w:val="24"/>
              </w:rPr>
              <w:t>，一般油烟挥发量占总耗油量的2～4%，平均为2.83%，本项目运营期在厂区食宿有50人，则本项目油烟产生量约为12.725kg/a，食堂燃料采用天然气，在灶台处安装带集气罩的油烟净化器，油烟处理后通过专用烟道高空排放。油烟平均去除率按80%计，油烟排放量为2.6kg/a，按单头炉灶的基准排风量2500m</w:t>
            </w:r>
            <w:r>
              <w:rPr>
                <w:rFonts w:hint="default" w:ascii="Times New Roman" w:hAnsi="Times New Roman" w:eastAsia="宋体" w:cs="Times New Roman"/>
                <w:bCs/>
                <w:snapToGrid/>
                <w:kern w:val="2"/>
                <w:sz w:val="24"/>
                <w:szCs w:val="24"/>
                <w:vertAlign w:val="superscript"/>
              </w:rPr>
              <w:t>3</w:t>
            </w:r>
            <w:r>
              <w:rPr>
                <w:rFonts w:hint="default" w:ascii="Times New Roman" w:hAnsi="Times New Roman" w:eastAsia="宋体" w:cs="Times New Roman"/>
                <w:bCs/>
                <w:snapToGrid/>
                <w:kern w:val="2"/>
                <w:sz w:val="24"/>
                <w:szCs w:val="24"/>
              </w:rPr>
              <w:t>/h（每天炒菜烹饪时间按照60min计算），产生浓度为1.36mg/m</w:t>
            </w:r>
            <w:r>
              <w:rPr>
                <w:rFonts w:hint="default" w:ascii="Times New Roman" w:hAnsi="Times New Roman" w:eastAsia="宋体" w:cs="Times New Roman"/>
                <w:bCs/>
                <w:snapToGrid/>
                <w:kern w:val="2"/>
                <w:sz w:val="24"/>
                <w:szCs w:val="24"/>
                <w:vertAlign w:val="superscript"/>
              </w:rPr>
              <w:t>3</w:t>
            </w:r>
            <w:r>
              <w:rPr>
                <w:rFonts w:hint="default" w:ascii="Times New Roman" w:hAnsi="Times New Roman" w:eastAsia="宋体" w:cs="Times New Roman"/>
                <w:bCs/>
                <w:snapToGrid/>
                <w:kern w:val="2"/>
                <w:sz w:val="24"/>
                <w:szCs w:val="24"/>
              </w:rPr>
              <w:t>。</w:t>
            </w:r>
          </w:p>
          <w:p>
            <w:pPr>
              <w:pStyle w:val="36"/>
              <w:numPr>
                <w:ilvl w:val="0"/>
                <w:numId w:val="8"/>
              </w:numPr>
              <w:spacing w:after="0"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无组织废气</w:t>
            </w:r>
          </w:p>
          <w:p>
            <w:pPr>
              <w:overflowPunct w:val="0"/>
              <w:ind w:firstLine="480" w:firstLineChars="200"/>
              <w:rPr>
                <w:rFonts w:hint="default" w:ascii="Times New Roman" w:hAnsi="Times New Roman" w:cs="Times New Roman"/>
                <w:szCs w:val="21"/>
              </w:rPr>
            </w:pPr>
            <w:r>
              <w:rPr>
                <w:rFonts w:hint="default" w:ascii="Times New Roman" w:hAnsi="Times New Roman" w:cs="Times New Roman"/>
                <w:snapToGrid w:val="0"/>
                <w:kern w:val="0"/>
                <w:szCs w:val="21"/>
              </w:rPr>
              <w:t>①</w:t>
            </w:r>
            <w:r>
              <w:rPr>
                <w:rFonts w:hint="default" w:ascii="Times New Roman" w:hAnsi="Times New Roman" w:cs="Times New Roman"/>
                <w:szCs w:val="21"/>
              </w:rPr>
              <w:t>骨料堆存粉尘</w:t>
            </w:r>
          </w:p>
          <w:p>
            <w:pPr>
              <w:ind w:firstLine="480" w:firstLineChars="200"/>
              <w:rPr>
                <w:rFonts w:hint="default" w:ascii="Times New Roman" w:hAnsi="Times New Roman" w:cs="Times New Roman"/>
                <w:sz w:val="24"/>
                <w:szCs w:val="24"/>
              </w:rPr>
            </w:pPr>
            <w:r>
              <w:rPr>
                <w:rFonts w:hint="default" w:ascii="Times New Roman" w:hAnsi="Times New Roman" w:cs="Times New Roman"/>
                <w:szCs w:val="21"/>
              </w:rPr>
              <w:t>本项目原料砂子、石子均在</w:t>
            </w:r>
            <w:r>
              <w:rPr>
                <w:rFonts w:hint="eastAsia" w:cs="Times New Roman"/>
                <w:szCs w:val="21"/>
                <w:lang w:val="en-US" w:eastAsia="zh-CN"/>
              </w:rPr>
              <w:t>生产车间堆料区</w:t>
            </w:r>
            <w:r>
              <w:rPr>
                <w:rFonts w:hint="default" w:ascii="Times New Roman" w:hAnsi="Times New Roman" w:cs="Times New Roman"/>
                <w:szCs w:val="21"/>
              </w:rPr>
              <w:t>中储存，较小粒径的砂子、石子在风力作用下会产生一定的扬尘。沙粒之间由于石粉存在具有一定的黏结力，在堆存过程中主要是表层沙由于表面水分蒸发而起尘，因此要保证表面含水率，即可最大程度的减少颗粒物的产生；石子颗粒较大，在保证石子表面一定的含水率即可将该部分颗粒物降至最低。因此本次评价不再考虑砂石堆存扬尘。防尘措施符合《工业料堆场扬尘整治规范》（DB65/T4061—2017）</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1 \* ROMAN </w:instrText>
            </w:r>
            <w:r>
              <w:rPr>
                <w:rFonts w:hint="default" w:ascii="Times New Roman" w:hAnsi="Times New Roman" w:cs="Times New Roman"/>
                <w:szCs w:val="21"/>
              </w:rPr>
              <w:fldChar w:fldCharType="separate"/>
            </w:r>
            <w:r>
              <w:rPr>
                <w:rFonts w:hint="default" w:ascii="Times New Roman" w:hAnsi="Times New Roman" w:cs="Times New Roman"/>
                <w:szCs w:val="21"/>
              </w:rPr>
              <w:t>I</w:t>
            </w:r>
            <w:r>
              <w:rPr>
                <w:rFonts w:hint="default" w:ascii="Times New Roman" w:hAnsi="Times New Roman" w:cs="Times New Roman"/>
                <w:szCs w:val="21"/>
              </w:rPr>
              <w:fldChar w:fldCharType="end"/>
            </w:r>
            <w:r>
              <w:rPr>
                <w:rFonts w:hint="default" w:ascii="Times New Roman" w:hAnsi="Times New Roman" w:cs="Times New Roman"/>
                <w:szCs w:val="21"/>
              </w:rPr>
              <w:t>类堆场</w:t>
            </w:r>
            <w:r>
              <w:rPr>
                <w:rFonts w:hint="default" w:ascii="Times New Roman" w:hAnsi="Times New Roman" w:cs="Times New Roman"/>
                <w:sz w:val="24"/>
                <w:szCs w:val="24"/>
              </w:rPr>
              <w:t>方案要求，防治措施可行性。</w:t>
            </w:r>
          </w:p>
          <w:p>
            <w:pPr>
              <w:overflowPunct w:val="0"/>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②混合搅拌无组织粉尘</w:t>
            </w:r>
          </w:p>
          <w:p>
            <w:pPr>
              <w:pStyle w:val="36"/>
              <w:spacing w:after="0" w:line="360" w:lineRule="auto"/>
              <w:ind w:firstLine="480" w:firstLineChars="200"/>
              <w:jc w:val="both"/>
              <w:rPr>
                <w:rFonts w:hint="default" w:ascii="Times New Roman" w:hAnsi="Times New Roman" w:eastAsia="微软雅黑" w:cs="Times New Roman"/>
                <w:snapToGrid/>
                <w:kern w:val="2"/>
                <w:sz w:val="24"/>
                <w:szCs w:val="24"/>
                <w:lang w:val="en-US" w:eastAsia="zh-CN"/>
              </w:rPr>
            </w:pPr>
            <w:r>
              <w:rPr>
                <w:rFonts w:hint="default" w:ascii="Times New Roman" w:hAnsi="Times New Roman" w:eastAsia="宋体" w:cs="Times New Roman"/>
                <w:snapToGrid/>
                <w:kern w:val="2"/>
                <w:sz w:val="24"/>
                <w:szCs w:val="24"/>
              </w:rPr>
              <w:t>建设单位拟在搅拌入料口安装集气罩和布袋除尘器。废气经集气罩（收集效率90％），搅拌粉尘产生量为204t/a，则搅拌机无组织粉尘产生量为20.4t/a。</w:t>
            </w:r>
            <w:r>
              <w:rPr>
                <w:rFonts w:hint="eastAsia" w:eastAsia="宋体" w:cs="Times New Roman"/>
                <w:snapToGrid/>
                <w:kern w:val="2"/>
                <w:sz w:val="24"/>
                <w:szCs w:val="24"/>
                <w:lang w:val="en-US" w:eastAsia="zh-CN"/>
              </w:rPr>
              <w:t>项目搅拌位机位于生产车间内，经生产车间自然沉降及洒水抑尘，对粉尘的处理效率约为90%，因此</w:t>
            </w:r>
            <w:r>
              <w:rPr>
                <w:rFonts w:hint="default" w:eastAsia="宋体" w:cs="Times New Roman"/>
                <w:snapToGrid/>
                <w:kern w:val="2"/>
                <w:sz w:val="24"/>
                <w:szCs w:val="24"/>
                <w:lang w:val="en-US" w:eastAsia="zh-CN"/>
              </w:rPr>
              <w:t>混合搅拌无组织粉尘</w:t>
            </w:r>
            <w:r>
              <w:rPr>
                <w:rFonts w:hint="eastAsia" w:eastAsia="宋体" w:cs="Times New Roman"/>
                <w:snapToGrid/>
                <w:kern w:val="2"/>
                <w:sz w:val="24"/>
                <w:szCs w:val="24"/>
                <w:lang w:val="en-US" w:eastAsia="zh-CN"/>
              </w:rPr>
              <w:t>排放量为2.4t/a。</w:t>
            </w:r>
          </w:p>
          <w:p>
            <w:pPr>
              <w:pStyle w:val="37"/>
              <w:ind w:firstLine="480" w:firstLineChars="200"/>
              <w:jc w:val="left"/>
              <w:rPr>
                <w:rFonts w:hint="default" w:ascii="Times New Roman" w:hAnsi="Times New Roman" w:cs="Times New Roman"/>
                <w:b w:val="0"/>
                <w:color w:val="auto"/>
                <w:sz w:val="24"/>
                <w:szCs w:val="24"/>
              </w:rPr>
            </w:pPr>
            <w:r>
              <w:rPr>
                <w:rFonts w:hint="default" w:ascii="Times New Roman" w:hAnsi="Times New Roman" w:cs="Times New Roman"/>
                <w:b w:val="0"/>
                <w:color w:val="auto"/>
                <w:sz w:val="24"/>
                <w:szCs w:val="24"/>
              </w:rPr>
              <w:t>③运输粉尘</w:t>
            </w:r>
          </w:p>
          <w:p>
            <w:pPr>
              <w:ind w:firstLine="480" w:firstLineChars="200"/>
              <w:rPr>
                <w:rFonts w:hint="default" w:ascii="Times New Roman" w:hAnsi="Times New Roman" w:cs="Times New Roman"/>
                <w:szCs w:val="21"/>
              </w:rPr>
            </w:pPr>
            <w:r>
              <w:rPr>
                <w:rFonts w:hint="default" w:ascii="Times New Roman" w:hAnsi="Times New Roman" w:cs="Times New Roman"/>
                <w:szCs w:val="21"/>
              </w:rPr>
              <w:t>工程交通运输起尘采用下述公式进行计算：</w:t>
            </w:r>
          </w:p>
          <w:p>
            <w:pPr>
              <w:jc w:val="center"/>
              <w:rPr>
                <w:rFonts w:hint="default" w:ascii="Times New Roman" w:hAnsi="Times New Roman" w:cs="Times New Roman"/>
                <w:szCs w:val="21"/>
              </w:rPr>
            </w:pPr>
            <w:r>
              <w:rPr>
                <w:rFonts w:hint="default" w:ascii="Times New Roman" w:hAnsi="Times New Roman" w:cs="Times New Roman"/>
                <w:szCs w:val="21"/>
              </w:rPr>
              <w:t>Q</w:t>
            </w:r>
            <w:r>
              <w:rPr>
                <w:rFonts w:hint="default" w:ascii="Times New Roman" w:hAnsi="Times New Roman" w:cs="Times New Roman"/>
                <w:szCs w:val="21"/>
                <w:vertAlign w:val="subscript"/>
              </w:rPr>
              <w:t>y</w:t>
            </w:r>
            <w:r>
              <w:rPr>
                <w:rFonts w:hint="default" w:ascii="Times New Roman" w:hAnsi="Times New Roman" w:cs="Times New Roman"/>
                <w:szCs w:val="21"/>
              </w:rPr>
              <w:t>=0.123×（V/5）×（M/6.8）</w:t>
            </w:r>
            <w:r>
              <w:rPr>
                <w:rFonts w:hint="default" w:ascii="Times New Roman" w:hAnsi="Times New Roman" w:cs="Times New Roman"/>
                <w:szCs w:val="21"/>
                <w:vertAlign w:val="superscript"/>
              </w:rPr>
              <w:t>0.85</w:t>
            </w:r>
            <w:r>
              <w:rPr>
                <w:rFonts w:hint="default" w:ascii="Times New Roman" w:hAnsi="Times New Roman" w:cs="Times New Roman"/>
                <w:szCs w:val="21"/>
              </w:rPr>
              <w:t>×（P/0.5）</w:t>
            </w:r>
            <w:r>
              <w:rPr>
                <w:rFonts w:hint="default" w:ascii="Times New Roman" w:hAnsi="Times New Roman" w:cs="Times New Roman"/>
                <w:szCs w:val="21"/>
                <w:vertAlign w:val="superscript"/>
              </w:rPr>
              <w:t>0.72</w:t>
            </w:r>
          </w:p>
          <w:p>
            <w:pPr>
              <w:jc w:val="center"/>
              <w:rPr>
                <w:rFonts w:hint="default" w:ascii="Times New Roman" w:hAnsi="Times New Roman" w:cs="Times New Roman"/>
                <w:szCs w:val="21"/>
              </w:rPr>
            </w:pPr>
            <w:r>
              <w:rPr>
                <w:rFonts w:hint="default" w:ascii="Times New Roman" w:hAnsi="Times New Roman" w:cs="Times New Roman"/>
                <w:szCs w:val="21"/>
              </w:rPr>
              <w:t>Q</w:t>
            </w:r>
            <w:r>
              <w:rPr>
                <w:rFonts w:hint="default" w:ascii="Times New Roman" w:hAnsi="Times New Roman" w:cs="Times New Roman"/>
                <w:szCs w:val="21"/>
                <w:vertAlign w:val="subscript"/>
              </w:rPr>
              <w:t>t</w:t>
            </w:r>
            <w:r>
              <w:rPr>
                <w:rFonts w:hint="default" w:ascii="Times New Roman" w:hAnsi="Times New Roman" w:cs="Times New Roman"/>
                <w:szCs w:val="21"/>
              </w:rPr>
              <w:t>=Q</w:t>
            </w:r>
            <w:r>
              <w:rPr>
                <w:rFonts w:hint="default" w:ascii="Times New Roman" w:hAnsi="Times New Roman" w:cs="Times New Roman"/>
                <w:szCs w:val="21"/>
                <w:vertAlign w:val="subscript"/>
              </w:rPr>
              <w:t>y</w:t>
            </w:r>
            <w:r>
              <w:rPr>
                <w:rFonts w:hint="default" w:ascii="Times New Roman" w:hAnsi="Times New Roman" w:cs="Times New Roman"/>
                <w:szCs w:val="21"/>
              </w:rPr>
              <w:t>×L×（Q/M）</w:t>
            </w:r>
          </w:p>
          <w:p>
            <w:pPr>
              <w:ind w:firstLine="480" w:firstLineChars="200"/>
              <w:rPr>
                <w:rFonts w:hint="default" w:ascii="Times New Roman" w:hAnsi="Times New Roman" w:cs="Times New Roman"/>
                <w:szCs w:val="21"/>
              </w:rPr>
            </w:pPr>
            <w:r>
              <w:rPr>
                <w:rFonts w:hint="default" w:ascii="Times New Roman" w:hAnsi="Times New Roman" w:cs="Times New Roman"/>
                <w:szCs w:val="21"/>
              </w:rPr>
              <w:t>式中：Q</w:t>
            </w:r>
            <w:r>
              <w:rPr>
                <w:rFonts w:hint="default" w:ascii="Times New Roman" w:hAnsi="Times New Roman" w:cs="Times New Roman"/>
                <w:szCs w:val="21"/>
                <w:vertAlign w:val="subscript"/>
              </w:rPr>
              <w:t>y</w:t>
            </w:r>
            <w:r>
              <w:rPr>
                <w:rFonts w:hint="default" w:ascii="Times New Roman" w:hAnsi="Times New Roman" w:cs="Times New Roman"/>
                <w:szCs w:val="21"/>
              </w:rPr>
              <w:t>—交通运输起尘量，kg/km·辆；</w:t>
            </w:r>
          </w:p>
          <w:p>
            <w:pPr>
              <w:ind w:firstLine="1200" w:firstLineChars="500"/>
              <w:rPr>
                <w:rFonts w:hint="default" w:ascii="Times New Roman" w:hAnsi="Times New Roman" w:cs="Times New Roman"/>
                <w:szCs w:val="21"/>
              </w:rPr>
            </w:pPr>
            <w:r>
              <w:rPr>
                <w:rFonts w:hint="default" w:ascii="Times New Roman" w:hAnsi="Times New Roman" w:cs="Times New Roman"/>
                <w:szCs w:val="21"/>
              </w:rPr>
              <w:t>Q</w:t>
            </w:r>
            <w:r>
              <w:rPr>
                <w:rFonts w:hint="default" w:ascii="Times New Roman" w:hAnsi="Times New Roman" w:cs="Times New Roman"/>
                <w:szCs w:val="21"/>
                <w:vertAlign w:val="subscript"/>
              </w:rPr>
              <w:t>t</w:t>
            </w:r>
            <w:r>
              <w:rPr>
                <w:rFonts w:hint="default" w:ascii="Times New Roman" w:hAnsi="Times New Roman" w:cs="Times New Roman"/>
                <w:szCs w:val="21"/>
              </w:rPr>
              <w:t>—运输途中起尘量，kg/a；</w:t>
            </w:r>
          </w:p>
          <w:p>
            <w:pPr>
              <w:ind w:firstLine="1200" w:firstLineChars="500"/>
              <w:rPr>
                <w:rFonts w:hint="default" w:ascii="Times New Roman" w:hAnsi="Times New Roman" w:cs="Times New Roman"/>
                <w:szCs w:val="21"/>
              </w:rPr>
            </w:pPr>
            <w:r>
              <w:rPr>
                <w:rFonts w:hint="default" w:ascii="Times New Roman" w:hAnsi="Times New Roman" w:cs="Times New Roman"/>
                <w:szCs w:val="21"/>
              </w:rPr>
              <w:t>V—车辆行驶速度，km/h；</w:t>
            </w:r>
          </w:p>
          <w:p>
            <w:pPr>
              <w:ind w:firstLine="1200" w:firstLineChars="500"/>
              <w:rPr>
                <w:rFonts w:hint="default" w:ascii="Times New Roman" w:hAnsi="Times New Roman" w:cs="Times New Roman"/>
                <w:szCs w:val="21"/>
              </w:rPr>
            </w:pPr>
            <w:r>
              <w:rPr>
                <w:rFonts w:hint="default" w:ascii="Times New Roman" w:hAnsi="Times New Roman" w:cs="Times New Roman"/>
                <w:szCs w:val="21"/>
              </w:rPr>
              <w:t>P—路面状况，以每平方米路面灰尘覆盖率表示，kg/m</w:t>
            </w:r>
            <w:r>
              <w:rPr>
                <w:rFonts w:hint="default" w:ascii="Times New Roman" w:hAnsi="Times New Roman" w:cs="Times New Roman"/>
                <w:szCs w:val="21"/>
                <w:vertAlign w:val="superscript"/>
              </w:rPr>
              <w:t>2</w:t>
            </w:r>
            <w:r>
              <w:rPr>
                <w:rFonts w:hint="default" w:ascii="Times New Roman" w:hAnsi="Times New Roman" w:cs="Times New Roman"/>
                <w:szCs w:val="21"/>
              </w:rPr>
              <w:t>；</w:t>
            </w:r>
          </w:p>
          <w:p>
            <w:pPr>
              <w:ind w:firstLine="1200" w:firstLineChars="500"/>
              <w:rPr>
                <w:rFonts w:hint="default" w:ascii="Times New Roman" w:hAnsi="Times New Roman" w:cs="Times New Roman"/>
                <w:szCs w:val="21"/>
              </w:rPr>
            </w:pPr>
            <w:r>
              <w:rPr>
                <w:rFonts w:hint="default" w:ascii="Times New Roman" w:hAnsi="Times New Roman" w:cs="Times New Roman"/>
                <w:szCs w:val="21"/>
              </w:rPr>
              <w:t>M—车辆载重，t/辆；</w:t>
            </w:r>
          </w:p>
          <w:p>
            <w:pPr>
              <w:ind w:firstLine="1200" w:firstLineChars="500"/>
              <w:rPr>
                <w:rFonts w:hint="default" w:ascii="Times New Roman" w:hAnsi="Times New Roman" w:cs="Times New Roman"/>
                <w:szCs w:val="21"/>
              </w:rPr>
            </w:pPr>
            <w:r>
              <w:rPr>
                <w:rFonts w:hint="default" w:ascii="Times New Roman" w:hAnsi="Times New Roman" w:cs="Times New Roman"/>
                <w:szCs w:val="21"/>
              </w:rPr>
              <w:t>L—运输距离，km；</w:t>
            </w:r>
          </w:p>
          <w:p>
            <w:pPr>
              <w:ind w:firstLine="1200" w:firstLineChars="500"/>
              <w:rPr>
                <w:rFonts w:hint="default" w:ascii="Times New Roman" w:hAnsi="Times New Roman" w:cs="Times New Roman"/>
                <w:szCs w:val="21"/>
              </w:rPr>
            </w:pPr>
            <w:r>
              <w:rPr>
                <w:rFonts w:hint="default" w:ascii="Times New Roman" w:hAnsi="Times New Roman" w:cs="Times New Roman"/>
                <w:szCs w:val="21"/>
              </w:rPr>
              <w:t>Q—运输量，t/a。</w:t>
            </w:r>
          </w:p>
          <w:p>
            <w:pPr>
              <w:pStyle w:val="39"/>
              <w:spacing w:before="24" w:after="24"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kern w:val="2"/>
                <w:sz w:val="24"/>
                <w:szCs w:val="24"/>
              </w:rPr>
              <w:t>本项目原料运输车辆为需要运送时租赁，载重30吨，原料输送量为96000t/a，车辆在厂区内行驶距离按50m计，以速度15km/h行驶。基于这种情况，本环评对道路路况粉尘以0.0005kg/m</w:t>
            </w:r>
            <w:r>
              <w:rPr>
                <w:rFonts w:hint="default" w:ascii="Times New Roman" w:hAnsi="Times New Roman" w:cs="Times New Roman"/>
                <w:kern w:val="2"/>
                <w:sz w:val="24"/>
                <w:szCs w:val="24"/>
                <w:vertAlign w:val="superscript"/>
              </w:rPr>
              <w:t>2</w:t>
            </w:r>
            <w:r>
              <w:rPr>
                <w:rFonts w:hint="default" w:ascii="Times New Roman" w:hAnsi="Times New Roman" w:cs="Times New Roman"/>
                <w:kern w:val="2"/>
                <w:sz w:val="24"/>
                <w:szCs w:val="24"/>
              </w:rPr>
              <w:t>计，则运输途中起尘量为1.44t/a。根据本项目的现况，本环评要求对厂区内道路进行硬化并定时洒水，及时清扫路面，以减少道路扬尘。类比同类型项目，该措施能减少道路扬尘约80%，则因车辆运输造成的粉尘量为0.288t/a。</w:t>
            </w:r>
          </w:p>
          <w:p>
            <w:pPr>
              <w:overflowPunct w:val="0"/>
              <w:ind w:firstLine="480" w:firstLineChars="200"/>
              <w:rPr>
                <w:rFonts w:hint="eastAsia" w:ascii="Times New Roman" w:hAnsi="Times New Roman" w:eastAsia="宋体" w:cs="Times New Roman"/>
                <w:szCs w:val="21"/>
                <w:lang w:eastAsia="zh-CN"/>
              </w:rPr>
            </w:pPr>
            <w:r>
              <w:rPr>
                <w:rFonts w:hint="default" w:ascii="Times New Roman" w:hAnsi="Times New Roman" w:cs="Times New Roman"/>
                <w:szCs w:val="21"/>
              </w:rPr>
              <w:t>综上分析，本项目废气产生及排放情况见下表4-4总量控制见表4-5</w:t>
            </w:r>
            <w:r>
              <w:rPr>
                <w:rFonts w:hint="eastAsia" w:cs="Times New Roman"/>
                <w:szCs w:val="21"/>
                <w:lang w:eastAsia="zh-CN"/>
              </w:rPr>
              <w:t>。</w:t>
            </w:r>
          </w:p>
          <w:p>
            <w:pPr>
              <w:pStyle w:val="38"/>
              <w:rPr>
                <w:rFonts w:hint="default" w:ascii="Times New Roman" w:hAnsi="Times New Roman" w:cs="Times New Roman"/>
              </w:rPr>
            </w:pPr>
            <w:r>
              <w:rPr>
                <w:rFonts w:hint="default" w:ascii="Times New Roman" w:hAnsi="Times New Roman" w:cs="Times New Roman"/>
              </w:rPr>
              <w:t>表4-4废气产生及排放情况一览表</w:t>
            </w:r>
          </w:p>
          <w:tbl>
            <w:tblPr>
              <w:tblStyle w:val="26"/>
              <w:tblW w:w="8315"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85"/>
              <w:gridCol w:w="1327"/>
              <w:gridCol w:w="659"/>
              <w:gridCol w:w="840"/>
              <w:gridCol w:w="1017"/>
              <w:gridCol w:w="829"/>
              <w:gridCol w:w="1174"/>
              <w:gridCol w:w="568"/>
              <w:gridCol w:w="724"/>
              <w:gridCol w:w="69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85"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排放形式</w:t>
                  </w:r>
                </w:p>
              </w:tc>
              <w:tc>
                <w:tcPr>
                  <w:tcW w:w="1327"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废气源</w:t>
                  </w:r>
                </w:p>
              </w:tc>
              <w:tc>
                <w:tcPr>
                  <w:tcW w:w="1499" w:type="dxa"/>
                  <w:gridSpan w:val="2"/>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产生浓度（mg/m3）</w:t>
                  </w:r>
                </w:p>
              </w:tc>
              <w:tc>
                <w:tcPr>
                  <w:tcW w:w="1017"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产生速率（kg/h）</w:t>
                  </w:r>
                </w:p>
              </w:tc>
              <w:tc>
                <w:tcPr>
                  <w:tcW w:w="82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产生量（t/a）</w:t>
                  </w:r>
                </w:p>
              </w:tc>
              <w:tc>
                <w:tcPr>
                  <w:tcW w:w="1174"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处理措施</w:t>
                  </w:r>
                </w:p>
              </w:tc>
              <w:tc>
                <w:tcPr>
                  <w:tcW w:w="568"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排放浓度（mg/m</w:t>
                  </w:r>
                  <w:r>
                    <w:rPr>
                      <w:rFonts w:hint="default" w:ascii="Times New Roman" w:hAnsi="Times New Roman" w:cs="Times New Roman"/>
                      <w:vertAlign w:val="superscript"/>
                    </w:rPr>
                    <w:t>3</w:t>
                  </w:r>
                  <w:r>
                    <w:rPr>
                      <w:rFonts w:hint="default" w:ascii="Times New Roman" w:hAnsi="Times New Roman" w:cs="Times New Roman"/>
                    </w:rPr>
                    <w:t>）</w:t>
                  </w:r>
                </w:p>
              </w:tc>
              <w:tc>
                <w:tcPr>
                  <w:tcW w:w="724"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排放速率（kg/h）</w:t>
                  </w:r>
                </w:p>
              </w:tc>
              <w:tc>
                <w:tcPr>
                  <w:tcW w:w="692"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排放量（t/a）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485" w:type="dxa"/>
                  <w:vMerge w:val="restart"/>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有组织</w:t>
                  </w:r>
                </w:p>
              </w:tc>
              <w:tc>
                <w:tcPr>
                  <w:tcW w:w="1327" w:type="dxa"/>
                  <w:tcBorders>
                    <w:tl2br w:val="nil"/>
                    <w:tr2bl w:val="nil"/>
                  </w:tcBorders>
                  <w:shd w:val="clear" w:color="auto" w:fill="auto"/>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混合搅拌粉尘</w:t>
                  </w:r>
                  <w:r>
                    <w:rPr>
                      <w:rFonts w:hint="eastAsia" w:ascii="Times New Roman" w:hAnsi="Times New Roman" w:cs="Times New Roman"/>
                      <w:lang w:eastAsia="zh-CN"/>
                    </w:rPr>
                    <w:t>（</w:t>
                  </w:r>
                  <w:r>
                    <w:rPr>
                      <w:rFonts w:hint="default" w:ascii="Times New Roman" w:hAnsi="Times New Roman" w:cs="Times New Roman"/>
                    </w:rPr>
                    <w:t>DA001</w:t>
                  </w:r>
                  <w:r>
                    <w:rPr>
                      <w:rFonts w:hint="eastAsia" w:ascii="Times New Roman" w:hAnsi="Times New Roman" w:cs="Times New Roman"/>
                      <w:lang w:eastAsia="zh-CN"/>
                    </w:rPr>
                    <w:t>）</w:t>
                  </w:r>
                </w:p>
              </w:tc>
              <w:tc>
                <w:tcPr>
                  <w:tcW w:w="1499" w:type="dxa"/>
                  <w:gridSpan w:val="2"/>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4054.26</w:t>
                  </w:r>
                </w:p>
              </w:tc>
              <w:tc>
                <w:tcPr>
                  <w:tcW w:w="1017"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85.2</w:t>
                  </w:r>
                </w:p>
              </w:tc>
              <w:tc>
                <w:tcPr>
                  <w:tcW w:w="82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204.48</w:t>
                  </w:r>
                </w:p>
              </w:tc>
              <w:tc>
                <w:tcPr>
                  <w:tcW w:w="1174"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布袋除尘器</w:t>
                  </w:r>
                </w:p>
              </w:tc>
              <w:tc>
                <w:tcPr>
                  <w:tcW w:w="568"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7.66</w:t>
                  </w:r>
                </w:p>
              </w:tc>
              <w:tc>
                <w:tcPr>
                  <w:tcW w:w="724"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0.23</w:t>
                  </w:r>
                </w:p>
              </w:tc>
              <w:tc>
                <w:tcPr>
                  <w:tcW w:w="692"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vMerge w:val="restart"/>
                  <w:tcBorders>
                    <w:tl2br w:val="nil"/>
                    <w:tr2bl w:val="nil"/>
                  </w:tcBorders>
                  <w:shd w:val="clear" w:color="auto" w:fill="auto"/>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锅炉烟气</w:t>
                  </w:r>
                  <w:r>
                    <w:rPr>
                      <w:rFonts w:hint="eastAsia" w:ascii="Times New Roman" w:hAnsi="Times New Roman" w:cs="Times New Roman"/>
                      <w:lang w:eastAsia="zh-CN"/>
                    </w:rPr>
                    <w:t>（</w:t>
                  </w:r>
                  <w:r>
                    <w:rPr>
                      <w:rFonts w:hint="default" w:ascii="Times New Roman" w:hAnsi="Times New Roman" w:cs="Times New Roman"/>
                    </w:rPr>
                    <w:t>DA002</w:t>
                  </w:r>
                  <w:r>
                    <w:rPr>
                      <w:rFonts w:hint="eastAsia" w:ascii="Times New Roman" w:hAnsi="Times New Roman" w:cs="Times New Roman"/>
                      <w:lang w:eastAsia="zh-CN"/>
                    </w:rPr>
                    <w:t>）</w:t>
                  </w:r>
                </w:p>
              </w:tc>
              <w:tc>
                <w:tcPr>
                  <w:tcW w:w="65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SO</w:t>
                  </w:r>
                  <w:r>
                    <w:rPr>
                      <w:rFonts w:hint="default" w:ascii="Times New Roman" w:hAnsi="Times New Roman" w:cs="Times New Roman"/>
                      <w:vertAlign w:val="subscript"/>
                    </w:rPr>
                    <w:t>2</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0.020</w:t>
                  </w:r>
                </w:p>
              </w:tc>
              <w:tc>
                <w:tcPr>
                  <w:tcW w:w="82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c>
                <w:tcPr>
                  <w:tcW w:w="1174" w:type="dxa"/>
                  <w:vMerge w:val="restart"/>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w:t>
                  </w:r>
                </w:p>
              </w:tc>
              <w:tc>
                <w:tcPr>
                  <w:tcW w:w="56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72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0.020</w:t>
                  </w:r>
                </w:p>
              </w:tc>
              <w:tc>
                <w:tcPr>
                  <w:tcW w:w="69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65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NOx</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0.119</w:t>
                  </w:r>
                </w:p>
              </w:tc>
              <w:tc>
                <w:tcPr>
                  <w:tcW w:w="82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c>
                <w:tcPr>
                  <w:tcW w:w="1174"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56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72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0.119</w:t>
                  </w:r>
                </w:p>
              </w:tc>
              <w:tc>
                <w:tcPr>
                  <w:tcW w:w="69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65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0.053</w:t>
                  </w:r>
                </w:p>
              </w:tc>
              <w:tc>
                <w:tcPr>
                  <w:tcW w:w="82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c>
                <w:tcPr>
                  <w:tcW w:w="1174"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56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72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0.053</w:t>
                  </w:r>
                </w:p>
              </w:tc>
              <w:tc>
                <w:tcPr>
                  <w:tcW w:w="69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vMerge w:val="restart"/>
                  <w:tcBorders>
                    <w:tl2br w:val="nil"/>
                    <w:tr2bl w:val="nil"/>
                  </w:tcBorders>
                  <w:shd w:val="clear" w:color="auto" w:fill="auto"/>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锅炉烟气</w:t>
                  </w:r>
                  <w:r>
                    <w:rPr>
                      <w:rFonts w:hint="eastAsia" w:ascii="Times New Roman" w:hAnsi="Times New Roman" w:cs="Times New Roman"/>
                      <w:lang w:eastAsia="zh-CN"/>
                    </w:rPr>
                    <w:t>（</w:t>
                  </w:r>
                  <w:r>
                    <w:rPr>
                      <w:rFonts w:hint="default" w:ascii="Times New Roman" w:hAnsi="Times New Roman" w:cs="Times New Roman"/>
                    </w:rPr>
                    <w:t>DA003</w:t>
                  </w:r>
                  <w:r>
                    <w:rPr>
                      <w:rFonts w:hint="eastAsia" w:ascii="Times New Roman" w:hAnsi="Times New Roman" w:cs="Times New Roman"/>
                      <w:lang w:eastAsia="zh-CN"/>
                    </w:rPr>
                    <w:t>）</w:t>
                  </w:r>
                </w:p>
              </w:tc>
              <w:tc>
                <w:tcPr>
                  <w:tcW w:w="65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SO</w:t>
                  </w:r>
                  <w:r>
                    <w:rPr>
                      <w:rFonts w:hint="default" w:ascii="Times New Roman" w:hAnsi="Times New Roman" w:cs="Times New Roman"/>
                      <w:vertAlign w:val="subscript"/>
                    </w:rPr>
                    <w:t>2</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0.020</w:t>
                  </w:r>
                </w:p>
              </w:tc>
              <w:tc>
                <w:tcPr>
                  <w:tcW w:w="82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c>
                <w:tcPr>
                  <w:tcW w:w="1174" w:type="dxa"/>
                  <w:vMerge w:val="restart"/>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w:t>
                  </w:r>
                </w:p>
              </w:tc>
              <w:tc>
                <w:tcPr>
                  <w:tcW w:w="56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72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0.020</w:t>
                  </w:r>
                </w:p>
              </w:tc>
              <w:tc>
                <w:tcPr>
                  <w:tcW w:w="69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65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NOx</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0.119</w:t>
                  </w:r>
                </w:p>
              </w:tc>
              <w:tc>
                <w:tcPr>
                  <w:tcW w:w="82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c>
                <w:tcPr>
                  <w:tcW w:w="1174"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56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72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0.119</w:t>
                  </w:r>
                </w:p>
              </w:tc>
              <w:tc>
                <w:tcPr>
                  <w:tcW w:w="69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65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0.053</w:t>
                  </w:r>
                </w:p>
              </w:tc>
              <w:tc>
                <w:tcPr>
                  <w:tcW w:w="82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c>
                <w:tcPr>
                  <w:tcW w:w="1174"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56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72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0.053</w:t>
                  </w:r>
                </w:p>
              </w:tc>
              <w:tc>
                <w:tcPr>
                  <w:tcW w:w="69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tcBorders>
                    <w:tl2br w:val="nil"/>
                    <w:tr2bl w:val="nil"/>
                  </w:tcBorders>
                  <w:shd w:val="clear" w:color="auto" w:fill="auto"/>
                  <w:vAlign w:val="center"/>
                </w:tcPr>
                <w:p>
                  <w:pPr>
                    <w:pStyle w:val="87"/>
                    <w:rPr>
                      <w:rFonts w:hint="eastAsia"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水泥筒仓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4</w:t>
                  </w:r>
                  <w:r>
                    <w:rPr>
                      <w:rFonts w:hint="eastAsia" w:ascii="Times New Roman" w:hAnsi="Times New Roman" w:cs="Times New Roman"/>
                      <w:lang w:eastAsia="zh-CN"/>
                    </w:rPr>
                    <w:t>）</w:t>
                  </w:r>
                </w:p>
              </w:tc>
              <w:tc>
                <w:tcPr>
                  <w:tcW w:w="65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颗粒物</w:t>
                  </w:r>
                </w:p>
              </w:tc>
              <w:tc>
                <w:tcPr>
                  <w:tcW w:w="840"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713.045</w:t>
                  </w:r>
                </w:p>
              </w:tc>
              <w:tc>
                <w:tcPr>
                  <w:tcW w:w="101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2.852</w:t>
                  </w:r>
                </w:p>
              </w:tc>
              <w:tc>
                <w:tcPr>
                  <w:tcW w:w="82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9.03</w:t>
                  </w:r>
                </w:p>
              </w:tc>
              <w:tc>
                <w:tcPr>
                  <w:tcW w:w="1174" w:type="dxa"/>
                  <w:vMerge w:val="restart"/>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布袋除尘器</w:t>
                  </w:r>
                </w:p>
              </w:tc>
              <w:tc>
                <w:tcPr>
                  <w:tcW w:w="568"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2.14</w:t>
                  </w:r>
                </w:p>
              </w:tc>
              <w:tc>
                <w:tcPr>
                  <w:tcW w:w="724"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0.0085</w:t>
                  </w:r>
                </w:p>
              </w:tc>
              <w:tc>
                <w:tcPr>
                  <w:tcW w:w="692"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0.027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水泥筒仓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5</w:t>
                  </w:r>
                  <w:r>
                    <w:rPr>
                      <w:rFonts w:hint="eastAsia" w:ascii="Times New Roman" w:hAnsi="Times New Roman" w:cs="Times New Roman"/>
                      <w:lang w:eastAsia="zh-CN"/>
                    </w:rPr>
                    <w:t>）</w:t>
                  </w:r>
                </w:p>
              </w:tc>
              <w:tc>
                <w:tcPr>
                  <w:tcW w:w="65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颗粒物</w:t>
                  </w:r>
                </w:p>
              </w:tc>
              <w:tc>
                <w:tcPr>
                  <w:tcW w:w="840"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713.045</w:t>
                  </w:r>
                </w:p>
              </w:tc>
              <w:tc>
                <w:tcPr>
                  <w:tcW w:w="101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2.852</w:t>
                  </w:r>
                </w:p>
              </w:tc>
              <w:tc>
                <w:tcPr>
                  <w:tcW w:w="82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eastAsia" w:ascii="Times New Roman" w:hAnsi="Times New Roman" w:cs="Times New Roman"/>
                      <w:lang w:val="en-US" w:eastAsia="zh-CN"/>
                    </w:rPr>
                    <w:t>9.03</w:t>
                  </w:r>
                </w:p>
              </w:tc>
              <w:tc>
                <w:tcPr>
                  <w:tcW w:w="1174" w:type="dxa"/>
                  <w:vMerge w:val="continue"/>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p>
              </w:tc>
              <w:tc>
                <w:tcPr>
                  <w:tcW w:w="568"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2.14</w:t>
                  </w:r>
                </w:p>
              </w:tc>
              <w:tc>
                <w:tcPr>
                  <w:tcW w:w="724"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0.0085</w:t>
                  </w:r>
                </w:p>
              </w:tc>
              <w:tc>
                <w:tcPr>
                  <w:tcW w:w="692"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0.027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外加剂筒仓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6</w:t>
                  </w:r>
                  <w:r>
                    <w:rPr>
                      <w:rFonts w:hint="eastAsia" w:ascii="Times New Roman" w:hAnsi="Times New Roman" w:cs="Times New Roman"/>
                      <w:lang w:eastAsia="zh-CN"/>
                    </w:rPr>
                    <w:t>）</w:t>
                  </w:r>
                </w:p>
              </w:tc>
              <w:tc>
                <w:tcPr>
                  <w:tcW w:w="65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颗粒物</w:t>
                  </w:r>
                </w:p>
              </w:tc>
              <w:tc>
                <w:tcPr>
                  <w:tcW w:w="840"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47.5</w:t>
                  </w:r>
                </w:p>
              </w:tc>
              <w:tc>
                <w:tcPr>
                  <w:tcW w:w="101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2.878</w:t>
                  </w:r>
                </w:p>
              </w:tc>
              <w:tc>
                <w:tcPr>
                  <w:tcW w:w="82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0.19</w:t>
                  </w:r>
                </w:p>
              </w:tc>
              <w:tc>
                <w:tcPr>
                  <w:tcW w:w="1174" w:type="dxa"/>
                  <w:vMerge w:val="continue"/>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p>
              </w:tc>
              <w:tc>
                <w:tcPr>
                  <w:tcW w:w="568"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2.14</w:t>
                  </w:r>
                </w:p>
              </w:tc>
              <w:tc>
                <w:tcPr>
                  <w:tcW w:w="724"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0.0085</w:t>
                  </w:r>
                </w:p>
              </w:tc>
              <w:tc>
                <w:tcPr>
                  <w:tcW w:w="692"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0.00057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7"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食堂油烟</w:t>
                  </w:r>
                </w:p>
              </w:tc>
              <w:tc>
                <w:tcPr>
                  <w:tcW w:w="1499" w:type="dxa"/>
                  <w:gridSpan w:val="2"/>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w:t>
                  </w:r>
                </w:p>
              </w:tc>
              <w:tc>
                <w:tcPr>
                  <w:tcW w:w="1017"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w:t>
                  </w:r>
                </w:p>
              </w:tc>
              <w:tc>
                <w:tcPr>
                  <w:tcW w:w="829"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0.012</w:t>
                  </w:r>
                </w:p>
              </w:tc>
              <w:tc>
                <w:tcPr>
                  <w:tcW w:w="1174"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油烟净化器</w:t>
                  </w:r>
                </w:p>
              </w:tc>
              <w:tc>
                <w:tcPr>
                  <w:tcW w:w="568"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1.36</w:t>
                  </w:r>
                </w:p>
              </w:tc>
              <w:tc>
                <w:tcPr>
                  <w:tcW w:w="724"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w:t>
                  </w:r>
                </w:p>
              </w:tc>
              <w:tc>
                <w:tcPr>
                  <w:tcW w:w="692" w:type="dxa"/>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485" w:type="dxa"/>
                  <w:vMerge w:val="restart"/>
                  <w:tcBorders>
                    <w:tl2br w:val="nil"/>
                    <w:tr2bl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无组织</w:t>
                  </w:r>
                </w:p>
              </w:tc>
              <w:tc>
                <w:tcPr>
                  <w:tcW w:w="132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混合搅拌粉尘</w:t>
                  </w:r>
                </w:p>
              </w:tc>
              <w:tc>
                <w:tcPr>
                  <w:tcW w:w="1499" w:type="dxa"/>
                  <w:gridSpan w:val="2"/>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　</w:t>
                  </w:r>
                </w:p>
              </w:tc>
              <w:tc>
                <w:tcPr>
                  <w:tcW w:w="101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8.5</w:t>
                  </w:r>
                </w:p>
              </w:tc>
              <w:tc>
                <w:tcPr>
                  <w:tcW w:w="82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20.4</w:t>
                  </w:r>
                </w:p>
              </w:tc>
              <w:tc>
                <w:tcPr>
                  <w:tcW w:w="1174" w:type="dxa"/>
                  <w:tcBorders>
                    <w:tl2br w:val="nil"/>
                    <w:tr2bl w:val="nil"/>
                  </w:tcBorders>
                  <w:shd w:val="clear" w:color="auto" w:fill="auto"/>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车间自然沉降、洒水抑尘</w:t>
                  </w:r>
                </w:p>
              </w:tc>
              <w:tc>
                <w:tcPr>
                  <w:tcW w:w="568" w:type="dxa"/>
                  <w:tcBorders>
                    <w:tl2br w:val="nil"/>
                    <w:tr2bl w:val="nil"/>
                  </w:tcBorders>
                  <w:shd w:val="clear" w:color="auto" w:fill="auto"/>
                  <w:vAlign w:val="center"/>
                </w:tcPr>
                <w:p>
                  <w:pPr>
                    <w:pStyle w:val="87"/>
                    <w:jc w:val="both"/>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　/</w:t>
                  </w:r>
                </w:p>
              </w:tc>
              <w:tc>
                <w:tcPr>
                  <w:tcW w:w="724"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eastAsia" w:ascii="Times New Roman" w:hAnsi="Times New Roman" w:cs="Times New Roman"/>
                      <w:lang w:val="en-US" w:eastAsia="zh-CN"/>
                    </w:rPr>
                    <w:t>0.85</w:t>
                  </w:r>
                </w:p>
              </w:tc>
              <w:tc>
                <w:tcPr>
                  <w:tcW w:w="692"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w:t>
                  </w:r>
                  <w:r>
                    <w:rPr>
                      <w:rFonts w:hint="eastAsia" w:ascii="Times New Roman" w:hAnsi="Times New Roman" w:cs="Times New Roman"/>
                      <w:lang w:val="en-US" w:eastAsia="zh-CN"/>
                    </w:rPr>
                    <w:t>0</w:t>
                  </w:r>
                  <w:r>
                    <w:rPr>
                      <w:rFonts w:hint="default" w:ascii="Times New Roman" w:hAnsi="Times New Roman" w:cs="Times New Roman"/>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7" w:hRule="atLeast"/>
              </w:trPr>
              <w:tc>
                <w:tcPr>
                  <w:tcW w:w="485" w:type="dxa"/>
                  <w:vMerge w:val="continue"/>
                  <w:tcBorders>
                    <w:tl2br w:val="nil"/>
                    <w:tr2bl w:val="nil"/>
                  </w:tcBorders>
                  <w:shd w:val="clear" w:color="auto" w:fill="auto"/>
                  <w:vAlign w:val="center"/>
                </w:tcPr>
                <w:p>
                  <w:pPr>
                    <w:pStyle w:val="87"/>
                    <w:rPr>
                      <w:rFonts w:hint="default" w:ascii="Times New Roman" w:hAnsi="Times New Roman" w:cs="Times New Roman"/>
                    </w:rPr>
                  </w:pPr>
                </w:p>
              </w:tc>
              <w:tc>
                <w:tcPr>
                  <w:tcW w:w="132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运输粉尘</w:t>
                  </w:r>
                </w:p>
              </w:tc>
              <w:tc>
                <w:tcPr>
                  <w:tcW w:w="1499" w:type="dxa"/>
                  <w:gridSpan w:val="2"/>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w:t>
                  </w:r>
                </w:p>
              </w:tc>
              <w:tc>
                <w:tcPr>
                  <w:tcW w:w="1017"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w:t>
                  </w:r>
                </w:p>
              </w:tc>
              <w:tc>
                <w:tcPr>
                  <w:tcW w:w="829"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1.44</w:t>
                  </w:r>
                </w:p>
              </w:tc>
              <w:tc>
                <w:tcPr>
                  <w:tcW w:w="1174"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道路硬化并定时洒水，控制车速</w:t>
                  </w:r>
                </w:p>
              </w:tc>
              <w:tc>
                <w:tcPr>
                  <w:tcW w:w="568"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w:t>
                  </w:r>
                </w:p>
              </w:tc>
              <w:tc>
                <w:tcPr>
                  <w:tcW w:w="724"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w:t>
                  </w:r>
                </w:p>
              </w:tc>
              <w:tc>
                <w:tcPr>
                  <w:tcW w:w="692" w:type="dxa"/>
                  <w:tcBorders>
                    <w:tl2br w:val="nil"/>
                    <w:tr2bl w:val="nil"/>
                  </w:tcBorders>
                  <w:shd w:val="clear" w:color="auto" w:fill="auto"/>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0.288</w:t>
                  </w:r>
                </w:p>
              </w:tc>
            </w:tr>
          </w:tbl>
          <w:p>
            <w:pPr>
              <w:pStyle w:val="38"/>
              <w:rPr>
                <w:rFonts w:hint="default" w:ascii="Times New Roman" w:hAnsi="Times New Roman" w:cs="Times New Roman"/>
              </w:rPr>
            </w:pPr>
            <w:r>
              <w:rPr>
                <w:rFonts w:hint="default" w:ascii="Times New Roman" w:hAnsi="Times New Roman" w:cs="Times New Roman"/>
              </w:rPr>
              <w:t>表4-5大气污染物有组织排放量核算表</w:t>
            </w:r>
          </w:p>
          <w:tbl>
            <w:tblPr>
              <w:tblStyle w:val="26"/>
              <w:tblW w:w="8799" w:type="dxa"/>
              <w:jc w:val="center"/>
              <w:tblLayout w:type="fixed"/>
              <w:tblCellMar>
                <w:top w:w="0" w:type="dxa"/>
                <w:left w:w="108" w:type="dxa"/>
                <w:bottom w:w="0" w:type="dxa"/>
                <w:right w:w="108" w:type="dxa"/>
              </w:tblCellMar>
            </w:tblPr>
            <w:tblGrid>
              <w:gridCol w:w="970"/>
              <w:gridCol w:w="1885"/>
              <w:gridCol w:w="2621"/>
              <w:gridCol w:w="1292"/>
              <w:gridCol w:w="1102"/>
              <w:gridCol w:w="929"/>
            </w:tblGrid>
            <w:tr>
              <w:tblPrEx>
                <w:tblCellMar>
                  <w:top w:w="0" w:type="dxa"/>
                  <w:left w:w="108" w:type="dxa"/>
                  <w:bottom w:w="0" w:type="dxa"/>
                  <w:right w:w="108" w:type="dxa"/>
                </w:tblCellMar>
              </w:tblPrEx>
              <w:trPr>
                <w:trHeight w:val="684" w:hRule="atLeast"/>
                <w:jc w:val="center"/>
              </w:trPr>
              <w:tc>
                <w:tcPr>
                  <w:tcW w:w="970" w:type="dxa"/>
                  <w:tcBorders>
                    <w:top w:val="single" w:color="auto" w:sz="12"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序号</w:t>
                  </w:r>
                </w:p>
              </w:tc>
              <w:tc>
                <w:tcPr>
                  <w:tcW w:w="1885" w:type="dxa"/>
                  <w:tcBorders>
                    <w:top w:val="single" w:color="auto" w:sz="12"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排放口编号</w:t>
                  </w:r>
                </w:p>
              </w:tc>
              <w:tc>
                <w:tcPr>
                  <w:tcW w:w="2621" w:type="dxa"/>
                  <w:tcBorders>
                    <w:top w:val="single" w:color="auto" w:sz="12"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污染物</w:t>
                  </w:r>
                </w:p>
              </w:tc>
              <w:tc>
                <w:tcPr>
                  <w:tcW w:w="1292" w:type="dxa"/>
                  <w:tcBorders>
                    <w:top w:val="single" w:color="auto" w:sz="12"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核算排放浓度/（mg/m</w:t>
                  </w:r>
                  <w:r>
                    <w:rPr>
                      <w:rFonts w:hint="default" w:ascii="Times New Roman" w:hAnsi="Times New Roman" w:cs="Times New Roman"/>
                      <w:vertAlign w:val="superscript"/>
                    </w:rPr>
                    <w:t>3</w:t>
                  </w:r>
                  <w:r>
                    <w:rPr>
                      <w:rFonts w:hint="default" w:ascii="Times New Roman" w:hAnsi="Times New Roman" w:cs="Times New Roman"/>
                    </w:rPr>
                    <w:t>）</w:t>
                  </w:r>
                </w:p>
              </w:tc>
              <w:tc>
                <w:tcPr>
                  <w:tcW w:w="1102" w:type="dxa"/>
                  <w:tcBorders>
                    <w:top w:val="single" w:color="auto" w:sz="12"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核算排放速率/（kg/h）</w:t>
                  </w:r>
                </w:p>
              </w:tc>
              <w:tc>
                <w:tcPr>
                  <w:tcW w:w="929" w:type="dxa"/>
                  <w:tcBorders>
                    <w:top w:val="single" w:color="auto" w:sz="12" w:space="0"/>
                    <w:left w:val="nil"/>
                    <w:bottom w:val="single" w:color="auto" w:sz="8" w:space="0"/>
                    <w:right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核算年排放量（t/a）</w:t>
                  </w:r>
                </w:p>
              </w:tc>
            </w:tr>
            <w:tr>
              <w:tblPrEx>
                <w:tblCellMar>
                  <w:top w:w="0" w:type="dxa"/>
                  <w:left w:w="108" w:type="dxa"/>
                  <w:bottom w:w="0" w:type="dxa"/>
                  <w:right w:w="108" w:type="dxa"/>
                </w:tblCellMar>
              </w:tblPrEx>
              <w:trPr>
                <w:trHeight w:val="235" w:hRule="atLeast"/>
                <w:jc w:val="center"/>
              </w:trPr>
              <w:tc>
                <w:tcPr>
                  <w:tcW w:w="8799" w:type="dxa"/>
                  <w:gridSpan w:val="6"/>
                  <w:tcBorders>
                    <w:top w:val="single" w:color="auto" w:sz="8" w:space="0"/>
                    <w:left w:val="nil"/>
                    <w:bottom w:val="single" w:color="auto" w:sz="8" w:space="0"/>
                    <w:right w:val="nil"/>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一般排放口</w:t>
                  </w:r>
                </w:p>
              </w:tc>
            </w:tr>
            <w:tr>
              <w:tblPrEx>
                <w:tblCellMar>
                  <w:top w:w="0" w:type="dxa"/>
                  <w:left w:w="108" w:type="dxa"/>
                  <w:bottom w:w="0" w:type="dxa"/>
                  <w:right w:w="108" w:type="dxa"/>
                </w:tblCellMar>
              </w:tblPrEx>
              <w:trPr>
                <w:trHeight w:val="456" w:hRule="atLeast"/>
                <w:jc w:val="center"/>
              </w:trPr>
              <w:tc>
                <w:tcPr>
                  <w:tcW w:w="970"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1</w:t>
                  </w:r>
                </w:p>
              </w:tc>
              <w:tc>
                <w:tcPr>
                  <w:tcW w:w="1885" w:type="dxa"/>
                  <w:tcBorders>
                    <w:top w:val="nil"/>
                    <w:left w:val="nil"/>
                    <w:bottom w:val="single" w:color="auto" w:sz="8" w:space="0"/>
                    <w:right w:val="single" w:color="auto" w:sz="8" w:space="0"/>
                  </w:tcBorders>
                  <w:shd w:val="clear" w:color="auto" w:fill="auto"/>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混合搅拌粉尘</w:t>
                  </w:r>
                  <w:r>
                    <w:rPr>
                      <w:rFonts w:hint="eastAsia" w:ascii="Times New Roman" w:hAnsi="Times New Roman" w:cs="Times New Roman"/>
                      <w:lang w:eastAsia="zh-CN"/>
                    </w:rPr>
                    <w:t>（</w:t>
                  </w:r>
                  <w:r>
                    <w:rPr>
                      <w:rFonts w:hint="default" w:ascii="Times New Roman" w:hAnsi="Times New Roman" w:cs="Times New Roman"/>
                    </w:rPr>
                    <w:t>DA001</w:t>
                  </w:r>
                  <w:r>
                    <w:rPr>
                      <w:rFonts w:hint="eastAsia" w:ascii="Times New Roman" w:hAnsi="Times New Roman" w:cs="Times New Roman"/>
                      <w:lang w:eastAsia="zh-CN"/>
                    </w:rPr>
                    <w:t>）</w:t>
                  </w:r>
                </w:p>
              </w:tc>
              <w:tc>
                <w:tcPr>
                  <w:tcW w:w="2621"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92"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7.66</w:t>
                  </w:r>
                </w:p>
              </w:tc>
              <w:tc>
                <w:tcPr>
                  <w:tcW w:w="1102"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0.23</w:t>
                  </w:r>
                </w:p>
              </w:tc>
              <w:tc>
                <w:tcPr>
                  <w:tcW w:w="929" w:type="dxa"/>
                  <w:tcBorders>
                    <w:top w:val="nil"/>
                    <w:left w:val="nil"/>
                    <w:bottom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0.55</w:t>
                  </w:r>
                </w:p>
              </w:tc>
            </w:tr>
            <w:tr>
              <w:tblPrEx>
                <w:tblCellMar>
                  <w:top w:w="0" w:type="dxa"/>
                  <w:left w:w="108" w:type="dxa"/>
                  <w:bottom w:w="0" w:type="dxa"/>
                  <w:right w:w="108" w:type="dxa"/>
                </w:tblCellMar>
              </w:tblPrEx>
              <w:trPr>
                <w:trHeight w:val="249" w:hRule="atLeast"/>
                <w:jc w:val="center"/>
              </w:trPr>
              <w:tc>
                <w:tcPr>
                  <w:tcW w:w="970"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w:t>
                  </w:r>
                </w:p>
              </w:tc>
              <w:tc>
                <w:tcPr>
                  <w:tcW w:w="1885" w:type="dxa"/>
                  <w:vMerge w:val="restart"/>
                  <w:tcBorders>
                    <w:top w:val="nil"/>
                    <w:left w:val="single" w:color="auto" w:sz="8" w:space="0"/>
                    <w:bottom w:val="single" w:color="000000"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锅炉烟气（DA002）</w:t>
                  </w: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12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11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0.020</w:t>
                  </w:r>
                </w:p>
              </w:tc>
              <w:tc>
                <w:tcPr>
                  <w:tcW w:w="929" w:type="dxa"/>
                  <w:tcBorders>
                    <w:top w:val="single" w:color="auto" w:sz="8" w:space="0"/>
                    <w:left w:val="nil"/>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r>
            <w:tr>
              <w:tblPrEx>
                <w:tblCellMar>
                  <w:top w:w="0" w:type="dxa"/>
                  <w:left w:w="108" w:type="dxa"/>
                  <w:bottom w:w="0" w:type="dxa"/>
                  <w:right w:w="108" w:type="dxa"/>
                </w:tblCellMar>
              </w:tblPrEx>
              <w:trPr>
                <w:trHeight w:val="249" w:hRule="atLeast"/>
                <w:jc w:val="center"/>
              </w:trPr>
              <w:tc>
                <w:tcPr>
                  <w:tcW w:w="970"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3</w:t>
                  </w:r>
                </w:p>
              </w:tc>
              <w:tc>
                <w:tcPr>
                  <w:tcW w:w="1885" w:type="dxa"/>
                  <w:vMerge w:val="continue"/>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12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11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0.119</w:t>
                  </w:r>
                </w:p>
              </w:tc>
              <w:tc>
                <w:tcPr>
                  <w:tcW w:w="929" w:type="dxa"/>
                  <w:tcBorders>
                    <w:top w:val="single" w:color="auto" w:sz="8" w:space="0"/>
                    <w:left w:val="nil"/>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r>
            <w:tr>
              <w:tblPrEx>
                <w:tblCellMar>
                  <w:top w:w="0" w:type="dxa"/>
                  <w:left w:w="108" w:type="dxa"/>
                  <w:bottom w:w="0" w:type="dxa"/>
                  <w:right w:w="108" w:type="dxa"/>
                </w:tblCellMar>
              </w:tblPrEx>
              <w:trPr>
                <w:trHeight w:val="249" w:hRule="atLeast"/>
                <w:jc w:val="center"/>
              </w:trPr>
              <w:tc>
                <w:tcPr>
                  <w:tcW w:w="970" w:type="dxa"/>
                  <w:tcBorders>
                    <w:top w:val="nil"/>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4</w:t>
                  </w:r>
                </w:p>
              </w:tc>
              <w:tc>
                <w:tcPr>
                  <w:tcW w:w="1885" w:type="dxa"/>
                  <w:vMerge w:val="continue"/>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11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0.053</w:t>
                  </w:r>
                </w:p>
              </w:tc>
              <w:tc>
                <w:tcPr>
                  <w:tcW w:w="929" w:type="dxa"/>
                  <w:tcBorders>
                    <w:top w:val="single" w:color="auto" w:sz="8" w:space="0"/>
                    <w:left w:val="nil"/>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r>
            <w:tr>
              <w:tblPrEx>
                <w:tblCellMar>
                  <w:top w:w="0" w:type="dxa"/>
                  <w:left w:w="108" w:type="dxa"/>
                  <w:bottom w:w="0" w:type="dxa"/>
                  <w:right w:w="108" w:type="dxa"/>
                </w:tblCellMar>
              </w:tblPrEx>
              <w:trPr>
                <w:trHeight w:val="249" w:hRule="atLeast"/>
                <w:jc w:val="center"/>
              </w:trPr>
              <w:tc>
                <w:tcPr>
                  <w:tcW w:w="970" w:type="dxa"/>
                  <w:vMerge w:val="restart"/>
                  <w:tcBorders>
                    <w:top w:val="nil"/>
                    <w:left w:val="nil"/>
                    <w:bottom w:val="single" w:color="000000"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5</w:t>
                  </w:r>
                </w:p>
              </w:tc>
              <w:tc>
                <w:tcPr>
                  <w:tcW w:w="1885" w:type="dxa"/>
                  <w:vMerge w:val="restart"/>
                  <w:tcBorders>
                    <w:top w:val="nil"/>
                    <w:left w:val="single" w:color="auto" w:sz="8" w:space="0"/>
                    <w:bottom w:val="single" w:color="000000"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锅炉烟气（DA003）</w:t>
                  </w: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12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10.10</w:t>
                  </w:r>
                </w:p>
              </w:tc>
              <w:tc>
                <w:tcPr>
                  <w:tcW w:w="11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0.020</w:t>
                  </w:r>
                </w:p>
              </w:tc>
              <w:tc>
                <w:tcPr>
                  <w:tcW w:w="929" w:type="dxa"/>
                  <w:tcBorders>
                    <w:top w:val="single" w:color="auto" w:sz="8" w:space="0"/>
                    <w:left w:val="nil"/>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0.024</w:t>
                  </w:r>
                </w:p>
              </w:tc>
            </w:tr>
            <w:tr>
              <w:tblPrEx>
                <w:tblCellMar>
                  <w:top w:w="0" w:type="dxa"/>
                  <w:left w:w="108" w:type="dxa"/>
                  <w:bottom w:w="0" w:type="dxa"/>
                  <w:right w:w="108" w:type="dxa"/>
                </w:tblCellMar>
              </w:tblPrEx>
              <w:trPr>
                <w:trHeight w:val="249" w:hRule="atLeast"/>
                <w:jc w:val="center"/>
              </w:trPr>
              <w:tc>
                <w:tcPr>
                  <w:tcW w:w="970" w:type="dxa"/>
                  <w:vMerge w:val="continue"/>
                  <w:tcBorders>
                    <w:top w:val="nil"/>
                    <w:left w:val="nil"/>
                    <w:bottom w:val="single" w:color="000000" w:sz="8" w:space="0"/>
                    <w:right w:val="single" w:color="auto" w:sz="8" w:space="0"/>
                  </w:tcBorders>
                  <w:vAlign w:val="center"/>
                </w:tcPr>
                <w:p>
                  <w:pPr>
                    <w:pStyle w:val="87"/>
                    <w:rPr>
                      <w:rFonts w:hint="default" w:ascii="Times New Roman" w:hAnsi="Times New Roman" w:cs="Times New Roman"/>
                    </w:rPr>
                  </w:pPr>
                </w:p>
              </w:tc>
              <w:tc>
                <w:tcPr>
                  <w:tcW w:w="1885" w:type="dxa"/>
                  <w:vMerge w:val="continue"/>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12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59.59</w:t>
                  </w:r>
                </w:p>
              </w:tc>
              <w:tc>
                <w:tcPr>
                  <w:tcW w:w="11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0.119</w:t>
                  </w:r>
                </w:p>
              </w:tc>
              <w:tc>
                <w:tcPr>
                  <w:tcW w:w="929" w:type="dxa"/>
                  <w:tcBorders>
                    <w:top w:val="single" w:color="auto" w:sz="8" w:space="0"/>
                    <w:left w:val="nil"/>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0.143</w:t>
                  </w:r>
                </w:p>
              </w:tc>
            </w:tr>
            <w:tr>
              <w:tblPrEx>
                <w:tblCellMar>
                  <w:top w:w="0" w:type="dxa"/>
                  <w:left w:w="108" w:type="dxa"/>
                  <w:bottom w:w="0" w:type="dxa"/>
                  <w:right w:w="108" w:type="dxa"/>
                </w:tblCellMar>
              </w:tblPrEx>
              <w:trPr>
                <w:trHeight w:val="249" w:hRule="atLeast"/>
                <w:jc w:val="center"/>
              </w:trPr>
              <w:tc>
                <w:tcPr>
                  <w:tcW w:w="970" w:type="dxa"/>
                  <w:vMerge w:val="continue"/>
                  <w:tcBorders>
                    <w:top w:val="nil"/>
                    <w:left w:val="nil"/>
                    <w:bottom w:val="single" w:color="000000" w:sz="8" w:space="0"/>
                    <w:right w:val="single" w:color="auto" w:sz="8" w:space="0"/>
                  </w:tcBorders>
                  <w:vAlign w:val="center"/>
                </w:tcPr>
                <w:p>
                  <w:pPr>
                    <w:pStyle w:val="87"/>
                    <w:rPr>
                      <w:rFonts w:hint="default" w:ascii="Times New Roman" w:hAnsi="Times New Roman" w:cs="Times New Roman"/>
                    </w:rPr>
                  </w:pPr>
                </w:p>
              </w:tc>
              <w:tc>
                <w:tcPr>
                  <w:tcW w:w="1885" w:type="dxa"/>
                  <w:vMerge w:val="continue"/>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26.26</w:t>
                  </w:r>
                </w:p>
              </w:tc>
              <w:tc>
                <w:tcPr>
                  <w:tcW w:w="110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0.053</w:t>
                  </w:r>
                </w:p>
              </w:tc>
              <w:tc>
                <w:tcPr>
                  <w:tcW w:w="929" w:type="dxa"/>
                  <w:tcBorders>
                    <w:top w:val="single" w:color="auto" w:sz="8" w:space="0"/>
                    <w:left w:val="nil"/>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0.063</w:t>
                  </w:r>
                </w:p>
              </w:tc>
            </w:tr>
            <w:tr>
              <w:tblPrEx>
                <w:tblCellMar>
                  <w:top w:w="0" w:type="dxa"/>
                  <w:left w:w="108" w:type="dxa"/>
                  <w:bottom w:w="0" w:type="dxa"/>
                  <w:right w:w="108" w:type="dxa"/>
                </w:tblCellMar>
              </w:tblPrEx>
              <w:trPr>
                <w:trHeight w:val="456" w:hRule="atLeast"/>
                <w:jc w:val="center"/>
              </w:trPr>
              <w:tc>
                <w:tcPr>
                  <w:tcW w:w="970" w:type="dxa"/>
                  <w:tcBorders>
                    <w:top w:val="nil"/>
                    <w:left w:val="nil"/>
                    <w:bottom w:val="single" w:color="000000" w:sz="8" w:space="0"/>
                    <w:right w:val="single" w:color="auto" w:sz="8" w:space="0"/>
                  </w:tcBorders>
                  <w:vAlign w:val="center"/>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6</w:t>
                  </w:r>
                </w:p>
              </w:tc>
              <w:tc>
                <w:tcPr>
                  <w:tcW w:w="1885" w:type="dxa"/>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r>
                    <w:rPr>
                      <w:rFonts w:hint="default" w:ascii="Times New Roman" w:hAnsi="Times New Roman" w:cs="Times New Roman"/>
                    </w:rPr>
                    <w:t>水泥筒仓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4</w:t>
                  </w:r>
                  <w:r>
                    <w:rPr>
                      <w:rFonts w:hint="eastAsia" w:ascii="Times New Roman" w:hAnsi="Times New Roman" w:cs="Times New Roman"/>
                      <w:lang w:eastAsia="zh-CN"/>
                    </w:rPr>
                    <w:t>）</w:t>
                  </w: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92"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2.14</w:t>
                  </w:r>
                </w:p>
              </w:tc>
              <w:tc>
                <w:tcPr>
                  <w:tcW w:w="1102"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0.0085</w:t>
                  </w:r>
                </w:p>
              </w:tc>
              <w:tc>
                <w:tcPr>
                  <w:tcW w:w="929" w:type="dxa"/>
                  <w:tcBorders>
                    <w:top w:val="single" w:color="auto" w:sz="8" w:space="0"/>
                    <w:left w:val="nil"/>
                    <w:bottom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0.027</w:t>
                  </w:r>
                </w:p>
              </w:tc>
            </w:tr>
            <w:tr>
              <w:tblPrEx>
                <w:tblCellMar>
                  <w:top w:w="0" w:type="dxa"/>
                  <w:left w:w="108" w:type="dxa"/>
                  <w:bottom w:w="0" w:type="dxa"/>
                  <w:right w:w="108" w:type="dxa"/>
                </w:tblCellMar>
              </w:tblPrEx>
              <w:trPr>
                <w:trHeight w:val="456" w:hRule="atLeast"/>
                <w:jc w:val="center"/>
              </w:trPr>
              <w:tc>
                <w:tcPr>
                  <w:tcW w:w="970" w:type="dxa"/>
                  <w:tcBorders>
                    <w:top w:val="nil"/>
                    <w:left w:val="nil"/>
                    <w:bottom w:val="single" w:color="000000" w:sz="8" w:space="0"/>
                    <w:right w:val="single" w:color="auto" w:sz="8" w:space="0"/>
                  </w:tcBorders>
                  <w:vAlign w:val="center"/>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7</w:t>
                  </w:r>
                </w:p>
              </w:tc>
              <w:tc>
                <w:tcPr>
                  <w:tcW w:w="1885" w:type="dxa"/>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r>
                    <w:rPr>
                      <w:rFonts w:hint="default" w:ascii="Times New Roman" w:hAnsi="Times New Roman" w:cs="Times New Roman"/>
                    </w:rPr>
                    <w:t>水泥筒仓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5</w:t>
                  </w:r>
                  <w:r>
                    <w:rPr>
                      <w:rFonts w:hint="eastAsia" w:ascii="Times New Roman" w:hAnsi="Times New Roman" w:cs="Times New Roman"/>
                      <w:lang w:eastAsia="zh-CN"/>
                    </w:rPr>
                    <w:t>）</w:t>
                  </w: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92"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2.14</w:t>
                  </w:r>
                </w:p>
              </w:tc>
              <w:tc>
                <w:tcPr>
                  <w:tcW w:w="1102"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0.0085</w:t>
                  </w:r>
                </w:p>
              </w:tc>
              <w:tc>
                <w:tcPr>
                  <w:tcW w:w="929" w:type="dxa"/>
                  <w:tcBorders>
                    <w:top w:val="single" w:color="auto" w:sz="8" w:space="0"/>
                    <w:left w:val="nil"/>
                    <w:bottom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0.027</w:t>
                  </w:r>
                </w:p>
              </w:tc>
            </w:tr>
            <w:tr>
              <w:tblPrEx>
                <w:tblCellMar>
                  <w:top w:w="0" w:type="dxa"/>
                  <w:left w:w="108" w:type="dxa"/>
                  <w:bottom w:w="0" w:type="dxa"/>
                  <w:right w:w="108" w:type="dxa"/>
                </w:tblCellMar>
              </w:tblPrEx>
              <w:trPr>
                <w:trHeight w:val="456" w:hRule="atLeast"/>
                <w:jc w:val="center"/>
              </w:trPr>
              <w:tc>
                <w:tcPr>
                  <w:tcW w:w="970" w:type="dxa"/>
                  <w:tcBorders>
                    <w:top w:val="nil"/>
                    <w:left w:val="nil"/>
                    <w:bottom w:val="single" w:color="000000" w:sz="8" w:space="0"/>
                    <w:right w:val="single" w:color="auto" w:sz="8" w:space="0"/>
                  </w:tcBorders>
                  <w:vAlign w:val="center"/>
                </w:tcPr>
                <w:p>
                  <w:pPr>
                    <w:pStyle w:val="87"/>
                    <w:rPr>
                      <w:rFonts w:hint="eastAsia" w:ascii="Times New Roman" w:hAnsi="Times New Roman" w:eastAsia="宋体" w:cs="Times New Roman"/>
                      <w:lang w:val="en-US" w:eastAsia="zh-CN"/>
                    </w:rPr>
                  </w:pPr>
                  <w:r>
                    <w:rPr>
                      <w:rFonts w:hint="eastAsia" w:ascii="Times New Roman" w:hAnsi="Times New Roman" w:cs="Times New Roman"/>
                      <w:lang w:val="en-US" w:eastAsia="zh-CN"/>
                    </w:rPr>
                    <w:t>8</w:t>
                  </w:r>
                </w:p>
              </w:tc>
              <w:tc>
                <w:tcPr>
                  <w:tcW w:w="1885" w:type="dxa"/>
                  <w:tcBorders>
                    <w:top w:val="nil"/>
                    <w:left w:val="single" w:color="auto" w:sz="8" w:space="0"/>
                    <w:bottom w:val="single" w:color="000000" w:sz="8" w:space="0"/>
                    <w:right w:val="single" w:color="auto" w:sz="8" w:space="0"/>
                  </w:tcBorders>
                  <w:vAlign w:val="center"/>
                </w:tcPr>
                <w:p>
                  <w:pPr>
                    <w:pStyle w:val="87"/>
                    <w:rPr>
                      <w:rFonts w:hint="default" w:ascii="Times New Roman" w:hAnsi="Times New Roman" w:cs="Times New Roman"/>
                    </w:rPr>
                  </w:pPr>
                  <w:r>
                    <w:rPr>
                      <w:rFonts w:hint="default" w:ascii="Times New Roman" w:hAnsi="Times New Roman" w:cs="Times New Roman"/>
                    </w:rPr>
                    <w:t>外加剂筒仓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6</w:t>
                  </w:r>
                  <w:r>
                    <w:rPr>
                      <w:rFonts w:hint="eastAsia" w:ascii="Times New Roman" w:hAnsi="Times New Roman" w:cs="Times New Roman"/>
                      <w:lang w:eastAsia="zh-CN"/>
                    </w:rPr>
                    <w:t>）</w:t>
                  </w:r>
                </w:p>
              </w:tc>
              <w:tc>
                <w:tcPr>
                  <w:tcW w:w="2621"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92"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2.14</w:t>
                  </w:r>
                </w:p>
              </w:tc>
              <w:tc>
                <w:tcPr>
                  <w:tcW w:w="1102" w:type="dxa"/>
                  <w:tcBorders>
                    <w:top w:val="single" w:color="auto" w:sz="8" w:space="0"/>
                    <w:left w:val="nil"/>
                    <w:bottom w:val="single" w:color="auto" w:sz="8" w:space="0"/>
                    <w:right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0.0085</w:t>
                  </w:r>
                </w:p>
              </w:tc>
              <w:tc>
                <w:tcPr>
                  <w:tcW w:w="929" w:type="dxa"/>
                  <w:tcBorders>
                    <w:top w:val="single" w:color="auto" w:sz="8" w:space="0"/>
                    <w:left w:val="nil"/>
                    <w:bottom w:val="single" w:color="auto"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0.00057</w:t>
                  </w:r>
                </w:p>
              </w:tc>
            </w:tr>
            <w:tr>
              <w:tblPrEx>
                <w:tblCellMar>
                  <w:top w:w="0" w:type="dxa"/>
                  <w:left w:w="108" w:type="dxa"/>
                  <w:bottom w:w="0" w:type="dxa"/>
                  <w:right w:w="108" w:type="dxa"/>
                </w:tblCellMar>
              </w:tblPrEx>
              <w:trPr>
                <w:trHeight w:val="235" w:hRule="atLeast"/>
                <w:jc w:val="center"/>
              </w:trPr>
              <w:tc>
                <w:tcPr>
                  <w:tcW w:w="2855" w:type="dxa"/>
                  <w:gridSpan w:val="2"/>
                  <w:vMerge w:val="restart"/>
                  <w:tcBorders>
                    <w:top w:val="single" w:color="auto" w:sz="8" w:space="0"/>
                    <w:left w:val="nil"/>
                    <w:bottom w:val="single" w:color="000000" w:sz="12" w:space="0"/>
                    <w:right w:val="single" w:color="000000"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有组织排放总计</w:t>
                  </w:r>
                </w:p>
              </w:tc>
              <w:tc>
                <w:tcPr>
                  <w:tcW w:w="5015" w:type="dxa"/>
                  <w:gridSpan w:val="3"/>
                  <w:tcBorders>
                    <w:top w:val="single" w:color="auto" w:sz="8" w:space="0"/>
                    <w:left w:val="nil"/>
                    <w:bottom w:val="single" w:color="auto" w:sz="8" w:space="0"/>
                    <w:right w:val="single" w:color="000000"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929" w:type="dxa"/>
                  <w:tcBorders>
                    <w:top w:val="nil"/>
                    <w:left w:val="nil"/>
                    <w:bottom w:val="single" w:color="auto" w:sz="8" w:space="0"/>
                    <w:right w:val="nil"/>
                  </w:tcBorders>
                  <w:shd w:val="clear" w:color="auto" w:fill="auto"/>
                  <w:vAlign w:val="center"/>
                </w:tcPr>
                <w:p>
                  <w:pPr>
                    <w:pStyle w:val="87"/>
                    <w:rPr>
                      <w:rFonts w:hint="default" w:ascii="Times New Roman" w:hAnsi="Times New Roman" w:eastAsia="宋体" w:cs="Times New Roman"/>
                      <w:lang w:val="en-US" w:eastAsia="zh-CN"/>
                    </w:rPr>
                  </w:pPr>
                  <w:r>
                    <w:rPr>
                      <w:rFonts w:hint="default" w:ascii="Times New Roman" w:hAnsi="Times New Roman" w:cs="Times New Roman"/>
                    </w:rPr>
                    <w:t>0.</w:t>
                  </w:r>
                  <w:r>
                    <w:rPr>
                      <w:rFonts w:hint="eastAsia" w:ascii="Times New Roman" w:hAnsi="Times New Roman" w:cs="Times New Roman"/>
                      <w:lang w:val="en-US" w:eastAsia="zh-CN"/>
                    </w:rPr>
                    <w:t>724</w:t>
                  </w:r>
                </w:p>
              </w:tc>
            </w:tr>
            <w:tr>
              <w:tblPrEx>
                <w:tblCellMar>
                  <w:top w:w="0" w:type="dxa"/>
                  <w:left w:w="108" w:type="dxa"/>
                  <w:bottom w:w="0" w:type="dxa"/>
                  <w:right w:w="108" w:type="dxa"/>
                </w:tblCellMar>
              </w:tblPrEx>
              <w:trPr>
                <w:trHeight w:val="241" w:hRule="atLeast"/>
                <w:jc w:val="center"/>
              </w:trPr>
              <w:tc>
                <w:tcPr>
                  <w:tcW w:w="2855" w:type="dxa"/>
                  <w:gridSpan w:val="2"/>
                  <w:vMerge w:val="continue"/>
                  <w:tcBorders>
                    <w:top w:val="single" w:color="auto" w:sz="8" w:space="0"/>
                    <w:left w:val="nil"/>
                    <w:bottom w:val="single" w:color="000000" w:sz="12" w:space="0"/>
                    <w:right w:val="single" w:color="000000" w:sz="8" w:space="0"/>
                  </w:tcBorders>
                  <w:vAlign w:val="center"/>
                </w:tcPr>
                <w:p>
                  <w:pPr>
                    <w:pStyle w:val="87"/>
                    <w:rPr>
                      <w:rFonts w:hint="default" w:ascii="Times New Roman" w:hAnsi="Times New Roman" w:cs="Times New Roman"/>
                    </w:rPr>
                  </w:pPr>
                </w:p>
              </w:tc>
              <w:tc>
                <w:tcPr>
                  <w:tcW w:w="5015" w:type="dxa"/>
                  <w:gridSpan w:val="3"/>
                  <w:tcBorders>
                    <w:top w:val="single" w:color="auto" w:sz="8" w:space="0"/>
                    <w:left w:val="nil"/>
                    <w:bottom w:val="single" w:color="auto" w:sz="8" w:space="0"/>
                    <w:right w:val="single" w:color="000000"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929" w:type="dxa"/>
                  <w:tcBorders>
                    <w:top w:val="nil"/>
                    <w:left w:val="nil"/>
                    <w:bottom w:val="single" w:color="auto" w:sz="8" w:space="0"/>
                    <w:right w:val="nil"/>
                  </w:tcBorders>
                  <w:shd w:val="clear" w:color="auto" w:fill="auto"/>
                  <w:vAlign w:val="center"/>
                </w:tcPr>
                <w:p>
                  <w:pPr>
                    <w:pStyle w:val="87"/>
                    <w:rPr>
                      <w:rFonts w:hint="eastAsia" w:ascii="Times New Roman" w:hAnsi="Times New Roman" w:eastAsia="宋体" w:cs="Times New Roman"/>
                      <w:lang w:val="en-US" w:eastAsia="zh-CN"/>
                    </w:rPr>
                  </w:pPr>
                  <w:r>
                    <w:rPr>
                      <w:rFonts w:hint="default" w:ascii="Times New Roman" w:hAnsi="Times New Roman" w:cs="Times New Roman"/>
                    </w:rPr>
                    <w:t>0.04</w:t>
                  </w:r>
                  <w:r>
                    <w:rPr>
                      <w:rFonts w:hint="eastAsia" w:ascii="Times New Roman" w:hAnsi="Times New Roman" w:cs="Times New Roman"/>
                      <w:lang w:val="en-US" w:eastAsia="zh-CN"/>
                    </w:rPr>
                    <w:t>8</w:t>
                  </w:r>
                </w:p>
              </w:tc>
            </w:tr>
            <w:tr>
              <w:tblPrEx>
                <w:tblCellMar>
                  <w:top w:w="0" w:type="dxa"/>
                  <w:left w:w="108" w:type="dxa"/>
                  <w:bottom w:w="0" w:type="dxa"/>
                  <w:right w:w="108" w:type="dxa"/>
                </w:tblCellMar>
              </w:tblPrEx>
              <w:trPr>
                <w:trHeight w:val="261" w:hRule="atLeast"/>
                <w:jc w:val="center"/>
              </w:trPr>
              <w:tc>
                <w:tcPr>
                  <w:tcW w:w="2855" w:type="dxa"/>
                  <w:gridSpan w:val="2"/>
                  <w:vMerge w:val="continue"/>
                  <w:tcBorders>
                    <w:top w:val="single" w:color="auto" w:sz="8" w:space="0"/>
                    <w:left w:val="nil"/>
                    <w:bottom w:val="single" w:color="000000" w:sz="12" w:space="0"/>
                    <w:right w:val="single" w:color="000000" w:sz="8" w:space="0"/>
                  </w:tcBorders>
                  <w:vAlign w:val="center"/>
                </w:tcPr>
                <w:p>
                  <w:pPr>
                    <w:pStyle w:val="87"/>
                    <w:rPr>
                      <w:rFonts w:hint="default" w:ascii="Times New Roman" w:hAnsi="Times New Roman" w:cs="Times New Roman"/>
                    </w:rPr>
                  </w:pPr>
                </w:p>
              </w:tc>
              <w:tc>
                <w:tcPr>
                  <w:tcW w:w="5015" w:type="dxa"/>
                  <w:gridSpan w:val="3"/>
                  <w:tcBorders>
                    <w:top w:val="single" w:color="auto" w:sz="8" w:space="0"/>
                    <w:left w:val="nil"/>
                    <w:bottom w:val="single" w:color="auto" w:sz="8" w:space="0"/>
                    <w:right w:val="single" w:color="000000" w:sz="8" w:space="0"/>
                  </w:tcBorders>
                  <w:shd w:val="clear" w:color="auto" w:fill="auto"/>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929" w:type="dxa"/>
                  <w:tcBorders>
                    <w:top w:val="nil"/>
                    <w:left w:val="nil"/>
                    <w:bottom w:val="single" w:color="auto" w:sz="8" w:space="0"/>
                    <w:right w:val="nil"/>
                  </w:tcBorders>
                  <w:shd w:val="clear" w:color="auto" w:fill="auto"/>
                  <w:vAlign w:val="center"/>
                </w:tcPr>
                <w:p>
                  <w:pPr>
                    <w:pStyle w:val="87"/>
                    <w:rPr>
                      <w:rFonts w:hint="eastAsia" w:ascii="Times New Roman" w:hAnsi="Times New Roman" w:eastAsia="宋体" w:cs="Times New Roman"/>
                      <w:lang w:val="en-US" w:eastAsia="zh-CN"/>
                    </w:rPr>
                  </w:pPr>
                  <w:r>
                    <w:rPr>
                      <w:rFonts w:hint="default" w:ascii="Times New Roman" w:hAnsi="Times New Roman" w:cs="Times New Roman"/>
                    </w:rPr>
                    <w:t>0.28</w:t>
                  </w:r>
                  <w:r>
                    <w:rPr>
                      <w:rFonts w:hint="eastAsia" w:ascii="Times New Roman" w:hAnsi="Times New Roman" w:cs="Times New Roman"/>
                      <w:lang w:val="en-US" w:eastAsia="zh-CN"/>
                    </w:rPr>
                    <w:t>6</w:t>
                  </w:r>
                </w:p>
              </w:tc>
            </w:tr>
          </w:tbl>
          <w:p>
            <w:pPr>
              <w:overflowPunct w:val="0"/>
              <w:spacing w:line="384" w:lineRule="auto"/>
              <w:ind w:firstLine="482" w:firstLineChars="200"/>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1.2非正常工况</w:t>
            </w:r>
          </w:p>
          <w:p>
            <w:pPr>
              <w:tabs>
                <w:tab w:val="left" w:pos="5016"/>
              </w:tabs>
              <w:adjustRightInd w:val="0"/>
              <w:snapToGrid w:val="0"/>
              <w:ind w:firstLine="480"/>
              <w:rPr>
                <w:rFonts w:hint="default" w:ascii="Times New Roman" w:hAnsi="Times New Roman" w:cs="Times New Roman"/>
                <w:szCs w:val="21"/>
              </w:rPr>
            </w:pPr>
            <w:r>
              <w:rPr>
                <w:rFonts w:hint="default" w:ascii="Times New Roman" w:hAnsi="Times New Roman" w:cs="Times New Roman"/>
                <w:snapToGrid w:val="0"/>
                <w:kern w:val="0"/>
                <w:szCs w:val="21"/>
              </w:rPr>
              <w:t>本项目的非正常工况主要是污染物排放控制措施达不到应有效率，即除尘</w:t>
            </w:r>
            <w:r>
              <w:rPr>
                <w:rFonts w:hint="default" w:ascii="Times New Roman" w:hAnsi="Times New Roman" w:cs="Times New Roman"/>
                <w:szCs w:val="21"/>
              </w:rPr>
              <w:t>装置故障，造成排气筒废气直接排放。</w:t>
            </w:r>
          </w:p>
          <w:p>
            <w:pPr>
              <w:pStyle w:val="38"/>
              <w:rPr>
                <w:rFonts w:hint="default" w:ascii="Times New Roman" w:hAnsi="Times New Roman" w:cs="Times New Roman"/>
              </w:rPr>
            </w:pPr>
            <w:r>
              <w:rPr>
                <w:rFonts w:hint="default" w:ascii="Times New Roman" w:hAnsi="Times New Roman" w:cs="Times New Roman"/>
              </w:rPr>
              <w:t>表4-6污染源非正常排放量核算表</w:t>
            </w:r>
          </w:p>
          <w:tbl>
            <w:tblPr>
              <w:tblStyle w:val="27"/>
              <w:tblW w:w="873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31"/>
              <w:gridCol w:w="1145"/>
              <w:gridCol w:w="701"/>
              <w:gridCol w:w="1254"/>
              <w:gridCol w:w="1062"/>
              <w:gridCol w:w="710"/>
              <w:gridCol w:w="871"/>
              <w:gridCol w:w="645"/>
              <w:gridCol w:w="10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9"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序号</w:t>
                  </w:r>
                </w:p>
              </w:tc>
              <w:tc>
                <w:tcPr>
                  <w:tcW w:w="831"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污染源</w:t>
                  </w:r>
                </w:p>
              </w:tc>
              <w:tc>
                <w:tcPr>
                  <w:tcW w:w="1145"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非正常排放原因</w:t>
                  </w:r>
                </w:p>
              </w:tc>
              <w:tc>
                <w:tcPr>
                  <w:tcW w:w="701"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污染物</w:t>
                  </w:r>
                </w:p>
              </w:tc>
              <w:tc>
                <w:tcPr>
                  <w:tcW w:w="1254"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非正产排放浓度/（mg/m</w:t>
                  </w:r>
                  <w:r>
                    <w:rPr>
                      <w:rFonts w:hint="default" w:ascii="Times New Roman" w:hAnsi="Times New Roman" w:cs="Times New Roman"/>
                      <w:snapToGrid w:val="0"/>
                      <w:vertAlign w:val="superscript"/>
                    </w:rPr>
                    <w:t>3</w:t>
                  </w:r>
                  <w:r>
                    <w:rPr>
                      <w:rFonts w:hint="default" w:ascii="Times New Roman" w:hAnsi="Times New Roman" w:cs="Times New Roman"/>
                      <w:snapToGrid w:val="0"/>
                    </w:rPr>
                    <w:t>）</w:t>
                  </w:r>
                </w:p>
              </w:tc>
              <w:tc>
                <w:tcPr>
                  <w:tcW w:w="1062"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非正常排放速率/（kg/h）</w:t>
                  </w:r>
                </w:p>
              </w:tc>
              <w:tc>
                <w:tcPr>
                  <w:tcW w:w="710"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单次持续时间</w:t>
                  </w:r>
                </w:p>
              </w:tc>
              <w:tc>
                <w:tcPr>
                  <w:tcW w:w="871" w:type="dxa"/>
                  <w:tcBorders>
                    <w:tl2br w:val="nil"/>
                    <w:tr2bl w:val="nil"/>
                  </w:tcBorders>
                </w:tcPr>
                <w:p>
                  <w:pPr>
                    <w:pStyle w:val="87"/>
                    <w:rPr>
                      <w:rFonts w:hint="default" w:ascii="Times New Roman" w:hAnsi="Times New Roman" w:cs="Times New Roman"/>
                      <w:snapToGrid w:val="0"/>
                    </w:rPr>
                  </w:pPr>
                  <w:r>
                    <w:rPr>
                      <w:rFonts w:hint="default" w:ascii="Times New Roman" w:hAnsi="Times New Roman" w:cs="Times New Roman"/>
                      <w:snapToGrid w:val="0"/>
                    </w:rPr>
                    <w:t>非正常排放量/（kg）</w:t>
                  </w:r>
                </w:p>
              </w:tc>
              <w:tc>
                <w:tcPr>
                  <w:tcW w:w="645"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年发生频次</w:t>
                  </w:r>
                </w:p>
              </w:tc>
              <w:tc>
                <w:tcPr>
                  <w:tcW w:w="1076"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应对措施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9"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1</w:t>
                  </w:r>
                </w:p>
              </w:tc>
              <w:tc>
                <w:tcPr>
                  <w:tcW w:w="831"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snapToGrid w:val="0"/>
                    </w:rPr>
                    <w:t>混合搅拌</w:t>
                  </w:r>
                </w:p>
              </w:tc>
              <w:tc>
                <w:tcPr>
                  <w:tcW w:w="1145" w:type="dxa"/>
                  <w:vMerge w:val="restart"/>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故障导致废气处理效率为0%</w:t>
                  </w:r>
                </w:p>
              </w:tc>
              <w:tc>
                <w:tcPr>
                  <w:tcW w:w="701" w:type="dxa"/>
                  <w:vMerge w:val="restart"/>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颗粒物</w:t>
                  </w:r>
                </w:p>
              </w:tc>
              <w:tc>
                <w:tcPr>
                  <w:tcW w:w="1254"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4054.26</w:t>
                  </w:r>
                </w:p>
              </w:tc>
              <w:tc>
                <w:tcPr>
                  <w:tcW w:w="1062"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rPr>
                    <w:t>85.2</w:t>
                  </w:r>
                </w:p>
              </w:tc>
              <w:tc>
                <w:tcPr>
                  <w:tcW w:w="710"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snapToGrid w:val="0"/>
                    </w:rPr>
                    <w:t>1h</w:t>
                  </w:r>
                </w:p>
              </w:tc>
              <w:tc>
                <w:tcPr>
                  <w:tcW w:w="871"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rPr>
                    <w:t>85.2</w:t>
                  </w:r>
                </w:p>
              </w:tc>
              <w:tc>
                <w:tcPr>
                  <w:tcW w:w="645" w:type="dxa"/>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snapToGrid w:val="0"/>
                    </w:rPr>
                    <w:t>1</w:t>
                  </w:r>
                </w:p>
              </w:tc>
              <w:tc>
                <w:tcPr>
                  <w:tcW w:w="1076" w:type="dxa"/>
                  <w:vMerge w:val="restart"/>
                  <w:tcBorders>
                    <w:tl2br w:val="nil"/>
                    <w:tr2bl w:val="nil"/>
                  </w:tcBorders>
                  <w:vAlign w:val="center"/>
                </w:tcPr>
                <w:p>
                  <w:pPr>
                    <w:pStyle w:val="87"/>
                    <w:rPr>
                      <w:rFonts w:hint="default" w:ascii="Times New Roman" w:hAnsi="Times New Roman" w:cs="Times New Roman"/>
                    </w:rPr>
                  </w:pPr>
                  <w:r>
                    <w:rPr>
                      <w:rFonts w:hint="default" w:ascii="Times New Roman" w:hAnsi="Times New Roman" w:cs="Times New Roman"/>
                      <w:snapToGrid w:val="0"/>
                    </w:rPr>
                    <w:t>及时维修废气处理设施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9" w:type="dxa"/>
                  <w:tcBorders>
                    <w:tl2br w:val="nil"/>
                    <w:tr2bl w:val="nil"/>
                  </w:tcBorders>
                  <w:vAlign w:val="center"/>
                </w:tcPr>
                <w:p>
                  <w:pPr>
                    <w:pStyle w:val="87"/>
                    <w:rPr>
                      <w:rFonts w:hint="eastAsia" w:ascii="Times New Roman" w:hAnsi="Times New Roman" w:eastAsia="宋体" w:cs="Times New Roman"/>
                      <w:snapToGrid w:val="0"/>
                      <w:lang w:val="en-US" w:eastAsia="zh-CN"/>
                    </w:rPr>
                  </w:pPr>
                  <w:r>
                    <w:rPr>
                      <w:rFonts w:hint="eastAsia" w:ascii="Times New Roman" w:hAnsi="Times New Roman" w:cs="Times New Roman"/>
                      <w:snapToGrid w:val="0"/>
                      <w:lang w:val="en-US" w:eastAsia="zh-CN"/>
                    </w:rPr>
                    <w:t>2</w:t>
                  </w:r>
                </w:p>
              </w:tc>
              <w:tc>
                <w:tcPr>
                  <w:tcW w:w="831"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水泥筒仓</w:t>
                  </w:r>
                </w:p>
              </w:tc>
              <w:tc>
                <w:tcPr>
                  <w:tcW w:w="1145" w:type="dxa"/>
                  <w:vMerge w:val="continue"/>
                  <w:tcBorders>
                    <w:tl2br w:val="nil"/>
                    <w:tr2bl w:val="nil"/>
                  </w:tcBorders>
                  <w:vAlign w:val="center"/>
                </w:tcPr>
                <w:p>
                  <w:pPr>
                    <w:pStyle w:val="87"/>
                    <w:rPr>
                      <w:rFonts w:hint="default" w:ascii="Times New Roman" w:hAnsi="Times New Roman" w:cs="Times New Roman"/>
                      <w:snapToGrid w:val="0"/>
                    </w:rPr>
                  </w:pPr>
                </w:p>
              </w:tc>
              <w:tc>
                <w:tcPr>
                  <w:tcW w:w="701" w:type="dxa"/>
                  <w:vMerge w:val="continue"/>
                  <w:tcBorders>
                    <w:tl2br w:val="nil"/>
                    <w:tr2bl w:val="nil"/>
                  </w:tcBorders>
                  <w:vAlign w:val="center"/>
                </w:tcPr>
                <w:p>
                  <w:pPr>
                    <w:pStyle w:val="87"/>
                    <w:rPr>
                      <w:rFonts w:hint="default" w:ascii="Times New Roman" w:hAnsi="Times New Roman" w:cs="Times New Roman"/>
                      <w:snapToGrid w:val="0"/>
                    </w:rPr>
                  </w:pPr>
                </w:p>
              </w:tc>
              <w:tc>
                <w:tcPr>
                  <w:tcW w:w="1254"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713.045</w:t>
                  </w:r>
                </w:p>
              </w:tc>
              <w:tc>
                <w:tcPr>
                  <w:tcW w:w="1062"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2.852</w:t>
                  </w:r>
                </w:p>
              </w:tc>
              <w:tc>
                <w:tcPr>
                  <w:tcW w:w="710"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snapToGrid w:val="0"/>
                    </w:rPr>
                    <w:t>1h</w:t>
                  </w:r>
                </w:p>
              </w:tc>
              <w:tc>
                <w:tcPr>
                  <w:tcW w:w="871"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rPr>
                    <w:t>2.852</w:t>
                  </w:r>
                </w:p>
              </w:tc>
              <w:tc>
                <w:tcPr>
                  <w:tcW w:w="645" w:type="dxa"/>
                  <w:tcBorders>
                    <w:tl2br w:val="nil"/>
                    <w:tr2bl w:val="nil"/>
                  </w:tcBorders>
                  <w:vAlign w:val="center"/>
                </w:tcPr>
                <w:p>
                  <w:pPr>
                    <w:pStyle w:val="87"/>
                    <w:rPr>
                      <w:rFonts w:hint="eastAsia" w:ascii="Times New Roman" w:hAnsi="Times New Roman" w:eastAsia="宋体" w:cs="Times New Roman"/>
                      <w:snapToGrid w:val="0"/>
                      <w:lang w:val="en-US" w:eastAsia="zh-CN"/>
                    </w:rPr>
                  </w:pPr>
                  <w:r>
                    <w:rPr>
                      <w:rFonts w:hint="eastAsia" w:ascii="Times New Roman" w:hAnsi="Times New Roman" w:cs="Times New Roman"/>
                      <w:snapToGrid w:val="0"/>
                      <w:lang w:val="en-US" w:eastAsia="zh-CN"/>
                    </w:rPr>
                    <w:t>1</w:t>
                  </w:r>
                </w:p>
              </w:tc>
              <w:tc>
                <w:tcPr>
                  <w:tcW w:w="1076" w:type="dxa"/>
                  <w:vMerge w:val="continue"/>
                  <w:tcBorders>
                    <w:tl2br w:val="nil"/>
                    <w:tr2bl w:val="nil"/>
                  </w:tcBorders>
                  <w:vAlign w:val="center"/>
                </w:tcPr>
                <w:p>
                  <w:pPr>
                    <w:pStyle w:val="87"/>
                    <w:rPr>
                      <w:rFonts w:hint="default" w:ascii="Times New Roman" w:hAnsi="Times New Roman" w:cs="Times New Roman"/>
                      <w:snapToGrid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9" w:type="dxa"/>
                  <w:tcBorders>
                    <w:tl2br w:val="nil"/>
                    <w:tr2bl w:val="nil"/>
                  </w:tcBorders>
                  <w:vAlign w:val="center"/>
                </w:tcPr>
                <w:p>
                  <w:pPr>
                    <w:pStyle w:val="87"/>
                    <w:rPr>
                      <w:rFonts w:hint="eastAsia" w:ascii="Times New Roman" w:hAnsi="Times New Roman" w:eastAsia="宋体" w:cs="Times New Roman"/>
                      <w:snapToGrid w:val="0"/>
                      <w:lang w:val="en-US" w:eastAsia="zh-CN"/>
                    </w:rPr>
                  </w:pPr>
                  <w:r>
                    <w:rPr>
                      <w:rFonts w:hint="eastAsia" w:ascii="Times New Roman" w:hAnsi="Times New Roman" w:cs="Times New Roman"/>
                      <w:snapToGrid w:val="0"/>
                      <w:lang w:val="en-US" w:eastAsia="zh-CN"/>
                    </w:rPr>
                    <w:t>3</w:t>
                  </w:r>
                </w:p>
              </w:tc>
              <w:tc>
                <w:tcPr>
                  <w:tcW w:w="831"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外加剂筒仓</w:t>
                  </w:r>
                </w:p>
              </w:tc>
              <w:tc>
                <w:tcPr>
                  <w:tcW w:w="1145" w:type="dxa"/>
                  <w:vMerge w:val="continue"/>
                  <w:tcBorders>
                    <w:tl2br w:val="nil"/>
                    <w:tr2bl w:val="nil"/>
                  </w:tcBorders>
                  <w:vAlign w:val="center"/>
                </w:tcPr>
                <w:p>
                  <w:pPr>
                    <w:pStyle w:val="87"/>
                    <w:rPr>
                      <w:rFonts w:hint="default" w:ascii="Times New Roman" w:hAnsi="Times New Roman" w:cs="Times New Roman"/>
                      <w:snapToGrid w:val="0"/>
                    </w:rPr>
                  </w:pPr>
                </w:p>
              </w:tc>
              <w:tc>
                <w:tcPr>
                  <w:tcW w:w="701" w:type="dxa"/>
                  <w:vMerge w:val="continue"/>
                  <w:tcBorders>
                    <w:tl2br w:val="nil"/>
                    <w:tr2bl w:val="nil"/>
                  </w:tcBorders>
                  <w:vAlign w:val="center"/>
                </w:tcPr>
                <w:p>
                  <w:pPr>
                    <w:pStyle w:val="87"/>
                    <w:rPr>
                      <w:rFonts w:hint="default" w:ascii="Times New Roman" w:hAnsi="Times New Roman" w:cs="Times New Roman"/>
                      <w:snapToGrid w:val="0"/>
                    </w:rPr>
                  </w:pPr>
                </w:p>
              </w:tc>
              <w:tc>
                <w:tcPr>
                  <w:tcW w:w="1254"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47.5</w:t>
                  </w:r>
                </w:p>
              </w:tc>
              <w:tc>
                <w:tcPr>
                  <w:tcW w:w="1062"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2.878</w:t>
                  </w:r>
                </w:p>
              </w:tc>
              <w:tc>
                <w:tcPr>
                  <w:tcW w:w="710" w:type="dxa"/>
                  <w:tcBorders>
                    <w:tl2br w:val="nil"/>
                    <w:tr2bl w:val="nil"/>
                  </w:tcBorders>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snapToGrid w:val="0"/>
                    </w:rPr>
                    <w:t>1h</w:t>
                  </w:r>
                </w:p>
              </w:tc>
              <w:tc>
                <w:tcPr>
                  <w:tcW w:w="871" w:type="dxa"/>
                  <w:tcBorders>
                    <w:tl2br w:val="nil"/>
                    <w:tr2bl w:val="nil"/>
                  </w:tcBorders>
                  <w:vAlign w:val="center"/>
                </w:tcPr>
                <w:p>
                  <w:pPr>
                    <w:pStyle w:val="87"/>
                    <w:rPr>
                      <w:rFonts w:hint="default" w:ascii="Times New Roman" w:hAnsi="Times New Roman" w:cs="Times New Roman"/>
                      <w:snapToGrid w:val="0"/>
                    </w:rPr>
                  </w:pPr>
                  <w:r>
                    <w:rPr>
                      <w:rFonts w:hint="default" w:ascii="Times New Roman" w:hAnsi="Times New Roman" w:cs="Times New Roman"/>
                    </w:rPr>
                    <w:t>2.878</w:t>
                  </w:r>
                </w:p>
              </w:tc>
              <w:tc>
                <w:tcPr>
                  <w:tcW w:w="645" w:type="dxa"/>
                  <w:tcBorders>
                    <w:tl2br w:val="nil"/>
                    <w:tr2bl w:val="nil"/>
                  </w:tcBorders>
                  <w:vAlign w:val="center"/>
                </w:tcPr>
                <w:p>
                  <w:pPr>
                    <w:pStyle w:val="87"/>
                    <w:rPr>
                      <w:rFonts w:hint="eastAsia" w:ascii="Times New Roman" w:hAnsi="Times New Roman" w:eastAsia="宋体" w:cs="Times New Roman"/>
                      <w:snapToGrid w:val="0"/>
                      <w:lang w:val="en-US" w:eastAsia="zh-CN"/>
                    </w:rPr>
                  </w:pPr>
                  <w:r>
                    <w:rPr>
                      <w:rFonts w:hint="eastAsia" w:ascii="Times New Roman" w:hAnsi="Times New Roman" w:cs="Times New Roman"/>
                      <w:snapToGrid w:val="0"/>
                      <w:lang w:val="en-US" w:eastAsia="zh-CN"/>
                    </w:rPr>
                    <w:t>1</w:t>
                  </w:r>
                </w:p>
              </w:tc>
              <w:tc>
                <w:tcPr>
                  <w:tcW w:w="1076" w:type="dxa"/>
                  <w:vMerge w:val="continue"/>
                  <w:tcBorders>
                    <w:tl2br w:val="nil"/>
                    <w:tr2bl w:val="nil"/>
                  </w:tcBorders>
                  <w:vAlign w:val="center"/>
                </w:tcPr>
                <w:p>
                  <w:pPr>
                    <w:pStyle w:val="87"/>
                    <w:rPr>
                      <w:rFonts w:hint="default" w:ascii="Times New Roman" w:hAnsi="Times New Roman" w:cs="Times New Roman"/>
                      <w:snapToGrid w:val="0"/>
                    </w:rPr>
                  </w:pPr>
                </w:p>
              </w:tc>
            </w:tr>
          </w:tbl>
          <w:p>
            <w:pPr>
              <w:widowControl/>
              <w:ind w:firstLine="482" w:firstLineChars="200"/>
              <w:rPr>
                <w:rFonts w:hint="default" w:ascii="Times New Roman" w:hAnsi="Times New Roman" w:cs="Times New Roman"/>
                <w:b/>
                <w:bCs/>
                <w:szCs w:val="21"/>
              </w:rPr>
            </w:pPr>
            <w:r>
              <w:rPr>
                <w:rFonts w:hint="default" w:ascii="Times New Roman" w:hAnsi="Times New Roman" w:cs="Times New Roman"/>
                <w:b/>
                <w:bCs/>
                <w:szCs w:val="21"/>
              </w:rPr>
              <w:t>1.3污染物防治措施达标可行性分析</w:t>
            </w:r>
          </w:p>
          <w:p>
            <w:pPr>
              <w:ind w:firstLine="480" w:firstLineChars="200"/>
              <w:textAlignment w:val="baseline"/>
              <w:rPr>
                <w:rFonts w:hint="default" w:ascii="Times New Roman" w:hAnsi="Times New Roman" w:cs="Times New Roman"/>
                <w:szCs w:val="21"/>
              </w:rPr>
            </w:pPr>
            <w:r>
              <w:rPr>
                <w:rFonts w:hint="default" w:ascii="Times New Roman" w:hAnsi="Times New Roman" w:cs="Times New Roman"/>
                <w:szCs w:val="21"/>
              </w:rPr>
              <w:t>（1）袋式除尘器</w:t>
            </w:r>
          </w:p>
          <w:p>
            <w:pPr>
              <w:ind w:firstLine="480" w:firstLineChars="200"/>
              <w:textAlignment w:val="baseline"/>
              <w:rPr>
                <w:rFonts w:hint="default" w:ascii="Times New Roman" w:hAnsi="Times New Roman" w:cs="Times New Roman"/>
                <w:szCs w:val="21"/>
              </w:rPr>
            </w:pPr>
            <w:r>
              <w:rPr>
                <w:rFonts w:hint="default" w:ascii="Times New Roman" w:hAnsi="Times New Roman" w:cs="Times New Roman"/>
                <w:kern w:val="0"/>
                <w:szCs w:val="21"/>
                <w:lang w:bidi="ar"/>
              </w:rPr>
              <w:t>袋式除尘器是一种干式滤尘装置。它适用于捕集细小、干燥、非纤维性</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"https://baike.so.com/doc/662388-701218.html" \t "_blank" </w:instrText>
            </w:r>
            <w:r>
              <w:rPr>
                <w:rFonts w:hint="default" w:ascii="Times New Roman" w:hAnsi="Times New Roman" w:cs="Times New Roman"/>
              </w:rPr>
              <w:fldChar w:fldCharType="separate"/>
            </w:r>
            <w:r>
              <w:rPr>
                <w:rFonts w:hint="default" w:ascii="Times New Roman" w:hAnsi="Times New Roman" w:cs="Times New Roman"/>
                <w:kern w:val="0"/>
                <w:lang w:bidi="ar"/>
              </w:rPr>
              <w:t>粉尘</w:t>
            </w:r>
            <w:r>
              <w:rPr>
                <w:rFonts w:hint="default" w:ascii="Times New Roman" w:hAnsi="Times New Roman" w:cs="Times New Roman"/>
                <w:kern w:val="0"/>
                <w:lang w:bidi="ar"/>
              </w:rPr>
              <w:fldChar w:fldCharType="end"/>
            </w:r>
            <w:r>
              <w:rPr>
                <w:rFonts w:hint="default" w:ascii="Times New Roman" w:hAnsi="Times New Roman" w:cs="Times New Roman"/>
                <w:kern w:val="0"/>
                <w:szCs w:val="21"/>
                <w:lang w:bidi="ar"/>
              </w:rPr>
              <w:t>。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根据《排放源统计调查产排污核算方法和系数手册》中3021水泥制品制造（含3022砼结构构件、3029其他水泥类似制品），</w:t>
            </w:r>
            <w:r>
              <w:rPr>
                <w:rFonts w:hint="default" w:ascii="Times New Roman" w:hAnsi="Times New Roman" w:cs="Times New Roman"/>
                <w:szCs w:val="21"/>
                <w:lang w:bidi="ar"/>
              </w:rPr>
              <w:t>末端治理技术采用布袋除尘，处理效率可达99.7%，</w:t>
            </w:r>
            <w:r>
              <w:rPr>
                <w:rFonts w:hint="default" w:ascii="Times New Roman" w:hAnsi="Times New Roman" w:cs="Times New Roman"/>
                <w:szCs w:val="21"/>
              </w:rPr>
              <w:t>物料混合搅拌粉尘可达标排放，对周围大气环境及人员的影响较小。</w:t>
            </w:r>
          </w:p>
          <w:p>
            <w:pPr>
              <w:ind w:firstLine="480" w:firstLineChars="200"/>
              <w:textAlignment w:val="baseline"/>
              <w:rPr>
                <w:rFonts w:hint="default" w:ascii="Times New Roman" w:hAnsi="Times New Roman" w:cs="Times New Roman"/>
                <w:szCs w:val="21"/>
              </w:rPr>
            </w:pPr>
            <w:r>
              <w:rPr>
                <w:rFonts w:hint="default" w:ascii="Times New Roman" w:hAnsi="Times New Roman" w:cs="Times New Roman"/>
                <w:szCs w:val="21"/>
              </w:rPr>
              <w:t>（2）锅炉废气</w:t>
            </w:r>
          </w:p>
          <w:p>
            <w:pPr>
              <w:ind w:firstLine="482"/>
              <w:rPr>
                <w:rFonts w:hint="default" w:ascii="Times New Roman" w:hAnsi="Times New Roman" w:cs="Times New Roman"/>
                <w:szCs w:val="21"/>
              </w:rPr>
            </w:pPr>
            <w:r>
              <w:rPr>
                <w:rFonts w:hint="default" w:ascii="Times New Roman" w:hAnsi="Times New Roman" w:cs="Times New Roman"/>
                <w:szCs w:val="21"/>
              </w:rPr>
              <w:t>醇基燃料属清洁能源，具有热值高、燃烧完全、排污少等特点，是理想的燃料。燃烧后产生的各主要大气污染物量均较小，且为间歇有组织排放。根据</w:t>
            </w:r>
            <w:r>
              <w:rPr>
                <w:rFonts w:hint="default" w:ascii="Times New Roman" w:hAnsi="Times New Roman" w:cs="Times New Roman"/>
                <w:kern w:val="0"/>
                <w:szCs w:val="21"/>
                <w:lang w:bidi="ar"/>
              </w:rPr>
              <w:t>《排放源统计调查产排污核算方法和系数手册》（生态环境部公告2021年第24号）“4430锅炉产排污量核算系数手册”</w:t>
            </w:r>
            <w:r>
              <w:rPr>
                <w:rFonts w:hint="default" w:ascii="Times New Roman" w:hAnsi="Times New Roman" w:cs="Times New Roman"/>
                <w:szCs w:val="21"/>
              </w:rPr>
              <w:t>，采用醇基燃料作为原料在不采取其他任何措施的情况下，锅炉废气可达标排放，对周围大气环境及人员的影响较小，经现场勘查，项目区周边200m范围内未见超过</w:t>
            </w:r>
            <w:r>
              <w:rPr>
                <w:rFonts w:hint="eastAsia" w:cs="Times New Roman"/>
                <w:szCs w:val="21"/>
                <w:lang w:eastAsia="zh-CN"/>
              </w:rPr>
              <w:t>15m</w:t>
            </w:r>
            <w:r>
              <w:rPr>
                <w:rFonts w:hint="default" w:ascii="Times New Roman" w:hAnsi="Times New Roman" w:cs="Times New Roman"/>
                <w:szCs w:val="21"/>
              </w:rPr>
              <w:t>建筑，因此锅炉废气设置</w:t>
            </w:r>
            <w:r>
              <w:rPr>
                <w:rFonts w:hint="eastAsia" w:cs="Times New Roman"/>
                <w:szCs w:val="21"/>
                <w:lang w:eastAsia="zh-CN"/>
              </w:rPr>
              <w:t>15m</w:t>
            </w:r>
            <w:r>
              <w:rPr>
                <w:rFonts w:hint="default" w:ascii="Times New Roman" w:hAnsi="Times New Roman" w:cs="Times New Roman"/>
                <w:szCs w:val="21"/>
              </w:rPr>
              <w:t>高排气筒合理可行。</w:t>
            </w:r>
          </w:p>
          <w:p>
            <w:pPr>
              <w:overflowPunct w:val="0"/>
              <w:ind w:firstLine="482" w:firstLineChars="200"/>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1.4有组织排放各排气筒参数</w:t>
            </w:r>
          </w:p>
          <w:p>
            <w:pPr>
              <w:pStyle w:val="48"/>
              <w:ind w:firstLine="480"/>
              <w:rPr>
                <w:rFonts w:hint="default" w:ascii="Times New Roman" w:hAnsi="Times New Roman" w:cs="Times New Roman"/>
                <w:lang w:bidi="ar"/>
              </w:rPr>
            </w:pPr>
            <w:r>
              <w:rPr>
                <w:rFonts w:hint="default" w:ascii="Times New Roman" w:hAnsi="Times New Roman" w:cs="Times New Roman"/>
                <w:lang w:bidi="ar"/>
              </w:rPr>
              <w:t>排气筒参数详见下表。</w:t>
            </w:r>
          </w:p>
          <w:p>
            <w:pPr>
              <w:pStyle w:val="38"/>
              <w:rPr>
                <w:rFonts w:hint="default" w:ascii="Times New Roman" w:hAnsi="Times New Roman" w:cs="Times New Roman"/>
                <w:lang w:bidi="ar"/>
              </w:rPr>
            </w:pPr>
            <w:r>
              <w:rPr>
                <w:rFonts w:hint="default" w:ascii="Times New Roman" w:hAnsi="Times New Roman" w:cs="Times New Roman"/>
                <w:lang w:bidi="ar"/>
              </w:rPr>
              <w:t>表4-7排气筒参数</w:t>
            </w:r>
          </w:p>
          <w:tbl>
            <w:tblPr>
              <w:tblStyle w:val="26"/>
              <w:tblW w:w="89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972"/>
              <w:gridCol w:w="1101"/>
              <w:gridCol w:w="1057"/>
              <w:gridCol w:w="1057"/>
              <w:gridCol w:w="685"/>
              <w:gridCol w:w="27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294" w:type="dxa"/>
                  <w:vAlign w:val="center"/>
                </w:tcPr>
                <w:p>
                  <w:pPr>
                    <w:pStyle w:val="87"/>
                    <w:rPr>
                      <w:rFonts w:hint="default" w:ascii="Times New Roman" w:hAnsi="Times New Roman" w:cs="Times New Roman"/>
                    </w:rPr>
                  </w:pPr>
                  <w:r>
                    <w:rPr>
                      <w:rFonts w:hint="default" w:ascii="Times New Roman" w:hAnsi="Times New Roman" w:cs="Times New Roman"/>
                      <w:lang w:bidi="ar"/>
                    </w:rPr>
                    <w:t>排气筒编号</w:t>
                  </w:r>
                </w:p>
              </w:tc>
              <w:tc>
                <w:tcPr>
                  <w:tcW w:w="972" w:type="dxa"/>
                  <w:vAlign w:val="center"/>
                </w:tcPr>
                <w:p>
                  <w:pPr>
                    <w:pStyle w:val="87"/>
                    <w:jc w:val="both"/>
                    <w:rPr>
                      <w:rFonts w:hint="default" w:ascii="Times New Roman" w:hAnsi="Times New Roman" w:eastAsia="宋体" w:cs="Times New Roman"/>
                      <w:lang w:val="en-US" w:eastAsia="zh-CN" w:bidi="ar"/>
                    </w:rPr>
                  </w:pPr>
                  <w:r>
                    <w:rPr>
                      <w:rFonts w:hint="eastAsia" w:ascii="Times New Roman" w:hAnsi="Times New Roman" w:cs="Times New Roman"/>
                      <w:lang w:val="en-US" w:eastAsia="zh-CN" w:bidi="ar"/>
                    </w:rPr>
                    <w:t>类型</w:t>
                  </w:r>
                </w:p>
              </w:tc>
              <w:tc>
                <w:tcPr>
                  <w:tcW w:w="1101" w:type="dxa"/>
                  <w:vAlign w:val="center"/>
                </w:tcPr>
                <w:p>
                  <w:pPr>
                    <w:pStyle w:val="87"/>
                    <w:rPr>
                      <w:rFonts w:hint="eastAsia" w:ascii="Times New Roman" w:hAnsi="Times New Roman" w:eastAsia="宋体" w:cs="Times New Roman"/>
                      <w:lang w:val="en-US" w:eastAsia="zh-CN" w:bidi="ar"/>
                    </w:rPr>
                  </w:pPr>
                  <w:r>
                    <w:rPr>
                      <w:rFonts w:hint="eastAsia" w:ascii="Times New Roman" w:hAnsi="Times New Roman" w:cs="Times New Roman"/>
                      <w:lang w:val="en-US" w:eastAsia="zh-CN" w:bidi="ar"/>
                    </w:rPr>
                    <w:t>编号</w:t>
                  </w:r>
                </w:p>
              </w:tc>
              <w:tc>
                <w:tcPr>
                  <w:tcW w:w="1057"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高度（m）</w:t>
                  </w:r>
                </w:p>
              </w:tc>
              <w:tc>
                <w:tcPr>
                  <w:tcW w:w="1057" w:type="dxa"/>
                  <w:vAlign w:val="center"/>
                </w:tcPr>
                <w:p>
                  <w:pPr>
                    <w:pStyle w:val="87"/>
                    <w:rPr>
                      <w:rFonts w:hint="default" w:ascii="Times New Roman" w:hAnsi="Times New Roman" w:cs="Times New Roman"/>
                    </w:rPr>
                  </w:pPr>
                  <w:r>
                    <w:rPr>
                      <w:rFonts w:hint="default" w:ascii="Times New Roman" w:hAnsi="Times New Roman" w:cs="Times New Roman"/>
                      <w:lang w:bidi="ar"/>
                    </w:rPr>
                    <w:t>内径（m）</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温度</w:t>
                  </w:r>
                </w:p>
              </w:tc>
              <w:tc>
                <w:tcPr>
                  <w:tcW w:w="2792"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地理坐标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94" w:type="dxa"/>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混合搅拌粉尘</w:t>
                  </w:r>
                </w:p>
              </w:tc>
              <w:tc>
                <w:tcPr>
                  <w:tcW w:w="972" w:type="dxa"/>
                  <w:vAlign w:val="center"/>
                </w:tcPr>
                <w:p>
                  <w:pPr>
                    <w:pStyle w:val="87"/>
                    <w:rPr>
                      <w:rFonts w:hint="default" w:ascii="Times New Roman" w:hAnsi="Times New Roman" w:eastAsia="宋体" w:cs="Times New Roman"/>
                      <w:lang w:val="en-US" w:eastAsia="zh-CN" w:bidi="ar"/>
                    </w:rPr>
                  </w:pPr>
                  <w:r>
                    <w:rPr>
                      <w:rFonts w:hint="eastAsia" w:ascii="Times New Roman" w:hAnsi="Times New Roman" w:cs="Times New Roman"/>
                      <w:lang w:val="en-US" w:eastAsia="zh-CN" w:bidi="ar"/>
                    </w:rPr>
                    <w:t>一般排放口</w:t>
                  </w:r>
                </w:p>
              </w:tc>
              <w:tc>
                <w:tcPr>
                  <w:tcW w:w="1101" w:type="dxa"/>
                  <w:vAlign w:val="center"/>
                </w:tcPr>
                <w:p>
                  <w:pPr>
                    <w:pStyle w:val="87"/>
                    <w:rPr>
                      <w:rFonts w:hint="default" w:ascii="Times New Roman" w:hAnsi="Times New Roman" w:cs="Times New Roman"/>
                      <w:lang w:bidi="ar"/>
                    </w:rPr>
                  </w:pPr>
                  <w:r>
                    <w:rPr>
                      <w:rFonts w:hint="default" w:ascii="Times New Roman" w:hAnsi="Times New Roman" w:cs="Times New Roman"/>
                    </w:rPr>
                    <w:t>DA001</w:t>
                  </w:r>
                </w:p>
              </w:tc>
              <w:tc>
                <w:tcPr>
                  <w:tcW w:w="1057"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15</w:t>
                  </w:r>
                </w:p>
              </w:tc>
              <w:tc>
                <w:tcPr>
                  <w:tcW w:w="1057"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0.5</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常温</w:t>
                  </w:r>
                </w:p>
              </w:tc>
              <w:tc>
                <w:tcPr>
                  <w:tcW w:w="2792" w:type="dxa"/>
                  <w:vAlign w:val="center"/>
                </w:tcPr>
                <w:p>
                  <w:pPr>
                    <w:pStyle w:val="87"/>
                    <w:rPr>
                      <w:rFonts w:hint="default" w:ascii="Times New Roman" w:hAnsi="Times New Roman" w:cs="Times New Roman"/>
                    </w:rPr>
                  </w:pPr>
                  <w:r>
                    <w:rPr>
                      <w:rFonts w:hint="default" w:ascii="Times New Roman" w:hAnsi="Times New Roman" w:cs="Times New Roman"/>
                    </w:rPr>
                    <w:t>86.272509</w:t>
                  </w:r>
                  <w:r>
                    <w:rPr>
                      <w:rFonts w:hint="eastAsia" w:ascii="Times New Roman" w:hAnsi="Times New Roman" w:cs="Times New Roman"/>
                      <w:lang w:val="en-US" w:eastAsia="zh-CN"/>
                    </w:rPr>
                    <w:t>E</w:t>
                  </w:r>
                  <w:r>
                    <w:rPr>
                      <w:rFonts w:hint="eastAsia" w:ascii="Times New Roman" w:hAnsi="Times New Roman" w:cs="Times New Roman"/>
                      <w:lang w:eastAsia="zh-CN"/>
                    </w:rPr>
                    <w:t>，</w:t>
                  </w:r>
                  <w:r>
                    <w:rPr>
                      <w:rFonts w:hint="default" w:ascii="Times New Roman" w:hAnsi="Times New Roman" w:cs="Times New Roman"/>
                    </w:rPr>
                    <w:t>41.365709</w:t>
                  </w:r>
                  <w:r>
                    <w:rPr>
                      <w:rFonts w:hint="eastAsia" w:ascii="Times New Roman" w:hAnsi="Times New Roman" w:cs="Times New Roman"/>
                      <w:lang w:val="en-US" w:eastAsia="zh-CN"/>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94" w:type="dxa"/>
                  <w:vAlign w:val="center"/>
                </w:tcPr>
                <w:p>
                  <w:pPr>
                    <w:pStyle w:val="87"/>
                    <w:rPr>
                      <w:rFonts w:hint="default" w:ascii="Times New Roman" w:hAnsi="Times New Roman" w:cs="Times New Roman"/>
                    </w:rPr>
                  </w:pPr>
                  <w:r>
                    <w:rPr>
                      <w:rFonts w:hint="default" w:ascii="Times New Roman" w:hAnsi="Times New Roman" w:cs="Times New Roman"/>
                    </w:rPr>
                    <w:t>锅炉废气</w:t>
                  </w:r>
                </w:p>
              </w:tc>
              <w:tc>
                <w:tcPr>
                  <w:tcW w:w="972" w:type="dxa"/>
                  <w:vAlign w:val="center"/>
                </w:tcPr>
                <w:p>
                  <w:pPr>
                    <w:pStyle w:val="87"/>
                    <w:rPr>
                      <w:rFonts w:hint="default" w:ascii="Times New Roman" w:hAnsi="Times New Roman" w:cs="Times New Roman"/>
                    </w:rPr>
                  </w:pPr>
                  <w:r>
                    <w:rPr>
                      <w:rFonts w:hint="eastAsia" w:ascii="Times New Roman" w:hAnsi="Times New Roman" w:cs="Times New Roman"/>
                      <w:lang w:val="en-US" w:eastAsia="zh-CN" w:bidi="ar"/>
                    </w:rPr>
                    <w:t>一般排放口</w:t>
                  </w:r>
                </w:p>
              </w:tc>
              <w:tc>
                <w:tcPr>
                  <w:tcW w:w="1101" w:type="dxa"/>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DA00</w:t>
                  </w:r>
                  <w:r>
                    <w:rPr>
                      <w:rFonts w:hint="eastAsia" w:ascii="Times New Roman" w:hAnsi="Times New Roman" w:cs="Times New Roman"/>
                      <w:lang w:val="en-US" w:eastAsia="zh-CN"/>
                    </w:rPr>
                    <w:t>2</w:t>
                  </w:r>
                </w:p>
              </w:tc>
              <w:tc>
                <w:tcPr>
                  <w:tcW w:w="1057"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15</w:t>
                  </w:r>
                </w:p>
              </w:tc>
              <w:tc>
                <w:tcPr>
                  <w:tcW w:w="1057" w:type="dxa"/>
                  <w:vAlign w:val="center"/>
                </w:tcPr>
                <w:p>
                  <w:pPr>
                    <w:pStyle w:val="87"/>
                    <w:rPr>
                      <w:rFonts w:hint="default" w:ascii="Times New Roman" w:hAnsi="Times New Roman" w:cs="Times New Roman"/>
                    </w:rPr>
                  </w:pPr>
                  <w:r>
                    <w:rPr>
                      <w:rFonts w:hint="default" w:ascii="Times New Roman" w:hAnsi="Times New Roman" w:cs="Times New Roman"/>
                      <w:lang w:bidi="ar"/>
                    </w:rPr>
                    <w:t>0.5</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常温</w:t>
                  </w:r>
                </w:p>
              </w:tc>
              <w:tc>
                <w:tcPr>
                  <w:tcW w:w="2792" w:type="dxa"/>
                  <w:vAlign w:val="center"/>
                </w:tcPr>
                <w:p>
                  <w:pPr>
                    <w:pStyle w:val="87"/>
                    <w:rPr>
                      <w:rFonts w:hint="default" w:ascii="Times New Roman" w:hAnsi="Times New Roman" w:cs="Times New Roman"/>
                    </w:rPr>
                  </w:pPr>
                  <w:r>
                    <w:rPr>
                      <w:rFonts w:hint="default" w:ascii="Times New Roman" w:hAnsi="Times New Roman" w:cs="Times New Roman"/>
                    </w:rPr>
                    <w:t>86.271752</w:t>
                  </w:r>
                  <w:r>
                    <w:rPr>
                      <w:rFonts w:hint="eastAsia" w:ascii="Times New Roman" w:hAnsi="Times New Roman" w:cs="Times New Roman"/>
                      <w:lang w:val="en-US" w:eastAsia="zh-CN"/>
                    </w:rPr>
                    <w:t>E</w:t>
                  </w:r>
                  <w:r>
                    <w:rPr>
                      <w:rFonts w:hint="eastAsia" w:ascii="Times New Roman" w:hAnsi="Times New Roman" w:cs="Times New Roman"/>
                      <w:lang w:eastAsia="zh-CN"/>
                    </w:rPr>
                    <w:t>，</w:t>
                  </w:r>
                  <w:r>
                    <w:rPr>
                      <w:rFonts w:hint="default" w:ascii="Times New Roman" w:hAnsi="Times New Roman" w:cs="Times New Roman"/>
                    </w:rPr>
                    <w:t>41.365194</w:t>
                  </w:r>
                  <w:r>
                    <w:rPr>
                      <w:rFonts w:hint="eastAsia" w:ascii="Times New Roman" w:hAnsi="Times New Roman" w:cs="Times New Roman"/>
                      <w:lang w:val="en-US" w:eastAsia="zh-CN"/>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94" w:type="dxa"/>
                  <w:vAlign w:val="center"/>
                </w:tcPr>
                <w:p>
                  <w:pPr>
                    <w:pStyle w:val="87"/>
                    <w:rPr>
                      <w:rFonts w:hint="default" w:ascii="Times New Roman" w:hAnsi="Times New Roman" w:cs="Times New Roman"/>
                    </w:rPr>
                  </w:pPr>
                  <w:r>
                    <w:rPr>
                      <w:rFonts w:hint="default" w:ascii="Times New Roman" w:hAnsi="Times New Roman" w:cs="Times New Roman"/>
                    </w:rPr>
                    <w:t>锅炉废气</w:t>
                  </w:r>
                </w:p>
              </w:tc>
              <w:tc>
                <w:tcPr>
                  <w:tcW w:w="972" w:type="dxa"/>
                  <w:vAlign w:val="center"/>
                </w:tcPr>
                <w:p>
                  <w:pPr>
                    <w:pStyle w:val="87"/>
                    <w:rPr>
                      <w:rFonts w:hint="default" w:ascii="Times New Roman" w:hAnsi="Times New Roman" w:cs="Times New Roman"/>
                    </w:rPr>
                  </w:pPr>
                  <w:r>
                    <w:rPr>
                      <w:rFonts w:hint="eastAsia" w:ascii="Times New Roman" w:hAnsi="Times New Roman" w:cs="Times New Roman"/>
                      <w:lang w:val="en-US" w:eastAsia="zh-CN" w:bidi="ar"/>
                    </w:rPr>
                    <w:t>一般排放口</w:t>
                  </w:r>
                </w:p>
              </w:tc>
              <w:tc>
                <w:tcPr>
                  <w:tcW w:w="1101" w:type="dxa"/>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DA00</w:t>
                  </w:r>
                  <w:r>
                    <w:rPr>
                      <w:rFonts w:hint="eastAsia" w:ascii="Times New Roman" w:hAnsi="Times New Roman" w:cs="Times New Roman"/>
                      <w:lang w:val="en-US" w:eastAsia="zh-CN"/>
                    </w:rPr>
                    <w:t>3</w:t>
                  </w:r>
                </w:p>
              </w:tc>
              <w:tc>
                <w:tcPr>
                  <w:tcW w:w="1057" w:type="dxa"/>
                  <w:vAlign w:val="center"/>
                </w:tcPr>
                <w:p>
                  <w:pPr>
                    <w:pStyle w:val="87"/>
                    <w:rPr>
                      <w:rFonts w:hint="default" w:ascii="Times New Roman" w:hAnsi="Times New Roman" w:eastAsia="宋体" w:cs="Times New Roman"/>
                      <w:lang w:val="en-US" w:eastAsia="zh-CN"/>
                    </w:rPr>
                  </w:pPr>
                  <w:r>
                    <w:rPr>
                      <w:rFonts w:hint="eastAsia" w:ascii="Times New Roman" w:hAnsi="Times New Roman" w:cs="Times New Roman"/>
                      <w:lang w:val="en-US" w:eastAsia="zh-CN"/>
                    </w:rPr>
                    <w:t>15</w:t>
                  </w:r>
                </w:p>
              </w:tc>
              <w:tc>
                <w:tcPr>
                  <w:tcW w:w="1057"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0.5</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常温</w:t>
                  </w:r>
                </w:p>
              </w:tc>
              <w:tc>
                <w:tcPr>
                  <w:tcW w:w="2792" w:type="dxa"/>
                  <w:vAlign w:val="center"/>
                </w:tcPr>
                <w:p>
                  <w:pPr>
                    <w:pStyle w:val="87"/>
                    <w:rPr>
                      <w:rFonts w:hint="default" w:ascii="Times New Roman" w:hAnsi="Times New Roman" w:cs="Times New Roman"/>
                    </w:rPr>
                  </w:pPr>
                  <w:r>
                    <w:rPr>
                      <w:rFonts w:hint="default" w:ascii="Times New Roman" w:hAnsi="Times New Roman" w:cs="Times New Roman"/>
                    </w:rPr>
                    <w:t>86.271725</w:t>
                  </w:r>
                  <w:r>
                    <w:rPr>
                      <w:rFonts w:hint="eastAsia" w:ascii="Times New Roman" w:hAnsi="Times New Roman" w:cs="Times New Roman"/>
                      <w:lang w:val="en-US" w:eastAsia="zh-CN"/>
                    </w:rPr>
                    <w:t>E</w:t>
                  </w:r>
                  <w:r>
                    <w:rPr>
                      <w:rFonts w:hint="eastAsia" w:ascii="Times New Roman" w:hAnsi="Times New Roman" w:cs="Times New Roman"/>
                      <w:lang w:eastAsia="zh-CN"/>
                    </w:rPr>
                    <w:t>，</w:t>
                  </w:r>
                  <w:r>
                    <w:rPr>
                      <w:rFonts w:hint="default" w:ascii="Times New Roman" w:hAnsi="Times New Roman" w:cs="Times New Roman"/>
                    </w:rPr>
                    <w:t>41.365135</w:t>
                  </w:r>
                  <w:r>
                    <w:rPr>
                      <w:rFonts w:hint="eastAsia" w:ascii="Times New Roman" w:hAnsi="Times New Roman" w:cs="Times New Roman"/>
                      <w:lang w:val="en-US" w:eastAsia="zh-CN"/>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94" w:type="dxa"/>
                  <w:vAlign w:val="center"/>
                </w:tcPr>
                <w:p>
                  <w:pPr>
                    <w:pStyle w:val="87"/>
                    <w:rPr>
                      <w:rFonts w:hint="default" w:ascii="Times New Roman" w:hAnsi="Times New Roman" w:cs="Times New Roman"/>
                    </w:rPr>
                  </w:pPr>
                  <w:r>
                    <w:rPr>
                      <w:rFonts w:hint="default" w:ascii="Times New Roman" w:hAnsi="Times New Roman" w:cs="Times New Roman"/>
                    </w:rPr>
                    <w:t>水泥筒仓</w:t>
                  </w:r>
                </w:p>
              </w:tc>
              <w:tc>
                <w:tcPr>
                  <w:tcW w:w="972" w:type="dxa"/>
                  <w:vAlign w:val="center"/>
                </w:tcPr>
                <w:p>
                  <w:pPr>
                    <w:pStyle w:val="87"/>
                    <w:rPr>
                      <w:rFonts w:hint="default" w:ascii="Times New Roman" w:hAnsi="Times New Roman" w:cs="Times New Roman"/>
                      <w:lang w:bidi="ar"/>
                    </w:rPr>
                  </w:pPr>
                  <w:r>
                    <w:rPr>
                      <w:rFonts w:hint="eastAsia" w:ascii="Times New Roman" w:hAnsi="Times New Roman" w:cs="Times New Roman"/>
                      <w:lang w:val="en-US" w:eastAsia="zh-CN" w:bidi="ar"/>
                    </w:rPr>
                    <w:t>一般排放口</w:t>
                  </w:r>
                </w:p>
              </w:tc>
              <w:tc>
                <w:tcPr>
                  <w:tcW w:w="1101" w:type="dxa"/>
                  <w:vAlign w:val="center"/>
                </w:tcPr>
                <w:p>
                  <w:pPr>
                    <w:pStyle w:val="87"/>
                    <w:rPr>
                      <w:rFonts w:hint="eastAsia" w:ascii="Times New Roman" w:hAnsi="Times New Roman" w:eastAsia="宋体" w:cs="Times New Roman"/>
                      <w:lang w:eastAsia="zh-CN" w:bidi="ar"/>
                    </w:rPr>
                  </w:pPr>
                  <w:r>
                    <w:rPr>
                      <w:rFonts w:hint="default" w:ascii="Times New Roman" w:hAnsi="Times New Roman" w:cs="Times New Roman"/>
                    </w:rPr>
                    <w:t>DA00</w:t>
                  </w:r>
                  <w:r>
                    <w:rPr>
                      <w:rFonts w:hint="eastAsia" w:ascii="Times New Roman" w:hAnsi="Times New Roman" w:cs="Times New Roman"/>
                      <w:lang w:val="en-US" w:eastAsia="zh-CN"/>
                    </w:rPr>
                    <w:t>4</w:t>
                  </w:r>
                </w:p>
              </w:tc>
              <w:tc>
                <w:tcPr>
                  <w:tcW w:w="1057" w:type="dxa"/>
                  <w:vAlign w:val="center"/>
                </w:tcPr>
                <w:p>
                  <w:pPr>
                    <w:pStyle w:val="87"/>
                    <w:rPr>
                      <w:rFonts w:hint="default" w:ascii="Times New Roman" w:hAnsi="Times New Roman" w:eastAsia="宋体" w:cs="Times New Roman"/>
                      <w:lang w:val="en-US" w:eastAsia="zh-CN"/>
                    </w:rPr>
                  </w:pPr>
                  <w:r>
                    <w:rPr>
                      <w:rFonts w:hint="default" w:ascii="Times New Roman" w:hAnsi="Times New Roman" w:cs="Times New Roman"/>
                      <w:lang w:bidi="ar"/>
                    </w:rPr>
                    <w:t>15</w:t>
                  </w:r>
                </w:p>
              </w:tc>
              <w:tc>
                <w:tcPr>
                  <w:tcW w:w="1057" w:type="dxa"/>
                  <w:vAlign w:val="center"/>
                </w:tcPr>
                <w:p>
                  <w:pPr>
                    <w:pStyle w:val="87"/>
                    <w:rPr>
                      <w:rFonts w:hint="default" w:ascii="Times New Roman" w:hAnsi="Times New Roman" w:eastAsia="宋体" w:cs="Times New Roman"/>
                      <w:lang w:val="en-US" w:eastAsia="zh-CN" w:bidi="ar"/>
                    </w:rPr>
                  </w:pPr>
                  <w:r>
                    <w:rPr>
                      <w:rFonts w:hint="default" w:ascii="Times New Roman" w:hAnsi="Times New Roman" w:cs="Times New Roman"/>
                      <w:lang w:bidi="ar"/>
                    </w:rPr>
                    <w:t>0.5</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常温</w:t>
                  </w:r>
                </w:p>
              </w:tc>
              <w:tc>
                <w:tcPr>
                  <w:tcW w:w="2792" w:type="dxa"/>
                  <w:vAlign w:val="center"/>
                </w:tcPr>
                <w:p>
                  <w:pPr>
                    <w:pStyle w:val="87"/>
                    <w:rPr>
                      <w:rFonts w:hint="default" w:ascii="Times New Roman" w:hAnsi="Times New Roman" w:cs="Times New Roman"/>
                    </w:rPr>
                  </w:pPr>
                  <w:r>
                    <w:rPr>
                      <w:rFonts w:hint="default" w:ascii="Times New Roman" w:hAnsi="Times New Roman" w:cs="Times New Roman"/>
                    </w:rPr>
                    <w:t>86.271908</w:t>
                  </w:r>
                  <w:r>
                    <w:rPr>
                      <w:rFonts w:hint="eastAsia" w:ascii="Times New Roman" w:hAnsi="Times New Roman" w:cs="Times New Roman"/>
                      <w:lang w:val="en-US" w:eastAsia="zh-CN"/>
                    </w:rPr>
                    <w:t>E</w:t>
                  </w:r>
                  <w:r>
                    <w:rPr>
                      <w:rFonts w:hint="eastAsia" w:ascii="Times New Roman" w:hAnsi="Times New Roman" w:cs="Times New Roman"/>
                      <w:lang w:eastAsia="zh-CN"/>
                    </w:rPr>
                    <w:t>，</w:t>
                  </w:r>
                  <w:r>
                    <w:rPr>
                      <w:rFonts w:hint="default" w:ascii="Times New Roman" w:hAnsi="Times New Roman" w:cs="Times New Roman"/>
                    </w:rPr>
                    <w:t>41.365637</w:t>
                  </w:r>
                  <w:r>
                    <w:rPr>
                      <w:rFonts w:hint="eastAsia" w:ascii="Times New Roman" w:hAnsi="Times New Roman" w:cs="Times New Roman"/>
                      <w:lang w:val="en-US" w:eastAsia="zh-CN"/>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94" w:type="dxa"/>
                  <w:vAlign w:val="center"/>
                </w:tcPr>
                <w:p>
                  <w:pPr>
                    <w:pStyle w:val="87"/>
                    <w:rPr>
                      <w:rFonts w:hint="default" w:ascii="Times New Roman" w:hAnsi="Times New Roman" w:cs="Times New Roman"/>
                    </w:rPr>
                  </w:pPr>
                  <w:r>
                    <w:rPr>
                      <w:rFonts w:hint="default" w:ascii="Times New Roman" w:hAnsi="Times New Roman" w:cs="Times New Roman"/>
                    </w:rPr>
                    <w:t>水泥筒仓</w:t>
                  </w:r>
                </w:p>
              </w:tc>
              <w:tc>
                <w:tcPr>
                  <w:tcW w:w="972" w:type="dxa"/>
                  <w:vAlign w:val="center"/>
                </w:tcPr>
                <w:p>
                  <w:pPr>
                    <w:pStyle w:val="87"/>
                    <w:rPr>
                      <w:rFonts w:hint="default" w:ascii="Times New Roman" w:hAnsi="Times New Roman" w:cs="Times New Roman"/>
                      <w:lang w:bidi="ar"/>
                    </w:rPr>
                  </w:pPr>
                  <w:r>
                    <w:rPr>
                      <w:rFonts w:hint="eastAsia" w:ascii="Times New Roman" w:hAnsi="Times New Roman" w:cs="Times New Roman"/>
                      <w:lang w:val="en-US" w:eastAsia="zh-CN" w:bidi="ar"/>
                    </w:rPr>
                    <w:t>一般排放口</w:t>
                  </w:r>
                </w:p>
              </w:tc>
              <w:tc>
                <w:tcPr>
                  <w:tcW w:w="1101" w:type="dxa"/>
                  <w:vAlign w:val="center"/>
                </w:tcPr>
                <w:p>
                  <w:pPr>
                    <w:pStyle w:val="87"/>
                    <w:rPr>
                      <w:rFonts w:hint="eastAsia" w:ascii="Times New Roman" w:hAnsi="Times New Roman" w:eastAsia="宋体" w:cs="Times New Roman"/>
                      <w:lang w:eastAsia="zh-CN" w:bidi="ar"/>
                    </w:rPr>
                  </w:pPr>
                  <w:r>
                    <w:rPr>
                      <w:rFonts w:hint="default" w:ascii="Times New Roman" w:hAnsi="Times New Roman" w:cs="Times New Roman"/>
                    </w:rPr>
                    <w:t>DA00</w:t>
                  </w:r>
                  <w:r>
                    <w:rPr>
                      <w:rFonts w:hint="eastAsia" w:ascii="Times New Roman" w:hAnsi="Times New Roman" w:cs="Times New Roman"/>
                      <w:lang w:val="en-US" w:eastAsia="zh-CN"/>
                    </w:rPr>
                    <w:t>5</w:t>
                  </w:r>
                </w:p>
              </w:tc>
              <w:tc>
                <w:tcPr>
                  <w:tcW w:w="1057" w:type="dxa"/>
                  <w:vAlign w:val="center"/>
                </w:tcPr>
                <w:p>
                  <w:pPr>
                    <w:pStyle w:val="87"/>
                    <w:rPr>
                      <w:rFonts w:hint="default" w:ascii="Times New Roman" w:hAnsi="Times New Roman" w:cs="Times New Roman"/>
                    </w:rPr>
                  </w:pPr>
                  <w:r>
                    <w:rPr>
                      <w:rFonts w:hint="default" w:ascii="Times New Roman" w:hAnsi="Times New Roman" w:cs="Times New Roman"/>
                      <w:lang w:bidi="ar"/>
                    </w:rPr>
                    <w:t>15</w:t>
                  </w:r>
                </w:p>
              </w:tc>
              <w:tc>
                <w:tcPr>
                  <w:tcW w:w="1057"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0.5</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常温</w:t>
                  </w:r>
                </w:p>
              </w:tc>
              <w:tc>
                <w:tcPr>
                  <w:tcW w:w="2792" w:type="dxa"/>
                  <w:vAlign w:val="center"/>
                </w:tcPr>
                <w:p>
                  <w:pPr>
                    <w:pStyle w:val="87"/>
                    <w:rPr>
                      <w:rFonts w:hint="default" w:ascii="Times New Roman" w:hAnsi="Times New Roman" w:cs="Times New Roman"/>
                    </w:rPr>
                  </w:pPr>
                  <w:r>
                    <w:rPr>
                      <w:rFonts w:hint="default" w:ascii="Times New Roman" w:hAnsi="Times New Roman" w:cs="Times New Roman"/>
                    </w:rPr>
                    <w:t>86.271908</w:t>
                  </w:r>
                  <w:r>
                    <w:rPr>
                      <w:rFonts w:hint="eastAsia" w:ascii="Times New Roman" w:hAnsi="Times New Roman" w:cs="Times New Roman"/>
                      <w:lang w:val="en-US" w:eastAsia="zh-CN"/>
                    </w:rPr>
                    <w:t>E</w:t>
                  </w:r>
                  <w:r>
                    <w:rPr>
                      <w:rFonts w:hint="eastAsia" w:ascii="Times New Roman" w:hAnsi="Times New Roman" w:cs="Times New Roman"/>
                      <w:lang w:eastAsia="zh-CN"/>
                    </w:rPr>
                    <w:t>，</w:t>
                  </w:r>
                  <w:r>
                    <w:rPr>
                      <w:rFonts w:hint="default" w:ascii="Times New Roman" w:hAnsi="Times New Roman" w:cs="Times New Roman"/>
                    </w:rPr>
                    <w:t>41.365492</w:t>
                  </w:r>
                  <w:r>
                    <w:rPr>
                      <w:rFonts w:hint="eastAsia" w:ascii="Times New Roman" w:hAnsi="Times New Roman" w:cs="Times New Roman"/>
                      <w:lang w:val="en-US" w:eastAsia="zh-CN"/>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294" w:type="dxa"/>
                  <w:vAlign w:val="center"/>
                </w:tcPr>
                <w:p>
                  <w:pPr>
                    <w:pStyle w:val="87"/>
                    <w:rPr>
                      <w:rFonts w:hint="default" w:ascii="Times New Roman" w:hAnsi="Times New Roman" w:cs="Times New Roman"/>
                    </w:rPr>
                  </w:pPr>
                  <w:r>
                    <w:rPr>
                      <w:rFonts w:hint="default" w:ascii="Times New Roman" w:hAnsi="Times New Roman" w:cs="Times New Roman"/>
                    </w:rPr>
                    <w:t>外加剂筒仓</w:t>
                  </w:r>
                </w:p>
              </w:tc>
              <w:tc>
                <w:tcPr>
                  <w:tcW w:w="972" w:type="dxa"/>
                  <w:vAlign w:val="center"/>
                </w:tcPr>
                <w:p>
                  <w:pPr>
                    <w:pStyle w:val="87"/>
                    <w:rPr>
                      <w:rFonts w:hint="default" w:ascii="Times New Roman" w:hAnsi="Times New Roman" w:cs="Times New Roman"/>
                      <w:lang w:bidi="ar"/>
                    </w:rPr>
                  </w:pPr>
                  <w:r>
                    <w:rPr>
                      <w:rFonts w:hint="eastAsia" w:ascii="Times New Roman" w:hAnsi="Times New Roman" w:cs="Times New Roman"/>
                      <w:lang w:val="en-US" w:eastAsia="zh-CN" w:bidi="ar"/>
                    </w:rPr>
                    <w:t>一般排放口</w:t>
                  </w:r>
                </w:p>
              </w:tc>
              <w:tc>
                <w:tcPr>
                  <w:tcW w:w="1101" w:type="dxa"/>
                  <w:vAlign w:val="center"/>
                </w:tcPr>
                <w:p>
                  <w:pPr>
                    <w:pStyle w:val="87"/>
                    <w:rPr>
                      <w:rFonts w:hint="eastAsia" w:ascii="Times New Roman" w:hAnsi="Times New Roman" w:eastAsia="宋体" w:cs="Times New Roman"/>
                      <w:lang w:eastAsia="zh-CN" w:bidi="ar"/>
                    </w:rPr>
                  </w:pPr>
                  <w:r>
                    <w:rPr>
                      <w:rFonts w:hint="default" w:ascii="Times New Roman" w:hAnsi="Times New Roman" w:cs="Times New Roman"/>
                    </w:rPr>
                    <w:t>DA00</w:t>
                  </w:r>
                  <w:r>
                    <w:rPr>
                      <w:rFonts w:hint="eastAsia" w:ascii="Times New Roman" w:hAnsi="Times New Roman" w:cs="Times New Roman"/>
                      <w:lang w:val="en-US" w:eastAsia="zh-CN"/>
                    </w:rPr>
                    <w:t>6</w:t>
                  </w:r>
                </w:p>
              </w:tc>
              <w:tc>
                <w:tcPr>
                  <w:tcW w:w="1057" w:type="dxa"/>
                  <w:vAlign w:val="center"/>
                </w:tcPr>
                <w:p>
                  <w:pPr>
                    <w:pStyle w:val="87"/>
                    <w:rPr>
                      <w:rFonts w:hint="default" w:ascii="Times New Roman" w:hAnsi="Times New Roman" w:cs="Times New Roman"/>
                    </w:rPr>
                  </w:pPr>
                  <w:r>
                    <w:rPr>
                      <w:rFonts w:hint="default" w:ascii="Times New Roman" w:hAnsi="Times New Roman" w:cs="Times New Roman"/>
                      <w:lang w:bidi="ar"/>
                    </w:rPr>
                    <w:t>15</w:t>
                  </w:r>
                </w:p>
              </w:tc>
              <w:tc>
                <w:tcPr>
                  <w:tcW w:w="1057"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0.5</w:t>
                  </w:r>
                </w:p>
              </w:tc>
              <w:tc>
                <w:tcPr>
                  <w:tcW w:w="685" w:type="dxa"/>
                  <w:vAlign w:val="center"/>
                </w:tcPr>
                <w:p>
                  <w:pPr>
                    <w:pStyle w:val="87"/>
                    <w:rPr>
                      <w:rFonts w:hint="default" w:ascii="Times New Roman" w:hAnsi="Times New Roman" w:eastAsia="宋体" w:cs="Times New Roman"/>
                      <w:bCs/>
                      <w:spacing w:val="5"/>
                      <w:kern w:val="0"/>
                      <w:sz w:val="21"/>
                      <w:szCs w:val="21"/>
                      <w:lang w:val="en-US" w:eastAsia="zh-CN" w:bidi="ar-SA"/>
                    </w:rPr>
                  </w:pPr>
                  <w:r>
                    <w:rPr>
                      <w:rFonts w:hint="default" w:ascii="Times New Roman" w:hAnsi="Times New Roman" w:cs="Times New Roman"/>
                    </w:rPr>
                    <w:t>常温</w:t>
                  </w:r>
                </w:p>
              </w:tc>
              <w:tc>
                <w:tcPr>
                  <w:tcW w:w="2792" w:type="dxa"/>
                  <w:vAlign w:val="center"/>
                </w:tcPr>
                <w:p>
                  <w:pPr>
                    <w:pStyle w:val="87"/>
                    <w:rPr>
                      <w:rFonts w:hint="eastAsia" w:ascii="Times New Roman" w:hAnsi="Times New Roman" w:eastAsia="宋体" w:cs="Times New Roman"/>
                      <w:lang w:val="en-US" w:eastAsia="zh-CN"/>
                    </w:rPr>
                  </w:pPr>
                  <w:r>
                    <w:rPr>
                      <w:rFonts w:hint="default" w:ascii="Times New Roman" w:hAnsi="Times New Roman" w:cs="Times New Roman"/>
                    </w:rPr>
                    <w:t>86.271919</w:t>
                  </w:r>
                  <w:r>
                    <w:rPr>
                      <w:rFonts w:hint="eastAsia" w:ascii="Times New Roman" w:hAnsi="Times New Roman" w:cs="Times New Roman"/>
                      <w:lang w:val="en-US" w:eastAsia="zh-CN"/>
                    </w:rPr>
                    <w:t>E</w:t>
                  </w:r>
                  <w:r>
                    <w:rPr>
                      <w:rFonts w:hint="eastAsia" w:ascii="Times New Roman" w:hAnsi="Times New Roman" w:cs="Times New Roman"/>
                      <w:lang w:eastAsia="zh-CN"/>
                    </w:rPr>
                    <w:t>，</w:t>
                  </w:r>
                  <w:r>
                    <w:rPr>
                      <w:rFonts w:hint="default" w:ascii="Times New Roman" w:hAnsi="Times New Roman" w:cs="Times New Roman"/>
                    </w:rPr>
                    <w:t>41.365371</w:t>
                  </w:r>
                  <w:r>
                    <w:rPr>
                      <w:rFonts w:hint="eastAsia" w:ascii="Times New Roman" w:hAnsi="Times New Roman" w:cs="Times New Roman"/>
                      <w:lang w:val="en-US" w:eastAsia="zh-CN"/>
                    </w:rPr>
                    <w:t>N</w:t>
                  </w:r>
                </w:p>
              </w:tc>
            </w:tr>
          </w:tbl>
          <w:p>
            <w:pPr>
              <w:overflowPunct w:val="0"/>
              <w:ind w:firstLine="482" w:firstLineChars="200"/>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1.5废气监测要求</w:t>
            </w:r>
          </w:p>
          <w:p>
            <w:pPr>
              <w:snapToGrid w:val="0"/>
              <w:ind w:firstLine="480" w:firstLineChars="200"/>
              <w:rPr>
                <w:rFonts w:hint="default" w:ascii="Times New Roman" w:hAnsi="Times New Roman" w:cs="Times New Roman"/>
                <w:szCs w:val="21"/>
              </w:rPr>
            </w:pPr>
            <w:r>
              <w:rPr>
                <w:rFonts w:hint="default" w:ascii="Times New Roman" w:hAnsi="Times New Roman" w:cs="Times New Roman"/>
                <w:szCs w:val="21"/>
                <w:lang w:bidi="ar"/>
              </w:rPr>
              <w:t>根据《排污单位自行监测技术指南总则》（HJ819-2017）、《排污许可证申请与核发技术规范总则》（HJ942-2018）、</w:t>
            </w:r>
            <w:r>
              <w:rPr>
                <w:rFonts w:hint="default" w:ascii="Times New Roman" w:hAnsi="Times New Roman" w:cs="Times New Roman"/>
                <w:szCs w:val="21"/>
              </w:rPr>
              <w:t>《排污许可申请与核发技术规范锅炉》（HJ953-2018）</w:t>
            </w:r>
            <w:r>
              <w:rPr>
                <w:rFonts w:hint="default" w:ascii="Times New Roman" w:hAnsi="Times New Roman" w:cs="Times New Roman"/>
                <w:szCs w:val="21"/>
                <w:lang w:bidi="ar"/>
              </w:rPr>
              <w:t>，废气监测计划具体如表4-所示。</w:t>
            </w:r>
          </w:p>
          <w:p>
            <w:pPr>
              <w:pStyle w:val="38"/>
              <w:rPr>
                <w:rFonts w:hint="default" w:ascii="Times New Roman" w:hAnsi="Times New Roman" w:cs="Times New Roman"/>
              </w:rPr>
            </w:pPr>
            <w:r>
              <w:rPr>
                <w:rFonts w:hint="default" w:ascii="Times New Roman" w:hAnsi="Times New Roman" w:cs="Times New Roman"/>
                <w:lang w:bidi="ar"/>
              </w:rPr>
              <w:t>表4-8运营期废气监测计划表</w:t>
            </w:r>
          </w:p>
          <w:tbl>
            <w:tblPr>
              <w:tblStyle w:val="26"/>
              <w:tblW w:w="86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144"/>
              <w:gridCol w:w="1234"/>
              <w:gridCol w:w="3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2290" w:type="dxa"/>
                  <w:vAlign w:val="center"/>
                </w:tcPr>
                <w:p>
                  <w:pPr>
                    <w:pStyle w:val="87"/>
                    <w:rPr>
                      <w:rFonts w:hint="default" w:ascii="Times New Roman" w:hAnsi="Times New Roman" w:cs="Times New Roman"/>
                    </w:rPr>
                  </w:pPr>
                  <w:r>
                    <w:rPr>
                      <w:rFonts w:hint="default" w:ascii="Times New Roman" w:hAnsi="Times New Roman" w:cs="Times New Roman"/>
                    </w:rPr>
                    <w:t>监测点位</w:t>
                  </w: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监测项目</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监测频次</w:t>
                  </w:r>
                </w:p>
              </w:tc>
              <w:tc>
                <w:tcPr>
                  <w:tcW w:w="3950" w:type="dxa"/>
                  <w:vAlign w:val="center"/>
                </w:tcPr>
                <w:p>
                  <w:pPr>
                    <w:pStyle w:val="87"/>
                    <w:rPr>
                      <w:rFonts w:hint="default" w:ascii="Times New Roman" w:hAnsi="Times New Roman" w:cs="Times New Roman"/>
                    </w:rPr>
                  </w:pPr>
                  <w:r>
                    <w:rPr>
                      <w:rFonts w:hint="default" w:ascii="Times New Roman" w:hAnsi="Times New Roman" w:cs="Times New Roma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290" w:type="dxa"/>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混合搅拌粉尘</w:t>
                  </w:r>
                  <w:r>
                    <w:rPr>
                      <w:rFonts w:hint="eastAsia" w:ascii="Times New Roman" w:hAnsi="Times New Roman" w:cs="Times New Roman"/>
                      <w:lang w:eastAsia="zh-CN"/>
                    </w:rPr>
                    <w:t>（</w:t>
                  </w:r>
                  <w:r>
                    <w:rPr>
                      <w:rFonts w:hint="default" w:ascii="Times New Roman" w:hAnsi="Times New Roman" w:cs="Times New Roman"/>
                    </w:rPr>
                    <w:t>DA001</w:t>
                  </w:r>
                  <w:r>
                    <w:rPr>
                      <w:rFonts w:hint="eastAsia" w:ascii="Times New Roman" w:hAnsi="Times New Roman" w:cs="Times New Roman"/>
                      <w:lang w:eastAsia="zh-CN"/>
                    </w:rPr>
                    <w:t>）、</w:t>
                  </w:r>
                  <w:r>
                    <w:rPr>
                      <w:rFonts w:hint="default" w:ascii="Times New Roman" w:hAnsi="Times New Roman" w:cs="Times New Roman"/>
                    </w:rPr>
                    <w:t>水泥筒仓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rPr>
                    <w:t>水泥筒仓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5</w:t>
                  </w:r>
                  <w:r>
                    <w:rPr>
                      <w:rFonts w:hint="eastAsia" w:ascii="Times New Roman" w:hAnsi="Times New Roman" w:cs="Times New Roman"/>
                      <w:lang w:eastAsia="zh-CN"/>
                    </w:rPr>
                    <w:t>）、</w:t>
                  </w:r>
                  <w:r>
                    <w:rPr>
                      <w:rFonts w:hint="default" w:ascii="Times New Roman" w:hAnsi="Times New Roman" w:cs="Times New Roman"/>
                    </w:rPr>
                    <w:t>外加剂筒仓</w:t>
                  </w:r>
                  <w:r>
                    <w:rPr>
                      <w:rFonts w:hint="eastAsia" w:ascii="Times New Roman" w:hAnsi="Times New Roman" w:cs="Times New Roman"/>
                      <w:lang w:eastAsia="zh-CN"/>
                    </w:rPr>
                    <w:t>（</w:t>
                  </w:r>
                  <w:r>
                    <w:rPr>
                      <w:rFonts w:hint="default" w:ascii="Times New Roman" w:hAnsi="Times New Roman" w:cs="Times New Roman"/>
                    </w:rPr>
                    <w:t>DA00</w:t>
                  </w:r>
                  <w:r>
                    <w:rPr>
                      <w:rFonts w:hint="eastAsia" w:ascii="Times New Roman" w:hAnsi="Times New Roman" w:cs="Times New Roman"/>
                      <w:lang w:val="en-US" w:eastAsia="zh-CN"/>
                    </w:rPr>
                    <w:t>6</w:t>
                  </w:r>
                  <w:r>
                    <w:rPr>
                      <w:rFonts w:hint="eastAsia" w:ascii="Times New Roman" w:hAnsi="Times New Roman" w:cs="Times New Roman"/>
                      <w:lang w:eastAsia="zh-CN"/>
                    </w:rPr>
                    <w:t>）</w:t>
                  </w: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1次/两年</w:t>
                  </w:r>
                </w:p>
              </w:tc>
              <w:tc>
                <w:tcPr>
                  <w:tcW w:w="3950" w:type="dxa"/>
                  <w:vAlign w:val="center"/>
                </w:tcPr>
                <w:p>
                  <w:pPr>
                    <w:pStyle w:val="87"/>
                    <w:rPr>
                      <w:rFonts w:hint="default" w:ascii="Times New Roman" w:hAnsi="Times New Roman" w:cs="Times New Roman"/>
                    </w:rPr>
                  </w:pPr>
                  <w:r>
                    <w:rPr>
                      <w:rFonts w:hint="default" w:ascii="Times New Roman" w:hAnsi="Times New Roman" w:cs="Times New Roman"/>
                    </w:rPr>
                    <w:t>《水泥工业大气污染物排放标准》（4915-2013）表2大气污染物特别排放限值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290" w:type="dxa"/>
                  <w:vMerge w:val="restart"/>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锅炉废气</w:t>
                  </w:r>
                  <w:r>
                    <w:rPr>
                      <w:rFonts w:hint="eastAsia" w:ascii="Times New Roman" w:hAnsi="Times New Roman" w:cs="Times New Roman"/>
                      <w:lang w:eastAsia="zh-CN"/>
                    </w:rPr>
                    <w:t>（</w:t>
                  </w:r>
                  <w:r>
                    <w:rPr>
                      <w:rFonts w:hint="default" w:ascii="Times New Roman" w:hAnsi="Times New Roman" w:cs="Times New Roman"/>
                    </w:rPr>
                    <w:t>DA002</w:t>
                  </w:r>
                  <w:r>
                    <w:rPr>
                      <w:rFonts w:hint="eastAsia" w:ascii="Times New Roman" w:hAnsi="Times New Roman" w:cs="Times New Roman"/>
                      <w:lang w:eastAsia="zh-CN"/>
                    </w:rPr>
                    <w:t>）</w:t>
                  </w:r>
                </w:p>
                <w:p>
                  <w:pPr>
                    <w:pStyle w:val="87"/>
                    <w:rPr>
                      <w:rFonts w:hint="default" w:ascii="Times New Roman" w:hAnsi="Times New Roman" w:cs="Times New Roman"/>
                    </w:rPr>
                  </w:pP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1次/年</w:t>
                  </w:r>
                </w:p>
              </w:tc>
              <w:tc>
                <w:tcPr>
                  <w:tcW w:w="3950" w:type="dxa"/>
                  <w:vMerge w:val="restart"/>
                  <w:vAlign w:val="center"/>
                </w:tcPr>
                <w:p>
                  <w:pPr>
                    <w:pStyle w:val="87"/>
                    <w:rPr>
                      <w:rFonts w:hint="default" w:ascii="Times New Roman" w:hAnsi="Times New Roman" w:cs="Times New Roman"/>
                    </w:rPr>
                  </w:pPr>
                  <w:r>
                    <w:rPr>
                      <w:rFonts w:hint="default" w:ascii="Times New Roman" w:hAnsi="Times New Roman" w:cs="Times New Roman"/>
                    </w:rPr>
                    <w:t>《锅炉大气污染物排放标准》（GB13271-2014）表3大气污染物特别排放限值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2290" w:type="dxa"/>
                  <w:vMerge w:val="continue"/>
                  <w:vAlign w:val="center"/>
                </w:tcPr>
                <w:p>
                  <w:pPr>
                    <w:pStyle w:val="87"/>
                    <w:rPr>
                      <w:rFonts w:hint="default" w:ascii="Times New Roman" w:hAnsi="Times New Roman" w:cs="Times New Roman"/>
                    </w:rPr>
                  </w:pP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1次/年</w:t>
                  </w:r>
                </w:p>
              </w:tc>
              <w:tc>
                <w:tcPr>
                  <w:tcW w:w="3950" w:type="dxa"/>
                  <w:vMerge w:val="continue"/>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2290" w:type="dxa"/>
                  <w:vMerge w:val="continue"/>
                  <w:vAlign w:val="center"/>
                </w:tcPr>
                <w:p>
                  <w:pPr>
                    <w:pStyle w:val="87"/>
                    <w:rPr>
                      <w:rFonts w:hint="default" w:ascii="Times New Roman" w:hAnsi="Times New Roman" w:cs="Times New Roman"/>
                    </w:rPr>
                  </w:pP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1次/月</w:t>
                  </w:r>
                </w:p>
              </w:tc>
              <w:tc>
                <w:tcPr>
                  <w:tcW w:w="3950" w:type="dxa"/>
                  <w:vMerge w:val="continue"/>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2290" w:type="dxa"/>
                  <w:vMerge w:val="restart"/>
                  <w:vAlign w:val="center"/>
                </w:tcPr>
                <w:p>
                  <w:pPr>
                    <w:pStyle w:val="87"/>
                    <w:rPr>
                      <w:rFonts w:hint="eastAsia" w:ascii="Times New Roman" w:hAnsi="Times New Roman" w:eastAsia="宋体" w:cs="Times New Roman"/>
                      <w:lang w:eastAsia="zh-CN"/>
                    </w:rPr>
                  </w:pPr>
                  <w:r>
                    <w:rPr>
                      <w:rFonts w:hint="default" w:ascii="Times New Roman" w:hAnsi="Times New Roman" w:cs="Times New Roman"/>
                    </w:rPr>
                    <w:t>锅炉废气</w:t>
                  </w:r>
                  <w:r>
                    <w:rPr>
                      <w:rFonts w:hint="eastAsia" w:ascii="Times New Roman" w:hAnsi="Times New Roman" w:cs="Times New Roman"/>
                      <w:lang w:eastAsia="zh-CN"/>
                    </w:rPr>
                    <w:t>（</w:t>
                  </w:r>
                  <w:r>
                    <w:rPr>
                      <w:rFonts w:hint="default" w:ascii="Times New Roman" w:hAnsi="Times New Roman" w:cs="Times New Roman"/>
                    </w:rPr>
                    <w:t>DA003</w:t>
                  </w:r>
                  <w:r>
                    <w:rPr>
                      <w:rFonts w:hint="eastAsia" w:ascii="Times New Roman" w:hAnsi="Times New Roman" w:cs="Times New Roman"/>
                      <w:lang w:eastAsia="zh-CN"/>
                    </w:rPr>
                    <w:t>）</w:t>
                  </w:r>
                </w:p>
                <w:p>
                  <w:pPr>
                    <w:pStyle w:val="87"/>
                    <w:rPr>
                      <w:rFonts w:hint="default" w:ascii="Times New Roman" w:hAnsi="Times New Roman" w:cs="Times New Roman"/>
                    </w:rPr>
                  </w:pP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1次/年</w:t>
                  </w:r>
                </w:p>
              </w:tc>
              <w:tc>
                <w:tcPr>
                  <w:tcW w:w="3950" w:type="dxa"/>
                  <w:vMerge w:val="continue"/>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290" w:type="dxa"/>
                  <w:vMerge w:val="continue"/>
                  <w:vAlign w:val="center"/>
                </w:tcPr>
                <w:p>
                  <w:pPr>
                    <w:pStyle w:val="87"/>
                    <w:rPr>
                      <w:rFonts w:hint="default" w:ascii="Times New Roman" w:hAnsi="Times New Roman" w:cs="Times New Roman"/>
                    </w:rPr>
                  </w:pP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二氧化硫</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1次/年</w:t>
                  </w:r>
                </w:p>
              </w:tc>
              <w:tc>
                <w:tcPr>
                  <w:tcW w:w="3950" w:type="dxa"/>
                  <w:vMerge w:val="continue"/>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290" w:type="dxa"/>
                  <w:vMerge w:val="continue"/>
                  <w:vAlign w:val="center"/>
                </w:tcPr>
                <w:p>
                  <w:pPr>
                    <w:pStyle w:val="87"/>
                    <w:rPr>
                      <w:rFonts w:hint="default" w:ascii="Times New Roman" w:hAnsi="Times New Roman" w:cs="Times New Roman"/>
                    </w:rPr>
                  </w:pP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氮氧化物</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1次/月</w:t>
                  </w:r>
                </w:p>
              </w:tc>
              <w:tc>
                <w:tcPr>
                  <w:tcW w:w="3950" w:type="dxa"/>
                  <w:vMerge w:val="continue"/>
                  <w:vAlign w:val="center"/>
                </w:tcPr>
                <w:p>
                  <w:pPr>
                    <w:pStyle w:val="87"/>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90" w:type="dxa"/>
                  <w:vAlign w:val="center"/>
                </w:tcPr>
                <w:p>
                  <w:pPr>
                    <w:pStyle w:val="87"/>
                    <w:rPr>
                      <w:rFonts w:hint="default" w:ascii="Times New Roman" w:hAnsi="Times New Roman" w:cs="Times New Roman"/>
                    </w:rPr>
                  </w:pPr>
                  <w:r>
                    <w:rPr>
                      <w:rFonts w:hint="default" w:ascii="Times New Roman" w:hAnsi="Times New Roman" w:cs="Times New Roman"/>
                    </w:rPr>
                    <w:t>厂界</w:t>
                  </w:r>
                </w:p>
              </w:tc>
              <w:tc>
                <w:tcPr>
                  <w:tcW w:w="1144" w:type="dxa"/>
                  <w:vAlign w:val="center"/>
                </w:tcPr>
                <w:p>
                  <w:pPr>
                    <w:pStyle w:val="87"/>
                    <w:rPr>
                      <w:rFonts w:hint="default" w:ascii="Times New Roman" w:hAnsi="Times New Roman" w:cs="Times New Roman"/>
                    </w:rPr>
                  </w:pPr>
                  <w:r>
                    <w:rPr>
                      <w:rFonts w:hint="default" w:ascii="Times New Roman" w:hAnsi="Times New Roman" w:cs="Times New Roman"/>
                    </w:rPr>
                    <w:t>颗粒物</w:t>
                  </w:r>
                </w:p>
              </w:tc>
              <w:tc>
                <w:tcPr>
                  <w:tcW w:w="1234" w:type="dxa"/>
                  <w:vAlign w:val="center"/>
                </w:tcPr>
                <w:p>
                  <w:pPr>
                    <w:pStyle w:val="87"/>
                    <w:rPr>
                      <w:rFonts w:hint="default" w:ascii="Times New Roman" w:hAnsi="Times New Roman" w:cs="Times New Roman"/>
                    </w:rPr>
                  </w:pPr>
                  <w:r>
                    <w:rPr>
                      <w:rFonts w:hint="default" w:ascii="Times New Roman" w:hAnsi="Times New Roman" w:cs="Times New Roman"/>
                    </w:rPr>
                    <w:t>1次/季度</w:t>
                  </w:r>
                </w:p>
              </w:tc>
              <w:tc>
                <w:tcPr>
                  <w:tcW w:w="3950" w:type="dxa"/>
                  <w:vAlign w:val="center"/>
                </w:tcPr>
                <w:p>
                  <w:pPr>
                    <w:pStyle w:val="87"/>
                    <w:rPr>
                      <w:rFonts w:hint="default" w:ascii="Times New Roman" w:hAnsi="Times New Roman" w:cs="Times New Roman"/>
                    </w:rPr>
                  </w:pPr>
                  <w:r>
                    <w:rPr>
                      <w:rFonts w:hint="default" w:ascii="Times New Roman" w:hAnsi="Times New Roman" w:cs="Times New Roman"/>
                    </w:rPr>
                    <w:t>《水泥工业大气污染物排放标准》（4915-2013）表3无组织排放标准要求</w:t>
                  </w:r>
                </w:p>
              </w:tc>
            </w:tr>
          </w:tbl>
          <w:p>
            <w:pPr>
              <w:pStyle w:val="42"/>
              <w:ind w:firstLine="482"/>
              <w:rPr>
                <w:rFonts w:hint="default" w:ascii="Times New Roman" w:hAnsi="Times New Roman" w:cs="Times New Roman"/>
                <w:b/>
                <w:snapToGrid w:val="0"/>
              </w:rPr>
            </w:pPr>
            <w:r>
              <w:rPr>
                <w:rFonts w:hint="default" w:ascii="Times New Roman" w:hAnsi="Times New Roman" w:cs="Times New Roman"/>
                <w:b/>
                <w:snapToGrid w:val="0"/>
              </w:rPr>
              <w:t>1.5无组织废气管控措施</w:t>
            </w:r>
          </w:p>
          <w:p>
            <w:pPr>
              <w:pStyle w:val="42"/>
              <w:ind w:firstLine="480"/>
              <w:rPr>
                <w:rFonts w:hint="default" w:ascii="Times New Roman" w:hAnsi="Times New Roman" w:cs="Times New Roman"/>
                <w:szCs w:val="24"/>
              </w:rPr>
            </w:pPr>
            <w:r>
              <w:rPr>
                <w:rFonts w:hint="default" w:ascii="Times New Roman" w:hAnsi="Times New Roman" w:cs="Times New Roman"/>
                <w:szCs w:val="24"/>
              </w:rPr>
              <w:t>根据《新疆维吾尔自治区大气污染防治条例》中相关内容和《工业料堆场扬尘整治规范》（DB65T4061-2017），本环评提出以下管控措施：</w:t>
            </w:r>
          </w:p>
          <w:p>
            <w:pPr>
              <w:pStyle w:val="42"/>
              <w:numPr>
                <w:ilvl w:val="0"/>
                <w:numId w:val="9"/>
              </w:numPr>
              <w:ind w:firstLine="480"/>
              <w:rPr>
                <w:rFonts w:hint="default" w:ascii="Times New Roman" w:hAnsi="Times New Roman" w:cs="Times New Roman"/>
                <w:szCs w:val="24"/>
              </w:rPr>
            </w:pPr>
            <w:r>
              <w:rPr>
                <w:rFonts w:hint="default" w:ascii="Times New Roman" w:hAnsi="Times New Roman" w:cs="Times New Roman"/>
                <w:szCs w:val="24"/>
              </w:rPr>
              <w:t>项目水泥和外加剂筒仓需安装布袋除尘器；</w:t>
            </w:r>
          </w:p>
          <w:p>
            <w:pPr>
              <w:pStyle w:val="42"/>
              <w:numPr>
                <w:ilvl w:val="0"/>
                <w:numId w:val="0"/>
              </w:numPr>
              <w:ind w:firstLine="480" w:firstLineChars="200"/>
              <w:rPr>
                <w:rFonts w:hint="default" w:ascii="Times New Roman" w:hAnsi="Times New Roman" w:cs="Times New Roman"/>
                <w:szCs w:val="24"/>
              </w:rPr>
            </w:pPr>
            <w:r>
              <w:rPr>
                <w:rFonts w:hint="default" w:ascii="Times New Roman" w:hAnsi="Times New Roman" w:cs="Times New Roman"/>
                <w:szCs w:val="24"/>
              </w:rPr>
              <w:t>（2）原料料堆场的污染防治应从源头控制、减少堆存量，通过优化生产原料配置、厂区布置，提高管理水平、改善污染防治技术工艺，加强综合利用等措施减少环境污染。</w:t>
            </w:r>
          </w:p>
          <w:p>
            <w:pPr>
              <w:pStyle w:val="42"/>
              <w:ind w:firstLine="480"/>
              <w:rPr>
                <w:rFonts w:hint="default" w:ascii="Times New Roman" w:hAnsi="Times New Roman" w:cs="Times New Roman"/>
                <w:szCs w:val="24"/>
              </w:rPr>
            </w:pPr>
            <w:r>
              <w:rPr>
                <w:rFonts w:hint="default" w:ascii="Times New Roman" w:hAnsi="Times New Roman" w:cs="Times New Roman"/>
                <w:szCs w:val="24"/>
              </w:rPr>
              <w:t>（3）对原辅料堆场内装卸、运输等作业过程中，易产生扬尘污染的物料必须采取封闭、遮盖、洒水抑尘等措施，密闭输送物料必须在装料、卸料处配备吸尘、喷淋防尘措施。</w:t>
            </w:r>
          </w:p>
          <w:p>
            <w:pPr>
              <w:overflowPunct w:val="0"/>
              <w:spacing w:before="240" w:beforeLines="100"/>
              <w:ind w:firstLine="482" w:firstLineChars="200"/>
              <w:rPr>
                <w:rFonts w:hint="default" w:ascii="Times New Roman" w:hAnsi="Times New Roman" w:cs="Times New Roman"/>
                <w:b/>
              </w:rPr>
            </w:pPr>
            <w:r>
              <w:rPr>
                <w:rFonts w:hint="default" w:ascii="Times New Roman" w:hAnsi="Times New Roman" w:cs="Times New Roman"/>
                <w:b/>
              </w:rPr>
              <w:t>2废水</w:t>
            </w:r>
          </w:p>
          <w:p>
            <w:pPr>
              <w:overflowPunct w:val="0"/>
              <w:spacing w:line="384" w:lineRule="auto"/>
              <w:ind w:firstLine="482" w:firstLineChars="200"/>
              <w:rPr>
                <w:rFonts w:hint="default" w:ascii="Times New Roman" w:hAnsi="Times New Roman" w:cs="Times New Roman"/>
                <w:b/>
                <w:bCs/>
                <w:snapToGrid w:val="0"/>
                <w:kern w:val="0"/>
              </w:rPr>
            </w:pPr>
            <w:r>
              <w:rPr>
                <w:rFonts w:hint="default" w:ascii="Times New Roman" w:hAnsi="Times New Roman" w:cs="Times New Roman"/>
                <w:b/>
                <w:bCs/>
                <w:snapToGrid w:val="0"/>
                <w:kern w:val="0"/>
              </w:rPr>
              <w:t>2.1废水排放源强核算</w:t>
            </w:r>
          </w:p>
          <w:p>
            <w:pPr>
              <w:overflowPunct w:val="0"/>
              <w:ind w:firstLine="480" w:firstLineChars="200"/>
              <w:rPr>
                <w:rFonts w:hint="default" w:ascii="Times New Roman" w:hAnsi="Times New Roman" w:cs="Times New Roman"/>
                <w:kern w:val="0"/>
              </w:rPr>
            </w:pPr>
            <w:r>
              <w:rPr>
                <w:rFonts w:hint="default" w:ascii="Times New Roman" w:hAnsi="Times New Roman" w:cs="Times New Roman"/>
              </w:rPr>
              <w:t>本项目</w:t>
            </w:r>
            <w:r>
              <w:rPr>
                <w:rFonts w:hint="default" w:ascii="Times New Roman" w:hAnsi="Times New Roman" w:cs="Times New Roman"/>
                <w:kern w:val="0"/>
              </w:rPr>
              <w:t>运营期废水主要为生活污水，</w:t>
            </w:r>
            <w:r>
              <w:rPr>
                <w:rFonts w:hint="eastAsia" w:cs="Times New Roman"/>
                <w:kern w:val="0"/>
                <w:lang w:val="en-US" w:eastAsia="zh-CN"/>
              </w:rPr>
              <w:t>软化水制备废水</w:t>
            </w:r>
            <w:r>
              <w:rPr>
                <w:rFonts w:hint="default" w:ascii="Times New Roman" w:hAnsi="Times New Roman" w:cs="Times New Roman"/>
                <w:kern w:val="0"/>
              </w:rPr>
              <w:t>。</w:t>
            </w:r>
          </w:p>
          <w:p>
            <w:pPr>
              <w:topLinePunct/>
              <w:ind w:firstLine="480" w:firstLineChars="200"/>
              <w:textAlignment w:val="baseline"/>
              <w:rPr>
                <w:rFonts w:hint="default" w:ascii="Times New Roman" w:hAnsi="Times New Roman" w:cs="Times New Roman"/>
                <w:b/>
                <w:bCs/>
                <w:snapToGrid w:val="0"/>
                <w:kern w:val="0"/>
              </w:rPr>
            </w:pPr>
            <w:r>
              <w:rPr>
                <w:rFonts w:hint="default" w:ascii="Times New Roman" w:hAnsi="Times New Roman" w:cs="Times New Roman"/>
              </w:rPr>
              <w:t>（1）</w:t>
            </w:r>
            <w:r>
              <w:rPr>
                <w:rFonts w:hint="default" w:ascii="Times New Roman" w:hAnsi="Times New Roman" w:cs="Times New Roman"/>
                <w:b/>
                <w:bCs/>
                <w:snapToGrid w:val="0"/>
                <w:kern w:val="0"/>
              </w:rPr>
              <w:t>生活污水</w:t>
            </w:r>
          </w:p>
          <w:p>
            <w:pPr>
              <w:topLinePunct/>
              <w:ind w:firstLine="480" w:firstLineChars="200"/>
              <w:textAlignment w:val="baseline"/>
              <w:rPr>
                <w:rFonts w:hint="default" w:ascii="Times New Roman" w:hAnsi="Times New Roman" w:cs="Times New Roman"/>
                <w:kern w:val="0"/>
              </w:rPr>
            </w:pPr>
            <w:r>
              <w:rPr>
                <w:rFonts w:hint="default" w:ascii="Times New Roman" w:hAnsi="Times New Roman" w:cs="Times New Roman"/>
                <w:snapToGrid w:val="0"/>
                <w:kern w:val="0"/>
              </w:rPr>
              <w:t>项目劳动人员50人</w:t>
            </w:r>
            <w:r>
              <w:rPr>
                <w:rFonts w:hint="default" w:ascii="Times New Roman" w:hAnsi="Times New Roman" w:cs="Times New Roman"/>
              </w:rPr>
              <w:t>，</w:t>
            </w:r>
            <w:r>
              <w:rPr>
                <w:rFonts w:hint="default" w:ascii="Times New Roman" w:hAnsi="Times New Roman" w:cs="Times New Roman"/>
                <w:snapToGrid w:val="0"/>
                <w:kern w:val="0"/>
              </w:rPr>
              <w:t>年工作300天，</w:t>
            </w:r>
            <w:r>
              <w:rPr>
                <w:rFonts w:hint="default" w:ascii="Times New Roman" w:hAnsi="Times New Roman" w:cs="Times New Roman"/>
              </w:rPr>
              <w:t>均在项目区食宿。根据《新疆维吾尔自治区工业和生活用水定额》（2007.7.31发布），</w:t>
            </w:r>
            <w:r>
              <w:rPr>
                <w:rFonts w:hint="default" w:ascii="Times New Roman" w:hAnsi="Times New Roman" w:cs="Times New Roman"/>
                <w:snapToGrid w:val="0"/>
                <w:kern w:val="0"/>
              </w:rPr>
              <w:t>工作人员的用水定额为80L/d·人，</w:t>
            </w:r>
            <w:r>
              <w:rPr>
                <w:rFonts w:hint="default" w:ascii="Times New Roman" w:hAnsi="Times New Roman" w:cs="Times New Roman"/>
                <w:bCs/>
              </w:rPr>
              <w:t>则</w:t>
            </w:r>
            <w:r>
              <w:rPr>
                <w:rFonts w:hint="default" w:ascii="Times New Roman" w:hAnsi="Times New Roman" w:cs="Times New Roman"/>
                <w:snapToGrid w:val="0"/>
                <w:kern w:val="0"/>
              </w:rPr>
              <w:t>生活用水总量为</w:t>
            </w:r>
            <w:r>
              <w:rPr>
                <w:rFonts w:hint="default" w:ascii="Times New Roman" w:hAnsi="Times New Roman" w:cs="Times New Roman"/>
              </w:rPr>
              <w:t>4m</w:t>
            </w:r>
            <w:r>
              <w:rPr>
                <w:rFonts w:hint="default" w:ascii="Times New Roman" w:hAnsi="Times New Roman" w:cs="Times New Roman"/>
                <w:vertAlign w:val="superscript"/>
              </w:rPr>
              <w:t>3</w:t>
            </w:r>
            <w:r>
              <w:rPr>
                <w:rFonts w:hint="default" w:ascii="Times New Roman" w:hAnsi="Times New Roman" w:cs="Times New Roman"/>
              </w:rPr>
              <w:t>/d（1200m</w:t>
            </w:r>
            <w:r>
              <w:rPr>
                <w:rFonts w:hint="default" w:ascii="Times New Roman" w:hAnsi="Times New Roman" w:cs="Times New Roman"/>
                <w:vertAlign w:val="superscript"/>
              </w:rPr>
              <w:t>3</w:t>
            </w:r>
            <w:r>
              <w:rPr>
                <w:rFonts w:hint="default" w:ascii="Times New Roman" w:hAnsi="Times New Roman" w:cs="Times New Roman"/>
              </w:rPr>
              <w:t>/a）</w:t>
            </w:r>
            <w:r>
              <w:rPr>
                <w:rFonts w:hint="default" w:ascii="Times New Roman" w:hAnsi="Times New Roman" w:cs="Times New Roman"/>
                <w:snapToGrid w:val="0"/>
                <w:kern w:val="0"/>
              </w:rPr>
              <w:t>。</w:t>
            </w:r>
          </w:p>
          <w:p>
            <w:pPr>
              <w:tabs>
                <w:tab w:val="left" w:pos="5252"/>
              </w:tabs>
              <w:adjustRightInd w:val="0"/>
              <w:snapToGrid w:val="0"/>
              <w:ind w:firstLine="480"/>
              <w:rPr>
                <w:rStyle w:val="64"/>
                <w:rFonts w:hint="default" w:ascii="Times New Roman" w:hAnsi="Times New Roman" w:cs="Times New Roman"/>
                <w:color w:val="auto"/>
              </w:rPr>
            </w:pPr>
            <w:r>
              <w:rPr>
                <w:rFonts w:hint="default" w:ascii="Times New Roman" w:hAnsi="Times New Roman" w:cs="Times New Roman"/>
                <w:snapToGrid w:val="0"/>
                <w:kern w:val="0"/>
              </w:rPr>
              <w:t>运营期废水主要为生活污水</w:t>
            </w:r>
            <w:r>
              <w:rPr>
                <w:rFonts w:hint="eastAsia" w:cs="Times New Roman"/>
                <w:snapToGrid w:val="0"/>
                <w:kern w:val="0"/>
                <w:lang w:val="en-US" w:eastAsia="zh-CN"/>
              </w:rPr>
              <w:t>和软化水制备排水</w:t>
            </w:r>
            <w:r>
              <w:rPr>
                <w:rFonts w:hint="default" w:ascii="Times New Roman" w:hAnsi="Times New Roman" w:cs="Times New Roman"/>
                <w:snapToGrid w:val="0"/>
                <w:kern w:val="0"/>
              </w:rPr>
              <w:t>。</w:t>
            </w:r>
            <w:r>
              <w:rPr>
                <w:rStyle w:val="64"/>
                <w:rFonts w:hint="default" w:ascii="Times New Roman" w:hAnsi="Times New Roman" w:cs="Times New Roman"/>
                <w:color w:val="auto"/>
              </w:rPr>
              <w:t>生活污水排放量按生活用水量的80%计，为</w:t>
            </w:r>
            <w:r>
              <w:rPr>
                <w:rFonts w:hint="default" w:ascii="Times New Roman" w:hAnsi="Times New Roman" w:cs="Times New Roman"/>
                <w:snapToGrid w:val="0"/>
                <w:kern w:val="0"/>
              </w:rPr>
              <w:t>3.2m</w:t>
            </w:r>
            <w:r>
              <w:rPr>
                <w:rFonts w:hint="default" w:ascii="Times New Roman" w:hAnsi="Times New Roman" w:cs="Times New Roman"/>
                <w:snapToGrid w:val="0"/>
                <w:kern w:val="0"/>
                <w:vertAlign w:val="superscript"/>
              </w:rPr>
              <w:t>3</w:t>
            </w:r>
            <w:r>
              <w:rPr>
                <w:rFonts w:hint="default" w:ascii="Times New Roman" w:hAnsi="Times New Roman" w:cs="Times New Roman"/>
                <w:snapToGrid w:val="0"/>
                <w:kern w:val="0"/>
              </w:rPr>
              <w:t>/d（960m</w:t>
            </w:r>
            <w:r>
              <w:rPr>
                <w:rFonts w:hint="default" w:ascii="Times New Roman" w:hAnsi="Times New Roman" w:cs="Times New Roman"/>
                <w:snapToGrid w:val="0"/>
                <w:kern w:val="0"/>
                <w:vertAlign w:val="superscript"/>
              </w:rPr>
              <w:t>3</w:t>
            </w:r>
            <w:r>
              <w:rPr>
                <w:rFonts w:hint="default" w:ascii="Times New Roman" w:hAnsi="Times New Roman" w:cs="Times New Roman"/>
                <w:snapToGrid w:val="0"/>
                <w:kern w:val="0"/>
              </w:rPr>
              <w:t>/a）</w:t>
            </w:r>
            <w:r>
              <w:rPr>
                <w:rStyle w:val="64"/>
                <w:rFonts w:hint="default" w:ascii="Times New Roman" w:hAnsi="Times New Roman" w:cs="Times New Roman"/>
                <w:color w:val="auto"/>
              </w:rPr>
              <w:t>。</w:t>
            </w:r>
            <w:r>
              <w:rPr>
                <w:rStyle w:val="64"/>
                <w:rFonts w:hint="eastAsia" w:cs="Times New Roman"/>
                <w:color w:val="auto"/>
                <w:lang w:val="en-US" w:eastAsia="zh-CN"/>
              </w:rPr>
              <w:t>软化水制备废水排放量为6</w:t>
            </w:r>
            <w:r>
              <w:rPr>
                <w:rFonts w:hint="default" w:ascii="Times New Roman" w:hAnsi="Times New Roman" w:cs="Times New Roman"/>
                <w:snapToGrid w:val="0"/>
                <w:kern w:val="0"/>
              </w:rPr>
              <w:t>m</w:t>
            </w:r>
            <w:r>
              <w:rPr>
                <w:rFonts w:hint="default" w:ascii="Times New Roman" w:hAnsi="Times New Roman" w:cs="Times New Roman"/>
                <w:snapToGrid w:val="0"/>
                <w:kern w:val="0"/>
                <w:vertAlign w:val="superscript"/>
              </w:rPr>
              <w:t>3</w:t>
            </w:r>
            <w:r>
              <w:rPr>
                <w:rFonts w:hint="default" w:ascii="Times New Roman" w:hAnsi="Times New Roman" w:cs="Times New Roman"/>
                <w:snapToGrid w:val="0"/>
                <w:kern w:val="0"/>
              </w:rPr>
              <w:t>/d（</w:t>
            </w:r>
            <w:r>
              <w:rPr>
                <w:rFonts w:hint="eastAsia" w:cs="Times New Roman"/>
                <w:snapToGrid w:val="0"/>
                <w:kern w:val="0"/>
                <w:lang w:val="en-US" w:eastAsia="zh-CN"/>
              </w:rPr>
              <w:t>1800</w:t>
            </w:r>
            <w:r>
              <w:rPr>
                <w:rFonts w:hint="default" w:ascii="Times New Roman" w:hAnsi="Times New Roman" w:cs="Times New Roman"/>
                <w:snapToGrid w:val="0"/>
                <w:kern w:val="0"/>
              </w:rPr>
              <w:t>m</w:t>
            </w:r>
            <w:r>
              <w:rPr>
                <w:rFonts w:hint="default" w:ascii="Times New Roman" w:hAnsi="Times New Roman" w:cs="Times New Roman"/>
                <w:snapToGrid w:val="0"/>
                <w:kern w:val="0"/>
                <w:vertAlign w:val="superscript"/>
              </w:rPr>
              <w:t>3</w:t>
            </w:r>
            <w:r>
              <w:rPr>
                <w:rFonts w:hint="default" w:ascii="Times New Roman" w:hAnsi="Times New Roman" w:cs="Times New Roman"/>
                <w:snapToGrid w:val="0"/>
                <w:kern w:val="0"/>
              </w:rPr>
              <w:t>/a）</w:t>
            </w:r>
            <w:r>
              <w:rPr>
                <w:rFonts w:hint="eastAsia" w:cs="Times New Roman"/>
                <w:snapToGrid w:val="0"/>
                <w:kern w:val="0"/>
                <w:lang w:eastAsia="zh-CN"/>
              </w:rPr>
              <w:t>，</w:t>
            </w:r>
            <w:r>
              <w:rPr>
                <w:rFonts w:hint="eastAsia" w:cs="Times New Roman"/>
                <w:snapToGrid w:val="0"/>
                <w:kern w:val="0"/>
                <w:lang w:val="en-US" w:eastAsia="zh-CN"/>
              </w:rPr>
              <w:t>外排废水</w:t>
            </w:r>
            <w:r>
              <w:rPr>
                <w:rStyle w:val="64"/>
                <w:rFonts w:hint="default" w:ascii="Times New Roman" w:hAnsi="Times New Roman" w:cs="Times New Roman"/>
                <w:color w:val="auto"/>
              </w:rPr>
              <w:t>主要污染因子为COD、BOD</w:t>
            </w:r>
            <w:r>
              <w:rPr>
                <w:rStyle w:val="64"/>
                <w:rFonts w:hint="default" w:ascii="Times New Roman" w:hAnsi="Times New Roman" w:cs="Times New Roman"/>
                <w:color w:val="auto"/>
                <w:vertAlign w:val="subscript"/>
              </w:rPr>
              <w:t>5</w:t>
            </w:r>
            <w:r>
              <w:rPr>
                <w:rStyle w:val="64"/>
                <w:rFonts w:hint="default" w:ascii="Times New Roman" w:hAnsi="Times New Roman" w:cs="Times New Roman"/>
                <w:color w:val="auto"/>
              </w:rPr>
              <w:t>、氨氮等，</w:t>
            </w:r>
            <w:r>
              <w:rPr>
                <w:rFonts w:hint="default" w:ascii="Times New Roman" w:hAnsi="Times New Roman" w:cs="Times New Roman"/>
              </w:rPr>
              <w:t>生活污水</w:t>
            </w:r>
            <w:r>
              <w:rPr>
                <w:rFonts w:hint="eastAsia" w:cs="Times New Roman"/>
                <w:lang w:val="en-US" w:eastAsia="zh-CN"/>
              </w:rPr>
              <w:t>及软化水废水排入厂区内化粪池后</w:t>
            </w:r>
            <w:r>
              <w:rPr>
                <w:rFonts w:hint="default" w:ascii="Times New Roman" w:hAnsi="Times New Roman" w:cs="Times New Roman"/>
              </w:rPr>
              <w:t>最终进入尉犁县城镇污水处理厂处理</w:t>
            </w:r>
            <w:r>
              <w:rPr>
                <w:rStyle w:val="64"/>
                <w:rFonts w:hint="default" w:ascii="Times New Roman" w:hAnsi="Times New Roman" w:cs="Times New Roman"/>
                <w:color w:val="auto"/>
              </w:rPr>
              <w:t>。废水污染物排放量见表4-9。</w:t>
            </w:r>
          </w:p>
          <w:p>
            <w:pPr>
              <w:pStyle w:val="38"/>
              <w:rPr>
                <w:rFonts w:hint="default" w:ascii="Times New Roman" w:hAnsi="Times New Roman" w:cs="Times New Roman"/>
                <w:snapToGrid w:val="0"/>
              </w:rPr>
            </w:pPr>
            <w:r>
              <w:rPr>
                <w:rFonts w:hint="default" w:ascii="Times New Roman" w:hAnsi="Times New Roman" w:cs="Times New Roman"/>
                <w:bCs/>
              </w:rPr>
              <w:t>表4-9生活污</w:t>
            </w:r>
            <w:r>
              <w:rPr>
                <w:rFonts w:hint="default" w:ascii="Times New Roman" w:hAnsi="Times New Roman" w:cs="Times New Roman"/>
                <w:snapToGrid w:val="0"/>
              </w:rPr>
              <w:t>水污染因子排放浓度及排放量</w:t>
            </w:r>
          </w:p>
          <w:tbl>
            <w:tblPr>
              <w:tblStyle w:val="26"/>
              <w:tblW w:w="874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316"/>
              <w:gridCol w:w="1316"/>
              <w:gridCol w:w="1316"/>
              <w:gridCol w:w="1319"/>
              <w:gridCol w:w="13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54"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项目</w:t>
                  </w:r>
                </w:p>
              </w:tc>
              <w:tc>
                <w:tcPr>
                  <w:tcW w:w="131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COD</w:t>
                  </w:r>
                  <w:r>
                    <w:rPr>
                      <w:rFonts w:hint="default" w:ascii="Times New Roman" w:hAnsi="Times New Roman" w:cs="Times New Roman"/>
                      <w:snapToGrid w:val="0"/>
                      <w:vertAlign w:val="subscript"/>
                    </w:rPr>
                    <w:t>Cr</w:t>
                  </w:r>
                </w:p>
              </w:tc>
              <w:tc>
                <w:tcPr>
                  <w:tcW w:w="131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BOD</w:t>
                  </w:r>
                  <w:r>
                    <w:rPr>
                      <w:rFonts w:hint="default" w:ascii="Times New Roman" w:hAnsi="Times New Roman" w:cs="Times New Roman"/>
                      <w:snapToGrid w:val="0"/>
                      <w:vertAlign w:val="subscript"/>
                    </w:rPr>
                    <w:t>5</w:t>
                  </w:r>
                </w:p>
              </w:tc>
              <w:tc>
                <w:tcPr>
                  <w:tcW w:w="1316" w:type="dxa"/>
                  <w:vAlign w:val="center"/>
                </w:tcPr>
                <w:p>
                  <w:pPr>
                    <w:pStyle w:val="87"/>
                    <w:rPr>
                      <w:rFonts w:hint="default" w:ascii="Times New Roman" w:hAnsi="Times New Roman" w:cs="Times New Roman"/>
                      <w:snapToGrid w:val="0"/>
                    </w:rPr>
                  </w:pPr>
                  <w:r>
                    <w:rPr>
                      <w:rFonts w:hint="default" w:ascii="Times New Roman" w:hAnsi="Times New Roman" w:cs="Times New Roman"/>
                      <w:kern w:val="28"/>
                    </w:rPr>
                    <w:t>SS</w:t>
                  </w:r>
                </w:p>
              </w:tc>
              <w:tc>
                <w:tcPr>
                  <w:tcW w:w="1319"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NH</w:t>
                  </w:r>
                  <w:r>
                    <w:rPr>
                      <w:rFonts w:hint="default" w:ascii="Times New Roman" w:hAnsi="Times New Roman" w:cs="Times New Roman"/>
                      <w:snapToGrid w:val="0"/>
                      <w:vertAlign w:val="subscript"/>
                    </w:rPr>
                    <w:t>3</w:t>
                  </w:r>
                  <w:r>
                    <w:rPr>
                      <w:rFonts w:hint="default" w:ascii="Times New Roman" w:hAnsi="Times New Roman" w:cs="Times New Roman"/>
                      <w:snapToGrid w:val="0"/>
                    </w:rPr>
                    <w:t>-N</w:t>
                  </w:r>
                </w:p>
              </w:tc>
              <w:tc>
                <w:tcPr>
                  <w:tcW w:w="132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动植物油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54"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废水量（m</w:t>
                  </w:r>
                  <w:r>
                    <w:rPr>
                      <w:rFonts w:hint="default" w:ascii="Times New Roman" w:hAnsi="Times New Roman" w:cs="Times New Roman"/>
                      <w:snapToGrid w:val="0"/>
                      <w:vertAlign w:val="superscript"/>
                    </w:rPr>
                    <w:t>3</w:t>
                  </w:r>
                  <w:r>
                    <w:rPr>
                      <w:rFonts w:hint="default" w:ascii="Times New Roman" w:hAnsi="Times New Roman" w:cs="Times New Roman"/>
                      <w:snapToGrid w:val="0"/>
                    </w:rPr>
                    <w:t>/a）</w:t>
                  </w:r>
                </w:p>
              </w:tc>
              <w:tc>
                <w:tcPr>
                  <w:tcW w:w="6593" w:type="dxa"/>
                  <w:gridSpan w:val="5"/>
                  <w:vAlign w:val="center"/>
                </w:tcPr>
                <w:p>
                  <w:pPr>
                    <w:pStyle w:val="87"/>
                    <w:rPr>
                      <w:rFonts w:hint="default" w:ascii="Times New Roman" w:hAnsi="Times New Roman" w:eastAsia="宋体" w:cs="Times New Roman"/>
                      <w:snapToGrid w:val="0"/>
                      <w:lang w:val="en-US" w:eastAsia="zh-CN"/>
                    </w:rPr>
                  </w:pPr>
                  <w:r>
                    <w:rPr>
                      <w:rFonts w:hint="eastAsia" w:ascii="Times New Roman" w:hAnsi="Times New Roman" w:cs="Times New Roman"/>
                      <w:snapToGrid w:val="0"/>
                      <w:lang w:val="en-US" w:eastAsia="zh-CN"/>
                    </w:rPr>
                    <w:t>2760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54"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产生浓度（mg/L）</w:t>
                  </w:r>
                </w:p>
              </w:tc>
              <w:tc>
                <w:tcPr>
                  <w:tcW w:w="131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350</w:t>
                  </w:r>
                </w:p>
              </w:tc>
              <w:tc>
                <w:tcPr>
                  <w:tcW w:w="131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200</w:t>
                  </w:r>
                </w:p>
              </w:tc>
              <w:tc>
                <w:tcPr>
                  <w:tcW w:w="131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220</w:t>
                  </w:r>
                </w:p>
              </w:tc>
              <w:tc>
                <w:tcPr>
                  <w:tcW w:w="1319"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35</w:t>
                  </w:r>
                </w:p>
              </w:tc>
              <w:tc>
                <w:tcPr>
                  <w:tcW w:w="1326"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54" w:type="dxa"/>
                  <w:vAlign w:val="center"/>
                </w:tcPr>
                <w:p>
                  <w:pPr>
                    <w:pStyle w:val="87"/>
                    <w:rPr>
                      <w:rFonts w:hint="default" w:ascii="Times New Roman" w:hAnsi="Times New Roman" w:cs="Times New Roman"/>
                      <w:snapToGrid w:val="0"/>
                    </w:rPr>
                  </w:pPr>
                  <w:r>
                    <w:rPr>
                      <w:rFonts w:hint="default" w:ascii="Times New Roman" w:hAnsi="Times New Roman" w:cs="Times New Roman"/>
                      <w:snapToGrid w:val="0"/>
                    </w:rPr>
                    <w:t>产生量（t/a）</w:t>
                  </w:r>
                </w:p>
              </w:tc>
              <w:tc>
                <w:tcPr>
                  <w:tcW w:w="1316" w:type="dxa"/>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0.966</w:t>
                  </w:r>
                </w:p>
              </w:tc>
              <w:tc>
                <w:tcPr>
                  <w:tcW w:w="1316" w:type="dxa"/>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0.552</w:t>
                  </w:r>
                </w:p>
              </w:tc>
              <w:tc>
                <w:tcPr>
                  <w:tcW w:w="1316" w:type="dxa"/>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0.6072</w:t>
                  </w:r>
                </w:p>
              </w:tc>
              <w:tc>
                <w:tcPr>
                  <w:tcW w:w="1319" w:type="dxa"/>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0.0966</w:t>
                  </w:r>
                </w:p>
              </w:tc>
              <w:tc>
                <w:tcPr>
                  <w:tcW w:w="1326" w:type="dxa"/>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0.069</w:t>
                  </w:r>
                </w:p>
              </w:tc>
            </w:tr>
          </w:tbl>
          <w:p>
            <w:pPr>
              <w:pStyle w:val="72"/>
              <w:spacing w:line="360" w:lineRule="auto"/>
              <w:ind w:firstLine="482"/>
              <w:rPr>
                <w:rFonts w:hint="default" w:ascii="Times New Roman" w:hAnsi="Times New Roman" w:cs="Times New Roman"/>
                <w:b/>
                <w:bCs/>
              </w:rPr>
            </w:pPr>
            <w:r>
              <w:rPr>
                <w:rFonts w:hint="default" w:ascii="Times New Roman" w:hAnsi="Times New Roman" w:cs="Times New Roman"/>
                <w:b/>
                <w:bCs/>
              </w:rPr>
              <w:t>2.2废水达标可行性分析</w:t>
            </w:r>
          </w:p>
          <w:p>
            <w:pPr>
              <w:ind w:firstLine="480" w:firstLineChars="200"/>
              <w:rPr>
                <w:rFonts w:hint="default" w:ascii="Times New Roman" w:hAnsi="Times New Roman" w:cs="Times New Roman"/>
                <w:kern w:val="0"/>
              </w:rPr>
            </w:pPr>
            <w:r>
              <w:rPr>
                <w:rFonts w:hint="eastAsia" w:cs="Times New Roman"/>
                <w:kern w:val="0"/>
                <w:lang w:eastAsia="zh-CN"/>
              </w:rPr>
              <w:t>尉犁县城镇污水处理厂</w:t>
            </w:r>
            <w:r>
              <w:rPr>
                <w:rFonts w:hint="default" w:ascii="Times New Roman" w:hAnsi="Times New Roman" w:cs="Times New Roman"/>
                <w:kern w:val="0"/>
              </w:rPr>
              <w:t>污水处理规模为5000立方米/天，污水处理工艺采用“污水→格栅→沉砂池→A2/O反应池→二沉池→强化沉淀池→消毒池”处理工艺，收水对象为尉犁县城镇生活污水和尉北工业园区、达西工业园区生活污水，不接收工业废水。出水水质达到《城镇污水处理厂污染物排放标准》（GB18918-2002）一级A排放标准后全部回用于尉犁县城北的生态防护林浇灌用水。</w:t>
            </w:r>
          </w:p>
          <w:p>
            <w:pPr>
              <w:ind w:firstLine="480" w:firstLineChars="200"/>
              <w:rPr>
                <w:rFonts w:hint="default" w:ascii="Times New Roman" w:hAnsi="Times New Roman" w:cs="Times New Roman"/>
                <w:kern w:val="0"/>
              </w:rPr>
            </w:pPr>
            <w:r>
              <w:rPr>
                <w:rFonts w:hint="default" w:ascii="Times New Roman" w:hAnsi="Times New Roman" w:cs="Times New Roman"/>
                <w:kern w:val="0"/>
              </w:rPr>
              <w:t>本项目位于新疆巴音郭楞蒙古自治州尉犁县工业园区敬业路北侧、五一路西侧，项目废水主要为生活污水，项目生活污水进化粪池预处理后，排入市政污水管网，最终进</w:t>
            </w:r>
            <w:r>
              <w:rPr>
                <w:rFonts w:hint="eastAsia" w:cs="Times New Roman"/>
                <w:kern w:val="0"/>
                <w:lang w:eastAsia="zh-CN"/>
              </w:rPr>
              <w:t>尉犁县城镇污水处理厂</w:t>
            </w:r>
            <w:r>
              <w:rPr>
                <w:rFonts w:hint="default" w:ascii="Times New Roman" w:hAnsi="Times New Roman" w:cs="Times New Roman"/>
                <w:kern w:val="0"/>
              </w:rPr>
              <w:t>进一步处理</w:t>
            </w:r>
            <w:r>
              <w:rPr>
                <w:rFonts w:hint="default" w:ascii="Times New Roman" w:hAnsi="Times New Roman" w:cs="Times New Roman"/>
                <w:kern w:val="0"/>
                <w:lang w:val="zh-CN"/>
              </w:rPr>
              <w:t>。</w:t>
            </w:r>
            <w:r>
              <w:rPr>
                <w:rFonts w:hint="eastAsia" w:cs="Times New Roman"/>
                <w:kern w:val="0"/>
                <w:lang w:val="en-US" w:eastAsia="zh-CN"/>
              </w:rPr>
              <w:t>目前</w:t>
            </w:r>
            <w:r>
              <w:rPr>
                <w:rFonts w:hint="eastAsia" w:cs="Times New Roman"/>
                <w:kern w:val="0"/>
                <w:lang w:eastAsia="zh-CN"/>
              </w:rPr>
              <w:t>尉犁县城镇污水处理厂</w:t>
            </w:r>
            <w:r>
              <w:rPr>
                <w:rFonts w:hint="eastAsia" w:cs="Times New Roman"/>
                <w:kern w:val="0"/>
                <w:lang w:val="en-US" w:eastAsia="zh-CN"/>
              </w:rPr>
              <w:t>处理能力为5000</w:t>
            </w:r>
            <w:r>
              <w:rPr>
                <w:rFonts w:hint="default" w:ascii="Times New Roman" w:hAnsi="Times New Roman" w:cs="Times New Roman"/>
                <w:color w:val="000000" w:themeColor="text1"/>
                <w:kern w:val="0"/>
                <w14:textFill>
                  <w14:solidFill>
                    <w14:schemeClr w14:val="tx1"/>
                  </w14:solidFill>
                </w14:textFill>
              </w:rPr>
              <w:t>m</w:t>
            </w:r>
            <w:r>
              <w:rPr>
                <w:rFonts w:hint="default" w:ascii="Times New Roman" w:hAnsi="Times New Roman" w:cs="Times New Roman"/>
                <w:color w:val="000000" w:themeColor="text1"/>
                <w:kern w:val="0"/>
                <w:vertAlign w:val="superscript"/>
                <w14:textFill>
                  <w14:solidFill>
                    <w14:schemeClr w14:val="tx1"/>
                  </w14:solidFill>
                </w14:textFill>
              </w:rPr>
              <w:t>3</w:t>
            </w:r>
            <w:r>
              <w:rPr>
                <w:rFonts w:hint="default" w:ascii="Times New Roman" w:hAnsi="Times New Roman" w:cs="Times New Roman"/>
                <w:color w:val="000000" w:themeColor="text1"/>
                <w:kern w:val="0"/>
                <w14:textFill>
                  <w14:solidFill>
                    <w14:schemeClr w14:val="tx1"/>
                  </w14:solidFill>
                </w14:textFill>
              </w:rPr>
              <w:t>/a</w:t>
            </w:r>
            <w:r>
              <w:rPr>
                <w:rFonts w:hint="eastAsia" w:cs="Times New Roman"/>
                <w:color w:val="000000" w:themeColor="text1"/>
                <w:kern w:val="0"/>
                <w:lang w:eastAsia="zh-CN"/>
                <w14:textFill>
                  <w14:solidFill>
                    <w14:schemeClr w14:val="tx1"/>
                  </w14:solidFill>
                </w14:textFill>
              </w:rPr>
              <w:t>，</w:t>
            </w:r>
            <w:r>
              <w:rPr>
                <w:rFonts w:hint="eastAsia" w:cs="Times New Roman"/>
                <w:color w:val="000000" w:themeColor="text1"/>
                <w:kern w:val="0"/>
                <w:lang w:val="en-US" w:eastAsia="zh-CN"/>
                <w14:textFill>
                  <w14:solidFill>
                    <w14:schemeClr w14:val="tx1"/>
                  </w14:solidFill>
                </w14:textFill>
              </w:rPr>
              <w:t>本</w:t>
            </w:r>
            <w:r>
              <w:rPr>
                <w:rFonts w:hint="default" w:ascii="Times New Roman" w:hAnsi="Times New Roman" w:cs="Times New Roman"/>
                <w:color w:val="000000" w:themeColor="text1"/>
                <w:kern w:val="0"/>
                <w14:textFill>
                  <w14:solidFill>
                    <w14:schemeClr w14:val="tx1"/>
                  </w14:solidFill>
                </w14:textFill>
              </w:rPr>
              <w:t>项目运营期生活污水排放量为</w:t>
            </w:r>
            <w:r>
              <w:rPr>
                <w:rFonts w:hint="eastAsia" w:cs="Times New Roman"/>
                <w:color w:val="000000" w:themeColor="text1"/>
                <w:kern w:val="0"/>
                <w:lang w:val="en-US" w:eastAsia="zh-CN"/>
                <w14:textFill>
                  <w14:solidFill>
                    <w14:schemeClr w14:val="tx1"/>
                  </w14:solidFill>
                </w14:textFill>
              </w:rPr>
              <w:t>9.2</w:t>
            </w:r>
            <w:r>
              <w:rPr>
                <w:rFonts w:hint="default" w:ascii="Times New Roman" w:hAnsi="Times New Roman" w:cs="Times New Roman"/>
                <w:color w:val="000000" w:themeColor="text1"/>
                <w:kern w:val="0"/>
                <w14:textFill>
                  <w14:solidFill>
                    <w14:schemeClr w14:val="tx1"/>
                  </w14:solidFill>
                </w14:textFill>
              </w:rPr>
              <w:t>m</w:t>
            </w:r>
            <w:r>
              <w:rPr>
                <w:rFonts w:hint="default" w:ascii="Times New Roman" w:hAnsi="Times New Roman" w:cs="Times New Roman"/>
                <w:color w:val="000000" w:themeColor="text1"/>
                <w:kern w:val="0"/>
                <w:vertAlign w:val="superscript"/>
                <w14:textFill>
                  <w14:solidFill>
                    <w14:schemeClr w14:val="tx1"/>
                  </w14:solidFill>
                </w14:textFill>
              </w:rPr>
              <w:t>3</w:t>
            </w:r>
            <w:r>
              <w:rPr>
                <w:rFonts w:hint="default" w:ascii="Times New Roman" w:hAnsi="Times New Roman" w:cs="Times New Roman"/>
                <w:color w:val="000000" w:themeColor="text1"/>
                <w:kern w:val="0"/>
                <w14:textFill>
                  <w14:solidFill>
                    <w14:schemeClr w14:val="tx1"/>
                  </w14:solidFill>
                </w14:textFill>
              </w:rPr>
              <w:t>/d（</w:t>
            </w:r>
            <w:r>
              <w:rPr>
                <w:rFonts w:hint="eastAsia" w:cs="Times New Roman"/>
                <w:color w:val="000000" w:themeColor="text1"/>
                <w:kern w:val="0"/>
                <w:lang w:val="en-US" w:eastAsia="zh-CN"/>
                <w14:textFill>
                  <w14:solidFill>
                    <w14:schemeClr w14:val="tx1"/>
                  </w14:solidFill>
                </w14:textFill>
              </w:rPr>
              <w:t>2760</w:t>
            </w:r>
            <w:r>
              <w:rPr>
                <w:rFonts w:hint="default" w:ascii="Times New Roman" w:hAnsi="Times New Roman" w:cs="Times New Roman"/>
                <w:color w:val="000000" w:themeColor="text1"/>
                <w:kern w:val="0"/>
                <w14:textFill>
                  <w14:solidFill>
                    <w14:schemeClr w14:val="tx1"/>
                  </w14:solidFill>
                </w14:textFill>
              </w:rPr>
              <w:t>m</w:t>
            </w:r>
            <w:r>
              <w:rPr>
                <w:rFonts w:hint="default" w:ascii="Times New Roman" w:hAnsi="Times New Roman" w:cs="Times New Roman"/>
                <w:color w:val="000000" w:themeColor="text1"/>
                <w:kern w:val="0"/>
                <w:vertAlign w:val="superscript"/>
                <w14:textFill>
                  <w14:solidFill>
                    <w14:schemeClr w14:val="tx1"/>
                  </w14:solidFill>
                </w14:textFill>
              </w:rPr>
              <w:t>3</w:t>
            </w:r>
            <w:r>
              <w:rPr>
                <w:rFonts w:hint="default" w:ascii="Times New Roman" w:hAnsi="Times New Roman" w:cs="Times New Roman"/>
                <w:color w:val="000000" w:themeColor="text1"/>
                <w:kern w:val="0"/>
                <w14:textFill>
                  <w14:solidFill>
                    <w14:schemeClr w14:val="tx1"/>
                  </w14:solidFill>
                </w14:textFill>
              </w:rPr>
              <w:t>/a），</w:t>
            </w:r>
            <w:r>
              <w:rPr>
                <w:rFonts w:hint="eastAsia" w:cs="Times New Roman"/>
                <w:color w:val="000000" w:themeColor="text1"/>
                <w:kern w:val="0"/>
                <w:lang w:val="en-US" w:eastAsia="zh-CN"/>
                <w14:textFill>
                  <w14:solidFill>
                    <w14:schemeClr w14:val="tx1"/>
                  </w14:solidFill>
                </w14:textFill>
              </w:rPr>
              <w:t>目前</w:t>
            </w:r>
            <w:r>
              <w:rPr>
                <w:rFonts w:hint="default" w:ascii="Times New Roman" w:hAnsi="Times New Roman" w:cs="Times New Roman"/>
                <w:kern w:val="0"/>
              </w:rPr>
              <w:t>占</w:t>
            </w:r>
            <w:r>
              <w:rPr>
                <w:rFonts w:hint="eastAsia" w:cs="Times New Roman"/>
                <w:kern w:val="0"/>
                <w:lang w:eastAsia="zh-CN"/>
              </w:rPr>
              <w:t>尉犁县城镇污水处理厂</w:t>
            </w:r>
            <w:r>
              <w:rPr>
                <w:rFonts w:hint="default" w:ascii="Times New Roman" w:hAnsi="Times New Roman" w:cs="Times New Roman"/>
                <w:kern w:val="0"/>
              </w:rPr>
              <w:t>规模的比重很小，项目污水的排入不会对</w:t>
            </w:r>
            <w:r>
              <w:rPr>
                <w:rFonts w:hint="eastAsia" w:cs="Times New Roman"/>
                <w:kern w:val="0"/>
                <w:lang w:eastAsia="zh-CN"/>
              </w:rPr>
              <w:t>尉犁县城镇污水处理厂</w:t>
            </w:r>
            <w:r>
              <w:rPr>
                <w:rFonts w:hint="default" w:ascii="Times New Roman" w:hAnsi="Times New Roman" w:cs="Times New Roman"/>
                <w:kern w:val="0"/>
              </w:rPr>
              <w:t>造成大的冲击影响。</w:t>
            </w:r>
          </w:p>
          <w:p>
            <w:pPr>
              <w:ind w:firstLine="480" w:firstLineChars="200"/>
              <w:rPr>
                <w:rFonts w:hint="default" w:ascii="Times New Roman" w:hAnsi="Times New Roman" w:cs="Times New Roman"/>
                <w:kern w:val="0"/>
              </w:rPr>
            </w:pPr>
            <w:r>
              <w:rPr>
                <w:rFonts w:hint="eastAsia" w:cs="Times New Roman"/>
                <w:kern w:val="0"/>
                <w:lang w:eastAsia="zh-CN"/>
              </w:rPr>
              <w:t>尉犁县城镇污水处理厂</w:t>
            </w:r>
            <w:r>
              <w:rPr>
                <w:rFonts w:hint="default" w:ascii="Times New Roman" w:hAnsi="Times New Roman" w:cs="Times New Roman"/>
                <w:kern w:val="0"/>
              </w:rPr>
              <w:t>目前已建成投运，于2018年10月18日完成自主竣工环保验收工作，验收备案巴环评价验备</w:t>
            </w:r>
            <w:r>
              <w:rPr>
                <w:rFonts w:hint="eastAsia" w:cs="Times New Roman"/>
                <w:kern w:val="0"/>
                <w:lang w:eastAsia="zh-CN"/>
              </w:rPr>
              <w:t>〔</w:t>
            </w:r>
            <w:r>
              <w:rPr>
                <w:rFonts w:hint="default" w:ascii="Times New Roman" w:hAnsi="Times New Roman" w:cs="Times New Roman"/>
                <w:kern w:val="0"/>
              </w:rPr>
              <w:t>2018</w:t>
            </w:r>
            <w:r>
              <w:rPr>
                <w:rFonts w:hint="eastAsia" w:cs="Times New Roman"/>
                <w:kern w:val="0"/>
                <w:lang w:eastAsia="zh-CN"/>
              </w:rPr>
              <w:t>〕</w:t>
            </w:r>
            <w:r>
              <w:rPr>
                <w:rFonts w:hint="default" w:ascii="Times New Roman" w:hAnsi="Times New Roman" w:cs="Times New Roman"/>
                <w:kern w:val="0"/>
              </w:rPr>
              <w:t>136号，已申请排污许可证（证书编号：91652823MA77CK2F1H001C）。综上，项目生活污水排入</w:t>
            </w:r>
            <w:r>
              <w:rPr>
                <w:rFonts w:hint="eastAsia" w:cs="Times New Roman"/>
                <w:kern w:val="0"/>
                <w:lang w:eastAsia="zh-CN"/>
              </w:rPr>
              <w:t>尉犁县城镇污水处理厂</w:t>
            </w:r>
            <w:r>
              <w:rPr>
                <w:rFonts w:hint="default" w:ascii="Times New Roman" w:hAnsi="Times New Roman" w:cs="Times New Roman"/>
                <w:kern w:val="0"/>
              </w:rPr>
              <w:t>是可行的。</w:t>
            </w:r>
          </w:p>
          <w:p>
            <w:pPr>
              <w:pStyle w:val="72"/>
              <w:spacing w:line="360" w:lineRule="auto"/>
              <w:ind w:firstLine="482"/>
              <w:rPr>
                <w:rFonts w:hint="default" w:ascii="Times New Roman" w:hAnsi="Times New Roman" w:cs="Times New Roman"/>
                <w:b/>
                <w:bCs/>
                <w:snapToGrid w:val="0"/>
              </w:rPr>
            </w:pPr>
            <w:r>
              <w:rPr>
                <w:rFonts w:hint="default" w:ascii="Times New Roman" w:hAnsi="Times New Roman" w:cs="Times New Roman"/>
                <w:b/>
                <w:bCs/>
                <w:snapToGrid w:val="0"/>
              </w:rPr>
              <w:t>2.3监测要求</w:t>
            </w:r>
          </w:p>
          <w:p>
            <w:pPr>
              <w:snapToGrid w:val="0"/>
              <w:ind w:firstLine="480" w:firstLineChars="200"/>
              <w:jc w:val="left"/>
              <w:rPr>
                <w:rFonts w:hint="default" w:ascii="Times New Roman" w:hAnsi="Times New Roman" w:cs="Times New Roman"/>
              </w:rPr>
            </w:pPr>
            <w:r>
              <w:rPr>
                <w:rFonts w:hint="default" w:ascii="Times New Roman" w:hAnsi="Times New Roman" w:cs="Times New Roman"/>
              </w:rPr>
              <w:t>根据《排污单位自行监测技术指南总则》</w:t>
            </w:r>
            <w:r>
              <w:rPr>
                <w:rFonts w:hint="eastAsia" w:cs="Times New Roman"/>
                <w:lang w:eastAsia="zh-CN"/>
              </w:rPr>
              <w:t>（</w:t>
            </w:r>
            <w:r>
              <w:rPr>
                <w:rFonts w:hint="default" w:ascii="Times New Roman" w:hAnsi="Times New Roman" w:cs="Times New Roman"/>
              </w:rPr>
              <w:t>HJ819-2017</w:t>
            </w:r>
            <w:r>
              <w:rPr>
                <w:rFonts w:hint="eastAsia" w:cs="Times New Roman"/>
                <w:lang w:eastAsia="zh-CN"/>
              </w:rPr>
              <w:t>）</w:t>
            </w:r>
            <w:r>
              <w:rPr>
                <w:rFonts w:hint="default" w:ascii="Times New Roman" w:hAnsi="Times New Roman" w:cs="Times New Roman"/>
              </w:rPr>
              <w:t>，废水监测计划具体如表4-10所示。</w:t>
            </w:r>
          </w:p>
          <w:p>
            <w:pPr>
              <w:pStyle w:val="38"/>
              <w:rPr>
                <w:rFonts w:hint="default" w:ascii="Times New Roman" w:hAnsi="Times New Roman" w:cs="Times New Roman"/>
              </w:rPr>
            </w:pPr>
            <w:r>
              <w:rPr>
                <w:rFonts w:hint="default" w:ascii="Times New Roman" w:hAnsi="Times New Roman" w:cs="Times New Roman"/>
                <w:lang w:bidi="ar"/>
              </w:rPr>
              <w:t>表4-10运营期废水监测计划表</w:t>
            </w:r>
          </w:p>
          <w:tbl>
            <w:tblPr>
              <w:tblStyle w:val="26"/>
              <w:tblW w:w="855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2426"/>
              <w:gridCol w:w="1184"/>
              <w:gridCol w:w="34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499" w:type="dxa"/>
                  <w:vAlign w:val="center"/>
                </w:tcPr>
                <w:p>
                  <w:pPr>
                    <w:pStyle w:val="87"/>
                    <w:rPr>
                      <w:rFonts w:hint="default" w:ascii="Times New Roman" w:hAnsi="Times New Roman" w:cs="Times New Roman"/>
                    </w:rPr>
                  </w:pPr>
                  <w:r>
                    <w:rPr>
                      <w:rFonts w:hint="default" w:ascii="Times New Roman" w:hAnsi="Times New Roman" w:cs="Times New Roman"/>
                      <w:lang w:bidi="ar"/>
                    </w:rPr>
                    <w:t>监测点位</w:t>
                  </w:r>
                </w:p>
              </w:tc>
              <w:tc>
                <w:tcPr>
                  <w:tcW w:w="2426"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监测项目</w:t>
                  </w:r>
                </w:p>
              </w:tc>
              <w:tc>
                <w:tcPr>
                  <w:tcW w:w="1184" w:type="dxa"/>
                  <w:vAlign w:val="center"/>
                </w:tcPr>
                <w:p>
                  <w:pPr>
                    <w:pStyle w:val="87"/>
                    <w:rPr>
                      <w:rFonts w:hint="default" w:ascii="Times New Roman" w:hAnsi="Times New Roman" w:cs="Times New Roman"/>
                    </w:rPr>
                  </w:pPr>
                  <w:r>
                    <w:rPr>
                      <w:rFonts w:hint="default" w:ascii="Times New Roman" w:hAnsi="Times New Roman" w:cs="Times New Roman"/>
                      <w:lang w:bidi="ar"/>
                    </w:rPr>
                    <w:t>监测频次</w:t>
                  </w:r>
                </w:p>
              </w:tc>
              <w:tc>
                <w:tcPr>
                  <w:tcW w:w="3443" w:type="dxa"/>
                  <w:vAlign w:val="center"/>
                </w:tcPr>
                <w:p>
                  <w:pPr>
                    <w:pStyle w:val="87"/>
                    <w:rPr>
                      <w:rFonts w:hint="default" w:ascii="Times New Roman" w:hAnsi="Times New Roman" w:cs="Times New Roman"/>
                    </w:rPr>
                  </w:pPr>
                  <w:r>
                    <w:rPr>
                      <w:rFonts w:hint="default" w:ascii="Times New Roman" w:hAnsi="Times New Roman" w:cs="Times New Roman"/>
                      <w:lang w:bidi="ar"/>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99" w:type="dxa"/>
                  <w:vAlign w:val="center"/>
                </w:tcPr>
                <w:p>
                  <w:pPr>
                    <w:pStyle w:val="87"/>
                    <w:rPr>
                      <w:rFonts w:hint="default" w:ascii="Times New Roman" w:hAnsi="Times New Roman" w:cs="Times New Roman"/>
                      <w:lang w:bidi="ar"/>
                    </w:rPr>
                  </w:pPr>
                  <w:r>
                    <w:rPr>
                      <w:rFonts w:hint="default" w:ascii="Times New Roman" w:hAnsi="Times New Roman" w:cs="Times New Roman"/>
                    </w:rPr>
                    <w:t>生活污水排放口</w:t>
                  </w:r>
                </w:p>
              </w:tc>
              <w:tc>
                <w:tcPr>
                  <w:tcW w:w="2426" w:type="dxa"/>
                  <w:vAlign w:val="center"/>
                </w:tcPr>
                <w:p>
                  <w:pPr>
                    <w:pStyle w:val="87"/>
                    <w:rPr>
                      <w:rFonts w:hint="default" w:ascii="Times New Roman" w:hAnsi="Times New Roman" w:cs="Times New Roman"/>
                      <w:lang w:bidi="ar"/>
                    </w:rPr>
                  </w:pPr>
                  <w:r>
                    <w:rPr>
                      <w:rFonts w:hint="default" w:ascii="Times New Roman" w:hAnsi="Times New Roman" w:cs="Times New Roman"/>
                    </w:rPr>
                    <w:t>pH值、COD、BOD</w:t>
                  </w:r>
                  <w:r>
                    <w:rPr>
                      <w:rFonts w:hint="default" w:ascii="Times New Roman" w:hAnsi="Times New Roman" w:cs="Times New Roman"/>
                      <w:vertAlign w:val="subscript"/>
                    </w:rPr>
                    <w:t>5</w:t>
                  </w:r>
                  <w:r>
                    <w:rPr>
                      <w:rFonts w:hint="default" w:ascii="Times New Roman" w:hAnsi="Times New Roman" w:cs="Times New Roman"/>
                    </w:rPr>
                    <w:t>、SS、NH</w:t>
                  </w:r>
                  <w:r>
                    <w:rPr>
                      <w:rFonts w:hint="default" w:ascii="Times New Roman" w:hAnsi="Times New Roman" w:cs="Times New Roman"/>
                      <w:vertAlign w:val="subscript"/>
                    </w:rPr>
                    <w:t>3</w:t>
                  </w:r>
                  <w:r>
                    <w:rPr>
                      <w:rFonts w:hint="default" w:ascii="Times New Roman" w:hAnsi="Times New Roman" w:cs="Times New Roman"/>
                    </w:rPr>
                    <w:t>-N</w:t>
                  </w:r>
                </w:p>
              </w:tc>
              <w:tc>
                <w:tcPr>
                  <w:tcW w:w="1184" w:type="dxa"/>
                  <w:vAlign w:val="center"/>
                </w:tcPr>
                <w:p>
                  <w:pPr>
                    <w:pStyle w:val="87"/>
                    <w:rPr>
                      <w:rFonts w:hint="default" w:ascii="Times New Roman" w:hAnsi="Times New Roman" w:cs="Times New Roman"/>
                      <w:lang w:bidi="ar"/>
                    </w:rPr>
                  </w:pPr>
                  <w:r>
                    <w:rPr>
                      <w:rFonts w:hint="default" w:ascii="Times New Roman" w:hAnsi="Times New Roman" w:cs="Times New Roman"/>
                      <w:lang w:bidi="ar"/>
                    </w:rPr>
                    <w:t>1次/年</w:t>
                  </w:r>
                </w:p>
              </w:tc>
              <w:tc>
                <w:tcPr>
                  <w:tcW w:w="3443" w:type="dxa"/>
                  <w:vAlign w:val="center"/>
                </w:tcPr>
                <w:p>
                  <w:pPr>
                    <w:pStyle w:val="87"/>
                    <w:rPr>
                      <w:rFonts w:hint="default" w:ascii="Times New Roman" w:hAnsi="Times New Roman" w:cs="Times New Roman"/>
                    </w:rPr>
                  </w:pPr>
                  <w:r>
                    <w:rPr>
                      <w:rFonts w:hint="default" w:ascii="Times New Roman" w:hAnsi="Times New Roman" w:cs="Times New Roman"/>
                    </w:rPr>
                    <w:t>《污水综合排放标准》（GB8978-1996）表4中三级标准</w:t>
                  </w:r>
                </w:p>
              </w:tc>
            </w:tr>
          </w:tbl>
          <w:p>
            <w:pPr>
              <w:ind w:firstLine="482" w:firstLineChars="200"/>
              <w:rPr>
                <w:rFonts w:hint="default" w:ascii="Times New Roman" w:hAnsi="Times New Roman" w:cs="Times New Roman"/>
                <w:b/>
                <w:bCs/>
                <w:snapToGrid w:val="0"/>
                <w:kern w:val="0"/>
              </w:rPr>
            </w:pPr>
            <w:r>
              <w:rPr>
                <w:rFonts w:hint="default" w:ascii="Times New Roman" w:hAnsi="Times New Roman" w:cs="Times New Roman"/>
                <w:b/>
                <w:bCs/>
                <w:snapToGrid w:val="0"/>
                <w:kern w:val="0"/>
              </w:rPr>
              <w:t>3噪声</w:t>
            </w:r>
          </w:p>
          <w:p>
            <w:pPr>
              <w:ind w:firstLine="482" w:firstLineChars="200"/>
              <w:rPr>
                <w:rFonts w:hint="default" w:ascii="Times New Roman" w:hAnsi="Times New Roman" w:cs="Times New Roman"/>
                <w:b/>
                <w:bCs/>
              </w:rPr>
            </w:pPr>
            <w:r>
              <w:rPr>
                <w:rFonts w:hint="default" w:ascii="Times New Roman" w:hAnsi="Times New Roman" w:cs="Times New Roman"/>
                <w:b/>
                <w:bCs/>
              </w:rPr>
              <w:t>3.1噪声源</w:t>
            </w:r>
          </w:p>
          <w:p>
            <w:pPr>
              <w:ind w:firstLine="480" w:firstLineChars="200"/>
              <w:rPr>
                <w:rFonts w:hint="default" w:ascii="Times New Roman" w:hAnsi="Times New Roman" w:cs="Times New Roman"/>
                <w:snapToGrid w:val="0"/>
                <w:kern w:val="0"/>
              </w:rPr>
            </w:pPr>
            <w:r>
              <w:rPr>
                <w:rFonts w:hint="default" w:ascii="Times New Roman" w:hAnsi="Times New Roman" w:cs="Times New Roman"/>
                <w:snapToGrid w:val="0"/>
                <w:kern w:val="0"/>
              </w:rPr>
              <w:t>项目运营期主要噪声源为搅拌机、</w:t>
            </w:r>
            <w:r>
              <w:rPr>
                <w:rFonts w:hint="default" w:ascii="Times New Roman" w:hAnsi="Times New Roman" w:cs="Times New Roman"/>
              </w:rPr>
              <w:t>鐓头机、滚焊机、张拉机、</w:t>
            </w:r>
            <w:r>
              <w:rPr>
                <w:rFonts w:hint="default" w:ascii="Times New Roman" w:hAnsi="Times New Roman" w:cs="Times New Roman"/>
                <w:shd w:val="clear" w:color="auto" w:fill="FFFFFF"/>
              </w:rPr>
              <w:t>切断机、</w:t>
            </w:r>
            <w:r>
              <w:rPr>
                <w:rFonts w:hint="default" w:ascii="Times New Roman" w:hAnsi="Times New Roman" w:cs="Times New Roman"/>
              </w:rPr>
              <w:t>离心机</w:t>
            </w:r>
            <w:r>
              <w:rPr>
                <w:rFonts w:hint="default" w:ascii="Times New Roman" w:hAnsi="Times New Roman" w:cs="Times New Roman"/>
                <w:snapToGrid w:val="0"/>
                <w:kern w:val="0"/>
              </w:rPr>
              <w:t>等设备，噪声源强为75～90dB（A）。根据不同的噪声源特点分别采取优化布置、减振、厂房隔声等措施后，可以很大程度地降低噪音强度。</w:t>
            </w:r>
          </w:p>
          <w:p>
            <w:pPr>
              <w:ind w:firstLine="480" w:firstLineChars="200"/>
              <w:rPr>
                <w:rFonts w:hint="default" w:ascii="Times New Roman" w:hAnsi="Times New Roman" w:cs="Times New Roman"/>
                <w:snapToGrid w:val="0"/>
                <w:kern w:val="0"/>
              </w:rPr>
            </w:pPr>
            <w:r>
              <w:rPr>
                <w:rFonts w:hint="default" w:ascii="Times New Roman" w:hAnsi="Times New Roman" w:cs="Times New Roman"/>
                <w:snapToGrid w:val="0"/>
                <w:kern w:val="0"/>
              </w:rPr>
              <w:t>本项目</w:t>
            </w:r>
            <w:r>
              <w:rPr>
                <w:rFonts w:hint="default" w:ascii="Times New Roman" w:hAnsi="Times New Roman" w:cs="Times New Roman"/>
              </w:rPr>
              <w:t>噪声源强调查清单见表4-11。</w:t>
            </w:r>
          </w:p>
        </w:tc>
      </w:tr>
    </w:tbl>
    <w:p>
      <w:pPr>
        <w:adjustRightInd w:val="0"/>
        <w:snapToGrid w:val="0"/>
        <w:jc w:val="center"/>
        <w:rPr>
          <w:bCs/>
          <w:szCs w:val="21"/>
        </w:rPr>
        <w:sectPr>
          <w:pgSz w:w="11907" w:h="16840"/>
          <w:pgMar w:top="1701" w:right="1531" w:bottom="1985" w:left="1531" w:header="851" w:footer="851" w:gutter="0"/>
          <w:pgBorders>
            <w:top w:val="none" w:sz="0" w:space="0"/>
            <w:left w:val="none" w:sz="0" w:space="0"/>
            <w:bottom w:val="none" w:sz="0" w:space="0"/>
            <w:right w:val="none" w:sz="0" w:space="0"/>
          </w:pgBorders>
          <w:cols w:space="720" w:num="1"/>
          <w:docGrid w:linePitch="312" w:charSpace="0"/>
        </w:sectPr>
      </w:pPr>
    </w:p>
    <w:tbl>
      <w:tblPr>
        <w:tblStyle w:val="26"/>
        <w:tblW w:w="13545" w:type="dxa"/>
        <w:jc w:val="center"/>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9"/>
        <w:gridCol w:w="13206"/>
      </w:tblGrid>
      <w:tr>
        <w:tblPrEx>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9" w:type="dxa"/>
            <w:tcMar>
              <w:left w:w="28" w:type="dxa"/>
              <w:right w:w="28" w:type="dxa"/>
            </w:tcMar>
            <w:vAlign w:val="center"/>
          </w:tcPr>
          <w:p>
            <w:pPr>
              <w:adjustRightInd w:val="0"/>
              <w:snapToGrid w:val="0"/>
              <w:jc w:val="center"/>
              <w:rPr>
                <w:bCs/>
                <w:szCs w:val="21"/>
              </w:rPr>
            </w:pPr>
          </w:p>
        </w:tc>
        <w:tc>
          <w:tcPr>
            <w:tcW w:w="13206" w:type="dxa"/>
            <w:vAlign w:val="center"/>
          </w:tcPr>
          <w:p>
            <w:pPr>
              <w:pStyle w:val="38"/>
            </w:pPr>
            <w:r>
              <w:t>表</w:t>
            </w:r>
            <w:r>
              <w:rPr>
                <w:snapToGrid w:val="0"/>
              </w:rPr>
              <w:t>4-11</w:t>
            </w:r>
            <w:r>
              <w:t>工业企业噪声源强调查清单（室内声源）</w:t>
            </w:r>
          </w:p>
          <w:tbl>
            <w:tblPr>
              <w:tblStyle w:val="26"/>
              <w:tblW w:w="1299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611"/>
              <w:gridCol w:w="1064"/>
              <w:gridCol w:w="712"/>
              <w:gridCol w:w="326"/>
              <w:gridCol w:w="533"/>
              <w:gridCol w:w="533"/>
              <w:gridCol w:w="536"/>
              <w:gridCol w:w="434"/>
              <w:gridCol w:w="437"/>
              <w:gridCol w:w="437"/>
              <w:gridCol w:w="442"/>
              <w:gridCol w:w="429"/>
              <w:gridCol w:w="429"/>
              <w:gridCol w:w="429"/>
              <w:gridCol w:w="434"/>
              <w:gridCol w:w="765"/>
              <w:gridCol w:w="380"/>
              <w:gridCol w:w="411"/>
              <w:gridCol w:w="411"/>
              <w:gridCol w:w="419"/>
              <w:gridCol w:w="443"/>
              <w:gridCol w:w="443"/>
              <w:gridCol w:w="443"/>
              <w:gridCol w:w="443"/>
              <w:gridCol w:w="6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34" w:type="dxa"/>
                  <w:vMerge w:val="restart"/>
                  <w:vAlign w:val="center"/>
                </w:tcPr>
                <w:p>
                  <w:pPr>
                    <w:pStyle w:val="87"/>
                    <w:rPr>
                      <w:rFonts w:ascii="Times New Roman" w:hAnsi="Times New Roman" w:cs="Times New Roman"/>
                    </w:rPr>
                  </w:pPr>
                  <w:bookmarkStart w:id="5" w:name="PT_6"/>
                  <w:r>
                    <w:rPr>
                      <w:rFonts w:ascii="Times New Roman" w:hAnsi="Times New Roman" w:cs="Times New Roman"/>
                    </w:rPr>
                    <w:t>序号</w:t>
                  </w:r>
                  <w:bookmarkEnd w:id="5"/>
                </w:p>
              </w:tc>
              <w:tc>
                <w:tcPr>
                  <w:tcW w:w="611" w:type="dxa"/>
                  <w:vMerge w:val="restart"/>
                  <w:vAlign w:val="center"/>
                </w:tcPr>
                <w:p>
                  <w:pPr>
                    <w:pStyle w:val="87"/>
                    <w:rPr>
                      <w:rFonts w:ascii="Times New Roman" w:hAnsi="Times New Roman" w:cs="Times New Roman"/>
                    </w:rPr>
                  </w:pPr>
                  <w:r>
                    <w:rPr>
                      <w:rFonts w:ascii="Times New Roman" w:hAnsi="Times New Roman" w:cs="Times New Roman"/>
                    </w:rPr>
                    <w:t>建筑物名称</w:t>
                  </w:r>
                </w:p>
              </w:tc>
              <w:tc>
                <w:tcPr>
                  <w:tcW w:w="1064" w:type="dxa"/>
                  <w:vMerge w:val="restart"/>
                  <w:vAlign w:val="center"/>
                </w:tcPr>
                <w:p>
                  <w:pPr>
                    <w:pStyle w:val="87"/>
                    <w:rPr>
                      <w:rFonts w:ascii="Times New Roman" w:hAnsi="Times New Roman" w:cs="Times New Roman"/>
                    </w:rPr>
                  </w:pPr>
                  <w:r>
                    <w:rPr>
                      <w:rFonts w:ascii="Times New Roman" w:hAnsi="Times New Roman" w:cs="Times New Roman"/>
                    </w:rPr>
                    <w:t>声源名称</w:t>
                  </w:r>
                </w:p>
              </w:tc>
              <w:tc>
                <w:tcPr>
                  <w:tcW w:w="712" w:type="dxa"/>
                  <w:vAlign w:val="center"/>
                </w:tcPr>
                <w:p>
                  <w:pPr>
                    <w:pStyle w:val="87"/>
                    <w:rPr>
                      <w:rFonts w:ascii="Times New Roman" w:hAnsi="Times New Roman" w:cs="Times New Roman"/>
                    </w:rPr>
                  </w:pPr>
                  <w:r>
                    <w:rPr>
                      <w:rFonts w:ascii="Times New Roman" w:hAnsi="Times New Roman" w:cs="Times New Roman"/>
                    </w:rPr>
                    <w:t>声源源强</w:t>
                  </w:r>
                </w:p>
              </w:tc>
              <w:tc>
                <w:tcPr>
                  <w:tcW w:w="326" w:type="dxa"/>
                  <w:vMerge w:val="restart"/>
                  <w:vAlign w:val="center"/>
                </w:tcPr>
                <w:p>
                  <w:pPr>
                    <w:pStyle w:val="87"/>
                    <w:rPr>
                      <w:rFonts w:ascii="Times New Roman" w:hAnsi="Times New Roman" w:cs="Times New Roman"/>
                    </w:rPr>
                  </w:pPr>
                  <w:r>
                    <w:rPr>
                      <w:rFonts w:ascii="Times New Roman" w:hAnsi="Times New Roman" w:cs="Times New Roman"/>
                    </w:rPr>
                    <w:t>声源控制措施</w:t>
                  </w:r>
                </w:p>
              </w:tc>
              <w:tc>
                <w:tcPr>
                  <w:tcW w:w="1602" w:type="dxa"/>
                  <w:gridSpan w:val="3"/>
                  <w:vAlign w:val="center"/>
                </w:tcPr>
                <w:p>
                  <w:pPr>
                    <w:pStyle w:val="87"/>
                    <w:rPr>
                      <w:rFonts w:ascii="Times New Roman" w:hAnsi="Times New Roman" w:cs="Times New Roman"/>
                    </w:rPr>
                  </w:pPr>
                  <w:r>
                    <w:rPr>
                      <w:rFonts w:ascii="Times New Roman" w:hAnsi="Times New Roman" w:cs="Times New Roman"/>
                    </w:rPr>
                    <w:t>空间相对位置/m</w:t>
                  </w:r>
                </w:p>
              </w:tc>
              <w:tc>
                <w:tcPr>
                  <w:tcW w:w="1750" w:type="dxa"/>
                  <w:gridSpan w:val="4"/>
                  <w:vAlign w:val="center"/>
                </w:tcPr>
                <w:p>
                  <w:pPr>
                    <w:pStyle w:val="87"/>
                    <w:rPr>
                      <w:rFonts w:ascii="Times New Roman" w:hAnsi="Times New Roman" w:cs="Times New Roman"/>
                    </w:rPr>
                  </w:pPr>
                  <w:r>
                    <w:rPr>
                      <w:rFonts w:ascii="Times New Roman" w:hAnsi="Times New Roman" w:cs="Times New Roman"/>
                    </w:rPr>
                    <w:t>距室内边界距离/m</w:t>
                  </w:r>
                </w:p>
              </w:tc>
              <w:tc>
                <w:tcPr>
                  <w:tcW w:w="1721" w:type="dxa"/>
                  <w:gridSpan w:val="4"/>
                  <w:vAlign w:val="center"/>
                </w:tcPr>
                <w:p>
                  <w:pPr>
                    <w:pStyle w:val="87"/>
                    <w:rPr>
                      <w:rFonts w:hint="eastAsia" w:ascii="Times New Roman" w:hAnsi="Times New Roman" w:eastAsia="宋体" w:cs="Times New Roman"/>
                      <w:lang w:eastAsia="zh-CN"/>
                    </w:rPr>
                  </w:pPr>
                  <w:r>
                    <w:rPr>
                      <w:rFonts w:ascii="Times New Roman" w:hAnsi="Times New Roman" w:cs="Times New Roman"/>
                    </w:rPr>
                    <w:t>室内边界声级/dB</w:t>
                  </w:r>
                  <w:r>
                    <w:rPr>
                      <w:rFonts w:hint="eastAsia" w:ascii="Times New Roman" w:hAnsi="Times New Roman" w:cs="Times New Roman"/>
                      <w:lang w:eastAsia="zh-CN"/>
                    </w:rPr>
                    <w:t>（</w:t>
                  </w:r>
                  <w:r>
                    <w:rPr>
                      <w:rFonts w:ascii="Times New Roman" w:hAnsi="Times New Roman" w:cs="Times New Roman"/>
                    </w:rPr>
                    <w:t>A</w:t>
                  </w:r>
                  <w:r>
                    <w:rPr>
                      <w:rFonts w:hint="eastAsia" w:ascii="Times New Roman" w:hAnsi="Times New Roman" w:cs="Times New Roman"/>
                      <w:lang w:eastAsia="zh-CN"/>
                    </w:rPr>
                    <w:t>）</w:t>
                  </w:r>
                </w:p>
              </w:tc>
              <w:tc>
                <w:tcPr>
                  <w:tcW w:w="765" w:type="dxa"/>
                  <w:vMerge w:val="restart"/>
                  <w:vAlign w:val="center"/>
                </w:tcPr>
                <w:p>
                  <w:pPr>
                    <w:pStyle w:val="87"/>
                    <w:rPr>
                      <w:rFonts w:ascii="Times New Roman" w:hAnsi="Times New Roman" w:cs="Times New Roman"/>
                    </w:rPr>
                  </w:pPr>
                  <w:r>
                    <w:rPr>
                      <w:rFonts w:ascii="Times New Roman" w:hAnsi="Times New Roman" w:cs="Times New Roman"/>
                    </w:rPr>
                    <w:t>运行时段（h）</w:t>
                  </w:r>
                </w:p>
              </w:tc>
              <w:tc>
                <w:tcPr>
                  <w:tcW w:w="1621" w:type="dxa"/>
                  <w:gridSpan w:val="4"/>
                  <w:vAlign w:val="center"/>
                </w:tcPr>
                <w:p>
                  <w:pPr>
                    <w:pStyle w:val="87"/>
                    <w:rPr>
                      <w:rFonts w:hint="eastAsia" w:ascii="Times New Roman" w:hAnsi="Times New Roman" w:eastAsia="宋体" w:cs="Times New Roman"/>
                      <w:lang w:eastAsia="zh-CN"/>
                    </w:rPr>
                  </w:pPr>
                  <w:r>
                    <w:rPr>
                      <w:rFonts w:ascii="Times New Roman" w:hAnsi="Times New Roman" w:cs="Times New Roman"/>
                    </w:rPr>
                    <w:t>建筑物插入损失/dB</w:t>
                  </w:r>
                  <w:r>
                    <w:rPr>
                      <w:rFonts w:hint="eastAsia" w:ascii="Times New Roman" w:hAnsi="Times New Roman" w:cs="Times New Roman"/>
                      <w:lang w:eastAsia="zh-CN"/>
                    </w:rPr>
                    <w:t>（</w:t>
                  </w:r>
                  <w:r>
                    <w:rPr>
                      <w:rFonts w:ascii="Times New Roman" w:hAnsi="Times New Roman" w:cs="Times New Roman"/>
                    </w:rPr>
                    <w:t>A</w:t>
                  </w:r>
                  <w:bookmarkStart w:id="6" w:name="PT_10"/>
                  <w:bookmarkEnd w:id="6"/>
                  <w:r>
                    <w:rPr>
                      <w:rFonts w:hint="eastAsia" w:ascii="Times New Roman" w:hAnsi="Times New Roman" w:cs="Times New Roman"/>
                      <w:lang w:eastAsia="zh-CN"/>
                    </w:rPr>
                    <w:t>）</w:t>
                  </w:r>
                </w:p>
              </w:tc>
              <w:tc>
                <w:tcPr>
                  <w:tcW w:w="2384" w:type="dxa"/>
                  <w:gridSpan w:val="5"/>
                  <w:vAlign w:val="center"/>
                </w:tcPr>
                <w:p>
                  <w:pPr>
                    <w:pStyle w:val="87"/>
                    <w:rPr>
                      <w:rFonts w:hint="eastAsia" w:ascii="Times New Roman" w:hAnsi="Times New Roman" w:eastAsia="宋体" w:cs="Times New Roman"/>
                      <w:lang w:eastAsia="zh-CN"/>
                    </w:rPr>
                  </w:pPr>
                  <w:r>
                    <w:rPr>
                      <w:rFonts w:ascii="Times New Roman" w:hAnsi="Times New Roman" w:cs="Times New Roman"/>
                    </w:rPr>
                    <w:t>建筑物外噪声声压级/dB</w:t>
                  </w:r>
                  <w:r>
                    <w:rPr>
                      <w:rFonts w:hint="eastAsia" w:ascii="Times New Roman" w:hAnsi="Times New Roman" w:cs="Times New Roman"/>
                      <w:lang w:eastAsia="zh-CN"/>
                    </w:rPr>
                    <w:t>（</w:t>
                  </w:r>
                  <w:r>
                    <w:rPr>
                      <w:rFonts w:ascii="Times New Roman" w:hAnsi="Times New Roman" w:cs="Times New Roman"/>
                    </w:rPr>
                    <w:t>A</w:t>
                  </w:r>
                  <w:r>
                    <w:rPr>
                      <w:rFonts w:hint="eastAsia" w:ascii="Times New Roman" w:hAnsi="Times New Roman" w:cs="Times New Roman"/>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vMerge w:val="continue"/>
                  <w:vAlign w:val="center"/>
                </w:tcPr>
                <w:p>
                  <w:pPr>
                    <w:pStyle w:val="87"/>
                    <w:rPr>
                      <w:rFonts w:ascii="Times New Roman" w:hAnsi="Times New Roman" w:cs="Times New Roman"/>
                    </w:rPr>
                  </w:pPr>
                </w:p>
              </w:tc>
              <w:tc>
                <w:tcPr>
                  <w:tcW w:w="611" w:type="dxa"/>
                  <w:vMerge w:val="continue"/>
                  <w:vAlign w:val="center"/>
                </w:tcPr>
                <w:p>
                  <w:pPr>
                    <w:pStyle w:val="87"/>
                    <w:rPr>
                      <w:rFonts w:ascii="Times New Roman" w:hAnsi="Times New Roman" w:cs="Times New Roman"/>
                    </w:rPr>
                  </w:pPr>
                </w:p>
              </w:tc>
              <w:tc>
                <w:tcPr>
                  <w:tcW w:w="1064" w:type="dxa"/>
                  <w:vMerge w:val="continue"/>
                  <w:vAlign w:val="center"/>
                </w:tcPr>
                <w:p>
                  <w:pPr>
                    <w:pStyle w:val="87"/>
                    <w:rPr>
                      <w:rFonts w:ascii="Times New Roman" w:hAnsi="Times New Roman" w:cs="Times New Roman"/>
                    </w:rPr>
                  </w:pPr>
                </w:p>
              </w:tc>
              <w:tc>
                <w:tcPr>
                  <w:tcW w:w="712" w:type="dxa"/>
                  <w:shd w:val="clear" w:color="auto" w:fill="FFFFFF"/>
                  <w:tcMar>
                    <w:top w:w="0" w:type="dxa"/>
                    <w:left w:w="0" w:type="dxa"/>
                    <w:bottom w:w="0" w:type="dxa"/>
                    <w:right w:w="0" w:type="dxa"/>
                  </w:tcMar>
                  <w:vAlign w:val="center"/>
                </w:tcPr>
                <w:p>
                  <w:pPr>
                    <w:pStyle w:val="87"/>
                    <w:rPr>
                      <w:rFonts w:hint="eastAsia" w:ascii="Times New Roman" w:hAnsi="Times New Roman" w:eastAsia="宋体" w:cs="Times New Roman"/>
                      <w:lang w:eastAsia="zh-CN"/>
                    </w:rPr>
                  </w:pPr>
                  <w:r>
                    <w:rPr>
                      <w:rFonts w:ascii="Times New Roman" w:hAnsi="Times New Roman" w:cs="Times New Roman"/>
                    </w:rPr>
                    <w:t>声功率级/dB</w:t>
                  </w:r>
                  <w:r>
                    <w:rPr>
                      <w:rFonts w:hint="eastAsia" w:ascii="Times New Roman" w:hAnsi="Times New Roman" w:cs="Times New Roman"/>
                      <w:lang w:eastAsia="zh-CN"/>
                    </w:rPr>
                    <w:t>（</w:t>
                  </w:r>
                  <w:r>
                    <w:rPr>
                      <w:rFonts w:ascii="Times New Roman" w:hAnsi="Times New Roman" w:cs="Times New Roman"/>
                    </w:rPr>
                    <w:t>A</w:t>
                  </w:r>
                  <w:r>
                    <w:rPr>
                      <w:rFonts w:hint="eastAsia" w:ascii="Times New Roman" w:hAnsi="Times New Roman" w:cs="Times New Roman"/>
                      <w:lang w:eastAsia="zh-CN"/>
                    </w:rPr>
                    <w:t>）</w:t>
                  </w:r>
                </w:p>
              </w:tc>
              <w:tc>
                <w:tcPr>
                  <w:tcW w:w="326" w:type="dxa"/>
                  <w:vMerge w:val="continue"/>
                  <w:vAlign w:val="center"/>
                </w:tcPr>
                <w:p>
                  <w:pPr>
                    <w:pStyle w:val="87"/>
                    <w:rPr>
                      <w:rFonts w:ascii="Times New Roman" w:hAnsi="Times New Roman" w:cs="Times New Roman"/>
                    </w:rPr>
                  </w:pP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X</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Y</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Z</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东</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南</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西</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北</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东</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南</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西</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北</w:t>
                  </w:r>
                </w:p>
              </w:tc>
              <w:tc>
                <w:tcPr>
                  <w:tcW w:w="765" w:type="dxa"/>
                  <w:vMerge w:val="continue"/>
                  <w:vAlign w:val="center"/>
                </w:tcPr>
                <w:p>
                  <w:pPr>
                    <w:pStyle w:val="87"/>
                    <w:rPr>
                      <w:rFonts w:ascii="Times New Roman" w:hAnsi="Times New Roman" w:cs="Times New Roman"/>
                    </w:rPr>
                  </w:pP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东</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南</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西</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北</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东</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南</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西</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北</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建筑物外距离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sz w:val="22"/>
                      <w:szCs w:val="22"/>
                    </w:rPr>
                  </w:pPr>
                  <w:r>
                    <w:rPr>
                      <w:rFonts w:ascii="Times New Roman" w:hAnsi="Times New Roman" w:cs="Times New Roman"/>
                      <w:sz w:val="20"/>
                      <w:szCs w:val="20"/>
                    </w:rPr>
                    <w:t>1</w:t>
                  </w:r>
                </w:p>
              </w:tc>
              <w:tc>
                <w:tcPr>
                  <w:tcW w:w="6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生产车间</w:t>
                  </w:r>
                </w:p>
              </w:tc>
              <w:tc>
                <w:tcPr>
                  <w:tcW w:w="106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喂料机，4台（按点声源组预测）</w:t>
                  </w:r>
                </w:p>
              </w:tc>
              <w:tc>
                <w:tcPr>
                  <w:tcW w:w="712" w:type="dxa"/>
                  <w:shd w:val="clear" w:color="auto" w:fill="FFFFFF"/>
                  <w:tcMar>
                    <w:top w:w="0" w:type="dxa"/>
                    <w:left w:w="0" w:type="dxa"/>
                    <w:bottom w:w="0" w:type="dxa"/>
                    <w:right w:w="0" w:type="dxa"/>
                  </w:tcMar>
                  <w:vAlign w:val="center"/>
                </w:tcPr>
                <w:p>
                  <w:pPr>
                    <w:pStyle w:val="87"/>
                    <w:rPr>
                      <w:rFonts w:hint="eastAsia" w:ascii="Times New Roman" w:hAnsi="Times New Roman" w:eastAsia="宋体" w:cs="Times New Roman"/>
                      <w:lang w:eastAsia="zh-CN"/>
                    </w:rPr>
                  </w:pPr>
                  <w:r>
                    <w:rPr>
                      <w:rFonts w:ascii="Times New Roman" w:hAnsi="Times New Roman" w:cs="Times New Roman"/>
                      <w:sz w:val="20"/>
                      <w:szCs w:val="20"/>
                    </w:rPr>
                    <w:t>85（等效后：91.0</w:t>
                  </w:r>
                  <w:r>
                    <w:rPr>
                      <w:rFonts w:hint="eastAsia" w:ascii="Times New Roman" w:hAnsi="Times New Roman" w:cs="Times New Roman"/>
                      <w:sz w:val="20"/>
                      <w:szCs w:val="20"/>
                      <w:lang w:eastAsia="zh-CN"/>
                    </w:rPr>
                    <w:t>）</w:t>
                  </w:r>
                </w:p>
              </w:tc>
              <w:tc>
                <w:tcPr>
                  <w:tcW w:w="326" w:type="dxa"/>
                  <w:vMerge w:val="restart"/>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rPr>
                    <w:t>隔声减震</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-21.3</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-21.7</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64.3</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6.8</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22.6</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51.1</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73.4</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73.8</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73.4</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73.4</w:t>
                  </w:r>
                </w:p>
              </w:tc>
              <w:tc>
                <w:tcPr>
                  <w:tcW w:w="765"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hint="eastAsia" w:ascii="Times New Roman" w:hAnsi="Times New Roman" w:cs="Times New Roman"/>
                      <w:sz w:val="20"/>
                      <w:szCs w:val="20"/>
                    </w:rPr>
                    <w:t>2</w:t>
                  </w:r>
                  <w:r>
                    <w:rPr>
                      <w:rFonts w:ascii="Times New Roman" w:hAnsi="Times New Roman" w:cs="Times New Roman"/>
                      <w:sz w:val="20"/>
                      <w:szCs w:val="20"/>
                    </w:rPr>
                    <w:t>400</w:t>
                  </w: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32.4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32.8</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32.4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32.4</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w:t>
                  </w:r>
                </w:p>
              </w:tc>
              <w:tc>
                <w:tcPr>
                  <w:tcW w:w="6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生产车间</w:t>
                  </w:r>
                </w:p>
              </w:tc>
              <w:tc>
                <w:tcPr>
                  <w:tcW w:w="106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搅拌机</w:t>
                  </w:r>
                </w:p>
              </w:tc>
              <w:tc>
                <w:tcPr>
                  <w:tcW w:w="7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90</w:t>
                  </w:r>
                </w:p>
              </w:tc>
              <w:tc>
                <w:tcPr>
                  <w:tcW w:w="326" w:type="dxa"/>
                  <w:vMerge w:val="continue"/>
                  <w:shd w:val="clear" w:color="auto" w:fill="FFFFFF"/>
                  <w:tcMar>
                    <w:top w:w="0" w:type="dxa"/>
                    <w:left w:w="0" w:type="dxa"/>
                    <w:bottom w:w="0" w:type="dxa"/>
                    <w:right w:w="0" w:type="dxa"/>
                  </w:tcMar>
                  <w:vAlign w:val="center"/>
                </w:tcPr>
                <w:p>
                  <w:pPr>
                    <w:pStyle w:val="87"/>
                    <w:rPr>
                      <w:rFonts w:ascii="Times New Roman" w:hAnsi="Times New Roman" w:cs="Times New Roman"/>
                    </w:rPr>
                  </w:pP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-33.6</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-11.9</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76.6</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16.6</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10.3</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41.3</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72.4</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72.5</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72.6</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72.4</w:t>
                  </w:r>
                </w:p>
              </w:tc>
              <w:tc>
                <w:tcPr>
                  <w:tcW w:w="765"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hint="eastAsia" w:ascii="Times New Roman" w:hAnsi="Times New Roman" w:cs="Times New Roman"/>
                      <w:sz w:val="20"/>
                      <w:szCs w:val="20"/>
                    </w:rPr>
                    <w:t>2</w:t>
                  </w:r>
                  <w:r>
                    <w:rPr>
                      <w:rFonts w:ascii="Times New Roman" w:hAnsi="Times New Roman" w:cs="Times New Roman"/>
                      <w:sz w:val="20"/>
                      <w:szCs w:val="20"/>
                    </w:rPr>
                    <w:t>400</w:t>
                  </w: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31.4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31.5</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31.6</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31.4</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w:t>
                  </w:r>
                </w:p>
              </w:tc>
              <w:tc>
                <w:tcPr>
                  <w:tcW w:w="6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生产车间</w:t>
                  </w:r>
                </w:p>
              </w:tc>
              <w:tc>
                <w:tcPr>
                  <w:tcW w:w="106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切断机，2台（按点声源组预测）</w:t>
                  </w:r>
                </w:p>
              </w:tc>
              <w:tc>
                <w:tcPr>
                  <w:tcW w:w="712" w:type="dxa"/>
                  <w:shd w:val="clear" w:color="auto" w:fill="FFFFFF"/>
                  <w:tcMar>
                    <w:top w:w="0" w:type="dxa"/>
                    <w:left w:w="0" w:type="dxa"/>
                    <w:bottom w:w="0" w:type="dxa"/>
                    <w:right w:w="0" w:type="dxa"/>
                  </w:tcMar>
                  <w:vAlign w:val="center"/>
                </w:tcPr>
                <w:p>
                  <w:pPr>
                    <w:pStyle w:val="87"/>
                    <w:rPr>
                      <w:rFonts w:hint="eastAsia" w:ascii="Times New Roman" w:hAnsi="Times New Roman" w:eastAsia="宋体" w:cs="Times New Roman"/>
                      <w:lang w:eastAsia="zh-CN"/>
                    </w:rPr>
                  </w:pPr>
                  <w:r>
                    <w:rPr>
                      <w:rFonts w:ascii="Times New Roman" w:hAnsi="Times New Roman" w:cs="Times New Roman"/>
                      <w:sz w:val="20"/>
                      <w:szCs w:val="20"/>
                    </w:rPr>
                    <w:t>85（等效后：88.0</w:t>
                  </w:r>
                  <w:r>
                    <w:rPr>
                      <w:rFonts w:hint="eastAsia" w:ascii="Times New Roman" w:hAnsi="Times New Roman" w:cs="Times New Roman"/>
                      <w:sz w:val="20"/>
                      <w:szCs w:val="20"/>
                      <w:lang w:eastAsia="zh-CN"/>
                    </w:rPr>
                    <w:t>）</w:t>
                  </w:r>
                </w:p>
              </w:tc>
              <w:tc>
                <w:tcPr>
                  <w:tcW w:w="326" w:type="dxa"/>
                  <w:vMerge w:val="continue"/>
                  <w:shd w:val="clear" w:color="auto" w:fill="FFFFFF"/>
                  <w:tcMar>
                    <w:top w:w="0" w:type="dxa"/>
                    <w:left w:w="0" w:type="dxa"/>
                    <w:bottom w:w="0" w:type="dxa"/>
                    <w:right w:w="0" w:type="dxa"/>
                  </w:tcMar>
                  <w:vAlign w:val="center"/>
                </w:tcPr>
                <w:p>
                  <w:pPr>
                    <w:pStyle w:val="87"/>
                    <w:rPr>
                      <w:rFonts w:ascii="Times New Roman" w:hAnsi="Times New Roman" w:cs="Times New Roman"/>
                    </w:rPr>
                  </w:pP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-23.3</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21.7</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66.3</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50.2</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20.6</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7.7</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70.4</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70.4</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70.4</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70.7</w:t>
                  </w:r>
                </w:p>
              </w:tc>
              <w:tc>
                <w:tcPr>
                  <w:tcW w:w="765"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hint="eastAsia" w:ascii="Times New Roman" w:hAnsi="Times New Roman" w:cs="Times New Roman"/>
                      <w:sz w:val="20"/>
                      <w:szCs w:val="20"/>
                    </w:rPr>
                    <w:t>2</w:t>
                  </w:r>
                  <w:r>
                    <w:rPr>
                      <w:rFonts w:ascii="Times New Roman" w:hAnsi="Times New Roman" w:cs="Times New Roman"/>
                      <w:sz w:val="20"/>
                      <w:szCs w:val="20"/>
                    </w:rPr>
                    <w:t>400</w:t>
                  </w: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29.7</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w:t>
                  </w:r>
                </w:p>
              </w:tc>
              <w:tc>
                <w:tcPr>
                  <w:tcW w:w="6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生产车间</w:t>
                  </w:r>
                </w:p>
              </w:tc>
              <w:tc>
                <w:tcPr>
                  <w:tcW w:w="106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鐓头机，2台（按点声源组预测）</w:t>
                  </w:r>
                </w:p>
              </w:tc>
              <w:tc>
                <w:tcPr>
                  <w:tcW w:w="712" w:type="dxa"/>
                  <w:shd w:val="clear" w:color="auto" w:fill="FFFFFF"/>
                  <w:tcMar>
                    <w:top w:w="0" w:type="dxa"/>
                    <w:left w:w="0" w:type="dxa"/>
                    <w:bottom w:w="0" w:type="dxa"/>
                    <w:right w:w="0" w:type="dxa"/>
                  </w:tcMar>
                  <w:vAlign w:val="center"/>
                </w:tcPr>
                <w:p>
                  <w:pPr>
                    <w:pStyle w:val="87"/>
                    <w:rPr>
                      <w:rFonts w:hint="eastAsia" w:ascii="Times New Roman" w:hAnsi="Times New Roman" w:eastAsia="宋体" w:cs="Times New Roman"/>
                      <w:lang w:eastAsia="zh-CN"/>
                    </w:rPr>
                  </w:pPr>
                  <w:r>
                    <w:rPr>
                      <w:rFonts w:ascii="Times New Roman" w:hAnsi="Times New Roman" w:cs="Times New Roman"/>
                      <w:sz w:val="20"/>
                      <w:szCs w:val="20"/>
                    </w:rPr>
                    <w:t>85（等效后：88.0</w:t>
                  </w:r>
                  <w:r>
                    <w:rPr>
                      <w:rFonts w:hint="eastAsia" w:ascii="Times New Roman" w:hAnsi="Times New Roman" w:cs="Times New Roman"/>
                      <w:sz w:val="20"/>
                      <w:szCs w:val="20"/>
                      <w:lang w:eastAsia="zh-CN"/>
                    </w:rPr>
                    <w:t>）</w:t>
                  </w:r>
                </w:p>
              </w:tc>
              <w:tc>
                <w:tcPr>
                  <w:tcW w:w="326" w:type="dxa"/>
                  <w:vMerge w:val="continue"/>
                  <w:shd w:val="clear" w:color="auto" w:fill="FFFFFF"/>
                  <w:tcMar>
                    <w:top w:w="0" w:type="dxa"/>
                    <w:left w:w="0" w:type="dxa"/>
                    <w:bottom w:w="0" w:type="dxa"/>
                    <w:right w:w="0" w:type="dxa"/>
                  </w:tcMar>
                  <w:vAlign w:val="center"/>
                </w:tcPr>
                <w:p>
                  <w:pPr>
                    <w:pStyle w:val="87"/>
                    <w:rPr>
                      <w:rFonts w:ascii="Times New Roman" w:hAnsi="Times New Roman" w:cs="Times New Roman"/>
                    </w:rPr>
                  </w:pP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27.1</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11.2</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15.9</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39.7</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71.0</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18.2</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70.5</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70.4</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70.4</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70.4</w:t>
                  </w:r>
                </w:p>
              </w:tc>
              <w:tc>
                <w:tcPr>
                  <w:tcW w:w="765"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hint="eastAsia" w:ascii="Times New Roman" w:hAnsi="Times New Roman" w:cs="Times New Roman"/>
                      <w:sz w:val="20"/>
                      <w:szCs w:val="20"/>
                    </w:rPr>
                    <w:t>2</w:t>
                  </w:r>
                  <w:r>
                    <w:rPr>
                      <w:rFonts w:ascii="Times New Roman" w:hAnsi="Times New Roman" w:cs="Times New Roman"/>
                      <w:sz w:val="20"/>
                      <w:szCs w:val="20"/>
                    </w:rPr>
                    <w:t>400</w:t>
                  </w: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29.5</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29.4</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5</w:t>
                  </w:r>
                </w:p>
              </w:tc>
              <w:tc>
                <w:tcPr>
                  <w:tcW w:w="6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生产车间</w:t>
                  </w:r>
                </w:p>
              </w:tc>
              <w:tc>
                <w:tcPr>
                  <w:tcW w:w="106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滚焊机，2台（按点声源组预测）</w:t>
                  </w:r>
                </w:p>
              </w:tc>
              <w:tc>
                <w:tcPr>
                  <w:tcW w:w="712" w:type="dxa"/>
                  <w:shd w:val="clear" w:color="auto" w:fill="FFFFFF"/>
                  <w:tcMar>
                    <w:top w:w="0" w:type="dxa"/>
                    <w:left w:w="0" w:type="dxa"/>
                    <w:bottom w:w="0" w:type="dxa"/>
                    <w:right w:w="0" w:type="dxa"/>
                  </w:tcMar>
                  <w:vAlign w:val="center"/>
                </w:tcPr>
                <w:p>
                  <w:pPr>
                    <w:pStyle w:val="87"/>
                    <w:rPr>
                      <w:rFonts w:hint="eastAsia" w:ascii="Times New Roman" w:hAnsi="Times New Roman" w:eastAsia="宋体" w:cs="Times New Roman"/>
                      <w:lang w:eastAsia="zh-CN"/>
                    </w:rPr>
                  </w:pPr>
                  <w:r>
                    <w:rPr>
                      <w:rFonts w:ascii="Times New Roman" w:hAnsi="Times New Roman" w:cs="Times New Roman"/>
                      <w:sz w:val="20"/>
                      <w:szCs w:val="20"/>
                    </w:rPr>
                    <w:t>80（等效后：83.0</w:t>
                  </w:r>
                  <w:r>
                    <w:rPr>
                      <w:rFonts w:hint="eastAsia" w:ascii="Times New Roman" w:hAnsi="Times New Roman" w:cs="Times New Roman"/>
                      <w:sz w:val="20"/>
                      <w:szCs w:val="20"/>
                      <w:lang w:eastAsia="zh-CN"/>
                    </w:rPr>
                    <w:t>）</w:t>
                  </w:r>
                </w:p>
              </w:tc>
              <w:tc>
                <w:tcPr>
                  <w:tcW w:w="326" w:type="dxa"/>
                  <w:vMerge w:val="continue"/>
                  <w:shd w:val="clear" w:color="auto" w:fill="FFFFFF"/>
                  <w:tcMar>
                    <w:top w:w="0" w:type="dxa"/>
                    <w:left w:w="0" w:type="dxa"/>
                    <w:bottom w:w="0" w:type="dxa"/>
                    <w:right w:w="0" w:type="dxa"/>
                  </w:tcMar>
                  <w:vAlign w:val="center"/>
                </w:tcPr>
                <w:p>
                  <w:pPr>
                    <w:pStyle w:val="87"/>
                    <w:rPr>
                      <w:rFonts w:ascii="Times New Roman" w:hAnsi="Times New Roman" w:cs="Times New Roman"/>
                    </w:rPr>
                  </w:pP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19.7</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-18.6</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23.3</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9.9</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63.6</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48.0</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65.4</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65.6</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65.4</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65.4</w:t>
                  </w:r>
                </w:p>
              </w:tc>
              <w:tc>
                <w:tcPr>
                  <w:tcW w:w="765"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hint="eastAsia" w:ascii="Times New Roman" w:hAnsi="Times New Roman" w:cs="Times New Roman"/>
                      <w:sz w:val="20"/>
                      <w:szCs w:val="20"/>
                    </w:rPr>
                    <w:t>2</w:t>
                  </w:r>
                  <w:r>
                    <w:rPr>
                      <w:rFonts w:ascii="Times New Roman" w:hAnsi="Times New Roman" w:cs="Times New Roman"/>
                      <w:sz w:val="20"/>
                      <w:szCs w:val="20"/>
                    </w:rPr>
                    <w:t>400</w:t>
                  </w: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24.4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24.6</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24.4</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24.4</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6</w:t>
                  </w:r>
                </w:p>
              </w:tc>
              <w:tc>
                <w:tcPr>
                  <w:tcW w:w="6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生产车间</w:t>
                  </w:r>
                </w:p>
              </w:tc>
              <w:tc>
                <w:tcPr>
                  <w:tcW w:w="106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离心机，3台（按点声源组预测）</w:t>
                  </w:r>
                </w:p>
              </w:tc>
              <w:tc>
                <w:tcPr>
                  <w:tcW w:w="712" w:type="dxa"/>
                  <w:shd w:val="clear" w:color="auto" w:fill="FFFFFF"/>
                  <w:tcMar>
                    <w:top w:w="0" w:type="dxa"/>
                    <w:left w:w="0" w:type="dxa"/>
                    <w:bottom w:w="0" w:type="dxa"/>
                    <w:right w:w="0" w:type="dxa"/>
                  </w:tcMar>
                  <w:vAlign w:val="center"/>
                </w:tcPr>
                <w:p>
                  <w:pPr>
                    <w:pStyle w:val="87"/>
                    <w:rPr>
                      <w:rFonts w:hint="eastAsia" w:ascii="Times New Roman" w:hAnsi="Times New Roman" w:eastAsia="宋体" w:cs="Times New Roman"/>
                      <w:lang w:eastAsia="zh-CN"/>
                    </w:rPr>
                  </w:pPr>
                  <w:r>
                    <w:rPr>
                      <w:rFonts w:ascii="Times New Roman" w:hAnsi="Times New Roman" w:cs="Times New Roman"/>
                      <w:sz w:val="20"/>
                      <w:szCs w:val="20"/>
                    </w:rPr>
                    <w:t>90（等效后：94.8</w:t>
                  </w:r>
                  <w:r>
                    <w:rPr>
                      <w:rFonts w:hint="eastAsia" w:ascii="Times New Roman" w:hAnsi="Times New Roman" w:cs="Times New Roman"/>
                      <w:sz w:val="20"/>
                      <w:szCs w:val="20"/>
                      <w:lang w:eastAsia="zh-CN"/>
                    </w:rPr>
                    <w:t>）</w:t>
                  </w:r>
                </w:p>
              </w:tc>
              <w:tc>
                <w:tcPr>
                  <w:tcW w:w="326" w:type="dxa"/>
                  <w:vMerge w:val="continue"/>
                  <w:shd w:val="clear" w:color="auto" w:fill="FFFFFF"/>
                  <w:tcMar>
                    <w:top w:w="0" w:type="dxa"/>
                    <w:left w:w="0" w:type="dxa"/>
                    <w:bottom w:w="0" w:type="dxa"/>
                    <w:right w:w="0" w:type="dxa"/>
                  </w:tcMar>
                  <w:vAlign w:val="center"/>
                </w:tcPr>
                <w:p>
                  <w:pPr>
                    <w:pStyle w:val="87"/>
                    <w:rPr>
                      <w:rFonts w:ascii="Times New Roman" w:hAnsi="Times New Roman" w:cs="Times New Roman"/>
                    </w:rPr>
                  </w:pP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-1.8</w:t>
                  </w:r>
                </w:p>
              </w:tc>
              <w:tc>
                <w:tcPr>
                  <w:tcW w:w="53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4.7</w:t>
                  </w:r>
                </w:p>
              </w:tc>
              <w:tc>
                <w:tcPr>
                  <w:tcW w:w="536"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44.8</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33.2</w:t>
                  </w:r>
                </w:p>
              </w:tc>
              <w:tc>
                <w:tcPr>
                  <w:tcW w:w="437"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42.1</w:t>
                  </w:r>
                </w:p>
              </w:tc>
              <w:tc>
                <w:tcPr>
                  <w:tcW w:w="44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24.7</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77.2</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77.2</w:t>
                  </w:r>
                </w:p>
              </w:tc>
              <w:tc>
                <w:tcPr>
                  <w:tcW w:w="42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77.2</w:t>
                  </w:r>
                </w:p>
              </w:tc>
              <w:tc>
                <w:tcPr>
                  <w:tcW w:w="434"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77.2</w:t>
                  </w:r>
                </w:p>
              </w:tc>
              <w:tc>
                <w:tcPr>
                  <w:tcW w:w="765"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hint="eastAsia" w:ascii="Times New Roman" w:hAnsi="Times New Roman" w:cs="Times New Roman"/>
                      <w:sz w:val="20"/>
                      <w:szCs w:val="20"/>
                    </w:rPr>
                    <w:t>2</w:t>
                  </w:r>
                  <w:r>
                    <w:rPr>
                      <w:rFonts w:ascii="Times New Roman" w:hAnsi="Times New Roman" w:cs="Times New Roman"/>
                      <w:sz w:val="20"/>
                      <w:szCs w:val="20"/>
                    </w:rPr>
                    <w:t>400</w:t>
                  </w:r>
                </w:p>
              </w:tc>
              <w:tc>
                <w:tcPr>
                  <w:tcW w:w="380"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1"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19"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41.0</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36.2</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36.2</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36.2</w:t>
                  </w:r>
                </w:p>
              </w:tc>
              <w:tc>
                <w:tcPr>
                  <w:tcW w:w="443"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36.2</w:t>
                  </w:r>
                </w:p>
              </w:tc>
              <w:tc>
                <w:tcPr>
                  <w:tcW w:w="612" w:type="dxa"/>
                  <w:shd w:val="clear" w:color="auto" w:fill="FFFFFF"/>
                  <w:tcMar>
                    <w:top w:w="0" w:type="dxa"/>
                    <w:left w:w="0" w:type="dxa"/>
                    <w:bottom w:w="0" w:type="dxa"/>
                    <w:right w:w="0" w:type="dxa"/>
                  </w:tcMar>
                  <w:vAlign w:val="center"/>
                </w:tcPr>
                <w:p>
                  <w:pPr>
                    <w:pStyle w:val="87"/>
                    <w:rPr>
                      <w:rFonts w:ascii="Times New Roman" w:hAnsi="Times New Roman" w:cs="Times New Roman"/>
                    </w:rPr>
                  </w:pPr>
                  <w:r>
                    <w:rPr>
                      <w:rFonts w:ascii="Times New Roman" w:hAnsi="Times New Roman" w:cs="Times New Roman"/>
                      <w:sz w:val="20"/>
                      <w:szCs w:val="20"/>
                    </w:rPr>
                    <w:t>1</w:t>
                  </w:r>
                </w:p>
              </w:tc>
            </w:tr>
          </w:tbl>
          <w:p>
            <w:pPr>
              <w:rPr>
                <w:kern w:val="0"/>
                <w:sz w:val="22"/>
                <w:szCs w:val="22"/>
              </w:rPr>
            </w:pPr>
            <w:r>
              <w:rPr>
                <w:bCs/>
                <w:sz w:val="21"/>
                <w:szCs w:val="21"/>
              </w:rPr>
              <w:t>表中坐标以厂界中心（86.2726593，41.365562）为坐标原点，正东向为X轴正方向，正北向为Y轴正方向</w:t>
            </w:r>
          </w:p>
        </w:tc>
      </w:tr>
    </w:tbl>
    <w:p>
      <w:pPr>
        <w:adjustRightInd w:val="0"/>
        <w:snapToGrid w:val="0"/>
        <w:jc w:val="center"/>
        <w:rPr>
          <w:bCs/>
          <w:szCs w:val="21"/>
        </w:rPr>
        <w:sectPr>
          <w:pgSz w:w="16840" w:h="11907" w:orient="landscape"/>
          <w:pgMar w:top="1531" w:right="1985" w:bottom="1531" w:left="1701" w:header="851" w:footer="851" w:gutter="0"/>
          <w:pgBorders>
            <w:top w:val="none" w:sz="0" w:space="0"/>
            <w:left w:val="none" w:sz="0" w:space="0"/>
            <w:bottom w:val="none" w:sz="0" w:space="0"/>
            <w:right w:val="none" w:sz="0" w:space="0"/>
          </w:pgBorders>
          <w:cols w:space="720" w:num="1"/>
          <w:docGrid w:linePitch="312" w:charSpace="0"/>
        </w:sectPr>
      </w:pPr>
    </w:p>
    <w:tbl>
      <w:tblPr>
        <w:tblStyle w:val="26"/>
        <w:tblW w:w="9165" w:type="dxa"/>
        <w:jc w:val="center"/>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8578"/>
      </w:tblGrid>
      <w:tr>
        <w:tblPrEx>
          <w:tblBorders>
            <w:top w:val="single" w:color="auto" w:sz="8" w:space="0"/>
            <w:left w:val="single" w:color="auto" w:sz="8" w:space="0"/>
            <w:bottom w:val="single" w:color="auto" w:sz="12"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87" w:type="dxa"/>
            <w:tcMar>
              <w:left w:w="28" w:type="dxa"/>
              <w:right w:w="28" w:type="dxa"/>
            </w:tcMar>
            <w:vAlign w:val="center"/>
          </w:tcPr>
          <w:p>
            <w:pPr>
              <w:adjustRightInd w:val="0"/>
              <w:snapToGrid w:val="0"/>
              <w:jc w:val="center"/>
              <w:rPr>
                <w:b/>
                <w:bCs w:val="0"/>
                <w:szCs w:val="21"/>
              </w:rPr>
            </w:pPr>
            <w:r>
              <w:rPr>
                <w:b/>
                <w:bCs w:val="0"/>
                <w:szCs w:val="21"/>
              </w:rPr>
              <w:t>运营</w:t>
            </w:r>
          </w:p>
          <w:p>
            <w:pPr>
              <w:adjustRightInd w:val="0"/>
              <w:snapToGrid w:val="0"/>
              <w:jc w:val="center"/>
              <w:rPr>
                <w:b/>
                <w:bCs w:val="0"/>
                <w:szCs w:val="21"/>
              </w:rPr>
            </w:pPr>
            <w:r>
              <w:rPr>
                <w:b/>
                <w:bCs w:val="0"/>
                <w:szCs w:val="21"/>
              </w:rPr>
              <w:t>期环</w:t>
            </w:r>
          </w:p>
          <w:p>
            <w:pPr>
              <w:adjustRightInd w:val="0"/>
              <w:snapToGrid w:val="0"/>
              <w:jc w:val="center"/>
              <w:rPr>
                <w:b/>
                <w:bCs w:val="0"/>
                <w:szCs w:val="21"/>
              </w:rPr>
            </w:pPr>
            <w:r>
              <w:rPr>
                <w:b/>
                <w:bCs w:val="0"/>
                <w:szCs w:val="21"/>
              </w:rPr>
              <w:t>境影</w:t>
            </w:r>
          </w:p>
          <w:p>
            <w:pPr>
              <w:adjustRightInd w:val="0"/>
              <w:snapToGrid w:val="0"/>
              <w:jc w:val="center"/>
              <w:rPr>
                <w:b/>
                <w:bCs w:val="0"/>
                <w:szCs w:val="21"/>
              </w:rPr>
            </w:pPr>
            <w:r>
              <w:rPr>
                <w:b/>
                <w:bCs w:val="0"/>
                <w:szCs w:val="21"/>
              </w:rPr>
              <w:t>响和</w:t>
            </w:r>
          </w:p>
          <w:p>
            <w:pPr>
              <w:adjustRightInd w:val="0"/>
              <w:snapToGrid w:val="0"/>
              <w:jc w:val="center"/>
              <w:rPr>
                <w:b/>
                <w:bCs w:val="0"/>
                <w:szCs w:val="21"/>
              </w:rPr>
            </w:pPr>
            <w:r>
              <w:rPr>
                <w:b/>
                <w:bCs w:val="0"/>
                <w:szCs w:val="21"/>
              </w:rPr>
              <w:t>保护</w:t>
            </w:r>
          </w:p>
          <w:p>
            <w:pPr>
              <w:adjustRightInd w:val="0"/>
              <w:snapToGrid w:val="0"/>
              <w:jc w:val="center"/>
              <w:rPr>
                <w:bCs/>
                <w:szCs w:val="21"/>
              </w:rPr>
            </w:pPr>
            <w:r>
              <w:rPr>
                <w:b/>
                <w:bCs w:val="0"/>
                <w:szCs w:val="21"/>
              </w:rPr>
              <w:t>措施</w:t>
            </w:r>
          </w:p>
        </w:tc>
        <w:tc>
          <w:tcPr>
            <w:tcW w:w="8578" w:type="dxa"/>
            <w:vAlign w:val="center"/>
          </w:tcPr>
          <w:p>
            <w:pPr>
              <w:ind w:firstLine="482" w:firstLineChars="200"/>
              <w:rPr>
                <w:b/>
                <w:bCs/>
              </w:rPr>
            </w:pPr>
            <w:r>
              <w:rPr>
                <w:b/>
                <w:bCs/>
              </w:rPr>
              <w:t>3.2噪声环境影响及达标分析</w:t>
            </w:r>
          </w:p>
          <w:p>
            <w:pPr>
              <w:ind w:firstLine="480" w:firstLineChars="200"/>
              <w:rPr>
                <w:bCs/>
              </w:rPr>
            </w:pPr>
            <w:r>
              <w:rPr>
                <w:bCs/>
              </w:rPr>
              <w:t>（1）噪声排放标准</w:t>
            </w:r>
          </w:p>
          <w:p>
            <w:pPr>
              <w:adjustRightInd w:val="0"/>
              <w:snapToGrid w:val="0"/>
              <w:spacing w:line="384" w:lineRule="auto"/>
              <w:ind w:firstLine="480" w:firstLineChars="200"/>
            </w:pPr>
            <w:r>
              <w:t>本项目区厂界噪声执行《工业企业厂界环境噪声排放标准》（GB12348-2008）中的3类标准</w:t>
            </w:r>
          </w:p>
          <w:p>
            <w:pPr>
              <w:adjustRightInd w:val="0"/>
              <w:snapToGrid w:val="0"/>
              <w:spacing w:line="384" w:lineRule="auto"/>
              <w:ind w:firstLine="480" w:firstLineChars="200"/>
            </w:pPr>
            <w:r>
              <w:t>（2）预测方法</w:t>
            </w:r>
          </w:p>
          <w:p>
            <w:pPr>
              <w:adjustRightInd w:val="0"/>
              <w:snapToGrid w:val="0"/>
              <w:spacing w:line="384" w:lineRule="auto"/>
              <w:ind w:firstLine="480" w:firstLineChars="200"/>
            </w:pPr>
            <w:r>
              <w:t>由于在声波传播的过程中，通过距离衰减、空气吸收衰减到达厂界外，故实际衰减量要低于其预测衰减量，即实际噪声值将略低于其预测值。</w:t>
            </w:r>
          </w:p>
          <w:p>
            <w:pPr>
              <w:adjustRightInd w:val="0"/>
              <w:snapToGrid w:val="0"/>
              <w:spacing w:line="384" w:lineRule="auto"/>
              <w:ind w:firstLine="480" w:firstLineChars="200"/>
            </w:pPr>
            <w:r>
              <w:rPr>
                <w:bCs/>
              </w:rPr>
              <w:t>（3）</w:t>
            </w:r>
            <w:r>
              <w:t>噪声影响预测模式</w:t>
            </w:r>
          </w:p>
          <w:p>
            <w:pPr>
              <w:ind w:firstLine="480" w:firstLineChars="200"/>
              <w:rPr>
                <w:lang w:bidi="ar"/>
              </w:rPr>
            </w:pPr>
            <w:r>
              <w:rPr>
                <w:lang w:bidi="ar"/>
              </w:rPr>
              <w:t>噪声源基本是在半自由场中的点声源传播，采用距离衰减公式，可预测不同距离处的等效声级，即：</w:t>
            </w:r>
          </w:p>
          <w:p>
            <w:pPr>
              <w:adjustRightInd w:val="0"/>
              <w:snapToGrid w:val="0"/>
              <w:ind w:firstLine="480"/>
              <w:jc w:val="center"/>
              <w:rPr>
                <w:lang w:bidi="ar"/>
              </w:rPr>
            </w:pPr>
            <w:r>
              <w:rPr>
                <w:position w:val="-10"/>
                <w:lang w:bidi="ar"/>
              </w:rPr>
              <w:object>
                <v:shape id="_x0000_i1027" o:spt="75" type="#_x0000_t75" style="height:18pt;width:146pt;" o:ole="t" filled="f" o:preferrelative="t" stroked="f" coordsize="21600,21600">
                  <v:path/>
                  <v:fill on="f" focussize="0,0"/>
                  <v:stroke on="f" joinstyle="miter"/>
                  <v:imagedata r:id="rId14" o:title=""/>
                  <o:lock v:ext="edit" aspectratio="t"/>
                  <w10:wrap type="none"/>
                  <w10:anchorlock/>
                </v:shape>
                <o:OLEObject Type="Embed" ProgID="Equations" ShapeID="_x0000_i1027" DrawAspect="Content" ObjectID="_1468075727" r:id="rId13">
                  <o:LockedField>false</o:LockedField>
                </o:OLEObject>
              </w:object>
            </w:r>
          </w:p>
          <w:p>
            <w:pPr>
              <w:ind w:firstLine="480" w:firstLineChars="200"/>
              <w:rPr>
                <w:lang w:bidi="ar"/>
              </w:rPr>
            </w:pPr>
            <w:r>
              <w:rPr>
                <w:lang w:bidi="ar"/>
              </w:rPr>
              <w:t>式中：LeP—不同距离处的等效声级，dB（A）；</w:t>
            </w:r>
          </w:p>
          <w:p>
            <w:pPr>
              <w:ind w:firstLine="1200" w:firstLineChars="500"/>
              <w:rPr>
                <w:lang w:bidi="ar"/>
              </w:rPr>
            </w:pPr>
            <w:r>
              <w:rPr>
                <w:lang w:bidi="ar"/>
              </w:rPr>
              <w:t>LwA—噪声源声功率，dB（A）；</w:t>
            </w:r>
          </w:p>
          <w:p>
            <w:pPr>
              <w:ind w:firstLine="1200" w:firstLineChars="500"/>
              <w:rPr>
                <w:lang w:bidi="ar"/>
              </w:rPr>
            </w:pPr>
            <w:r>
              <w:rPr>
                <w:lang w:bidi="ar"/>
              </w:rPr>
              <w:t>r—不同距离，m；</w:t>
            </w:r>
          </w:p>
          <w:p>
            <w:pPr>
              <w:ind w:firstLine="1200" w:firstLineChars="500"/>
              <w:rPr>
                <w:lang w:bidi="ar"/>
              </w:rPr>
            </w:pPr>
            <w:r>
              <w:rPr>
                <w:lang w:bidi="ar"/>
              </w:rPr>
              <w:t>ro—距声源1m处，m；</w:t>
            </w:r>
          </w:p>
          <w:p>
            <w:pPr>
              <w:ind w:firstLine="1200" w:firstLineChars="500"/>
              <w:rPr>
                <w:lang w:bidi="ar"/>
              </w:rPr>
            </w:pPr>
            <w:r>
              <w:rPr>
                <w:lang w:bidi="ar"/>
              </w:rPr>
              <w:t>Ae—环境因子（取0）。</w:t>
            </w:r>
          </w:p>
          <w:p>
            <w:pPr>
              <w:ind w:firstLine="480" w:firstLineChars="200"/>
            </w:pPr>
            <w:r>
              <w:t>点声源叠加模式：</w:t>
            </w:r>
          </w:p>
          <w:p>
            <w:pPr>
              <w:ind w:firstLine="480" w:firstLineChars="200"/>
              <w:jc w:val="center"/>
              <w:rPr>
                <w:rFonts w:hint="eastAsia" w:eastAsia="宋体"/>
                <w:lang w:eastAsia="zh-CN"/>
              </w:rPr>
            </w:pPr>
            <w:r>
              <w:t>L</w:t>
            </w:r>
            <w:r>
              <w:rPr>
                <w:vertAlign w:val="subscript"/>
              </w:rPr>
              <w:t>A</w:t>
            </w:r>
            <w:r>
              <w:t>=10Lg</w:t>
            </w:r>
            <w:r>
              <w:rPr>
                <w:rFonts w:hint="eastAsia"/>
                <w:lang w:eastAsia="zh-CN"/>
              </w:rPr>
              <w:t>（</w:t>
            </w:r>
            <w:r>
              <w:t>∑</w:t>
            </w:r>
            <w:r>
              <w:rPr>
                <w:vertAlign w:val="superscript"/>
              </w:rPr>
              <w:t>n</w:t>
            </w:r>
            <w:r>
              <w:rPr>
                <w:vertAlign w:val="subscript"/>
              </w:rPr>
              <w:t>i=1</w:t>
            </w:r>
            <w:r>
              <w:t>10</w:t>
            </w:r>
            <w:r>
              <w:rPr>
                <w:vertAlign w:val="superscript"/>
              </w:rPr>
              <w:t>0.1Li</w:t>
            </w:r>
            <w:r>
              <w:rPr>
                <w:rFonts w:hint="eastAsia"/>
                <w:lang w:eastAsia="zh-CN"/>
              </w:rPr>
              <w:t>）</w:t>
            </w:r>
          </w:p>
          <w:p>
            <w:pPr>
              <w:ind w:firstLine="480" w:firstLineChars="200"/>
            </w:pPr>
            <w:r>
              <w:t>式中：L</w:t>
            </w:r>
            <w:r>
              <w:rPr>
                <w:vertAlign w:val="subscript"/>
              </w:rPr>
              <w:t>A</w:t>
            </w:r>
            <w:r>
              <w:t>——各点声源叠加后的噪声预测值，dB；</w:t>
            </w:r>
          </w:p>
          <w:p>
            <w:pPr>
              <w:ind w:firstLine="1200" w:firstLineChars="500"/>
            </w:pPr>
            <w:r>
              <w:t>L</w:t>
            </w:r>
            <w:r>
              <w:rPr>
                <w:vertAlign w:val="subscript"/>
              </w:rPr>
              <w:t>i</w:t>
            </w:r>
            <w:r>
              <w:t>——各噪声源经距离衰减至预测点处的噪声值，dB；</w:t>
            </w:r>
          </w:p>
          <w:p>
            <w:pPr>
              <w:ind w:firstLine="1200" w:firstLineChars="500"/>
            </w:pPr>
            <w:r>
              <w:t>n——声源个数。</w:t>
            </w:r>
          </w:p>
          <w:p>
            <w:pPr>
              <w:ind w:firstLine="480" w:firstLineChars="200"/>
              <w:rPr>
                <w:lang w:bidi="ar"/>
              </w:rPr>
            </w:pPr>
            <w:r>
              <w:rPr>
                <w:lang w:bidi="ar"/>
              </w:rPr>
              <w:t>计算结果详见表4-12。</w:t>
            </w:r>
          </w:p>
          <w:p>
            <w:pPr>
              <w:pStyle w:val="38"/>
              <w:rPr>
                <w:snapToGrid w:val="0"/>
                <w:kern w:val="0"/>
              </w:rPr>
            </w:pPr>
            <w:r>
              <w:rPr>
                <w:bCs/>
              </w:rPr>
              <w:t>表</w:t>
            </w:r>
            <w:r>
              <w:rPr>
                <w:bCs/>
                <w:lang w:bidi="ar"/>
              </w:rPr>
              <w:t>4-12</w:t>
            </w:r>
            <w:r>
              <w:t>厂界噪声预测结果</w:t>
            </w:r>
          </w:p>
          <w:tbl>
            <w:tblPr>
              <w:tblStyle w:val="26"/>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91"/>
              <w:gridCol w:w="1088"/>
              <w:gridCol w:w="1103"/>
              <w:gridCol w:w="871"/>
              <w:gridCol w:w="1211"/>
              <w:gridCol w:w="1168"/>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r>
                    <w:rPr>
                      <w:rFonts w:ascii="Times New Roman" w:hAnsi="Times New Roman" w:cs="Times New Roman"/>
                    </w:rPr>
                    <w:t>预测方位</w:t>
                  </w:r>
                </w:p>
              </w:tc>
              <w:tc>
                <w:tcPr>
                  <w:tcW w:w="3282" w:type="dxa"/>
                  <w:gridSpan w:val="3"/>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r>
                    <w:rPr>
                      <w:rFonts w:ascii="Times New Roman" w:hAnsi="Times New Roman" w:cs="Times New Roman"/>
                    </w:rPr>
                    <w:t>最大值点空间相对位置/m</w:t>
                  </w:r>
                </w:p>
              </w:tc>
              <w:tc>
                <w:tcPr>
                  <w:tcW w:w="871" w:type="dxa"/>
                  <w:vMerge w:val="restart"/>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r>
                    <w:rPr>
                      <w:rFonts w:ascii="Times New Roman" w:hAnsi="Times New Roman" w:cs="Times New Roman"/>
                    </w:rPr>
                    <w:t>时段</w:t>
                  </w:r>
                </w:p>
              </w:tc>
              <w:tc>
                <w:tcPr>
                  <w:tcW w:w="1211" w:type="dxa"/>
                  <w:vMerge w:val="restart"/>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r>
                    <w:rPr>
                      <w:rFonts w:ascii="Times New Roman" w:hAnsi="Times New Roman" w:cs="Times New Roman"/>
                    </w:rPr>
                    <w:t>贡献值（dB</w:t>
                  </w:r>
                  <w:r>
                    <w:rPr>
                      <w:rFonts w:hint="eastAsia" w:ascii="Times New Roman" w:hAnsi="Times New Roman" w:cs="Times New Roman"/>
                      <w:lang w:eastAsia="zh-CN"/>
                    </w:rPr>
                    <w:t>（</w:t>
                  </w:r>
                  <w:r>
                    <w:rPr>
                      <w:rFonts w:ascii="Times New Roman" w:hAnsi="Times New Roman" w:cs="Times New Roman"/>
                    </w:rPr>
                    <w:t>A</w:t>
                  </w:r>
                  <w:r>
                    <w:rPr>
                      <w:rFonts w:hint="eastAsia" w:ascii="Times New Roman" w:hAnsi="Times New Roman" w:cs="Times New Roman"/>
                      <w:lang w:eastAsia="zh-CN"/>
                    </w:rPr>
                    <w:t>）</w:t>
                  </w:r>
                  <w:r>
                    <w:rPr>
                      <w:rFonts w:ascii="Times New Roman" w:hAnsi="Times New Roman" w:cs="Times New Roman"/>
                    </w:rPr>
                    <w:t>）</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r>
                    <w:rPr>
                      <w:rFonts w:ascii="Times New Roman" w:hAnsi="Times New Roman" w:cs="Times New Roman"/>
                    </w:rPr>
                    <w:t>标准限值（dB</w:t>
                  </w:r>
                  <w:r>
                    <w:rPr>
                      <w:rFonts w:hint="eastAsia" w:ascii="Times New Roman" w:hAnsi="Times New Roman" w:cs="Times New Roman"/>
                      <w:lang w:eastAsia="zh-CN"/>
                    </w:rPr>
                    <w:t>（</w:t>
                  </w:r>
                  <w:r>
                    <w:rPr>
                      <w:rFonts w:ascii="Times New Roman" w:hAnsi="Times New Roman" w:cs="Times New Roman"/>
                    </w:rPr>
                    <w:t>A</w:t>
                  </w:r>
                  <w:r>
                    <w:rPr>
                      <w:rFonts w:hint="eastAsia" w:ascii="Times New Roman" w:hAnsi="Times New Roman" w:cs="Times New Roman"/>
                      <w:lang w:eastAsia="zh-CN"/>
                    </w:rPr>
                    <w:t>）</w:t>
                  </w:r>
                  <w:r>
                    <w:rPr>
                      <w:rFonts w:ascii="Times New Roman" w:hAnsi="Times New Roman" w:cs="Times New Roman"/>
                    </w:rPr>
                    <w:t>）</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r>
                    <w:rPr>
                      <w:rFonts w:ascii="Times New Roman" w:hAnsi="Times New Roman" w:cs="Times New Roma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rPr>
                    <w:t>X</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rPr>
                    <w:t>Y</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rPr>
                    <w:t>Z</w:t>
                  </w: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p>
              </w:tc>
              <w:tc>
                <w:tcPr>
                  <w:tcW w:w="1211"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pStyle w:val="87"/>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restart"/>
                  <w:tcBorders>
                    <w:top w:val="nil"/>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sz w:val="22"/>
                      <w:szCs w:val="22"/>
                    </w:rPr>
                  </w:pPr>
                  <w:r>
                    <w:rPr>
                      <w:rFonts w:ascii="Times New Roman" w:hAnsi="Times New Roman" w:cs="Times New Roman"/>
                      <w:sz w:val="20"/>
                      <w:szCs w:val="20"/>
                    </w:rPr>
                    <w:t>东侧</w:t>
                  </w: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52.5</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0.7</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昼间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37.2</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65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continue"/>
                  <w:tcBorders>
                    <w:top w:val="nil"/>
                    <w:left w:val="single" w:color="auto" w:sz="4" w:space="0"/>
                    <w:bottom w:val="single" w:color="auto" w:sz="4" w:space="0"/>
                    <w:right w:val="single" w:color="auto" w:sz="4" w:space="0"/>
                  </w:tcBorders>
                  <w:vAlign w:val="center"/>
                </w:tcPr>
                <w:p>
                  <w:pPr>
                    <w:pStyle w:val="87"/>
                    <w:rPr>
                      <w:rFonts w:ascii="Times New Roman" w:hAnsi="Times New Roman" w:cs="Times New Roman"/>
                      <w:sz w:val="22"/>
                      <w:szCs w:val="22"/>
                    </w:rPr>
                  </w:pP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52.5</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0.7</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夜间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37.2</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restart"/>
                  <w:tcBorders>
                    <w:top w:val="nil"/>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南侧</w:t>
                  </w: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-53</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-56.1</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昼间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35.8</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65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continue"/>
                  <w:tcBorders>
                    <w:top w:val="nil"/>
                    <w:left w:val="single" w:color="auto" w:sz="4" w:space="0"/>
                    <w:bottom w:val="single" w:color="auto" w:sz="4" w:space="0"/>
                    <w:right w:val="single" w:color="auto" w:sz="4" w:space="0"/>
                  </w:tcBorders>
                  <w:vAlign w:val="center"/>
                </w:tcPr>
                <w:p>
                  <w:pPr>
                    <w:pStyle w:val="87"/>
                    <w:rPr>
                      <w:rFonts w:ascii="Times New Roman" w:hAnsi="Times New Roman" w:cs="Times New Roman"/>
                      <w:sz w:val="22"/>
                      <w:szCs w:val="22"/>
                    </w:rPr>
                  </w:pP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-53</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-56.1</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夜间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35.8</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restart"/>
                  <w:tcBorders>
                    <w:top w:val="nil"/>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西侧</w:t>
                  </w: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-53</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-8.1</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昼间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39.9</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65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continue"/>
                  <w:tcBorders>
                    <w:top w:val="nil"/>
                    <w:left w:val="single" w:color="auto" w:sz="4" w:space="0"/>
                    <w:bottom w:val="single" w:color="auto" w:sz="4" w:space="0"/>
                    <w:right w:val="single" w:color="auto" w:sz="4" w:space="0"/>
                  </w:tcBorders>
                  <w:vAlign w:val="center"/>
                </w:tcPr>
                <w:p>
                  <w:pPr>
                    <w:pStyle w:val="87"/>
                    <w:rPr>
                      <w:rFonts w:ascii="Times New Roman" w:hAnsi="Times New Roman" w:cs="Times New Roman"/>
                      <w:sz w:val="22"/>
                      <w:szCs w:val="22"/>
                    </w:rPr>
                  </w:pP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-53</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-8.1</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夜间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39.9</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restart"/>
                  <w:tcBorders>
                    <w:top w:val="nil"/>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北侧</w:t>
                  </w: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-53</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51.9</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昼间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34.3</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65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43" w:type="dxa"/>
                  <w:vMerge w:val="continue"/>
                  <w:tcBorders>
                    <w:top w:val="nil"/>
                    <w:left w:val="single" w:color="auto" w:sz="4" w:space="0"/>
                    <w:bottom w:val="single" w:color="auto" w:sz="4" w:space="0"/>
                    <w:right w:val="single" w:color="auto" w:sz="4" w:space="0"/>
                  </w:tcBorders>
                  <w:vAlign w:val="center"/>
                </w:tcPr>
                <w:p>
                  <w:pPr>
                    <w:pStyle w:val="87"/>
                    <w:rPr>
                      <w:rFonts w:ascii="Times New Roman" w:hAnsi="Times New Roman" w:cs="Times New Roman"/>
                      <w:sz w:val="22"/>
                      <w:szCs w:val="22"/>
                    </w:rPr>
                  </w:pPr>
                </w:p>
              </w:tc>
              <w:tc>
                <w:tcPr>
                  <w:tcW w:w="10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-53</w:t>
                  </w:r>
                </w:p>
              </w:tc>
              <w:tc>
                <w:tcPr>
                  <w:tcW w:w="1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51.9</w:t>
                  </w:r>
                </w:p>
              </w:tc>
              <w:tc>
                <w:tcPr>
                  <w:tcW w:w="1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1.2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夜间</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34.3</w:t>
                  </w:r>
                </w:p>
              </w:tc>
              <w:tc>
                <w:tcPr>
                  <w:tcW w:w="11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55</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7"/>
                    <w:rPr>
                      <w:rFonts w:ascii="Times New Roman" w:hAnsi="Times New Roman" w:cs="Times New Roman"/>
                    </w:rPr>
                  </w:pPr>
                  <w:r>
                    <w:rPr>
                      <w:rFonts w:ascii="Times New Roman" w:hAnsi="Times New Roman" w:cs="Times New Roman"/>
                      <w:sz w:val="20"/>
                      <w:szCs w:val="20"/>
                    </w:rPr>
                    <w:t>达标</w:t>
                  </w:r>
                </w:p>
              </w:tc>
            </w:tr>
          </w:tbl>
          <w:p>
            <w:pPr>
              <w:ind w:firstLine="480" w:firstLineChars="200"/>
              <w:rPr>
                <w:szCs w:val="21"/>
              </w:rPr>
            </w:pPr>
            <w:r>
              <w:rPr>
                <w:szCs w:val="21"/>
              </w:rPr>
              <w:t>由上表结果可知，项目厂界噪声能够满足《工业企业厂界环境噪声排放标准》（GB12348-2008）中的昼间与夜间3类标准的要求，故经过距离衰减后厂界噪声排放能够达到其标准的要求。因此，项目区内的噪声对周围声环境影响较小。</w:t>
            </w:r>
          </w:p>
          <w:p>
            <w:pPr>
              <w:adjustRightInd w:val="0"/>
              <w:snapToGrid w:val="0"/>
              <w:ind w:firstLine="480"/>
              <w:rPr>
                <w:szCs w:val="21"/>
              </w:rPr>
            </w:pPr>
            <w:r>
              <w:rPr>
                <w:szCs w:val="21"/>
                <w:lang w:bidi="ar"/>
              </w:rPr>
              <w:t>（4）噪声防治措施</w:t>
            </w:r>
          </w:p>
          <w:p>
            <w:pPr>
              <w:ind w:firstLine="480" w:firstLineChars="200"/>
              <w:rPr>
                <w:kern w:val="0"/>
                <w:szCs w:val="21"/>
                <w:lang w:bidi="ar"/>
              </w:rPr>
            </w:pPr>
            <w:r>
              <w:rPr>
                <w:kern w:val="0"/>
                <w:szCs w:val="21"/>
                <w:lang w:bidi="ar"/>
              </w:rPr>
              <w:t>为了控制噪声污染，必须从降低噪声源强度和控制传播途径上进行治理，建议采取如下措施控制噪声：</w:t>
            </w:r>
          </w:p>
          <w:p>
            <w:pPr>
              <w:ind w:firstLine="480" w:firstLineChars="200"/>
              <w:rPr>
                <w:kern w:val="0"/>
                <w:szCs w:val="21"/>
                <w:lang w:bidi="ar"/>
              </w:rPr>
            </w:pPr>
            <w:r>
              <w:rPr>
                <w:kern w:val="0"/>
                <w:szCs w:val="21"/>
                <w:lang w:bidi="ar"/>
              </w:rPr>
              <w:t>1）对车间进行优化布局，选用低噪声设备，对机械设备采取减振等措施进行控制；</w:t>
            </w:r>
          </w:p>
          <w:p>
            <w:pPr>
              <w:ind w:firstLine="480" w:firstLineChars="200"/>
              <w:rPr>
                <w:kern w:val="0"/>
                <w:szCs w:val="21"/>
                <w:lang w:bidi="ar"/>
              </w:rPr>
            </w:pPr>
            <w:r>
              <w:rPr>
                <w:kern w:val="0"/>
                <w:szCs w:val="21"/>
                <w:lang w:bidi="ar"/>
              </w:rPr>
              <w:t>2）加强设备日常检修和维护，保证设备正常运转；</w:t>
            </w:r>
          </w:p>
          <w:p>
            <w:pPr>
              <w:ind w:firstLine="480" w:firstLineChars="200"/>
              <w:rPr>
                <w:kern w:val="0"/>
                <w:szCs w:val="21"/>
                <w:lang w:bidi="ar"/>
              </w:rPr>
            </w:pPr>
            <w:r>
              <w:rPr>
                <w:kern w:val="0"/>
                <w:szCs w:val="21"/>
                <w:lang w:bidi="ar"/>
              </w:rPr>
              <w:t>3）同时加强生产管理，教育员工文明生产，减少人为因素造成的噪声，合理安排生产。</w:t>
            </w:r>
          </w:p>
          <w:p>
            <w:pPr>
              <w:adjustRightInd w:val="0"/>
              <w:snapToGrid w:val="0"/>
              <w:ind w:firstLine="482" w:firstLineChars="200"/>
              <w:rPr>
                <w:b/>
                <w:bCs/>
                <w:szCs w:val="21"/>
                <w:lang w:bidi="ar"/>
              </w:rPr>
            </w:pPr>
            <w:r>
              <w:rPr>
                <w:b/>
                <w:bCs/>
                <w:szCs w:val="21"/>
                <w:lang w:bidi="ar"/>
              </w:rPr>
              <w:t>3.3监测计划</w:t>
            </w:r>
          </w:p>
          <w:p>
            <w:pPr>
              <w:adjustRightInd w:val="0"/>
              <w:snapToGrid w:val="0"/>
              <w:ind w:firstLine="480" w:firstLineChars="200"/>
              <w:rPr>
                <w:b/>
                <w:bCs/>
                <w:szCs w:val="21"/>
                <w:lang w:bidi="ar"/>
              </w:rPr>
            </w:pPr>
            <w:r>
              <w:rPr>
                <w:szCs w:val="21"/>
                <w:lang w:bidi="ar"/>
              </w:rPr>
              <w:t>根据《排污单位自行监测技术指南总则》</w:t>
            </w:r>
            <w:r>
              <w:rPr>
                <w:rFonts w:hint="eastAsia"/>
                <w:szCs w:val="21"/>
                <w:lang w:eastAsia="zh-CN" w:bidi="ar"/>
              </w:rPr>
              <w:t>（</w:t>
            </w:r>
            <w:r>
              <w:rPr>
                <w:szCs w:val="21"/>
                <w:lang w:bidi="ar"/>
              </w:rPr>
              <w:t>HJ819-2017</w:t>
            </w:r>
            <w:r>
              <w:rPr>
                <w:rFonts w:hint="eastAsia"/>
                <w:szCs w:val="21"/>
                <w:lang w:eastAsia="zh-CN" w:bidi="ar"/>
              </w:rPr>
              <w:t>）</w:t>
            </w:r>
            <w:r>
              <w:rPr>
                <w:szCs w:val="21"/>
                <w:lang w:bidi="ar"/>
              </w:rPr>
              <w:t>，其监测内容及频次见下表。噪声监测计划具体如表4-13所示。</w:t>
            </w:r>
          </w:p>
          <w:p>
            <w:pPr>
              <w:pStyle w:val="38"/>
            </w:pPr>
            <w:r>
              <w:rPr>
                <w:lang w:bidi="ar"/>
              </w:rPr>
              <w:t>表4-13项目环境监测计划表</w:t>
            </w:r>
          </w:p>
          <w:tbl>
            <w:tblPr>
              <w:tblStyle w:val="26"/>
              <w:tblW w:w="809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472"/>
              <w:gridCol w:w="1774"/>
              <w:gridCol w:w="35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5" w:type="dxa"/>
                  <w:vAlign w:val="center"/>
                </w:tcPr>
                <w:p>
                  <w:pPr>
                    <w:pStyle w:val="87"/>
                    <w:rPr>
                      <w:rFonts w:ascii="Times New Roman" w:hAnsi="Times New Roman" w:cs="Times New Roman"/>
                    </w:rPr>
                  </w:pPr>
                  <w:r>
                    <w:rPr>
                      <w:rFonts w:ascii="Times New Roman" w:hAnsi="Times New Roman" w:cs="Times New Roman"/>
                      <w:lang w:bidi="ar"/>
                    </w:rPr>
                    <w:t>监测点</w:t>
                  </w:r>
                </w:p>
              </w:tc>
              <w:tc>
                <w:tcPr>
                  <w:tcW w:w="1472" w:type="dxa"/>
                  <w:vAlign w:val="center"/>
                </w:tcPr>
                <w:p>
                  <w:pPr>
                    <w:pStyle w:val="87"/>
                    <w:rPr>
                      <w:rFonts w:ascii="Times New Roman" w:hAnsi="Times New Roman" w:cs="Times New Roman"/>
                    </w:rPr>
                  </w:pPr>
                  <w:r>
                    <w:rPr>
                      <w:rFonts w:ascii="Times New Roman" w:hAnsi="Times New Roman" w:cs="Times New Roman"/>
                      <w:lang w:bidi="ar"/>
                    </w:rPr>
                    <w:t>监测频次</w:t>
                  </w:r>
                </w:p>
              </w:tc>
              <w:tc>
                <w:tcPr>
                  <w:tcW w:w="1774" w:type="dxa"/>
                  <w:vAlign w:val="center"/>
                </w:tcPr>
                <w:p>
                  <w:pPr>
                    <w:pStyle w:val="87"/>
                    <w:rPr>
                      <w:rFonts w:ascii="Times New Roman" w:hAnsi="Times New Roman" w:cs="Times New Roman"/>
                    </w:rPr>
                  </w:pPr>
                  <w:r>
                    <w:rPr>
                      <w:rFonts w:ascii="Times New Roman" w:hAnsi="Times New Roman" w:cs="Times New Roman"/>
                      <w:lang w:bidi="ar"/>
                    </w:rPr>
                    <w:t>监测项目</w:t>
                  </w:r>
                </w:p>
              </w:tc>
              <w:tc>
                <w:tcPr>
                  <w:tcW w:w="3564" w:type="dxa"/>
                  <w:vAlign w:val="center"/>
                </w:tcPr>
                <w:p>
                  <w:pPr>
                    <w:pStyle w:val="87"/>
                    <w:rPr>
                      <w:rFonts w:ascii="Times New Roman" w:hAnsi="Times New Roman" w:cs="Times New Roman"/>
                    </w:rPr>
                  </w:pPr>
                  <w:r>
                    <w:rPr>
                      <w:rFonts w:ascii="Times New Roman" w:hAnsi="Times New Roman" w:cs="Times New Roman"/>
                      <w:lang w:bidi="ar"/>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5" w:type="dxa"/>
                  <w:vAlign w:val="center"/>
                </w:tcPr>
                <w:p>
                  <w:pPr>
                    <w:pStyle w:val="87"/>
                    <w:rPr>
                      <w:rFonts w:ascii="Times New Roman" w:hAnsi="Times New Roman" w:cs="Times New Roman"/>
                    </w:rPr>
                  </w:pPr>
                  <w:r>
                    <w:rPr>
                      <w:rFonts w:ascii="Times New Roman" w:hAnsi="Times New Roman" w:cs="Times New Roman"/>
                      <w:lang w:bidi="ar"/>
                    </w:rPr>
                    <w:t>厂界</w:t>
                  </w:r>
                </w:p>
              </w:tc>
              <w:tc>
                <w:tcPr>
                  <w:tcW w:w="1472" w:type="dxa"/>
                  <w:vAlign w:val="center"/>
                </w:tcPr>
                <w:p>
                  <w:pPr>
                    <w:pStyle w:val="87"/>
                    <w:rPr>
                      <w:rFonts w:ascii="Times New Roman" w:hAnsi="Times New Roman" w:cs="Times New Roman"/>
                    </w:rPr>
                  </w:pPr>
                  <w:r>
                    <w:rPr>
                      <w:rFonts w:ascii="Times New Roman" w:hAnsi="Times New Roman" w:cs="Times New Roman"/>
                      <w:lang w:bidi="ar"/>
                    </w:rPr>
                    <w:t>每季度监测1次</w:t>
                  </w:r>
                </w:p>
              </w:tc>
              <w:tc>
                <w:tcPr>
                  <w:tcW w:w="1774" w:type="dxa"/>
                  <w:vAlign w:val="center"/>
                </w:tcPr>
                <w:p>
                  <w:pPr>
                    <w:pStyle w:val="87"/>
                    <w:rPr>
                      <w:rFonts w:ascii="Times New Roman" w:hAnsi="Times New Roman" w:cs="Times New Roman"/>
                    </w:rPr>
                  </w:pPr>
                  <w:r>
                    <w:rPr>
                      <w:rFonts w:ascii="Times New Roman" w:hAnsi="Times New Roman" w:cs="Times New Roman"/>
                      <w:lang w:bidi="ar"/>
                    </w:rPr>
                    <w:t>等效连续A声级</w:t>
                  </w:r>
                </w:p>
              </w:tc>
              <w:tc>
                <w:tcPr>
                  <w:tcW w:w="3564" w:type="dxa"/>
                  <w:vAlign w:val="center"/>
                </w:tcPr>
                <w:p>
                  <w:pPr>
                    <w:pStyle w:val="87"/>
                    <w:rPr>
                      <w:rFonts w:ascii="Times New Roman" w:hAnsi="Times New Roman" w:cs="Times New Roman"/>
                    </w:rPr>
                  </w:pPr>
                  <w:r>
                    <w:rPr>
                      <w:rFonts w:ascii="Times New Roman" w:hAnsi="Times New Roman" w:cs="Times New Roman"/>
                      <w:lang w:bidi="ar"/>
                    </w:rPr>
                    <w:t>《工业企业厂界环境噪声排放标准》（GB12348-2008）中3类标准</w:t>
                  </w:r>
                </w:p>
              </w:tc>
            </w:tr>
          </w:tbl>
          <w:p>
            <w:pPr>
              <w:overflowPunct w:val="0"/>
              <w:spacing w:line="384" w:lineRule="auto"/>
              <w:ind w:firstLine="482" w:firstLineChars="200"/>
              <w:rPr>
                <w:b/>
                <w:bCs/>
                <w:snapToGrid w:val="0"/>
                <w:kern w:val="0"/>
                <w:szCs w:val="21"/>
              </w:rPr>
            </w:pPr>
            <w:r>
              <w:rPr>
                <w:b/>
                <w:bCs/>
                <w:snapToGrid w:val="0"/>
                <w:kern w:val="0"/>
                <w:szCs w:val="21"/>
              </w:rPr>
              <w:t>4固体废物</w:t>
            </w:r>
          </w:p>
          <w:p>
            <w:pPr>
              <w:overflowPunct w:val="0"/>
              <w:ind w:firstLine="480" w:firstLineChars="200"/>
              <w:rPr>
                <w:snapToGrid w:val="0"/>
                <w:kern w:val="0"/>
                <w:szCs w:val="21"/>
              </w:rPr>
            </w:pPr>
            <w:r>
              <w:rPr>
                <w:snapToGrid w:val="0"/>
                <w:kern w:val="0"/>
                <w:szCs w:val="21"/>
              </w:rPr>
              <w:t>4.1固体废物产生量</w:t>
            </w:r>
          </w:p>
          <w:p>
            <w:pPr>
              <w:overflowPunct w:val="0"/>
              <w:ind w:firstLine="480" w:firstLineChars="200"/>
              <w:rPr>
                <w:snapToGrid w:val="0"/>
                <w:kern w:val="0"/>
                <w:szCs w:val="21"/>
              </w:rPr>
            </w:pPr>
            <w:r>
              <w:rPr>
                <w:snapToGrid w:val="0"/>
                <w:kern w:val="0"/>
                <w:szCs w:val="21"/>
              </w:rPr>
              <w:t>运营期固废主要来源于工作人员产生的生活垃圾、一般工业固废、危险废物。</w:t>
            </w:r>
          </w:p>
          <w:p>
            <w:pPr>
              <w:overflowPunct w:val="0"/>
              <w:ind w:firstLine="480" w:firstLineChars="200"/>
              <w:rPr>
                <w:snapToGrid w:val="0"/>
                <w:kern w:val="0"/>
                <w:szCs w:val="21"/>
              </w:rPr>
            </w:pPr>
            <w:r>
              <w:rPr>
                <w:snapToGrid w:val="0"/>
                <w:kern w:val="0"/>
                <w:szCs w:val="21"/>
              </w:rPr>
              <w:t>（1）生活垃圾</w:t>
            </w:r>
          </w:p>
          <w:p>
            <w:pPr>
              <w:overflowPunct w:val="0"/>
              <w:ind w:firstLine="480" w:firstLineChars="200"/>
              <w:rPr>
                <w:snapToGrid w:val="0"/>
                <w:kern w:val="0"/>
                <w:szCs w:val="21"/>
              </w:rPr>
            </w:pPr>
            <w:r>
              <w:rPr>
                <w:snapToGrid w:val="0"/>
                <w:kern w:val="0"/>
                <w:szCs w:val="21"/>
              </w:rPr>
              <w:t>生活垃圾产生量按50人计，每人每天产生0.5kg，产生量为0.025t/d</w:t>
            </w:r>
            <w:r>
              <w:rPr>
                <w:rFonts w:hint="eastAsia"/>
                <w:snapToGrid w:val="0"/>
                <w:kern w:val="0"/>
                <w:szCs w:val="21"/>
                <w:lang w:eastAsia="zh-CN"/>
              </w:rPr>
              <w:t>（</w:t>
            </w:r>
            <w:r>
              <w:rPr>
                <w:snapToGrid w:val="0"/>
                <w:kern w:val="0"/>
                <w:szCs w:val="21"/>
              </w:rPr>
              <w:t>7.5t/a</w:t>
            </w:r>
            <w:r>
              <w:rPr>
                <w:rFonts w:hint="eastAsia"/>
                <w:snapToGrid w:val="0"/>
                <w:kern w:val="0"/>
                <w:szCs w:val="21"/>
                <w:lang w:eastAsia="zh-CN"/>
              </w:rPr>
              <w:t>）</w:t>
            </w:r>
            <w:r>
              <w:rPr>
                <w:snapToGrid w:val="0"/>
                <w:kern w:val="0"/>
                <w:szCs w:val="21"/>
              </w:rPr>
              <w:t>。</w:t>
            </w:r>
            <w:r>
              <w:rPr>
                <w:szCs w:val="21"/>
              </w:rPr>
              <w:t>在厂区设垃圾箱，严禁随意丢弃垃圾。垃圾收集后由环卫部门定期清运处置。</w:t>
            </w:r>
          </w:p>
          <w:p>
            <w:pPr>
              <w:overflowPunct w:val="0"/>
              <w:ind w:firstLine="480" w:firstLineChars="200"/>
            </w:pPr>
            <w:r>
              <w:rPr>
                <w:snapToGrid w:val="0"/>
                <w:kern w:val="0"/>
                <w:szCs w:val="21"/>
              </w:rPr>
              <w:t>（2）一般固体废物</w:t>
            </w:r>
          </w:p>
          <w:p>
            <w:pPr>
              <w:ind w:firstLine="480" w:firstLineChars="200"/>
              <w:rPr>
                <w:szCs w:val="21"/>
                <w:highlight w:val="green"/>
              </w:rPr>
            </w:pPr>
            <w:r>
              <w:rPr>
                <w:szCs w:val="21"/>
              </w:rPr>
              <w:t>一般工业固废包括</w:t>
            </w:r>
            <w:r>
              <w:rPr>
                <w:snapToGrid w:val="0"/>
                <w:kern w:val="0"/>
                <w:szCs w:val="21"/>
              </w:rPr>
              <w:t>布袋除尘器收集的粉尘、金属边角料、</w:t>
            </w:r>
            <w:r>
              <w:rPr>
                <w:rFonts w:hint="eastAsia"/>
                <w:snapToGrid w:val="0"/>
                <w:kern w:val="0"/>
                <w:szCs w:val="21"/>
                <w:lang w:val="en-US" w:eastAsia="zh-CN"/>
              </w:rPr>
              <w:t>不合格产品</w:t>
            </w:r>
            <w:r>
              <w:rPr>
                <w:snapToGrid w:val="0"/>
                <w:kern w:val="0"/>
                <w:szCs w:val="21"/>
              </w:rPr>
              <w:t>、废脱模剂桶等。</w:t>
            </w:r>
          </w:p>
          <w:p>
            <w:pPr>
              <w:ind w:firstLine="480" w:firstLineChars="200"/>
              <w:rPr>
                <w:szCs w:val="21"/>
              </w:rPr>
            </w:pPr>
            <w:r>
              <w:rPr>
                <w:rFonts w:hint="eastAsia"/>
                <w:snapToGrid w:val="0"/>
                <w:kern w:val="0"/>
                <w:szCs w:val="21"/>
                <w:lang w:val="en-US" w:eastAsia="zh-CN"/>
              </w:rPr>
              <w:t>除尘器收集的粉尘：</w:t>
            </w:r>
            <w:r>
              <w:rPr>
                <w:snapToGrid w:val="0"/>
                <w:kern w:val="0"/>
                <w:szCs w:val="21"/>
              </w:rPr>
              <w:t>本项目</w:t>
            </w:r>
            <w:r>
              <w:rPr>
                <w:szCs w:val="21"/>
              </w:rPr>
              <w:t>物料搅拌混合过程</w:t>
            </w:r>
            <w:r>
              <w:t>产生的粉尘</w:t>
            </w:r>
            <w:r>
              <w:rPr>
                <w:szCs w:val="21"/>
              </w:rPr>
              <w:t>经集气罩（收集效率90％）收集后使用布袋除尘（处理效率为99.7％）处理后经15m高排气筒排放，布袋除尘器收集的粉尘量约为2</w:t>
            </w:r>
            <w:r>
              <w:rPr>
                <w:rFonts w:hint="eastAsia"/>
                <w:szCs w:val="21"/>
                <w:lang w:val="en-US" w:eastAsia="zh-CN"/>
              </w:rPr>
              <w:t>22</w:t>
            </w:r>
            <w:r>
              <w:rPr>
                <w:szCs w:val="21"/>
              </w:rPr>
              <w:t>t，粉尘收集后回用于生产。</w:t>
            </w:r>
          </w:p>
          <w:p>
            <w:pPr>
              <w:ind w:firstLine="480" w:firstLineChars="200"/>
              <w:rPr>
                <w:bCs/>
              </w:rPr>
            </w:pPr>
            <w:r>
              <w:rPr>
                <w:rFonts w:hint="eastAsia"/>
                <w:bCs/>
                <w:lang w:val="en-US" w:eastAsia="zh-CN"/>
              </w:rPr>
              <w:t>废金属边角料：</w:t>
            </w:r>
            <w:r>
              <w:rPr>
                <w:bCs/>
              </w:rPr>
              <w:t>根据企业提供的资料及类比同类型规模行业，废金属边角料主要为原材进行切割过程产生的废料，产生率按原料用量的0.8%计算，则项目产生废</w:t>
            </w:r>
            <w:r>
              <w:rPr>
                <w:rFonts w:hint="eastAsia"/>
                <w:bCs/>
                <w:lang w:val="en-US" w:eastAsia="zh-CN"/>
              </w:rPr>
              <w:t>金属</w:t>
            </w:r>
            <w:r>
              <w:rPr>
                <w:bCs/>
              </w:rPr>
              <w:t>边角料为51t/a，收集后在废料收集区存放，定期外售。</w:t>
            </w:r>
          </w:p>
          <w:p>
            <w:pPr>
              <w:ind w:firstLine="480" w:firstLineChars="200"/>
            </w:pPr>
            <w:r>
              <w:rPr>
                <w:rFonts w:hint="eastAsia"/>
                <w:snapToGrid w:val="0"/>
                <w:kern w:val="0"/>
                <w:szCs w:val="21"/>
                <w:lang w:val="en-US" w:eastAsia="zh-CN"/>
              </w:rPr>
              <w:t>废脱模剂桶：</w:t>
            </w:r>
            <w:r>
              <w:rPr>
                <w:snapToGrid w:val="0"/>
                <w:kern w:val="0"/>
                <w:szCs w:val="21"/>
              </w:rPr>
              <w:t>根据业主提供资料，脱模剂约25kg/桶，废脱模剂桶年产生量约1480个/a，废脱模剂桶一个约2kg，产生量为2.96t。</w:t>
            </w:r>
            <w:r>
              <w:t>废脱模剂桶由厂家回收。</w:t>
            </w:r>
          </w:p>
          <w:p>
            <w:pPr>
              <w:ind w:firstLine="480" w:firstLineChars="200"/>
              <w:rPr>
                <w:rFonts w:hint="default" w:eastAsia="宋体"/>
                <w:lang w:val="en-US" w:eastAsia="zh-CN"/>
              </w:rPr>
            </w:pPr>
            <w:r>
              <w:rPr>
                <w:rFonts w:hint="eastAsia"/>
                <w:lang w:val="en-US" w:eastAsia="zh-CN"/>
              </w:rPr>
              <w:t>不合格产品：</w:t>
            </w:r>
            <w:r>
              <w:rPr>
                <w:snapToGrid w:val="0"/>
                <w:kern w:val="0"/>
                <w:szCs w:val="21"/>
              </w:rPr>
              <w:t>根据业主提供资料，</w:t>
            </w:r>
            <w:r>
              <w:rPr>
                <w:rFonts w:hint="eastAsia"/>
                <w:lang w:val="en-US" w:eastAsia="zh-CN"/>
              </w:rPr>
              <w:t>项目不合格产品按照产品的1%计，</w:t>
            </w:r>
            <w:r>
              <w:rPr>
                <w:snapToGrid w:val="0"/>
                <w:kern w:val="0"/>
                <w:szCs w:val="21"/>
              </w:rPr>
              <w:t>废脱模剂桶年产生量约</w:t>
            </w:r>
            <w:r>
              <w:rPr>
                <w:rFonts w:hint="eastAsia"/>
                <w:snapToGrid w:val="0"/>
                <w:kern w:val="0"/>
                <w:szCs w:val="21"/>
                <w:lang w:val="en-US" w:eastAsia="zh-CN"/>
              </w:rPr>
              <w:t>391t/a。不合格产品回用于生产。</w:t>
            </w:r>
          </w:p>
          <w:p>
            <w:pPr>
              <w:pStyle w:val="75"/>
              <w:numPr>
                <w:ilvl w:val="0"/>
                <w:numId w:val="8"/>
              </w:numPr>
              <w:ind w:firstLineChars="0"/>
              <w:rPr>
                <w:snapToGrid w:val="0"/>
                <w:kern w:val="0"/>
                <w:szCs w:val="21"/>
              </w:rPr>
            </w:pPr>
            <w:r>
              <w:rPr>
                <w:snapToGrid w:val="0"/>
                <w:kern w:val="0"/>
                <w:szCs w:val="21"/>
              </w:rPr>
              <w:t>危险废物</w:t>
            </w:r>
          </w:p>
          <w:p>
            <w:pPr>
              <w:pStyle w:val="75"/>
              <w:ind w:firstLine="480"/>
            </w:pPr>
            <w:r>
              <w:rPr>
                <w:snapToGrid w:val="0"/>
                <w:kern w:val="0"/>
                <w:szCs w:val="21"/>
              </w:rPr>
              <w:t>根据《国家危险废物名录》，废机油及废油桶属于危险废物（HW08废矿物油与含矿物油废物，废机油废物代码：900-217-08、废油桶废物代码：900-249-08）</w:t>
            </w:r>
            <w:r>
              <w:t>。</w:t>
            </w:r>
          </w:p>
          <w:p>
            <w:pPr>
              <w:ind w:firstLine="480" w:firstLineChars="200"/>
              <w:rPr>
                <w:szCs w:val="21"/>
              </w:rPr>
            </w:pPr>
            <w:r>
              <w:rPr>
                <w:szCs w:val="21"/>
              </w:rPr>
              <w:t>本项目固体废物产生情况及处理措施见下表4-14。</w:t>
            </w:r>
          </w:p>
          <w:p>
            <w:pPr>
              <w:pStyle w:val="38"/>
            </w:pPr>
            <w:r>
              <w:t>表4-14本项目固体废物产生情况及处理措施一览表</w:t>
            </w:r>
          </w:p>
          <w:tbl>
            <w:tblPr>
              <w:tblStyle w:val="26"/>
              <w:tblW w:w="83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507"/>
              <w:gridCol w:w="1561"/>
              <w:gridCol w:w="1031"/>
              <w:gridCol w:w="683"/>
              <w:gridCol w:w="1138"/>
              <w:gridCol w:w="1720"/>
              <w:gridCol w:w="1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507" w:type="dxa"/>
                  <w:vAlign w:val="center"/>
                </w:tcPr>
                <w:p>
                  <w:pPr>
                    <w:pStyle w:val="87"/>
                    <w:rPr>
                      <w:rFonts w:ascii="Times New Roman" w:hAnsi="Times New Roman" w:cs="Times New Roman"/>
                      <w:sz w:val="21"/>
                      <w:szCs w:val="21"/>
                    </w:rPr>
                  </w:pPr>
                  <w:r>
                    <w:rPr>
                      <w:rFonts w:ascii="Times New Roman" w:hAnsi="Times New Roman" w:cs="Times New Roman"/>
                      <w:sz w:val="21"/>
                      <w:szCs w:val="21"/>
                    </w:rPr>
                    <w:t>序号</w:t>
                  </w:r>
                </w:p>
              </w:tc>
              <w:tc>
                <w:tcPr>
                  <w:tcW w:w="1561" w:type="dxa"/>
                  <w:vAlign w:val="center"/>
                </w:tcPr>
                <w:p>
                  <w:pPr>
                    <w:pStyle w:val="87"/>
                    <w:rPr>
                      <w:rFonts w:ascii="Times New Roman" w:hAnsi="Times New Roman" w:cs="Times New Roman"/>
                      <w:sz w:val="21"/>
                      <w:szCs w:val="21"/>
                    </w:rPr>
                  </w:pPr>
                  <w:r>
                    <w:rPr>
                      <w:rFonts w:ascii="Times New Roman" w:hAnsi="Times New Roman" w:cs="Times New Roman"/>
                      <w:sz w:val="21"/>
                      <w:szCs w:val="21"/>
                    </w:rPr>
                    <w:t>固废名称</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产污环节</w:t>
                  </w:r>
                </w:p>
              </w:tc>
              <w:tc>
                <w:tcPr>
                  <w:tcW w:w="683" w:type="dxa"/>
                  <w:vAlign w:val="center"/>
                </w:tcPr>
                <w:p>
                  <w:pPr>
                    <w:pStyle w:val="87"/>
                    <w:rPr>
                      <w:rFonts w:ascii="Times New Roman" w:hAnsi="Times New Roman" w:cs="Times New Roman"/>
                      <w:sz w:val="21"/>
                      <w:szCs w:val="21"/>
                    </w:rPr>
                  </w:pPr>
                  <w:r>
                    <w:rPr>
                      <w:rFonts w:ascii="Times New Roman" w:hAnsi="Times New Roman" w:cs="Times New Roman"/>
                      <w:sz w:val="21"/>
                      <w:szCs w:val="21"/>
                    </w:rPr>
                    <w:t>产生量</w:t>
                  </w:r>
                </w:p>
                <w:p>
                  <w:pPr>
                    <w:pStyle w:val="87"/>
                    <w:rPr>
                      <w:rFonts w:ascii="Times New Roman" w:hAnsi="Times New Roman" w:cs="Times New Roman"/>
                      <w:sz w:val="21"/>
                      <w:szCs w:val="21"/>
                    </w:rPr>
                  </w:pPr>
                  <w:r>
                    <w:rPr>
                      <w:rFonts w:ascii="Times New Roman" w:hAnsi="Times New Roman" w:cs="Times New Roman"/>
                      <w:sz w:val="21"/>
                      <w:szCs w:val="21"/>
                    </w:rPr>
                    <w:t>（t/a）</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属性</w:t>
                  </w:r>
                </w:p>
              </w:tc>
              <w:tc>
                <w:tcPr>
                  <w:tcW w:w="1720" w:type="dxa"/>
                  <w:vAlign w:val="center"/>
                </w:tcPr>
                <w:p>
                  <w:pPr>
                    <w:pStyle w:val="87"/>
                    <w:rPr>
                      <w:rFonts w:ascii="Times New Roman" w:hAnsi="Times New Roman" w:cs="Times New Roman"/>
                      <w:sz w:val="21"/>
                      <w:szCs w:val="21"/>
                    </w:rPr>
                  </w:pPr>
                  <w:r>
                    <w:rPr>
                      <w:rFonts w:ascii="Times New Roman"/>
                      <w:sz w:val="21"/>
                      <w:szCs w:val="21"/>
                    </w:rPr>
                    <w:t>固废代码</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利用处置方式和去向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ascii="Times New Roman" w:hAnsi="Times New Roman" w:cs="Times New Roman"/>
                      <w:sz w:val="21"/>
                      <w:szCs w:val="21"/>
                    </w:rPr>
                  </w:pPr>
                  <w:r>
                    <w:rPr>
                      <w:rFonts w:ascii="Times New Roman" w:hAnsi="Times New Roman" w:cs="Times New Roman"/>
                      <w:sz w:val="21"/>
                      <w:szCs w:val="21"/>
                    </w:rPr>
                    <w:t>1</w:t>
                  </w:r>
                </w:p>
              </w:tc>
              <w:tc>
                <w:tcPr>
                  <w:tcW w:w="1561" w:type="dxa"/>
                  <w:vAlign w:val="center"/>
                </w:tcPr>
                <w:p>
                  <w:pPr>
                    <w:pStyle w:val="87"/>
                    <w:rPr>
                      <w:rFonts w:ascii="Times New Roman" w:hAnsi="Times New Roman" w:cs="Times New Roman"/>
                      <w:sz w:val="21"/>
                      <w:szCs w:val="21"/>
                    </w:rPr>
                  </w:pPr>
                  <w:r>
                    <w:rPr>
                      <w:rFonts w:ascii="Times New Roman" w:hAnsi="Times New Roman" w:cs="Times New Roman"/>
                      <w:snapToGrid w:val="0"/>
                      <w:sz w:val="21"/>
                      <w:szCs w:val="21"/>
                    </w:rPr>
                    <w:t>除尘器收集的粉尘</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搅拌混合</w:t>
                  </w:r>
                </w:p>
              </w:tc>
              <w:tc>
                <w:tcPr>
                  <w:tcW w:w="683" w:type="dxa"/>
                  <w:vAlign w:val="center"/>
                </w:tcPr>
                <w:p>
                  <w:pPr>
                    <w:pStyle w:val="87"/>
                    <w:rPr>
                      <w:rFonts w:hint="default" w:ascii="Times New Roman" w:hAnsi="Times New Roman" w:eastAsia="宋体" w:cs="Times New Roman"/>
                      <w:sz w:val="21"/>
                      <w:szCs w:val="21"/>
                      <w:highlight w:val="green"/>
                      <w:lang w:val="en-US" w:eastAsia="zh-CN"/>
                    </w:rPr>
                  </w:pPr>
                  <w:r>
                    <w:rPr>
                      <w:rFonts w:hint="eastAsia" w:ascii="Times New Roman" w:hAnsi="Times New Roman" w:cs="Times New Roman"/>
                      <w:sz w:val="21"/>
                      <w:szCs w:val="21"/>
                      <w:lang w:val="en-US" w:eastAsia="zh-CN"/>
                    </w:rPr>
                    <w:t>222</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一般固废</w:t>
                  </w:r>
                </w:p>
              </w:tc>
              <w:tc>
                <w:tcPr>
                  <w:tcW w:w="1720" w:type="dxa"/>
                  <w:vAlign w:val="top"/>
                </w:tcPr>
                <w:p>
                  <w:pPr>
                    <w:pStyle w:val="39"/>
                    <w:rPr>
                      <w:rFonts w:ascii="Times New Roman" w:hAnsi="Times New Roman" w:cs="Times New Roman"/>
                      <w:sz w:val="21"/>
                      <w:szCs w:val="21"/>
                    </w:rPr>
                  </w:pPr>
                  <w:r>
                    <w:rPr>
                      <w:rFonts w:ascii="Times New Roman"/>
                      <w:sz w:val="21"/>
                      <w:szCs w:val="21"/>
                    </w:rPr>
                    <w:t>900-999-66</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ascii="Times New Roman" w:hAnsi="Times New Roman" w:cs="Times New Roman"/>
                      <w:sz w:val="21"/>
                      <w:szCs w:val="21"/>
                    </w:rPr>
                  </w:pPr>
                  <w:r>
                    <w:rPr>
                      <w:rFonts w:ascii="Times New Roman" w:hAnsi="Times New Roman" w:cs="Times New Roman"/>
                      <w:sz w:val="21"/>
                      <w:szCs w:val="21"/>
                    </w:rPr>
                    <w:t>2</w:t>
                  </w:r>
                </w:p>
              </w:tc>
              <w:tc>
                <w:tcPr>
                  <w:tcW w:w="1561" w:type="dxa"/>
                  <w:vAlign w:val="center"/>
                </w:tcPr>
                <w:p>
                  <w:pPr>
                    <w:pStyle w:val="87"/>
                    <w:rPr>
                      <w:rFonts w:ascii="Times New Roman" w:hAnsi="Times New Roman" w:cs="Times New Roman"/>
                      <w:sz w:val="21"/>
                      <w:szCs w:val="21"/>
                    </w:rPr>
                  </w:pPr>
                  <w:r>
                    <w:rPr>
                      <w:rFonts w:ascii="Times New Roman" w:hAnsi="Times New Roman" w:cs="Times New Roman"/>
                      <w:kern w:val="2"/>
                      <w:sz w:val="21"/>
                      <w:szCs w:val="21"/>
                    </w:rPr>
                    <w:t>废金属边角料</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切割</w:t>
                  </w:r>
                </w:p>
              </w:tc>
              <w:tc>
                <w:tcPr>
                  <w:tcW w:w="683" w:type="dxa"/>
                  <w:vAlign w:val="center"/>
                </w:tcPr>
                <w:p>
                  <w:pPr>
                    <w:pStyle w:val="87"/>
                    <w:rPr>
                      <w:rFonts w:hint="default" w:ascii="Times New Roman" w:hAnsi="Times New Roman" w:eastAsia="宋体" w:cs="Times New Roman"/>
                      <w:sz w:val="21"/>
                      <w:szCs w:val="21"/>
                      <w:lang w:val="en-US" w:eastAsia="zh-CN"/>
                    </w:rPr>
                  </w:pPr>
                  <w:r>
                    <w:rPr>
                      <w:rFonts w:ascii="Times New Roman" w:hAnsi="Times New Roman" w:cs="Times New Roman"/>
                      <w:sz w:val="21"/>
                      <w:szCs w:val="21"/>
                    </w:rPr>
                    <w:t>51</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一般固废</w:t>
                  </w:r>
                </w:p>
              </w:tc>
              <w:tc>
                <w:tcPr>
                  <w:tcW w:w="1720" w:type="dxa"/>
                  <w:vAlign w:val="top"/>
                </w:tcPr>
                <w:p>
                  <w:pPr>
                    <w:pStyle w:val="39"/>
                    <w:rPr>
                      <w:rFonts w:ascii="Times New Roman" w:hAnsi="Times New Roman" w:cs="Times New Roman"/>
                      <w:sz w:val="21"/>
                      <w:szCs w:val="21"/>
                    </w:rPr>
                  </w:pPr>
                  <w:r>
                    <w:rPr>
                      <w:rFonts w:ascii="Times New Roman"/>
                      <w:sz w:val="21"/>
                      <w:szCs w:val="21"/>
                    </w:rPr>
                    <w:t>320-001-10</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回收外售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ascii="Times New Roman" w:hAnsi="Times New Roman" w:cs="Times New Roman"/>
                      <w:sz w:val="21"/>
                      <w:szCs w:val="21"/>
                    </w:rPr>
                  </w:pPr>
                  <w:r>
                    <w:rPr>
                      <w:rFonts w:ascii="Times New Roman" w:hAnsi="Times New Roman" w:cs="Times New Roman"/>
                      <w:sz w:val="21"/>
                      <w:szCs w:val="21"/>
                    </w:rPr>
                    <w:t>3</w:t>
                  </w:r>
                </w:p>
              </w:tc>
              <w:tc>
                <w:tcPr>
                  <w:tcW w:w="1561" w:type="dxa"/>
                  <w:vAlign w:val="center"/>
                </w:tcPr>
                <w:p>
                  <w:pPr>
                    <w:pStyle w:val="87"/>
                    <w:rPr>
                      <w:rFonts w:ascii="Times New Roman" w:hAnsi="Times New Roman" w:cs="Times New Roman"/>
                      <w:kern w:val="2"/>
                      <w:sz w:val="21"/>
                      <w:szCs w:val="21"/>
                    </w:rPr>
                  </w:pPr>
                  <w:r>
                    <w:rPr>
                      <w:rFonts w:ascii="Times New Roman" w:hAnsi="Times New Roman" w:cs="Times New Roman"/>
                      <w:snapToGrid w:val="0"/>
                      <w:sz w:val="21"/>
                      <w:szCs w:val="21"/>
                    </w:rPr>
                    <w:t>废脱模剂桶</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脱模工段</w:t>
                  </w:r>
                </w:p>
              </w:tc>
              <w:tc>
                <w:tcPr>
                  <w:tcW w:w="683" w:type="dxa"/>
                  <w:vAlign w:val="center"/>
                </w:tcPr>
                <w:p>
                  <w:pPr>
                    <w:pStyle w:val="87"/>
                    <w:rPr>
                      <w:rFonts w:ascii="Times New Roman" w:hAnsi="Times New Roman" w:cs="Times New Roman"/>
                      <w:sz w:val="21"/>
                      <w:szCs w:val="21"/>
                    </w:rPr>
                  </w:pPr>
                  <w:r>
                    <w:rPr>
                      <w:rFonts w:ascii="Times New Roman" w:hAnsi="Times New Roman" w:cs="Times New Roman"/>
                      <w:sz w:val="21"/>
                      <w:szCs w:val="21"/>
                    </w:rPr>
                    <w:t>2.96</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一般固废</w:t>
                  </w:r>
                </w:p>
              </w:tc>
              <w:tc>
                <w:tcPr>
                  <w:tcW w:w="1720" w:type="dxa"/>
                  <w:vAlign w:val="top"/>
                </w:tcPr>
                <w:p>
                  <w:pPr>
                    <w:pStyle w:val="39"/>
                    <w:rPr>
                      <w:rFonts w:ascii="Times New Roman" w:hAnsi="Times New Roman" w:cs="Times New Roman"/>
                      <w:sz w:val="21"/>
                      <w:szCs w:val="21"/>
                    </w:rPr>
                  </w:pPr>
                  <w:r>
                    <w:rPr>
                      <w:rFonts w:ascii="Times New Roman"/>
                      <w:sz w:val="21"/>
                      <w:szCs w:val="21"/>
                    </w:rPr>
                    <w:t>900-999-99</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ascii="Times New Roman" w:hAnsi="Times New Roman" w:eastAsia="宋体" w:cs="Times New Roman"/>
                      <w:bCs/>
                      <w:spacing w:val="5"/>
                      <w:kern w:val="0"/>
                      <w:sz w:val="21"/>
                      <w:szCs w:val="21"/>
                      <w:lang w:val="en-US" w:eastAsia="zh-CN" w:bidi="ar-SA"/>
                    </w:rPr>
                  </w:pPr>
                  <w:r>
                    <w:rPr>
                      <w:rFonts w:ascii="Times New Roman" w:hAnsi="Times New Roman" w:cs="Times New Roman"/>
                      <w:sz w:val="21"/>
                      <w:szCs w:val="21"/>
                    </w:rPr>
                    <w:t>4</w:t>
                  </w:r>
                </w:p>
              </w:tc>
              <w:tc>
                <w:tcPr>
                  <w:tcW w:w="1561" w:type="dxa"/>
                  <w:vAlign w:val="center"/>
                </w:tcPr>
                <w:p>
                  <w:pPr>
                    <w:pStyle w:val="87"/>
                    <w:rPr>
                      <w:rFonts w:hint="default" w:ascii="Times New Roman" w:hAnsi="Times New Roman" w:eastAsia="宋体" w:cs="Times New Roman"/>
                      <w:snapToGrid w:val="0"/>
                      <w:sz w:val="21"/>
                      <w:szCs w:val="21"/>
                      <w:lang w:val="en-US" w:eastAsia="zh-CN"/>
                    </w:rPr>
                  </w:pPr>
                  <w:r>
                    <w:rPr>
                      <w:rFonts w:hint="eastAsia" w:ascii="Times New Roman" w:hAnsi="Times New Roman" w:cs="Times New Roman"/>
                      <w:snapToGrid w:val="0"/>
                      <w:sz w:val="21"/>
                      <w:szCs w:val="21"/>
                      <w:lang w:val="en-US" w:eastAsia="zh-CN"/>
                    </w:rPr>
                    <w:t>不合格产品</w:t>
                  </w:r>
                </w:p>
              </w:tc>
              <w:tc>
                <w:tcPr>
                  <w:tcW w:w="1031" w:type="dxa"/>
                  <w:vAlign w:val="center"/>
                </w:tcPr>
                <w:p>
                  <w:pPr>
                    <w:pStyle w:val="87"/>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脱模工段</w:t>
                  </w:r>
                </w:p>
              </w:tc>
              <w:tc>
                <w:tcPr>
                  <w:tcW w:w="683" w:type="dxa"/>
                  <w:vAlign w:val="center"/>
                </w:tcPr>
                <w:p>
                  <w:pPr>
                    <w:pStyle w:val="87"/>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391</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一般固废</w:t>
                  </w:r>
                </w:p>
              </w:tc>
              <w:tc>
                <w:tcPr>
                  <w:tcW w:w="1720" w:type="dxa"/>
                  <w:vAlign w:val="center"/>
                </w:tcPr>
                <w:p>
                  <w:pPr>
                    <w:pStyle w:val="87"/>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ascii="Times New Roman" w:hAnsi="Times New Roman" w:eastAsia="宋体" w:cs="Times New Roman"/>
                      <w:bCs/>
                      <w:spacing w:val="5"/>
                      <w:kern w:val="0"/>
                      <w:sz w:val="21"/>
                      <w:szCs w:val="21"/>
                      <w:lang w:val="en-US" w:eastAsia="zh-CN" w:bidi="ar-SA"/>
                    </w:rPr>
                  </w:pPr>
                  <w:r>
                    <w:rPr>
                      <w:rFonts w:ascii="Times New Roman" w:hAnsi="Times New Roman" w:cs="Times New Roman"/>
                      <w:sz w:val="21"/>
                      <w:szCs w:val="21"/>
                    </w:rPr>
                    <w:t>5</w:t>
                  </w:r>
                </w:p>
              </w:tc>
              <w:tc>
                <w:tcPr>
                  <w:tcW w:w="1561" w:type="dxa"/>
                  <w:vAlign w:val="center"/>
                </w:tcPr>
                <w:p>
                  <w:pPr>
                    <w:pStyle w:val="87"/>
                    <w:rPr>
                      <w:rFonts w:ascii="Times New Roman" w:hAnsi="Times New Roman" w:cs="Times New Roman"/>
                      <w:sz w:val="21"/>
                      <w:szCs w:val="21"/>
                    </w:rPr>
                  </w:pPr>
                  <w:r>
                    <w:rPr>
                      <w:rFonts w:ascii="Times New Roman" w:hAnsi="Times New Roman" w:cs="Times New Roman"/>
                      <w:sz w:val="21"/>
                      <w:szCs w:val="21"/>
                    </w:rPr>
                    <w:t>生活垃圾</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职工生活</w:t>
                  </w:r>
                </w:p>
              </w:tc>
              <w:tc>
                <w:tcPr>
                  <w:tcW w:w="683" w:type="dxa"/>
                  <w:vAlign w:val="center"/>
                </w:tcPr>
                <w:p>
                  <w:pPr>
                    <w:pStyle w:val="87"/>
                    <w:rPr>
                      <w:rFonts w:ascii="Times New Roman" w:hAnsi="Times New Roman" w:cs="Times New Roman"/>
                      <w:sz w:val="21"/>
                      <w:szCs w:val="21"/>
                      <w:highlight w:val="green"/>
                    </w:rPr>
                  </w:pPr>
                  <w:r>
                    <w:rPr>
                      <w:rFonts w:ascii="Times New Roman" w:hAnsi="Times New Roman" w:cs="Times New Roman"/>
                      <w:sz w:val="21"/>
                      <w:szCs w:val="21"/>
                    </w:rPr>
                    <w:t>7.5</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生活垃圾</w:t>
                  </w:r>
                </w:p>
              </w:tc>
              <w:tc>
                <w:tcPr>
                  <w:tcW w:w="1720" w:type="dxa"/>
                  <w:vAlign w:val="center"/>
                </w:tcPr>
                <w:p>
                  <w:pPr>
                    <w:pStyle w:val="87"/>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ascii="Times New Roman" w:hAnsi="Times New Roman" w:eastAsia="宋体" w:cs="Times New Roman"/>
                      <w:bCs/>
                      <w:spacing w:val="5"/>
                      <w:kern w:val="0"/>
                      <w:sz w:val="21"/>
                      <w:szCs w:val="21"/>
                      <w:lang w:val="en-US" w:eastAsia="zh-CN" w:bidi="ar-SA"/>
                    </w:rPr>
                  </w:pPr>
                  <w:r>
                    <w:rPr>
                      <w:rFonts w:ascii="Times New Roman" w:hAnsi="Times New Roman" w:cs="Times New Roman"/>
                      <w:sz w:val="21"/>
                      <w:szCs w:val="21"/>
                    </w:rPr>
                    <w:t>6</w:t>
                  </w:r>
                </w:p>
              </w:tc>
              <w:tc>
                <w:tcPr>
                  <w:tcW w:w="1561" w:type="dxa"/>
                  <w:vAlign w:val="center"/>
                </w:tcPr>
                <w:p>
                  <w:pPr>
                    <w:pStyle w:val="87"/>
                    <w:rPr>
                      <w:rFonts w:ascii="Times New Roman" w:hAnsi="Times New Roman" w:cs="Times New Roman"/>
                      <w:sz w:val="21"/>
                      <w:szCs w:val="21"/>
                    </w:rPr>
                  </w:pPr>
                  <w:r>
                    <w:rPr>
                      <w:rFonts w:ascii="Times New Roman" w:hAnsi="Times New Roman" w:cs="Times New Roman"/>
                      <w:sz w:val="21"/>
                      <w:szCs w:val="21"/>
                    </w:rPr>
                    <w:t>废机油</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设备机械</w:t>
                  </w:r>
                </w:p>
              </w:tc>
              <w:tc>
                <w:tcPr>
                  <w:tcW w:w="683" w:type="dxa"/>
                  <w:vAlign w:val="center"/>
                </w:tcPr>
                <w:p>
                  <w:pPr>
                    <w:pStyle w:val="87"/>
                    <w:rPr>
                      <w:rFonts w:ascii="Times New Roman" w:hAnsi="Times New Roman" w:cs="Times New Roman"/>
                      <w:sz w:val="21"/>
                      <w:szCs w:val="21"/>
                    </w:rPr>
                  </w:pPr>
                  <w:r>
                    <w:rPr>
                      <w:rFonts w:ascii="Times New Roman" w:hAnsi="Times New Roman" w:cs="Times New Roman"/>
                      <w:sz w:val="21"/>
                      <w:szCs w:val="21"/>
                    </w:rPr>
                    <w:t>0.01</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危险废物</w:t>
                  </w:r>
                </w:p>
              </w:tc>
              <w:tc>
                <w:tcPr>
                  <w:tcW w:w="1720" w:type="dxa"/>
                  <w:vAlign w:val="top"/>
                </w:tcPr>
                <w:p>
                  <w:pPr>
                    <w:pStyle w:val="39"/>
                    <w:rPr>
                      <w:rFonts w:ascii="Times New Roman" w:hAnsi="Times New Roman" w:cs="Times New Roman"/>
                      <w:sz w:val="21"/>
                      <w:szCs w:val="21"/>
                    </w:rPr>
                  </w:pPr>
                  <w:r>
                    <w:rPr>
                      <w:rFonts w:ascii="Times New Roman"/>
                      <w:sz w:val="21"/>
                      <w:szCs w:val="21"/>
                    </w:rPr>
                    <w:t>900-217-08</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委托处置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7" w:type="dxa"/>
                  <w:vAlign w:val="center"/>
                </w:tcPr>
                <w:p>
                  <w:pPr>
                    <w:pStyle w:val="87"/>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w:t>
                  </w:r>
                </w:p>
              </w:tc>
              <w:tc>
                <w:tcPr>
                  <w:tcW w:w="1561" w:type="dxa"/>
                  <w:vAlign w:val="center"/>
                </w:tcPr>
                <w:p>
                  <w:pPr>
                    <w:pStyle w:val="87"/>
                    <w:rPr>
                      <w:rFonts w:ascii="Times New Roman" w:hAnsi="Times New Roman" w:cs="Times New Roman"/>
                      <w:sz w:val="21"/>
                      <w:szCs w:val="21"/>
                    </w:rPr>
                  </w:pPr>
                  <w:r>
                    <w:rPr>
                      <w:rFonts w:ascii="Times New Roman" w:hAnsi="Times New Roman" w:cs="Times New Roman"/>
                      <w:sz w:val="21"/>
                      <w:szCs w:val="21"/>
                    </w:rPr>
                    <w:t>废油桶</w:t>
                  </w:r>
                </w:p>
              </w:tc>
              <w:tc>
                <w:tcPr>
                  <w:tcW w:w="1031" w:type="dxa"/>
                  <w:vAlign w:val="center"/>
                </w:tcPr>
                <w:p>
                  <w:pPr>
                    <w:pStyle w:val="87"/>
                    <w:rPr>
                      <w:rFonts w:ascii="Times New Roman" w:hAnsi="Times New Roman" w:cs="Times New Roman"/>
                      <w:sz w:val="21"/>
                      <w:szCs w:val="21"/>
                    </w:rPr>
                  </w:pPr>
                  <w:r>
                    <w:rPr>
                      <w:rFonts w:ascii="Times New Roman" w:hAnsi="Times New Roman" w:cs="Times New Roman"/>
                      <w:sz w:val="21"/>
                      <w:szCs w:val="21"/>
                    </w:rPr>
                    <w:t>设备机械</w:t>
                  </w:r>
                </w:p>
              </w:tc>
              <w:tc>
                <w:tcPr>
                  <w:tcW w:w="683" w:type="dxa"/>
                  <w:vAlign w:val="center"/>
                </w:tcPr>
                <w:p>
                  <w:pPr>
                    <w:pStyle w:val="87"/>
                    <w:rPr>
                      <w:rFonts w:ascii="Times New Roman" w:hAnsi="Times New Roman" w:cs="Times New Roman"/>
                      <w:sz w:val="21"/>
                      <w:szCs w:val="21"/>
                    </w:rPr>
                  </w:pPr>
                  <w:r>
                    <w:rPr>
                      <w:rFonts w:ascii="Times New Roman" w:hAnsi="Times New Roman" w:cs="Times New Roman"/>
                      <w:sz w:val="21"/>
                      <w:szCs w:val="21"/>
                    </w:rPr>
                    <w:t>0.01</w:t>
                  </w:r>
                </w:p>
              </w:tc>
              <w:tc>
                <w:tcPr>
                  <w:tcW w:w="1138" w:type="dxa"/>
                  <w:vAlign w:val="center"/>
                </w:tcPr>
                <w:p>
                  <w:pPr>
                    <w:pStyle w:val="87"/>
                    <w:rPr>
                      <w:rFonts w:ascii="Times New Roman" w:hAnsi="Times New Roman" w:cs="Times New Roman"/>
                      <w:sz w:val="21"/>
                      <w:szCs w:val="21"/>
                    </w:rPr>
                  </w:pPr>
                  <w:r>
                    <w:rPr>
                      <w:rFonts w:ascii="Times New Roman" w:hAnsi="Times New Roman" w:cs="Times New Roman"/>
                      <w:sz w:val="21"/>
                      <w:szCs w:val="21"/>
                    </w:rPr>
                    <w:t>危险废物</w:t>
                  </w:r>
                </w:p>
              </w:tc>
              <w:tc>
                <w:tcPr>
                  <w:tcW w:w="1720" w:type="dxa"/>
                  <w:vAlign w:val="top"/>
                </w:tcPr>
                <w:p>
                  <w:pPr>
                    <w:pStyle w:val="39"/>
                    <w:rPr>
                      <w:rFonts w:ascii="Times New Roman" w:hAnsi="Times New Roman" w:cs="Times New Roman"/>
                      <w:sz w:val="21"/>
                      <w:szCs w:val="21"/>
                    </w:rPr>
                  </w:pPr>
                  <w:r>
                    <w:rPr>
                      <w:rFonts w:ascii="Times New Roman"/>
                      <w:sz w:val="21"/>
                      <w:szCs w:val="21"/>
                    </w:rPr>
                    <w:t>900-249-08</w:t>
                  </w:r>
                </w:p>
              </w:tc>
              <w:tc>
                <w:tcPr>
                  <w:tcW w:w="1720" w:type="dxa"/>
                  <w:vAlign w:val="center"/>
                </w:tcPr>
                <w:p>
                  <w:pPr>
                    <w:pStyle w:val="87"/>
                    <w:rPr>
                      <w:rFonts w:ascii="Times New Roman" w:hAnsi="Times New Roman" w:cs="Times New Roman"/>
                      <w:sz w:val="21"/>
                      <w:szCs w:val="21"/>
                    </w:rPr>
                  </w:pPr>
                  <w:r>
                    <w:rPr>
                      <w:rFonts w:ascii="Times New Roman" w:hAnsi="Times New Roman" w:cs="Times New Roman"/>
                      <w:sz w:val="21"/>
                      <w:szCs w:val="21"/>
                    </w:rPr>
                    <w:t>委托处置</w:t>
                  </w:r>
                </w:p>
              </w:tc>
            </w:tr>
          </w:tbl>
          <w:p>
            <w:pPr>
              <w:widowControl/>
              <w:ind w:firstLine="482" w:firstLineChars="200"/>
              <w:jc w:val="left"/>
              <w:rPr>
                <w:b/>
                <w:bCs/>
                <w:szCs w:val="21"/>
              </w:rPr>
            </w:pPr>
            <w:r>
              <w:rPr>
                <w:b/>
                <w:bCs/>
                <w:szCs w:val="21"/>
              </w:rPr>
              <w:t>4.2危废暂存间要求</w:t>
            </w:r>
          </w:p>
          <w:p>
            <w:pPr>
              <w:ind w:firstLine="480" w:firstLineChars="200"/>
            </w:pPr>
            <w:r>
              <w:t>本项目危废暂存间具体要求如下：</w:t>
            </w:r>
          </w:p>
          <w:p>
            <w:pPr>
              <w:pStyle w:val="71"/>
              <w:ind w:firstLine="480"/>
            </w:pPr>
            <w:r>
              <w:rPr>
                <w:rFonts w:eastAsia="宋体"/>
                <w:sz w:val="24"/>
                <w:szCs w:val="24"/>
                <w:lang w:bidi="ar"/>
              </w:rPr>
              <w:t>（1）贮存设施污染控制要求</w:t>
            </w:r>
          </w:p>
          <w:p>
            <w:pPr>
              <w:pStyle w:val="71"/>
              <w:ind w:firstLine="480"/>
            </w:pPr>
            <w:r>
              <w:rPr>
                <w:rFonts w:eastAsia="宋体"/>
                <w:sz w:val="24"/>
                <w:szCs w:val="24"/>
                <w:lang w:bidi="ar"/>
              </w:rPr>
              <w:t>根据《关于做好固体废物污染防治新标准规范实施准备工作的通知》，除2023年7月1日前已建成投入使用或环境影响评价文件已通过审批的贮存设施，自2024年1月1日起执行GB18597-2023标准外，其他涉危险废物收集、贮存、利用、处置的设施、场所，均应自2023年7月1日起执行新标准规范。本项目危险废物执行《危险废物贮存污染控制标准》（GB18597-2023）要求。</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1）贮存设施应根据危险废物的形态、物理化学性质、包装形式和污染物迁移途径，采取必要的防风、防晒、防雨、防漏、防渗、防腐以及其他环境污染防治措施，不应露天堆放危险废物。</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2）贮存设施应根据危险废物的类别、数量、形态、物理化学性质和污染防治等要求设置必要的贮存分区，避免不相容的危险废物接触、混合。</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3）贮存设施或贮存分区内地面、墙面裙脚、堵截泄漏的围堰、接触危险废物的隔板和墙体等应采用坚固的材料建造，表面无裂缝。</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4）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lm厚黏土层（渗透系数不大于10</w:t>
            </w:r>
            <w:r>
              <w:rPr>
                <w:rFonts w:ascii="Times New Roman"/>
                <w:kern w:val="2"/>
                <w:szCs w:val="24"/>
                <w:vertAlign w:val="superscript"/>
                <w:lang w:bidi="ar"/>
              </w:rPr>
              <w:t>-7</w:t>
            </w:r>
            <w:r>
              <w:rPr>
                <w:rFonts w:ascii="Times New Roman"/>
                <w:kern w:val="2"/>
                <w:szCs w:val="24"/>
                <w:lang w:bidi="ar"/>
              </w:rPr>
              <w:t>cm/s</w:t>
            </w:r>
            <w:r>
              <w:rPr>
                <w:rFonts w:hint="eastAsia" w:ascii="Times New Roman"/>
                <w:kern w:val="2"/>
                <w:szCs w:val="24"/>
                <w:lang w:eastAsia="zh-CN" w:bidi="ar"/>
              </w:rPr>
              <w:t>）</w:t>
            </w:r>
            <w:r>
              <w:rPr>
                <w:rFonts w:ascii="Times New Roman"/>
                <w:kern w:val="2"/>
                <w:szCs w:val="24"/>
                <w:lang w:bidi="ar"/>
              </w:rPr>
              <w:t>，或至少2mm厚高密度聚乙烯膜等人工防渗材料（渗透系数不大于l0</w:t>
            </w:r>
            <w:r>
              <w:rPr>
                <w:rFonts w:ascii="Times New Roman"/>
                <w:kern w:val="2"/>
                <w:szCs w:val="24"/>
                <w:vertAlign w:val="superscript"/>
                <w:lang w:bidi="ar"/>
              </w:rPr>
              <w:t>-10</w:t>
            </w:r>
            <w:r>
              <w:rPr>
                <w:rFonts w:ascii="Times New Roman"/>
                <w:kern w:val="2"/>
                <w:szCs w:val="24"/>
                <w:lang w:bidi="ar"/>
              </w:rPr>
              <w:t>cm/s），或其他防渗性能等效的材料。</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5）同一贮存设施宜采用相同的防渗、防腐工艺（包括防渗、防腐结构或材料），防渗、防腐材料应覆盖所有可能与废物及其渗滤液、渗漏液等接触的构筑物表面；采用不同防渗、防腐工艺应分别建设贮存分区。</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6）贮存设施应采取技术和管理措施防止无关人员进入。</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（2）危险废物收集、运输要求</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本项目危险废物的收集和运输主要委托第三方，从事危险废物收集、运输经营活动的单位应具有危险废物经营许可证。在收集、运输危险废物时，应根据危险废物经营许可证核发的有关规定建立相应的规章制度和污染防治措施，包括危险废物分析管理制度、安全管理制度、污染防治措施等。</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1）危险废物的收集</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①</w:t>
            </w:r>
            <w:r>
              <w:rPr>
                <w:rFonts w:ascii="Times New Roman"/>
                <w:kern w:val="2"/>
                <w:szCs w:val="24"/>
                <w:lang w:bidi="ar"/>
              </w:rPr>
              <w:t>危险废物的收集应根据危险废物产生的工艺特征、排放周期、危险废物特性、废物管理计划等因素制定收集计划。</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②</w:t>
            </w:r>
            <w:r>
              <w:rPr>
                <w:rFonts w:ascii="Times New Roman"/>
                <w:kern w:val="2"/>
                <w:szCs w:val="24"/>
                <w:lang w:bidi="ar"/>
              </w:rPr>
              <w:t>危险废物的收集应制定详细的操作规程，内容至少应包括适用范围、操作程序和方法、专用设备和工具、转移和交接、安全保障和应急防护等。</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③</w:t>
            </w:r>
            <w:r>
              <w:rPr>
                <w:rFonts w:ascii="Times New Roman"/>
                <w:kern w:val="2"/>
                <w:szCs w:val="24"/>
                <w:lang w:bidi="ar"/>
              </w:rPr>
              <w:t>危险废物收集和转运作业人员应根据工作需要配备必要的个人防护装备，如手套、防护镜、防护服、防毒面具或口罩等。</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2）危险废物的运输</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危险废物转移过程应按《危险废物转移管理办法》执行。危险废物需按照《危险废物收集、贮存、运输技术规范》</w:t>
            </w:r>
            <w:r>
              <w:rPr>
                <w:rFonts w:hint="eastAsia" w:ascii="Times New Roman"/>
                <w:kern w:val="2"/>
                <w:szCs w:val="24"/>
                <w:lang w:eastAsia="zh-CN" w:bidi="ar"/>
              </w:rPr>
              <w:t>（</w:t>
            </w:r>
            <w:r>
              <w:rPr>
                <w:rFonts w:ascii="Times New Roman"/>
                <w:kern w:val="2"/>
                <w:szCs w:val="24"/>
                <w:lang w:bidi="ar"/>
              </w:rPr>
              <w:t>HJ2025-2012</w:t>
            </w:r>
            <w:r>
              <w:rPr>
                <w:rFonts w:hint="eastAsia" w:ascii="Times New Roman"/>
                <w:kern w:val="2"/>
                <w:szCs w:val="24"/>
                <w:lang w:eastAsia="zh-CN" w:bidi="ar"/>
              </w:rPr>
              <w:t>）</w:t>
            </w:r>
            <w:r>
              <w:rPr>
                <w:rFonts w:ascii="Times New Roman"/>
                <w:kern w:val="2"/>
                <w:szCs w:val="24"/>
                <w:lang w:bidi="ar"/>
              </w:rPr>
              <w:t>中的要求进行运输。产废单位负责危险废物的收集，第三方运输企业负责运输，在接收危险废物原料时，本项目工作人员和运输单位需协调相关危险废物运输车辆，要求其按照规范要求操作，避免运输途中的污染。</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①</w:t>
            </w:r>
            <w:r>
              <w:rPr>
                <w:rFonts w:ascii="Times New Roman"/>
                <w:kern w:val="2"/>
                <w:szCs w:val="24"/>
                <w:lang w:bidi="ar"/>
              </w:rPr>
              <w:t>危险废物运输应由持有危险废物经营许可证的单位按照其许可证的经营范围组织实施，承担危险废物运输的单位应获得交通运输部门颁发的危险货物运输资质。</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②</w:t>
            </w:r>
            <w:r>
              <w:rPr>
                <w:rFonts w:ascii="Times New Roman"/>
                <w:kern w:val="2"/>
                <w:szCs w:val="24"/>
                <w:lang w:bidi="ar"/>
              </w:rPr>
              <w:t>危险废物运输应执行《道路危险货物运输管理规定》（交通部令</w:t>
            </w:r>
            <w:r>
              <w:rPr>
                <w:rFonts w:hint="eastAsia" w:ascii="Times New Roman"/>
                <w:kern w:val="2"/>
                <w:szCs w:val="24"/>
                <w:lang w:eastAsia="zh-CN" w:bidi="ar"/>
              </w:rPr>
              <w:t>〔</w:t>
            </w:r>
            <w:r>
              <w:rPr>
                <w:rFonts w:ascii="Times New Roman"/>
                <w:kern w:val="2"/>
                <w:szCs w:val="24"/>
                <w:lang w:bidi="ar"/>
              </w:rPr>
              <w:t>2005年</w:t>
            </w:r>
            <w:r>
              <w:rPr>
                <w:rFonts w:hint="eastAsia" w:ascii="Times New Roman"/>
                <w:kern w:val="2"/>
                <w:szCs w:val="24"/>
                <w:lang w:eastAsia="zh-CN" w:bidi="ar"/>
              </w:rPr>
              <w:t>〕</w:t>
            </w:r>
            <w:r>
              <w:rPr>
                <w:rFonts w:ascii="Times New Roman"/>
                <w:kern w:val="2"/>
                <w:szCs w:val="24"/>
                <w:lang w:bidi="ar"/>
              </w:rPr>
              <w:t>第9号）。</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③</w:t>
            </w:r>
            <w:r>
              <w:rPr>
                <w:rFonts w:ascii="Times New Roman"/>
                <w:kern w:val="2"/>
                <w:szCs w:val="24"/>
                <w:lang w:bidi="ar"/>
              </w:rPr>
              <w:t>危险废物公路运输时，运输车辆应按GB13392设置车辆标识。</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④</w:t>
            </w:r>
            <w:r>
              <w:rPr>
                <w:rFonts w:ascii="Times New Roman"/>
                <w:kern w:val="2"/>
                <w:szCs w:val="24"/>
                <w:lang w:bidi="ar"/>
              </w:rPr>
              <w:t>根据《新疆维吾尔自治区危险废物处置利用行业环保准入条件》：危险废物处置利用单位必须有固定的危险废物运输车辆，并在运输车辆安装GPS装置。</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此外，项目危险废物产生、转移、贮存、利用处置等基础数据，需在新疆维吾尔自治区固体废物动态信息管理平台上申报和备案。</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综上所述，项目产生的固体废弃物对环境的影响较小。</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（3）危险废物安全管理要求</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1）联单制度</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建设单位必须建立危险废物转移联单制度，收集贮存的危险废物应严格按照《危险废物转移管理办法》中的有关要求管理，危险废物转移程序如下：</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①</w:t>
            </w:r>
            <w:r>
              <w:rPr>
                <w:rFonts w:ascii="Times New Roman"/>
                <w:kern w:val="2"/>
                <w:szCs w:val="24"/>
                <w:lang w:bidi="ar"/>
              </w:rPr>
              <w:t>危险废物转移联单应当根据危险废物管理计划中填报的危险废物转移等备案信息填写、运行</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②</w:t>
            </w:r>
            <w:r>
              <w:rPr>
                <w:rFonts w:ascii="Times New Roman"/>
                <w:kern w:val="2"/>
                <w:szCs w:val="24"/>
                <w:lang w:bidi="ar"/>
              </w:rPr>
              <w:t>采用联运方式转移危险废物的，前一承运人和后一承运人应当明确运输交接的时间和地点。后一承运人应当核实危险废物转移联单确定的移出人信息、前一承运人信息及危险废物相关信息。</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③</w:t>
            </w:r>
            <w:r>
              <w:rPr>
                <w:rFonts w:ascii="Times New Roman"/>
                <w:kern w:val="2"/>
                <w:szCs w:val="24"/>
                <w:lang w:bidi="ar"/>
              </w:rPr>
              <w:t>移出人每转移一车（船或者其他运输工具）次同类危险废物，应当填写、运行一份危险废物电子转移联单；每车（船或者其他运输工具）次转移多类危险废物的，可以填写、运行一份危险废物电子转移联单，也可以每一类危险废物填写、运行一份危险废物电子转移联单。</w:t>
            </w:r>
          </w:p>
          <w:p>
            <w:pPr>
              <w:pStyle w:val="21"/>
              <w:snapToGrid w:val="0"/>
              <w:spacing w:before="0" w:beforeAutospacing="0" w:after="0" w:afterAutospacing="0"/>
              <w:ind w:firstLine="480" w:firstLineChars="200"/>
              <w:jc w:val="both"/>
              <w:rPr>
                <w:rFonts w:ascii="Times New Roman"/>
              </w:rPr>
            </w:pPr>
            <w:r>
              <w:rPr>
                <w:rFonts w:hint="eastAsia" w:hAnsi="宋体" w:cs="宋体"/>
                <w:kern w:val="2"/>
                <w:szCs w:val="24"/>
                <w:lang w:bidi="ar"/>
              </w:rPr>
              <w:t>④</w:t>
            </w:r>
            <w:r>
              <w:rPr>
                <w:rFonts w:ascii="Times New Roman"/>
                <w:kern w:val="2"/>
                <w:szCs w:val="24"/>
                <w:lang w:bidi="ar"/>
              </w:rPr>
              <w:t>采用联运方式转移危险废物的，前一承运人和后一承运人应当明确运输交接的时间和地点。后一承运人应当核实危险废物电子转移联单确定的移出人信息、前一承运人信息及危险废物相关信息。</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转移危险废物的，须按照国家有关规定通过国家危险废物信息管理填写危险废物电子转移联单，并向危险废物移出地设区的市级以上地方人民政府生态环境行政主管部门提出申请。移出地设区的市级以上地方人民政府生态环境行政主管部门应当经接受地设区的市级以上地方人民政府生态环境行政主管部门同意后，方可批准转移该危险废物。未经批准，不得转移。转移危险废物途径移出地、接受地以外行政区域的，危险废物移出地设区的市级以上地方人民政府生态环境行政主管部门应当及时通知沿途经过的设区的市级以上地方人民政府生态环境行政主管部门。</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2）委托处置</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危废暂存间贮存的危险废物由相应类别资质的危废处置单位进行处置，危废处置单位使用专用车辆至厂内收集、转移危险废物，建设单位不自行外运、转移。危险废物委托处置后，对环境影响不大。</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3）管理措施</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企业应结合自身实际，建立危险废物管理台账，规范危险废物情况的记录，记录上须注明危险废物的种类、来源、数量、性质、产生环节、利用处置和包装容器的类别、入库日期、存放库位、废物出库日期及接收单位名称，确保厂内所有危险废物流向清楚规范。</w:t>
            </w:r>
          </w:p>
          <w:p>
            <w:pPr>
              <w:pStyle w:val="21"/>
              <w:snapToGrid w:val="0"/>
              <w:spacing w:before="0" w:beforeAutospacing="0" w:after="0" w:afterAutospacing="0"/>
              <w:ind w:firstLine="480" w:firstLineChars="200"/>
              <w:jc w:val="both"/>
              <w:rPr>
                <w:rFonts w:ascii="Times New Roman"/>
              </w:rPr>
            </w:pPr>
            <w:r>
              <w:rPr>
                <w:rFonts w:ascii="Times New Roman"/>
                <w:kern w:val="2"/>
                <w:szCs w:val="24"/>
                <w:lang w:bidi="ar"/>
              </w:rPr>
              <w:t>按规定申报危险废物产生、贮存、转移、利用处置等信息，制定和落实危险废物年度管理计划，执行危险废物申报登记制度，并在“固废管理系统”中备案。及时向当地环保部门申报危险废物种类、产生量、流向、处置等资料，办理临时申报登记手续。严格执行危险废物交换转移审批制度。所有危险废物交换转移向环保部门提出申请，经环保部门预审后报上级环保部门批准。危险废物交换转移前到当地环保部门网上申请联单。绝不擅自交换、向无危险废物经营许可证单位转移。必须定期对所暂存的危险废物包装容器及暂存设施进行检查，发现破损，应及时采取措施清理更换。</w:t>
            </w:r>
          </w:p>
          <w:p>
            <w:pPr>
              <w:autoSpaceDE w:val="0"/>
              <w:ind w:firstLine="482" w:firstLineChars="200"/>
              <w:rPr>
                <w:b/>
                <w:szCs w:val="21"/>
              </w:rPr>
            </w:pPr>
            <w:r>
              <w:rPr>
                <w:b/>
                <w:szCs w:val="21"/>
                <w:lang w:bidi="ar"/>
              </w:rPr>
              <w:t>5地下水、土壤影响分析</w:t>
            </w:r>
          </w:p>
          <w:p>
            <w:pPr>
              <w:ind w:firstLine="480" w:firstLineChars="200"/>
              <w:rPr>
                <w:szCs w:val="21"/>
              </w:rPr>
            </w:pPr>
            <w:r>
              <w:rPr>
                <w:szCs w:val="21"/>
              </w:rPr>
              <w:t>本项目营运期产生的大气污染物主要为生产工序产生的颗粒物，项目使用的原料为水泥、砂石、钢筋等，各原料组分不含有毒有害的重金属等污染物，也不涉及建设用地土壤污染风险筛选值的其他污染物。根据分区防治的原则，对照《环境影响技术导则地下水环境》（HJ610-2016），地下水污染防渗分区参照表，项目各区采取的地下水防治措施如下。</w:t>
            </w:r>
          </w:p>
          <w:p>
            <w:pPr>
              <w:ind w:firstLine="480" w:firstLineChars="200"/>
              <w:rPr>
                <w:szCs w:val="21"/>
              </w:rPr>
            </w:pPr>
            <w:r>
              <w:rPr>
                <w:szCs w:val="21"/>
              </w:rPr>
              <w:t>（1）重点防渗区</w:t>
            </w:r>
          </w:p>
          <w:p>
            <w:pPr>
              <w:ind w:firstLine="480" w:firstLineChars="200"/>
              <w:rPr>
                <w:szCs w:val="21"/>
              </w:rPr>
            </w:pPr>
            <w:r>
              <w:rPr>
                <w:szCs w:val="21"/>
              </w:rPr>
              <w:t>本项目锅炉房、</w:t>
            </w:r>
            <w:r>
              <w:rPr>
                <w:rFonts w:hint="eastAsia"/>
                <w:szCs w:val="21"/>
                <w:lang w:val="en-US" w:eastAsia="zh-CN"/>
              </w:rPr>
              <w:t>醇基储罐、</w:t>
            </w:r>
            <w:r>
              <w:rPr>
                <w:szCs w:val="21"/>
              </w:rPr>
              <w:t>危废间为重点防渗区。根据《环境影响评价技术导则地下水环境》中对重点防渗区的“等效黏土层≥6.0m、渗透系数小于1.0×10</w:t>
            </w:r>
            <w:r>
              <w:rPr>
                <w:szCs w:val="21"/>
                <w:vertAlign w:val="superscript"/>
              </w:rPr>
              <w:t>-7</w:t>
            </w:r>
            <w:r>
              <w:rPr>
                <w:szCs w:val="21"/>
              </w:rPr>
              <w:t>cm/s”的防渗要求，避免污染地下水环境。</w:t>
            </w:r>
          </w:p>
          <w:p>
            <w:pPr>
              <w:ind w:firstLine="480" w:firstLineChars="200"/>
              <w:rPr>
                <w:szCs w:val="21"/>
              </w:rPr>
            </w:pPr>
            <w:r>
              <w:rPr>
                <w:szCs w:val="21"/>
              </w:rPr>
              <w:t>（2）一般防渗区</w:t>
            </w:r>
          </w:p>
          <w:p>
            <w:pPr>
              <w:ind w:firstLine="480" w:firstLineChars="200"/>
              <w:rPr>
                <w:szCs w:val="21"/>
              </w:rPr>
            </w:pPr>
            <w:r>
              <w:rPr>
                <w:szCs w:val="21"/>
              </w:rPr>
              <w:t>本项目生产车间、</w:t>
            </w:r>
            <w:r>
              <w:rPr>
                <w:rFonts w:hint="eastAsia"/>
                <w:szCs w:val="21"/>
                <w:lang w:val="en-US" w:eastAsia="zh-CN"/>
              </w:rPr>
              <w:t>成品堆场、筒仓区</w:t>
            </w:r>
            <w:r>
              <w:rPr>
                <w:szCs w:val="21"/>
              </w:rPr>
              <w:t>一般防渗区，主要进行一般地面硬化措施。在抗渗混凝土面层</w:t>
            </w:r>
            <w:r>
              <w:rPr>
                <w:rFonts w:hint="eastAsia"/>
                <w:szCs w:val="21"/>
                <w:lang w:eastAsia="zh-CN"/>
              </w:rPr>
              <w:t>（</w:t>
            </w:r>
            <w:r>
              <w:rPr>
                <w:szCs w:val="21"/>
              </w:rPr>
              <w:t>包括钢筋混凝土、钢纤维混凝土</w:t>
            </w:r>
            <w:r>
              <w:rPr>
                <w:rFonts w:hint="eastAsia"/>
                <w:szCs w:val="21"/>
                <w:lang w:eastAsia="zh-CN"/>
              </w:rPr>
              <w:t>）</w:t>
            </w:r>
            <w:r>
              <w:rPr>
                <w:szCs w:val="21"/>
              </w:rPr>
              <w:t>中掺水泥基渗透结晶型防水剂，其下铺砌砂石基层，原土夯实达到防渗的目的。对于混凝土中间的伸缩缝和实体基础的缝隙，通过填充柔性材料达到防渗目的。</w:t>
            </w:r>
          </w:p>
          <w:p>
            <w:pPr>
              <w:ind w:firstLine="480" w:firstLineChars="200"/>
              <w:rPr>
                <w:szCs w:val="21"/>
              </w:rPr>
            </w:pPr>
            <w:r>
              <w:rPr>
                <w:szCs w:val="21"/>
              </w:rPr>
              <w:t>一般防渗区等效黏土防渗层渗透系数≤1×10</w:t>
            </w:r>
            <w:r>
              <w:rPr>
                <w:szCs w:val="21"/>
                <w:vertAlign w:val="superscript"/>
              </w:rPr>
              <w:t>-7</w:t>
            </w:r>
            <w:r>
              <w:rPr>
                <w:szCs w:val="21"/>
              </w:rPr>
              <w:t>cm/s，渗透系数≤渗透系数等效黏土防渗，与《环境影响评价技术导则地下水环境》（HJ610-2016）中的防渗技术要求相符。</w:t>
            </w:r>
          </w:p>
          <w:p>
            <w:pPr>
              <w:ind w:firstLine="480" w:firstLineChars="200"/>
              <w:rPr>
                <w:szCs w:val="21"/>
              </w:rPr>
            </w:pPr>
            <w:r>
              <w:rPr>
                <w:szCs w:val="21"/>
              </w:rPr>
              <w:t>（3）简单防渗区</w:t>
            </w:r>
          </w:p>
          <w:p>
            <w:pPr>
              <w:autoSpaceDE w:val="0"/>
              <w:spacing w:line="360" w:lineRule="auto"/>
              <w:ind w:firstLine="480" w:firstLineChars="200"/>
              <w:rPr>
                <w:szCs w:val="21"/>
              </w:rPr>
            </w:pPr>
            <w:r>
              <w:rPr>
                <w:szCs w:val="21"/>
              </w:rPr>
              <w:t>简单防渗区为除重点防渗和一般防渗区以外的其他区域，采用混凝土材质防渗，不会对地下水产生污染。</w:t>
            </w:r>
          </w:p>
          <w:p>
            <w:pPr>
              <w:pStyle w:val="38"/>
              <w:bidi w:val="0"/>
              <w:rPr>
                <w:rFonts w:ascii="Times New Roman" w:hAnsi="Times New Roman"/>
                <w:b/>
                <w:bCs/>
                <w:szCs w:val="21"/>
              </w:rPr>
            </w:pPr>
            <w:r>
              <w:rPr>
                <w:rFonts w:ascii="Times New Roman" w:hAnsi="Times New Roman"/>
                <w:b/>
                <w:bCs/>
                <w:szCs w:val="21"/>
              </w:rPr>
              <w:t>表4-</w:t>
            </w:r>
            <w:r>
              <w:rPr>
                <w:rFonts w:hint="eastAsia" w:ascii="Times New Roman" w:hAnsi="Times New Roman"/>
                <w:b/>
                <w:bCs/>
                <w:szCs w:val="21"/>
              </w:rPr>
              <w:t>1</w:t>
            </w:r>
            <w:r>
              <w:rPr>
                <w:rFonts w:hint="eastAsia" w:ascii="Times New Roman" w:hAnsi="Times New Roman"/>
                <w:b/>
                <w:bCs/>
                <w:szCs w:val="21"/>
                <w:lang w:val="en-US" w:eastAsia="zh-CN"/>
              </w:rPr>
              <w:t>5</w:t>
            </w:r>
            <w:r>
              <w:rPr>
                <w:rStyle w:val="98"/>
                <w:b/>
              </w:rPr>
              <w:t>项目土</w:t>
            </w:r>
            <w:r>
              <w:rPr>
                <w:rFonts w:ascii="Times New Roman" w:hAnsi="Times New Roman"/>
                <w:b/>
                <w:bCs/>
                <w:szCs w:val="21"/>
              </w:rPr>
              <w:t>壤、地下水分区防护措施一览表</w:t>
            </w:r>
          </w:p>
          <w:tbl>
            <w:tblPr>
              <w:tblStyle w:val="27"/>
              <w:tblW w:w="83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90"/>
              <w:gridCol w:w="1172"/>
              <w:gridCol w:w="1140"/>
              <w:gridCol w:w="42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pStyle w:val="97"/>
                    <w:rPr>
                      <w:sz w:val="21"/>
                      <w:szCs w:val="21"/>
                    </w:rPr>
                  </w:pPr>
                  <w:r>
                    <w:rPr>
                      <w:sz w:val="21"/>
                      <w:szCs w:val="21"/>
                    </w:rPr>
                    <w:t>序号</w:t>
                  </w:r>
                </w:p>
              </w:tc>
              <w:tc>
                <w:tcPr>
                  <w:tcW w:w="1090" w:type="dxa"/>
                  <w:vAlign w:val="center"/>
                </w:tcPr>
                <w:p>
                  <w:pPr>
                    <w:pStyle w:val="97"/>
                    <w:rPr>
                      <w:sz w:val="21"/>
                      <w:szCs w:val="21"/>
                    </w:rPr>
                  </w:pPr>
                  <w:r>
                    <w:rPr>
                      <w:sz w:val="21"/>
                      <w:szCs w:val="21"/>
                    </w:rPr>
                    <w:t>分区类别</w:t>
                  </w:r>
                </w:p>
              </w:tc>
              <w:tc>
                <w:tcPr>
                  <w:tcW w:w="1172" w:type="dxa"/>
                  <w:vAlign w:val="center"/>
                </w:tcPr>
                <w:p>
                  <w:pPr>
                    <w:pStyle w:val="97"/>
                    <w:rPr>
                      <w:sz w:val="21"/>
                      <w:szCs w:val="21"/>
                    </w:rPr>
                  </w:pPr>
                  <w:r>
                    <w:rPr>
                      <w:sz w:val="21"/>
                      <w:szCs w:val="21"/>
                    </w:rPr>
                    <w:t>名称</w:t>
                  </w:r>
                </w:p>
              </w:tc>
              <w:tc>
                <w:tcPr>
                  <w:tcW w:w="1140" w:type="dxa"/>
                  <w:vAlign w:val="center"/>
                </w:tcPr>
                <w:p>
                  <w:pPr>
                    <w:pStyle w:val="97"/>
                    <w:rPr>
                      <w:sz w:val="21"/>
                      <w:szCs w:val="21"/>
                    </w:rPr>
                  </w:pPr>
                  <w:r>
                    <w:rPr>
                      <w:sz w:val="21"/>
                      <w:szCs w:val="21"/>
                    </w:rPr>
                    <w:t>防渗区域</w:t>
                  </w:r>
                </w:p>
              </w:tc>
              <w:tc>
                <w:tcPr>
                  <w:tcW w:w="4205" w:type="dxa"/>
                  <w:vAlign w:val="center"/>
                </w:tcPr>
                <w:p>
                  <w:pPr>
                    <w:pStyle w:val="97"/>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vAlign w:val="center"/>
                </w:tcPr>
                <w:p>
                  <w:pPr>
                    <w:pStyle w:val="97"/>
                    <w:rPr>
                      <w:sz w:val="21"/>
                      <w:szCs w:val="21"/>
                    </w:rPr>
                  </w:pPr>
                  <w:r>
                    <w:rPr>
                      <w:sz w:val="21"/>
                      <w:szCs w:val="21"/>
                    </w:rPr>
                    <w:t>1</w:t>
                  </w:r>
                </w:p>
              </w:tc>
              <w:tc>
                <w:tcPr>
                  <w:tcW w:w="1090" w:type="dxa"/>
                  <w:vMerge w:val="restart"/>
                  <w:vAlign w:val="center"/>
                </w:tcPr>
                <w:p>
                  <w:pPr>
                    <w:pStyle w:val="97"/>
                    <w:rPr>
                      <w:sz w:val="21"/>
                      <w:szCs w:val="21"/>
                    </w:rPr>
                  </w:pPr>
                  <w:r>
                    <w:rPr>
                      <w:sz w:val="21"/>
                      <w:szCs w:val="21"/>
                    </w:rPr>
                    <w:t>重点防渗区</w:t>
                  </w:r>
                </w:p>
              </w:tc>
              <w:tc>
                <w:tcPr>
                  <w:tcW w:w="1172" w:type="dxa"/>
                  <w:vAlign w:val="center"/>
                </w:tcPr>
                <w:p>
                  <w:pPr>
                    <w:pStyle w:val="97"/>
                    <w:rPr>
                      <w:sz w:val="21"/>
                      <w:szCs w:val="21"/>
                    </w:rPr>
                  </w:pPr>
                  <w:r>
                    <w:rPr>
                      <w:sz w:val="21"/>
                      <w:szCs w:val="21"/>
                    </w:rPr>
                    <w:t>危废暂存间</w:t>
                  </w:r>
                </w:p>
              </w:tc>
              <w:tc>
                <w:tcPr>
                  <w:tcW w:w="1140" w:type="dxa"/>
                  <w:vAlign w:val="center"/>
                </w:tcPr>
                <w:p>
                  <w:pPr>
                    <w:pStyle w:val="97"/>
                    <w:rPr>
                      <w:sz w:val="21"/>
                      <w:szCs w:val="21"/>
                    </w:rPr>
                  </w:pPr>
                  <w:r>
                    <w:rPr>
                      <w:sz w:val="21"/>
                      <w:szCs w:val="21"/>
                    </w:rPr>
                    <w:t>地面</w:t>
                  </w:r>
                </w:p>
              </w:tc>
              <w:tc>
                <w:tcPr>
                  <w:tcW w:w="4205" w:type="dxa"/>
                  <w:vMerge w:val="restart"/>
                  <w:vAlign w:val="center"/>
                </w:tcPr>
                <w:p>
                  <w:pPr>
                    <w:pStyle w:val="97"/>
                    <w:jc w:val="both"/>
                    <w:rPr>
                      <w:sz w:val="21"/>
                      <w:szCs w:val="21"/>
                    </w:rPr>
                  </w:pPr>
                  <w:r>
                    <w:rPr>
                      <w:sz w:val="21"/>
                      <w:szCs w:val="21"/>
                    </w:rPr>
                    <w:t>参照《危险废物贮存污染控制标准》（GB18597-2023）制定防渗设计方案，防渗层为至少1m厚黏土层（渗透系数≤10</w:t>
                  </w:r>
                  <w:r>
                    <w:rPr>
                      <w:sz w:val="21"/>
                      <w:szCs w:val="21"/>
                      <w:vertAlign w:val="superscript"/>
                    </w:rPr>
                    <w:t>-7</w:t>
                  </w:r>
                  <w:r>
                    <w:rPr>
                      <w:sz w:val="21"/>
                      <w:szCs w:val="21"/>
                    </w:rPr>
                    <w:t>cm/s），或2mm厚高密度聚乙烯，或至少2mm厚的其他人工材料（渗透系数≤10</w:t>
                  </w:r>
                  <w:r>
                    <w:rPr>
                      <w:sz w:val="21"/>
                      <w:szCs w:val="21"/>
                      <w:vertAlign w:val="superscript"/>
                    </w:rPr>
                    <w:t>-10</w:t>
                  </w:r>
                  <w:r>
                    <w:rPr>
                      <w:sz w:val="21"/>
                      <w:szCs w:val="21"/>
                    </w:rPr>
                    <w:t>cm/s），或其他防渗性能等效的材料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vAlign w:val="center"/>
                </w:tcPr>
                <w:p>
                  <w:pPr>
                    <w:pStyle w:val="97"/>
                    <w:rPr>
                      <w:sz w:val="21"/>
                      <w:szCs w:val="21"/>
                    </w:rPr>
                  </w:pPr>
                </w:p>
              </w:tc>
              <w:tc>
                <w:tcPr>
                  <w:tcW w:w="1090" w:type="dxa"/>
                  <w:vMerge w:val="continue"/>
                  <w:vAlign w:val="center"/>
                </w:tcPr>
                <w:p>
                  <w:pPr>
                    <w:pStyle w:val="97"/>
                    <w:rPr>
                      <w:sz w:val="21"/>
                      <w:szCs w:val="21"/>
                    </w:rPr>
                  </w:pPr>
                </w:p>
              </w:tc>
              <w:tc>
                <w:tcPr>
                  <w:tcW w:w="1172" w:type="dxa"/>
                  <w:vAlign w:val="center"/>
                </w:tcPr>
                <w:p>
                  <w:pPr>
                    <w:pStyle w:val="97"/>
                    <w:rPr>
                      <w:sz w:val="21"/>
                      <w:szCs w:val="21"/>
                    </w:rPr>
                  </w:pPr>
                  <w:r>
                    <w:rPr>
                      <w:sz w:val="21"/>
                      <w:szCs w:val="21"/>
                    </w:rPr>
                    <w:t>生产车间</w:t>
                  </w:r>
                </w:p>
              </w:tc>
              <w:tc>
                <w:tcPr>
                  <w:tcW w:w="1140" w:type="dxa"/>
                  <w:vAlign w:val="center"/>
                </w:tcPr>
                <w:p>
                  <w:pPr>
                    <w:pStyle w:val="97"/>
                    <w:rPr>
                      <w:sz w:val="21"/>
                      <w:szCs w:val="21"/>
                    </w:rPr>
                  </w:pPr>
                  <w:r>
                    <w:rPr>
                      <w:sz w:val="21"/>
                      <w:szCs w:val="21"/>
                    </w:rPr>
                    <w:t>地面</w:t>
                  </w:r>
                </w:p>
              </w:tc>
              <w:tc>
                <w:tcPr>
                  <w:tcW w:w="4205" w:type="dxa"/>
                  <w:vMerge w:val="continue"/>
                  <w:vAlign w:val="center"/>
                </w:tcPr>
                <w:p>
                  <w:pPr>
                    <w:pStyle w:val="97"/>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pStyle w:val="97"/>
                    <w:rPr>
                      <w:sz w:val="21"/>
                      <w:szCs w:val="21"/>
                    </w:rPr>
                  </w:pPr>
                  <w:r>
                    <w:rPr>
                      <w:sz w:val="21"/>
                      <w:szCs w:val="21"/>
                    </w:rPr>
                    <w:t>2</w:t>
                  </w:r>
                </w:p>
              </w:tc>
              <w:tc>
                <w:tcPr>
                  <w:tcW w:w="1090" w:type="dxa"/>
                  <w:vAlign w:val="center"/>
                </w:tcPr>
                <w:p>
                  <w:pPr>
                    <w:pStyle w:val="97"/>
                    <w:rPr>
                      <w:sz w:val="21"/>
                      <w:szCs w:val="21"/>
                    </w:rPr>
                  </w:pPr>
                  <w:r>
                    <w:rPr>
                      <w:sz w:val="21"/>
                      <w:szCs w:val="21"/>
                    </w:rPr>
                    <w:t>一般污染防治区</w:t>
                  </w:r>
                </w:p>
              </w:tc>
              <w:tc>
                <w:tcPr>
                  <w:tcW w:w="1172" w:type="dxa"/>
                  <w:vAlign w:val="center"/>
                </w:tcPr>
                <w:p>
                  <w:pPr>
                    <w:pStyle w:val="97"/>
                    <w:rPr>
                      <w:sz w:val="21"/>
                      <w:szCs w:val="21"/>
                    </w:rPr>
                  </w:pPr>
                  <w:r>
                    <w:rPr>
                      <w:sz w:val="21"/>
                      <w:szCs w:val="21"/>
                    </w:rPr>
                    <w:t>一般固废堆放场所</w:t>
                  </w:r>
                </w:p>
              </w:tc>
              <w:tc>
                <w:tcPr>
                  <w:tcW w:w="1140" w:type="dxa"/>
                  <w:vAlign w:val="center"/>
                </w:tcPr>
                <w:p>
                  <w:pPr>
                    <w:pStyle w:val="97"/>
                    <w:rPr>
                      <w:sz w:val="21"/>
                      <w:szCs w:val="21"/>
                    </w:rPr>
                  </w:pPr>
                  <w:r>
                    <w:rPr>
                      <w:sz w:val="21"/>
                      <w:szCs w:val="21"/>
                    </w:rPr>
                    <w:t>地面</w:t>
                  </w:r>
                </w:p>
              </w:tc>
              <w:tc>
                <w:tcPr>
                  <w:tcW w:w="4205" w:type="dxa"/>
                  <w:vAlign w:val="center"/>
                </w:tcPr>
                <w:p>
                  <w:pPr>
                    <w:pStyle w:val="97"/>
                    <w:jc w:val="both"/>
                    <w:rPr>
                      <w:sz w:val="21"/>
                      <w:szCs w:val="21"/>
                    </w:rPr>
                  </w:pPr>
                  <w:r>
                    <w:rPr>
                      <w:sz w:val="21"/>
                      <w:szCs w:val="21"/>
                    </w:rPr>
                    <w:t>做好防渗漏、防雨淋、防扬尘等，防渗层的厚度应相当于渗透系数10</w:t>
                  </w:r>
                  <w:r>
                    <w:rPr>
                      <w:sz w:val="21"/>
                      <w:szCs w:val="21"/>
                      <w:vertAlign w:val="superscript"/>
                    </w:rPr>
                    <w:t>-7</w:t>
                  </w:r>
                  <w:r>
                    <w:rPr>
                      <w:sz w:val="21"/>
                      <w:szCs w:val="21"/>
                    </w:rPr>
                    <w:t>cm/s和厚度1.5m的粘土层的防渗性能</w:t>
                  </w:r>
                </w:p>
              </w:tc>
            </w:tr>
          </w:tbl>
          <w:p>
            <w:pPr>
              <w:topLinePunct/>
              <w:ind w:firstLine="480" w:firstLineChars="200"/>
              <w:rPr>
                <w:szCs w:val="21"/>
              </w:rPr>
            </w:pPr>
            <w:r>
              <w:rPr>
                <w:szCs w:val="21"/>
              </w:rPr>
              <w:t>综上所述，在采取上述防渗、防腐处理措施后，可有效防止项目污染物渗漏污染土壤和地下水。</w:t>
            </w:r>
          </w:p>
          <w:p>
            <w:pPr>
              <w:spacing w:line="384" w:lineRule="auto"/>
              <w:ind w:firstLine="482" w:firstLineChars="200"/>
              <w:rPr>
                <w:b/>
                <w:bCs/>
                <w:szCs w:val="21"/>
              </w:rPr>
            </w:pPr>
            <w:r>
              <w:rPr>
                <w:b/>
                <w:bCs/>
                <w:szCs w:val="21"/>
              </w:rPr>
              <w:t>6环境风险</w:t>
            </w:r>
          </w:p>
          <w:p>
            <w:pPr>
              <w:pStyle w:val="46"/>
              <w:ind w:firstLine="480"/>
            </w:pPr>
            <w:r>
              <w:t>6.1风险评价等级判定</w:t>
            </w:r>
          </w:p>
          <w:p>
            <w:pPr>
              <w:pStyle w:val="46"/>
              <w:ind w:firstLine="480"/>
            </w:pPr>
            <w:r>
              <w:t>（1）危险物质数量与临界量比值（Q）</w:t>
            </w:r>
          </w:p>
          <w:p>
            <w:pPr>
              <w:pStyle w:val="46"/>
              <w:ind w:firstLine="480"/>
            </w:pPr>
            <w:r>
              <w:t>项目本项目建有1座容积为6m</w:t>
            </w:r>
            <w:r>
              <w:rPr>
                <w:vertAlign w:val="superscript"/>
              </w:rPr>
              <w:t>3</w:t>
            </w:r>
            <w:r>
              <w:t>的醇基储存罐，用于储存醇基燃料，醇基密度为0.83g/cm</w:t>
            </w:r>
            <w:r>
              <w:rPr>
                <w:vertAlign w:val="superscript"/>
              </w:rPr>
              <w:t>3</w:t>
            </w:r>
            <w:r>
              <w:t>，则本项目醇基最大储存量为4.98t。</w:t>
            </w:r>
          </w:p>
          <w:p>
            <w:pPr>
              <w:pStyle w:val="46"/>
              <w:ind w:firstLine="480"/>
            </w:pPr>
            <w:r>
              <w:t>根据《建设项目环境风险评价技术导则》（HJ169-2018）附录C及本项目主要原辅材料消耗及产品情况，确定项目Q值如下：</w:t>
            </w:r>
          </w:p>
          <w:p>
            <w:pPr>
              <w:pStyle w:val="46"/>
              <w:ind w:firstLine="480"/>
            </w:pPr>
            <w:r>
              <w:t>Q=q1/Q1+q2/Q2+…+qn/Qn</w:t>
            </w:r>
          </w:p>
          <w:p>
            <w:pPr>
              <w:pStyle w:val="46"/>
              <w:ind w:firstLine="480"/>
            </w:pPr>
            <w:r>
              <w:t>式中：q1，q2，…，qn———每种危险物质的最大存在总量，t；Q1，Q2，…，Qn———每种危险物质的临界量，t。</w:t>
            </w:r>
          </w:p>
          <w:p>
            <w:pPr>
              <w:pStyle w:val="46"/>
              <w:ind w:firstLine="480"/>
            </w:pPr>
            <w:r>
              <w:t>本项目涉及的危险物质为醇基和废机油、废油桶，其最大存在总量详见下表：</w:t>
            </w:r>
          </w:p>
          <w:p>
            <w:pPr>
              <w:pStyle w:val="38"/>
            </w:pPr>
            <w:r>
              <w:t>表4-1</w:t>
            </w:r>
            <w:r>
              <w:rPr>
                <w:rFonts w:hint="eastAsia"/>
                <w:lang w:val="en-US" w:eastAsia="zh-CN"/>
              </w:rPr>
              <w:t>6</w:t>
            </w:r>
            <w:r>
              <w:t>风险物质最大储存量与临界量比值</w:t>
            </w:r>
          </w:p>
          <w:tbl>
            <w:tblPr>
              <w:tblStyle w:val="26"/>
              <w:tblW w:w="8336" w:type="dxa"/>
              <w:tblInd w:w="15"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915"/>
              <w:gridCol w:w="1828"/>
              <w:gridCol w:w="2115"/>
              <w:gridCol w:w="2115"/>
              <w:gridCol w:w="136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915" w:type="dxa"/>
                </w:tcPr>
                <w:p>
                  <w:pPr>
                    <w:pStyle w:val="87"/>
                    <w:rPr>
                      <w:rFonts w:ascii="Times New Roman" w:hAnsi="Times New Roman" w:cs="Times New Roman"/>
                    </w:rPr>
                  </w:pPr>
                  <w:r>
                    <w:rPr>
                      <w:rFonts w:ascii="Times New Roman" w:hAnsi="Times New Roman" w:cs="Times New Roman"/>
                    </w:rPr>
                    <w:t>序号</w:t>
                  </w:r>
                </w:p>
              </w:tc>
              <w:tc>
                <w:tcPr>
                  <w:tcW w:w="1828" w:type="dxa"/>
                </w:tcPr>
                <w:p>
                  <w:pPr>
                    <w:pStyle w:val="87"/>
                    <w:rPr>
                      <w:rFonts w:ascii="Times New Roman" w:hAnsi="Times New Roman" w:cs="Times New Roman"/>
                    </w:rPr>
                  </w:pPr>
                  <w:r>
                    <w:rPr>
                      <w:rFonts w:ascii="Times New Roman" w:hAnsi="Times New Roman" w:cs="Times New Roman"/>
                    </w:rPr>
                    <w:t>危化品名称</w:t>
                  </w:r>
                </w:p>
              </w:tc>
              <w:tc>
                <w:tcPr>
                  <w:tcW w:w="2115" w:type="dxa"/>
                </w:tcPr>
                <w:p>
                  <w:pPr>
                    <w:pStyle w:val="87"/>
                    <w:rPr>
                      <w:rFonts w:ascii="Times New Roman" w:hAnsi="Times New Roman" w:cs="Times New Roman"/>
                    </w:rPr>
                  </w:pPr>
                  <w:r>
                    <w:rPr>
                      <w:rFonts w:ascii="Times New Roman" w:hAnsi="Times New Roman" w:cs="Times New Roman"/>
                    </w:rPr>
                    <w:t>实际量q（t）</w:t>
                  </w:r>
                </w:p>
              </w:tc>
              <w:tc>
                <w:tcPr>
                  <w:tcW w:w="2115" w:type="dxa"/>
                </w:tcPr>
                <w:p>
                  <w:pPr>
                    <w:pStyle w:val="87"/>
                    <w:rPr>
                      <w:rFonts w:ascii="Times New Roman" w:hAnsi="Times New Roman" w:cs="Times New Roman"/>
                    </w:rPr>
                  </w:pPr>
                  <w:r>
                    <w:rPr>
                      <w:rFonts w:ascii="Times New Roman" w:hAnsi="Times New Roman" w:cs="Times New Roman"/>
                    </w:rPr>
                    <w:t>临界量Q（t）</w:t>
                  </w:r>
                </w:p>
              </w:tc>
              <w:tc>
                <w:tcPr>
                  <w:tcW w:w="1363" w:type="dxa"/>
                </w:tcPr>
                <w:p>
                  <w:pPr>
                    <w:pStyle w:val="87"/>
                    <w:rPr>
                      <w:rFonts w:ascii="Times New Roman" w:hAnsi="Times New Roman" w:cs="Times New Roman" w:eastAsiaTheme="minorEastAsia"/>
                    </w:rPr>
                  </w:pPr>
                  <w:r>
                    <w:rPr>
                      <w:rFonts w:ascii="Times New Roman" w:hAnsi="Times New Roman" w:cs="Times New Roman" w:eastAsiaTheme="minorEastAsia"/>
                    </w:rPr>
                    <w:t>q/Q</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915" w:type="dxa"/>
                </w:tcPr>
                <w:p>
                  <w:pPr>
                    <w:pStyle w:val="87"/>
                    <w:rPr>
                      <w:rFonts w:ascii="Times New Roman" w:hAnsi="Times New Roman" w:cs="Times New Roman" w:eastAsiaTheme="minorEastAsia"/>
                    </w:rPr>
                  </w:pPr>
                  <w:r>
                    <w:rPr>
                      <w:rFonts w:ascii="Times New Roman" w:hAnsi="Times New Roman" w:cs="Times New Roman" w:eastAsiaTheme="minorEastAsia"/>
                    </w:rPr>
                    <w:t>1</w:t>
                  </w:r>
                </w:p>
              </w:tc>
              <w:tc>
                <w:tcPr>
                  <w:tcW w:w="1828" w:type="dxa"/>
                </w:tcPr>
                <w:p>
                  <w:pPr>
                    <w:pStyle w:val="87"/>
                    <w:rPr>
                      <w:rFonts w:ascii="Times New Roman" w:hAnsi="Times New Roman" w:cs="Times New Roman"/>
                    </w:rPr>
                  </w:pPr>
                  <w:r>
                    <w:rPr>
                      <w:rFonts w:ascii="Times New Roman" w:hAnsi="Times New Roman" w:cs="Times New Roman"/>
                    </w:rPr>
                    <w:t>甲醇</w:t>
                  </w:r>
                </w:p>
              </w:tc>
              <w:tc>
                <w:tcPr>
                  <w:tcW w:w="2115" w:type="dxa"/>
                </w:tcPr>
                <w:p>
                  <w:pPr>
                    <w:pStyle w:val="87"/>
                    <w:rPr>
                      <w:rFonts w:ascii="Times New Roman" w:hAnsi="Times New Roman" w:cs="Times New Roman" w:eastAsiaTheme="minorEastAsia"/>
                    </w:rPr>
                  </w:pPr>
                  <w:r>
                    <w:rPr>
                      <w:rFonts w:ascii="Times New Roman" w:hAnsi="Times New Roman" w:cs="Times New Roman" w:eastAsiaTheme="minorEastAsia"/>
                    </w:rPr>
                    <w:t>4.98</w:t>
                  </w:r>
                </w:p>
              </w:tc>
              <w:tc>
                <w:tcPr>
                  <w:tcW w:w="2115" w:type="dxa"/>
                </w:tcPr>
                <w:p>
                  <w:pPr>
                    <w:pStyle w:val="87"/>
                    <w:rPr>
                      <w:rFonts w:ascii="Times New Roman" w:hAnsi="Times New Roman" w:cs="Times New Roman" w:eastAsiaTheme="minorEastAsia"/>
                    </w:rPr>
                  </w:pPr>
                  <w:r>
                    <w:rPr>
                      <w:rFonts w:ascii="Times New Roman" w:hAnsi="Times New Roman" w:cs="Times New Roman" w:eastAsiaTheme="minorEastAsia"/>
                    </w:rPr>
                    <w:t>10</w:t>
                  </w:r>
                </w:p>
              </w:tc>
              <w:tc>
                <w:tcPr>
                  <w:tcW w:w="1363" w:type="dxa"/>
                </w:tcPr>
                <w:p>
                  <w:pPr>
                    <w:pStyle w:val="87"/>
                    <w:rPr>
                      <w:rFonts w:ascii="Times New Roman" w:hAnsi="Times New Roman" w:cs="Times New Roman" w:eastAsiaTheme="minorEastAsia"/>
                    </w:rPr>
                  </w:pPr>
                  <w:r>
                    <w:rPr>
                      <w:rFonts w:ascii="Times New Roman" w:hAnsi="Times New Roman" w:cs="Times New Roman" w:eastAsiaTheme="minorEastAsia"/>
                    </w:rPr>
                    <w:t>0.498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915" w:type="dxa"/>
                </w:tcPr>
                <w:p>
                  <w:pPr>
                    <w:pStyle w:val="87"/>
                    <w:rPr>
                      <w:rFonts w:ascii="Times New Roman" w:hAnsi="Times New Roman" w:cs="Times New Roman" w:eastAsiaTheme="minorEastAsia"/>
                    </w:rPr>
                  </w:pPr>
                  <w:r>
                    <w:rPr>
                      <w:rFonts w:ascii="Times New Roman" w:hAnsi="Times New Roman" w:cs="Times New Roman" w:eastAsiaTheme="minorEastAsia"/>
                    </w:rPr>
                    <w:t>2</w:t>
                  </w:r>
                </w:p>
              </w:tc>
              <w:tc>
                <w:tcPr>
                  <w:tcW w:w="1828" w:type="dxa"/>
                </w:tcPr>
                <w:p>
                  <w:pPr>
                    <w:pStyle w:val="87"/>
                    <w:rPr>
                      <w:rFonts w:ascii="Times New Roman" w:hAnsi="Times New Roman" w:cs="Times New Roman"/>
                    </w:rPr>
                  </w:pPr>
                  <w:r>
                    <w:rPr>
                      <w:rFonts w:ascii="Times New Roman" w:hAnsi="Times New Roman" w:cs="Times New Roman"/>
                    </w:rPr>
                    <w:t>废机油、废油桶</w:t>
                  </w:r>
                </w:p>
              </w:tc>
              <w:tc>
                <w:tcPr>
                  <w:tcW w:w="2115" w:type="dxa"/>
                </w:tcPr>
                <w:p>
                  <w:pPr>
                    <w:pStyle w:val="87"/>
                    <w:rPr>
                      <w:rFonts w:ascii="Times New Roman" w:hAnsi="Times New Roman" w:cs="Times New Roman" w:eastAsiaTheme="minorEastAsia"/>
                    </w:rPr>
                  </w:pPr>
                  <w:r>
                    <w:rPr>
                      <w:rFonts w:ascii="Times New Roman" w:hAnsi="Times New Roman" w:cs="Times New Roman" w:eastAsiaTheme="minorEastAsia"/>
                    </w:rPr>
                    <w:t>0.02</w:t>
                  </w:r>
                </w:p>
              </w:tc>
              <w:tc>
                <w:tcPr>
                  <w:tcW w:w="2115" w:type="dxa"/>
                </w:tcPr>
                <w:p>
                  <w:pPr>
                    <w:pStyle w:val="87"/>
                    <w:rPr>
                      <w:rFonts w:ascii="Times New Roman" w:hAnsi="Times New Roman" w:cs="Times New Roman" w:eastAsiaTheme="minorEastAsia"/>
                    </w:rPr>
                  </w:pPr>
                  <w:r>
                    <w:rPr>
                      <w:rFonts w:ascii="Times New Roman" w:hAnsi="Times New Roman" w:cs="Times New Roman" w:eastAsiaTheme="minorEastAsia"/>
                    </w:rPr>
                    <w:t>2500</w:t>
                  </w:r>
                </w:p>
              </w:tc>
              <w:tc>
                <w:tcPr>
                  <w:tcW w:w="1363" w:type="dxa"/>
                </w:tcPr>
                <w:p>
                  <w:pPr>
                    <w:pStyle w:val="87"/>
                    <w:rPr>
                      <w:rFonts w:ascii="Times New Roman" w:hAnsi="Times New Roman" w:cs="Times New Roman" w:eastAsiaTheme="minorEastAsia"/>
                    </w:rPr>
                  </w:pPr>
                  <w:r>
                    <w:rPr>
                      <w:rFonts w:ascii="Times New Roman" w:hAnsi="Times New Roman" w:cs="Times New Roman" w:eastAsiaTheme="minorEastAsia"/>
                    </w:rPr>
                    <w:t>0.000008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915" w:type="dxa"/>
                </w:tcPr>
                <w:p>
                  <w:pPr>
                    <w:pStyle w:val="87"/>
                    <w:rPr>
                      <w:rFonts w:ascii="Times New Roman" w:hAnsi="Times New Roman" w:cs="Times New Roman" w:eastAsiaTheme="minorEastAsia"/>
                    </w:rPr>
                  </w:pPr>
                  <w:r>
                    <w:rPr>
                      <w:rFonts w:ascii="Times New Roman" w:hAnsi="Times New Roman" w:cs="Times New Roman" w:eastAsiaTheme="minorEastAsia"/>
                    </w:rPr>
                    <w:t>3</w:t>
                  </w:r>
                </w:p>
              </w:tc>
              <w:tc>
                <w:tcPr>
                  <w:tcW w:w="6058" w:type="dxa"/>
                  <w:gridSpan w:val="3"/>
                </w:tcPr>
                <w:p>
                  <w:pPr>
                    <w:pStyle w:val="87"/>
                    <w:rPr>
                      <w:rFonts w:ascii="Times New Roman" w:hAnsi="Times New Roman" w:cs="Times New Roman"/>
                    </w:rPr>
                  </w:pPr>
                  <w:r>
                    <w:rPr>
                      <w:rFonts w:ascii="Times New Roman" w:hAnsi="Times New Roman" w:cs="Times New Roman"/>
                    </w:rPr>
                    <w:t>合计</w:t>
                  </w:r>
                </w:p>
              </w:tc>
              <w:tc>
                <w:tcPr>
                  <w:tcW w:w="1363" w:type="dxa"/>
                </w:tcPr>
                <w:p>
                  <w:pPr>
                    <w:pStyle w:val="87"/>
                    <w:rPr>
                      <w:rFonts w:ascii="Times New Roman" w:hAnsi="Times New Roman" w:cs="Times New Roman" w:eastAsiaTheme="minorEastAsia"/>
                    </w:rPr>
                  </w:pPr>
                  <w:r>
                    <w:rPr>
                      <w:rFonts w:ascii="Times New Roman" w:hAnsi="Times New Roman" w:cs="Times New Roman" w:eastAsiaTheme="minorEastAsia"/>
                    </w:rPr>
                    <w:t>0.498008</w:t>
                  </w:r>
                </w:p>
              </w:tc>
            </w:tr>
          </w:tbl>
          <w:p>
            <w:pPr>
              <w:pStyle w:val="46"/>
              <w:ind w:firstLine="480"/>
            </w:pPr>
            <w:r>
              <w:t>由上表可知项目危险化学品物质数量与临界量比值为0.498008，根据《建设项目环境风险评价技术导则》（HJ169-2018）附录C可知，当Q＜1时，该项目环境风险潜势为Ⅰ。</w:t>
            </w:r>
          </w:p>
          <w:p>
            <w:pPr>
              <w:pStyle w:val="46"/>
              <w:ind w:firstLine="480"/>
            </w:pPr>
            <w:r>
              <w:t>（2）环境风险评价等级判定</w:t>
            </w:r>
          </w:p>
          <w:p>
            <w:pPr>
              <w:pStyle w:val="46"/>
              <w:ind w:firstLine="480"/>
            </w:pPr>
            <w:r>
              <w:t>环境风险评价工作等级划分为一级、二级、三级。根据建设项目涉及的物质及工艺系统危险性和所在地的环境敏感性确定环境风险潜势，按照下表确定评价工作等级。风险潜势为Ⅳ及以上，进行一级评价；风险潜势为Ⅲ，进行二级评价；风险潜势为Ⅱ，进行三级评价；风险潜势为Ⅰ，可开展简单分析。</w:t>
            </w:r>
          </w:p>
          <w:p>
            <w:pPr>
              <w:ind w:firstLine="480" w:firstLineChars="200"/>
              <w:rPr>
                <w:szCs w:val="21"/>
              </w:rPr>
            </w:pPr>
            <w:r>
              <w:rPr>
                <w:szCs w:val="21"/>
              </w:rPr>
              <w:t>（3）环境风险识别</w:t>
            </w:r>
          </w:p>
          <w:p>
            <w:pPr>
              <w:ind w:firstLine="480" w:firstLineChars="200"/>
              <w:rPr>
                <w:szCs w:val="21"/>
              </w:rPr>
            </w:pPr>
            <w:r>
              <w:rPr>
                <w:rFonts w:hint="eastAsia" w:ascii="宋体" w:hAnsi="宋体" w:cs="宋体"/>
                <w:szCs w:val="21"/>
              </w:rPr>
              <w:t>①</w:t>
            </w:r>
            <w:r>
              <w:rPr>
                <w:szCs w:val="21"/>
              </w:rPr>
              <w:t>危险物质识别</w:t>
            </w:r>
          </w:p>
          <w:p>
            <w:pPr>
              <w:ind w:firstLine="480" w:firstLineChars="200"/>
              <w:rPr>
                <w:szCs w:val="21"/>
              </w:rPr>
            </w:pPr>
            <w:r>
              <w:rPr>
                <w:szCs w:val="21"/>
              </w:rPr>
              <w:t>本项目风险物质为甲醇，甲醇通过管道进入项目区，甲醇的危险特性见表4-17。</w:t>
            </w:r>
          </w:p>
          <w:p>
            <w:pPr>
              <w:pStyle w:val="38"/>
            </w:pPr>
            <w:r>
              <w:t>表4-1</w:t>
            </w:r>
            <w:r>
              <w:rPr>
                <w:rFonts w:hint="eastAsia"/>
                <w:lang w:val="en-US" w:eastAsia="zh-CN"/>
              </w:rPr>
              <w:t>7</w:t>
            </w:r>
            <w:r>
              <w:t>甲醇的理化性质及危险特性</w:t>
            </w:r>
          </w:p>
          <w:tbl>
            <w:tblPr>
              <w:tblStyle w:val="27"/>
              <w:tblW w:w="833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124"/>
              <w:gridCol w:w="2083"/>
              <w:gridCol w:w="20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化学名称</w:t>
                  </w:r>
                </w:p>
              </w:tc>
              <w:tc>
                <w:tcPr>
                  <w:tcW w:w="2124" w:type="dxa"/>
                </w:tcPr>
                <w:p>
                  <w:pPr>
                    <w:pStyle w:val="87"/>
                    <w:rPr>
                      <w:rFonts w:ascii="Times New Roman" w:hAnsi="Times New Roman" w:cs="Times New Roman"/>
                    </w:rPr>
                  </w:pPr>
                  <w:r>
                    <w:rPr>
                      <w:rFonts w:ascii="Times New Roman" w:hAnsi="Times New Roman" w:cs="Times New Roman"/>
                    </w:rPr>
                    <w:t>甲醇</w:t>
                  </w:r>
                </w:p>
              </w:tc>
              <w:tc>
                <w:tcPr>
                  <w:tcW w:w="2083" w:type="dxa"/>
                </w:tcPr>
                <w:p>
                  <w:pPr>
                    <w:pStyle w:val="87"/>
                    <w:rPr>
                      <w:rFonts w:ascii="Times New Roman" w:hAnsi="Times New Roman" w:cs="Times New Roman"/>
                    </w:rPr>
                  </w:pPr>
                  <w:r>
                    <w:rPr>
                      <w:rFonts w:ascii="Times New Roman" w:hAnsi="Times New Roman" w:cs="Times New Roman"/>
                    </w:rPr>
                    <w:t>英文名称</w:t>
                  </w:r>
                </w:p>
              </w:tc>
              <w:tc>
                <w:tcPr>
                  <w:tcW w:w="2085" w:type="dxa"/>
                </w:tcPr>
                <w:p>
                  <w:pPr>
                    <w:pStyle w:val="87"/>
                    <w:rPr>
                      <w:rFonts w:ascii="Times New Roman" w:hAnsi="Times New Roman" w:cs="Times New Roman"/>
                    </w:rPr>
                  </w:pPr>
                  <w:r>
                    <w:rPr>
                      <w:rFonts w:ascii="Times New Roman" w:hAnsi="Times New Roman" w:cs="Times New Roman"/>
                    </w:rPr>
                    <w:t>Methanol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CAS号</w:t>
                  </w:r>
                </w:p>
              </w:tc>
              <w:tc>
                <w:tcPr>
                  <w:tcW w:w="2124" w:type="dxa"/>
                </w:tcPr>
                <w:p>
                  <w:pPr>
                    <w:pStyle w:val="87"/>
                    <w:rPr>
                      <w:rFonts w:ascii="Times New Roman" w:hAnsi="Times New Roman" w:cs="Times New Roman"/>
                    </w:rPr>
                  </w:pPr>
                  <w:r>
                    <w:rPr>
                      <w:rFonts w:ascii="Times New Roman" w:hAnsi="Times New Roman" w:cs="Times New Roman"/>
                    </w:rPr>
                    <w:t>67-56-1</w:t>
                  </w:r>
                </w:p>
              </w:tc>
              <w:tc>
                <w:tcPr>
                  <w:tcW w:w="2083" w:type="dxa"/>
                </w:tcPr>
                <w:p>
                  <w:pPr>
                    <w:pStyle w:val="87"/>
                    <w:rPr>
                      <w:rFonts w:ascii="Times New Roman" w:hAnsi="Times New Roman" w:cs="Times New Roman"/>
                    </w:rPr>
                  </w:pPr>
                  <w:r>
                    <w:rPr>
                      <w:rFonts w:ascii="Times New Roman" w:hAnsi="Times New Roman" w:cs="Times New Roman"/>
                    </w:rPr>
                    <w:t>分子式</w:t>
                  </w:r>
                </w:p>
              </w:tc>
              <w:tc>
                <w:tcPr>
                  <w:tcW w:w="2085" w:type="dxa"/>
                </w:tcPr>
                <w:p>
                  <w:pPr>
                    <w:pStyle w:val="87"/>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CH</m:t>
                          </m:r>
                          <m:ctrlPr>
                            <w:rPr>
                              <w:rFonts w:ascii="Cambria Math" w:hAnsi="Cambria Math" w:cs="Times New Roman"/>
                            </w:rPr>
                          </m:ctrlPr>
                        </m:e>
                        <m:sub>
                          <m:r>
                            <w:rPr>
                              <w:rFonts w:ascii="Cambria Math" w:hAnsi="Cambria Math" w:cs="Times New Roman"/>
                            </w:rPr>
                            <m:t>4</m:t>
                          </m:r>
                          <m:ctrlPr>
                            <w:rPr>
                              <w:rFonts w:ascii="Cambria Math" w:hAnsi="Cambria Math" w:cs="Times New Roman"/>
                            </w:rPr>
                          </m:ctrlPr>
                        </m:sub>
                      </m:sSub>
                      <m:r>
                        <w:rPr>
                          <w:rFonts w:ascii="Cambria Math" w:hAnsi="Cambria Math" w:cs="Times New Roman"/>
                        </w:rPr>
                        <m:t>O</m:t>
                      </m:r>
                    </m:oMath>
                  </m:oMathPara>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相对密度（水=1）</w:t>
                  </w:r>
                </w:p>
              </w:tc>
              <w:tc>
                <w:tcPr>
                  <w:tcW w:w="2124" w:type="dxa"/>
                </w:tcPr>
                <w:p>
                  <w:pPr>
                    <w:pStyle w:val="87"/>
                    <w:rPr>
                      <w:rFonts w:ascii="Times New Roman" w:hAnsi="Times New Roman" w:cs="Times New Roman"/>
                    </w:rPr>
                  </w:pPr>
                  <w:r>
                    <w:rPr>
                      <w:rFonts w:ascii="Times New Roman" w:hAnsi="Times New Roman" w:cs="Times New Roman"/>
                    </w:rPr>
                    <w:t>0.79</w:t>
                  </w:r>
                </w:p>
              </w:tc>
              <w:tc>
                <w:tcPr>
                  <w:tcW w:w="2083" w:type="dxa"/>
                </w:tcPr>
                <w:p>
                  <w:pPr>
                    <w:pStyle w:val="87"/>
                    <w:rPr>
                      <w:rFonts w:ascii="Times New Roman" w:hAnsi="Times New Roman" w:cs="Times New Roman"/>
                    </w:rPr>
                  </w:pPr>
                  <w:r>
                    <w:rPr>
                      <w:rFonts w:ascii="Times New Roman" w:hAnsi="Times New Roman" w:cs="Times New Roman"/>
                    </w:rPr>
                    <w:t>分子量</w:t>
                  </w:r>
                </w:p>
              </w:tc>
              <w:tc>
                <w:tcPr>
                  <w:tcW w:w="2085" w:type="dxa"/>
                </w:tcPr>
                <w:p>
                  <w:pPr>
                    <w:pStyle w:val="87"/>
                    <w:rPr>
                      <w:rFonts w:ascii="Times New Roman" w:hAnsi="Times New Roman" w:cs="Times New Roman"/>
                    </w:rPr>
                  </w:pPr>
                  <w:r>
                    <w:rPr>
                      <w:rFonts w:ascii="Times New Roman" w:hAnsi="Times New Roman" w:cs="Times New Roman"/>
                    </w:rPr>
                    <w:t>32.04g/mol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临界温度</w:t>
                  </w:r>
                </w:p>
              </w:tc>
              <w:tc>
                <w:tcPr>
                  <w:tcW w:w="2124" w:type="dxa"/>
                </w:tcPr>
                <w:p>
                  <w:pPr>
                    <w:pStyle w:val="87"/>
                    <w:rPr>
                      <w:rFonts w:ascii="Times New Roman" w:hAnsi="Times New Roman" w:cs="Times New Roman"/>
                    </w:rPr>
                  </w:pPr>
                  <w:r>
                    <w:rPr>
                      <w:rFonts w:ascii="Times New Roman" w:hAnsi="Times New Roman" w:cs="Times New Roman"/>
                    </w:rPr>
                    <w:t>240</w:t>
                  </w:r>
                </w:p>
              </w:tc>
              <w:tc>
                <w:tcPr>
                  <w:tcW w:w="2083" w:type="dxa"/>
                </w:tcPr>
                <w:p>
                  <w:pPr>
                    <w:pStyle w:val="87"/>
                    <w:rPr>
                      <w:rFonts w:ascii="Times New Roman" w:hAnsi="Times New Roman" w:cs="Times New Roman"/>
                    </w:rPr>
                  </w:pPr>
                  <w:r>
                    <w:rPr>
                      <w:rFonts w:ascii="Times New Roman" w:hAnsi="Times New Roman" w:cs="Times New Roman"/>
                    </w:rPr>
                    <w:t>熔点</w:t>
                  </w:r>
                </w:p>
              </w:tc>
              <w:tc>
                <w:tcPr>
                  <w:tcW w:w="2085" w:type="dxa"/>
                </w:tcPr>
                <w:p>
                  <w:pPr>
                    <w:pStyle w:val="87"/>
                    <w:rPr>
                      <w:rFonts w:ascii="Times New Roman" w:hAnsi="Times New Roman" w:cs="Times New Roman"/>
                    </w:rPr>
                  </w:pPr>
                  <w:r>
                    <w:rPr>
                      <w:rFonts w:ascii="Times New Roman" w:hAnsi="Times New Roman" w:cs="Times New Roman"/>
                    </w:rPr>
                    <w:t>-97.8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闪点</w:t>
                  </w:r>
                </w:p>
              </w:tc>
              <w:tc>
                <w:tcPr>
                  <w:tcW w:w="2124" w:type="dxa"/>
                </w:tcPr>
                <w:p>
                  <w:pPr>
                    <w:pStyle w:val="87"/>
                    <w:rPr>
                      <w:rFonts w:ascii="Times New Roman" w:hAnsi="Times New Roman" w:cs="Times New Roman"/>
                    </w:rPr>
                  </w:pPr>
                  <w:r>
                    <w:rPr>
                      <w:rFonts w:ascii="Times New Roman" w:hAnsi="Times New Roman" w:cs="Times New Roman"/>
                    </w:rPr>
                    <w:t>11</w:t>
                  </w:r>
                </w:p>
              </w:tc>
              <w:tc>
                <w:tcPr>
                  <w:tcW w:w="2083" w:type="dxa"/>
                </w:tcPr>
                <w:p>
                  <w:pPr>
                    <w:pStyle w:val="87"/>
                    <w:rPr>
                      <w:rFonts w:ascii="Times New Roman" w:hAnsi="Times New Roman" w:cs="Times New Roman"/>
                    </w:rPr>
                  </w:pPr>
                  <w:r>
                    <w:rPr>
                      <w:rFonts w:ascii="Times New Roman" w:hAnsi="Times New Roman" w:cs="Times New Roman"/>
                    </w:rPr>
                    <w:t>沸点</w:t>
                  </w:r>
                </w:p>
              </w:tc>
              <w:tc>
                <w:tcPr>
                  <w:tcW w:w="2085" w:type="dxa"/>
                </w:tcPr>
                <w:p>
                  <w:pPr>
                    <w:pStyle w:val="87"/>
                    <w:rPr>
                      <w:rFonts w:ascii="Times New Roman" w:hAnsi="Times New Roman" w:cs="Times New Roman"/>
                    </w:rPr>
                  </w:pPr>
                  <w:r>
                    <w:rPr>
                      <w:rFonts w:ascii="Times New Roman" w:hAnsi="Times New Roman" w:cs="Times New Roman"/>
                    </w:rPr>
                    <w:t>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爆炸极限（V/V）</w:t>
                  </w:r>
                </w:p>
              </w:tc>
              <w:tc>
                <w:tcPr>
                  <w:tcW w:w="2124" w:type="dxa"/>
                </w:tcPr>
                <w:p>
                  <w:pPr>
                    <w:pStyle w:val="87"/>
                    <w:rPr>
                      <w:rFonts w:ascii="Times New Roman" w:hAnsi="Times New Roman" w:cs="Times New Roman"/>
                    </w:rPr>
                  </w:pPr>
                  <w:r>
                    <w:rPr>
                      <w:rFonts w:ascii="Times New Roman" w:hAnsi="Times New Roman" w:cs="Times New Roman"/>
                    </w:rPr>
                    <w:t>5.5%~44.0%</w:t>
                  </w:r>
                </w:p>
              </w:tc>
              <w:tc>
                <w:tcPr>
                  <w:tcW w:w="2083" w:type="dxa"/>
                </w:tcPr>
                <w:p>
                  <w:pPr>
                    <w:pStyle w:val="87"/>
                    <w:rPr>
                      <w:rFonts w:ascii="Times New Roman" w:hAnsi="Times New Roman" w:cs="Times New Roman"/>
                    </w:rPr>
                  </w:pPr>
                  <w:r>
                    <w:rPr>
                      <w:rFonts w:ascii="Times New Roman" w:hAnsi="Times New Roman" w:cs="Times New Roman"/>
                    </w:rPr>
                    <w:t>引燃温度</w:t>
                  </w:r>
                </w:p>
              </w:tc>
              <w:tc>
                <w:tcPr>
                  <w:tcW w:w="2085" w:type="dxa"/>
                </w:tcPr>
                <w:p>
                  <w:pPr>
                    <w:pStyle w:val="87"/>
                    <w:rPr>
                      <w:rFonts w:ascii="Times New Roman" w:hAnsi="Times New Roman" w:cs="Times New Roman"/>
                    </w:rPr>
                  </w:pPr>
                  <w:r>
                    <w:rPr>
                      <w:rFonts w:ascii="Times New Roman" w:hAnsi="Times New Roman" w:cs="Times New Roman"/>
                    </w:rPr>
                    <w:t>385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040" w:type="dxa"/>
                </w:tcPr>
                <w:p>
                  <w:pPr>
                    <w:pStyle w:val="87"/>
                    <w:rPr>
                      <w:rFonts w:ascii="Times New Roman" w:hAnsi="Times New Roman" w:cs="Times New Roman"/>
                    </w:rPr>
                  </w:pPr>
                  <w:r>
                    <w:rPr>
                      <w:rFonts w:ascii="Times New Roman" w:hAnsi="Times New Roman" w:cs="Times New Roman"/>
                    </w:rPr>
                    <w:t>燃烧热</w:t>
                  </w:r>
                </w:p>
              </w:tc>
              <w:tc>
                <w:tcPr>
                  <w:tcW w:w="2124" w:type="dxa"/>
                </w:tcPr>
                <w:p>
                  <w:pPr>
                    <w:pStyle w:val="87"/>
                    <w:rPr>
                      <w:rFonts w:ascii="Times New Roman" w:hAnsi="Times New Roman" w:cs="Times New Roman"/>
                    </w:rPr>
                  </w:pPr>
                  <w:r>
                    <w:rPr>
                      <w:rFonts w:ascii="Times New Roman" w:hAnsi="Times New Roman" w:cs="Times New Roman"/>
                    </w:rPr>
                    <w:t>725.76KJ/mol</w:t>
                  </w:r>
                </w:p>
              </w:tc>
              <w:tc>
                <w:tcPr>
                  <w:tcW w:w="2083" w:type="dxa"/>
                </w:tcPr>
                <w:p>
                  <w:pPr>
                    <w:pStyle w:val="87"/>
                    <w:rPr>
                      <w:rFonts w:ascii="Times New Roman" w:hAnsi="Times New Roman" w:cs="Times New Roman"/>
                    </w:rPr>
                  </w:pPr>
                  <w:r>
                    <w:rPr>
                      <w:rFonts w:ascii="Times New Roman" w:hAnsi="Times New Roman" w:cs="Times New Roman"/>
                    </w:rPr>
                    <w:t>蒸发热</w:t>
                  </w:r>
                </w:p>
              </w:tc>
              <w:tc>
                <w:tcPr>
                  <w:tcW w:w="2085" w:type="dxa"/>
                </w:tcPr>
                <w:p>
                  <w:pPr>
                    <w:pStyle w:val="87"/>
                    <w:rPr>
                      <w:rFonts w:ascii="Times New Roman" w:hAnsi="Times New Roman" w:cs="Times New Roman"/>
                    </w:rPr>
                  </w:pPr>
                  <w:r>
                    <w:rPr>
                      <w:rFonts w:ascii="Times New Roman" w:hAnsi="Times New Roman" w:cs="Times New Roman"/>
                    </w:rPr>
                    <w:t>35.32KJ/mol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外观与形状</w:t>
                  </w:r>
                </w:p>
              </w:tc>
              <w:tc>
                <w:tcPr>
                  <w:tcW w:w="6292" w:type="dxa"/>
                  <w:gridSpan w:val="3"/>
                </w:tcPr>
                <w:p>
                  <w:pPr>
                    <w:pStyle w:val="87"/>
                    <w:rPr>
                      <w:rFonts w:ascii="Times New Roman" w:hAnsi="Times New Roman" w:cs="Times New Roman"/>
                    </w:rPr>
                  </w:pPr>
                  <w:r>
                    <w:rPr>
                      <w:rFonts w:ascii="Times New Roman" w:hAnsi="Times New Roman" w:cs="Times New Roman"/>
                    </w:rPr>
                    <w:t>无色澄清液体，有刺激性气味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溶解性</w:t>
                  </w:r>
                </w:p>
              </w:tc>
              <w:tc>
                <w:tcPr>
                  <w:tcW w:w="6292" w:type="dxa"/>
                  <w:gridSpan w:val="3"/>
                </w:tcPr>
                <w:p>
                  <w:pPr>
                    <w:pStyle w:val="87"/>
                    <w:rPr>
                      <w:rFonts w:ascii="Times New Roman" w:hAnsi="Times New Roman" w:cs="Times New Roman"/>
                    </w:rPr>
                  </w:pPr>
                  <w:r>
                    <w:rPr>
                      <w:rFonts w:ascii="Times New Roman" w:hAnsi="Times New Roman" w:cs="Times New Roman"/>
                    </w:rPr>
                    <w:t>溶于水、醇、醚等多种有机溶剂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40" w:type="dxa"/>
                </w:tcPr>
                <w:p>
                  <w:pPr>
                    <w:pStyle w:val="87"/>
                    <w:rPr>
                      <w:rFonts w:ascii="Times New Roman" w:hAnsi="Times New Roman" w:cs="Times New Roman"/>
                    </w:rPr>
                  </w:pPr>
                  <w:r>
                    <w:rPr>
                      <w:rFonts w:ascii="Times New Roman" w:hAnsi="Times New Roman" w:cs="Times New Roman"/>
                    </w:rPr>
                    <w:t>主要用途</w:t>
                  </w:r>
                </w:p>
              </w:tc>
              <w:tc>
                <w:tcPr>
                  <w:tcW w:w="6292" w:type="dxa"/>
                  <w:gridSpan w:val="3"/>
                </w:tcPr>
                <w:p>
                  <w:pPr>
                    <w:pStyle w:val="87"/>
                    <w:rPr>
                      <w:rFonts w:ascii="Times New Roman" w:hAnsi="Times New Roman" w:cs="Times New Roman"/>
                    </w:rPr>
                  </w:pPr>
                  <w:r>
                    <w:rPr>
                      <w:rFonts w:ascii="Times New Roman" w:hAnsi="Times New Roman" w:cs="Times New Roman"/>
                    </w:rPr>
                    <w:t>主要用于制甲醇、香精、染料、医药、防冻剂等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2040" w:type="dxa"/>
                </w:tcPr>
                <w:p>
                  <w:pPr>
                    <w:pStyle w:val="87"/>
                    <w:rPr>
                      <w:rFonts w:ascii="Times New Roman" w:hAnsi="Times New Roman" w:cs="Times New Roman"/>
                    </w:rPr>
                  </w:pPr>
                </w:p>
                <w:p>
                  <w:pPr>
                    <w:pStyle w:val="87"/>
                    <w:rPr>
                      <w:rFonts w:ascii="Times New Roman" w:hAnsi="Times New Roman" w:cs="Times New Roman"/>
                    </w:rPr>
                  </w:pPr>
                  <w:r>
                    <w:rPr>
                      <w:rFonts w:ascii="Times New Roman" w:hAnsi="Times New Roman" w:cs="Times New Roman"/>
                    </w:rPr>
                    <w:t>危险性</w:t>
                  </w:r>
                </w:p>
              </w:tc>
              <w:tc>
                <w:tcPr>
                  <w:tcW w:w="6292" w:type="dxa"/>
                  <w:gridSpan w:val="3"/>
                </w:tcPr>
                <w:p>
                  <w:pPr>
                    <w:pStyle w:val="87"/>
                    <w:rPr>
                      <w:rFonts w:ascii="Times New Roman" w:hAnsi="Times New Roman" w:cs="Times New Roman"/>
                    </w:rPr>
                  </w:pPr>
                  <w:r>
                    <w:rPr>
                      <w:rFonts w:ascii="Times New Roman" w:hAnsi="Times New Roman" w:cs="Times New Roman"/>
                    </w:rPr>
                    <w:t>易燃，其蒸气与空气可形成爆炸性混合物，遇明火、高热能引起燃烧爆炸。与氧化剂接触发生化学反应或引起燃烧。在火场中，受热的容器有爆炸危险。其蒸气比空气重，能在较低处扩散到相当远的地方，遇火源会着火回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0" w:type="dxa"/>
                </w:tcPr>
                <w:p>
                  <w:pPr>
                    <w:pStyle w:val="87"/>
                    <w:rPr>
                      <w:rFonts w:ascii="Times New Roman" w:hAnsi="Times New Roman" w:cs="Times New Roman"/>
                    </w:rPr>
                  </w:pPr>
                  <w:r>
                    <w:rPr>
                      <w:rFonts w:ascii="Times New Roman" w:hAnsi="Times New Roman" w:cs="Times New Roman"/>
                    </w:rPr>
                    <w:t>健康危害</w:t>
                  </w:r>
                </w:p>
              </w:tc>
              <w:tc>
                <w:tcPr>
                  <w:tcW w:w="6292" w:type="dxa"/>
                  <w:gridSpan w:val="3"/>
                </w:tcPr>
                <w:p>
                  <w:pPr>
                    <w:pStyle w:val="87"/>
                    <w:rPr>
                      <w:rFonts w:ascii="Times New Roman" w:hAnsi="Times New Roman" w:cs="Times New Roman"/>
                    </w:rPr>
                  </w:pPr>
                  <w:r>
                    <w:rPr>
                      <w:rFonts w:ascii="Times New Roman" w:hAnsi="Times New Roman" w:cs="Times New Roman"/>
                    </w:rPr>
                    <w:t>对中枢神经系统有麻醉作用，对视神经和视网膜有特殊选择作用，引起病变，可致代谢性酸中毒。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040" w:type="dxa"/>
                </w:tcPr>
                <w:p>
                  <w:pPr>
                    <w:pStyle w:val="87"/>
                    <w:rPr>
                      <w:rFonts w:ascii="Times New Roman" w:hAnsi="Times New Roman" w:cs="Times New Roman"/>
                    </w:rPr>
                  </w:pPr>
                  <w:r>
                    <w:rPr>
                      <w:rFonts w:ascii="Times New Roman" w:hAnsi="Times New Roman" w:cs="Times New Roman"/>
                    </w:rPr>
                    <w:t>灭火方式</w:t>
                  </w:r>
                </w:p>
              </w:tc>
              <w:tc>
                <w:tcPr>
                  <w:tcW w:w="6292" w:type="dxa"/>
                  <w:gridSpan w:val="3"/>
                </w:tcPr>
                <w:p>
                  <w:pPr>
                    <w:pStyle w:val="87"/>
                    <w:rPr>
                      <w:rFonts w:ascii="Times New Roman" w:hAnsi="Times New Roman" w:cs="Times New Roman"/>
                    </w:rPr>
                  </w:pPr>
                  <w:r>
                    <w:rPr>
                      <w:rFonts w:ascii="Times New Roman" w:hAnsi="Times New Roman" w:cs="Times New Roman"/>
                    </w:rPr>
                    <w:t>泡沫、干粉、二氧化碳、砂土。尽可能将容器从火场移至空旷处。喷水保持火场容器冷却。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2040" w:type="dxa"/>
                </w:tcPr>
                <w:p>
                  <w:pPr>
                    <w:pStyle w:val="87"/>
                    <w:rPr>
                      <w:rFonts w:ascii="Times New Roman" w:hAnsi="Times New Roman" w:cs="Times New Roman"/>
                    </w:rPr>
                  </w:pPr>
                  <w:r>
                    <w:rPr>
                      <w:rFonts w:ascii="Times New Roman" w:hAnsi="Times New Roman" w:cs="Times New Roman"/>
                    </w:rPr>
                    <w:t>急救措施</w:t>
                  </w:r>
                </w:p>
              </w:tc>
              <w:tc>
                <w:tcPr>
                  <w:tcW w:w="6292" w:type="dxa"/>
                  <w:gridSpan w:val="3"/>
                </w:tcPr>
                <w:p>
                  <w:pPr>
                    <w:pStyle w:val="87"/>
                    <w:rPr>
                      <w:rFonts w:ascii="Times New Roman" w:hAnsi="Times New Roman" w:cs="Times New Roman"/>
                    </w:rPr>
                  </w:pPr>
                  <w:r>
                    <w:rPr>
                      <w:rFonts w:ascii="Times New Roman" w:hAnsi="Times New Roman" w:cs="Times New Roman"/>
                    </w:rPr>
                    <w:t>皮肤接触;脱去污染的衣着，用肥皂水和清水彻底冲洗皮肤。</w:t>
                  </w:r>
                </w:p>
                <w:p>
                  <w:pPr>
                    <w:pStyle w:val="87"/>
                    <w:rPr>
                      <w:rFonts w:ascii="Times New Roman" w:hAnsi="Times New Roman" w:cs="Times New Roman"/>
                    </w:rPr>
                  </w:pPr>
                  <w:r>
                    <w:rPr>
                      <w:rFonts w:ascii="Times New Roman" w:hAnsi="Times New Roman" w:cs="Times New Roman"/>
                    </w:rPr>
                    <w:t>眼睛接触;提起眼睑，用流动清水或生理盐水冲洗。就医.</w:t>
                  </w:r>
                </w:p>
                <w:p>
                  <w:pPr>
                    <w:pStyle w:val="87"/>
                    <w:rPr>
                      <w:rFonts w:ascii="Times New Roman" w:hAnsi="Times New Roman" w:cs="Times New Roman"/>
                    </w:rPr>
                  </w:pPr>
                  <w:r>
                    <w:rPr>
                      <w:rFonts w:ascii="Times New Roman" w:hAnsi="Times New Roman" w:cs="Times New Roman"/>
                    </w:rPr>
                    <w:t>吸入;迅速脱离现场至空气新鲜处。保持呼吸道通畅。如呼吸困难，给输氧。如呼吸停止，立即进行人工呼吸。就医。</w:t>
                  </w:r>
                </w:p>
                <w:p>
                  <w:pPr>
                    <w:pStyle w:val="87"/>
                    <w:rPr>
                      <w:rFonts w:ascii="Times New Roman" w:hAnsi="Times New Roman" w:cs="Times New Roman"/>
                    </w:rPr>
                  </w:pPr>
                  <w:r>
                    <w:rPr>
                      <w:rFonts w:ascii="Times New Roman" w:hAnsi="Times New Roman" w:cs="Times New Roman"/>
                    </w:rPr>
                    <w:t>食入;饮足量温水，催吐。用清水或1％硫代硫酸钠溶液洗胃。就医。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2040" w:type="dxa"/>
                </w:tcPr>
                <w:p>
                  <w:pPr>
                    <w:pStyle w:val="87"/>
                    <w:rPr>
                      <w:rFonts w:ascii="Times New Roman" w:hAnsi="Times New Roman" w:cs="Times New Roman"/>
                    </w:rPr>
                  </w:pPr>
                  <w:r>
                    <w:rPr>
                      <w:rFonts w:ascii="Times New Roman" w:hAnsi="Times New Roman" w:cs="Times New Roman"/>
                    </w:rPr>
                    <w:t>泄漏应急处理</w:t>
                  </w:r>
                </w:p>
              </w:tc>
              <w:tc>
                <w:tcPr>
                  <w:tcW w:w="6292" w:type="dxa"/>
                  <w:gridSpan w:val="3"/>
                </w:tcPr>
                <w:p>
                  <w:pPr>
                    <w:pStyle w:val="87"/>
                    <w:rPr>
                      <w:rFonts w:ascii="Times New Roman" w:hAnsi="Times New Roman" w:cs="Times New Roman"/>
                    </w:rPr>
                  </w:pPr>
                  <w:r>
                    <w:rPr>
                      <w:rFonts w:ascii="Times New Roman" w:hAnsi="Times New Roman" w:cs="Times New Roman"/>
                    </w:rPr>
                    <w:t>迅速撤离泄漏污染区人员至安全区，并进行隔离，严格限制出入。切断火源。建议应急处理人员戴自给正压式呼吸器，穿防静电工作服。不要直接接触泄漏物。尽可能切断泄漏源。防止流入下水道、排洪沟等限制性空间。小量泄漏：用砂土或其它不燃材料吸附或吸收。也可以用大量水冲洗，洗水稀释后放入废水系统。大量泄漏：构筑围堤或挖坑收容。用泡沫覆盖，降低蒸气灾害。用防爆泵转移至槽车或专用收集器内，回收或运至废物处理场所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040" w:type="dxa"/>
                </w:tcPr>
                <w:p>
                  <w:pPr>
                    <w:pStyle w:val="87"/>
                    <w:rPr>
                      <w:rFonts w:ascii="Times New Roman" w:hAnsi="Times New Roman" w:cs="Times New Roman"/>
                    </w:rPr>
                  </w:pPr>
                  <w:r>
                    <w:rPr>
                      <w:rFonts w:ascii="Times New Roman" w:hAnsi="Times New Roman" w:cs="Times New Roman"/>
                    </w:rPr>
                    <w:t>防护措施</w:t>
                  </w:r>
                </w:p>
              </w:tc>
              <w:tc>
                <w:tcPr>
                  <w:tcW w:w="6292" w:type="dxa"/>
                  <w:gridSpan w:val="3"/>
                </w:tcPr>
                <w:p>
                  <w:pPr>
                    <w:pStyle w:val="87"/>
                    <w:rPr>
                      <w:rFonts w:ascii="Times New Roman" w:hAnsi="Times New Roman" w:cs="Times New Roman"/>
                    </w:rPr>
                  </w:pPr>
                  <w:r>
                    <w:rPr>
                      <w:rFonts w:ascii="Times New Roman" w:hAnsi="Times New Roman" w:cs="Times New Roman"/>
                    </w:rPr>
                    <w:t>工程控制;生产过程中封闭，加强通风。</w:t>
                  </w:r>
                </w:p>
                <w:p>
                  <w:pPr>
                    <w:pStyle w:val="87"/>
                    <w:rPr>
                      <w:rFonts w:ascii="Times New Roman" w:hAnsi="Times New Roman" w:cs="Times New Roman"/>
                    </w:rPr>
                  </w:pPr>
                  <w:r>
                    <w:rPr>
                      <w:rFonts w:ascii="Times New Roman" w:hAnsi="Times New Roman" w:cs="Times New Roman"/>
                    </w:rPr>
                    <w:t>呼吸系统防护;可能接触其蒸汽时，应佩戴防毒面具。紧急事态抢救或建议佩戴自给式呼吸器。</w:t>
                  </w:r>
                </w:p>
                <w:p>
                  <w:pPr>
                    <w:pStyle w:val="87"/>
                    <w:rPr>
                      <w:rFonts w:ascii="Times New Roman" w:hAnsi="Times New Roman" w:cs="Times New Roman"/>
                    </w:rPr>
                  </w:pPr>
                  <w:r>
                    <w:rPr>
                      <w:rFonts w:ascii="Times New Roman" w:hAnsi="Times New Roman" w:cs="Times New Roman"/>
                    </w:rPr>
                    <w:t>其他;工作现场禁止吸烟，进食或饮水。工作后淋浴更衣，进行就业前的体检。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2040" w:type="dxa"/>
                </w:tcPr>
                <w:p>
                  <w:pPr>
                    <w:pStyle w:val="87"/>
                    <w:rPr>
                      <w:rFonts w:ascii="Times New Roman" w:hAnsi="Times New Roman" w:cs="Times New Roman"/>
                    </w:rPr>
                  </w:pPr>
                  <w:r>
                    <w:rPr>
                      <w:rFonts w:ascii="Times New Roman" w:hAnsi="Times New Roman" w:cs="Times New Roman"/>
                    </w:rPr>
                    <w:t>储存注意事项</w:t>
                  </w:r>
                </w:p>
              </w:tc>
              <w:tc>
                <w:tcPr>
                  <w:tcW w:w="6292" w:type="dxa"/>
                  <w:gridSpan w:val="3"/>
                </w:tcPr>
                <w:p>
                  <w:pPr>
                    <w:pStyle w:val="87"/>
                    <w:rPr>
                      <w:rFonts w:ascii="Times New Roman" w:hAnsi="Times New Roman" w:cs="Times New Roman"/>
                    </w:rPr>
                  </w:pPr>
                  <w:r>
                    <w:rPr>
                      <w:rFonts w:ascii="Times New Roman" w:hAnsi="Times New Roman" w:cs="Times New Roman"/>
                    </w:rPr>
                    <w:t>储存于阴凉、通风的库房。远离火种、热源。库温不宜超过30℃。保持容器密封。应与氧化剂、酸类、碱金属等分开存放，切忌混储。采用防爆型照明、通风设施。禁止使用易产生火花的机械设备和工具。储区应备有泄漏应急处理设备和合适的收容材料。</w:t>
                  </w:r>
                </w:p>
              </w:tc>
            </w:tr>
          </w:tbl>
          <w:p>
            <w:pPr>
              <w:ind w:firstLine="480" w:firstLineChars="200"/>
              <w:rPr>
                <w:szCs w:val="21"/>
              </w:rPr>
            </w:pPr>
            <w:r>
              <w:rPr>
                <w:rFonts w:hint="eastAsia" w:ascii="宋体" w:hAnsi="宋体" w:cs="宋体"/>
                <w:szCs w:val="21"/>
              </w:rPr>
              <w:t>②</w:t>
            </w:r>
            <w:r>
              <w:rPr>
                <w:szCs w:val="21"/>
              </w:rPr>
              <w:t>生产设施风险识别</w:t>
            </w:r>
          </w:p>
          <w:p>
            <w:pPr>
              <w:ind w:firstLine="480" w:firstLineChars="200"/>
              <w:rPr>
                <w:szCs w:val="21"/>
              </w:rPr>
            </w:pPr>
            <w:r>
              <w:rPr>
                <w:szCs w:val="21"/>
              </w:rPr>
              <w:t>本项目营运期风险评价主要考虑甲醇在输送过程中存在泄漏、火灾、爆炸的</w:t>
            </w:r>
          </w:p>
          <w:p>
            <w:pPr>
              <w:ind w:firstLine="480" w:firstLineChars="200"/>
              <w:rPr>
                <w:szCs w:val="21"/>
              </w:rPr>
            </w:pPr>
            <w:r>
              <w:rPr>
                <w:rFonts w:hint="eastAsia" w:ascii="宋体" w:hAnsi="宋体" w:cs="宋体"/>
                <w:szCs w:val="21"/>
              </w:rPr>
              <w:t>③</w:t>
            </w:r>
            <w:r>
              <w:rPr>
                <w:szCs w:val="21"/>
              </w:rPr>
              <w:t>危险物质向环境转移的途径识别</w:t>
            </w:r>
          </w:p>
          <w:p>
            <w:pPr>
              <w:ind w:firstLine="480" w:firstLineChars="200"/>
              <w:rPr>
                <w:szCs w:val="21"/>
              </w:rPr>
            </w:pPr>
            <w:r>
              <w:rPr>
                <w:szCs w:val="21"/>
              </w:rPr>
              <w:t>项目甲醇输送管道地埋，甲醇输送可能因腐蚀、材质、施工缺陷等因素引起泄漏，遇到点火源发生火灾爆炸。</w:t>
            </w:r>
          </w:p>
          <w:p>
            <w:pPr>
              <w:ind w:firstLine="480" w:firstLineChars="200"/>
              <w:rPr>
                <w:szCs w:val="21"/>
              </w:rPr>
            </w:pPr>
            <w:r>
              <w:rPr>
                <w:szCs w:val="21"/>
              </w:rPr>
              <w:t>（4）环境风险分析</w:t>
            </w:r>
          </w:p>
          <w:p>
            <w:pPr>
              <w:ind w:firstLine="480"/>
              <w:rPr>
                <w:kern w:val="0"/>
                <w:szCs w:val="20"/>
              </w:rPr>
            </w:pPr>
            <w:r>
              <w:rPr>
                <w:kern w:val="0"/>
                <w:szCs w:val="20"/>
              </w:rPr>
              <w:t>项目存在的主要危险物质为醇基燃料，主要危险单元为储罐区。项目的危险因素主要为</w:t>
            </w:r>
            <w:r>
              <w:t>醇基燃料储罐区和操作过程中操作不当，极易造成火灾、爆炸以及泄漏事故</w:t>
            </w:r>
            <w:r>
              <w:rPr>
                <w:kern w:val="0"/>
                <w:szCs w:val="20"/>
              </w:rPr>
              <w:t>。</w:t>
            </w:r>
          </w:p>
          <w:p>
            <w:pPr>
              <w:ind w:firstLine="480"/>
              <w:rPr>
                <w:kern w:val="0"/>
                <w:szCs w:val="20"/>
              </w:rPr>
            </w:pPr>
            <w:r>
              <w:t>本项目中涉及到的物料储罐区是环境风险较大的场所。本项目罐区中设置1个</w:t>
            </w:r>
            <w:r>
              <w:rPr>
                <w:szCs w:val="20"/>
              </w:rPr>
              <w:t>6m</w:t>
            </w:r>
            <w:r>
              <w:rPr>
                <w:szCs w:val="20"/>
                <w:vertAlign w:val="superscript"/>
              </w:rPr>
              <w:t>3</w:t>
            </w:r>
            <w:r>
              <w:t>醇基储罐</w:t>
            </w:r>
            <w:r>
              <w:rPr>
                <w:kern w:val="0"/>
                <w:szCs w:val="20"/>
              </w:rPr>
              <w:t>。</w:t>
            </w:r>
            <w:r>
              <w:t>甲类火灾危险性物质，且毒性较髙、物料量大，如果发生风险事故，后果将十分严重。罐区的火灾、爆炸事故多数是因泄漏所致，而发生泄漏频率最多的还是集中在焊接点、接口、法兰、阀门盘根附件连接处，以及储罐本体腐蚀、尤其是关闭状下的阀门内漏等。工艺操作没有严格执行操作规程，会造成罐内超压、超温、泄漏，当物料在超过规定的压力和温度下产生相态变化，会酿成爆炸事故。企业应针对本项目实际情况，设立相应的安全管理机构，建立有效的安全管理条例、制度和规定，并且要不断改进和提高管理水平，严防操作事故的发生。加强全厂干部、职工的风险意识和环境意识教育，增强安全、环境意识。</w:t>
            </w:r>
            <w:r>
              <w:rPr>
                <w:kern w:val="0"/>
                <w:szCs w:val="20"/>
              </w:rPr>
              <w:t>项目储存量综合市场需求、周转次数、运输等方面考虑，基本合理。但建设单位要加强整个储运过程的管理工作，将项目风险源的危险性降到最低。</w:t>
            </w:r>
          </w:p>
          <w:p>
            <w:pPr>
              <w:ind w:firstLine="480"/>
              <w:rPr>
                <w:kern w:val="0"/>
                <w:szCs w:val="20"/>
              </w:rPr>
            </w:pPr>
            <w:r>
              <w:rPr>
                <w:kern w:val="0"/>
                <w:szCs w:val="20"/>
              </w:rPr>
              <w:t>（5）环境风险防范措施及应急要求</w:t>
            </w:r>
          </w:p>
          <w:p>
            <w:pPr>
              <w:ind w:firstLine="480"/>
              <w:rPr>
                <w:kern w:val="0"/>
                <w:szCs w:val="20"/>
              </w:rPr>
            </w:pPr>
            <w:r>
              <w:rPr>
                <w:kern w:val="0"/>
                <w:szCs w:val="20"/>
              </w:rPr>
              <w:t>1）风险防范措施</w:t>
            </w:r>
          </w:p>
          <w:p>
            <w:pPr>
              <w:ind w:firstLine="480"/>
              <w:rPr>
                <w:kern w:val="0"/>
                <w:szCs w:val="20"/>
              </w:rPr>
            </w:pPr>
            <w:r>
              <w:rPr>
                <w:kern w:val="0"/>
                <w:szCs w:val="20"/>
              </w:rPr>
              <w:t>项目储罐的装卸必须严格按照要求操作，并定期对储罐、阀门等工件进行检查检修，最大可能避免泄漏事故的发生，事故应急池的雨水阀门应保持关闭，同时要做好储罐区围堰的防渗，避免发生风险事故时，危险物质污染地表水体和地下水。项目一旦发生环境风险事故，立即启动环境风险应急预案，针对发生的事故分级，采取相应的措施。</w:t>
            </w:r>
          </w:p>
          <w:p>
            <w:pPr>
              <w:ind w:firstLine="480"/>
              <w:rPr>
                <w:kern w:val="0"/>
                <w:szCs w:val="20"/>
              </w:rPr>
            </w:pPr>
            <w:r>
              <w:rPr>
                <w:kern w:val="0"/>
                <w:szCs w:val="20"/>
              </w:rPr>
              <w:t>项目建成后须按照《企业突发环境事件风险评估指南（试行）》相关要求，完善厂区扩建后相应的企业突发环境事件应急预案，并按照《企业事业单位突发环境事件应急预案备案管理办法（试行）》的通知（环发〔2015〕4号）进行备案。</w:t>
            </w:r>
          </w:p>
          <w:p>
            <w:pPr>
              <w:ind w:firstLine="480"/>
              <w:rPr>
                <w:kern w:val="0"/>
                <w:szCs w:val="20"/>
              </w:rPr>
            </w:pPr>
            <w:r>
              <w:rPr>
                <w:kern w:val="0"/>
                <w:szCs w:val="20"/>
              </w:rPr>
              <w:t>2）突发环境事件应急预案</w:t>
            </w:r>
          </w:p>
          <w:p>
            <w:pPr>
              <w:ind w:firstLine="480"/>
              <w:rPr>
                <w:kern w:val="0"/>
                <w:szCs w:val="20"/>
              </w:rPr>
            </w:pPr>
            <w:r>
              <w:rPr>
                <w:kern w:val="0"/>
                <w:szCs w:val="20"/>
              </w:rPr>
              <w:t>项目应急预案主要内容见</w:t>
            </w:r>
            <w:r>
              <w:t>表4-1</w:t>
            </w:r>
            <w:r>
              <w:rPr>
                <w:rFonts w:hint="eastAsia"/>
                <w:lang w:val="en-US" w:eastAsia="zh-CN"/>
              </w:rPr>
              <w:t>8</w:t>
            </w:r>
            <w:r>
              <w:rPr>
                <w:kern w:val="0"/>
                <w:szCs w:val="20"/>
              </w:rPr>
              <w:t>。</w:t>
            </w:r>
          </w:p>
          <w:p>
            <w:pPr>
              <w:pStyle w:val="38"/>
              <w:bidi w:val="0"/>
              <w:rPr>
                <w:b/>
                <w:szCs w:val="21"/>
              </w:rPr>
            </w:pPr>
            <w:r>
              <w:rPr>
                <w:b/>
                <w:szCs w:val="21"/>
              </w:rPr>
              <w:t>表</w:t>
            </w:r>
            <w:r>
              <w:t>4-1</w:t>
            </w:r>
            <w:r>
              <w:rPr>
                <w:rFonts w:hint="eastAsia"/>
                <w:lang w:val="en-US" w:eastAsia="zh-CN"/>
              </w:rPr>
              <w:t>8</w:t>
            </w:r>
            <w:r>
              <w:rPr>
                <w:b/>
                <w:szCs w:val="21"/>
              </w:rPr>
              <w:t>应急预案</w:t>
            </w:r>
          </w:p>
          <w:tbl>
            <w:tblPr>
              <w:tblStyle w:val="27"/>
              <w:tblW w:w="865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521"/>
              <w:gridCol w:w="54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序号</w:t>
                  </w:r>
                </w:p>
              </w:tc>
              <w:tc>
                <w:tcPr>
                  <w:tcW w:w="2521" w:type="dxa"/>
                  <w:vAlign w:val="center"/>
                </w:tcPr>
                <w:p>
                  <w:pPr>
                    <w:pStyle w:val="87"/>
                    <w:rPr>
                      <w:rFonts w:ascii="Times New Roman" w:hAnsi="Times New Roman" w:cs="Times New Roman"/>
                    </w:rPr>
                  </w:pPr>
                  <w:r>
                    <w:rPr>
                      <w:rFonts w:ascii="Times New Roman" w:hAnsi="Times New Roman" w:cs="Times New Roman"/>
                    </w:rPr>
                    <w:t>项目</w:t>
                  </w:r>
                </w:p>
              </w:tc>
              <w:tc>
                <w:tcPr>
                  <w:tcW w:w="5470" w:type="dxa"/>
                  <w:vAlign w:val="center"/>
                </w:tcPr>
                <w:p>
                  <w:pPr>
                    <w:pStyle w:val="87"/>
                    <w:rPr>
                      <w:rFonts w:ascii="Times New Roman" w:hAnsi="Times New Roman" w:cs="Times New Roman"/>
                    </w:rPr>
                  </w:pPr>
                  <w:r>
                    <w:rPr>
                      <w:rFonts w:ascii="Times New Roman" w:hAnsi="Times New Roman" w:cs="Times New Roman"/>
                    </w:rPr>
                    <w:t>内容及要求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1</w:t>
                  </w:r>
                </w:p>
              </w:tc>
              <w:tc>
                <w:tcPr>
                  <w:tcW w:w="2521" w:type="dxa"/>
                  <w:vAlign w:val="center"/>
                </w:tcPr>
                <w:p>
                  <w:pPr>
                    <w:pStyle w:val="87"/>
                    <w:rPr>
                      <w:rFonts w:ascii="Times New Roman" w:hAnsi="Times New Roman" w:cs="Times New Roman"/>
                    </w:rPr>
                  </w:pPr>
                  <w:r>
                    <w:rPr>
                      <w:rFonts w:ascii="Times New Roman" w:hAnsi="Times New Roman" w:cs="Times New Roman"/>
                    </w:rPr>
                    <w:t>应急计划区</w:t>
                  </w:r>
                </w:p>
              </w:tc>
              <w:tc>
                <w:tcPr>
                  <w:tcW w:w="5470" w:type="dxa"/>
                  <w:vAlign w:val="center"/>
                </w:tcPr>
                <w:p>
                  <w:pPr>
                    <w:pStyle w:val="87"/>
                    <w:rPr>
                      <w:rFonts w:hint="eastAsia" w:ascii="Times New Roman" w:hAnsi="Times New Roman" w:eastAsia="宋体" w:cs="Times New Roman"/>
                      <w:lang w:eastAsia="zh-CN"/>
                    </w:rPr>
                  </w:pPr>
                  <w:r>
                    <w:rPr>
                      <w:rFonts w:ascii="Times New Roman" w:hAnsi="Times New Roman" w:cs="Times New Roman"/>
                    </w:rPr>
                    <w:t>危险源</w:t>
                  </w:r>
                  <w:r>
                    <w:rPr>
                      <w:rFonts w:hint="eastAsia" w:ascii="Times New Roman" w:hAnsi="Times New Roman" w:cs="Times New Roman"/>
                      <w:lang w:eastAsia="zh-CN"/>
                    </w:rPr>
                    <w:t>（</w:t>
                  </w:r>
                  <w:r>
                    <w:rPr>
                      <w:rFonts w:ascii="Times New Roman" w:hAnsi="Times New Roman" w:cs="Times New Roman"/>
                    </w:rPr>
                    <w:t>醇基储罐、储存区</w:t>
                  </w:r>
                  <w:r>
                    <w:rPr>
                      <w:rFonts w:hint="eastAsia" w:ascii="Times New Roman" w:hAnsi="Times New Roman" w:cs="Times New Roman"/>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2</w:t>
                  </w:r>
                </w:p>
              </w:tc>
              <w:tc>
                <w:tcPr>
                  <w:tcW w:w="2521" w:type="dxa"/>
                  <w:vAlign w:val="center"/>
                </w:tcPr>
                <w:p>
                  <w:pPr>
                    <w:pStyle w:val="87"/>
                    <w:rPr>
                      <w:rFonts w:ascii="Times New Roman" w:hAnsi="Times New Roman" w:cs="Times New Roman"/>
                    </w:rPr>
                  </w:pPr>
                  <w:r>
                    <w:rPr>
                      <w:rFonts w:ascii="Times New Roman" w:hAnsi="Times New Roman" w:cs="Times New Roman"/>
                    </w:rPr>
                    <w:t>应急组织机构、人员</w:t>
                  </w:r>
                </w:p>
              </w:tc>
              <w:tc>
                <w:tcPr>
                  <w:tcW w:w="5470" w:type="dxa"/>
                  <w:vAlign w:val="center"/>
                </w:tcPr>
                <w:p>
                  <w:pPr>
                    <w:pStyle w:val="87"/>
                    <w:rPr>
                      <w:rFonts w:ascii="Times New Roman" w:hAnsi="Times New Roman" w:cs="Times New Roman"/>
                    </w:rPr>
                  </w:pPr>
                  <w:r>
                    <w:rPr>
                      <w:rFonts w:ascii="Times New Roman" w:hAnsi="Times New Roman" w:cs="Times New Roman"/>
                    </w:rPr>
                    <w:t>实施三级应急组织机构，各级别主要负责人为应急计划、协调第一人，应急人员必须为培训上岗熟练工；区域应急组织机构由当地政府、相关行业专家、卫生安全相关单位组成，并由当地政府进行统一调度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3</w:t>
                  </w:r>
                </w:p>
              </w:tc>
              <w:tc>
                <w:tcPr>
                  <w:tcW w:w="2521" w:type="dxa"/>
                  <w:vAlign w:val="center"/>
                </w:tcPr>
                <w:p>
                  <w:pPr>
                    <w:pStyle w:val="87"/>
                    <w:rPr>
                      <w:rFonts w:ascii="Times New Roman" w:hAnsi="Times New Roman" w:cs="Times New Roman"/>
                    </w:rPr>
                  </w:pPr>
                  <w:r>
                    <w:rPr>
                      <w:rFonts w:ascii="Times New Roman" w:hAnsi="Times New Roman" w:cs="Times New Roman"/>
                    </w:rPr>
                    <w:t>预案分级响应条件</w:t>
                  </w:r>
                </w:p>
              </w:tc>
              <w:tc>
                <w:tcPr>
                  <w:tcW w:w="5470" w:type="dxa"/>
                  <w:vAlign w:val="center"/>
                </w:tcPr>
                <w:p>
                  <w:pPr>
                    <w:pStyle w:val="87"/>
                    <w:rPr>
                      <w:rFonts w:ascii="Times New Roman" w:hAnsi="Times New Roman" w:cs="Times New Roman"/>
                    </w:rPr>
                  </w:pPr>
                  <w:r>
                    <w:rPr>
                      <w:rFonts w:ascii="Times New Roman" w:hAnsi="Times New Roman" w:cs="Times New Roman"/>
                    </w:rPr>
                    <w:t>根据事故的严重程度制定相应级别的应急预案，以及适合相应情况的处理措施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4</w:t>
                  </w:r>
                </w:p>
              </w:tc>
              <w:tc>
                <w:tcPr>
                  <w:tcW w:w="2521" w:type="dxa"/>
                  <w:vAlign w:val="center"/>
                </w:tcPr>
                <w:p>
                  <w:pPr>
                    <w:pStyle w:val="87"/>
                    <w:rPr>
                      <w:rFonts w:ascii="Times New Roman" w:hAnsi="Times New Roman" w:cs="Times New Roman"/>
                    </w:rPr>
                  </w:pPr>
                  <w:r>
                    <w:rPr>
                      <w:rFonts w:ascii="Times New Roman" w:hAnsi="Times New Roman" w:cs="Times New Roman"/>
                    </w:rPr>
                    <w:t>应急救援保障</w:t>
                  </w:r>
                </w:p>
              </w:tc>
              <w:tc>
                <w:tcPr>
                  <w:tcW w:w="5470" w:type="dxa"/>
                  <w:vAlign w:val="center"/>
                </w:tcPr>
                <w:p>
                  <w:pPr>
                    <w:pStyle w:val="87"/>
                    <w:rPr>
                      <w:rFonts w:ascii="Times New Roman" w:hAnsi="Times New Roman" w:cs="Times New Roman"/>
                    </w:rPr>
                  </w:pPr>
                  <w:r>
                    <w:rPr>
                      <w:rFonts w:ascii="Times New Roman" w:hAnsi="Times New Roman" w:cs="Times New Roman"/>
                    </w:rPr>
                    <w:t>应急设施，设备与器材等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5</w:t>
                  </w:r>
                </w:p>
              </w:tc>
              <w:tc>
                <w:tcPr>
                  <w:tcW w:w="2521" w:type="dxa"/>
                  <w:vAlign w:val="center"/>
                </w:tcPr>
                <w:p>
                  <w:pPr>
                    <w:pStyle w:val="87"/>
                    <w:rPr>
                      <w:rFonts w:ascii="Times New Roman" w:hAnsi="Times New Roman" w:cs="Times New Roman"/>
                    </w:rPr>
                  </w:pPr>
                  <w:r>
                    <w:rPr>
                      <w:rFonts w:ascii="Times New Roman" w:hAnsi="Times New Roman" w:cs="Times New Roman"/>
                    </w:rPr>
                    <w:t>报警、通讯联络方式</w:t>
                  </w:r>
                </w:p>
              </w:tc>
              <w:tc>
                <w:tcPr>
                  <w:tcW w:w="5470" w:type="dxa"/>
                  <w:vAlign w:val="center"/>
                </w:tcPr>
                <w:p>
                  <w:pPr>
                    <w:pStyle w:val="87"/>
                    <w:rPr>
                      <w:rFonts w:ascii="Times New Roman" w:hAnsi="Times New Roman" w:cs="Times New Roman"/>
                    </w:rPr>
                  </w:pPr>
                  <w:r>
                    <w:rPr>
                      <w:rFonts w:ascii="Times New Roman" w:hAnsi="Times New Roman" w:cs="Times New Roman"/>
                    </w:rPr>
                    <w:t>逐一细化应急状态下各主要负责单位的报警通讯方式、地点、电话号码以及相关配套的交通保障、管制、消防联络方法，涉及跨区域的还应与相关区域环境保护部门和上级环保部门保持联系，及时通报事故处理情况，以获得区域性支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6</w:t>
                  </w:r>
                </w:p>
              </w:tc>
              <w:tc>
                <w:tcPr>
                  <w:tcW w:w="2521" w:type="dxa"/>
                  <w:vAlign w:val="center"/>
                </w:tcPr>
                <w:p>
                  <w:pPr>
                    <w:pStyle w:val="87"/>
                    <w:rPr>
                      <w:rFonts w:ascii="Times New Roman" w:hAnsi="Times New Roman" w:cs="Times New Roman"/>
                    </w:rPr>
                  </w:pPr>
                  <w:r>
                    <w:rPr>
                      <w:rFonts w:ascii="Times New Roman" w:hAnsi="Times New Roman" w:cs="Times New Roman"/>
                    </w:rPr>
                    <w:t>应急环境监测、抢险、救援及控制措施</w:t>
                  </w:r>
                </w:p>
              </w:tc>
              <w:tc>
                <w:tcPr>
                  <w:tcW w:w="5470" w:type="dxa"/>
                  <w:vAlign w:val="center"/>
                </w:tcPr>
                <w:p>
                  <w:pPr>
                    <w:pStyle w:val="87"/>
                    <w:rPr>
                      <w:rFonts w:ascii="Times New Roman" w:hAnsi="Times New Roman" w:cs="Times New Roman"/>
                    </w:rPr>
                  </w:pPr>
                  <w:r>
                    <w:rPr>
                      <w:rFonts w:ascii="Times New Roman" w:hAnsi="Times New Roman" w:cs="Times New Roman"/>
                    </w:rPr>
                    <w:t>由专业队伍负责对事故现场进行侦查监测，对事故性质、参数与后果进行评估，为指挥部门提供决策依据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7</w:t>
                  </w:r>
                </w:p>
              </w:tc>
              <w:tc>
                <w:tcPr>
                  <w:tcW w:w="2521" w:type="dxa"/>
                  <w:vAlign w:val="center"/>
                </w:tcPr>
                <w:p>
                  <w:pPr>
                    <w:pStyle w:val="87"/>
                    <w:rPr>
                      <w:rFonts w:ascii="Times New Roman" w:hAnsi="Times New Roman" w:cs="Times New Roman"/>
                    </w:rPr>
                  </w:pPr>
                  <w:r>
                    <w:rPr>
                      <w:rFonts w:ascii="Times New Roman" w:hAnsi="Times New Roman" w:cs="Times New Roman"/>
                    </w:rPr>
                    <w:t>应急检测、防护措施、清除泄漏措施和器材</w:t>
                  </w:r>
                </w:p>
              </w:tc>
              <w:tc>
                <w:tcPr>
                  <w:tcW w:w="5470" w:type="dxa"/>
                  <w:vAlign w:val="center"/>
                </w:tcPr>
                <w:p>
                  <w:pPr>
                    <w:pStyle w:val="87"/>
                    <w:rPr>
                      <w:rFonts w:ascii="Times New Roman" w:hAnsi="Times New Roman" w:cs="Times New Roman"/>
                    </w:rPr>
                  </w:pPr>
                  <w:r>
                    <w:rPr>
                      <w:rFonts w:ascii="Times New Roman" w:hAnsi="Times New Roman" w:cs="Times New Roman"/>
                    </w:rPr>
                    <w:t>事故现场、邻近区域、控制防火区域，控制和清除污染措施及相应设备的数量、使用方法、使用人员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8</w:t>
                  </w:r>
                </w:p>
              </w:tc>
              <w:tc>
                <w:tcPr>
                  <w:tcW w:w="2521" w:type="dxa"/>
                  <w:vAlign w:val="center"/>
                </w:tcPr>
                <w:p>
                  <w:pPr>
                    <w:pStyle w:val="87"/>
                    <w:rPr>
                      <w:rFonts w:ascii="Times New Roman" w:hAnsi="Times New Roman" w:cs="Times New Roman"/>
                    </w:rPr>
                  </w:pPr>
                  <w:r>
                    <w:rPr>
                      <w:rFonts w:ascii="Times New Roman" w:hAnsi="Times New Roman" w:cs="Times New Roman"/>
                    </w:rPr>
                    <w:t>人员紧急撤离、疏散，应急剂量控制、撤离组织计划</w:t>
                  </w:r>
                </w:p>
              </w:tc>
              <w:tc>
                <w:tcPr>
                  <w:tcW w:w="5470" w:type="dxa"/>
                  <w:vAlign w:val="center"/>
                </w:tcPr>
                <w:p>
                  <w:pPr>
                    <w:pStyle w:val="87"/>
                    <w:rPr>
                      <w:rFonts w:ascii="Times New Roman" w:hAnsi="Times New Roman" w:cs="Times New Roman"/>
                    </w:rPr>
                  </w:pPr>
                  <w:r>
                    <w:rPr>
                      <w:rFonts w:ascii="Times New Roman" w:hAnsi="Times New Roman" w:cs="Times New Roman"/>
                    </w:rPr>
                    <w:t>事故现场、邻近区、受事故影响的区域人员及公众对毒物应急剂量控制规定，撤离组织计划及救护，医疗救护与公众健康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9</w:t>
                  </w:r>
                </w:p>
              </w:tc>
              <w:tc>
                <w:tcPr>
                  <w:tcW w:w="2521" w:type="dxa"/>
                  <w:vAlign w:val="center"/>
                </w:tcPr>
                <w:p>
                  <w:pPr>
                    <w:pStyle w:val="87"/>
                    <w:rPr>
                      <w:rFonts w:ascii="Times New Roman" w:hAnsi="Times New Roman" w:cs="Times New Roman"/>
                    </w:rPr>
                  </w:pPr>
                  <w:r>
                    <w:rPr>
                      <w:rFonts w:ascii="Times New Roman" w:hAnsi="Times New Roman" w:cs="Times New Roman"/>
                    </w:rPr>
                    <w:t>事故应急救援关闭程序与恢复措施</w:t>
                  </w:r>
                </w:p>
              </w:tc>
              <w:tc>
                <w:tcPr>
                  <w:tcW w:w="5470" w:type="dxa"/>
                  <w:vAlign w:val="center"/>
                </w:tcPr>
                <w:p>
                  <w:pPr>
                    <w:pStyle w:val="87"/>
                    <w:rPr>
                      <w:rFonts w:ascii="Times New Roman" w:hAnsi="Times New Roman" w:cs="Times New Roman"/>
                    </w:rPr>
                  </w:pPr>
                  <w:r>
                    <w:rPr>
                      <w:rFonts w:ascii="Times New Roman" w:hAnsi="Times New Roman" w:cs="Times New Roman"/>
                    </w:rPr>
                    <w:t>规定应急状态终止程序事故现场上后处理，恢复措施邻近区域解除事故警戒及善后恢复措施制定有关的环境恢复措施组织专业人员对事故后的环境变化进行监测，对事故应急措施的环境可行性进行后影响评价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10</w:t>
                  </w:r>
                </w:p>
              </w:tc>
              <w:tc>
                <w:tcPr>
                  <w:tcW w:w="2521" w:type="dxa"/>
                  <w:vAlign w:val="center"/>
                </w:tcPr>
                <w:p>
                  <w:pPr>
                    <w:pStyle w:val="87"/>
                    <w:rPr>
                      <w:rFonts w:ascii="Times New Roman" w:hAnsi="Times New Roman" w:cs="Times New Roman"/>
                    </w:rPr>
                  </w:pPr>
                  <w:r>
                    <w:rPr>
                      <w:rFonts w:ascii="Times New Roman" w:hAnsi="Times New Roman" w:cs="Times New Roman"/>
                    </w:rPr>
                    <w:t>应急培训计划</w:t>
                  </w:r>
                </w:p>
              </w:tc>
              <w:tc>
                <w:tcPr>
                  <w:tcW w:w="5470" w:type="dxa"/>
                  <w:vAlign w:val="center"/>
                </w:tcPr>
                <w:p>
                  <w:pPr>
                    <w:pStyle w:val="87"/>
                    <w:rPr>
                      <w:rFonts w:ascii="Times New Roman" w:hAnsi="Times New Roman" w:cs="Times New Roman"/>
                    </w:rPr>
                  </w:pPr>
                  <w:r>
                    <w:rPr>
                      <w:rFonts w:ascii="Times New Roman" w:hAnsi="Times New Roman" w:cs="Times New Roman"/>
                    </w:rPr>
                    <w:t>应急计划制定后，平时安排人员培训与演练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pStyle w:val="87"/>
                    <w:rPr>
                      <w:rFonts w:ascii="Times New Roman" w:hAnsi="Times New Roman" w:cs="Times New Roman"/>
                    </w:rPr>
                  </w:pPr>
                  <w:r>
                    <w:rPr>
                      <w:rFonts w:ascii="Times New Roman" w:hAnsi="Times New Roman" w:cs="Times New Roman"/>
                    </w:rPr>
                    <w:t>11</w:t>
                  </w:r>
                </w:p>
              </w:tc>
              <w:tc>
                <w:tcPr>
                  <w:tcW w:w="2521" w:type="dxa"/>
                  <w:vAlign w:val="center"/>
                </w:tcPr>
                <w:p>
                  <w:pPr>
                    <w:pStyle w:val="87"/>
                    <w:rPr>
                      <w:rFonts w:ascii="Times New Roman" w:hAnsi="Times New Roman" w:cs="Times New Roman"/>
                    </w:rPr>
                  </w:pPr>
                  <w:r>
                    <w:rPr>
                      <w:rFonts w:ascii="Times New Roman" w:hAnsi="Times New Roman" w:cs="Times New Roman"/>
                    </w:rPr>
                    <w:t>公众教育和信息</w:t>
                  </w:r>
                </w:p>
              </w:tc>
              <w:tc>
                <w:tcPr>
                  <w:tcW w:w="5470" w:type="dxa"/>
                  <w:vAlign w:val="center"/>
                </w:tcPr>
                <w:p>
                  <w:pPr>
                    <w:pStyle w:val="87"/>
                    <w:rPr>
                      <w:rFonts w:ascii="Times New Roman" w:hAnsi="Times New Roman" w:cs="Times New Roman"/>
                    </w:rPr>
                  </w:pPr>
                  <w:r>
                    <w:rPr>
                      <w:rFonts w:ascii="Times New Roman" w:hAnsi="Times New Roman" w:cs="Times New Roman"/>
                    </w:rPr>
                    <w:t>对项目邻近地区开展公众教育、培训和发布有关信息</w:t>
                  </w:r>
                </w:p>
              </w:tc>
            </w:tr>
          </w:tbl>
          <w:p>
            <w:pPr>
              <w:ind w:firstLine="480"/>
              <w:rPr>
                <w:kern w:val="0"/>
                <w:szCs w:val="20"/>
              </w:rPr>
            </w:pPr>
            <w:r>
              <w:rPr>
                <w:kern w:val="0"/>
                <w:szCs w:val="20"/>
              </w:rPr>
              <w:t>（6）环境风险评价结论</w:t>
            </w:r>
          </w:p>
          <w:p>
            <w:pPr>
              <w:ind w:firstLine="480"/>
              <w:rPr>
                <w:kern w:val="0"/>
                <w:szCs w:val="20"/>
              </w:rPr>
            </w:pPr>
            <w:r>
              <w:rPr>
                <w:kern w:val="0"/>
                <w:szCs w:val="20"/>
              </w:rPr>
              <w:t>综上分析，项目选取物料储罐（醇基储罐）的</w:t>
            </w:r>
            <w:r>
              <w:t>火灾、爆炸、泄漏事故</w:t>
            </w:r>
            <w:r>
              <w:rPr>
                <w:kern w:val="0"/>
                <w:szCs w:val="20"/>
              </w:rPr>
              <w:t>作为最大可信事故。项目生产工艺技术成熟，在生产过程中，严格按照安全生产规范操作，严格管理厂区存在的风险物质，可减小风险事故的发生概率。根据项目预测结果及分析，在发生环境风险事故时，建设单位立即相应环境风险应急预案，采取有效的风险防范措施，控制事态扩大，项目环境风险在可控范围内。</w:t>
            </w:r>
          </w:p>
          <w:p>
            <w:pPr>
              <w:pStyle w:val="38"/>
              <w:bidi w:val="0"/>
              <w:rPr>
                <w:rFonts w:cs="Times New Roman" w:eastAsiaTheme="minorEastAsia"/>
              </w:rPr>
            </w:pPr>
            <w:r>
              <w:rPr>
                <w:rFonts w:cs="Times New Roman"/>
                <w:bCs w:val="0"/>
                <w:szCs w:val="21"/>
              </w:rPr>
              <w:t>表</w:t>
            </w:r>
            <w:r>
              <w:rPr>
                <w:rFonts w:cs="Times New Roman"/>
              </w:rPr>
              <w:t>4-1</w:t>
            </w:r>
            <w:r>
              <w:rPr>
                <w:rFonts w:hint="eastAsia" w:cs="Times New Roman"/>
                <w:lang w:val="en-US" w:eastAsia="zh-CN"/>
              </w:rPr>
              <w:t>9</w:t>
            </w:r>
            <w:r>
              <w:rPr>
                <w:rFonts w:cs="Times New Roman" w:eastAsiaTheme="minorEastAsia"/>
              </w:rPr>
              <w:t>建设项目环境风险简单分析内容表</w:t>
            </w:r>
          </w:p>
          <w:tbl>
            <w:tblPr>
              <w:tblStyle w:val="26"/>
              <w:tblW w:w="865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42"/>
              <w:gridCol w:w="75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5" w:hRule="atLeast"/>
              </w:trPr>
              <w:tc>
                <w:tcPr>
                  <w:tcW w:w="1142" w:type="dxa"/>
                </w:tcPr>
                <w:p>
                  <w:pPr>
                    <w:pStyle w:val="87"/>
                    <w:rPr>
                      <w:rFonts w:ascii="Times New Roman" w:hAnsi="Times New Roman" w:cs="Times New Roman"/>
                    </w:rPr>
                  </w:pPr>
                  <w:r>
                    <w:rPr>
                      <w:rFonts w:ascii="Times New Roman" w:hAnsi="Times New Roman" w:cs="Times New Roman"/>
                    </w:rPr>
                    <w:t>建设项目名称</w:t>
                  </w:r>
                </w:p>
              </w:tc>
              <w:tc>
                <w:tcPr>
                  <w:tcW w:w="7512" w:type="dxa"/>
                  <w:vAlign w:val="center"/>
                </w:tcPr>
                <w:p>
                  <w:pPr>
                    <w:pStyle w:val="87"/>
                    <w:rPr>
                      <w:rFonts w:ascii="Times New Roman" w:hAnsi="Times New Roman" w:cs="Times New Roman"/>
                    </w:rPr>
                  </w:pPr>
                  <w:r>
                    <w:rPr>
                      <w:rFonts w:ascii="Times New Roman" w:hAnsi="Times New Roman" w:cs="Times New Roman"/>
                    </w:rPr>
                    <w:t>巴州盛砼祥新型材料建材有限公司新能源配套设施太阳能光伏桩项目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42" w:type="dxa"/>
                </w:tcPr>
                <w:p>
                  <w:pPr>
                    <w:pStyle w:val="87"/>
                    <w:rPr>
                      <w:rFonts w:ascii="Times New Roman" w:hAnsi="Times New Roman" w:cs="Times New Roman"/>
                    </w:rPr>
                  </w:pPr>
                  <w:r>
                    <w:rPr>
                      <w:rFonts w:ascii="Times New Roman" w:hAnsi="Times New Roman" w:cs="Times New Roman"/>
                    </w:rPr>
                    <w:t>建设地点</w:t>
                  </w:r>
                </w:p>
              </w:tc>
              <w:tc>
                <w:tcPr>
                  <w:tcW w:w="7512" w:type="dxa"/>
                </w:tcPr>
                <w:p>
                  <w:pPr>
                    <w:pStyle w:val="87"/>
                    <w:rPr>
                      <w:rFonts w:ascii="Times New Roman" w:hAnsi="Times New Roman" w:cs="Times New Roman"/>
                    </w:rPr>
                  </w:pPr>
                  <w:r>
                    <w:rPr>
                      <w:rFonts w:ascii="Times New Roman" w:hAnsi="Times New Roman" w:cs="Times New Roman"/>
                      <w:lang w:bidi="en-US"/>
                    </w:rPr>
                    <w:t>新疆巴音郭楞蒙古自治州尉犁县工业园区装备制造区二期2号厂房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42" w:type="dxa"/>
                </w:tcPr>
                <w:p>
                  <w:pPr>
                    <w:pStyle w:val="87"/>
                    <w:rPr>
                      <w:rFonts w:ascii="Times New Roman" w:hAnsi="Times New Roman" w:cs="Times New Roman"/>
                    </w:rPr>
                  </w:pPr>
                  <w:r>
                    <w:rPr>
                      <w:rFonts w:ascii="Times New Roman" w:hAnsi="Times New Roman" w:cs="Times New Roman"/>
                    </w:rPr>
                    <w:t>地理坐标</w:t>
                  </w:r>
                </w:p>
              </w:tc>
              <w:tc>
                <w:tcPr>
                  <w:tcW w:w="7512" w:type="dxa"/>
                </w:tcPr>
                <w:p>
                  <w:pPr>
                    <w:pStyle w:val="87"/>
                    <w:rPr>
                      <w:rFonts w:ascii="Times New Roman" w:hAnsi="Times New Roman" w:cs="Times New Roman"/>
                    </w:rPr>
                  </w:pPr>
                  <w:r>
                    <w:rPr>
                      <w:rFonts w:ascii="Times New Roman" w:hAnsi="Times New Roman" w:cs="Times New Roman"/>
                    </w:rPr>
                    <w:t>东经</w:t>
                  </w:r>
                  <w:r>
                    <w:rPr>
                      <w:rFonts w:ascii="Times New Roman" w:hAnsi="Times New Roman" w:cs="Times New Roman"/>
                      <w:u w:val="single"/>
                    </w:rPr>
                    <w:t>86</w:t>
                  </w:r>
                  <w:r>
                    <w:rPr>
                      <w:rFonts w:ascii="Times New Roman" w:hAnsi="Times New Roman" w:cs="Times New Roman"/>
                    </w:rPr>
                    <w:t>度</w:t>
                  </w:r>
                  <w:r>
                    <w:rPr>
                      <w:rFonts w:ascii="Times New Roman" w:hAnsi="Times New Roman" w:cs="Times New Roman"/>
                      <w:u w:val="single"/>
                    </w:rPr>
                    <w:t>16</w:t>
                  </w:r>
                  <w:r>
                    <w:rPr>
                      <w:rFonts w:ascii="Times New Roman" w:hAnsi="Times New Roman" w:cs="Times New Roman"/>
                    </w:rPr>
                    <w:t>分</w:t>
                  </w:r>
                  <w:r>
                    <w:rPr>
                      <w:rFonts w:ascii="Times New Roman" w:hAnsi="Times New Roman" w:cs="Times New Roman"/>
                      <w:u w:val="single"/>
                    </w:rPr>
                    <w:t>21.801</w:t>
                  </w:r>
                  <w:r>
                    <w:rPr>
                      <w:rFonts w:ascii="Times New Roman" w:hAnsi="Times New Roman" w:cs="Times New Roman"/>
                    </w:rPr>
                    <w:t>秒，北纬</w:t>
                  </w:r>
                  <w:r>
                    <w:rPr>
                      <w:rFonts w:ascii="Times New Roman" w:hAnsi="Times New Roman" w:cs="Times New Roman"/>
                      <w:u w:val="single"/>
                    </w:rPr>
                    <w:t>41</w:t>
                  </w:r>
                  <w:r>
                    <w:rPr>
                      <w:rFonts w:ascii="Times New Roman" w:hAnsi="Times New Roman" w:cs="Times New Roman"/>
                    </w:rPr>
                    <w:t>度</w:t>
                  </w:r>
                  <w:r>
                    <w:rPr>
                      <w:rFonts w:ascii="Times New Roman" w:hAnsi="Times New Roman" w:cs="Times New Roman"/>
                      <w:u w:val="single"/>
                    </w:rPr>
                    <w:t>21</w:t>
                  </w:r>
                  <w:r>
                    <w:rPr>
                      <w:rFonts w:ascii="Times New Roman" w:hAnsi="Times New Roman" w:cs="Times New Roman"/>
                    </w:rPr>
                    <w:t>分</w:t>
                  </w:r>
                  <w:r>
                    <w:rPr>
                      <w:rFonts w:ascii="Times New Roman" w:hAnsi="Times New Roman" w:cs="Times New Roman"/>
                      <w:u w:val="single"/>
                    </w:rPr>
                    <w:t>55.480</w:t>
                  </w:r>
                  <w:r>
                    <w:rPr>
                      <w:rFonts w:ascii="Times New Roman" w:hAnsi="Times New Roman" w:cs="Times New Roman"/>
                    </w:rPr>
                    <w:t>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42" w:type="dxa"/>
                </w:tcPr>
                <w:p>
                  <w:pPr>
                    <w:pStyle w:val="87"/>
                    <w:rPr>
                      <w:rFonts w:ascii="Times New Roman" w:hAnsi="Times New Roman" w:cs="Times New Roman"/>
                    </w:rPr>
                  </w:pPr>
                  <w:r>
                    <w:rPr>
                      <w:rFonts w:ascii="Times New Roman" w:hAnsi="Times New Roman" w:cs="Times New Roman"/>
                    </w:rPr>
                    <w:t>主要危险物质及分布</w:t>
                  </w:r>
                </w:p>
              </w:tc>
              <w:tc>
                <w:tcPr>
                  <w:tcW w:w="7512" w:type="dxa"/>
                </w:tcPr>
                <w:p>
                  <w:pPr>
                    <w:pStyle w:val="87"/>
                    <w:rPr>
                      <w:rFonts w:ascii="Times New Roman" w:hAnsi="Times New Roman" w:cs="Times New Roman"/>
                    </w:rPr>
                  </w:pPr>
                  <w:r>
                    <w:rPr>
                      <w:rFonts w:ascii="Times New Roman" w:hAnsi="Times New Roman" w:cs="Times New Roman"/>
                    </w:rPr>
                    <w:t>厂区南侧设置1座6m</w:t>
                  </w:r>
                  <w:r>
                    <w:rPr>
                      <w:rFonts w:ascii="Times New Roman" w:hAnsi="Times New Roman" w:cs="Times New Roman"/>
                      <w:vertAlign w:val="superscript"/>
                    </w:rPr>
                    <w:t>3</w:t>
                  </w:r>
                  <w:r>
                    <w:rPr>
                      <w:rFonts w:ascii="Times New Roman" w:hAnsi="Times New Roman" w:cs="Times New Roman"/>
                    </w:rPr>
                    <w:t>醇基储罐，主要储存物质为醇基燃料，最大储存量约为4.98t&lt;10t（临界量）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42" w:type="dxa"/>
                  <w:vAlign w:val="center"/>
                </w:tcPr>
                <w:p>
                  <w:pPr>
                    <w:pStyle w:val="87"/>
                    <w:rPr>
                      <w:rFonts w:ascii="Times New Roman" w:hAnsi="Times New Roman" w:cs="Times New Roman"/>
                    </w:rPr>
                  </w:pPr>
                  <w:r>
                    <w:rPr>
                      <w:rFonts w:ascii="Times New Roman" w:hAnsi="Times New Roman" w:cs="Times New Roman"/>
                    </w:rPr>
                    <w:t>环境影响途径及危害后果</w:t>
                  </w:r>
                </w:p>
              </w:tc>
              <w:tc>
                <w:tcPr>
                  <w:tcW w:w="7512" w:type="dxa"/>
                  <w:vAlign w:val="center"/>
                </w:tcPr>
                <w:p>
                  <w:pPr>
                    <w:pStyle w:val="87"/>
                    <w:rPr>
                      <w:rFonts w:ascii="Times New Roman" w:hAnsi="Times New Roman" w:cs="Times New Roman"/>
                    </w:rPr>
                  </w:pPr>
                  <w:r>
                    <w:rPr>
                      <w:rFonts w:ascii="Times New Roman" w:hAnsi="Times New Roman" w:cs="Times New Roman"/>
                    </w:rPr>
                    <w:t>醇基危险物质的火灾、爆炸、泄漏</w:t>
                  </w:r>
                </w:p>
                <w:p>
                  <w:pPr>
                    <w:pStyle w:val="87"/>
                    <w:rPr>
                      <w:rFonts w:ascii="Times New Roman" w:hAnsi="Times New Roman" w:cs="Times New Roman"/>
                    </w:rPr>
                  </w:pPr>
                  <w:r>
                    <w:rPr>
                      <w:rFonts w:ascii="Times New Roman" w:hAnsi="Times New Roman" w:cs="Times New Roman"/>
                    </w:rPr>
                    <w:t>储罐未安装导除静电装置或静电导除装置失灵，由于液体在罐壁上集聚的静电荷在一定条件下放电打火，引燃物料蒸气，发生火灾、爆炸、泄漏事故；罐区的火灾、爆炸事故多数是因泄漏所致，而发生泄漏频率最多的还是集中在焊接点、接口、法兰、阀门盘根附件连接处，以及储罐本体腐蚀、尤其是关闭状下的阀门内漏等；物料的卸车过程也存在相应的危险，主要危险因素包括火灾、爆炸、泄漏等。可能引发事故的原因主要包括:操作失误、接地不良导致静电放电或配电设施不符合防爆要求，形成点火源;装卸设备用完后不归位，或平衡不良而未采取固定措施，致使设备被拉坏或压坏，导致泄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42" w:type="dxa"/>
                  <w:vAlign w:val="center"/>
                </w:tcPr>
                <w:p>
                  <w:pPr>
                    <w:pStyle w:val="87"/>
                    <w:rPr>
                      <w:rFonts w:ascii="Times New Roman" w:hAnsi="Times New Roman" w:cs="Times New Roman"/>
                    </w:rPr>
                  </w:pPr>
                  <w:r>
                    <w:rPr>
                      <w:rFonts w:ascii="Times New Roman" w:hAnsi="Times New Roman" w:cs="Times New Roman"/>
                    </w:rPr>
                    <w:t>风险防范措施要求</w:t>
                  </w:r>
                </w:p>
              </w:tc>
              <w:tc>
                <w:tcPr>
                  <w:tcW w:w="7512" w:type="dxa"/>
                  <w:vAlign w:val="center"/>
                </w:tcPr>
                <w:p>
                  <w:pPr>
                    <w:pStyle w:val="87"/>
                    <w:rPr>
                      <w:rFonts w:ascii="Times New Roman" w:hAnsi="Times New Roman" w:cs="Times New Roman"/>
                    </w:rPr>
                  </w:pPr>
                  <w:r>
                    <w:rPr>
                      <w:rFonts w:ascii="Times New Roman" w:hAnsi="Times New Roman" w:cs="Times New Roman"/>
                    </w:rPr>
                    <w:t>1、建设单位需组建安全环保管理机构，配备管理人员，通过技能培训，承担该公司运行后的环保安全工作；</w:t>
                  </w:r>
                </w:p>
                <w:p>
                  <w:pPr>
                    <w:pStyle w:val="87"/>
                    <w:rPr>
                      <w:rFonts w:ascii="Times New Roman" w:hAnsi="Times New Roman" w:cs="Times New Roman"/>
                    </w:rPr>
                  </w:pPr>
                  <w:r>
                    <w:rPr>
                      <w:rFonts w:ascii="Times New Roman" w:hAnsi="Times New Roman" w:cs="Times New Roman"/>
                    </w:rPr>
                    <w:t>2、各生产环节严格执行生产管理的有关规定，加强设备的检修及保养，操作人员必须经过专门培训，严格遵守操作规程，确保设备长期处于良好状态，使设备达到预期的处理效果；</w:t>
                  </w:r>
                </w:p>
                <w:p>
                  <w:pPr>
                    <w:pStyle w:val="87"/>
                    <w:rPr>
                      <w:rFonts w:ascii="Times New Roman" w:hAnsi="Times New Roman" w:cs="Times New Roman"/>
                    </w:rPr>
                  </w:pPr>
                  <w:r>
                    <w:rPr>
                      <w:rFonts w:ascii="Times New Roman" w:hAnsi="Times New Roman" w:cs="Times New Roman"/>
                    </w:rPr>
                    <w:t>3、贮罐设备布置露天化，保证易燃易爆和有毒物质迅速稀释和扩散。</w:t>
                  </w:r>
                </w:p>
                <w:p>
                  <w:pPr>
                    <w:pStyle w:val="87"/>
                    <w:rPr>
                      <w:rFonts w:ascii="Times New Roman" w:hAnsi="Times New Roman" w:cs="Times New Roman"/>
                    </w:rPr>
                  </w:pPr>
                  <w:r>
                    <w:rPr>
                      <w:rFonts w:ascii="Times New Roman" w:hAnsi="Times New Roman" w:cs="Times New Roman"/>
                    </w:rPr>
                    <w:t>4、对贮存易燃易爆物料的罐区设置防火堤，醇基燃料发生泄漏事故时，及时进行控制，通过覆盖，减小有毒物质的挥发。</w:t>
                  </w:r>
                </w:p>
                <w:p>
                  <w:pPr>
                    <w:pStyle w:val="87"/>
                    <w:rPr>
                      <w:rFonts w:ascii="Times New Roman" w:hAnsi="Times New Roman" w:cs="Times New Roman"/>
                    </w:rPr>
                  </w:pPr>
                  <w:r>
                    <w:rPr>
                      <w:rFonts w:ascii="Times New Roman" w:hAnsi="Times New Roman" w:cs="Times New Roman"/>
                    </w:rPr>
                    <w:t>5、醇基贮罐要选用可靠密闭、泄压装置的钢制设备（一般在罐顶装钩形管泄压），并且储存或输送腐蚀性物料的设备、管道及与其接触的仪表等，根据介质的特殊性采取防腐蚀、防泄漏措施。</w:t>
                  </w:r>
                </w:p>
                <w:p>
                  <w:pPr>
                    <w:pStyle w:val="87"/>
                    <w:rPr>
                      <w:rFonts w:ascii="Times New Roman" w:hAnsi="Times New Roman" w:cs="Times New Roman"/>
                    </w:rPr>
                  </w:pPr>
                  <w:r>
                    <w:rPr>
                      <w:rFonts w:ascii="Times New Roman" w:hAnsi="Times New Roman" w:cs="Times New Roman"/>
                    </w:rPr>
                    <w:t>6、醇基贮罐区要按《石油化工企业设计防火规范》（2008版）有关要求设置防护堤（墙），围堰的容积不应小于醇基储罐的容积。</w:t>
                  </w:r>
                </w:p>
                <w:p>
                  <w:pPr>
                    <w:pStyle w:val="87"/>
                    <w:rPr>
                      <w:rFonts w:ascii="Times New Roman" w:hAnsi="Times New Roman" w:cs="Times New Roman"/>
                    </w:rPr>
                  </w:pPr>
                  <w:r>
                    <w:rPr>
                      <w:rFonts w:ascii="Times New Roman" w:hAnsi="Times New Roman" w:cs="Times New Roman"/>
                    </w:rPr>
                    <w:t>7、醇基罐不能储存满量，平时应保持一个储罐在最低液位，预防一旦发生大量醇基泄漏，可用回收泵将醇基迅速打回预留液位最低的醇基储罐内；应在罐区围堰边准备好耐腐耐酸材料，在一旦有醇基泄漏时能用于应急堵上。</w:t>
                  </w:r>
                </w:p>
                <w:p>
                  <w:pPr>
                    <w:pStyle w:val="87"/>
                    <w:rPr>
                      <w:rFonts w:ascii="Times New Roman" w:hAnsi="Times New Roman" w:cs="Times New Roman"/>
                    </w:rPr>
                  </w:pPr>
                  <w:r>
                    <w:rPr>
                      <w:rFonts w:ascii="Times New Roman" w:hAnsi="Times New Roman" w:cs="Times New Roman"/>
                    </w:rPr>
                    <w:t>8、储罐防火设施，包括储罐罐体、保温层等采用不燃材料储罐配备液面计、呼吸阀和阻火器，储罐的进料管末端安在储罐下部，防止液体冲击产生静电，储罐保持良好的接地，设置倒罐管线。</w:t>
                  </w:r>
                </w:p>
                <w:p>
                  <w:pPr>
                    <w:pStyle w:val="87"/>
                    <w:rPr>
                      <w:rFonts w:ascii="Times New Roman" w:hAnsi="Times New Roman" w:cs="Times New Roman"/>
                    </w:rPr>
                  </w:pPr>
                  <w:r>
                    <w:rPr>
                      <w:rFonts w:ascii="Times New Roman" w:hAnsi="Times New Roman" w:cs="Times New Roman"/>
                    </w:rPr>
                    <w:t>9、要定期对储罐、接管、阀门、泵的监测、维修。</w:t>
                  </w:r>
                </w:p>
                <w:p>
                  <w:pPr>
                    <w:pStyle w:val="87"/>
                    <w:rPr>
                      <w:rFonts w:ascii="Times New Roman" w:hAnsi="Times New Roman" w:cs="Times New Roman"/>
                    </w:rPr>
                  </w:pPr>
                  <w:r>
                    <w:rPr>
                      <w:rFonts w:ascii="Times New Roman" w:hAnsi="Times New Roman" w:cs="Times New Roman"/>
                    </w:rPr>
                    <w:t>10、常备适量的石灰、沙土等，一但发生醇基泄漏事故，可迅速用于扑救。</w:t>
                  </w:r>
                </w:p>
                <w:p>
                  <w:pPr>
                    <w:pStyle w:val="87"/>
                    <w:rPr>
                      <w:rFonts w:ascii="Times New Roman" w:hAnsi="Times New Roman" w:cs="Times New Roman"/>
                    </w:rPr>
                  </w:pPr>
                  <w:r>
                    <w:rPr>
                      <w:rFonts w:ascii="Times New Roman" w:hAnsi="Times New Roman" w:cs="Times New Roman"/>
                    </w:rPr>
                    <w:t>11、醇基属危险化学品，其运输应委托有资质的单位承担。</w:t>
                  </w:r>
                </w:p>
                <w:p>
                  <w:pPr>
                    <w:pStyle w:val="87"/>
                    <w:rPr>
                      <w:rFonts w:ascii="Times New Roman" w:hAnsi="Times New Roman" w:cs="Times New Roman"/>
                    </w:rPr>
                  </w:pPr>
                  <w:r>
                    <w:rPr>
                      <w:rFonts w:ascii="Times New Roman" w:hAnsi="Times New Roman" w:cs="Times New Roman"/>
                    </w:rPr>
                    <w:t>12、项目生产工艺、管道设备应采取严格控制措施，防止污染物的跑、冒、滴、漏。项目储罐区围堰做好防渗措施，不与地下水直接接触。</w:t>
                  </w:r>
                </w:p>
                <w:p>
                  <w:pPr>
                    <w:pStyle w:val="87"/>
                    <w:rPr>
                      <w:rFonts w:ascii="Times New Roman" w:hAnsi="Times New Roman" w:cs="Times New Roman"/>
                    </w:rPr>
                  </w:pPr>
                  <w:r>
                    <w:rPr>
                      <w:rFonts w:ascii="Times New Roman" w:hAnsi="Times New Roman" w:cs="Times New Roman"/>
                    </w:rPr>
                    <w:t>13、建立和完善危险化学品事故应急</w:t>
                  </w:r>
                  <w:r>
                    <w:rPr>
                      <w:rFonts w:hint="eastAsia" w:ascii="Times New Roman" w:hAnsi="Times New Roman" w:cs="Times New Roman"/>
                      <w:lang w:eastAsia="zh-CN"/>
                    </w:rPr>
                    <w:t>救援</w:t>
                  </w:r>
                  <w:bookmarkStart w:id="8" w:name="_GoBack"/>
                  <w:bookmarkEnd w:id="8"/>
                  <w:r>
                    <w:rPr>
                      <w:rFonts w:ascii="Times New Roman" w:hAnsi="Times New Roman" w:cs="Times New Roman"/>
                    </w:rPr>
                    <w:t>体系。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42" w:type="dxa"/>
                </w:tcPr>
                <w:p>
                  <w:pPr>
                    <w:pStyle w:val="87"/>
                    <w:rPr>
                      <w:rFonts w:ascii="Times New Roman" w:hAnsi="Times New Roman" w:cs="Times New Roman"/>
                    </w:rPr>
                  </w:pPr>
                  <w:r>
                    <w:rPr>
                      <w:rFonts w:ascii="Times New Roman" w:hAnsi="Times New Roman" w:cs="Times New Roman"/>
                    </w:rPr>
                    <w:t>填表说明（列出相关信息及评价说明）：</w:t>
                  </w:r>
                </w:p>
              </w:tc>
              <w:tc>
                <w:tcPr>
                  <w:tcW w:w="7512" w:type="dxa"/>
                  <w:vAlign w:val="center"/>
                </w:tcPr>
                <w:p>
                  <w:pPr>
                    <w:pStyle w:val="87"/>
                    <w:rPr>
                      <w:rFonts w:ascii="Times New Roman" w:hAnsi="Times New Roman" w:cs="Times New Roman"/>
                    </w:rPr>
                  </w:pPr>
                  <w:r>
                    <w:rPr>
                      <w:rFonts w:ascii="Times New Roman" w:hAnsi="Times New Roman" w:cs="Times New Roman"/>
                    </w:rPr>
                    <w:t>企业认真落实各项防范措施后，本项目环境风险水平可接受，风险防范措施有效可行。</w:t>
                  </w:r>
                </w:p>
              </w:tc>
            </w:tr>
          </w:tbl>
          <w:p>
            <w:pPr>
              <w:snapToGrid w:val="0"/>
              <w:spacing w:line="360" w:lineRule="auto"/>
              <w:ind w:firstLine="482" w:firstLineChars="200"/>
              <w:rPr>
                <w:b/>
                <w:bCs/>
                <w:sz w:val="24"/>
              </w:rPr>
            </w:pPr>
            <w:r>
              <w:rPr>
                <w:rFonts w:hint="eastAsia"/>
                <w:b/>
                <w:bCs/>
                <w:sz w:val="24"/>
                <w:lang w:val="en-US" w:eastAsia="zh-CN"/>
              </w:rPr>
              <w:t>7、</w:t>
            </w:r>
            <w:r>
              <w:rPr>
                <w:b/>
                <w:bCs/>
                <w:sz w:val="24"/>
              </w:rPr>
              <w:t>环境管理</w:t>
            </w:r>
          </w:p>
          <w:p>
            <w:pPr>
              <w:snapToGrid w:val="0"/>
              <w:spacing w:line="360" w:lineRule="auto"/>
              <w:ind w:firstLine="480" w:firstLineChars="200"/>
              <w:rPr>
                <w:sz w:val="24"/>
              </w:rPr>
            </w:pPr>
            <w:r>
              <w:rPr>
                <w:sz w:val="24"/>
              </w:rPr>
              <w:t>为了缓解建设项目生产运行期对环境构成的不良影响，在采取环保治理工程措施解决建设项目环境影响的同时，必须制定全面的企业环境管理计划，加强对管理人员的环保培训，不断提高管理水平。</w:t>
            </w:r>
          </w:p>
          <w:p>
            <w:pPr>
              <w:snapToGrid w:val="0"/>
              <w:spacing w:line="360" w:lineRule="auto"/>
              <w:ind w:firstLine="480" w:firstLineChars="200"/>
              <w:rPr>
                <w:sz w:val="24"/>
              </w:rPr>
            </w:pPr>
            <w:r>
              <w:rPr>
                <w:sz w:val="24"/>
              </w:rPr>
              <w:t>对污染治理设施和管理必须与生产经营活动一起纳入企业的日常管理中，要建立岗位责任制，制定操作规程，建立管理台帐。</w:t>
            </w:r>
          </w:p>
          <w:p>
            <w:pPr>
              <w:tabs>
                <w:tab w:val="left" w:pos="371"/>
              </w:tabs>
              <w:snapToGrid w:val="0"/>
              <w:spacing w:line="360" w:lineRule="auto"/>
              <w:ind w:firstLine="480" w:firstLineChars="200"/>
              <w:rPr>
                <w:sz w:val="24"/>
              </w:rPr>
            </w:pPr>
            <w:r>
              <w:rPr>
                <w:sz w:val="24"/>
              </w:rPr>
              <w:t>运行期环境管理措施：建设单位环保工作要纳入全面工作之中，在管理环节要注重环境保护，把环保工作贯穿到厂区管理的每个部分。环保管理机构要对环境保护工作统一管理，对环保工作定期检查，并接受政府环境保护部门的监督和指导。</w:t>
            </w:r>
          </w:p>
          <w:p>
            <w:pPr>
              <w:adjustRightInd w:val="0"/>
              <w:snapToGrid w:val="0"/>
              <w:spacing w:line="360" w:lineRule="auto"/>
              <w:ind w:firstLine="482" w:firstLineChars="200"/>
              <w:rPr>
                <w:b/>
                <w:bCs/>
                <w:sz w:val="24"/>
              </w:rPr>
            </w:pPr>
            <w:r>
              <w:rPr>
                <w:rFonts w:hint="eastAsia"/>
                <w:b/>
                <w:bCs/>
                <w:sz w:val="24"/>
                <w:lang w:val="en-US" w:eastAsia="zh-CN"/>
              </w:rPr>
              <w:t>8、</w:t>
            </w:r>
            <w:r>
              <w:rPr>
                <w:b/>
                <w:bCs/>
                <w:sz w:val="24"/>
              </w:rPr>
              <w:t>排污许可证制度</w:t>
            </w:r>
          </w:p>
          <w:p>
            <w:pPr>
              <w:adjustRightInd w:val="0"/>
              <w:snapToGrid w:val="0"/>
              <w:spacing w:line="360" w:lineRule="auto"/>
              <w:ind w:firstLine="480" w:firstLineChars="200"/>
              <w:rPr>
                <w:sz w:val="24"/>
              </w:rPr>
            </w:pPr>
            <w:r>
              <w:rPr>
                <w:sz w:val="24"/>
              </w:rPr>
              <w:t>根据《固定污染源排污许可分类管理名录》（2019年版），该项目属于“二十五、非金属矿物制品业30石膏、水泥制品及类似制品制造302”类。属于登记管理，在全国排污许可证管理信息平台申报系统填报相应信息表。</w:t>
            </w:r>
          </w:p>
          <w:p>
            <w:pPr>
              <w:adjustRightInd w:val="0"/>
              <w:snapToGrid w:val="0"/>
              <w:spacing w:line="360" w:lineRule="auto"/>
              <w:ind w:firstLine="482" w:firstLineChars="200"/>
              <w:rPr>
                <w:b/>
                <w:bCs/>
                <w:sz w:val="24"/>
              </w:rPr>
            </w:pPr>
            <w:r>
              <w:rPr>
                <w:rFonts w:hint="eastAsia"/>
                <w:b/>
                <w:bCs/>
                <w:sz w:val="24"/>
                <w:lang w:val="en-US" w:eastAsia="zh-CN"/>
              </w:rPr>
              <w:t>9、</w:t>
            </w:r>
            <w:r>
              <w:rPr>
                <w:b/>
                <w:bCs/>
                <w:sz w:val="24"/>
              </w:rPr>
              <w:t>排污口规范化设置</w:t>
            </w:r>
          </w:p>
          <w:p>
            <w:pPr>
              <w:adjustRightInd w:val="0"/>
              <w:snapToGrid w:val="0"/>
              <w:spacing w:line="360" w:lineRule="auto"/>
              <w:ind w:firstLine="480" w:firstLineChars="200"/>
              <w:rPr>
                <w:sz w:val="24"/>
              </w:rPr>
            </w:pPr>
            <w:r>
              <w:rPr>
                <w:sz w:val="24"/>
              </w:rPr>
              <w:t>根据国家标准《环境保护图形标志—排放口</w:t>
            </w:r>
            <w:r>
              <w:rPr>
                <w:rFonts w:hint="eastAsia"/>
                <w:sz w:val="24"/>
                <w:lang w:eastAsia="zh-CN"/>
              </w:rPr>
              <w:t>（</w:t>
            </w:r>
            <w:r>
              <w:rPr>
                <w:sz w:val="24"/>
              </w:rPr>
              <w:t>源</w:t>
            </w:r>
            <w:r>
              <w:rPr>
                <w:rFonts w:hint="eastAsia"/>
                <w:sz w:val="24"/>
                <w:lang w:eastAsia="zh-CN"/>
              </w:rPr>
              <w:t>）</w:t>
            </w:r>
            <w:r>
              <w:rPr>
                <w:sz w:val="24"/>
              </w:rPr>
              <w:t>》和国家环保总局《排污口规范化整治要求</w:t>
            </w:r>
            <w:r>
              <w:rPr>
                <w:rFonts w:hint="eastAsia"/>
                <w:sz w:val="24"/>
                <w:lang w:eastAsia="zh-CN"/>
              </w:rPr>
              <w:t>（</w:t>
            </w:r>
            <w:r>
              <w:rPr>
                <w:sz w:val="24"/>
              </w:rPr>
              <w:t>试行》的技术要求，企业所有排放口</w:t>
            </w:r>
            <w:r>
              <w:rPr>
                <w:rFonts w:hint="eastAsia"/>
                <w:sz w:val="24"/>
                <w:lang w:eastAsia="zh-CN"/>
              </w:rPr>
              <w:t>（</w:t>
            </w:r>
            <w:r>
              <w:rPr>
                <w:sz w:val="24"/>
              </w:rPr>
              <w:t>包括气、声、渣</w:t>
            </w:r>
            <w:r>
              <w:rPr>
                <w:rFonts w:hint="eastAsia"/>
                <w:sz w:val="24"/>
                <w:lang w:eastAsia="zh-CN"/>
              </w:rPr>
              <w:t>）</w:t>
            </w:r>
            <w:r>
              <w:rPr>
                <w:sz w:val="24"/>
              </w:rPr>
              <w:t>必须按照“便于采样、便于计量监测、便于日常现场监督检查”的原则和规范化要求，设置与之相适应的环境保护图形标志牌，绘制企业排污口分布图，排污口的规范化要符合环境监察部门及水利部门的相关要求。</w:t>
            </w:r>
          </w:p>
          <w:p>
            <w:pPr>
              <w:adjustRightInd w:val="0"/>
              <w:snapToGrid w:val="0"/>
              <w:spacing w:line="360" w:lineRule="auto"/>
              <w:ind w:firstLine="480" w:firstLineChars="200"/>
              <w:rPr>
                <w:sz w:val="24"/>
              </w:rPr>
            </w:pPr>
            <w:r>
              <w:rPr>
                <w:sz w:val="24"/>
              </w:rPr>
              <w:t>在厂区“三废”及噪声排放点，设置明显标志，标志的设置应执行《环境保护图形标志排放口》</w:t>
            </w:r>
            <w:r>
              <w:rPr>
                <w:rFonts w:hint="eastAsia"/>
                <w:sz w:val="24"/>
                <w:lang w:eastAsia="zh-CN"/>
              </w:rPr>
              <w:t>（</w:t>
            </w:r>
            <w:r>
              <w:rPr>
                <w:sz w:val="24"/>
              </w:rPr>
              <w:t>15562.1-1995</w:t>
            </w:r>
            <w:r>
              <w:rPr>
                <w:rFonts w:hint="eastAsia"/>
                <w:sz w:val="24"/>
                <w:lang w:eastAsia="zh-CN"/>
              </w:rPr>
              <w:t>）</w:t>
            </w:r>
            <w:r>
              <w:rPr>
                <w:rFonts w:hint="eastAsia"/>
                <w:sz w:val="24"/>
                <w:lang w:val="en-US" w:eastAsia="zh-CN"/>
              </w:rPr>
              <w:t>及修改单（生态环境部公告2023年第5号）、《危险废物识别标志设置技术规范》（HJ1276-2022）</w:t>
            </w:r>
            <w:r>
              <w:rPr>
                <w:sz w:val="24"/>
              </w:rPr>
              <w:t>中有关规定，见下表。</w:t>
            </w:r>
          </w:p>
          <w:p>
            <w:pPr>
              <w:adjustRightInd w:val="0"/>
              <w:snapToGrid w:val="0"/>
              <w:spacing w:line="360" w:lineRule="auto"/>
              <w:ind w:firstLine="480" w:firstLineChars="200"/>
              <w:rPr>
                <w:sz w:val="24"/>
              </w:rPr>
            </w:pPr>
            <w:r>
              <w:rPr>
                <w:sz w:val="24"/>
              </w:rPr>
              <w:fldChar w:fldCharType="begin"/>
            </w:r>
            <w:r>
              <w:rPr>
                <w:sz w:val="24"/>
              </w:rPr>
              <w:instrText xml:space="preserve"> = 1 \* GB3 </w:instrText>
            </w:r>
            <w:r>
              <w:rPr>
                <w:sz w:val="24"/>
              </w:rPr>
              <w:fldChar w:fldCharType="separate"/>
            </w:r>
            <w:r>
              <w:rPr>
                <w:rFonts w:hint="eastAsia" w:ascii="宋体" w:hAnsi="宋体" w:cs="宋体"/>
                <w:sz w:val="24"/>
              </w:rPr>
              <w:t>①</w:t>
            </w:r>
            <w:r>
              <w:rPr>
                <w:sz w:val="24"/>
              </w:rPr>
              <w:fldChar w:fldCharType="end"/>
            </w:r>
            <w:r>
              <w:rPr>
                <w:sz w:val="24"/>
              </w:rPr>
              <w:t>废气排放口必须符合规定的高度和按《污染源监测技术规范》便于采样、监测的要求，设置采样口，如无法满足要求的，其采样口与环境监测部门共同确认。</w:t>
            </w:r>
          </w:p>
          <w:p>
            <w:pPr>
              <w:adjustRightInd w:val="0"/>
              <w:snapToGrid w:val="0"/>
              <w:spacing w:line="360" w:lineRule="auto"/>
              <w:ind w:firstLine="480" w:firstLineChars="200"/>
              <w:rPr>
                <w:sz w:val="24"/>
              </w:rPr>
            </w:pPr>
            <w:r>
              <w:rPr>
                <w:sz w:val="24"/>
              </w:rPr>
              <w:fldChar w:fldCharType="begin"/>
            </w:r>
            <w:r>
              <w:rPr>
                <w:sz w:val="24"/>
              </w:rPr>
              <w:instrText xml:space="preserve"> = 2 \* GB3 </w:instrText>
            </w:r>
            <w:r>
              <w:rPr>
                <w:sz w:val="24"/>
              </w:rPr>
              <w:fldChar w:fldCharType="separate"/>
            </w:r>
            <w:r>
              <w:rPr>
                <w:rFonts w:hint="eastAsia" w:ascii="宋体" w:hAnsi="宋体" w:cs="宋体"/>
                <w:sz w:val="24"/>
              </w:rPr>
              <w:t>②</w:t>
            </w:r>
            <w:r>
              <w:rPr>
                <w:sz w:val="24"/>
              </w:rPr>
              <w:fldChar w:fldCharType="end"/>
            </w:r>
            <w:r>
              <w:rPr>
                <w:sz w:val="24"/>
              </w:rPr>
              <w:t>设置标志牌环境保护图形标志牌由国家环保总局统一定点制作，并由市环境监察部门根据企业排污情况统一向国家环保总局订购。企业排污口分布图由市环境监察部门统一绘制。标志牌设置位置在排污口</w:t>
            </w:r>
            <w:r>
              <w:rPr>
                <w:rFonts w:hint="eastAsia"/>
                <w:sz w:val="24"/>
                <w:lang w:eastAsia="zh-CN"/>
              </w:rPr>
              <w:t>（</w:t>
            </w:r>
            <w:r>
              <w:rPr>
                <w:sz w:val="24"/>
              </w:rPr>
              <w:t>采样点</w:t>
            </w:r>
            <w:r>
              <w:rPr>
                <w:rFonts w:hint="eastAsia"/>
                <w:sz w:val="24"/>
                <w:lang w:eastAsia="zh-CN"/>
              </w:rPr>
              <w:t>）</w:t>
            </w:r>
            <w:r>
              <w:rPr>
                <w:sz w:val="24"/>
              </w:rPr>
              <w:t>附近醒目处，高度为标志牌上边缘离地面2m。排污口附近1m范围内有建筑物的，设现面式标志牌，无建筑物的设立式标志牌。规范排污口的有关设置</w:t>
            </w:r>
            <w:r>
              <w:rPr>
                <w:rFonts w:hint="eastAsia"/>
                <w:sz w:val="24"/>
                <w:lang w:eastAsia="zh-CN"/>
              </w:rPr>
              <w:t>（</w:t>
            </w:r>
            <w:r>
              <w:rPr>
                <w:sz w:val="24"/>
              </w:rPr>
              <w:t>如图形标专牌、计量装置等</w:t>
            </w:r>
            <w:r>
              <w:rPr>
                <w:rFonts w:hint="eastAsia"/>
                <w:sz w:val="24"/>
                <w:lang w:eastAsia="zh-CN"/>
              </w:rPr>
              <w:t>）</w:t>
            </w:r>
            <w:r>
              <w:rPr>
                <w:sz w:val="24"/>
              </w:rPr>
              <w:t>均属于环保设施，排污单位必须负责日常的维护保养，任何单位和个人不得擅自拆除，如需要变更的须报环境监察部门同意并变更手续。</w:t>
            </w:r>
          </w:p>
          <w:p>
            <w:pPr>
              <w:pStyle w:val="38"/>
              <w:bidi w:val="0"/>
            </w:pPr>
            <w:r>
              <w:t>表</w:t>
            </w:r>
            <w:r>
              <w:rPr>
                <w:rFonts w:hint="eastAsia"/>
                <w:lang w:val="en-US" w:eastAsia="zh-CN"/>
              </w:rPr>
              <w:t>4</w:t>
            </w:r>
            <w:r>
              <w:t>-</w:t>
            </w:r>
            <w:r>
              <w:rPr>
                <w:rFonts w:hint="eastAsia"/>
                <w:lang w:val="en-US" w:eastAsia="zh-CN"/>
              </w:rPr>
              <w:t>20</w:t>
            </w:r>
            <w:r>
              <w:t>排放口标志及说明一览表</w:t>
            </w:r>
          </w:p>
          <w:tbl>
            <w:tblPr>
              <w:tblStyle w:val="26"/>
              <w:tblW w:w="836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985"/>
              <w:gridCol w:w="718"/>
              <w:gridCol w:w="1268"/>
              <w:gridCol w:w="478"/>
              <w:gridCol w:w="1047"/>
              <w:gridCol w:w="671"/>
              <w:gridCol w:w="21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8363" w:type="dxa"/>
                  <w:gridSpan w:val="7"/>
                  <w:vAlign w:val="center"/>
                </w:tcPr>
                <w:p>
                  <w:pPr>
                    <w:autoSpaceDE w:val="0"/>
                    <w:autoSpaceDN w:val="0"/>
                    <w:adjustRightInd w:val="0"/>
                    <w:snapToGrid w:val="0"/>
                    <w:spacing w:line="240" w:lineRule="auto"/>
                    <w:jc w:val="center"/>
                    <w:rPr>
                      <w:b w:val="0"/>
                      <w:bCs/>
                      <w:sz w:val="24"/>
                    </w:rPr>
                  </w:pPr>
                  <w:r>
                    <w:rPr>
                      <w:b w:val="0"/>
                      <w:bCs/>
                      <w:sz w:val="24"/>
                    </w:rPr>
                    <w:t>主要排放口标志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703" w:type="dxa"/>
                  <w:gridSpan w:val="2"/>
                  <w:vAlign w:val="center"/>
                </w:tcPr>
                <w:p>
                  <w:pPr>
                    <w:autoSpaceDE w:val="0"/>
                    <w:autoSpaceDN w:val="0"/>
                    <w:adjustRightInd w:val="0"/>
                    <w:snapToGrid w:val="0"/>
                    <w:spacing w:line="240" w:lineRule="auto"/>
                    <w:jc w:val="center"/>
                    <w:rPr>
                      <w:b w:val="0"/>
                      <w:bCs/>
                      <w:sz w:val="24"/>
                    </w:rPr>
                  </w:pPr>
                  <w:r>
                    <w:rPr>
                      <w:b w:val="0"/>
                      <w:bCs/>
                      <w:sz w:val="24"/>
                    </w:rPr>
                    <w:drawing>
                      <wp:inline distT="0" distB="0" distL="114300" distR="114300">
                        <wp:extent cx="704850" cy="704215"/>
                        <wp:effectExtent l="0" t="0" r="0" b="63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5"/>
                                <a:stretch>
                                  <a:fillRect/>
                                </a:stretch>
                              </pic:blipFill>
                              <pic:spPr>
                                <a:xfrm>
                                  <a:off x="0" y="0"/>
                                  <a:ext cx="704850" cy="704215"/>
                                </a:xfrm>
                                <a:prstGeom prst="rect">
                                  <a:avLst/>
                                </a:prstGeom>
                                <a:noFill/>
                                <a:ln>
                                  <a:noFill/>
                                </a:ln>
                              </pic:spPr>
                            </pic:pic>
                          </a:graphicData>
                        </a:graphic>
                      </wp:inline>
                    </w:drawing>
                  </w:r>
                </w:p>
              </w:tc>
              <w:tc>
                <w:tcPr>
                  <w:tcW w:w="2793" w:type="dxa"/>
                  <w:gridSpan w:val="3"/>
                  <w:vAlign w:val="center"/>
                </w:tcPr>
                <w:p>
                  <w:pPr>
                    <w:autoSpaceDE w:val="0"/>
                    <w:autoSpaceDN w:val="0"/>
                    <w:adjustRightInd w:val="0"/>
                    <w:snapToGrid w:val="0"/>
                    <w:spacing w:line="240" w:lineRule="auto"/>
                    <w:jc w:val="center"/>
                    <w:rPr>
                      <w:b w:val="0"/>
                      <w:bCs/>
                      <w:sz w:val="24"/>
                    </w:rPr>
                  </w:pPr>
                  <w:r>
                    <w:rPr>
                      <w:b w:val="0"/>
                      <w:bCs/>
                      <w:sz w:val="24"/>
                    </w:rPr>
                    <w:drawing>
                      <wp:inline distT="0" distB="0" distL="114300" distR="114300">
                        <wp:extent cx="704850" cy="704215"/>
                        <wp:effectExtent l="0" t="0" r="0" b="63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6"/>
                                <a:stretch>
                                  <a:fillRect/>
                                </a:stretch>
                              </pic:blipFill>
                              <pic:spPr>
                                <a:xfrm>
                                  <a:off x="0" y="0"/>
                                  <a:ext cx="704850" cy="704215"/>
                                </a:xfrm>
                                <a:prstGeom prst="rect">
                                  <a:avLst/>
                                </a:prstGeom>
                                <a:noFill/>
                                <a:ln>
                                  <a:noFill/>
                                </a:ln>
                              </pic:spPr>
                            </pic:pic>
                          </a:graphicData>
                        </a:graphic>
                      </wp:inline>
                    </w:drawing>
                  </w:r>
                </w:p>
              </w:tc>
              <w:tc>
                <w:tcPr>
                  <w:tcW w:w="2867" w:type="dxa"/>
                  <w:gridSpan w:val="2"/>
                  <w:vAlign w:val="center"/>
                </w:tcPr>
                <w:p>
                  <w:pPr>
                    <w:autoSpaceDE w:val="0"/>
                    <w:autoSpaceDN w:val="0"/>
                    <w:adjustRightInd w:val="0"/>
                    <w:snapToGrid w:val="0"/>
                    <w:spacing w:line="240" w:lineRule="auto"/>
                    <w:jc w:val="center"/>
                    <w:rPr>
                      <w:b w:val="0"/>
                      <w:bCs/>
                      <w:sz w:val="24"/>
                    </w:rPr>
                  </w:pPr>
                  <w:r>
                    <w:rPr>
                      <w:b w:val="0"/>
                      <w:bCs/>
                      <w:sz w:val="24"/>
                    </w:rPr>
                    <w:drawing>
                      <wp:inline distT="0" distB="0" distL="114300" distR="114300">
                        <wp:extent cx="704850" cy="704215"/>
                        <wp:effectExtent l="0" t="0" r="0" b="63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17"/>
                                <a:stretch>
                                  <a:fillRect/>
                                </a:stretch>
                              </pic:blipFill>
                              <pic:spPr>
                                <a:xfrm>
                                  <a:off x="0" y="0"/>
                                  <a:ext cx="704850" cy="704215"/>
                                </a:xfrm>
                                <a:prstGeom prst="rect">
                                  <a:avLst/>
                                </a:prstGeom>
                                <a:noFill/>
                                <a:ln>
                                  <a:noFill/>
                                </a:ln>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703" w:type="dxa"/>
                  <w:gridSpan w:val="2"/>
                  <w:vAlign w:val="center"/>
                </w:tcPr>
                <w:p>
                  <w:pPr>
                    <w:autoSpaceDE w:val="0"/>
                    <w:autoSpaceDN w:val="0"/>
                    <w:adjustRightInd w:val="0"/>
                    <w:snapToGrid w:val="0"/>
                    <w:spacing w:line="240" w:lineRule="auto"/>
                    <w:jc w:val="center"/>
                    <w:rPr>
                      <w:b w:val="0"/>
                      <w:bCs/>
                      <w:sz w:val="24"/>
                    </w:rPr>
                  </w:pPr>
                  <w:r>
                    <w:rPr>
                      <w:b w:val="0"/>
                      <w:bCs/>
                      <w:sz w:val="24"/>
                    </w:rPr>
                    <w:t>污水排放口</w:t>
                  </w:r>
                </w:p>
              </w:tc>
              <w:tc>
                <w:tcPr>
                  <w:tcW w:w="2793" w:type="dxa"/>
                  <w:gridSpan w:val="3"/>
                  <w:vAlign w:val="center"/>
                </w:tcPr>
                <w:p>
                  <w:pPr>
                    <w:autoSpaceDE w:val="0"/>
                    <w:autoSpaceDN w:val="0"/>
                    <w:adjustRightInd w:val="0"/>
                    <w:snapToGrid w:val="0"/>
                    <w:spacing w:line="240" w:lineRule="auto"/>
                    <w:jc w:val="center"/>
                    <w:rPr>
                      <w:b w:val="0"/>
                      <w:bCs/>
                      <w:sz w:val="24"/>
                    </w:rPr>
                  </w:pPr>
                  <w:r>
                    <w:rPr>
                      <w:b w:val="0"/>
                      <w:bCs/>
                      <w:sz w:val="24"/>
                    </w:rPr>
                    <w:t>废气排放口</w:t>
                  </w:r>
                </w:p>
              </w:tc>
              <w:tc>
                <w:tcPr>
                  <w:tcW w:w="2867" w:type="dxa"/>
                  <w:gridSpan w:val="2"/>
                  <w:vAlign w:val="center"/>
                </w:tcPr>
                <w:p>
                  <w:pPr>
                    <w:autoSpaceDE w:val="0"/>
                    <w:autoSpaceDN w:val="0"/>
                    <w:adjustRightInd w:val="0"/>
                    <w:snapToGrid w:val="0"/>
                    <w:spacing w:line="240" w:lineRule="auto"/>
                    <w:jc w:val="center"/>
                    <w:rPr>
                      <w:b w:val="0"/>
                      <w:bCs/>
                      <w:sz w:val="24"/>
                    </w:rPr>
                  </w:pPr>
                  <w:r>
                    <w:rPr>
                      <w:b w:val="0"/>
                      <w:bCs/>
                      <w:sz w:val="24"/>
                    </w:rPr>
                    <w:t>噪声排放源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449" w:type="dxa"/>
                  <w:gridSpan w:val="4"/>
                  <w:vAlign w:val="center"/>
                </w:tcPr>
                <w:p>
                  <w:pPr>
                    <w:autoSpaceDE w:val="0"/>
                    <w:autoSpaceDN w:val="0"/>
                    <w:adjustRightInd w:val="0"/>
                    <w:snapToGrid w:val="0"/>
                    <w:spacing w:line="240" w:lineRule="auto"/>
                    <w:jc w:val="center"/>
                    <w:rPr>
                      <w:b w:val="0"/>
                      <w:bCs/>
                      <w:sz w:val="24"/>
                    </w:rPr>
                  </w:pPr>
                  <w:r>
                    <w:rPr>
                      <w:b w:val="0"/>
                      <w:bCs/>
                      <w:sz w:val="24"/>
                    </w:rPr>
                    <w:drawing>
                      <wp:inline distT="0" distB="0" distL="114300" distR="114300">
                        <wp:extent cx="798195" cy="712470"/>
                        <wp:effectExtent l="0" t="0" r="1905" b="1143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8"/>
                                <a:stretch>
                                  <a:fillRect/>
                                </a:stretch>
                              </pic:blipFill>
                              <pic:spPr>
                                <a:xfrm>
                                  <a:off x="0" y="0"/>
                                  <a:ext cx="798195" cy="712470"/>
                                </a:xfrm>
                                <a:prstGeom prst="rect">
                                  <a:avLst/>
                                </a:prstGeom>
                                <a:noFill/>
                                <a:ln>
                                  <a:noFill/>
                                </a:ln>
                              </pic:spPr>
                            </pic:pic>
                          </a:graphicData>
                        </a:graphic>
                      </wp:inline>
                    </w:drawing>
                  </w:r>
                </w:p>
              </w:tc>
              <w:tc>
                <w:tcPr>
                  <w:tcW w:w="3914" w:type="dxa"/>
                  <w:gridSpan w:val="3"/>
                  <w:vAlign w:val="center"/>
                </w:tcPr>
                <w:p>
                  <w:pPr>
                    <w:autoSpaceDE w:val="0"/>
                    <w:autoSpaceDN w:val="0"/>
                    <w:adjustRightInd w:val="0"/>
                    <w:snapToGrid w:val="0"/>
                    <w:spacing w:line="240" w:lineRule="auto"/>
                    <w:jc w:val="center"/>
                    <w:rPr>
                      <w:b w:val="0"/>
                      <w:bCs/>
                      <w:sz w:val="24"/>
                    </w:rPr>
                  </w:pPr>
                  <w:r>
                    <w:rPr>
                      <w:b w:val="0"/>
                      <w:bCs/>
                      <w:sz w:val="24"/>
                    </w:rPr>
                    <w:drawing>
                      <wp:inline distT="0" distB="0" distL="0" distR="0">
                        <wp:extent cx="730250" cy="839470"/>
                        <wp:effectExtent l="0" t="0" r="12700"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30250" cy="839470"/>
                                </a:xfrm>
                                <a:prstGeom prst="rect">
                                  <a:avLst/>
                                </a:prstGeom>
                                <a:noFill/>
                                <a:ln>
                                  <a:noFill/>
                                </a:ln>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449" w:type="dxa"/>
                  <w:gridSpan w:val="4"/>
                  <w:vAlign w:val="center"/>
                </w:tcPr>
                <w:p>
                  <w:pPr>
                    <w:autoSpaceDE w:val="0"/>
                    <w:autoSpaceDN w:val="0"/>
                    <w:adjustRightInd w:val="0"/>
                    <w:snapToGrid w:val="0"/>
                    <w:spacing w:line="240" w:lineRule="auto"/>
                    <w:jc w:val="center"/>
                    <w:rPr>
                      <w:b w:val="0"/>
                      <w:bCs/>
                      <w:sz w:val="24"/>
                    </w:rPr>
                  </w:pPr>
                  <w:r>
                    <w:rPr>
                      <w:b w:val="0"/>
                      <w:bCs/>
                      <w:sz w:val="24"/>
                    </w:rPr>
                    <w:t>一般固体废物</w:t>
                  </w:r>
                </w:p>
              </w:tc>
              <w:tc>
                <w:tcPr>
                  <w:tcW w:w="3914" w:type="dxa"/>
                  <w:gridSpan w:val="3"/>
                  <w:vAlign w:val="center"/>
                </w:tcPr>
                <w:p>
                  <w:pPr>
                    <w:autoSpaceDE w:val="0"/>
                    <w:autoSpaceDN w:val="0"/>
                    <w:adjustRightInd w:val="0"/>
                    <w:snapToGrid w:val="0"/>
                    <w:spacing w:line="240" w:lineRule="auto"/>
                    <w:jc w:val="center"/>
                    <w:rPr>
                      <w:b w:val="0"/>
                      <w:bCs/>
                      <w:sz w:val="24"/>
                    </w:rPr>
                  </w:pPr>
                  <w:r>
                    <w:rPr>
                      <w:b w:val="0"/>
                      <w:bCs/>
                      <w:sz w:val="24"/>
                    </w:rPr>
                    <w:t>危险废物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8363" w:type="dxa"/>
                  <w:gridSpan w:val="7"/>
                  <w:vAlign w:val="center"/>
                </w:tcPr>
                <w:p>
                  <w:pPr>
                    <w:autoSpaceDE w:val="0"/>
                    <w:autoSpaceDN w:val="0"/>
                    <w:adjustRightInd w:val="0"/>
                    <w:snapToGrid w:val="0"/>
                    <w:spacing w:line="240" w:lineRule="auto"/>
                    <w:jc w:val="center"/>
                    <w:rPr>
                      <w:b w:val="0"/>
                      <w:bCs/>
                      <w:sz w:val="24"/>
                    </w:rPr>
                  </w:pPr>
                  <w:r>
                    <w:rPr>
                      <w:b w:val="0"/>
                      <w:bCs/>
                      <w:kern w:val="0"/>
                      <w:sz w:val="24"/>
                    </w:rPr>
                    <w:t>标志的形状及颜色说明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985" w:type="dxa"/>
                  <w:vAlign w:val="center"/>
                </w:tcPr>
                <w:p>
                  <w:pPr>
                    <w:autoSpaceDE w:val="0"/>
                    <w:autoSpaceDN w:val="0"/>
                    <w:adjustRightInd w:val="0"/>
                    <w:snapToGrid w:val="0"/>
                    <w:spacing w:line="240" w:lineRule="auto"/>
                    <w:jc w:val="center"/>
                    <w:rPr>
                      <w:b w:val="0"/>
                      <w:bCs/>
                      <w:sz w:val="24"/>
                    </w:rPr>
                  </w:pPr>
                </w:p>
              </w:tc>
              <w:tc>
                <w:tcPr>
                  <w:tcW w:w="1986" w:type="dxa"/>
                  <w:gridSpan w:val="2"/>
                  <w:vAlign w:val="center"/>
                </w:tcPr>
                <w:p>
                  <w:pPr>
                    <w:autoSpaceDE w:val="0"/>
                    <w:autoSpaceDN w:val="0"/>
                    <w:adjustRightInd w:val="0"/>
                    <w:snapToGrid w:val="0"/>
                    <w:spacing w:line="240" w:lineRule="auto"/>
                    <w:jc w:val="center"/>
                    <w:rPr>
                      <w:b w:val="0"/>
                      <w:bCs/>
                      <w:sz w:val="24"/>
                    </w:rPr>
                  </w:pPr>
                  <w:r>
                    <w:rPr>
                      <w:b w:val="0"/>
                      <w:bCs/>
                      <w:sz w:val="24"/>
                    </w:rPr>
                    <w:t>形状</w:t>
                  </w:r>
                </w:p>
              </w:tc>
              <w:tc>
                <w:tcPr>
                  <w:tcW w:w="2196" w:type="dxa"/>
                  <w:gridSpan w:val="3"/>
                  <w:vAlign w:val="center"/>
                </w:tcPr>
                <w:p>
                  <w:pPr>
                    <w:autoSpaceDE w:val="0"/>
                    <w:autoSpaceDN w:val="0"/>
                    <w:adjustRightInd w:val="0"/>
                    <w:snapToGrid w:val="0"/>
                    <w:spacing w:line="240" w:lineRule="auto"/>
                    <w:jc w:val="center"/>
                    <w:rPr>
                      <w:b w:val="0"/>
                      <w:bCs/>
                      <w:sz w:val="24"/>
                    </w:rPr>
                  </w:pPr>
                  <w:r>
                    <w:rPr>
                      <w:b w:val="0"/>
                      <w:bCs/>
                      <w:sz w:val="24"/>
                    </w:rPr>
                    <w:t>背景颜色</w:t>
                  </w:r>
                </w:p>
              </w:tc>
              <w:tc>
                <w:tcPr>
                  <w:tcW w:w="2196" w:type="dxa"/>
                  <w:vAlign w:val="center"/>
                </w:tcPr>
                <w:p>
                  <w:pPr>
                    <w:autoSpaceDE w:val="0"/>
                    <w:autoSpaceDN w:val="0"/>
                    <w:adjustRightInd w:val="0"/>
                    <w:snapToGrid w:val="0"/>
                    <w:spacing w:line="240" w:lineRule="auto"/>
                    <w:jc w:val="center"/>
                    <w:rPr>
                      <w:b w:val="0"/>
                      <w:bCs/>
                      <w:sz w:val="24"/>
                    </w:rPr>
                  </w:pPr>
                  <w:r>
                    <w:rPr>
                      <w:b w:val="0"/>
                      <w:bCs/>
                      <w:sz w:val="24"/>
                    </w:rPr>
                    <w:t>图形颜色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985" w:type="dxa"/>
                  <w:vAlign w:val="center"/>
                </w:tcPr>
                <w:p>
                  <w:pPr>
                    <w:autoSpaceDE w:val="0"/>
                    <w:autoSpaceDN w:val="0"/>
                    <w:adjustRightInd w:val="0"/>
                    <w:snapToGrid w:val="0"/>
                    <w:spacing w:line="240" w:lineRule="auto"/>
                    <w:jc w:val="center"/>
                    <w:rPr>
                      <w:b w:val="0"/>
                      <w:bCs/>
                      <w:sz w:val="24"/>
                    </w:rPr>
                  </w:pPr>
                  <w:r>
                    <w:rPr>
                      <w:b w:val="0"/>
                      <w:bCs/>
                      <w:sz w:val="24"/>
                    </w:rPr>
                    <w:t>警告标志</w:t>
                  </w:r>
                </w:p>
              </w:tc>
              <w:tc>
                <w:tcPr>
                  <w:tcW w:w="1986" w:type="dxa"/>
                  <w:gridSpan w:val="2"/>
                  <w:vAlign w:val="center"/>
                </w:tcPr>
                <w:p>
                  <w:pPr>
                    <w:autoSpaceDE w:val="0"/>
                    <w:autoSpaceDN w:val="0"/>
                    <w:adjustRightInd w:val="0"/>
                    <w:snapToGrid w:val="0"/>
                    <w:spacing w:line="240" w:lineRule="auto"/>
                    <w:jc w:val="center"/>
                    <w:rPr>
                      <w:b w:val="0"/>
                      <w:bCs/>
                      <w:sz w:val="24"/>
                    </w:rPr>
                  </w:pPr>
                  <w:r>
                    <w:rPr>
                      <w:b w:val="0"/>
                      <w:bCs/>
                      <w:sz w:val="24"/>
                    </w:rPr>
                    <w:t>三角形边框</w:t>
                  </w:r>
                </w:p>
              </w:tc>
              <w:tc>
                <w:tcPr>
                  <w:tcW w:w="2196" w:type="dxa"/>
                  <w:gridSpan w:val="3"/>
                  <w:vAlign w:val="center"/>
                </w:tcPr>
                <w:p>
                  <w:pPr>
                    <w:autoSpaceDE w:val="0"/>
                    <w:autoSpaceDN w:val="0"/>
                    <w:adjustRightInd w:val="0"/>
                    <w:snapToGrid w:val="0"/>
                    <w:spacing w:line="240" w:lineRule="auto"/>
                    <w:jc w:val="center"/>
                    <w:rPr>
                      <w:b w:val="0"/>
                      <w:bCs/>
                      <w:sz w:val="24"/>
                    </w:rPr>
                  </w:pPr>
                  <w:r>
                    <w:rPr>
                      <w:b w:val="0"/>
                      <w:bCs/>
                      <w:sz w:val="24"/>
                    </w:rPr>
                    <w:t>黄色</w:t>
                  </w:r>
                </w:p>
              </w:tc>
              <w:tc>
                <w:tcPr>
                  <w:tcW w:w="2196" w:type="dxa"/>
                  <w:vAlign w:val="center"/>
                </w:tcPr>
                <w:p>
                  <w:pPr>
                    <w:autoSpaceDE w:val="0"/>
                    <w:autoSpaceDN w:val="0"/>
                    <w:adjustRightInd w:val="0"/>
                    <w:snapToGrid w:val="0"/>
                    <w:spacing w:line="240" w:lineRule="auto"/>
                    <w:jc w:val="center"/>
                    <w:rPr>
                      <w:b w:val="0"/>
                      <w:bCs/>
                      <w:sz w:val="24"/>
                    </w:rPr>
                  </w:pPr>
                  <w:r>
                    <w:rPr>
                      <w:b w:val="0"/>
                      <w:bCs/>
                      <w:sz w:val="24"/>
                    </w:rPr>
                    <w:t>黑色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985" w:type="dxa"/>
                  <w:vAlign w:val="center"/>
                </w:tcPr>
                <w:p>
                  <w:pPr>
                    <w:autoSpaceDE w:val="0"/>
                    <w:autoSpaceDN w:val="0"/>
                    <w:adjustRightInd w:val="0"/>
                    <w:snapToGrid w:val="0"/>
                    <w:spacing w:line="240" w:lineRule="auto"/>
                    <w:jc w:val="center"/>
                    <w:rPr>
                      <w:b w:val="0"/>
                      <w:bCs/>
                      <w:sz w:val="24"/>
                    </w:rPr>
                  </w:pPr>
                  <w:r>
                    <w:rPr>
                      <w:b w:val="0"/>
                      <w:bCs/>
                      <w:sz w:val="24"/>
                    </w:rPr>
                    <w:t>提示标志</w:t>
                  </w:r>
                </w:p>
              </w:tc>
              <w:tc>
                <w:tcPr>
                  <w:tcW w:w="1986" w:type="dxa"/>
                  <w:gridSpan w:val="2"/>
                  <w:vAlign w:val="center"/>
                </w:tcPr>
                <w:p>
                  <w:pPr>
                    <w:autoSpaceDE w:val="0"/>
                    <w:autoSpaceDN w:val="0"/>
                    <w:adjustRightInd w:val="0"/>
                    <w:snapToGrid w:val="0"/>
                    <w:spacing w:line="240" w:lineRule="auto"/>
                    <w:jc w:val="center"/>
                    <w:rPr>
                      <w:b w:val="0"/>
                      <w:bCs/>
                      <w:sz w:val="24"/>
                    </w:rPr>
                  </w:pPr>
                  <w:r>
                    <w:rPr>
                      <w:b w:val="0"/>
                      <w:bCs/>
                      <w:sz w:val="24"/>
                    </w:rPr>
                    <w:t>正方形边框</w:t>
                  </w:r>
                </w:p>
              </w:tc>
              <w:tc>
                <w:tcPr>
                  <w:tcW w:w="2196" w:type="dxa"/>
                  <w:gridSpan w:val="3"/>
                  <w:vAlign w:val="center"/>
                </w:tcPr>
                <w:p>
                  <w:pPr>
                    <w:autoSpaceDE w:val="0"/>
                    <w:autoSpaceDN w:val="0"/>
                    <w:adjustRightInd w:val="0"/>
                    <w:snapToGrid w:val="0"/>
                    <w:spacing w:line="240" w:lineRule="auto"/>
                    <w:jc w:val="center"/>
                    <w:rPr>
                      <w:b w:val="0"/>
                      <w:bCs/>
                      <w:sz w:val="24"/>
                    </w:rPr>
                  </w:pPr>
                  <w:r>
                    <w:rPr>
                      <w:b w:val="0"/>
                      <w:bCs/>
                      <w:sz w:val="24"/>
                    </w:rPr>
                    <w:t>绿色</w:t>
                  </w:r>
                </w:p>
              </w:tc>
              <w:tc>
                <w:tcPr>
                  <w:tcW w:w="2196" w:type="dxa"/>
                  <w:vAlign w:val="center"/>
                </w:tcPr>
                <w:p>
                  <w:pPr>
                    <w:autoSpaceDE w:val="0"/>
                    <w:autoSpaceDN w:val="0"/>
                    <w:adjustRightInd w:val="0"/>
                    <w:snapToGrid w:val="0"/>
                    <w:spacing w:line="240" w:lineRule="auto"/>
                    <w:jc w:val="center"/>
                    <w:rPr>
                      <w:b w:val="0"/>
                      <w:bCs/>
                      <w:sz w:val="24"/>
                    </w:rPr>
                  </w:pPr>
                  <w:r>
                    <w:rPr>
                      <w:b w:val="0"/>
                      <w:bCs/>
                      <w:sz w:val="24"/>
                    </w:rPr>
                    <w:t>白色</w:t>
                  </w:r>
                </w:p>
              </w:tc>
            </w:tr>
          </w:tbl>
          <w:p>
            <w:pPr>
              <w:spacing w:line="360" w:lineRule="auto"/>
              <w:ind w:firstLine="482" w:firstLineChars="200"/>
              <w:rPr>
                <w:b/>
                <w:sz w:val="24"/>
              </w:rPr>
            </w:pPr>
            <w:r>
              <w:rPr>
                <w:rFonts w:hint="eastAsia"/>
                <w:b/>
                <w:sz w:val="24"/>
                <w:lang w:val="en-US" w:eastAsia="zh-CN" w:bidi="ar"/>
              </w:rPr>
              <w:t>10、</w:t>
            </w:r>
            <w:r>
              <w:rPr>
                <w:b/>
                <w:sz w:val="24"/>
                <w:lang w:bidi="ar"/>
              </w:rPr>
              <w:t>环保验收</w:t>
            </w:r>
          </w:p>
          <w:p>
            <w:pPr>
              <w:spacing w:line="360" w:lineRule="auto"/>
              <w:ind w:firstLine="480" w:firstLineChars="200"/>
              <w:rPr>
                <w:sz w:val="24"/>
                <w:lang w:bidi="ar"/>
              </w:rPr>
            </w:pPr>
            <w:r>
              <w:rPr>
                <w:sz w:val="24"/>
                <w:lang w:bidi="ar"/>
              </w:rPr>
              <w:t>（1）验收标准与范围</w:t>
            </w:r>
          </w:p>
          <w:p>
            <w:pPr>
              <w:spacing w:line="360" w:lineRule="auto"/>
              <w:ind w:firstLine="480" w:firstLineChars="200"/>
              <w:rPr>
                <w:sz w:val="24"/>
                <w:lang w:bidi="ar"/>
              </w:rPr>
            </w:pPr>
            <w:r>
              <w:rPr>
                <w:sz w:val="24"/>
              </w:rPr>
              <w:fldChar w:fldCharType="begin"/>
            </w:r>
            <w:r>
              <w:rPr>
                <w:sz w:val="24"/>
              </w:rPr>
              <w:instrText xml:space="preserve"> = 1 \* GB3 </w:instrText>
            </w:r>
            <w:r>
              <w:rPr>
                <w:sz w:val="24"/>
              </w:rPr>
              <w:fldChar w:fldCharType="separate"/>
            </w:r>
            <w:r>
              <w:rPr>
                <w:rFonts w:hint="eastAsia" w:ascii="宋体" w:hAnsi="宋体" w:cs="宋体"/>
                <w:sz w:val="24"/>
              </w:rPr>
              <w:t>①</w:t>
            </w:r>
            <w:r>
              <w:rPr>
                <w:sz w:val="24"/>
              </w:rPr>
              <w:fldChar w:fldCharType="end"/>
            </w:r>
            <w:r>
              <w:rPr>
                <w:sz w:val="24"/>
                <w:lang w:bidi="ar"/>
              </w:rPr>
              <w:t>国环规环评[2017]4号关于发布《建设项目竣工环境保护验收暂行办法》的公告中相关要求执行；</w:t>
            </w:r>
          </w:p>
          <w:p>
            <w:pPr>
              <w:spacing w:line="360" w:lineRule="auto"/>
              <w:ind w:firstLine="480" w:firstLineChars="200"/>
              <w:rPr>
                <w:sz w:val="24"/>
                <w:lang w:bidi="ar"/>
              </w:rPr>
            </w:pPr>
            <w:r>
              <w:rPr>
                <w:sz w:val="24"/>
              </w:rPr>
              <w:fldChar w:fldCharType="begin"/>
            </w:r>
            <w:r>
              <w:rPr>
                <w:sz w:val="24"/>
              </w:rPr>
              <w:instrText xml:space="preserve"> = 2 \* GB3 </w:instrText>
            </w:r>
            <w:r>
              <w:rPr>
                <w:sz w:val="24"/>
              </w:rPr>
              <w:fldChar w:fldCharType="separate"/>
            </w:r>
            <w:r>
              <w:rPr>
                <w:rFonts w:hint="eastAsia" w:ascii="宋体" w:hAnsi="宋体" w:cs="宋体"/>
                <w:sz w:val="24"/>
              </w:rPr>
              <w:t>②</w:t>
            </w:r>
            <w:r>
              <w:rPr>
                <w:sz w:val="24"/>
              </w:rPr>
              <w:fldChar w:fldCharType="end"/>
            </w:r>
            <w:r>
              <w:rPr>
                <w:sz w:val="24"/>
                <w:lang w:bidi="ar"/>
              </w:rPr>
              <w:t>与工程有关的环保设施，包括污染防治和保护环境所建成或配套建成的工程；</w:t>
            </w:r>
          </w:p>
          <w:p>
            <w:pPr>
              <w:spacing w:line="360" w:lineRule="auto"/>
              <w:ind w:firstLine="480" w:firstLineChars="200"/>
              <w:rPr>
                <w:sz w:val="24"/>
                <w:lang w:bidi="ar"/>
              </w:rPr>
            </w:pPr>
            <w:r>
              <w:rPr>
                <w:sz w:val="24"/>
                <w:lang w:bidi="ar"/>
              </w:rPr>
              <w:fldChar w:fldCharType="begin"/>
            </w:r>
            <w:r>
              <w:rPr>
                <w:sz w:val="24"/>
                <w:lang w:bidi="ar"/>
              </w:rPr>
              <w:instrText xml:space="preserve"> = 3 \* GB3 </w:instrText>
            </w:r>
            <w:r>
              <w:rPr>
                <w:sz w:val="24"/>
                <w:lang w:bidi="ar"/>
              </w:rPr>
              <w:fldChar w:fldCharType="separate"/>
            </w:r>
            <w:r>
              <w:rPr>
                <w:rFonts w:hint="eastAsia" w:ascii="宋体" w:hAnsi="宋体" w:cs="宋体"/>
                <w:sz w:val="24"/>
                <w:lang w:bidi="ar"/>
              </w:rPr>
              <w:t>③</w:t>
            </w:r>
            <w:r>
              <w:rPr>
                <w:sz w:val="24"/>
                <w:lang w:bidi="ar"/>
              </w:rPr>
              <w:fldChar w:fldCharType="end"/>
            </w:r>
            <w:r>
              <w:rPr>
                <w:sz w:val="24"/>
                <w:lang w:bidi="ar"/>
              </w:rPr>
              <w:t>本报告表及其批复文件和有关设计文件规定应采取的其他各项环保措施。</w:t>
            </w:r>
          </w:p>
          <w:p>
            <w:pPr>
              <w:spacing w:line="360" w:lineRule="auto"/>
              <w:ind w:firstLine="480" w:firstLineChars="200"/>
              <w:rPr>
                <w:sz w:val="24"/>
                <w:lang w:bidi="ar"/>
              </w:rPr>
            </w:pPr>
            <w:r>
              <w:rPr>
                <w:sz w:val="24"/>
                <w:lang w:bidi="ar"/>
              </w:rPr>
              <w:t>（2）环保“三同时”验收</w:t>
            </w:r>
          </w:p>
          <w:p>
            <w:pPr>
              <w:spacing w:line="360" w:lineRule="auto"/>
              <w:ind w:firstLine="480" w:firstLineChars="200"/>
              <w:rPr>
                <w:bCs/>
                <w:sz w:val="24"/>
              </w:rPr>
            </w:pPr>
            <w:r>
              <w:rPr>
                <w:sz w:val="24"/>
                <w:lang w:bidi="ar"/>
              </w:rPr>
              <w:t>根据国务院《关于修改&lt;建设项目环境保护管理条例&gt;的决定》（自2017年10月1日施行），编制环境影响报告表的建设项目竣工后，建设单位应当按照国务院</w:t>
            </w:r>
            <w:r>
              <w:rPr>
                <w:rFonts w:hint="eastAsia"/>
                <w:sz w:val="24"/>
                <w:lang w:bidi="ar"/>
              </w:rPr>
              <w:t>生态环境</w:t>
            </w:r>
            <w:r>
              <w:rPr>
                <w:sz w:val="24"/>
                <w:lang w:bidi="ar"/>
              </w:rPr>
              <w:t>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编制环境影响报告表的建设项目，其配套建设的环境保护设施经验收合格，方可投入生产或者使用；未经验收或者验收不合格的，不得投入生产或者使用。</w:t>
            </w:r>
            <w:r>
              <w:rPr>
                <w:sz w:val="24"/>
              </w:rPr>
              <w:t>本项目具体环保验收内容见</w:t>
            </w:r>
            <w:r>
              <w:rPr>
                <w:bCs/>
                <w:sz w:val="24"/>
              </w:rPr>
              <w:t>表</w:t>
            </w:r>
            <w:r>
              <w:rPr>
                <w:rFonts w:hint="eastAsia"/>
                <w:bCs/>
                <w:sz w:val="24"/>
                <w:lang w:val="en-US" w:eastAsia="zh-CN"/>
              </w:rPr>
              <w:t>4</w:t>
            </w:r>
            <w:r>
              <w:rPr>
                <w:bCs/>
                <w:sz w:val="24"/>
              </w:rPr>
              <w:t>-2</w:t>
            </w:r>
            <w:r>
              <w:rPr>
                <w:rFonts w:hint="eastAsia"/>
                <w:bCs/>
                <w:sz w:val="24"/>
                <w:lang w:val="en-US" w:eastAsia="zh-CN"/>
              </w:rPr>
              <w:t>1</w:t>
            </w:r>
            <w:r>
              <w:rPr>
                <w:bCs/>
                <w:sz w:val="24"/>
              </w:rPr>
              <w:t>环保验收一览表。</w:t>
            </w:r>
          </w:p>
          <w:p>
            <w:pPr>
              <w:pStyle w:val="38"/>
              <w:bidi w:val="0"/>
            </w:pPr>
            <w:r>
              <w:t>表</w:t>
            </w:r>
            <w:r>
              <w:rPr>
                <w:rFonts w:hint="eastAsia"/>
                <w:lang w:val="en-US" w:eastAsia="zh-CN"/>
              </w:rPr>
              <w:t>4</w:t>
            </w:r>
            <w:r>
              <w:t>-</w:t>
            </w:r>
            <w:r>
              <w:rPr>
                <w:rFonts w:hint="eastAsia"/>
                <w:lang w:val="en-US" w:eastAsia="zh-CN"/>
              </w:rPr>
              <w:t>21</w:t>
            </w:r>
            <w:r>
              <w:t>环保验收一览表</w:t>
            </w:r>
          </w:p>
          <w:tbl>
            <w:tblPr>
              <w:tblStyle w:val="26"/>
              <w:tblW w:w="83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1"/>
              <w:gridCol w:w="881"/>
              <w:gridCol w:w="1393"/>
              <w:gridCol w:w="2510"/>
              <w:gridCol w:w="3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402" w:type="dxa"/>
                  <w:gridSpan w:val="2"/>
                  <w:vAlign w:val="center"/>
                </w:tcPr>
                <w:p>
                  <w:pPr>
                    <w:pStyle w:val="87"/>
                    <w:rPr>
                      <w:rFonts w:ascii="Times New Roman" w:hAnsi="Times New Roman" w:cs="Times New Roman"/>
                    </w:rPr>
                  </w:pPr>
                  <w:r>
                    <w:rPr>
                      <w:rFonts w:ascii="Times New Roman" w:hAnsi="Times New Roman" w:cs="Times New Roman"/>
                    </w:rPr>
                    <w:t>污染类别</w:t>
                  </w:r>
                </w:p>
              </w:tc>
              <w:tc>
                <w:tcPr>
                  <w:tcW w:w="1393" w:type="dxa"/>
                  <w:vAlign w:val="center"/>
                </w:tcPr>
                <w:p>
                  <w:pPr>
                    <w:pStyle w:val="87"/>
                    <w:rPr>
                      <w:rFonts w:ascii="Times New Roman" w:hAnsi="Times New Roman" w:cs="Times New Roman"/>
                    </w:rPr>
                  </w:pPr>
                  <w:r>
                    <w:rPr>
                      <w:rFonts w:ascii="Times New Roman" w:hAnsi="Times New Roman" w:cs="Times New Roman"/>
                    </w:rPr>
                    <w:t>污染物</w:t>
                  </w:r>
                </w:p>
              </w:tc>
              <w:tc>
                <w:tcPr>
                  <w:tcW w:w="2510" w:type="dxa"/>
                  <w:vAlign w:val="center"/>
                </w:tcPr>
                <w:p>
                  <w:pPr>
                    <w:pStyle w:val="87"/>
                    <w:rPr>
                      <w:rFonts w:ascii="Times New Roman" w:hAnsi="Times New Roman" w:cs="Times New Roman"/>
                    </w:rPr>
                  </w:pPr>
                  <w:r>
                    <w:rPr>
                      <w:rFonts w:ascii="Times New Roman" w:hAnsi="Times New Roman" w:cs="Times New Roman"/>
                    </w:rPr>
                    <w:t>环保措施</w:t>
                  </w:r>
                </w:p>
              </w:tc>
              <w:tc>
                <w:tcPr>
                  <w:tcW w:w="3013" w:type="dxa"/>
                  <w:vAlign w:val="center"/>
                </w:tcPr>
                <w:p>
                  <w:pPr>
                    <w:pStyle w:val="87"/>
                    <w:rPr>
                      <w:rFonts w:ascii="Times New Roman" w:hAnsi="Times New Roman" w:cs="Times New Roman"/>
                    </w:rPr>
                  </w:pPr>
                  <w:r>
                    <w:rPr>
                      <w:rFonts w:ascii="Times New Roman" w:hAnsi="Times New Roman" w:cs="Times New Roman"/>
                    </w:rPr>
                    <w:t>验收标准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21" w:type="dxa"/>
                  <w:vMerge w:val="restart"/>
                  <w:vAlign w:val="center"/>
                </w:tcPr>
                <w:p>
                  <w:pPr>
                    <w:pStyle w:val="87"/>
                    <w:rPr>
                      <w:rFonts w:ascii="Times New Roman" w:hAnsi="Times New Roman" w:cs="Times New Roman"/>
                    </w:rPr>
                  </w:pPr>
                  <w:r>
                    <w:rPr>
                      <w:rFonts w:ascii="Times New Roman" w:hAnsi="Times New Roman" w:cs="Times New Roman"/>
                    </w:rPr>
                    <w:t>废气</w:t>
                  </w:r>
                </w:p>
              </w:tc>
              <w:tc>
                <w:tcPr>
                  <w:tcW w:w="881" w:type="dxa"/>
                  <w:vAlign w:val="center"/>
                </w:tcPr>
                <w:p>
                  <w:pPr>
                    <w:pStyle w:val="87"/>
                    <w:rPr>
                      <w:rFonts w:ascii="Times New Roman" w:hAnsi="Times New Roman" w:cs="Times New Roman"/>
                      <w:b/>
                    </w:rPr>
                  </w:pPr>
                  <w:r>
                    <w:rPr>
                      <w:rFonts w:ascii="Times New Roman" w:hAnsi="Times New Roman" w:cs="Times New Roman"/>
                    </w:rPr>
                    <w:t>水泥筒仓</w:t>
                  </w:r>
                </w:p>
              </w:tc>
              <w:tc>
                <w:tcPr>
                  <w:tcW w:w="1393" w:type="dxa"/>
                  <w:vAlign w:val="center"/>
                </w:tcPr>
                <w:p>
                  <w:pPr>
                    <w:pStyle w:val="87"/>
                    <w:rPr>
                      <w:rFonts w:ascii="Times New Roman" w:hAnsi="Times New Roman" w:cs="Times New Roman"/>
                    </w:rPr>
                  </w:pPr>
                  <w:r>
                    <w:rPr>
                      <w:rFonts w:ascii="Times New Roman" w:hAnsi="Times New Roman" w:cs="Times New Roman"/>
                    </w:rPr>
                    <w:t>颗粒物</w:t>
                  </w:r>
                </w:p>
              </w:tc>
              <w:tc>
                <w:tcPr>
                  <w:tcW w:w="2510" w:type="dxa"/>
                  <w:vAlign w:val="center"/>
                </w:tcPr>
                <w:p>
                  <w:pPr>
                    <w:pStyle w:val="87"/>
                    <w:rPr>
                      <w:rFonts w:hint="eastAsia" w:ascii="Times New Roman" w:hAnsi="Times New Roman" w:eastAsia="宋体" w:cs="Times New Roman"/>
                      <w:lang w:val="en-US" w:eastAsia="zh-CN" w:bidi="ar"/>
                    </w:rPr>
                  </w:pPr>
                  <w:r>
                    <w:rPr>
                      <w:rFonts w:ascii="Times New Roman" w:hAnsi="Times New Roman" w:cs="Times New Roman"/>
                      <w:lang w:bidi="ar"/>
                    </w:rPr>
                    <w:t>布袋除尘器+15m排气筒DA00</w:t>
                  </w:r>
                  <w:r>
                    <w:rPr>
                      <w:rFonts w:hint="eastAsia" w:ascii="Times New Roman" w:hAnsi="Times New Roman" w:cs="Times New Roman"/>
                      <w:lang w:val="en-US" w:eastAsia="zh-CN" w:bidi="ar"/>
                    </w:rPr>
                    <w:t>4、</w:t>
                  </w:r>
                  <w:r>
                    <w:rPr>
                      <w:rFonts w:ascii="Times New Roman" w:hAnsi="Times New Roman" w:cs="Times New Roman"/>
                      <w:lang w:bidi="ar"/>
                    </w:rPr>
                    <w:t>DA00</w:t>
                  </w:r>
                  <w:r>
                    <w:rPr>
                      <w:rFonts w:hint="eastAsia" w:ascii="Times New Roman" w:hAnsi="Times New Roman" w:cs="Times New Roman"/>
                      <w:lang w:val="en-US" w:eastAsia="zh-CN" w:bidi="ar"/>
                    </w:rPr>
                    <w:t>5</w:t>
                  </w:r>
                </w:p>
              </w:tc>
              <w:tc>
                <w:tcPr>
                  <w:tcW w:w="3013" w:type="dxa"/>
                  <w:vMerge w:val="restart"/>
                  <w:vAlign w:val="center"/>
                </w:tcPr>
                <w:p>
                  <w:pPr>
                    <w:pStyle w:val="87"/>
                    <w:rPr>
                      <w:rFonts w:ascii="Times New Roman" w:hAnsi="Times New Roman" w:cs="Times New Roman"/>
                    </w:rPr>
                  </w:pPr>
                  <w:r>
                    <w:rPr>
                      <w:rFonts w:ascii="Times New Roman" w:hAnsi="Times New Roman" w:cs="Times New Roman"/>
                    </w:rPr>
                    <w:t>《水泥工业大气污染物排放标准》（4915-2013）表2大气污染物特别排放限值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1" w:type="dxa"/>
                  <w:vMerge w:val="continue"/>
                  <w:vAlign w:val="center"/>
                </w:tcPr>
                <w:p>
                  <w:pPr>
                    <w:pStyle w:val="87"/>
                    <w:rPr>
                      <w:rFonts w:ascii="Times New Roman" w:hAnsi="Times New Roman" w:cs="Times New Roman"/>
                    </w:rPr>
                  </w:pPr>
                </w:p>
              </w:tc>
              <w:tc>
                <w:tcPr>
                  <w:tcW w:w="881" w:type="dxa"/>
                  <w:vAlign w:val="center"/>
                </w:tcPr>
                <w:p>
                  <w:pPr>
                    <w:pStyle w:val="87"/>
                    <w:rPr>
                      <w:rFonts w:ascii="Times New Roman" w:hAnsi="Times New Roman" w:cs="Times New Roman"/>
                      <w:b/>
                    </w:rPr>
                  </w:pPr>
                  <w:r>
                    <w:rPr>
                      <w:rFonts w:ascii="Times New Roman" w:hAnsi="Times New Roman" w:cs="Times New Roman"/>
                    </w:rPr>
                    <w:t>外加剂筒仓</w:t>
                  </w:r>
                </w:p>
              </w:tc>
              <w:tc>
                <w:tcPr>
                  <w:tcW w:w="1393" w:type="dxa"/>
                  <w:vAlign w:val="center"/>
                </w:tcPr>
                <w:p>
                  <w:pPr>
                    <w:pStyle w:val="87"/>
                    <w:rPr>
                      <w:rFonts w:ascii="Times New Roman" w:hAnsi="Times New Roman" w:cs="Times New Roman"/>
                    </w:rPr>
                  </w:pPr>
                  <w:r>
                    <w:rPr>
                      <w:rFonts w:ascii="Times New Roman" w:hAnsi="Times New Roman" w:cs="Times New Roman"/>
                    </w:rPr>
                    <w:t>颗粒物</w:t>
                  </w:r>
                </w:p>
              </w:tc>
              <w:tc>
                <w:tcPr>
                  <w:tcW w:w="2510" w:type="dxa"/>
                  <w:vAlign w:val="center"/>
                </w:tcPr>
                <w:p>
                  <w:pPr>
                    <w:pStyle w:val="87"/>
                    <w:rPr>
                      <w:rFonts w:ascii="Times New Roman" w:hAnsi="Times New Roman" w:cs="Times New Roman"/>
                      <w:lang w:bidi="ar"/>
                    </w:rPr>
                  </w:pPr>
                  <w:r>
                    <w:rPr>
                      <w:rFonts w:ascii="Times New Roman" w:hAnsi="Times New Roman" w:cs="Times New Roman"/>
                      <w:lang w:bidi="ar"/>
                    </w:rPr>
                    <w:t>布袋除尘器+15m排气筒DA00</w:t>
                  </w:r>
                  <w:r>
                    <w:rPr>
                      <w:rFonts w:hint="eastAsia" w:ascii="Times New Roman" w:hAnsi="Times New Roman" w:cs="Times New Roman"/>
                      <w:lang w:val="en-US" w:eastAsia="zh-CN" w:bidi="ar"/>
                    </w:rPr>
                    <w:t>6</w:t>
                  </w:r>
                </w:p>
              </w:tc>
              <w:tc>
                <w:tcPr>
                  <w:tcW w:w="3013" w:type="dxa"/>
                  <w:vMerge w:val="continue"/>
                  <w:vAlign w:val="center"/>
                </w:tcPr>
                <w:p>
                  <w:pPr>
                    <w:pStyle w:val="87"/>
                    <w:rPr>
                      <w:rFonts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21" w:type="dxa"/>
                  <w:vMerge w:val="continue"/>
                  <w:vAlign w:val="center"/>
                </w:tcPr>
                <w:p>
                  <w:pPr>
                    <w:pStyle w:val="87"/>
                    <w:rPr>
                      <w:rFonts w:ascii="Times New Roman" w:hAnsi="Times New Roman" w:cs="Times New Roman"/>
                    </w:rPr>
                  </w:pPr>
                </w:p>
              </w:tc>
              <w:tc>
                <w:tcPr>
                  <w:tcW w:w="881" w:type="dxa"/>
                  <w:vAlign w:val="center"/>
                </w:tcPr>
                <w:p>
                  <w:pPr>
                    <w:pStyle w:val="87"/>
                    <w:rPr>
                      <w:rFonts w:ascii="Times New Roman" w:hAnsi="Times New Roman" w:cs="Times New Roman"/>
                    </w:rPr>
                  </w:pPr>
                  <w:r>
                    <w:rPr>
                      <w:rFonts w:ascii="Times New Roman" w:hAnsi="Times New Roman" w:cs="Times New Roman"/>
                    </w:rPr>
                    <w:t>混合搅拌</w:t>
                  </w:r>
                </w:p>
              </w:tc>
              <w:tc>
                <w:tcPr>
                  <w:tcW w:w="1393" w:type="dxa"/>
                  <w:vAlign w:val="center"/>
                </w:tcPr>
                <w:p>
                  <w:pPr>
                    <w:pStyle w:val="87"/>
                    <w:rPr>
                      <w:rFonts w:ascii="Times New Roman" w:hAnsi="Times New Roman" w:cs="Times New Roman"/>
                    </w:rPr>
                  </w:pPr>
                  <w:r>
                    <w:rPr>
                      <w:rFonts w:ascii="Times New Roman" w:hAnsi="Times New Roman" w:cs="Times New Roman"/>
                    </w:rPr>
                    <w:t>颗粒物</w:t>
                  </w:r>
                </w:p>
              </w:tc>
              <w:tc>
                <w:tcPr>
                  <w:tcW w:w="2510" w:type="dxa"/>
                  <w:vAlign w:val="center"/>
                </w:tcPr>
                <w:p>
                  <w:pPr>
                    <w:pStyle w:val="87"/>
                    <w:rPr>
                      <w:rFonts w:ascii="Times New Roman" w:hAnsi="Times New Roman" w:cs="Times New Roman"/>
                    </w:rPr>
                  </w:pPr>
                  <w:r>
                    <w:rPr>
                      <w:rFonts w:ascii="Times New Roman" w:hAnsi="Times New Roman" w:cs="Times New Roman"/>
                      <w:lang w:bidi="ar"/>
                    </w:rPr>
                    <w:t>布袋除尘器+15m排气筒DA001</w:t>
                  </w:r>
                </w:p>
              </w:tc>
              <w:tc>
                <w:tcPr>
                  <w:tcW w:w="3013" w:type="dxa"/>
                  <w:vMerge w:val="continue"/>
                  <w:vAlign w:val="center"/>
                </w:tcPr>
                <w:p>
                  <w:pPr>
                    <w:pStyle w:val="87"/>
                    <w:rPr>
                      <w:rFonts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21" w:type="dxa"/>
                  <w:vMerge w:val="continue"/>
                  <w:vAlign w:val="center"/>
                </w:tcPr>
                <w:p>
                  <w:pPr>
                    <w:pStyle w:val="87"/>
                    <w:rPr>
                      <w:rFonts w:ascii="Times New Roman" w:hAnsi="Times New Roman" w:cs="Times New Roman"/>
                    </w:rPr>
                  </w:pPr>
                </w:p>
              </w:tc>
              <w:tc>
                <w:tcPr>
                  <w:tcW w:w="881" w:type="dxa"/>
                  <w:vAlign w:val="center"/>
                </w:tcPr>
                <w:p>
                  <w:pPr>
                    <w:pStyle w:val="87"/>
                    <w:rPr>
                      <w:rFonts w:ascii="Times New Roman" w:hAnsi="Times New Roman" w:cs="Times New Roman"/>
                    </w:rPr>
                  </w:pPr>
                  <w:r>
                    <w:rPr>
                      <w:rFonts w:ascii="Times New Roman" w:hAnsi="Times New Roman" w:cs="Times New Roman"/>
                    </w:rPr>
                    <w:t>锅炉</w:t>
                  </w:r>
                </w:p>
              </w:tc>
              <w:tc>
                <w:tcPr>
                  <w:tcW w:w="1393" w:type="dxa"/>
                  <w:vAlign w:val="center"/>
                </w:tcPr>
                <w:p>
                  <w:pPr>
                    <w:pStyle w:val="87"/>
                    <w:rPr>
                      <w:rFonts w:ascii="Times New Roman" w:hAnsi="Times New Roman" w:cs="Times New Roman"/>
                    </w:rPr>
                  </w:pPr>
                  <w:r>
                    <w:rPr>
                      <w:rFonts w:ascii="Times New Roman" w:hAnsi="Times New Roman" w:cs="Times New Roman"/>
                    </w:rPr>
                    <w:t>颗粒物、SO</w:t>
                  </w:r>
                  <w:r>
                    <w:rPr>
                      <w:rFonts w:ascii="Times New Roman" w:hAnsi="Times New Roman" w:cs="Times New Roman"/>
                      <w:vertAlign w:val="subscript"/>
                    </w:rPr>
                    <w:t>2</w:t>
                  </w:r>
                  <w:r>
                    <w:rPr>
                      <w:rFonts w:ascii="Times New Roman" w:hAnsi="Times New Roman" w:cs="Times New Roman"/>
                    </w:rPr>
                    <w:t>、NO</w:t>
                  </w:r>
                  <w:r>
                    <w:rPr>
                      <w:rFonts w:ascii="Times New Roman" w:hAnsi="Times New Roman" w:cs="Times New Roman"/>
                      <w:vertAlign w:val="subscript"/>
                    </w:rPr>
                    <w:t>2</w:t>
                  </w:r>
                </w:p>
              </w:tc>
              <w:tc>
                <w:tcPr>
                  <w:tcW w:w="2510" w:type="dxa"/>
                  <w:vAlign w:val="center"/>
                </w:tcPr>
                <w:p>
                  <w:pPr>
                    <w:pStyle w:val="87"/>
                    <w:rPr>
                      <w:rFonts w:ascii="Times New Roman" w:hAnsi="Times New Roman" w:cs="Times New Roman"/>
                    </w:rPr>
                  </w:pPr>
                  <w:r>
                    <w:rPr>
                      <w:rFonts w:ascii="Times New Roman" w:hAnsi="Times New Roman" w:cs="Times New Roman"/>
                    </w:rPr>
                    <w:t>清洁燃料+</w:t>
                  </w:r>
                  <w:r>
                    <w:rPr>
                      <w:rFonts w:hint="eastAsia" w:ascii="Times New Roman" w:hAnsi="Times New Roman" w:cs="Times New Roman"/>
                      <w:lang w:eastAsia="zh-CN"/>
                    </w:rPr>
                    <w:t>15m</w:t>
                  </w:r>
                  <w:r>
                    <w:rPr>
                      <w:rFonts w:ascii="Times New Roman" w:hAnsi="Times New Roman" w:cs="Times New Roman"/>
                    </w:rPr>
                    <w:t>高排气筒</w:t>
                  </w:r>
                  <w:r>
                    <w:rPr>
                      <w:rFonts w:ascii="Times New Roman" w:hAnsi="Times New Roman" w:cs="Times New Roman"/>
                      <w:lang w:bidi="ar"/>
                    </w:rPr>
                    <w:t>DA003</w:t>
                  </w:r>
                </w:p>
              </w:tc>
              <w:tc>
                <w:tcPr>
                  <w:tcW w:w="3013" w:type="dxa"/>
                  <w:vMerge w:val="restart"/>
                  <w:vAlign w:val="center"/>
                </w:tcPr>
                <w:p>
                  <w:pPr>
                    <w:pStyle w:val="87"/>
                    <w:rPr>
                      <w:rFonts w:ascii="Times New Roman" w:hAnsi="Times New Roman" w:cs="Times New Roman"/>
                    </w:rPr>
                  </w:pPr>
                  <w:r>
                    <w:rPr>
                      <w:rFonts w:ascii="Times New Roman" w:hAnsi="Times New Roman" w:cs="Times New Roman"/>
                    </w:rPr>
                    <w:t>《锅炉大气污染物排放标准》（GB13271-2014）表3大气污染物特别排放浓度限值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1" w:type="dxa"/>
                  <w:vMerge w:val="continue"/>
                  <w:vAlign w:val="center"/>
                </w:tcPr>
                <w:p>
                  <w:pPr>
                    <w:pStyle w:val="87"/>
                    <w:rPr>
                      <w:rFonts w:ascii="Times New Roman" w:hAnsi="Times New Roman" w:cs="Times New Roman"/>
                    </w:rPr>
                  </w:pPr>
                </w:p>
              </w:tc>
              <w:tc>
                <w:tcPr>
                  <w:tcW w:w="881" w:type="dxa"/>
                  <w:vAlign w:val="center"/>
                </w:tcPr>
                <w:p>
                  <w:pPr>
                    <w:pStyle w:val="87"/>
                    <w:rPr>
                      <w:rFonts w:ascii="Times New Roman" w:hAnsi="Times New Roman" w:cs="Times New Roman"/>
                    </w:rPr>
                  </w:pPr>
                  <w:r>
                    <w:rPr>
                      <w:rFonts w:ascii="Times New Roman" w:hAnsi="Times New Roman" w:cs="Times New Roman"/>
                    </w:rPr>
                    <w:t>锅炉</w:t>
                  </w:r>
                </w:p>
              </w:tc>
              <w:tc>
                <w:tcPr>
                  <w:tcW w:w="1393" w:type="dxa"/>
                  <w:vAlign w:val="center"/>
                </w:tcPr>
                <w:p>
                  <w:pPr>
                    <w:pStyle w:val="87"/>
                    <w:rPr>
                      <w:rFonts w:ascii="Times New Roman" w:hAnsi="Times New Roman" w:cs="Times New Roman"/>
                    </w:rPr>
                  </w:pPr>
                  <w:r>
                    <w:rPr>
                      <w:rFonts w:ascii="Times New Roman" w:hAnsi="Times New Roman" w:cs="Times New Roman"/>
                    </w:rPr>
                    <w:t>颗粒物、SO</w:t>
                  </w:r>
                  <w:r>
                    <w:rPr>
                      <w:rFonts w:ascii="Times New Roman" w:hAnsi="Times New Roman" w:cs="Times New Roman"/>
                      <w:vertAlign w:val="subscript"/>
                    </w:rPr>
                    <w:t>2</w:t>
                  </w:r>
                  <w:r>
                    <w:rPr>
                      <w:rFonts w:ascii="Times New Roman" w:hAnsi="Times New Roman" w:cs="Times New Roman"/>
                    </w:rPr>
                    <w:t>、NO</w:t>
                  </w:r>
                  <w:r>
                    <w:rPr>
                      <w:rFonts w:ascii="Times New Roman" w:hAnsi="Times New Roman" w:cs="Times New Roman"/>
                      <w:vertAlign w:val="subscript"/>
                    </w:rPr>
                    <w:t>2</w:t>
                  </w:r>
                </w:p>
              </w:tc>
              <w:tc>
                <w:tcPr>
                  <w:tcW w:w="2510" w:type="dxa"/>
                  <w:vAlign w:val="center"/>
                </w:tcPr>
                <w:p>
                  <w:pPr>
                    <w:pStyle w:val="87"/>
                    <w:rPr>
                      <w:rFonts w:ascii="Times New Roman" w:hAnsi="Times New Roman" w:cs="Times New Roman"/>
                    </w:rPr>
                  </w:pPr>
                  <w:r>
                    <w:rPr>
                      <w:rFonts w:ascii="Times New Roman" w:hAnsi="Times New Roman" w:cs="Times New Roman"/>
                    </w:rPr>
                    <w:t>清洁燃料+</w:t>
                  </w:r>
                  <w:r>
                    <w:rPr>
                      <w:rFonts w:hint="eastAsia" w:ascii="Times New Roman" w:hAnsi="Times New Roman" w:cs="Times New Roman"/>
                      <w:lang w:eastAsia="zh-CN"/>
                    </w:rPr>
                    <w:t>15m</w:t>
                  </w:r>
                  <w:r>
                    <w:rPr>
                      <w:rFonts w:ascii="Times New Roman" w:hAnsi="Times New Roman" w:cs="Times New Roman"/>
                    </w:rPr>
                    <w:t>高排气筒</w:t>
                  </w:r>
                  <w:r>
                    <w:rPr>
                      <w:rFonts w:ascii="Times New Roman" w:hAnsi="Times New Roman" w:cs="Times New Roman"/>
                      <w:lang w:bidi="ar"/>
                    </w:rPr>
                    <w:t>DA004</w:t>
                  </w:r>
                </w:p>
              </w:tc>
              <w:tc>
                <w:tcPr>
                  <w:tcW w:w="3013" w:type="dxa"/>
                  <w:vMerge w:val="continue"/>
                  <w:vAlign w:val="center"/>
                </w:tcPr>
                <w:p>
                  <w:pPr>
                    <w:pStyle w:val="87"/>
                    <w:rPr>
                      <w:rFonts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1" w:type="dxa"/>
                  <w:vMerge w:val="continue"/>
                  <w:vAlign w:val="center"/>
                </w:tcPr>
                <w:p>
                  <w:pPr>
                    <w:pStyle w:val="87"/>
                    <w:rPr>
                      <w:rFonts w:ascii="Times New Roman" w:hAnsi="Times New Roman" w:cs="Times New Roman"/>
                    </w:rPr>
                  </w:pPr>
                </w:p>
              </w:tc>
              <w:tc>
                <w:tcPr>
                  <w:tcW w:w="881" w:type="dxa"/>
                  <w:vAlign w:val="center"/>
                </w:tcPr>
                <w:p>
                  <w:pPr>
                    <w:pStyle w:val="87"/>
                    <w:rPr>
                      <w:rFonts w:ascii="Times New Roman" w:hAnsi="Times New Roman" w:cs="Times New Roman"/>
                    </w:rPr>
                  </w:pPr>
                  <w:r>
                    <w:rPr>
                      <w:rFonts w:ascii="Times New Roman" w:hAnsi="Times New Roman" w:cs="Times New Roman"/>
                    </w:rPr>
                    <w:t>食堂</w:t>
                  </w:r>
                </w:p>
              </w:tc>
              <w:tc>
                <w:tcPr>
                  <w:tcW w:w="1393" w:type="dxa"/>
                  <w:vAlign w:val="center"/>
                </w:tcPr>
                <w:p>
                  <w:pPr>
                    <w:pStyle w:val="87"/>
                    <w:rPr>
                      <w:rFonts w:ascii="Times New Roman" w:hAnsi="Times New Roman" w:cs="Times New Roman"/>
                    </w:rPr>
                  </w:pPr>
                  <w:r>
                    <w:rPr>
                      <w:rFonts w:ascii="Times New Roman" w:hAnsi="Times New Roman" w:cs="Times New Roman"/>
                    </w:rPr>
                    <w:t>油烟</w:t>
                  </w:r>
                </w:p>
              </w:tc>
              <w:tc>
                <w:tcPr>
                  <w:tcW w:w="2510" w:type="dxa"/>
                  <w:vAlign w:val="center"/>
                </w:tcPr>
                <w:p>
                  <w:pPr>
                    <w:pStyle w:val="87"/>
                    <w:rPr>
                      <w:rFonts w:ascii="Times New Roman" w:hAnsi="Times New Roman" w:cs="Times New Roman"/>
                    </w:rPr>
                  </w:pPr>
                  <w:r>
                    <w:rPr>
                      <w:rFonts w:ascii="Times New Roman" w:hAnsi="Times New Roman" w:cs="Times New Roman"/>
                    </w:rPr>
                    <w:t>油烟净化器+楼顶外排</w:t>
                  </w:r>
                </w:p>
              </w:tc>
              <w:tc>
                <w:tcPr>
                  <w:tcW w:w="3013" w:type="dxa"/>
                  <w:vAlign w:val="center"/>
                </w:tcPr>
                <w:p>
                  <w:pPr>
                    <w:pStyle w:val="87"/>
                    <w:rPr>
                      <w:rFonts w:ascii="Times New Roman" w:hAnsi="Times New Roman" w:cs="Times New Roman"/>
                    </w:rPr>
                  </w:pPr>
                  <w:r>
                    <w:rPr>
                      <w:rFonts w:ascii="Times New Roman" w:hAnsi="Times New Roman" w:cs="Times New Roman"/>
                    </w:rPr>
                    <w:t>《饮食油烟排放标准》（试行）（GB18483-2001）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21" w:type="dxa"/>
                  <w:vMerge w:val="continue"/>
                  <w:vAlign w:val="center"/>
                </w:tcPr>
                <w:p>
                  <w:pPr>
                    <w:pStyle w:val="87"/>
                    <w:rPr>
                      <w:rFonts w:ascii="Times New Roman" w:hAnsi="Times New Roman" w:cs="Times New Roman"/>
                    </w:rPr>
                  </w:pPr>
                </w:p>
              </w:tc>
              <w:tc>
                <w:tcPr>
                  <w:tcW w:w="881" w:type="dxa"/>
                  <w:vAlign w:val="center"/>
                </w:tcPr>
                <w:p>
                  <w:pPr>
                    <w:pStyle w:val="87"/>
                    <w:rPr>
                      <w:rFonts w:ascii="Times New Roman" w:hAnsi="Times New Roman" w:cs="Times New Roman"/>
                    </w:rPr>
                  </w:pPr>
                  <w:r>
                    <w:rPr>
                      <w:rFonts w:ascii="Times New Roman" w:hAnsi="Times New Roman" w:cs="Times New Roman"/>
                    </w:rPr>
                    <w:t>厂界</w:t>
                  </w:r>
                </w:p>
              </w:tc>
              <w:tc>
                <w:tcPr>
                  <w:tcW w:w="1393" w:type="dxa"/>
                  <w:vAlign w:val="center"/>
                </w:tcPr>
                <w:p>
                  <w:pPr>
                    <w:pStyle w:val="87"/>
                    <w:rPr>
                      <w:rFonts w:ascii="Times New Roman" w:hAnsi="Times New Roman" w:cs="Times New Roman"/>
                    </w:rPr>
                  </w:pPr>
                  <w:r>
                    <w:rPr>
                      <w:rFonts w:ascii="Times New Roman" w:hAnsi="Times New Roman" w:cs="Times New Roman"/>
                    </w:rPr>
                    <w:t>颗粒物</w:t>
                  </w:r>
                </w:p>
              </w:tc>
              <w:tc>
                <w:tcPr>
                  <w:tcW w:w="2510" w:type="dxa"/>
                  <w:vAlign w:val="center"/>
                </w:tcPr>
                <w:p>
                  <w:pPr>
                    <w:pStyle w:val="87"/>
                    <w:rPr>
                      <w:rFonts w:ascii="Times New Roman" w:hAnsi="Times New Roman" w:cs="Times New Roman"/>
                    </w:rPr>
                  </w:pPr>
                  <w:r>
                    <w:rPr>
                      <w:rFonts w:ascii="Times New Roman" w:hAnsi="Times New Roman" w:cs="Times New Roman"/>
                    </w:rPr>
                    <w:t>喷淋装置</w:t>
                  </w:r>
                </w:p>
              </w:tc>
              <w:tc>
                <w:tcPr>
                  <w:tcW w:w="3013" w:type="dxa"/>
                  <w:vAlign w:val="center"/>
                </w:tcPr>
                <w:p>
                  <w:pPr>
                    <w:pStyle w:val="87"/>
                    <w:rPr>
                      <w:rFonts w:ascii="Times New Roman" w:hAnsi="Times New Roman" w:cs="Times New Roman"/>
                    </w:rPr>
                  </w:pPr>
                  <w:r>
                    <w:rPr>
                      <w:rFonts w:ascii="Times New Roman" w:hAnsi="Times New Roman" w:cs="Times New Roman"/>
                    </w:rPr>
                    <w:t>《水泥工业大气污染物排放标准》（4915-2013）表3无组织排放限值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521" w:type="dxa"/>
                  <w:vAlign w:val="center"/>
                </w:tcPr>
                <w:p>
                  <w:pPr>
                    <w:pStyle w:val="87"/>
                    <w:rPr>
                      <w:rFonts w:ascii="Times New Roman" w:hAnsi="Times New Roman" w:cs="Times New Roman"/>
                    </w:rPr>
                  </w:pPr>
                  <w:r>
                    <w:rPr>
                      <w:rFonts w:ascii="Times New Roman" w:hAnsi="Times New Roman" w:cs="Times New Roman"/>
                    </w:rPr>
                    <w:t>废水</w:t>
                  </w:r>
                </w:p>
              </w:tc>
              <w:tc>
                <w:tcPr>
                  <w:tcW w:w="881" w:type="dxa"/>
                  <w:vAlign w:val="center"/>
                </w:tcPr>
                <w:p>
                  <w:pPr>
                    <w:pStyle w:val="87"/>
                    <w:rPr>
                      <w:rFonts w:ascii="Times New Roman" w:hAnsi="Times New Roman" w:cs="Times New Roman"/>
                    </w:rPr>
                  </w:pPr>
                  <w:r>
                    <w:rPr>
                      <w:rFonts w:ascii="Times New Roman" w:hAnsi="Times New Roman" w:cs="Times New Roman"/>
                    </w:rPr>
                    <w:t>生活污水</w:t>
                  </w:r>
                </w:p>
              </w:tc>
              <w:tc>
                <w:tcPr>
                  <w:tcW w:w="1393" w:type="dxa"/>
                  <w:vAlign w:val="center"/>
                </w:tcPr>
                <w:p>
                  <w:pPr>
                    <w:pStyle w:val="87"/>
                    <w:rPr>
                      <w:rFonts w:ascii="Times New Roman" w:hAnsi="Times New Roman" w:cs="Times New Roman"/>
                    </w:rPr>
                  </w:pPr>
                  <w:r>
                    <w:rPr>
                      <w:rFonts w:ascii="Times New Roman" w:hAnsi="Times New Roman" w:cs="Times New Roman"/>
                    </w:rPr>
                    <w:t>pH、色度、悬浮物、</w:t>
                  </w:r>
                  <w:r>
                    <w:rPr>
                      <w:rFonts w:hint="eastAsia" w:ascii="Times New Roman" w:hAnsi="Times New Roman" w:cs="Times New Roman"/>
                      <w:lang w:val="en-US" w:eastAsia="zh-CN"/>
                    </w:rPr>
                    <w:t>COD</w:t>
                  </w:r>
                  <w:r>
                    <w:rPr>
                      <w:rFonts w:ascii="Times New Roman" w:hAnsi="Times New Roman" w:cs="Times New Roman"/>
                    </w:rPr>
                    <w:t>、</w:t>
                  </w:r>
                  <w:r>
                    <w:rPr>
                      <w:rFonts w:hint="eastAsia" w:ascii="Times New Roman" w:hAnsi="Times New Roman" w:cs="Times New Roman"/>
                      <w:lang w:val="en-US" w:eastAsia="zh-CN"/>
                    </w:rPr>
                    <w:t>BOD</w:t>
                  </w:r>
                  <w:r>
                    <w:rPr>
                      <w:rFonts w:ascii="Times New Roman" w:hAnsi="Times New Roman" w:cs="Times New Roman"/>
                    </w:rPr>
                    <w:t>、氨氮</w:t>
                  </w:r>
                </w:p>
              </w:tc>
              <w:tc>
                <w:tcPr>
                  <w:tcW w:w="2510" w:type="dxa"/>
                  <w:vAlign w:val="center"/>
                </w:tcPr>
                <w:p>
                  <w:pPr>
                    <w:pStyle w:val="87"/>
                    <w:rPr>
                      <w:rFonts w:ascii="Times New Roman" w:hAnsi="Times New Roman" w:cs="Times New Roman"/>
                    </w:rPr>
                  </w:pPr>
                  <w:r>
                    <w:rPr>
                      <w:rFonts w:ascii="Times New Roman" w:hAnsi="Times New Roman" w:cs="Times New Roman"/>
                    </w:rPr>
                    <w:t>排入园区管网，最终进入尉犁县城镇污水处理厂处理</w:t>
                  </w:r>
                </w:p>
              </w:tc>
              <w:tc>
                <w:tcPr>
                  <w:tcW w:w="3013" w:type="dxa"/>
                  <w:vAlign w:val="center"/>
                </w:tcPr>
                <w:p>
                  <w:pPr>
                    <w:pStyle w:val="87"/>
                    <w:rPr>
                      <w:rFonts w:ascii="Times New Roman" w:hAnsi="Times New Roman" w:cs="Times New Roman"/>
                    </w:rPr>
                  </w:pPr>
                  <w:r>
                    <w:rPr>
                      <w:rFonts w:ascii="Times New Roman" w:hAnsi="Times New Roman" w:cs="Times New Roman"/>
                    </w:rPr>
                    <w:t>《污水综合排放标准》（GB8978-1996）三级标准排放限值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521" w:type="dxa"/>
                  <w:vAlign w:val="center"/>
                </w:tcPr>
                <w:p>
                  <w:pPr>
                    <w:pStyle w:val="87"/>
                    <w:rPr>
                      <w:rFonts w:ascii="Times New Roman" w:hAnsi="Times New Roman" w:cs="Times New Roman"/>
                    </w:rPr>
                  </w:pPr>
                  <w:r>
                    <w:rPr>
                      <w:rFonts w:ascii="Times New Roman" w:hAnsi="Times New Roman" w:cs="Times New Roman"/>
                    </w:rPr>
                    <w:t>噪声</w:t>
                  </w:r>
                </w:p>
              </w:tc>
              <w:tc>
                <w:tcPr>
                  <w:tcW w:w="881" w:type="dxa"/>
                </w:tcPr>
                <w:p>
                  <w:pPr>
                    <w:pStyle w:val="87"/>
                    <w:rPr>
                      <w:rFonts w:ascii="Times New Roman" w:hAnsi="Times New Roman" w:cs="Times New Roman"/>
                    </w:rPr>
                  </w:pPr>
                  <w:r>
                    <w:rPr>
                      <w:rFonts w:ascii="Times New Roman" w:hAnsi="Times New Roman" w:cs="Times New Roman"/>
                    </w:rPr>
                    <w:t>机械设备</w:t>
                  </w:r>
                </w:p>
              </w:tc>
              <w:tc>
                <w:tcPr>
                  <w:tcW w:w="1393" w:type="dxa"/>
                </w:tcPr>
                <w:p>
                  <w:pPr>
                    <w:pStyle w:val="87"/>
                    <w:rPr>
                      <w:rFonts w:ascii="Times New Roman" w:hAnsi="Times New Roman" w:cs="Times New Roman"/>
                    </w:rPr>
                  </w:pPr>
                  <w:r>
                    <w:rPr>
                      <w:rFonts w:ascii="Times New Roman" w:hAnsi="Times New Roman" w:cs="Times New Roman"/>
                    </w:rPr>
                    <w:t>设备噪声</w:t>
                  </w:r>
                </w:p>
              </w:tc>
              <w:tc>
                <w:tcPr>
                  <w:tcW w:w="2510" w:type="dxa"/>
                </w:tcPr>
                <w:p>
                  <w:pPr>
                    <w:pStyle w:val="87"/>
                    <w:rPr>
                      <w:rFonts w:ascii="Times New Roman" w:hAnsi="Times New Roman" w:cs="Times New Roman"/>
                    </w:rPr>
                  </w:pPr>
                  <w:r>
                    <w:rPr>
                      <w:rFonts w:ascii="Times New Roman" w:hAnsi="Times New Roman" w:cs="Times New Roman"/>
                    </w:rPr>
                    <w:t>选用低噪声设备、距离衰减、加强管理等措施。</w:t>
                  </w:r>
                </w:p>
              </w:tc>
              <w:tc>
                <w:tcPr>
                  <w:tcW w:w="3013" w:type="dxa"/>
                </w:tcPr>
                <w:p>
                  <w:pPr>
                    <w:pStyle w:val="87"/>
                    <w:rPr>
                      <w:rFonts w:ascii="Times New Roman" w:hAnsi="Times New Roman" w:cs="Times New Roman"/>
                    </w:rPr>
                  </w:pPr>
                  <w:r>
                    <w:rPr>
                      <w:rFonts w:ascii="Times New Roman" w:hAnsi="Times New Roman" w:cs="Times New Roman"/>
                    </w:rPr>
                    <w:t>《工业企业厂界环境噪声排放标准》（GB12348-2008）3类标准（昼间65dB</w:t>
                  </w:r>
                  <w:r>
                    <w:rPr>
                      <w:rFonts w:hint="eastAsia" w:ascii="Times New Roman" w:hAnsi="Times New Roman" w:cs="Times New Roman"/>
                      <w:lang w:eastAsia="zh-CN"/>
                    </w:rPr>
                    <w:t>（</w:t>
                  </w:r>
                  <w:r>
                    <w:rPr>
                      <w:rFonts w:ascii="Times New Roman" w:hAnsi="Times New Roman" w:cs="Times New Roman"/>
                    </w:rPr>
                    <w:t>A）；夜间55dB</w:t>
                  </w:r>
                  <w:r>
                    <w:rPr>
                      <w:rFonts w:hint="eastAsia" w:ascii="Times New Roman" w:hAnsi="Times New Roman" w:cs="Times New Roman"/>
                      <w:lang w:eastAsia="zh-CN"/>
                    </w:rPr>
                    <w:t>（</w:t>
                  </w:r>
                  <w:r>
                    <w:rPr>
                      <w:rFonts w:ascii="Times New Roman" w:hAnsi="Times New Roman" w:cs="Times New Roman"/>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1" w:type="dxa"/>
                  <w:vMerge w:val="restart"/>
                  <w:vAlign w:val="center"/>
                </w:tcPr>
                <w:p>
                  <w:pPr>
                    <w:pStyle w:val="87"/>
                    <w:rPr>
                      <w:rFonts w:ascii="Times New Roman" w:hAnsi="Times New Roman" w:cs="Times New Roman"/>
                    </w:rPr>
                  </w:pPr>
                  <w:r>
                    <w:rPr>
                      <w:rFonts w:ascii="Times New Roman" w:hAnsi="Times New Roman" w:cs="Times New Roman"/>
                    </w:rPr>
                    <w:t>固体废物</w:t>
                  </w:r>
                </w:p>
              </w:tc>
              <w:tc>
                <w:tcPr>
                  <w:tcW w:w="4784" w:type="dxa"/>
                  <w:gridSpan w:val="3"/>
                  <w:vAlign w:val="center"/>
                </w:tcPr>
                <w:p>
                  <w:pPr>
                    <w:pStyle w:val="87"/>
                    <w:rPr>
                      <w:rFonts w:ascii="Times New Roman" w:hAnsi="Times New Roman" w:cs="Times New Roman"/>
                    </w:rPr>
                  </w:pPr>
                  <w:r>
                    <w:rPr>
                      <w:rFonts w:ascii="Times New Roman" w:hAnsi="Times New Roman" w:cs="Times New Roman"/>
                    </w:rPr>
                    <w:t>生活垃圾收集至垃圾桶，由环卫部门定期清运处置</w:t>
                  </w:r>
                </w:p>
              </w:tc>
              <w:tc>
                <w:tcPr>
                  <w:tcW w:w="3013" w:type="dxa"/>
                  <w:vMerge w:val="restart"/>
                  <w:vAlign w:val="center"/>
                </w:tcPr>
                <w:p>
                  <w:pPr>
                    <w:pStyle w:val="87"/>
                    <w:rPr>
                      <w:rFonts w:hint="eastAsia" w:ascii="Times New Roman" w:hAnsi="Times New Roman" w:eastAsia="宋体" w:cs="Times New Roman"/>
                      <w:lang w:eastAsia="zh-CN"/>
                    </w:rPr>
                  </w:pPr>
                  <w:r>
                    <w:rPr>
                      <w:rFonts w:ascii="Times New Roman" w:hAnsi="Times New Roman" w:cs="Times New Roman"/>
                    </w:rPr>
                    <w:t>《一般工业固体废物贮存和填埋污染控制标准》</w:t>
                  </w:r>
                  <w:r>
                    <w:rPr>
                      <w:rFonts w:hint="eastAsia" w:ascii="Times New Roman" w:hAnsi="Times New Roman" w:cs="Times New Roman"/>
                      <w:lang w:eastAsia="zh-CN"/>
                    </w:rPr>
                    <w:t>（</w:t>
                  </w:r>
                  <w:r>
                    <w:rPr>
                      <w:rFonts w:ascii="Times New Roman" w:hAnsi="Times New Roman" w:cs="Times New Roman"/>
                    </w:rPr>
                    <w:t>GB18599-2020</w:t>
                  </w:r>
                  <w:r>
                    <w:rPr>
                      <w:rFonts w:hint="eastAsia" w:ascii="Times New Roman" w:hAnsi="Times New Roman" w:cs="Times New Roman"/>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21" w:type="dxa"/>
                  <w:vMerge w:val="continue"/>
                  <w:vAlign w:val="center"/>
                </w:tcPr>
                <w:p>
                  <w:pPr>
                    <w:pStyle w:val="87"/>
                    <w:rPr>
                      <w:rFonts w:ascii="Times New Roman" w:hAnsi="Times New Roman" w:cs="Times New Roman"/>
                    </w:rPr>
                  </w:pPr>
                </w:p>
              </w:tc>
              <w:tc>
                <w:tcPr>
                  <w:tcW w:w="4784" w:type="dxa"/>
                  <w:gridSpan w:val="3"/>
                  <w:vAlign w:val="center"/>
                </w:tcPr>
                <w:p>
                  <w:pPr>
                    <w:pStyle w:val="87"/>
                    <w:rPr>
                      <w:rFonts w:hint="default" w:ascii="Times New Roman" w:hAnsi="Times New Roman" w:eastAsia="宋体" w:cs="Times New Roman"/>
                      <w:lang w:val="en-US" w:eastAsia="zh-CN"/>
                    </w:rPr>
                  </w:pPr>
                  <w:r>
                    <w:rPr>
                      <w:rFonts w:ascii="Times New Roman" w:hAnsi="Times New Roman" w:cs="Times New Roman"/>
                    </w:rPr>
                    <w:t>金属边角料集中收集后在废料收集区存放，定期外售；废脱模剂桶由厂家回收</w:t>
                  </w:r>
                  <w:r>
                    <w:rPr>
                      <w:rFonts w:hint="eastAsia" w:ascii="Times New Roman" w:hAnsi="Times New Roman" w:cs="Times New Roman"/>
                      <w:lang w:eastAsia="zh-CN"/>
                    </w:rPr>
                    <w:t>、</w:t>
                  </w:r>
                  <w:r>
                    <w:rPr>
                      <w:rFonts w:hint="eastAsia" w:ascii="Times New Roman" w:hAnsi="Times New Roman" w:cs="Times New Roman"/>
                      <w:lang w:val="en-US" w:eastAsia="zh-CN"/>
                    </w:rPr>
                    <w:t>不合格产品及除尘器收集的粉尘回用于生产</w:t>
                  </w:r>
                </w:p>
              </w:tc>
              <w:tc>
                <w:tcPr>
                  <w:tcW w:w="3013" w:type="dxa"/>
                  <w:vMerge w:val="continue"/>
                  <w:vAlign w:val="center"/>
                </w:tcPr>
                <w:p>
                  <w:pPr>
                    <w:pStyle w:val="87"/>
                    <w:rPr>
                      <w:rFonts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21" w:type="dxa"/>
                  <w:vMerge w:val="continue"/>
                  <w:vAlign w:val="center"/>
                </w:tcPr>
                <w:p>
                  <w:pPr>
                    <w:pStyle w:val="87"/>
                    <w:rPr>
                      <w:rFonts w:ascii="Times New Roman" w:hAnsi="Times New Roman" w:cs="Times New Roman"/>
                    </w:rPr>
                  </w:pPr>
                </w:p>
              </w:tc>
              <w:tc>
                <w:tcPr>
                  <w:tcW w:w="4784" w:type="dxa"/>
                  <w:gridSpan w:val="3"/>
                  <w:vAlign w:val="center"/>
                </w:tcPr>
                <w:p>
                  <w:pPr>
                    <w:pStyle w:val="87"/>
                    <w:rPr>
                      <w:rFonts w:ascii="Times New Roman" w:hAnsi="Times New Roman" w:cs="Times New Roman"/>
                    </w:rPr>
                  </w:pPr>
                  <w:r>
                    <w:rPr>
                      <w:rFonts w:ascii="Times New Roman" w:hAnsi="Times New Roman" w:cs="Times New Roman"/>
                    </w:rPr>
                    <w:t>废机油、废油桶为危险废物，集中收集至危废暂存间，委托有资质的单位进行处置</w:t>
                  </w:r>
                </w:p>
              </w:tc>
              <w:tc>
                <w:tcPr>
                  <w:tcW w:w="3013" w:type="dxa"/>
                  <w:vAlign w:val="center"/>
                </w:tcPr>
                <w:p>
                  <w:pPr>
                    <w:pStyle w:val="87"/>
                    <w:rPr>
                      <w:rFonts w:ascii="Times New Roman" w:hAnsi="Times New Roman" w:cs="Times New Roman"/>
                    </w:rPr>
                  </w:pPr>
                  <w:r>
                    <w:rPr>
                      <w:rFonts w:ascii="Times New Roman" w:hAnsi="Times New Roman" w:cs="Times New Roman"/>
                    </w:rPr>
                    <w:t>危险废物执行《危险废物贮存污染控制标准》（GB18597-2023）相关规定要求</w:t>
                  </w:r>
                </w:p>
              </w:tc>
            </w:tr>
          </w:tbl>
          <w:p>
            <w:pPr>
              <w:ind w:firstLine="482" w:firstLineChars="200"/>
              <w:rPr>
                <w:b/>
                <w:bCs/>
                <w:szCs w:val="21"/>
              </w:rPr>
            </w:pPr>
            <w:r>
              <w:rPr>
                <w:b/>
                <w:bCs/>
                <w:szCs w:val="21"/>
              </w:rPr>
              <w:t>5环保工程及投资估算</w:t>
            </w:r>
          </w:p>
          <w:p>
            <w:pPr>
              <w:adjustRightInd w:val="0"/>
              <w:snapToGrid w:val="0"/>
              <w:ind w:firstLine="480"/>
              <w:rPr>
                <w:szCs w:val="21"/>
              </w:rPr>
            </w:pPr>
            <w:r>
              <w:rPr>
                <w:szCs w:val="21"/>
              </w:rPr>
              <w:t>本项目总投资4000万元，其中环保投资28.5万元，占项目总投资额的0.71%。环保工程主要包括废气治理工程、废水治理工程、噪声治理工程以及固废治理工程，具体见表</w:t>
            </w:r>
            <w:r>
              <w:rPr>
                <w:rFonts w:hint="eastAsia"/>
                <w:szCs w:val="21"/>
                <w:lang w:val="en-US" w:eastAsia="zh-CN"/>
              </w:rPr>
              <w:t>4</w:t>
            </w:r>
            <w:r>
              <w:rPr>
                <w:szCs w:val="21"/>
              </w:rPr>
              <w:t>-</w:t>
            </w:r>
            <w:r>
              <w:rPr>
                <w:rFonts w:hint="eastAsia"/>
                <w:szCs w:val="21"/>
                <w:lang w:val="en-US" w:eastAsia="zh-CN"/>
              </w:rPr>
              <w:t>22</w:t>
            </w:r>
            <w:r>
              <w:rPr>
                <w:szCs w:val="21"/>
              </w:rPr>
              <w:t>。</w:t>
            </w:r>
          </w:p>
          <w:p>
            <w:pPr>
              <w:pStyle w:val="38"/>
              <w:bidi w:val="0"/>
            </w:pPr>
            <w:r>
              <w:t>表</w:t>
            </w:r>
            <w:r>
              <w:rPr>
                <w:rFonts w:hint="eastAsia"/>
                <w:lang w:val="en-US" w:eastAsia="zh-CN"/>
              </w:rPr>
              <w:t>4</w:t>
            </w:r>
            <w:r>
              <w:t>-</w:t>
            </w:r>
            <w:r>
              <w:rPr>
                <w:rFonts w:hint="eastAsia"/>
                <w:lang w:val="en-US" w:eastAsia="zh-CN"/>
              </w:rPr>
              <w:t>22</w:t>
            </w:r>
            <w:r>
              <w:t>环保工程项目及投资估算</w:t>
            </w:r>
          </w:p>
          <w:tbl>
            <w:tblPr>
              <w:tblStyle w:val="26"/>
              <w:tblW w:w="836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96"/>
              <w:gridCol w:w="4957"/>
              <w:gridCol w:w="15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72" w:type="dxa"/>
                  <w:vAlign w:val="center"/>
                </w:tcPr>
                <w:p>
                  <w:pPr>
                    <w:pStyle w:val="87"/>
                    <w:rPr>
                      <w:rFonts w:ascii="Times New Roman" w:hAnsi="Times New Roman" w:cs="Times New Roman"/>
                    </w:rPr>
                  </w:pPr>
                  <w:r>
                    <w:rPr>
                      <w:rFonts w:ascii="Times New Roman" w:hAnsi="Times New Roman" w:cs="Times New Roman"/>
                    </w:rPr>
                    <w:t>序号</w:t>
                  </w:r>
                </w:p>
              </w:tc>
              <w:tc>
                <w:tcPr>
                  <w:tcW w:w="1096" w:type="dxa"/>
                  <w:vAlign w:val="center"/>
                </w:tcPr>
                <w:p>
                  <w:pPr>
                    <w:pStyle w:val="87"/>
                    <w:rPr>
                      <w:rFonts w:ascii="Times New Roman" w:hAnsi="Times New Roman" w:cs="Times New Roman"/>
                    </w:rPr>
                  </w:pPr>
                  <w:r>
                    <w:rPr>
                      <w:rFonts w:ascii="Times New Roman" w:hAnsi="Times New Roman" w:cs="Times New Roman"/>
                    </w:rPr>
                    <w:t>内容</w:t>
                  </w:r>
                </w:p>
              </w:tc>
              <w:tc>
                <w:tcPr>
                  <w:tcW w:w="4957" w:type="dxa"/>
                  <w:vAlign w:val="center"/>
                </w:tcPr>
                <w:p>
                  <w:pPr>
                    <w:pStyle w:val="87"/>
                    <w:rPr>
                      <w:rFonts w:ascii="Times New Roman" w:hAnsi="Times New Roman" w:cs="Times New Roman"/>
                    </w:rPr>
                  </w:pPr>
                  <w:r>
                    <w:rPr>
                      <w:rFonts w:ascii="Times New Roman" w:hAnsi="Times New Roman" w:cs="Times New Roman"/>
                    </w:rPr>
                    <w:t>环保设施</w:t>
                  </w:r>
                </w:p>
              </w:tc>
              <w:tc>
                <w:tcPr>
                  <w:tcW w:w="1537" w:type="dxa"/>
                  <w:vAlign w:val="center"/>
                </w:tcPr>
                <w:p>
                  <w:pPr>
                    <w:pStyle w:val="87"/>
                    <w:jc w:val="both"/>
                    <w:rPr>
                      <w:rFonts w:ascii="Times New Roman" w:hAnsi="Times New Roman" w:cs="Times New Roman"/>
                    </w:rPr>
                  </w:pPr>
                  <w:r>
                    <w:rPr>
                      <w:rFonts w:ascii="Times New Roman" w:hAnsi="Times New Roman" w:cs="Times New Roman"/>
                    </w:rPr>
                    <w:t>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2" w:type="dxa"/>
                  <w:vAlign w:val="center"/>
                </w:tcPr>
                <w:p>
                  <w:pPr>
                    <w:pStyle w:val="87"/>
                    <w:rPr>
                      <w:rFonts w:ascii="Times New Roman" w:hAnsi="Times New Roman" w:cs="Times New Roman"/>
                    </w:rPr>
                  </w:pPr>
                  <w:r>
                    <w:rPr>
                      <w:rFonts w:ascii="Times New Roman" w:hAnsi="Times New Roman" w:cs="Times New Roman"/>
                    </w:rPr>
                    <w:t>1</w:t>
                  </w:r>
                </w:p>
              </w:tc>
              <w:tc>
                <w:tcPr>
                  <w:tcW w:w="1096" w:type="dxa"/>
                  <w:vAlign w:val="center"/>
                </w:tcPr>
                <w:p>
                  <w:pPr>
                    <w:pStyle w:val="87"/>
                    <w:rPr>
                      <w:rFonts w:ascii="Times New Roman" w:hAnsi="Times New Roman" w:cs="Times New Roman"/>
                    </w:rPr>
                  </w:pPr>
                  <w:r>
                    <w:rPr>
                      <w:rFonts w:ascii="Times New Roman" w:hAnsi="Times New Roman" w:cs="Times New Roman"/>
                    </w:rPr>
                    <w:t>废气治理</w:t>
                  </w:r>
                </w:p>
              </w:tc>
              <w:tc>
                <w:tcPr>
                  <w:tcW w:w="4957" w:type="dxa"/>
                  <w:vAlign w:val="center"/>
                </w:tcPr>
                <w:p>
                  <w:pPr>
                    <w:pStyle w:val="87"/>
                    <w:rPr>
                      <w:rFonts w:hint="default" w:ascii="Times New Roman" w:hAnsi="Times New Roman" w:eastAsia="宋体" w:cs="Times New Roman"/>
                      <w:lang w:val="en-US" w:eastAsia="zh-CN" w:bidi="ar"/>
                    </w:rPr>
                  </w:pPr>
                  <w:r>
                    <w:rPr>
                      <w:rFonts w:ascii="Times New Roman" w:hAnsi="Times New Roman" w:cs="Times New Roman"/>
                      <w:lang w:bidi="ar"/>
                    </w:rPr>
                    <w:t>布袋除尘器</w:t>
                  </w:r>
                  <w:r>
                    <w:rPr>
                      <w:rFonts w:hint="eastAsia" w:ascii="Times New Roman" w:hAnsi="Times New Roman" w:cs="Times New Roman"/>
                      <w:lang w:val="en-US" w:eastAsia="zh-CN" w:bidi="ar"/>
                    </w:rPr>
                    <w:t>+15m告排气筒6套</w:t>
                  </w:r>
                  <w:r>
                    <w:rPr>
                      <w:rFonts w:ascii="Times New Roman" w:hAnsi="Times New Roman" w:cs="Times New Roman"/>
                      <w:lang w:bidi="ar"/>
                    </w:rPr>
                    <w:t>，油烟净化器</w:t>
                  </w:r>
                  <w:r>
                    <w:rPr>
                      <w:rFonts w:hint="eastAsia" w:ascii="Times New Roman" w:hAnsi="Times New Roman" w:cs="Times New Roman"/>
                      <w:lang w:val="en-US" w:eastAsia="zh-CN" w:bidi="ar"/>
                    </w:rPr>
                    <w:t>1套</w:t>
                  </w:r>
                </w:p>
              </w:tc>
              <w:tc>
                <w:tcPr>
                  <w:tcW w:w="1537" w:type="dxa"/>
                  <w:vAlign w:val="center"/>
                </w:tcPr>
                <w:p>
                  <w:pPr>
                    <w:pStyle w:val="87"/>
                    <w:rPr>
                      <w:rFonts w:ascii="Times New Roman" w:hAnsi="Times New Roman" w:cs="Times New Roman"/>
                    </w:rPr>
                  </w:pPr>
                  <w:r>
                    <w:rPr>
                      <w:rFonts w:ascii="Times New Roman" w:hAnsi="Times New Roman" w:cs="Times New Roman"/>
                    </w:rPr>
                    <w:t>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772" w:type="dxa"/>
                  <w:vAlign w:val="center"/>
                </w:tcPr>
                <w:p>
                  <w:pPr>
                    <w:pStyle w:val="87"/>
                    <w:rPr>
                      <w:rFonts w:ascii="Times New Roman" w:hAnsi="Times New Roman" w:cs="Times New Roman"/>
                    </w:rPr>
                  </w:pPr>
                  <w:r>
                    <w:rPr>
                      <w:rFonts w:ascii="Times New Roman" w:hAnsi="Times New Roman" w:cs="Times New Roman"/>
                    </w:rPr>
                    <w:t>2</w:t>
                  </w:r>
                </w:p>
              </w:tc>
              <w:tc>
                <w:tcPr>
                  <w:tcW w:w="1096" w:type="dxa"/>
                  <w:vAlign w:val="center"/>
                </w:tcPr>
                <w:p>
                  <w:pPr>
                    <w:pStyle w:val="87"/>
                    <w:rPr>
                      <w:rFonts w:ascii="Times New Roman" w:hAnsi="Times New Roman" w:cs="Times New Roman"/>
                    </w:rPr>
                  </w:pPr>
                  <w:r>
                    <w:rPr>
                      <w:rFonts w:ascii="Times New Roman" w:hAnsi="Times New Roman" w:cs="Times New Roman"/>
                    </w:rPr>
                    <w:t>废水治理</w:t>
                  </w:r>
                </w:p>
              </w:tc>
              <w:tc>
                <w:tcPr>
                  <w:tcW w:w="4957" w:type="dxa"/>
                  <w:vAlign w:val="center"/>
                </w:tcPr>
                <w:p>
                  <w:pPr>
                    <w:pStyle w:val="87"/>
                    <w:rPr>
                      <w:rFonts w:hint="default" w:ascii="Times New Roman" w:hAnsi="Times New Roman" w:eastAsia="宋体" w:cs="Times New Roman"/>
                      <w:lang w:val="en-US" w:eastAsia="zh-CN"/>
                    </w:rPr>
                  </w:pPr>
                  <w:r>
                    <w:rPr>
                      <w:rFonts w:ascii="Times New Roman" w:hAnsi="Times New Roman" w:cs="Times New Roman"/>
                    </w:rPr>
                    <w:t>化粪池</w:t>
                  </w:r>
                  <w:r>
                    <w:rPr>
                      <w:rFonts w:hint="eastAsia" w:ascii="Times New Roman" w:hAnsi="Times New Roman" w:cs="Times New Roman"/>
                      <w:lang w:val="en-US" w:eastAsia="zh-CN"/>
                    </w:rPr>
                    <w:t>1座</w:t>
                  </w:r>
                </w:p>
              </w:tc>
              <w:tc>
                <w:tcPr>
                  <w:tcW w:w="1537" w:type="dxa"/>
                  <w:vAlign w:val="center"/>
                </w:tcPr>
                <w:p>
                  <w:pPr>
                    <w:pStyle w:val="87"/>
                    <w:rPr>
                      <w:rFonts w:ascii="Times New Roman" w:hAnsi="Times New Roman" w:cs="Times New Roman"/>
                    </w:rPr>
                  </w:pPr>
                  <w:r>
                    <w:rPr>
                      <w:rFonts w:ascii="Times New Roman" w:hAnsi="Times New Roman" w:cs="Times New Roma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72" w:type="dxa"/>
                  <w:vAlign w:val="center"/>
                </w:tcPr>
                <w:p>
                  <w:pPr>
                    <w:pStyle w:val="87"/>
                    <w:rPr>
                      <w:rFonts w:ascii="Times New Roman" w:hAnsi="Times New Roman" w:cs="Times New Roman"/>
                    </w:rPr>
                  </w:pPr>
                  <w:r>
                    <w:rPr>
                      <w:rFonts w:ascii="Times New Roman" w:hAnsi="Times New Roman" w:cs="Times New Roman"/>
                    </w:rPr>
                    <w:t>3</w:t>
                  </w:r>
                </w:p>
              </w:tc>
              <w:tc>
                <w:tcPr>
                  <w:tcW w:w="1096" w:type="dxa"/>
                  <w:vAlign w:val="center"/>
                </w:tcPr>
                <w:p>
                  <w:pPr>
                    <w:pStyle w:val="87"/>
                    <w:rPr>
                      <w:rFonts w:ascii="Times New Roman" w:hAnsi="Times New Roman" w:cs="Times New Roman"/>
                    </w:rPr>
                  </w:pPr>
                  <w:r>
                    <w:rPr>
                      <w:rFonts w:ascii="Times New Roman" w:hAnsi="Times New Roman" w:cs="Times New Roman"/>
                    </w:rPr>
                    <w:t>固废治理</w:t>
                  </w:r>
                </w:p>
              </w:tc>
              <w:tc>
                <w:tcPr>
                  <w:tcW w:w="4957" w:type="dxa"/>
                  <w:vAlign w:val="center"/>
                </w:tcPr>
                <w:p>
                  <w:pPr>
                    <w:pStyle w:val="87"/>
                    <w:rPr>
                      <w:rFonts w:ascii="Times New Roman" w:hAnsi="Times New Roman" w:cs="Times New Roman"/>
                    </w:rPr>
                  </w:pPr>
                  <w:r>
                    <w:rPr>
                      <w:rFonts w:ascii="Times New Roman" w:hAnsi="Times New Roman" w:cs="Times New Roman"/>
                    </w:rPr>
                    <w:t>固废堆场三防设施、生活垃圾处置费；危废间三防设施及处置费用</w:t>
                  </w:r>
                </w:p>
              </w:tc>
              <w:tc>
                <w:tcPr>
                  <w:tcW w:w="1537" w:type="dxa"/>
                  <w:vAlign w:val="center"/>
                </w:tcPr>
                <w:p>
                  <w:pPr>
                    <w:pStyle w:val="87"/>
                    <w:rPr>
                      <w:rFonts w:ascii="Times New Roman" w:hAnsi="Times New Roman" w:cs="Times New Roman"/>
                    </w:rPr>
                  </w:pPr>
                  <w:r>
                    <w:rPr>
                      <w:rFonts w:ascii="Times New Roman" w:hAnsi="Times New Roman" w:cs="Times New Roma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772" w:type="dxa"/>
                  <w:vAlign w:val="center"/>
                </w:tcPr>
                <w:p>
                  <w:pPr>
                    <w:pStyle w:val="87"/>
                    <w:rPr>
                      <w:rFonts w:ascii="Times New Roman" w:hAnsi="Times New Roman" w:cs="Times New Roman"/>
                    </w:rPr>
                  </w:pPr>
                  <w:r>
                    <w:rPr>
                      <w:rFonts w:ascii="Times New Roman" w:hAnsi="Times New Roman" w:cs="Times New Roman"/>
                    </w:rPr>
                    <w:t>4</w:t>
                  </w:r>
                </w:p>
              </w:tc>
              <w:tc>
                <w:tcPr>
                  <w:tcW w:w="1096" w:type="dxa"/>
                  <w:vAlign w:val="center"/>
                </w:tcPr>
                <w:p>
                  <w:pPr>
                    <w:pStyle w:val="87"/>
                    <w:rPr>
                      <w:rFonts w:ascii="Times New Roman" w:hAnsi="Times New Roman" w:cs="Times New Roman"/>
                    </w:rPr>
                  </w:pPr>
                  <w:r>
                    <w:rPr>
                      <w:rFonts w:ascii="Times New Roman" w:hAnsi="Times New Roman" w:cs="Times New Roman"/>
                    </w:rPr>
                    <w:t>噪声治理</w:t>
                  </w:r>
                </w:p>
              </w:tc>
              <w:tc>
                <w:tcPr>
                  <w:tcW w:w="4957" w:type="dxa"/>
                  <w:vAlign w:val="center"/>
                </w:tcPr>
                <w:p>
                  <w:pPr>
                    <w:pStyle w:val="87"/>
                    <w:rPr>
                      <w:rFonts w:ascii="Times New Roman" w:hAnsi="Times New Roman" w:cs="Times New Roman"/>
                    </w:rPr>
                  </w:pPr>
                  <w:r>
                    <w:rPr>
                      <w:rFonts w:ascii="Times New Roman" w:hAnsi="Times New Roman" w:cs="Times New Roman"/>
                    </w:rPr>
                    <w:t>设备隔声、减震系统</w:t>
                  </w:r>
                </w:p>
              </w:tc>
              <w:tc>
                <w:tcPr>
                  <w:tcW w:w="1537" w:type="dxa"/>
                  <w:vAlign w:val="center"/>
                </w:tcPr>
                <w:p>
                  <w:pPr>
                    <w:pStyle w:val="87"/>
                    <w:rPr>
                      <w:rFonts w:ascii="Times New Roman" w:hAnsi="Times New Roman" w:cs="Times New Roman"/>
                    </w:rPr>
                  </w:pPr>
                  <w:r>
                    <w:rPr>
                      <w:rFonts w:ascii="Times New Roman" w:hAnsi="Times New Roman" w:cs="Times New Roma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868" w:type="dxa"/>
                  <w:gridSpan w:val="2"/>
                  <w:vAlign w:val="center"/>
                </w:tcPr>
                <w:p>
                  <w:pPr>
                    <w:pStyle w:val="87"/>
                    <w:rPr>
                      <w:rFonts w:ascii="Times New Roman" w:hAnsi="Times New Roman" w:cs="Times New Roman"/>
                    </w:rPr>
                  </w:pPr>
                  <w:r>
                    <w:rPr>
                      <w:rFonts w:ascii="Times New Roman" w:hAnsi="Times New Roman" w:cs="Times New Roman"/>
                    </w:rPr>
                    <w:t>合计</w:t>
                  </w:r>
                </w:p>
              </w:tc>
              <w:tc>
                <w:tcPr>
                  <w:tcW w:w="4957" w:type="dxa"/>
                  <w:vAlign w:val="center"/>
                </w:tcPr>
                <w:p>
                  <w:pPr>
                    <w:pStyle w:val="87"/>
                    <w:rPr>
                      <w:rFonts w:ascii="Times New Roman" w:hAnsi="Times New Roman" w:cs="Times New Roman"/>
                    </w:rPr>
                  </w:pPr>
                  <w:r>
                    <w:rPr>
                      <w:rFonts w:ascii="Times New Roman" w:hAnsi="Times New Roman" w:cs="Times New Roman"/>
                    </w:rPr>
                    <w:t>/</w:t>
                  </w:r>
                </w:p>
              </w:tc>
              <w:tc>
                <w:tcPr>
                  <w:tcW w:w="1537" w:type="dxa"/>
                  <w:vAlign w:val="center"/>
                </w:tcPr>
                <w:p>
                  <w:pPr>
                    <w:pStyle w:val="87"/>
                    <w:rPr>
                      <w:rFonts w:ascii="Times New Roman" w:hAnsi="Times New Roman" w:cs="Times New Roman"/>
                    </w:rPr>
                  </w:pPr>
                  <w:r>
                    <w:rPr>
                      <w:rFonts w:ascii="Times New Roman" w:hAnsi="Times New Roman" w:cs="Times New Roman"/>
                    </w:rPr>
                    <w:t>28.5</w:t>
                  </w:r>
                </w:p>
              </w:tc>
            </w:tr>
          </w:tbl>
          <w:p>
            <w:pPr>
              <w:rPr>
                <w:szCs w:val="21"/>
              </w:rPr>
            </w:pPr>
          </w:p>
          <w:p>
            <w:pPr>
              <w:pStyle w:val="2"/>
              <w:numPr>
                <w:ilvl w:val="1"/>
                <w:numId w:val="0"/>
              </w:numPr>
              <w:ind w:leftChars="0"/>
            </w:pPr>
          </w:p>
        </w:tc>
      </w:tr>
    </w:tbl>
    <w:p>
      <w:pPr>
        <w:rPr>
          <w:rFonts w:ascii="Times New Roman" w:eastAsia="黑体"/>
          <w:snapToGrid w:val="0"/>
          <w:sz w:val="30"/>
          <w:szCs w:val="30"/>
        </w:rPr>
      </w:pPr>
      <w:r>
        <w:rPr>
          <w:rFonts w:ascii="Times New Roman" w:eastAsia="黑体"/>
          <w:snapToGrid w:val="0"/>
          <w:sz w:val="30"/>
          <w:szCs w:val="30"/>
        </w:rPr>
        <w:br w:type="page"/>
      </w:r>
    </w:p>
    <w:p>
      <w:pPr>
        <w:pStyle w:val="21"/>
        <w:adjustRightInd w:val="0"/>
        <w:snapToGrid w:val="0"/>
        <w:spacing w:before="0" w:beforeAutospacing="0" w:after="0" w:afterAutospacing="0"/>
        <w:jc w:val="center"/>
        <w:outlineLvl w:val="0"/>
        <w:rPr>
          <w:rFonts w:ascii="Times New Roman" w:eastAsia="黑体"/>
          <w:snapToGrid w:val="0"/>
          <w:sz w:val="30"/>
          <w:szCs w:val="30"/>
        </w:rPr>
      </w:pPr>
      <w:r>
        <w:rPr>
          <w:rFonts w:ascii="Times New Roman" w:eastAsia="黑体"/>
          <w:snapToGrid w:val="0"/>
          <w:sz w:val="30"/>
          <w:szCs w:val="30"/>
        </w:rPr>
        <w:t>五、</w:t>
      </w:r>
      <w:bookmarkStart w:id="7" w:name="_Hlk54167917"/>
      <w:r>
        <w:rPr>
          <w:rFonts w:ascii="Times New Roman" w:eastAsia="黑体"/>
          <w:snapToGrid w:val="0"/>
          <w:sz w:val="30"/>
          <w:szCs w:val="30"/>
        </w:rPr>
        <w:t>环境保护措施监督检查清单</w:t>
      </w:r>
      <w:bookmarkEnd w:id="7"/>
    </w:p>
    <w:tbl>
      <w:tblPr>
        <w:tblStyle w:val="26"/>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504"/>
        <w:gridCol w:w="1789"/>
        <w:gridCol w:w="1201"/>
        <w:gridCol w:w="31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12" w:type="dxa"/>
            <w:tcBorders>
              <w:tl2br w:val="single" w:color="auto" w:sz="4" w:space="0"/>
            </w:tcBorders>
          </w:tcPr>
          <w:p>
            <w:pPr>
              <w:adjustRightInd w:val="0"/>
              <w:snapToGrid w:val="0"/>
              <w:spacing w:line="240" w:lineRule="auto"/>
              <w:ind w:firstLine="241" w:firstLineChars="100"/>
              <w:rPr>
                <w:b/>
                <w:sz w:val="24"/>
                <w:szCs w:val="24"/>
              </w:rPr>
            </w:pPr>
            <w:r>
              <w:rPr>
                <w:b/>
                <w:sz w:val="24"/>
                <w:szCs w:val="24"/>
              </w:rPr>
              <w:t>内容</w:t>
            </w:r>
          </w:p>
          <w:p>
            <w:pPr>
              <w:adjustRightInd w:val="0"/>
              <w:snapToGrid w:val="0"/>
              <w:spacing w:line="240" w:lineRule="auto"/>
              <w:ind w:firstLine="241" w:firstLineChars="100"/>
              <w:rPr>
                <w:b/>
                <w:sz w:val="24"/>
                <w:szCs w:val="24"/>
              </w:rPr>
            </w:pPr>
          </w:p>
          <w:p>
            <w:pPr>
              <w:adjustRightInd w:val="0"/>
              <w:snapToGrid w:val="0"/>
              <w:spacing w:line="240" w:lineRule="auto"/>
              <w:rPr>
                <w:b/>
                <w:sz w:val="24"/>
                <w:szCs w:val="24"/>
              </w:rPr>
            </w:pPr>
            <w:r>
              <w:rPr>
                <w:b/>
                <w:sz w:val="24"/>
                <w:szCs w:val="24"/>
              </w:rPr>
              <w:t>要素</w:t>
            </w:r>
          </w:p>
        </w:tc>
        <w:tc>
          <w:tcPr>
            <w:tcW w:w="1504" w:type="dxa"/>
            <w:vAlign w:val="center"/>
          </w:tcPr>
          <w:p>
            <w:pPr>
              <w:adjustRightInd w:val="0"/>
              <w:snapToGrid w:val="0"/>
              <w:spacing w:line="240" w:lineRule="auto"/>
              <w:jc w:val="center"/>
              <w:rPr>
                <w:b/>
                <w:sz w:val="24"/>
                <w:szCs w:val="24"/>
              </w:rPr>
            </w:pPr>
            <w:r>
              <w:rPr>
                <w:b/>
                <w:sz w:val="24"/>
                <w:szCs w:val="24"/>
              </w:rPr>
              <w:t>排放口</w:t>
            </w:r>
            <w:r>
              <w:rPr>
                <w:rFonts w:hint="eastAsia"/>
                <w:b/>
                <w:sz w:val="24"/>
                <w:szCs w:val="24"/>
                <w:lang w:eastAsia="zh-CN"/>
              </w:rPr>
              <w:t>（</w:t>
            </w:r>
            <w:r>
              <w:rPr>
                <w:b/>
                <w:sz w:val="24"/>
                <w:szCs w:val="24"/>
              </w:rPr>
              <w:t>编号、名称</w:t>
            </w:r>
            <w:r>
              <w:rPr>
                <w:rFonts w:hint="eastAsia"/>
                <w:b/>
                <w:sz w:val="24"/>
                <w:szCs w:val="24"/>
                <w:lang w:eastAsia="zh-CN"/>
              </w:rPr>
              <w:t>）</w:t>
            </w:r>
            <w:r>
              <w:rPr>
                <w:b/>
                <w:sz w:val="24"/>
                <w:szCs w:val="24"/>
              </w:rPr>
              <w:t>/污染源</w:t>
            </w:r>
          </w:p>
        </w:tc>
        <w:tc>
          <w:tcPr>
            <w:tcW w:w="1789" w:type="dxa"/>
            <w:vAlign w:val="center"/>
          </w:tcPr>
          <w:p>
            <w:pPr>
              <w:adjustRightInd w:val="0"/>
              <w:snapToGrid w:val="0"/>
              <w:spacing w:line="240" w:lineRule="auto"/>
              <w:jc w:val="center"/>
              <w:rPr>
                <w:b/>
                <w:sz w:val="24"/>
                <w:szCs w:val="24"/>
              </w:rPr>
            </w:pPr>
            <w:r>
              <w:rPr>
                <w:b/>
                <w:sz w:val="24"/>
                <w:szCs w:val="24"/>
              </w:rPr>
              <w:t>污染物项目</w:t>
            </w:r>
          </w:p>
        </w:tc>
        <w:tc>
          <w:tcPr>
            <w:tcW w:w="1201" w:type="dxa"/>
            <w:vAlign w:val="center"/>
          </w:tcPr>
          <w:p>
            <w:pPr>
              <w:adjustRightInd w:val="0"/>
              <w:snapToGrid w:val="0"/>
              <w:spacing w:line="240" w:lineRule="auto"/>
              <w:jc w:val="center"/>
              <w:rPr>
                <w:b/>
                <w:sz w:val="24"/>
                <w:szCs w:val="24"/>
              </w:rPr>
            </w:pPr>
            <w:r>
              <w:rPr>
                <w:b/>
                <w:sz w:val="24"/>
                <w:szCs w:val="24"/>
              </w:rPr>
              <w:t>环境保护措施</w:t>
            </w:r>
          </w:p>
        </w:tc>
        <w:tc>
          <w:tcPr>
            <w:tcW w:w="3194" w:type="dxa"/>
            <w:vAlign w:val="center"/>
          </w:tcPr>
          <w:p>
            <w:pPr>
              <w:adjustRightInd w:val="0"/>
              <w:snapToGrid w:val="0"/>
              <w:spacing w:line="240" w:lineRule="auto"/>
              <w:jc w:val="center"/>
              <w:rPr>
                <w:b/>
                <w:sz w:val="24"/>
                <w:szCs w:val="24"/>
              </w:rPr>
            </w:pPr>
            <w:r>
              <w:rPr>
                <w:b/>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Merge w:val="restart"/>
            <w:vAlign w:val="center"/>
          </w:tcPr>
          <w:p>
            <w:pPr>
              <w:adjustRightInd w:val="0"/>
              <w:snapToGrid w:val="0"/>
              <w:spacing w:line="240" w:lineRule="auto"/>
              <w:jc w:val="center"/>
              <w:rPr>
                <w:b/>
                <w:sz w:val="24"/>
                <w:szCs w:val="24"/>
              </w:rPr>
            </w:pPr>
            <w:r>
              <w:rPr>
                <w:b/>
                <w:sz w:val="24"/>
                <w:szCs w:val="24"/>
              </w:rPr>
              <w:t>大气环境</w:t>
            </w: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DA00</w:t>
            </w:r>
            <w:r>
              <w:rPr>
                <w:rFonts w:hint="eastAsia" w:ascii="Times New Roman" w:cs="Times New Roman"/>
                <w:b w:val="0"/>
                <w:bCs/>
                <w:color w:val="auto"/>
                <w:sz w:val="24"/>
                <w:szCs w:val="24"/>
                <w:lang w:val="en-US" w:eastAsia="zh-CN"/>
              </w:rPr>
              <w:t>4</w:t>
            </w:r>
            <w:r>
              <w:rPr>
                <w:rFonts w:ascii="Times New Roman" w:cs="Times New Roman"/>
                <w:b w:val="0"/>
                <w:bCs/>
                <w:color w:val="auto"/>
                <w:sz w:val="24"/>
                <w:szCs w:val="24"/>
              </w:rPr>
              <w:t>水泥筒仓</w:t>
            </w:r>
          </w:p>
        </w:tc>
        <w:tc>
          <w:tcPr>
            <w:tcW w:w="1789" w:type="dxa"/>
            <w:vAlign w:val="center"/>
          </w:tcPr>
          <w:p>
            <w:pPr>
              <w:spacing w:line="240" w:lineRule="auto"/>
              <w:jc w:val="center"/>
              <w:rPr>
                <w:sz w:val="24"/>
                <w:szCs w:val="24"/>
              </w:rPr>
            </w:pPr>
            <w:r>
              <w:rPr>
                <w:bCs/>
                <w:sz w:val="24"/>
                <w:szCs w:val="24"/>
              </w:rPr>
              <w:t>颗粒物</w:t>
            </w:r>
          </w:p>
        </w:tc>
        <w:tc>
          <w:tcPr>
            <w:tcW w:w="1201" w:type="dxa"/>
            <w:vAlign w:val="center"/>
          </w:tcPr>
          <w:p>
            <w:pPr>
              <w:adjustRightInd w:val="0"/>
              <w:snapToGrid w:val="0"/>
              <w:spacing w:line="240" w:lineRule="auto"/>
              <w:jc w:val="center"/>
              <w:rPr>
                <w:sz w:val="24"/>
                <w:szCs w:val="24"/>
              </w:rPr>
            </w:pPr>
            <w:r>
              <w:rPr>
                <w:sz w:val="24"/>
                <w:szCs w:val="24"/>
              </w:rPr>
              <w:t>布袋除尘器+15m排气筒</w:t>
            </w:r>
          </w:p>
        </w:tc>
        <w:tc>
          <w:tcPr>
            <w:tcW w:w="3194" w:type="dxa"/>
            <w:vMerge w:val="restart"/>
            <w:vAlign w:val="center"/>
          </w:tcPr>
          <w:p>
            <w:pPr>
              <w:adjustRightInd w:val="0"/>
              <w:snapToGrid w:val="0"/>
              <w:spacing w:line="240" w:lineRule="auto"/>
              <w:jc w:val="center"/>
              <w:rPr>
                <w:sz w:val="24"/>
                <w:szCs w:val="24"/>
              </w:rPr>
            </w:pPr>
            <w:r>
              <w:rPr>
                <w:sz w:val="24"/>
                <w:szCs w:val="24"/>
              </w:rPr>
              <w:t>《水泥工业大气污染物排放标准》（4915-2013）表2大气污染物特别排放限值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12" w:type="dxa"/>
            <w:vMerge w:val="continue"/>
            <w:vAlign w:val="center"/>
          </w:tcPr>
          <w:p>
            <w:pPr>
              <w:adjustRightInd w:val="0"/>
              <w:snapToGrid w:val="0"/>
              <w:spacing w:line="240" w:lineRule="auto"/>
              <w:jc w:val="center"/>
              <w:rPr>
                <w:b/>
                <w:sz w:val="24"/>
                <w:szCs w:val="24"/>
              </w:rPr>
            </w:pP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DA00</w:t>
            </w:r>
            <w:r>
              <w:rPr>
                <w:rFonts w:hint="eastAsia" w:ascii="Times New Roman" w:cs="Times New Roman"/>
                <w:b w:val="0"/>
                <w:bCs/>
                <w:color w:val="auto"/>
                <w:sz w:val="24"/>
                <w:szCs w:val="24"/>
                <w:lang w:val="en-US" w:eastAsia="zh-CN"/>
              </w:rPr>
              <w:t>5</w:t>
            </w:r>
            <w:r>
              <w:rPr>
                <w:rFonts w:ascii="Times New Roman" w:cs="Times New Roman"/>
                <w:b w:val="0"/>
                <w:bCs/>
                <w:color w:val="auto"/>
                <w:sz w:val="24"/>
                <w:szCs w:val="24"/>
              </w:rPr>
              <w:t>水泥筒仓</w:t>
            </w:r>
          </w:p>
        </w:tc>
        <w:tc>
          <w:tcPr>
            <w:tcW w:w="1789" w:type="dxa"/>
            <w:vAlign w:val="center"/>
          </w:tcPr>
          <w:p>
            <w:pPr>
              <w:spacing w:line="240" w:lineRule="auto"/>
              <w:jc w:val="center"/>
              <w:rPr>
                <w:bCs/>
                <w:sz w:val="24"/>
                <w:szCs w:val="24"/>
              </w:rPr>
            </w:pPr>
            <w:r>
              <w:rPr>
                <w:bCs/>
                <w:sz w:val="24"/>
                <w:szCs w:val="24"/>
              </w:rPr>
              <w:t>颗粒物</w:t>
            </w:r>
          </w:p>
        </w:tc>
        <w:tc>
          <w:tcPr>
            <w:tcW w:w="1201" w:type="dxa"/>
            <w:vAlign w:val="center"/>
          </w:tcPr>
          <w:p>
            <w:pPr>
              <w:adjustRightInd w:val="0"/>
              <w:snapToGrid w:val="0"/>
              <w:spacing w:line="240" w:lineRule="auto"/>
              <w:jc w:val="center"/>
              <w:rPr>
                <w:sz w:val="24"/>
                <w:szCs w:val="24"/>
              </w:rPr>
            </w:pPr>
            <w:r>
              <w:rPr>
                <w:sz w:val="24"/>
                <w:szCs w:val="24"/>
              </w:rPr>
              <w:t>布袋除尘器+15m排气筒</w:t>
            </w:r>
          </w:p>
        </w:tc>
        <w:tc>
          <w:tcPr>
            <w:tcW w:w="3194" w:type="dxa"/>
            <w:vMerge w:val="continue"/>
            <w:vAlign w:val="center"/>
          </w:tcPr>
          <w:p>
            <w:pPr>
              <w:adjustRightInd w:val="0"/>
              <w:snapToGrid w:val="0"/>
              <w:spacing w:line="240" w:lineRule="auto"/>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Merge w:val="continue"/>
            <w:vAlign w:val="center"/>
          </w:tcPr>
          <w:p>
            <w:pPr>
              <w:adjustRightInd w:val="0"/>
              <w:snapToGrid w:val="0"/>
              <w:spacing w:line="240" w:lineRule="auto"/>
              <w:jc w:val="center"/>
              <w:rPr>
                <w:b/>
                <w:sz w:val="24"/>
                <w:szCs w:val="24"/>
              </w:rPr>
            </w:pP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DA00</w:t>
            </w:r>
            <w:r>
              <w:rPr>
                <w:rFonts w:hint="eastAsia" w:ascii="Times New Roman" w:cs="Times New Roman"/>
                <w:b w:val="0"/>
                <w:bCs/>
                <w:color w:val="auto"/>
                <w:sz w:val="24"/>
                <w:szCs w:val="24"/>
                <w:lang w:val="en-US" w:eastAsia="zh-CN"/>
              </w:rPr>
              <w:t>6</w:t>
            </w:r>
            <w:r>
              <w:rPr>
                <w:rFonts w:ascii="Times New Roman" w:cs="Times New Roman"/>
                <w:b w:val="0"/>
                <w:bCs/>
                <w:color w:val="auto"/>
                <w:sz w:val="24"/>
                <w:szCs w:val="24"/>
              </w:rPr>
              <w:t>外加剂筒仓</w:t>
            </w:r>
          </w:p>
        </w:tc>
        <w:tc>
          <w:tcPr>
            <w:tcW w:w="1789" w:type="dxa"/>
            <w:vAlign w:val="center"/>
          </w:tcPr>
          <w:p>
            <w:pPr>
              <w:spacing w:line="240" w:lineRule="auto"/>
              <w:jc w:val="center"/>
              <w:rPr>
                <w:sz w:val="24"/>
                <w:szCs w:val="24"/>
              </w:rPr>
            </w:pPr>
            <w:r>
              <w:rPr>
                <w:bCs/>
                <w:sz w:val="24"/>
                <w:szCs w:val="24"/>
              </w:rPr>
              <w:t>颗粒物</w:t>
            </w:r>
          </w:p>
        </w:tc>
        <w:tc>
          <w:tcPr>
            <w:tcW w:w="1201" w:type="dxa"/>
            <w:vAlign w:val="center"/>
          </w:tcPr>
          <w:p>
            <w:pPr>
              <w:adjustRightInd w:val="0"/>
              <w:snapToGrid w:val="0"/>
              <w:spacing w:line="240" w:lineRule="auto"/>
              <w:jc w:val="center"/>
              <w:rPr>
                <w:sz w:val="24"/>
                <w:szCs w:val="24"/>
              </w:rPr>
            </w:pPr>
            <w:r>
              <w:rPr>
                <w:sz w:val="24"/>
                <w:szCs w:val="24"/>
              </w:rPr>
              <w:t>布袋除尘器+15m排气筒</w:t>
            </w:r>
          </w:p>
        </w:tc>
        <w:tc>
          <w:tcPr>
            <w:tcW w:w="3194" w:type="dxa"/>
            <w:vMerge w:val="continue"/>
            <w:vAlign w:val="center"/>
          </w:tcPr>
          <w:p>
            <w:pPr>
              <w:adjustRightInd w:val="0"/>
              <w:snapToGrid w:val="0"/>
              <w:spacing w:line="240" w:lineRule="auto"/>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112" w:type="dxa"/>
            <w:vMerge w:val="continue"/>
            <w:vAlign w:val="center"/>
          </w:tcPr>
          <w:p>
            <w:pPr>
              <w:adjustRightInd w:val="0"/>
              <w:snapToGrid w:val="0"/>
              <w:spacing w:line="240" w:lineRule="auto"/>
              <w:jc w:val="center"/>
              <w:rPr>
                <w:b/>
                <w:sz w:val="24"/>
                <w:szCs w:val="24"/>
              </w:rPr>
            </w:pP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DA001（混合搅拌废气）</w:t>
            </w:r>
          </w:p>
        </w:tc>
        <w:tc>
          <w:tcPr>
            <w:tcW w:w="1789" w:type="dxa"/>
            <w:vAlign w:val="center"/>
          </w:tcPr>
          <w:p>
            <w:pPr>
              <w:adjustRightInd w:val="0"/>
              <w:snapToGrid w:val="0"/>
              <w:spacing w:line="240" w:lineRule="auto"/>
              <w:jc w:val="center"/>
              <w:rPr>
                <w:sz w:val="24"/>
                <w:szCs w:val="24"/>
              </w:rPr>
            </w:pPr>
            <w:r>
              <w:rPr>
                <w:sz w:val="24"/>
                <w:szCs w:val="24"/>
              </w:rPr>
              <w:t>颗粒物</w:t>
            </w:r>
          </w:p>
        </w:tc>
        <w:tc>
          <w:tcPr>
            <w:tcW w:w="1201" w:type="dxa"/>
            <w:vAlign w:val="center"/>
          </w:tcPr>
          <w:p>
            <w:pPr>
              <w:adjustRightInd w:val="0"/>
              <w:snapToGrid w:val="0"/>
              <w:spacing w:line="240" w:lineRule="auto"/>
              <w:jc w:val="center"/>
              <w:rPr>
                <w:sz w:val="24"/>
                <w:szCs w:val="24"/>
              </w:rPr>
            </w:pPr>
            <w:r>
              <w:rPr>
                <w:sz w:val="24"/>
                <w:szCs w:val="24"/>
              </w:rPr>
              <w:t>布袋除尘器+15m排气筒</w:t>
            </w:r>
          </w:p>
        </w:tc>
        <w:tc>
          <w:tcPr>
            <w:tcW w:w="3194" w:type="dxa"/>
            <w:vMerge w:val="continue"/>
            <w:vAlign w:val="center"/>
          </w:tcPr>
          <w:p>
            <w:pPr>
              <w:adjustRightInd w:val="0"/>
              <w:snapToGrid w:val="0"/>
              <w:spacing w:line="240" w:lineRule="auto"/>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Merge w:val="continue"/>
            <w:vAlign w:val="center"/>
          </w:tcPr>
          <w:p>
            <w:pPr>
              <w:adjustRightInd w:val="0"/>
              <w:snapToGrid w:val="0"/>
              <w:spacing w:line="240" w:lineRule="auto"/>
              <w:rPr>
                <w:b/>
                <w:sz w:val="24"/>
                <w:szCs w:val="24"/>
              </w:rPr>
            </w:pP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DA002（锅炉废气）</w:t>
            </w:r>
          </w:p>
        </w:tc>
        <w:tc>
          <w:tcPr>
            <w:tcW w:w="1789" w:type="dxa"/>
            <w:vAlign w:val="center"/>
          </w:tcPr>
          <w:p>
            <w:pPr>
              <w:adjustRightInd w:val="0"/>
              <w:snapToGrid w:val="0"/>
              <w:spacing w:line="240" w:lineRule="auto"/>
              <w:jc w:val="center"/>
              <w:rPr>
                <w:sz w:val="24"/>
                <w:szCs w:val="24"/>
              </w:rPr>
            </w:pPr>
            <w:r>
              <w:rPr>
                <w:sz w:val="24"/>
                <w:szCs w:val="24"/>
              </w:rPr>
              <w:t>颗粒物、二氧化硫、氮氧化物</w:t>
            </w:r>
          </w:p>
        </w:tc>
        <w:tc>
          <w:tcPr>
            <w:tcW w:w="1201" w:type="dxa"/>
            <w:vAlign w:val="center"/>
          </w:tcPr>
          <w:p>
            <w:pPr>
              <w:adjustRightInd w:val="0"/>
              <w:snapToGrid w:val="0"/>
              <w:spacing w:line="240" w:lineRule="auto"/>
              <w:jc w:val="center"/>
              <w:rPr>
                <w:sz w:val="24"/>
                <w:szCs w:val="24"/>
              </w:rPr>
            </w:pPr>
            <w:r>
              <w:rPr>
                <w:sz w:val="24"/>
                <w:szCs w:val="24"/>
              </w:rPr>
              <w:t>/</w:t>
            </w:r>
          </w:p>
        </w:tc>
        <w:tc>
          <w:tcPr>
            <w:tcW w:w="3194" w:type="dxa"/>
            <w:vMerge w:val="restart"/>
            <w:vAlign w:val="center"/>
          </w:tcPr>
          <w:p>
            <w:pPr>
              <w:adjustRightInd w:val="0"/>
              <w:snapToGrid w:val="0"/>
              <w:spacing w:line="240" w:lineRule="auto"/>
              <w:rPr>
                <w:sz w:val="24"/>
                <w:szCs w:val="24"/>
              </w:rPr>
            </w:pPr>
            <w:r>
              <w:rPr>
                <w:sz w:val="24"/>
                <w:szCs w:val="24"/>
              </w:rPr>
              <w:t>《锅炉大气污染物排放标准》（GB13271-2014）表3大气污染物特别排放浓度限值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Merge w:val="continue"/>
            <w:vAlign w:val="center"/>
          </w:tcPr>
          <w:p>
            <w:pPr>
              <w:adjustRightInd w:val="0"/>
              <w:snapToGrid w:val="0"/>
              <w:spacing w:line="240" w:lineRule="auto"/>
              <w:rPr>
                <w:b/>
                <w:sz w:val="24"/>
                <w:szCs w:val="24"/>
              </w:rPr>
            </w:pP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DA003（锅炉废气）</w:t>
            </w:r>
          </w:p>
        </w:tc>
        <w:tc>
          <w:tcPr>
            <w:tcW w:w="1789" w:type="dxa"/>
            <w:vAlign w:val="center"/>
          </w:tcPr>
          <w:p>
            <w:pPr>
              <w:adjustRightInd w:val="0"/>
              <w:snapToGrid w:val="0"/>
              <w:spacing w:line="240" w:lineRule="auto"/>
              <w:jc w:val="center"/>
              <w:rPr>
                <w:sz w:val="24"/>
                <w:szCs w:val="24"/>
              </w:rPr>
            </w:pPr>
            <w:r>
              <w:rPr>
                <w:sz w:val="24"/>
                <w:szCs w:val="24"/>
              </w:rPr>
              <w:t>颗粒物、二氧化硫、氮氧化物</w:t>
            </w:r>
          </w:p>
        </w:tc>
        <w:tc>
          <w:tcPr>
            <w:tcW w:w="1201" w:type="dxa"/>
            <w:vAlign w:val="center"/>
          </w:tcPr>
          <w:p>
            <w:pPr>
              <w:adjustRightInd w:val="0"/>
              <w:snapToGrid w:val="0"/>
              <w:spacing w:line="240" w:lineRule="auto"/>
              <w:jc w:val="center"/>
              <w:rPr>
                <w:sz w:val="24"/>
                <w:szCs w:val="24"/>
              </w:rPr>
            </w:pPr>
            <w:r>
              <w:rPr>
                <w:sz w:val="24"/>
                <w:szCs w:val="24"/>
              </w:rPr>
              <w:t>/</w:t>
            </w:r>
          </w:p>
        </w:tc>
        <w:tc>
          <w:tcPr>
            <w:tcW w:w="3194" w:type="dxa"/>
            <w:vMerge w:val="continue"/>
            <w:vAlign w:val="center"/>
          </w:tcPr>
          <w:p>
            <w:pPr>
              <w:adjustRightInd w:val="0"/>
              <w:snapToGrid w:val="0"/>
              <w:spacing w:line="240" w:lineRule="auto"/>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Merge w:val="continue"/>
            <w:vAlign w:val="center"/>
          </w:tcPr>
          <w:p>
            <w:pPr>
              <w:adjustRightInd w:val="0"/>
              <w:snapToGrid w:val="0"/>
              <w:spacing w:line="240" w:lineRule="auto"/>
              <w:rPr>
                <w:b/>
                <w:sz w:val="24"/>
                <w:szCs w:val="24"/>
              </w:rPr>
            </w:pPr>
          </w:p>
        </w:tc>
        <w:tc>
          <w:tcPr>
            <w:tcW w:w="1504" w:type="dxa"/>
            <w:vAlign w:val="center"/>
          </w:tcPr>
          <w:p>
            <w:pPr>
              <w:pStyle w:val="37"/>
              <w:spacing w:line="240" w:lineRule="auto"/>
              <w:rPr>
                <w:rFonts w:ascii="Times New Roman" w:cs="Times New Roman"/>
                <w:b w:val="0"/>
                <w:bCs/>
                <w:color w:val="auto"/>
                <w:sz w:val="24"/>
                <w:szCs w:val="24"/>
              </w:rPr>
            </w:pPr>
            <w:r>
              <w:rPr>
                <w:rFonts w:ascii="Times New Roman" w:cs="Times New Roman"/>
                <w:b w:val="0"/>
                <w:bCs/>
                <w:color w:val="auto"/>
                <w:sz w:val="24"/>
                <w:szCs w:val="24"/>
              </w:rPr>
              <w:t>食堂油烟</w:t>
            </w:r>
          </w:p>
        </w:tc>
        <w:tc>
          <w:tcPr>
            <w:tcW w:w="1789" w:type="dxa"/>
            <w:vAlign w:val="center"/>
          </w:tcPr>
          <w:p>
            <w:pPr>
              <w:adjustRightInd w:val="0"/>
              <w:snapToGrid w:val="0"/>
              <w:spacing w:line="240" w:lineRule="auto"/>
              <w:jc w:val="center"/>
              <w:rPr>
                <w:sz w:val="24"/>
                <w:szCs w:val="24"/>
              </w:rPr>
            </w:pPr>
            <w:r>
              <w:rPr>
                <w:sz w:val="24"/>
                <w:szCs w:val="24"/>
              </w:rPr>
              <w:t>油烟</w:t>
            </w:r>
          </w:p>
        </w:tc>
        <w:tc>
          <w:tcPr>
            <w:tcW w:w="1201" w:type="dxa"/>
            <w:vAlign w:val="center"/>
          </w:tcPr>
          <w:p>
            <w:pPr>
              <w:adjustRightInd w:val="0"/>
              <w:snapToGrid w:val="0"/>
              <w:spacing w:line="240" w:lineRule="auto"/>
              <w:jc w:val="center"/>
              <w:rPr>
                <w:sz w:val="24"/>
                <w:szCs w:val="24"/>
              </w:rPr>
            </w:pPr>
            <w:r>
              <w:rPr>
                <w:sz w:val="24"/>
                <w:szCs w:val="24"/>
              </w:rPr>
              <w:t>油烟净化器</w:t>
            </w:r>
          </w:p>
        </w:tc>
        <w:tc>
          <w:tcPr>
            <w:tcW w:w="3194" w:type="dxa"/>
            <w:vAlign w:val="center"/>
          </w:tcPr>
          <w:p>
            <w:pPr>
              <w:adjustRightInd w:val="0"/>
              <w:snapToGrid w:val="0"/>
              <w:spacing w:line="240" w:lineRule="auto"/>
              <w:rPr>
                <w:sz w:val="24"/>
                <w:szCs w:val="24"/>
              </w:rPr>
            </w:pPr>
            <w:r>
              <w:rPr>
                <w:sz w:val="24"/>
                <w:szCs w:val="24"/>
              </w:rPr>
              <w:t>《饮食油烟排放标准》（试行）（GB18483-2001）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Merge w:val="continue"/>
            <w:vAlign w:val="center"/>
          </w:tcPr>
          <w:p>
            <w:pPr>
              <w:adjustRightInd w:val="0"/>
              <w:snapToGrid w:val="0"/>
              <w:spacing w:line="240" w:lineRule="auto"/>
              <w:rPr>
                <w:b/>
                <w:sz w:val="24"/>
                <w:szCs w:val="24"/>
              </w:rPr>
            </w:pPr>
          </w:p>
        </w:tc>
        <w:tc>
          <w:tcPr>
            <w:tcW w:w="1504" w:type="dxa"/>
            <w:vAlign w:val="center"/>
          </w:tcPr>
          <w:p>
            <w:pPr>
              <w:adjustRightInd w:val="0"/>
              <w:snapToGrid w:val="0"/>
              <w:spacing w:line="240" w:lineRule="auto"/>
              <w:jc w:val="center"/>
              <w:rPr>
                <w:bCs/>
                <w:sz w:val="24"/>
                <w:szCs w:val="24"/>
              </w:rPr>
            </w:pPr>
            <w:r>
              <w:rPr>
                <w:bCs/>
                <w:sz w:val="24"/>
                <w:szCs w:val="24"/>
              </w:rPr>
              <w:t>无组织粉尘</w:t>
            </w:r>
          </w:p>
        </w:tc>
        <w:tc>
          <w:tcPr>
            <w:tcW w:w="1789" w:type="dxa"/>
            <w:vAlign w:val="center"/>
          </w:tcPr>
          <w:p>
            <w:pPr>
              <w:adjustRightInd w:val="0"/>
              <w:snapToGrid w:val="0"/>
              <w:spacing w:line="240" w:lineRule="auto"/>
              <w:jc w:val="center"/>
              <w:rPr>
                <w:sz w:val="24"/>
                <w:szCs w:val="24"/>
              </w:rPr>
            </w:pPr>
            <w:r>
              <w:rPr>
                <w:sz w:val="24"/>
                <w:szCs w:val="24"/>
              </w:rPr>
              <w:t>颗粒物</w:t>
            </w:r>
          </w:p>
        </w:tc>
        <w:tc>
          <w:tcPr>
            <w:tcW w:w="1201" w:type="dxa"/>
            <w:vAlign w:val="center"/>
          </w:tcPr>
          <w:p>
            <w:pPr>
              <w:adjustRightInd w:val="0"/>
              <w:snapToGrid w:val="0"/>
              <w:spacing w:line="240" w:lineRule="auto"/>
              <w:jc w:val="center"/>
              <w:rPr>
                <w:sz w:val="24"/>
                <w:szCs w:val="24"/>
              </w:rPr>
            </w:pPr>
            <w:r>
              <w:rPr>
                <w:sz w:val="24"/>
                <w:szCs w:val="24"/>
              </w:rPr>
              <w:t>洒水抑尘</w:t>
            </w:r>
          </w:p>
        </w:tc>
        <w:tc>
          <w:tcPr>
            <w:tcW w:w="3194" w:type="dxa"/>
            <w:vAlign w:val="center"/>
          </w:tcPr>
          <w:p>
            <w:pPr>
              <w:adjustRightInd w:val="0"/>
              <w:snapToGrid w:val="0"/>
              <w:spacing w:line="240" w:lineRule="auto"/>
              <w:jc w:val="center"/>
              <w:rPr>
                <w:sz w:val="24"/>
                <w:szCs w:val="24"/>
              </w:rPr>
            </w:pPr>
            <w:r>
              <w:rPr>
                <w:sz w:val="24"/>
                <w:szCs w:val="24"/>
              </w:rPr>
              <w:t>《水泥工业大气污染物排放标准》（4915-2013）表3无组织排放限值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Align w:val="center"/>
          </w:tcPr>
          <w:p>
            <w:pPr>
              <w:adjustRightInd w:val="0"/>
              <w:snapToGrid w:val="0"/>
              <w:spacing w:line="240" w:lineRule="auto"/>
              <w:jc w:val="center"/>
              <w:rPr>
                <w:b/>
                <w:sz w:val="24"/>
                <w:szCs w:val="24"/>
              </w:rPr>
            </w:pPr>
            <w:r>
              <w:rPr>
                <w:b/>
                <w:sz w:val="24"/>
                <w:szCs w:val="24"/>
              </w:rPr>
              <w:t>地表水环境</w:t>
            </w:r>
          </w:p>
        </w:tc>
        <w:tc>
          <w:tcPr>
            <w:tcW w:w="1504" w:type="dxa"/>
            <w:vAlign w:val="center"/>
          </w:tcPr>
          <w:p>
            <w:pPr>
              <w:adjustRightInd w:val="0"/>
              <w:snapToGrid w:val="0"/>
              <w:spacing w:line="240" w:lineRule="auto"/>
              <w:jc w:val="center"/>
              <w:rPr>
                <w:sz w:val="24"/>
                <w:szCs w:val="24"/>
              </w:rPr>
            </w:pPr>
            <w:r>
              <w:rPr>
                <w:sz w:val="24"/>
                <w:szCs w:val="24"/>
              </w:rPr>
              <w:t>生活废水</w:t>
            </w:r>
          </w:p>
        </w:tc>
        <w:tc>
          <w:tcPr>
            <w:tcW w:w="1789" w:type="dxa"/>
            <w:vAlign w:val="center"/>
          </w:tcPr>
          <w:p>
            <w:pPr>
              <w:adjustRightInd w:val="0"/>
              <w:snapToGrid w:val="0"/>
              <w:spacing w:line="240" w:lineRule="auto"/>
              <w:jc w:val="center"/>
              <w:rPr>
                <w:sz w:val="24"/>
                <w:szCs w:val="24"/>
              </w:rPr>
            </w:pPr>
            <w:r>
              <w:rPr>
                <w:bCs/>
                <w:sz w:val="24"/>
                <w:szCs w:val="24"/>
                <w:lang w:bidi="ar"/>
              </w:rPr>
              <w:t>pH、色度、悬浮物、</w:t>
            </w:r>
            <w:r>
              <w:rPr>
                <w:rFonts w:hint="eastAsia"/>
                <w:bCs/>
                <w:sz w:val="24"/>
                <w:szCs w:val="24"/>
                <w:lang w:val="en-US" w:eastAsia="zh-CN" w:bidi="ar"/>
              </w:rPr>
              <w:t>COD</w:t>
            </w:r>
            <w:r>
              <w:rPr>
                <w:bCs/>
                <w:sz w:val="24"/>
                <w:szCs w:val="24"/>
                <w:lang w:bidi="ar"/>
              </w:rPr>
              <w:t>、</w:t>
            </w:r>
            <w:r>
              <w:rPr>
                <w:rFonts w:hint="eastAsia"/>
                <w:bCs/>
                <w:sz w:val="24"/>
                <w:szCs w:val="24"/>
                <w:lang w:val="en-US" w:eastAsia="zh-CN" w:bidi="ar"/>
              </w:rPr>
              <w:t>BOD</w:t>
            </w:r>
            <w:r>
              <w:rPr>
                <w:bCs/>
                <w:sz w:val="24"/>
                <w:szCs w:val="24"/>
                <w:lang w:bidi="ar"/>
              </w:rPr>
              <w:t>、氨氮</w:t>
            </w:r>
          </w:p>
        </w:tc>
        <w:tc>
          <w:tcPr>
            <w:tcW w:w="1201" w:type="dxa"/>
            <w:vAlign w:val="center"/>
          </w:tcPr>
          <w:p>
            <w:pPr>
              <w:adjustRightInd w:val="0"/>
              <w:snapToGrid w:val="0"/>
              <w:spacing w:line="240" w:lineRule="auto"/>
              <w:jc w:val="center"/>
              <w:rPr>
                <w:rFonts w:hint="default" w:eastAsia="宋体"/>
                <w:sz w:val="24"/>
                <w:szCs w:val="24"/>
                <w:lang w:val="en-US" w:eastAsia="zh-CN"/>
              </w:rPr>
            </w:pPr>
            <w:r>
              <w:rPr>
                <w:rFonts w:ascii="Times New Roman" w:hAnsi="Times New Roman" w:cs="Times New Roman"/>
                <w:sz w:val="24"/>
                <w:szCs w:val="24"/>
              </w:rPr>
              <w:t>排入园区管网，最终进入尉犁县城镇污水处理厂处理</w:t>
            </w:r>
          </w:p>
        </w:tc>
        <w:tc>
          <w:tcPr>
            <w:tcW w:w="3194" w:type="dxa"/>
            <w:vAlign w:val="center"/>
          </w:tcPr>
          <w:p>
            <w:pPr>
              <w:adjustRightInd w:val="0"/>
              <w:snapToGrid w:val="0"/>
              <w:spacing w:line="240" w:lineRule="auto"/>
              <w:jc w:val="center"/>
              <w:rPr>
                <w:sz w:val="24"/>
                <w:szCs w:val="24"/>
              </w:rPr>
            </w:pPr>
            <w:r>
              <w:rPr>
                <w:bCs/>
                <w:sz w:val="24"/>
                <w:szCs w:val="24"/>
              </w:rPr>
              <w:t>《污水综合排放标准》（GB8978-1996）三级标准排放限值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2" w:type="dxa"/>
            <w:vAlign w:val="center"/>
          </w:tcPr>
          <w:p>
            <w:pPr>
              <w:adjustRightInd w:val="0"/>
              <w:snapToGrid w:val="0"/>
              <w:spacing w:line="240" w:lineRule="auto"/>
              <w:jc w:val="center"/>
              <w:rPr>
                <w:b/>
                <w:sz w:val="24"/>
                <w:szCs w:val="24"/>
              </w:rPr>
            </w:pPr>
            <w:r>
              <w:rPr>
                <w:b/>
                <w:sz w:val="24"/>
                <w:szCs w:val="24"/>
              </w:rPr>
              <w:t>声环境</w:t>
            </w:r>
          </w:p>
        </w:tc>
        <w:tc>
          <w:tcPr>
            <w:tcW w:w="1504" w:type="dxa"/>
            <w:vAlign w:val="center"/>
          </w:tcPr>
          <w:p>
            <w:pPr>
              <w:adjustRightInd w:val="0"/>
              <w:snapToGrid w:val="0"/>
              <w:spacing w:line="240" w:lineRule="auto"/>
              <w:jc w:val="center"/>
              <w:rPr>
                <w:sz w:val="24"/>
                <w:szCs w:val="24"/>
              </w:rPr>
            </w:pPr>
            <w:r>
              <w:rPr>
                <w:sz w:val="24"/>
                <w:szCs w:val="24"/>
              </w:rPr>
              <w:t>厂界</w:t>
            </w:r>
          </w:p>
        </w:tc>
        <w:tc>
          <w:tcPr>
            <w:tcW w:w="1789" w:type="dxa"/>
            <w:vAlign w:val="center"/>
          </w:tcPr>
          <w:p>
            <w:pPr>
              <w:adjustRightInd w:val="0"/>
              <w:snapToGrid w:val="0"/>
              <w:spacing w:line="240" w:lineRule="auto"/>
              <w:jc w:val="center"/>
              <w:rPr>
                <w:sz w:val="24"/>
                <w:szCs w:val="24"/>
              </w:rPr>
            </w:pPr>
            <w:r>
              <w:rPr>
                <w:sz w:val="24"/>
                <w:szCs w:val="24"/>
              </w:rPr>
              <w:t>噪声</w:t>
            </w:r>
          </w:p>
        </w:tc>
        <w:tc>
          <w:tcPr>
            <w:tcW w:w="1201" w:type="dxa"/>
            <w:vAlign w:val="center"/>
          </w:tcPr>
          <w:p>
            <w:pPr>
              <w:pStyle w:val="51"/>
              <w:spacing w:before="0" w:beforeLines="0" w:line="240" w:lineRule="auto"/>
              <w:ind w:firstLine="0" w:firstLineChars="0"/>
              <w:rPr>
                <w:rFonts w:ascii="Times New Roman" w:hAnsi="Times New Roman"/>
                <w:sz w:val="24"/>
                <w:szCs w:val="24"/>
              </w:rPr>
            </w:pPr>
            <w:r>
              <w:rPr>
                <w:rFonts w:ascii="Times New Roman" w:hAnsi="Times New Roman"/>
                <w:snapToGrid w:val="0"/>
                <w:sz w:val="24"/>
                <w:szCs w:val="24"/>
              </w:rPr>
              <w:t>选用低噪声设备、安装</w:t>
            </w:r>
            <w:r>
              <w:rPr>
                <w:rFonts w:ascii="Times New Roman" w:hAnsi="Times New Roman"/>
                <w:sz w:val="24"/>
                <w:szCs w:val="24"/>
              </w:rPr>
              <w:t>减振垫、隔音等措施</w:t>
            </w:r>
            <w:r>
              <w:rPr>
                <w:rFonts w:ascii="Times New Roman" w:hAnsi="Times New Roman"/>
                <w:snapToGrid w:val="0"/>
                <w:sz w:val="24"/>
                <w:szCs w:val="24"/>
              </w:rPr>
              <w:t>等</w:t>
            </w:r>
          </w:p>
        </w:tc>
        <w:tc>
          <w:tcPr>
            <w:tcW w:w="3194" w:type="dxa"/>
            <w:vAlign w:val="center"/>
          </w:tcPr>
          <w:p>
            <w:pPr>
              <w:adjustRightInd w:val="0"/>
              <w:snapToGrid w:val="0"/>
              <w:spacing w:line="240" w:lineRule="auto"/>
              <w:jc w:val="center"/>
              <w:rPr>
                <w:sz w:val="24"/>
                <w:szCs w:val="24"/>
              </w:rPr>
            </w:pPr>
            <w:r>
              <w:rPr>
                <w:sz w:val="24"/>
                <w:szCs w:val="24"/>
              </w:rPr>
              <w:t>《工业企业厂界环境噪声排放标准》（GB12348-2008）中3类标准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112" w:type="dxa"/>
            <w:vAlign w:val="center"/>
          </w:tcPr>
          <w:p>
            <w:pPr>
              <w:adjustRightInd w:val="0"/>
              <w:snapToGrid w:val="0"/>
              <w:spacing w:line="240" w:lineRule="auto"/>
              <w:jc w:val="center"/>
              <w:rPr>
                <w:b/>
                <w:sz w:val="24"/>
                <w:szCs w:val="24"/>
              </w:rPr>
            </w:pPr>
            <w:r>
              <w:rPr>
                <w:b/>
                <w:sz w:val="24"/>
                <w:szCs w:val="24"/>
              </w:rPr>
              <w:t>固体废物</w:t>
            </w:r>
          </w:p>
        </w:tc>
        <w:tc>
          <w:tcPr>
            <w:tcW w:w="7688" w:type="dxa"/>
            <w:gridSpan w:val="4"/>
            <w:vAlign w:val="center"/>
          </w:tcPr>
          <w:p>
            <w:pPr>
              <w:adjustRightInd w:val="0"/>
              <w:snapToGrid w:val="0"/>
              <w:ind w:firstLine="480" w:firstLineChars="200"/>
              <w:rPr>
                <w:sz w:val="24"/>
                <w:szCs w:val="24"/>
              </w:rPr>
            </w:pPr>
            <w:r>
              <w:rPr>
                <w:sz w:val="24"/>
                <w:szCs w:val="24"/>
              </w:rPr>
              <w:t>生活垃圾收集至垃圾桶，由环卫部门定期清运处置；金属边角料集中收集后在废料收集区存放，</w:t>
            </w:r>
            <w:r>
              <w:rPr>
                <w:rFonts w:ascii="Times New Roman" w:hAnsi="Times New Roman" w:eastAsia="宋体" w:cs="Times New Roman"/>
                <w:sz w:val="24"/>
                <w:szCs w:val="24"/>
              </w:rPr>
              <w:t>定期外售；</w:t>
            </w:r>
            <w:r>
              <w:rPr>
                <w:rFonts w:hint="eastAsia" w:ascii="Times New Roman" w:hAnsi="Times New Roman" w:eastAsia="宋体" w:cs="Times New Roman"/>
                <w:sz w:val="24"/>
                <w:szCs w:val="24"/>
                <w:lang w:val="en-US" w:eastAsia="zh-CN"/>
              </w:rPr>
              <w:t>不合格产品及除尘器收集的粉尘回用于生产；</w:t>
            </w:r>
            <w:r>
              <w:rPr>
                <w:rFonts w:ascii="Times New Roman" w:hAnsi="Times New Roman" w:eastAsia="宋体" w:cs="Times New Roman"/>
                <w:sz w:val="24"/>
                <w:szCs w:val="24"/>
              </w:rPr>
              <w:t>废脱模剂桶由厂家回收；</w:t>
            </w:r>
            <w:r>
              <w:rPr>
                <w:sz w:val="24"/>
                <w:szCs w:val="24"/>
              </w:rPr>
              <w:t>废机油、废油桶委托有资质的单位进行处置。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112" w:type="dxa"/>
            <w:vAlign w:val="center"/>
          </w:tcPr>
          <w:p>
            <w:pPr>
              <w:adjustRightInd w:val="0"/>
              <w:snapToGrid w:val="0"/>
              <w:spacing w:line="240" w:lineRule="auto"/>
              <w:jc w:val="center"/>
              <w:rPr>
                <w:b/>
                <w:sz w:val="24"/>
                <w:szCs w:val="24"/>
              </w:rPr>
            </w:pPr>
            <w:r>
              <w:rPr>
                <w:b/>
                <w:sz w:val="24"/>
                <w:szCs w:val="24"/>
              </w:rPr>
              <w:t>土壤及地下水污染防治措施</w:t>
            </w:r>
          </w:p>
        </w:tc>
        <w:tc>
          <w:tcPr>
            <w:tcW w:w="7688" w:type="dxa"/>
            <w:gridSpan w:val="4"/>
            <w:vAlign w:val="center"/>
          </w:tcPr>
          <w:p>
            <w:pPr>
              <w:adjustRightInd w:val="0"/>
              <w:snapToGrid w:val="0"/>
              <w:rPr>
                <w:rFonts w:hint="eastAsia" w:eastAsia="宋体"/>
                <w:sz w:val="24"/>
                <w:szCs w:val="24"/>
                <w:lang w:eastAsia="zh-CN"/>
              </w:rPr>
            </w:pPr>
            <w:r>
              <w:rPr>
                <w:sz w:val="24"/>
                <w:szCs w:val="24"/>
              </w:rPr>
              <w:t>项目锅炉房、危废间为重点防渗区；生产区车间、</w:t>
            </w:r>
            <w:r>
              <w:rPr>
                <w:rFonts w:hint="eastAsia"/>
                <w:sz w:val="24"/>
                <w:szCs w:val="24"/>
                <w:lang w:val="en-US" w:eastAsia="zh-CN"/>
              </w:rPr>
              <w:t>成品</w:t>
            </w:r>
            <w:r>
              <w:rPr>
                <w:sz w:val="24"/>
                <w:szCs w:val="24"/>
              </w:rPr>
              <w:t>堆场</w:t>
            </w:r>
            <w:r>
              <w:rPr>
                <w:rFonts w:hint="eastAsia"/>
                <w:sz w:val="24"/>
                <w:szCs w:val="24"/>
                <w:lang w:eastAsia="zh-CN"/>
              </w:rPr>
              <w:t>、</w:t>
            </w:r>
            <w:r>
              <w:rPr>
                <w:rFonts w:hint="eastAsia"/>
                <w:sz w:val="24"/>
                <w:szCs w:val="24"/>
                <w:lang w:val="en-US" w:eastAsia="zh-CN"/>
              </w:rPr>
              <w:t>筒仓区为</w:t>
            </w:r>
            <w:r>
              <w:rPr>
                <w:sz w:val="24"/>
                <w:szCs w:val="24"/>
              </w:rPr>
              <w:t>一般防渗区</w:t>
            </w:r>
            <w:r>
              <w:rPr>
                <w:rFonts w:hint="eastAsia"/>
                <w:sz w:val="24"/>
                <w:szCs w:val="24"/>
              </w:rPr>
              <w:t>；</w:t>
            </w:r>
            <w:r>
              <w:rPr>
                <w:sz w:val="24"/>
                <w:szCs w:val="24"/>
              </w:rPr>
              <w:t>其他区域为简单防渗区</w:t>
            </w:r>
            <w:r>
              <w:rPr>
                <w:rFonts w:hint="eastAsia"/>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12" w:type="dxa"/>
            <w:vAlign w:val="center"/>
          </w:tcPr>
          <w:p>
            <w:pPr>
              <w:adjustRightInd w:val="0"/>
              <w:snapToGrid w:val="0"/>
              <w:spacing w:line="240" w:lineRule="auto"/>
              <w:jc w:val="center"/>
              <w:rPr>
                <w:b/>
                <w:sz w:val="24"/>
                <w:szCs w:val="24"/>
              </w:rPr>
            </w:pPr>
            <w:r>
              <w:rPr>
                <w:b/>
                <w:sz w:val="24"/>
                <w:szCs w:val="24"/>
              </w:rPr>
              <w:t>生态保护措施</w:t>
            </w:r>
          </w:p>
        </w:tc>
        <w:tc>
          <w:tcPr>
            <w:tcW w:w="7688" w:type="dxa"/>
            <w:gridSpan w:val="4"/>
            <w:vAlign w:val="center"/>
          </w:tcPr>
          <w:p>
            <w:pPr>
              <w:ind w:firstLine="480"/>
              <w:jc w:val="center"/>
              <w:rPr>
                <w:sz w:val="24"/>
                <w:szCs w:val="24"/>
              </w:rPr>
            </w:pPr>
            <w:r>
              <w:rPr>
                <w:sz w:val="24"/>
                <w:szCs w:val="24"/>
              </w:rPr>
              <w:t>厂区绿化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12" w:type="dxa"/>
            <w:vAlign w:val="center"/>
          </w:tcPr>
          <w:p>
            <w:pPr>
              <w:adjustRightInd w:val="0"/>
              <w:snapToGrid w:val="0"/>
              <w:spacing w:line="240" w:lineRule="auto"/>
              <w:jc w:val="center"/>
              <w:rPr>
                <w:b/>
                <w:spacing w:val="-8"/>
                <w:sz w:val="24"/>
                <w:szCs w:val="24"/>
              </w:rPr>
            </w:pPr>
            <w:r>
              <w:rPr>
                <w:b/>
                <w:spacing w:val="-8"/>
                <w:sz w:val="24"/>
                <w:szCs w:val="24"/>
              </w:rPr>
              <w:t>环境风险防范措施</w:t>
            </w:r>
          </w:p>
        </w:tc>
        <w:tc>
          <w:tcPr>
            <w:tcW w:w="7688" w:type="dxa"/>
            <w:gridSpan w:val="4"/>
            <w:vAlign w:val="center"/>
          </w:tcPr>
          <w:p>
            <w:pPr>
              <w:pStyle w:val="94"/>
              <w:ind w:firstLine="480"/>
              <w:rPr>
                <w:rFonts w:ascii="Times New Roman" w:hAnsi="Times New Roman"/>
                <w:sz w:val="24"/>
                <w:szCs w:val="24"/>
              </w:rPr>
            </w:pPr>
            <w:r>
              <w:rPr>
                <w:rFonts w:ascii="Times New Roman" w:hAnsi="Times New Roman"/>
                <w:sz w:val="24"/>
                <w:szCs w:val="24"/>
              </w:rPr>
              <w:t>风险防范措施</w:t>
            </w:r>
          </w:p>
          <w:p>
            <w:pPr>
              <w:pStyle w:val="94"/>
              <w:ind w:firstLine="480"/>
              <w:rPr>
                <w:rFonts w:ascii="Times New Roman" w:hAnsi="Times New Roman"/>
                <w:sz w:val="24"/>
                <w:szCs w:val="24"/>
              </w:rPr>
            </w:pPr>
            <w:r>
              <w:rPr>
                <w:rFonts w:ascii="Times New Roman" w:hAnsi="Times New Roman"/>
                <w:sz w:val="24"/>
                <w:szCs w:val="24"/>
              </w:rPr>
              <w:t>A、泄漏事故风险防范措施</w:t>
            </w:r>
          </w:p>
          <w:p>
            <w:pPr>
              <w:pStyle w:val="94"/>
              <w:ind w:firstLine="480"/>
              <w:rPr>
                <w:rFonts w:ascii="Times New Roman" w:hAnsi="Times New Roman"/>
                <w:sz w:val="24"/>
                <w:szCs w:val="24"/>
              </w:rPr>
            </w:pPr>
            <w:r>
              <w:rPr>
                <w:rFonts w:ascii="Times New Roman" w:hAnsi="Times New Roman"/>
                <w:sz w:val="24"/>
                <w:szCs w:val="24"/>
              </w:rPr>
              <w:t>1）危险废物（废机油、废油桶）</w:t>
            </w:r>
          </w:p>
          <w:p>
            <w:pPr>
              <w:pStyle w:val="94"/>
              <w:ind w:firstLine="480"/>
              <w:rPr>
                <w:rFonts w:ascii="Times New Roman" w:hAnsi="Times New Roman"/>
                <w:sz w:val="24"/>
                <w:szCs w:val="24"/>
              </w:rPr>
            </w:pPr>
            <w:r>
              <w:rPr>
                <w:rFonts w:ascii="Times New Roman" w:hAnsi="Times New Roman"/>
                <w:sz w:val="24"/>
                <w:szCs w:val="24"/>
              </w:rPr>
              <w:t>危废暂存间按《危险废物贮存污染控制标准》（GB18597-2023）的要求，做好围堰、防腐防渗、防风、防雨、防晒等措施；按规范分类堆放，加强管理，避免堆放过量，及时清理运走；为防止雨水径流进入贮存、处置场内，避免渗滤液量增加和滑坡，贮存、处置场周边应设置导流渠。</w:t>
            </w:r>
          </w:p>
          <w:p>
            <w:pPr>
              <w:pStyle w:val="94"/>
              <w:ind w:firstLine="480"/>
              <w:rPr>
                <w:rFonts w:ascii="Times New Roman" w:hAnsi="Times New Roman"/>
                <w:sz w:val="24"/>
                <w:szCs w:val="24"/>
              </w:rPr>
            </w:pPr>
            <w:r>
              <w:rPr>
                <w:rFonts w:ascii="Times New Roman" w:hAnsi="Times New Roman"/>
                <w:sz w:val="24"/>
                <w:szCs w:val="24"/>
              </w:rPr>
              <w:t>（2）危险化学品（甲醇）</w:t>
            </w:r>
          </w:p>
          <w:p>
            <w:pPr>
              <w:pStyle w:val="94"/>
              <w:ind w:firstLine="480"/>
              <w:rPr>
                <w:rFonts w:ascii="Times New Roman" w:hAnsi="Times New Roman"/>
                <w:sz w:val="24"/>
                <w:szCs w:val="24"/>
              </w:rPr>
            </w:pPr>
            <w:r>
              <w:rPr>
                <w:rFonts w:hint="eastAsia" w:ascii="Times New Roman" w:hAnsi="Times New Roman"/>
                <w:sz w:val="24"/>
                <w:szCs w:val="24"/>
              </w:rPr>
              <w:t>A、</w:t>
            </w:r>
            <w:r>
              <w:rPr>
                <w:rFonts w:ascii="Times New Roman" w:hAnsi="Times New Roman"/>
                <w:sz w:val="24"/>
                <w:szCs w:val="24"/>
              </w:rPr>
              <w:t>做好甲醇储罐的定期检查，配备一定数量的消防设施。</w:t>
            </w:r>
          </w:p>
          <w:p>
            <w:pPr>
              <w:pStyle w:val="94"/>
              <w:ind w:firstLine="480"/>
              <w:rPr>
                <w:rFonts w:ascii="Times New Roman" w:hAnsi="Times New Roman"/>
                <w:sz w:val="24"/>
                <w:szCs w:val="24"/>
              </w:rPr>
            </w:pPr>
            <w:r>
              <w:rPr>
                <w:rFonts w:ascii="Times New Roman" w:hAnsi="Times New Roman" w:eastAsia="TimesNewRomanPSMT"/>
                <w:sz w:val="24"/>
                <w:szCs w:val="24"/>
              </w:rPr>
              <w:t>B</w:t>
            </w:r>
            <w:r>
              <w:rPr>
                <w:rFonts w:ascii="Times New Roman" w:hAnsi="Times New Roman"/>
                <w:sz w:val="24"/>
                <w:szCs w:val="24"/>
              </w:rPr>
              <w:t>、火灾与爆炸引发次生</w:t>
            </w:r>
            <w:r>
              <w:rPr>
                <w:rFonts w:ascii="Times New Roman" w:hAnsi="Times New Roman" w:eastAsia="TimesNewRomanPSMT"/>
                <w:sz w:val="24"/>
                <w:szCs w:val="24"/>
              </w:rPr>
              <w:t>/</w:t>
            </w:r>
            <w:r>
              <w:rPr>
                <w:rFonts w:ascii="Times New Roman" w:hAnsi="Times New Roman"/>
                <w:sz w:val="24"/>
                <w:szCs w:val="24"/>
              </w:rPr>
              <w:t>伴生灾害风险防范措施</w:t>
            </w:r>
          </w:p>
          <w:p>
            <w:pPr>
              <w:pStyle w:val="94"/>
              <w:ind w:firstLine="480"/>
              <w:rPr>
                <w:sz w:val="24"/>
                <w:szCs w:val="24"/>
              </w:rPr>
            </w:pPr>
            <w:r>
              <w:rPr>
                <w:rFonts w:ascii="Times New Roman" w:hAnsi="Times New Roman"/>
                <w:sz w:val="24"/>
                <w:szCs w:val="24"/>
              </w:rPr>
              <w:t>在厂区内设置“严禁烟火”的警示牌，尤其是在易燃品堆放的位置；灭火器应布置在明显便于取用的地方，并定期维护检查，确保能正常使用；制定和落实防火安全责任制及消防安全规章制度，除加强对员工的消防知识进行培训，对消防安全责任人及员工也定期进行消防知识培训，消防安全管理人员持证上岗；自动消防系统应定期维护保养，保证消防设施正常运作；对电路定期予以检查，用电负荷与电路的设计要匹配；制定灭火和应急疏散预案，同时设置安全疏散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12" w:type="dxa"/>
            <w:vAlign w:val="center"/>
          </w:tcPr>
          <w:p>
            <w:pPr>
              <w:adjustRightInd w:val="0"/>
              <w:snapToGrid w:val="0"/>
              <w:spacing w:line="240" w:lineRule="auto"/>
              <w:jc w:val="center"/>
              <w:rPr>
                <w:b/>
                <w:spacing w:val="-8"/>
                <w:sz w:val="24"/>
                <w:szCs w:val="24"/>
              </w:rPr>
            </w:pPr>
            <w:r>
              <w:rPr>
                <w:b/>
                <w:spacing w:val="-8"/>
                <w:sz w:val="24"/>
                <w:szCs w:val="24"/>
              </w:rPr>
              <w:t>其他环境管理要求</w:t>
            </w:r>
          </w:p>
        </w:tc>
        <w:tc>
          <w:tcPr>
            <w:tcW w:w="7688" w:type="dxa"/>
            <w:gridSpan w:val="4"/>
            <w:vAlign w:val="center"/>
          </w:tcPr>
          <w:p>
            <w:pPr>
              <w:numPr>
                <w:ilvl w:val="0"/>
                <w:numId w:val="0"/>
              </w:numPr>
              <w:adjustRightInd w:val="0"/>
              <w:snapToGrid w:val="0"/>
              <w:spacing w:line="360" w:lineRule="auto"/>
              <w:ind w:firstLine="482" w:firstLineChars="200"/>
              <w:jc w:val="left"/>
              <w:rPr>
                <w:rFonts w:hint="default" w:ascii="Times New Roman" w:hAnsi="Times New Roman" w:eastAsia="宋体" w:cs="Times New Roman"/>
                <w:b/>
                <w:bCs/>
                <w:kern w:val="2"/>
                <w:sz w:val="24"/>
                <w:szCs w:val="24"/>
                <w:lang w:val="en-US" w:eastAsia="zh-CN" w:bidi="ar-SA"/>
              </w:rPr>
            </w:pPr>
            <w:r>
              <w:rPr>
                <w:rFonts w:hint="eastAsia" w:cs="Times New Roman"/>
                <w:b/>
                <w:bCs/>
                <w:kern w:val="2"/>
                <w:sz w:val="24"/>
                <w:szCs w:val="24"/>
                <w:lang w:val="en-US" w:eastAsia="zh-CN" w:bidi="ar-SA"/>
              </w:rPr>
              <w:t>1、</w:t>
            </w:r>
            <w:r>
              <w:rPr>
                <w:rFonts w:hint="default" w:ascii="Times New Roman" w:hAnsi="Times New Roman" w:eastAsia="宋体" w:cs="Times New Roman"/>
                <w:b/>
                <w:bCs/>
                <w:kern w:val="2"/>
                <w:sz w:val="24"/>
                <w:szCs w:val="24"/>
                <w:lang w:val="en-US" w:eastAsia="zh-CN" w:bidi="ar-SA"/>
              </w:rPr>
              <w:t>危险化学品管理要求</w:t>
            </w:r>
          </w:p>
          <w:p>
            <w:pPr>
              <w:pStyle w:val="25"/>
              <w:keepNext w:val="0"/>
              <w:keepLines w:val="0"/>
              <w:pageBreakBefore w:val="0"/>
              <w:widowControl w:val="0"/>
              <w:numPr>
                <w:ilvl w:val="0"/>
                <w:numId w:val="0"/>
              </w:numPr>
              <w:kinsoku/>
              <w:wordWrap/>
              <w:overflowPunct/>
              <w:topLinePunct w:val="0"/>
              <w:autoSpaceDE/>
              <w:autoSpaceDN/>
              <w:bidi w:val="0"/>
              <w:spacing w:after="0" w:line="360" w:lineRule="auto"/>
              <w:ind w:left="0"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本项目企业使用醇基属于危险化学品，根据《危险化学品安全管理条例》要求，企业在储存，使用危险化学品时应做到以下要求：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项目使用的醇基燃料需符合《醇基液体燃料标准》（GB16663-1996）</w:t>
            </w:r>
            <w:r>
              <w:rPr>
                <w:rFonts w:hint="eastAsia" w:cs="Times New Roman"/>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项目储存容器必须为储罐，储罐装量不得大于容量的90%，并安装盛装自动灭火系统。埋地储罐应为双层储罐并使用双层套管。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在</w:t>
            </w:r>
            <w:r>
              <w:rPr>
                <w:rFonts w:hint="eastAsia" w:cs="Times New Roman"/>
                <w:kern w:val="2"/>
                <w:sz w:val="24"/>
                <w:szCs w:val="24"/>
                <w:lang w:val="en-US" w:eastAsia="zh-CN" w:bidi="ar-SA"/>
              </w:rPr>
              <w:t>项目区</w:t>
            </w:r>
            <w:r>
              <w:rPr>
                <w:rFonts w:hint="default" w:ascii="Times New Roman" w:hAnsi="Times New Roman" w:eastAsia="宋体" w:cs="Times New Roman"/>
                <w:kern w:val="2"/>
                <w:sz w:val="24"/>
                <w:szCs w:val="24"/>
                <w:lang w:val="en-US" w:eastAsia="zh-CN" w:bidi="ar-SA"/>
              </w:rPr>
              <w:t>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在</w:t>
            </w:r>
            <w:r>
              <w:rPr>
                <w:rFonts w:hint="eastAsia" w:cs="Times New Roman"/>
                <w:kern w:val="2"/>
                <w:sz w:val="24"/>
                <w:szCs w:val="24"/>
                <w:lang w:val="en-US" w:eastAsia="zh-CN" w:bidi="ar-SA"/>
              </w:rPr>
              <w:t>储罐区</w:t>
            </w:r>
            <w:r>
              <w:rPr>
                <w:rFonts w:hint="default" w:ascii="Times New Roman" w:hAnsi="Times New Roman" w:eastAsia="宋体" w:cs="Times New Roman"/>
                <w:kern w:val="2"/>
                <w:sz w:val="24"/>
                <w:szCs w:val="24"/>
                <w:lang w:val="en-US" w:eastAsia="zh-CN" w:bidi="ar-SA"/>
              </w:rPr>
              <w:t>和</w:t>
            </w:r>
            <w:r>
              <w:rPr>
                <w:rFonts w:hint="eastAsia" w:cs="Times New Roman"/>
                <w:kern w:val="2"/>
                <w:sz w:val="24"/>
                <w:szCs w:val="24"/>
                <w:lang w:val="en-US" w:eastAsia="zh-CN" w:bidi="ar-SA"/>
              </w:rPr>
              <w:t>储罐</w:t>
            </w:r>
            <w:r>
              <w:rPr>
                <w:rFonts w:hint="default" w:ascii="Times New Roman" w:hAnsi="Times New Roman" w:eastAsia="宋体" w:cs="Times New Roman"/>
                <w:kern w:val="2"/>
                <w:sz w:val="24"/>
                <w:szCs w:val="24"/>
                <w:lang w:val="en-US" w:eastAsia="zh-CN" w:bidi="ar-SA"/>
              </w:rPr>
              <w:t>设施、设备上设置明显的安全警示标志。</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w:t>
            </w:r>
            <w:r>
              <w:rPr>
                <w:rFonts w:hint="eastAsia" w:cs="Times New Roman"/>
                <w:kern w:val="2"/>
                <w:sz w:val="24"/>
                <w:szCs w:val="24"/>
                <w:lang w:val="en-US" w:eastAsia="zh-CN" w:bidi="ar-SA"/>
              </w:rPr>
              <w:t>5</w:t>
            </w:r>
            <w:r>
              <w:rPr>
                <w:rFonts w:hint="default" w:ascii="Times New Roman" w:hAnsi="Times New Roman"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设置通信、报警装置，并保证处于适用状态。</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w:t>
            </w:r>
            <w:r>
              <w:rPr>
                <w:rFonts w:hint="eastAsia" w:cs="Times New Roman"/>
                <w:kern w:val="2"/>
                <w:sz w:val="24"/>
                <w:szCs w:val="24"/>
                <w:lang w:val="en-US" w:eastAsia="zh-CN" w:bidi="ar-SA"/>
              </w:rPr>
              <w:t>6</w:t>
            </w:r>
            <w:r>
              <w:rPr>
                <w:rFonts w:hint="default" w:ascii="Times New Roman" w:hAnsi="Times New Roman"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委托具备国家规定的资质条件的机构，对本企业的安全生产条件每3年进行一次安全评价，提出安全评价报告。安全评价报告的内容应当包括对安全生产条件存在的问题进行整改的方案。</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w:t>
            </w:r>
            <w:r>
              <w:rPr>
                <w:rFonts w:hint="eastAsia" w:cs="Times New Roman"/>
                <w:kern w:val="2"/>
                <w:sz w:val="24"/>
                <w:szCs w:val="24"/>
                <w:lang w:val="en-US" w:eastAsia="zh-CN" w:bidi="ar-SA"/>
              </w:rPr>
              <w:t>7</w:t>
            </w:r>
            <w:r>
              <w:rPr>
                <w:rFonts w:hint="default" w:ascii="Times New Roman" w:hAnsi="Times New Roman"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危险化学品的储存方式、方法以及储存数量应当符合国家标准或者国家有关规定。</w:t>
            </w:r>
            <w:r>
              <w:rPr>
                <w:rFonts w:hint="eastAsia" w:cs="Times New Roman"/>
                <w:kern w:val="2"/>
                <w:sz w:val="24"/>
                <w:szCs w:val="24"/>
                <w:lang w:val="en-US" w:eastAsia="zh-CN" w:bidi="ar-SA"/>
              </w:rPr>
              <w:t>并且要求</w:t>
            </w:r>
            <w:r>
              <w:rPr>
                <w:rFonts w:hint="default" w:ascii="Times New Roman" w:hAnsi="Times New Roman" w:eastAsia="宋体" w:cs="Times New Roman"/>
                <w:kern w:val="2"/>
                <w:sz w:val="24"/>
                <w:szCs w:val="24"/>
                <w:lang w:val="en-US" w:eastAsia="zh-CN" w:bidi="ar-SA"/>
              </w:rPr>
              <w:t>由专人负责管理</w:t>
            </w:r>
            <w:r>
              <w:rPr>
                <w:rFonts w:hint="eastAsia"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w:t>
            </w:r>
            <w:r>
              <w:rPr>
                <w:rFonts w:hint="eastAsia" w:cs="Times New Roman"/>
                <w:kern w:val="2"/>
                <w:sz w:val="24"/>
                <w:szCs w:val="24"/>
                <w:lang w:val="en-US" w:eastAsia="zh-CN" w:bidi="ar-SA"/>
              </w:rPr>
              <w:t>8</w:t>
            </w:r>
            <w:r>
              <w:rPr>
                <w:rFonts w:hint="default" w:ascii="Times New Roman" w:hAnsi="Times New Roman"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建立危险化学品出入库核查、登记制度。</w:t>
            </w:r>
          </w:p>
          <w:p>
            <w:pPr>
              <w:pStyle w:val="2"/>
              <w:numPr>
                <w:ilvl w:val="1"/>
                <w:numId w:val="0"/>
              </w:numPr>
              <w:ind w:leftChars="0"/>
              <w:rPr>
                <w:rFonts w:hint="default" w:ascii="Times New Roman" w:hAnsi="Times New Roman" w:eastAsia="宋体" w:cs="Times New Roman"/>
                <w:kern w:val="2"/>
                <w:sz w:val="24"/>
                <w:szCs w:val="24"/>
                <w:lang w:val="en-US" w:eastAsia="zh-CN" w:bidi="ar-SA"/>
              </w:rPr>
            </w:pPr>
          </w:p>
          <w:p>
            <w:pPr>
              <w:rPr>
                <w:rFonts w:hint="default"/>
                <w:lang w:val="en-US" w:eastAsia="zh-CN"/>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pStyle w:val="2"/>
              <w:numPr>
                <w:ilvl w:val="1"/>
                <w:numId w:val="0"/>
              </w:numPr>
              <w:ind w:leftChars="0"/>
            </w:pPr>
          </w:p>
        </w:tc>
      </w:tr>
    </w:tbl>
    <w:p>
      <w:pPr>
        <w:pStyle w:val="21"/>
        <w:adjustRightInd w:val="0"/>
        <w:snapToGrid w:val="0"/>
        <w:spacing w:before="0" w:beforeAutospacing="0" w:after="0" w:afterAutospacing="0"/>
        <w:jc w:val="center"/>
        <w:outlineLvl w:val="0"/>
        <w:rPr>
          <w:rFonts w:ascii="Times New Roman" w:eastAsia="黑体"/>
          <w:snapToGrid w:val="0"/>
          <w:sz w:val="30"/>
          <w:szCs w:val="30"/>
          <w:highlight w:val="yellow"/>
        </w:rPr>
      </w:pPr>
      <w:r>
        <w:rPr>
          <w:rFonts w:ascii="Times New Roman"/>
          <w:snapToGrid w:val="0"/>
          <w:highlight w:val="yellow"/>
        </w:rPr>
        <w:br w:type="page"/>
      </w:r>
      <w:r>
        <w:rPr>
          <w:rFonts w:ascii="Times New Roman" w:eastAsia="黑体"/>
          <w:snapToGrid w:val="0"/>
          <w:sz w:val="30"/>
          <w:szCs w:val="30"/>
        </w:rPr>
        <w:t>六、结论</w:t>
      </w:r>
    </w:p>
    <w:tbl>
      <w:tblPr>
        <w:tblStyle w:val="26"/>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adjustRightInd w:val="0"/>
              <w:snapToGrid w:val="0"/>
              <w:ind w:firstLine="480" w:firstLineChars="200"/>
              <w:rPr>
                <w:szCs w:val="21"/>
                <w:highlight w:val="yellow"/>
              </w:rPr>
            </w:pPr>
            <w:r>
              <w:rPr>
                <w:szCs w:val="21"/>
              </w:rPr>
              <w:t>本项目在运营过程中会产生废气、废水、噪声、固体废物等，在全面落实本报告表提出的各项环境保护措施的基础上，切实做到“三同时”制度，并在运营期内持之以恒加强环境管理的前提下，从环境保护角度，本项目环境影响可行。</w:t>
            </w:r>
          </w:p>
        </w:tc>
      </w:tr>
    </w:tbl>
    <w:p>
      <w:pPr>
        <w:adjustRightInd w:val="0"/>
        <w:snapToGrid w:val="0"/>
        <w:rPr>
          <w:highlight w:val="yellow"/>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7"/>
        <w:adjustRightInd w:val="0"/>
        <w:snapToGrid w:val="0"/>
        <w:ind w:firstLine="480"/>
        <w:rPr>
          <w:rFonts w:ascii="Times New Roman"/>
          <w:highlight w:val="yellow"/>
        </w:rPr>
        <w:sectPr>
          <w:type w:val="continuous"/>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1"/>
        <w:adjustRightInd w:val="0"/>
        <w:snapToGrid w:val="0"/>
        <w:spacing w:before="0" w:beforeAutospacing="0" w:after="0" w:afterAutospacing="0"/>
        <w:outlineLvl w:val="0"/>
        <w:rPr>
          <w:rFonts w:ascii="Times New Roman" w:eastAsia="黑体"/>
          <w:snapToGrid w:val="0"/>
          <w:sz w:val="32"/>
          <w:szCs w:val="32"/>
        </w:rPr>
      </w:pPr>
      <w:r>
        <w:rPr>
          <w:rFonts w:ascii="Times New Roman" w:eastAsia="黑体"/>
          <w:snapToGrid w:val="0"/>
          <w:sz w:val="32"/>
          <w:szCs w:val="32"/>
        </w:rPr>
        <w:t>附表</w:t>
      </w:r>
    </w:p>
    <w:p>
      <w:pPr>
        <w:pStyle w:val="21"/>
        <w:adjustRightInd w:val="0"/>
        <w:snapToGrid w:val="0"/>
        <w:spacing w:before="0" w:beforeAutospacing="0" w:after="0" w:afterAutospacing="0" w:line="240" w:lineRule="auto"/>
        <w:jc w:val="center"/>
        <w:outlineLvl w:val="0"/>
        <w:rPr>
          <w:rFonts w:ascii="Times New Roman" w:eastAsia="方正小标宋_GBK"/>
          <w:snapToGrid w:val="0"/>
          <w:sz w:val="38"/>
          <w:szCs w:val="38"/>
        </w:rPr>
      </w:pPr>
      <w:r>
        <w:rPr>
          <w:rFonts w:ascii="Times New Roman" w:eastAsia="方正小标宋_GBK"/>
          <w:snapToGrid w:val="0"/>
          <w:sz w:val="38"/>
          <w:szCs w:val="38"/>
        </w:rPr>
        <w:t>建设项目污染物排放量汇总表</w:t>
      </w:r>
    </w:p>
    <w:tbl>
      <w:tblPr>
        <w:tblStyle w:val="26"/>
        <w:tblW w:w="1377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993"/>
        <w:gridCol w:w="1121"/>
        <w:gridCol w:w="1275"/>
        <w:gridCol w:w="1699"/>
        <w:gridCol w:w="1558"/>
        <w:gridCol w:w="1427"/>
        <w:gridCol w:w="1842"/>
        <w:gridCol w:w="12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587" w:type="dxa"/>
            <w:tcBorders>
              <w:tl2br w:val="single" w:color="auto" w:sz="4" w:space="0"/>
            </w:tcBorders>
            <w:tcMar>
              <w:left w:w="28" w:type="dxa"/>
              <w:right w:w="28" w:type="dxa"/>
            </w:tcMar>
            <w:vAlign w:val="center"/>
          </w:tcPr>
          <w:p>
            <w:pPr>
              <w:pStyle w:val="39"/>
              <w:spacing w:before="0" w:beforeLines="0" w:after="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pPr>
              <w:pStyle w:val="39"/>
              <w:spacing w:before="0" w:beforeLines="0" w:after="0" w:afterLines="0" w:line="240" w:lineRule="auto"/>
              <w:jc w:val="left"/>
              <w:rPr>
                <w:rFonts w:ascii="Times New Roman" w:eastAsia="黑体"/>
                <w:snapToGrid w:val="0"/>
                <w:spacing w:val="-6"/>
                <w:kern w:val="21"/>
                <w:szCs w:val="21"/>
              </w:rPr>
            </w:pPr>
            <w:r>
              <w:rPr>
                <w:rFonts w:ascii="Times New Roman" w:eastAsia="黑体"/>
                <w:snapToGrid w:val="0"/>
                <w:spacing w:val="-6"/>
                <w:kern w:val="21"/>
                <w:szCs w:val="21"/>
              </w:rPr>
              <w:t>分类</w:t>
            </w:r>
          </w:p>
        </w:tc>
        <w:tc>
          <w:tcPr>
            <w:tcW w:w="1993" w:type="dxa"/>
            <w:tcMar>
              <w:left w:w="28" w:type="dxa"/>
              <w:right w:w="28" w:type="dxa"/>
            </w:tcMar>
            <w:vAlign w:val="center"/>
          </w:tcPr>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121" w:type="dxa"/>
            <w:tcMar>
              <w:left w:w="28" w:type="dxa"/>
              <w:right w:w="28" w:type="dxa"/>
            </w:tcMar>
            <w:vAlign w:val="center"/>
          </w:tcPr>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hint="eastAsia" w:hAnsi="宋体" w:cs="宋体"/>
                <w:kern w:val="2"/>
                <w:szCs w:val="21"/>
              </w:rPr>
              <w:t>①</w:t>
            </w:r>
            <w:r>
              <w:rPr>
                <w:rFonts w:ascii="Times New Roman" w:eastAsia="黑体"/>
                <w:snapToGrid w:val="0"/>
                <w:spacing w:val="-6"/>
                <w:kern w:val="21"/>
                <w:szCs w:val="21"/>
              </w:rPr>
              <w:fldChar w:fldCharType="end"/>
            </w:r>
          </w:p>
        </w:tc>
        <w:tc>
          <w:tcPr>
            <w:tcW w:w="1275" w:type="dxa"/>
            <w:tcMar>
              <w:left w:w="28" w:type="dxa"/>
              <w:right w:w="28" w:type="dxa"/>
            </w:tcMar>
            <w:vAlign w:val="center"/>
          </w:tcPr>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p>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hint="eastAsia" w:hAnsi="宋体" w:cs="宋体"/>
                <w:snapToGrid w:val="0"/>
                <w:spacing w:val="-6"/>
                <w:kern w:val="21"/>
                <w:szCs w:val="21"/>
              </w:rPr>
              <w:t>②</w:t>
            </w:r>
            <w:r>
              <w:rPr>
                <w:rFonts w:ascii="Times New Roman" w:eastAsia="黑体"/>
                <w:snapToGrid w:val="0"/>
                <w:spacing w:val="-6"/>
                <w:kern w:val="21"/>
                <w:szCs w:val="21"/>
              </w:rPr>
              <w:fldChar w:fldCharType="end"/>
            </w:r>
          </w:p>
        </w:tc>
        <w:tc>
          <w:tcPr>
            <w:tcW w:w="1699" w:type="dxa"/>
            <w:tcMar>
              <w:left w:w="28" w:type="dxa"/>
              <w:right w:w="28" w:type="dxa"/>
            </w:tcMar>
            <w:vAlign w:val="center"/>
          </w:tcPr>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hint="eastAsia" w:hAnsi="宋体" w:cs="宋体"/>
                <w:kern w:val="2"/>
                <w:szCs w:val="21"/>
              </w:rPr>
              <w:t>③</w:t>
            </w:r>
            <w:r>
              <w:rPr>
                <w:rFonts w:ascii="Times New Roman" w:eastAsia="黑体"/>
                <w:snapToGrid w:val="0"/>
                <w:spacing w:val="-6"/>
                <w:kern w:val="21"/>
                <w:szCs w:val="21"/>
              </w:rPr>
              <w:fldChar w:fldCharType="end"/>
            </w:r>
          </w:p>
        </w:tc>
        <w:tc>
          <w:tcPr>
            <w:tcW w:w="1558" w:type="dxa"/>
            <w:tcMar>
              <w:left w:w="28" w:type="dxa"/>
              <w:right w:w="28" w:type="dxa"/>
            </w:tcMar>
            <w:vAlign w:val="center"/>
          </w:tcPr>
          <w:p>
            <w:pPr>
              <w:pStyle w:val="39"/>
              <w:spacing w:before="0" w:beforeLines="0" w:after="0" w:afterLines="0" w:line="240" w:lineRule="auto"/>
              <w:jc w:val="both"/>
              <w:rPr>
                <w:rFonts w:ascii="Times New Roman" w:eastAsia="黑体"/>
                <w:snapToGrid w:val="0"/>
                <w:spacing w:val="-6"/>
                <w:kern w:val="21"/>
                <w:szCs w:val="21"/>
              </w:rPr>
            </w:pPr>
            <w:r>
              <w:rPr>
                <w:rFonts w:ascii="Times New Roman" w:eastAsia="黑体"/>
                <w:snapToGrid w:val="0"/>
                <w:spacing w:val="-6"/>
                <w:kern w:val="21"/>
                <w:szCs w:val="21"/>
              </w:rPr>
              <w:t>本项目排放量（固体废物产生量）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hint="eastAsia" w:hAnsi="宋体" w:cs="宋体"/>
                <w:kern w:val="2"/>
                <w:szCs w:val="21"/>
              </w:rPr>
              <w:t>④</w:t>
            </w:r>
            <w:r>
              <w:rPr>
                <w:rFonts w:ascii="Times New Roman" w:eastAsia="黑体"/>
                <w:snapToGrid w:val="0"/>
                <w:spacing w:val="-6"/>
                <w:kern w:val="21"/>
                <w:szCs w:val="21"/>
              </w:rPr>
              <w:fldChar w:fldCharType="end"/>
            </w:r>
          </w:p>
        </w:tc>
        <w:tc>
          <w:tcPr>
            <w:tcW w:w="1427" w:type="dxa"/>
            <w:tcMar>
              <w:left w:w="28" w:type="dxa"/>
              <w:right w:w="28" w:type="dxa"/>
            </w:tcMar>
            <w:vAlign w:val="center"/>
          </w:tcPr>
          <w:p>
            <w:pPr>
              <w:pStyle w:val="39"/>
              <w:spacing w:before="0" w:beforeLines="0" w:after="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以新带老削减量（新建项目不填）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hint="eastAsia" w:hAnsi="宋体" w:cs="宋体"/>
                <w:kern w:val="2"/>
                <w:szCs w:val="21"/>
              </w:rPr>
              <w:t>⑤</w:t>
            </w:r>
            <w:r>
              <w:rPr>
                <w:rFonts w:ascii="Times New Roman" w:eastAsia="黑体"/>
                <w:snapToGrid w:val="0"/>
                <w:spacing w:val="-16"/>
                <w:kern w:val="21"/>
                <w:szCs w:val="21"/>
              </w:rPr>
              <w:fldChar w:fldCharType="end"/>
            </w:r>
          </w:p>
        </w:tc>
        <w:tc>
          <w:tcPr>
            <w:tcW w:w="1842" w:type="dxa"/>
            <w:tcMar>
              <w:left w:w="28" w:type="dxa"/>
              <w:right w:w="28" w:type="dxa"/>
            </w:tcMar>
            <w:vAlign w:val="center"/>
          </w:tcPr>
          <w:p>
            <w:pPr>
              <w:pStyle w:val="39"/>
              <w:spacing w:before="0" w:beforeLines="0" w:after="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本项目建成后</w:t>
            </w:r>
          </w:p>
          <w:p>
            <w:pPr>
              <w:pStyle w:val="39"/>
              <w:spacing w:before="0" w:beforeLines="0" w:after="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hint="eastAsia" w:hAnsi="宋体" w:cs="宋体"/>
                <w:kern w:val="2"/>
                <w:szCs w:val="21"/>
              </w:rPr>
              <w:t>⑥</w:t>
            </w:r>
            <w:r>
              <w:rPr>
                <w:rFonts w:ascii="Times New Roman" w:eastAsia="黑体"/>
                <w:snapToGrid w:val="0"/>
                <w:spacing w:val="-16"/>
                <w:kern w:val="21"/>
                <w:szCs w:val="21"/>
              </w:rPr>
              <w:fldChar w:fldCharType="end"/>
            </w:r>
          </w:p>
        </w:tc>
        <w:tc>
          <w:tcPr>
            <w:tcW w:w="1274" w:type="dxa"/>
            <w:tcMar>
              <w:left w:w="28" w:type="dxa"/>
              <w:right w:w="28" w:type="dxa"/>
            </w:tcMar>
            <w:vAlign w:val="center"/>
          </w:tcPr>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pPr>
              <w:pStyle w:val="39"/>
              <w:spacing w:before="0" w:beforeLines="0" w:after="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hint="eastAsia" w:hAnsi="宋体" w:cs="宋体"/>
                <w:kern w:val="2"/>
                <w:szCs w:val="21"/>
              </w:rPr>
              <w:t>⑦</w:t>
            </w:r>
            <w:r>
              <w:rPr>
                <w:rFonts w:ascii="Times New Roman"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restart"/>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废气</w:t>
            </w:r>
          </w:p>
        </w:tc>
        <w:tc>
          <w:tcPr>
            <w:tcW w:w="1993" w:type="dxa"/>
            <w:vAlign w:val="center"/>
          </w:tcPr>
          <w:p>
            <w:pPr>
              <w:widowControl/>
              <w:spacing w:line="240" w:lineRule="auto"/>
              <w:jc w:val="center"/>
              <w:rPr>
                <w:kern w:val="0"/>
                <w:szCs w:val="21"/>
              </w:rPr>
            </w:pPr>
            <w:r>
              <w:rPr>
                <w:kern w:val="0"/>
                <w:szCs w:val="21"/>
              </w:rPr>
              <w:t>颗粒物</w:t>
            </w:r>
          </w:p>
        </w:tc>
        <w:tc>
          <w:tcPr>
            <w:tcW w:w="1121"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275"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699"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558" w:type="dxa"/>
            <w:vAlign w:val="center"/>
          </w:tcPr>
          <w:p>
            <w:pPr>
              <w:widowControl/>
              <w:spacing w:line="240" w:lineRule="auto"/>
              <w:jc w:val="center"/>
              <w:rPr>
                <w:kern w:val="0"/>
                <w:sz w:val="24"/>
                <w:szCs w:val="24"/>
              </w:rPr>
            </w:pPr>
            <w:r>
              <w:rPr>
                <w:rFonts w:hint="eastAsia"/>
                <w:kern w:val="0"/>
                <w:sz w:val="24"/>
                <w:szCs w:val="24"/>
              </w:rPr>
              <w:t>0.</w:t>
            </w:r>
            <w:r>
              <w:rPr>
                <w:rFonts w:hint="eastAsia"/>
                <w:kern w:val="0"/>
                <w:sz w:val="24"/>
                <w:szCs w:val="24"/>
                <w:lang w:val="en-US" w:eastAsia="zh-CN"/>
              </w:rPr>
              <w:t>724</w:t>
            </w:r>
            <w:r>
              <w:rPr>
                <w:snapToGrid w:val="0"/>
                <w:kern w:val="21"/>
                <w:sz w:val="24"/>
                <w:szCs w:val="24"/>
              </w:rPr>
              <w:t>t/a</w:t>
            </w:r>
          </w:p>
        </w:tc>
        <w:tc>
          <w:tcPr>
            <w:tcW w:w="1427"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w:t>
            </w:r>
          </w:p>
        </w:tc>
        <w:tc>
          <w:tcPr>
            <w:tcW w:w="1842" w:type="dxa"/>
            <w:vAlign w:val="center"/>
          </w:tcPr>
          <w:p>
            <w:pPr>
              <w:widowControl/>
              <w:spacing w:line="240" w:lineRule="auto"/>
              <w:jc w:val="center"/>
              <w:rPr>
                <w:kern w:val="0"/>
                <w:sz w:val="24"/>
                <w:szCs w:val="24"/>
              </w:rPr>
            </w:pPr>
            <w:r>
              <w:rPr>
                <w:rFonts w:hint="eastAsia"/>
                <w:kern w:val="0"/>
                <w:sz w:val="24"/>
                <w:szCs w:val="24"/>
              </w:rPr>
              <w:t>0.</w:t>
            </w:r>
            <w:r>
              <w:rPr>
                <w:rFonts w:hint="eastAsia"/>
                <w:kern w:val="0"/>
                <w:sz w:val="24"/>
                <w:szCs w:val="24"/>
                <w:lang w:val="en-US" w:eastAsia="zh-CN"/>
              </w:rPr>
              <w:t>724</w:t>
            </w:r>
            <w:r>
              <w:rPr>
                <w:snapToGrid w:val="0"/>
                <w:kern w:val="21"/>
                <w:sz w:val="24"/>
                <w:szCs w:val="24"/>
              </w:rPr>
              <w:t>t/a</w:t>
            </w:r>
          </w:p>
        </w:tc>
        <w:tc>
          <w:tcPr>
            <w:tcW w:w="1274" w:type="dxa"/>
            <w:vAlign w:val="center"/>
          </w:tcPr>
          <w:p>
            <w:pPr>
              <w:widowControl/>
              <w:spacing w:line="240" w:lineRule="auto"/>
              <w:jc w:val="center"/>
              <w:rPr>
                <w:kern w:val="0"/>
                <w:sz w:val="24"/>
                <w:szCs w:val="24"/>
              </w:rPr>
            </w:pPr>
            <w:r>
              <w:rPr>
                <w:snapToGrid w:val="0"/>
                <w:kern w:val="21"/>
                <w:sz w:val="24"/>
                <w:szCs w:val="24"/>
              </w:rPr>
              <w:t>+</w:t>
            </w:r>
            <w:r>
              <w:rPr>
                <w:rFonts w:hint="eastAsia"/>
                <w:kern w:val="0"/>
                <w:sz w:val="24"/>
                <w:szCs w:val="24"/>
              </w:rPr>
              <w:t>0.</w:t>
            </w:r>
            <w:r>
              <w:rPr>
                <w:rFonts w:hint="eastAsia"/>
                <w:kern w:val="0"/>
                <w:sz w:val="24"/>
                <w:szCs w:val="24"/>
                <w:lang w:val="en-US" w:eastAsia="zh-CN"/>
              </w:rPr>
              <w:t>724</w:t>
            </w:r>
            <w:r>
              <w:rPr>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continue"/>
            <w:vAlign w:val="center"/>
          </w:tcPr>
          <w:p>
            <w:pPr>
              <w:pStyle w:val="39"/>
              <w:spacing w:before="0" w:beforeLines="0" w:after="0" w:afterLines="0" w:line="240" w:lineRule="auto"/>
              <w:rPr>
                <w:rFonts w:ascii="Times New Roman"/>
                <w:snapToGrid w:val="0"/>
                <w:kern w:val="21"/>
                <w:szCs w:val="21"/>
              </w:rPr>
            </w:pPr>
          </w:p>
        </w:tc>
        <w:tc>
          <w:tcPr>
            <w:tcW w:w="1993" w:type="dxa"/>
            <w:vAlign w:val="center"/>
          </w:tcPr>
          <w:p>
            <w:pPr>
              <w:widowControl/>
              <w:spacing w:line="240" w:lineRule="auto"/>
              <w:jc w:val="center"/>
              <w:rPr>
                <w:kern w:val="0"/>
                <w:szCs w:val="21"/>
              </w:rPr>
            </w:pPr>
            <w:r>
              <w:rPr>
                <w:kern w:val="0"/>
                <w:szCs w:val="21"/>
              </w:rPr>
              <w:t>二氧化硫</w:t>
            </w:r>
          </w:p>
        </w:tc>
        <w:tc>
          <w:tcPr>
            <w:tcW w:w="1121"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275"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699"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558" w:type="dxa"/>
            <w:vAlign w:val="center"/>
          </w:tcPr>
          <w:p>
            <w:pPr>
              <w:widowControl/>
              <w:spacing w:line="240" w:lineRule="auto"/>
              <w:jc w:val="center"/>
              <w:rPr>
                <w:kern w:val="0"/>
                <w:sz w:val="24"/>
                <w:szCs w:val="24"/>
              </w:rPr>
            </w:pPr>
            <w:r>
              <w:rPr>
                <w:kern w:val="0"/>
                <w:sz w:val="24"/>
                <w:szCs w:val="24"/>
              </w:rPr>
              <w:t>0.04</w:t>
            </w:r>
            <w:r>
              <w:rPr>
                <w:snapToGrid w:val="0"/>
                <w:kern w:val="21"/>
                <w:sz w:val="24"/>
                <w:szCs w:val="24"/>
              </w:rPr>
              <w:t>t/a</w:t>
            </w:r>
          </w:p>
        </w:tc>
        <w:tc>
          <w:tcPr>
            <w:tcW w:w="1427"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w:t>
            </w:r>
          </w:p>
        </w:tc>
        <w:tc>
          <w:tcPr>
            <w:tcW w:w="1842" w:type="dxa"/>
            <w:vAlign w:val="center"/>
          </w:tcPr>
          <w:p>
            <w:pPr>
              <w:widowControl/>
              <w:spacing w:line="240" w:lineRule="auto"/>
              <w:jc w:val="center"/>
              <w:rPr>
                <w:kern w:val="0"/>
                <w:sz w:val="24"/>
                <w:szCs w:val="24"/>
              </w:rPr>
            </w:pPr>
            <w:r>
              <w:rPr>
                <w:kern w:val="0"/>
                <w:sz w:val="24"/>
                <w:szCs w:val="24"/>
              </w:rPr>
              <w:t>0.04</w:t>
            </w:r>
            <w:r>
              <w:rPr>
                <w:snapToGrid w:val="0"/>
                <w:kern w:val="21"/>
                <w:sz w:val="24"/>
                <w:szCs w:val="24"/>
              </w:rPr>
              <w:t>t/a</w:t>
            </w:r>
          </w:p>
        </w:tc>
        <w:tc>
          <w:tcPr>
            <w:tcW w:w="1274" w:type="dxa"/>
            <w:vAlign w:val="center"/>
          </w:tcPr>
          <w:p>
            <w:pPr>
              <w:widowControl/>
              <w:spacing w:line="240" w:lineRule="auto"/>
              <w:jc w:val="center"/>
              <w:rPr>
                <w:kern w:val="0"/>
                <w:sz w:val="24"/>
                <w:szCs w:val="24"/>
              </w:rPr>
            </w:pPr>
            <w:r>
              <w:rPr>
                <w:snapToGrid w:val="0"/>
                <w:kern w:val="21"/>
                <w:sz w:val="24"/>
                <w:szCs w:val="24"/>
              </w:rPr>
              <w:t>+</w:t>
            </w:r>
            <w:r>
              <w:rPr>
                <w:kern w:val="0"/>
                <w:sz w:val="24"/>
                <w:szCs w:val="24"/>
              </w:rPr>
              <w:t>0.04</w:t>
            </w:r>
            <w:r>
              <w:rPr>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continue"/>
            <w:vAlign w:val="center"/>
          </w:tcPr>
          <w:p>
            <w:pPr>
              <w:pStyle w:val="39"/>
              <w:spacing w:before="0" w:beforeLines="0" w:after="0" w:afterLines="0" w:line="240" w:lineRule="auto"/>
              <w:rPr>
                <w:rFonts w:ascii="Times New Roman"/>
                <w:snapToGrid w:val="0"/>
                <w:kern w:val="21"/>
                <w:szCs w:val="21"/>
              </w:rPr>
            </w:pPr>
          </w:p>
        </w:tc>
        <w:tc>
          <w:tcPr>
            <w:tcW w:w="1993" w:type="dxa"/>
            <w:vAlign w:val="center"/>
          </w:tcPr>
          <w:p>
            <w:pPr>
              <w:widowControl/>
              <w:spacing w:line="240" w:lineRule="auto"/>
              <w:jc w:val="center"/>
              <w:rPr>
                <w:kern w:val="0"/>
                <w:szCs w:val="21"/>
              </w:rPr>
            </w:pPr>
            <w:r>
              <w:rPr>
                <w:kern w:val="0"/>
                <w:szCs w:val="21"/>
              </w:rPr>
              <w:t>氮氧化物</w:t>
            </w:r>
          </w:p>
        </w:tc>
        <w:tc>
          <w:tcPr>
            <w:tcW w:w="1121"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275"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699" w:type="dxa"/>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w:t>
            </w:r>
          </w:p>
        </w:tc>
        <w:tc>
          <w:tcPr>
            <w:tcW w:w="1558" w:type="dxa"/>
            <w:vAlign w:val="center"/>
          </w:tcPr>
          <w:p>
            <w:pPr>
              <w:widowControl/>
              <w:spacing w:line="240" w:lineRule="auto"/>
              <w:jc w:val="center"/>
              <w:rPr>
                <w:kern w:val="0"/>
                <w:sz w:val="24"/>
                <w:szCs w:val="24"/>
              </w:rPr>
            </w:pPr>
            <w:r>
              <w:rPr>
                <w:kern w:val="0"/>
                <w:sz w:val="24"/>
                <w:szCs w:val="24"/>
              </w:rPr>
              <w:t>0.2</w:t>
            </w:r>
            <w:r>
              <w:rPr>
                <w:rFonts w:hint="eastAsia"/>
                <w:kern w:val="0"/>
                <w:sz w:val="24"/>
                <w:szCs w:val="24"/>
              </w:rPr>
              <w:t>8</w:t>
            </w:r>
            <w:r>
              <w:rPr>
                <w:snapToGrid w:val="0"/>
                <w:kern w:val="21"/>
                <w:sz w:val="24"/>
                <w:szCs w:val="24"/>
              </w:rPr>
              <w:t>t/a</w:t>
            </w:r>
          </w:p>
        </w:tc>
        <w:tc>
          <w:tcPr>
            <w:tcW w:w="1427"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w:t>
            </w:r>
          </w:p>
        </w:tc>
        <w:tc>
          <w:tcPr>
            <w:tcW w:w="1842" w:type="dxa"/>
            <w:vAlign w:val="center"/>
          </w:tcPr>
          <w:p>
            <w:pPr>
              <w:widowControl/>
              <w:spacing w:line="240" w:lineRule="auto"/>
              <w:jc w:val="center"/>
              <w:rPr>
                <w:kern w:val="0"/>
                <w:sz w:val="24"/>
                <w:szCs w:val="24"/>
              </w:rPr>
            </w:pPr>
            <w:r>
              <w:rPr>
                <w:kern w:val="0"/>
                <w:sz w:val="24"/>
                <w:szCs w:val="24"/>
              </w:rPr>
              <w:t>0.2</w:t>
            </w:r>
            <w:r>
              <w:rPr>
                <w:rFonts w:hint="eastAsia"/>
                <w:kern w:val="0"/>
                <w:sz w:val="24"/>
                <w:szCs w:val="24"/>
              </w:rPr>
              <w:t>8</w:t>
            </w:r>
            <w:r>
              <w:rPr>
                <w:snapToGrid w:val="0"/>
                <w:kern w:val="21"/>
                <w:sz w:val="24"/>
                <w:szCs w:val="24"/>
              </w:rPr>
              <w:t>t/a</w:t>
            </w:r>
          </w:p>
        </w:tc>
        <w:tc>
          <w:tcPr>
            <w:tcW w:w="1274" w:type="dxa"/>
            <w:vAlign w:val="center"/>
          </w:tcPr>
          <w:p>
            <w:pPr>
              <w:widowControl/>
              <w:spacing w:line="240" w:lineRule="auto"/>
              <w:jc w:val="center"/>
              <w:rPr>
                <w:kern w:val="0"/>
                <w:sz w:val="24"/>
                <w:szCs w:val="24"/>
              </w:rPr>
            </w:pPr>
            <w:r>
              <w:rPr>
                <w:snapToGrid w:val="0"/>
                <w:kern w:val="21"/>
                <w:sz w:val="24"/>
                <w:szCs w:val="24"/>
              </w:rPr>
              <w:t>+</w:t>
            </w:r>
            <w:r>
              <w:rPr>
                <w:kern w:val="0"/>
                <w:sz w:val="24"/>
                <w:szCs w:val="24"/>
              </w:rPr>
              <w:t>0.2</w:t>
            </w:r>
            <w:r>
              <w:rPr>
                <w:rFonts w:hint="eastAsia"/>
                <w:kern w:val="0"/>
                <w:sz w:val="24"/>
                <w:szCs w:val="24"/>
              </w:rPr>
              <w:t>8</w:t>
            </w:r>
            <w:r>
              <w:rPr>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restart"/>
            <w:vAlign w:val="center"/>
          </w:tcPr>
          <w:p>
            <w:pPr>
              <w:pStyle w:val="39"/>
              <w:spacing w:before="0" w:beforeLines="0" w:after="0" w:afterLines="0" w:line="240" w:lineRule="auto"/>
              <w:rPr>
                <w:rFonts w:hint="eastAsia" w:ascii="Times New Roman" w:eastAsia="宋体"/>
                <w:snapToGrid w:val="0"/>
                <w:kern w:val="21"/>
                <w:szCs w:val="21"/>
                <w:lang w:eastAsia="zh-CN"/>
              </w:rPr>
            </w:pPr>
            <w:r>
              <w:rPr>
                <w:rFonts w:ascii="Times New Roman"/>
                <w:snapToGrid w:val="0"/>
                <w:kern w:val="21"/>
                <w:szCs w:val="21"/>
              </w:rPr>
              <w:t>废水</w:t>
            </w:r>
          </w:p>
        </w:tc>
        <w:tc>
          <w:tcPr>
            <w:tcW w:w="1993" w:type="dxa"/>
            <w:vAlign w:val="center"/>
          </w:tcPr>
          <w:p>
            <w:pPr>
              <w:adjustRightInd w:val="0"/>
              <w:snapToGrid w:val="0"/>
              <w:spacing w:line="240" w:lineRule="auto"/>
              <w:jc w:val="center"/>
              <w:rPr>
                <w:snapToGrid w:val="0"/>
                <w:kern w:val="21"/>
                <w:szCs w:val="21"/>
              </w:rPr>
            </w:pPr>
            <w:r>
              <w:rPr>
                <w:szCs w:val="21"/>
              </w:rPr>
              <w:t>COD</w:t>
            </w:r>
            <w:r>
              <w:rPr>
                <w:szCs w:val="21"/>
                <w:vertAlign w:val="subscript"/>
              </w:rPr>
              <w:t>Cr</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w:t>
            </w:r>
            <w:r>
              <w:rPr>
                <w:rFonts w:hint="eastAsia" w:ascii="Times New Roman"/>
                <w:snapToGrid w:val="0"/>
                <w:kern w:val="21"/>
                <w:sz w:val="24"/>
                <w:szCs w:val="24"/>
                <w:lang w:val="en-US" w:eastAsia="zh-CN"/>
              </w:rPr>
              <w:t>966</w:t>
            </w:r>
            <w:r>
              <w:rPr>
                <w:rFonts w:ascii="Times New Roman"/>
                <w:snapToGrid w:val="0"/>
                <w:kern w:val="21"/>
                <w:sz w:val="24"/>
                <w:szCs w:val="24"/>
              </w:rPr>
              <w:t>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w:t>
            </w:r>
            <w:r>
              <w:rPr>
                <w:rFonts w:hint="eastAsia" w:ascii="Times New Roman"/>
                <w:snapToGrid w:val="0"/>
                <w:kern w:val="21"/>
                <w:sz w:val="24"/>
                <w:szCs w:val="24"/>
                <w:lang w:val="en-US" w:eastAsia="zh-CN"/>
              </w:rPr>
              <w:t>966</w:t>
            </w:r>
            <w:r>
              <w:rPr>
                <w:rFonts w:ascii="Times New Roman"/>
                <w:snapToGrid w:val="0"/>
                <w:kern w:val="21"/>
                <w:sz w:val="24"/>
                <w:szCs w:val="24"/>
              </w:rPr>
              <w:t>t/a</w:t>
            </w:r>
          </w:p>
        </w:tc>
        <w:tc>
          <w:tcPr>
            <w:tcW w:w="1274" w:type="dxa"/>
            <w:vAlign w:val="center"/>
          </w:tcPr>
          <w:p>
            <w:pPr>
              <w:pStyle w:val="39"/>
              <w:spacing w:before="0" w:beforeLines="0" w:after="0" w:afterLines="0" w:line="240" w:lineRule="auto"/>
              <w:rPr>
                <w:rFonts w:ascii="Times New Roman"/>
                <w:snapToGrid w:val="0"/>
                <w:kern w:val="21"/>
                <w:sz w:val="24"/>
                <w:szCs w:val="24"/>
              </w:rPr>
            </w:pPr>
            <w:r>
              <w:rPr>
                <w:snapToGrid w:val="0"/>
                <w:kern w:val="21"/>
                <w:sz w:val="24"/>
                <w:szCs w:val="24"/>
              </w:rPr>
              <w:t>+</w:t>
            </w:r>
            <w:r>
              <w:rPr>
                <w:rFonts w:ascii="Times New Roman"/>
                <w:snapToGrid w:val="0"/>
                <w:kern w:val="21"/>
                <w:sz w:val="24"/>
                <w:szCs w:val="24"/>
              </w:rPr>
              <w:t>0.</w:t>
            </w:r>
            <w:r>
              <w:rPr>
                <w:rFonts w:hint="eastAsia" w:ascii="Times New Roman"/>
                <w:snapToGrid w:val="0"/>
                <w:kern w:val="21"/>
                <w:sz w:val="24"/>
                <w:szCs w:val="24"/>
                <w:lang w:val="en-US" w:eastAsia="zh-CN"/>
              </w:rPr>
              <w:t>966</w:t>
            </w:r>
            <w:r>
              <w:rPr>
                <w:rFonts w:ascii="Times New Roman"/>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snapToGrid w:val="0"/>
                <w:kern w:val="21"/>
                <w:szCs w:val="21"/>
              </w:rPr>
            </w:pPr>
            <w:r>
              <w:rPr>
                <w:szCs w:val="21"/>
              </w:rPr>
              <w:t>BOD</w:t>
            </w:r>
            <w:r>
              <w:rPr>
                <w:szCs w:val="21"/>
                <w:vertAlign w:val="subscript"/>
              </w:rPr>
              <w:t>5</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w:t>
            </w:r>
            <w:r>
              <w:rPr>
                <w:rFonts w:hint="eastAsia" w:ascii="Times New Roman"/>
                <w:snapToGrid w:val="0"/>
                <w:kern w:val="21"/>
                <w:sz w:val="24"/>
                <w:szCs w:val="24"/>
                <w:lang w:val="en-US" w:eastAsia="zh-CN"/>
              </w:rPr>
              <w:t>552</w:t>
            </w:r>
            <w:r>
              <w:rPr>
                <w:rFonts w:ascii="Times New Roman"/>
                <w:snapToGrid w:val="0"/>
                <w:kern w:val="21"/>
                <w:sz w:val="24"/>
                <w:szCs w:val="24"/>
              </w:rPr>
              <w:t>2t/a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w:t>
            </w:r>
            <w:r>
              <w:rPr>
                <w:rFonts w:hint="eastAsia" w:ascii="Times New Roman"/>
                <w:snapToGrid w:val="0"/>
                <w:kern w:val="21"/>
                <w:sz w:val="24"/>
                <w:szCs w:val="24"/>
                <w:lang w:val="en-US" w:eastAsia="zh-CN"/>
              </w:rPr>
              <w:t>552</w:t>
            </w:r>
            <w:r>
              <w:rPr>
                <w:rFonts w:ascii="Times New Roman"/>
                <w:snapToGrid w:val="0"/>
                <w:kern w:val="21"/>
                <w:sz w:val="24"/>
                <w:szCs w:val="24"/>
              </w:rPr>
              <w:t>2t/a</w:t>
            </w:r>
          </w:p>
        </w:tc>
        <w:tc>
          <w:tcPr>
            <w:tcW w:w="1274" w:type="dxa"/>
            <w:vAlign w:val="center"/>
          </w:tcPr>
          <w:p>
            <w:pPr>
              <w:pStyle w:val="39"/>
              <w:spacing w:before="0" w:beforeLines="0" w:after="0" w:afterLines="0" w:line="240" w:lineRule="auto"/>
              <w:rPr>
                <w:rFonts w:ascii="Times New Roman"/>
                <w:snapToGrid w:val="0"/>
                <w:kern w:val="21"/>
                <w:sz w:val="24"/>
                <w:szCs w:val="24"/>
              </w:rPr>
            </w:pPr>
            <w:r>
              <w:rPr>
                <w:snapToGrid w:val="0"/>
                <w:kern w:val="21"/>
                <w:sz w:val="24"/>
                <w:szCs w:val="24"/>
              </w:rPr>
              <w:t>+</w:t>
            </w:r>
            <w:r>
              <w:rPr>
                <w:rFonts w:ascii="Times New Roman"/>
                <w:snapToGrid w:val="0"/>
                <w:kern w:val="21"/>
                <w:sz w:val="24"/>
                <w:szCs w:val="24"/>
              </w:rPr>
              <w:t>0.</w:t>
            </w:r>
            <w:r>
              <w:rPr>
                <w:rFonts w:hint="eastAsia" w:ascii="Times New Roman"/>
                <w:snapToGrid w:val="0"/>
                <w:kern w:val="21"/>
                <w:sz w:val="24"/>
                <w:szCs w:val="24"/>
                <w:lang w:val="en-US" w:eastAsia="zh-CN"/>
              </w:rPr>
              <w:t>552</w:t>
            </w:r>
            <w:r>
              <w:rPr>
                <w:rFonts w:ascii="Times New Roman"/>
                <w:snapToGrid w:val="0"/>
                <w:kern w:val="21"/>
                <w:sz w:val="24"/>
                <w:szCs w:val="24"/>
              </w:rPr>
              <w:t>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snapToGrid w:val="0"/>
                <w:kern w:val="21"/>
                <w:szCs w:val="21"/>
              </w:rPr>
            </w:pPr>
            <w:r>
              <w:rPr>
                <w:szCs w:val="21"/>
              </w:rPr>
              <w:t>NH</w:t>
            </w:r>
            <w:r>
              <w:rPr>
                <w:szCs w:val="21"/>
                <w:vertAlign w:val="subscript"/>
              </w:rPr>
              <w:t>3</w:t>
            </w:r>
            <w:r>
              <w:rPr>
                <w:szCs w:val="21"/>
              </w:rPr>
              <w:t>-N</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0.0</w:t>
            </w:r>
            <w:r>
              <w:rPr>
                <w:rFonts w:hint="eastAsia" w:ascii="Times New Roman"/>
                <w:snapToGrid w:val="0"/>
                <w:kern w:val="21"/>
                <w:sz w:val="24"/>
                <w:szCs w:val="24"/>
                <w:lang w:val="en-US" w:eastAsia="zh-CN"/>
              </w:rPr>
              <w:t>966</w:t>
            </w:r>
            <w:r>
              <w:rPr>
                <w:rFonts w:ascii="Times New Roman"/>
                <w:snapToGrid w:val="0"/>
                <w:kern w:val="21"/>
                <w:sz w:val="24"/>
                <w:szCs w:val="24"/>
              </w:rPr>
              <w:t>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0.0</w:t>
            </w:r>
            <w:r>
              <w:rPr>
                <w:rFonts w:hint="eastAsia" w:ascii="Times New Roman"/>
                <w:snapToGrid w:val="0"/>
                <w:kern w:val="21"/>
                <w:sz w:val="24"/>
                <w:szCs w:val="24"/>
                <w:lang w:val="en-US" w:eastAsia="zh-CN"/>
              </w:rPr>
              <w:t>966</w:t>
            </w:r>
            <w:r>
              <w:rPr>
                <w:rFonts w:ascii="Times New Roman"/>
                <w:snapToGrid w:val="0"/>
                <w:kern w:val="21"/>
                <w:sz w:val="24"/>
                <w:szCs w:val="24"/>
              </w:rPr>
              <w:t>t/a</w:t>
            </w:r>
          </w:p>
        </w:tc>
        <w:tc>
          <w:tcPr>
            <w:tcW w:w="1274" w:type="dxa"/>
            <w:vAlign w:val="center"/>
          </w:tcPr>
          <w:p>
            <w:pPr>
              <w:pStyle w:val="39"/>
              <w:spacing w:before="0" w:beforeLines="0" w:after="0" w:afterLines="0" w:line="240" w:lineRule="auto"/>
              <w:rPr>
                <w:rFonts w:ascii="Times New Roman"/>
                <w:snapToGrid w:val="0"/>
                <w:kern w:val="21"/>
                <w:sz w:val="24"/>
                <w:szCs w:val="24"/>
              </w:rPr>
            </w:pPr>
            <w:r>
              <w:rPr>
                <w:snapToGrid w:val="0"/>
                <w:kern w:val="21"/>
                <w:sz w:val="24"/>
                <w:szCs w:val="24"/>
              </w:rPr>
              <w:t>+</w:t>
            </w:r>
            <w:r>
              <w:rPr>
                <w:rFonts w:ascii="Times New Roman"/>
                <w:snapToGrid w:val="0"/>
                <w:kern w:val="21"/>
                <w:sz w:val="24"/>
                <w:szCs w:val="24"/>
              </w:rPr>
              <w:t>0.0</w:t>
            </w:r>
            <w:r>
              <w:rPr>
                <w:rFonts w:hint="eastAsia" w:ascii="Times New Roman"/>
                <w:snapToGrid w:val="0"/>
                <w:kern w:val="21"/>
                <w:sz w:val="24"/>
                <w:szCs w:val="24"/>
                <w:lang w:val="en-US" w:eastAsia="zh-CN"/>
              </w:rPr>
              <w:t>966</w:t>
            </w:r>
            <w:r>
              <w:rPr>
                <w:rFonts w:ascii="Times New Roman"/>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snapToGrid w:val="0"/>
                <w:kern w:val="21"/>
                <w:szCs w:val="21"/>
              </w:rPr>
            </w:pPr>
            <w:r>
              <w:rPr>
                <w:szCs w:val="21"/>
              </w:rPr>
              <w:t>SS</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w:t>
            </w:r>
            <w:r>
              <w:rPr>
                <w:rFonts w:hint="eastAsia" w:ascii="Times New Roman"/>
                <w:snapToGrid w:val="0"/>
                <w:kern w:val="21"/>
                <w:sz w:val="24"/>
                <w:szCs w:val="24"/>
                <w:lang w:val="en-US" w:eastAsia="zh-CN"/>
              </w:rPr>
              <w:t>607</w:t>
            </w:r>
            <w:r>
              <w:rPr>
                <w:rFonts w:ascii="Times New Roman"/>
                <w:snapToGrid w:val="0"/>
                <w:kern w:val="21"/>
                <w:sz w:val="24"/>
                <w:szCs w:val="24"/>
              </w:rPr>
              <w:t>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0.</w:t>
            </w:r>
            <w:r>
              <w:rPr>
                <w:rFonts w:hint="eastAsia" w:ascii="Times New Roman"/>
                <w:snapToGrid w:val="0"/>
                <w:kern w:val="21"/>
                <w:sz w:val="24"/>
                <w:szCs w:val="24"/>
                <w:lang w:val="en-US" w:eastAsia="zh-CN"/>
              </w:rPr>
              <w:t>607</w:t>
            </w:r>
            <w:r>
              <w:rPr>
                <w:rFonts w:ascii="Times New Roman"/>
                <w:snapToGrid w:val="0"/>
                <w:kern w:val="21"/>
                <w:sz w:val="24"/>
                <w:szCs w:val="24"/>
              </w:rPr>
              <w:t>t/a</w:t>
            </w:r>
          </w:p>
        </w:tc>
        <w:tc>
          <w:tcPr>
            <w:tcW w:w="1274" w:type="dxa"/>
            <w:vAlign w:val="center"/>
          </w:tcPr>
          <w:p>
            <w:pPr>
              <w:pStyle w:val="39"/>
              <w:spacing w:before="0" w:beforeLines="0" w:after="0" w:afterLines="0" w:line="240" w:lineRule="auto"/>
              <w:rPr>
                <w:rFonts w:ascii="Times New Roman"/>
                <w:snapToGrid w:val="0"/>
                <w:kern w:val="21"/>
                <w:sz w:val="24"/>
                <w:szCs w:val="24"/>
              </w:rPr>
            </w:pPr>
            <w:r>
              <w:rPr>
                <w:snapToGrid w:val="0"/>
                <w:kern w:val="21"/>
                <w:sz w:val="24"/>
                <w:szCs w:val="24"/>
              </w:rPr>
              <w:t>+</w:t>
            </w:r>
            <w:r>
              <w:rPr>
                <w:rFonts w:ascii="Times New Roman"/>
                <w:snapToGrid w:val="0"/>
                <w:kern w:val="21"/>
                <w:sz w:val="24"/>
                <w:szCs w:val="24"/>
              </w:rPr>
              <w:t>0.</w:t>
            </w:r>
            <w:r>
              <w:rPr>
                <w:rFonts w:hint="eastAsia" w:ascii="Times New Roman"/>
                <w:snapToGrid w:val="0"/>
                <w:kern w:val="21"/>
                <w:sz w:val="24"/>
                <w:szCs w:val="24"/>
                <w:lang w:val="en-US" w:eastAsia="zh-CN"/>
              </w:rPr>
              <w:t>607</w:t>
            </w:r>
            <w:r>
              <w:rPr>
                <w:rFonts w:ascii="Times New Roman"/>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7" w:type="dxa"/>
            <w:vMerge w:val="restart"/>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一般工业</w:t>
            </w:r>
          </w:p>
          <w:p>
            <w:pPr>
              <w:pStyle w:val="39"/>
              <w:spacing w:before="0" w:beforeLines="0" w:after="0" w:afterLines="0" w:line="240" w:lineRule="auto"/>
              <w:rPr>
                <w:rFonts w:ascii="Times New Roman"/>
                <w:snapToGrid w:val="0"/>
                <w:kern w:val="21"/>
                <w:szCs w:val="21"/>
              </w:rPr>
            </w:pPr>
            <w:r>
              <w:rPr>
                <w:rFonts w:ascii="Times New Roman"/>
                <w:snapToGrid w:val="0"/>
                <w:kern w:val="21"/>
                <w:szCs w:val="21"/>
              </w:rPr>
              <w:t>固体废物</w:t>
            </w:r>
          </w:p>
        </w:tc>
        <w:tc>
          <w:tcPr>
            <w:tcW w:w="1993" w:type="dxa"/>
            <w:vAlign w:val="center"/>
          </w:tcPr>
          <w:p>
            <w:pPr>
              <w:adjustRightInd w:val="0"/>
              <w:snapToGrid w:val="0"/>
              <w:spacing w:line="240" w:lineRule="auto"/>
              <w:jc w:val="center"/>
              <w:rPr>
                <w:snapToGrid w:val="0"/>
                <w:kern w:val="21"/>
                <w:szCs w:val="21"/>
              </w:rPr>
            </w:pPr>
            <w:r>
              <w:rPr>
                <w:rFonts w:hint="eastAsia"/>
                <w:szCs w:val="21"/>
                <w:lang w:val="en-US" w:eastAsia="zh-CN"/>
              </w:rPr>
              <w:t>废</w:t>
            </w:r>
            <w:r>
              <w:rPr>
                <w:szCs w:val="21"/>
              </w:rPr>
              <w:t>金属边角料</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adjustRightInd w:val="0"/>
              <w:snapToGrid w:val="0"/>
              <w:spacing w:line="240" w:lineRule="auto"/>
              <w:jc w:val="center"/>
              <w:rPr>
                <w:sz w:val="24"/>
                <w:szCs w:val="24"/>
              </w:rPr>
            </w:pPr>
            <w:r>
              <w:rPr>
                <w:snapToGrid w:val="0"/>
                <w:kern w:val="21"/>
                <w:sz w:val="24"/>
                <w:szCs w:val="24"/>
              </w:rPr>
              <w:t>51t/a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adjustRightInd w:val="0"/>
              <w:snapToGrid w:val="0"/>
              <w:spacing w:line="240" w:lineRule="auto"/>
              <w:jc w:val="center"/>
              <w:rPr>
                <w:sz w:val="24"/>
                <w:szCs w:val="24"/>
              </w:rPr>
            </w:pPr>
            <w:r>
              <w:rPr>
                <w:snapToGrid w:val="0"/>
                <w:kern w:val="21"/>
                <w:sz w:val="24"/>
                <w:szCs w:val="24"/>
              </w:rPr>
              <w:t>51t/a</w:t>
            </w:r>
          </w:p>
        </w:tc>
        <w:tc>
          <w:tcPr>
            <w:tcW w:w="1274" w:type="dxa"/>
            <w:vAlign w:val="center"/>
          </w:tcPr>
          <w:p>
            <w:pPr>
              <w:adjustRightInd w:val="0"/>
              <w:snapToGrid w:val="0"/>
              <w:spacing w:line="240" w:lineRule="auto"/>
              <w:jc w:val="center"/>
              <w:rPr>
                <w:sz w:val="24"/>
                <w:szCs w:val="24"/>
              </w:rPr>
            </w:pPr>
            <w:r>
              <w:rPr>
                <w:snapToGrid w:val="0"/>
                <w:kern w:val="21"/>
                <w:sz w:val="24"/>
                <w:szCs w:val="24"/>
              </w:rPr>
              <w:t>+51t/a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snapToGrid w:val="0"/>
                <w:kern w:val="21"/>
                <w:szCs w:val="21"/>
              </w:rPr>
            </w:pPr>
            <w:r>
              <w:rPr>
                <w:kern w:val="0"/>
                <w:szCs w:val="21"/>
              </w:rPr>
              <w:t>除尘器</w:t>
            </w:r>
            <w:r>
              <w:rPr>
                <w:rFonts w:hint="eastAsia"/>
                <w:kern w:val="0"/>
                <w:szCs w:val="21"/>
                <w:lang w:val="en-US" w:eastAsia="zh-CN"/>
              </w:rPr>
              <w:t>收集</w:t>
            </w:r>
            <w:r>
              <w:rPr>
                <w:kern w:val="0"/>
                <w:szCs w:val="21"/>
              </w:rPr>
              <w:t>粉尘</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adjustRightInd w:val="0"/>
              <w:snapToGrid w:val="0"/>
              <w:spacing w:line="240" w:lineRule="auto"/>
              <w:jc w:val="center"/>
              <w:rPr>
                <w:sz w:val="24"/>
                <w:szCs w:val="24"/>
              </w:rPr>
            </w:pPr>
            <w:r>
              <w:rPr>
                <w:rFonts w:hint="eastAsia"/>
                <w:snapToGrid w:val="0"/>
                <w:kern w:val="21"/>
                <w:sz w:val="24"/>
                <w:szCs w:val="24"/>
                <w:lang w:val="en-US" w:eastAsia="zh-CN"/>
              </w:rPr>
              <w:t>222</w:t>
            </w:r>
            <w:r>
              <w:rPr>
                <w:snapToGrid w:val="0"/>
                <w:kern w:val="21"/>
                <w:sz w:val="24"/>
                <w:szCs w:val="24"/>
              </w:rPr>
              <w:t>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adjustRightInd w:val="0"/>
              <w:snapToGrid w:val="0"/>
              <w:spacing w:line="240" w:lineRule="auto"/>
              <w:jc w:val="center"/>
              <w:rPr>
                <w:sz w:val="24"/>
                <w:szCs w:val="24"/>
              </w:rPr>
            </w:pPr>
            <w:r>
              <w:rPr>
                <w:rFonts w:hint="eastAsia"/>
                <w:snapToGrid w:val="0"/>
                <w:kern w:val="21"/>
                <w:sz w:val="24"/>
                <w:szCs w:val="24"/>
                <w:lang w:val="en-US" w:eastAsia="zh-CN"/>
              </w:rPr>
              <w:t>222</w:t>
            </w:r>
            <w:r>
              <w:rPr>
                <w:snapToGrid w:val="0"/>
                <w:kern w:val="21"/>
                <w:sz w:val="24"/>
                <w:szCs w:val="24"/>
              </w:rPr>
              <w:t>t/a</w:t>
            </w:r>
          </w:p>
        </w:tc>
        <w:tc>
          <w:tcPr>
            <w:tcW w:w="1274" w:type="dxa"/>
            <w:vAlign w:val="center"/>
          </w:tcPr>
          <w:p>
            <w:pPr>
              <w:adjustRightInd w:val="0"/>
              <w:snapToGrid w:val="0"/>
              <w:spacing w:line="240" w:lineRule="auto"/>
              <w:jc w:val="center"/>
              <w:rPr>
                <w:sz w:val="24"/>
                <w:szCs w:val="24"/>
              </w:rPr>
            </w:pPr>
            <w:r>
              <w:rPr>
                <w:snapToGrid w:val="0"/>
                <w:kern w:val="21"/>
                <w:sz w:val="24"/>
                <w:szCs w:val="24"/>
              </w:rPr>
              <w:t>+</w:t>
            </w:r>
            <w:r>
              <w:rPr>
                <w:rFonts w:hint="eastAsia"/>
                <w:snapToGrid w:val="0"/>
                <w:kern w:val="21"/>
                <w:sz w:val="24"/>
                <w:szCs w:val="24"/>
                <w:lang w:val="en-US" w:eastAsia="zh-CN"/>
              </w:rPr>
              <w:t>222</w:t>
            </w:r>
            <w:r>
              <w:rPr>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snapToGrid w:val="0"/>
                <w:kern w:val="21"/>
                <w:szCs w:val="21"/>
              </w:rPr>
            </w:pPr>
            <w:r>
              <w:rPr>
                <w:szCs w:val="21"/>
              </w:rPr>
              <w:t>废脱模剂桶</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adjustRightInd w:val="0"/>
              <w:snapToGrid w:val="0"/>
              <w:spacing w:line="240" w:lineRule="auto"/>
              <w:jc w:val="center"/>
              <w:rPr>
                <w:snapToGrid w:val="0"/>
                <w:kern w:val="21"/>
                <w:sz w:val="24"/>
                <w:szCs w:val="24"/>
              </w:rPr>
            </w:pPr>
            <w:r>
              <w:rPr>
                <w:snapToGrid w:val="0"/>
                <w:kern w:val="21"/>
                <w:sz w:val="24"/>
                <w:szCs w:val="24"/>
              </w:rPr>
              <w:t>2.96t/a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adjustRightInd w:val="0"/>
              <w:snapToGrid w:val="0"/>
              <w:spacing w:line="240" w:lineRule="auto"/>
              <w:jc w:val="center"/>
              <w:rPr>
                <w:snapToGrid w:val="0"/>
                <w:kern w:val="21"/>
                <w:sz w:val="24"/>
                <w:szCs w:val="24"/>
              </w:rPr>
            </w:pPr>
            <w:r>
              <w:rPr>
                <w:snapToGrid w:val="0"/>
                <w:kern w:val="21"/>
                <w:sz w:val="24"/>
                <w:szCs w:val="24"/>
              </w:rPr>
              <w:t>10.4t/a</w:t>
            </w:r>
          </w:p>
        </w:tc>
        <w:tc>
          <w:tcPr>
            <w:tcW w:w="1274" w:type="dxa"/>
            <w:vAlign w:val="center"/>
          </w:tcPr>
          <w:p>
            <w:pPr>
              <w:adjustRightInd w:val="0"/>
              <w:snapToGrid w:val="0"/>
              <w:spacing w:line="240" w:lineRule="auto"/>
              <w:jc w:val="center"/>
              <w:rPr>
                <w:snapToGrid w:val="0"/>
                <w:kern w:val="21"/>
                <w:sz w:val="24"/>
                <w:szCs w:val="24"/>
              </w:rPr>
            </w:pPr>
            <w:r>
              <w:rPr>
                <w:snapToGrid w:val="0"/>
                <w:kern w:val="21"/>
                <w:sz w:val="24"/>
                <w:szCs w:val="24"/>
              </w:rPr>
              <w:t>+2.96t/a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rFonts w:hint="default" w:eastAsia="宋体"/>
                <w:szCs w:val="21"/>
                <w:lang w:val="en-US" w:eastAsia="zh-CN"/>
              </w:rPr>
            </w:pPr>
            <w:r>
              <w:rPr>
                <w:rFonts w:hint="eastAsia"/>
                <w:szCs w:val="21"/>
                <w:lang w:val="en-US" w:eastAsia="zh-CN"/>
              </w:rPr>
              <w:t>不合格产品</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adjustRightInd w:val="0"/>
              <w:snapToGrid w:val="0"/>
              <w:spacing w:line="240" w:lineRule="auto"/>
              <w:jc w:val="center"/>
              <w:rPr>
                <w:rFonts w:hint="default" w:eastAsia="宋体"/>
                <w:snapToGrid w:val="0"/>
                <w:kern w:val="21"/>
                <w:sz w:val="24"/>
                <w:szCs w:val="24"/>
                <w:lang w:val="en-US" w:eastAsia="zh-CN"/>
              </w:rPr>
            </w:pPr>
            <w:r>
              <w:rPr>
                <w:rFonts w:hint="eastAsia"/>
                <w:snapToGrid w:val="0"/>
                <w:kern w:val="21"/>
                <w:sz w:val="24"/>
                <w:szCs w:val="24"/>
                <w:lang w:val="en-US" w:eastAsia="zh-CN"/>
              </w:rPr>
              <w:t>291</w:t>
            </w:r>
            <w:r>
              <w:rPr>
                <w:snapToGrid w:val="0"/>
                <w:kern w:val="21"/>
                <w:sz w:val="24"/>
                <w:szCs w:val="24"/>
              </w:rPr>
              <w:t>t/a</w:t>
            </w:r>
          </w:p>
        </w:tc>
        <w:tc>
          <w:tcPr>
            <w:tcW w:w="1427" w:type="dxa"/>
            <w:vAlign w:val="center"/>
          </w:tcPr>
          <w:p>
            <w:pPr>
              <w:adjustRightInd w:val="0"/>
              <w:snapToGrid w:val="0"/>
              <w:spacing w:line="240" w:lineRule="auto"/>
              <w:jc w:val="center"/>
              <w:rPr>
                <w:snapToGrid w:val="0"/>
                <w:kern w:val="21"/>
                <w:sz w:val="24"/>
                <w:szCs w:val="24"/>
              </w:rPr>
            </w:pPr>
          </w:p>
        </w:tc>
        <w:tc>
          <w:tcPr>
            <w:tcW w:w="1842" w:type="dxa"/>
            <w:vAlign w:val="center"/>
          </w:tcPr>
          <w:p>
            <w:pPr>
              <w:adjustRightInd w:val="0"/>
              <w:snapToGrid w:val="0"/>
              <w:spacing w:line="240" w:lineRule="auto"/>
              <w:jc w:val="center"/>
              <w:rPr>
                <w:snapToGrid w:val="0"/>
                <w:kern w:val="21"/>
                <w:sz w:val="24"/>
                <w:szCs w:val="24"/>
              </w:rPr>
            </w:pPr>
            <w:r>
              <w:rPr>
                <w:rFonts w:hint="eastAsia"/>
                <w:snapToGrid w:val="0"/>
                <w:kern w:val="21"/>
                <w:sz w:val="24"/>
                <w:szCs w:val="24"/>
                <w:lang w:val="en-US" w:eastAsia="zh-CN"/>
              </w:rPr>
              <w:t>291</w:t>
            </w:r>
            <w:r>
              <w:rPr>
                <w:snapToGrid w:val="0"/>
                <w:kern w:val="21"/>
                <w:sz w:val="24"/>
                <w:szCs w:val="24"/>
              </w:rPr>
              <w:t>t/a</w:t>
            </w:r>
          </w:p>
        </w:tc>
        <w:tc>
          <w:tcPr>
            <w:tcW w:w="1274" w:type="dxa"/>
            <w:vAlign w:val="center"/>
          </w:tcPr>
          <w:p>
            <w:pPr>
              <w:adjustRightInd w:val="0"/>
              <w:snapToGrid w:val="0"/>
              <w:spacing w:line="240" w:lineRule="auto"/>
              <w:jc w:val="center"/>
              <w:rPr>
                <w:snapToGrid w:val="0"/>
                <w:kern w:val="21"/>
                <w:sz w:val="24"/>
                <w:szCs w:val="24"/>
              </w:rPr>
            </w:pPr>
            <w:r>
              <w:rPr>
                <w:snapToGrid w:val="0"/>
                <w:kern w:val="21"/>
                <w:sz w:val="24"/>
                <w:szCs w:val="24"/>
              </w:rPr>
              <w:t>+</w:t>
            </w:r>
            <w:r>
              <w:rPr>
                <w:rFonts w:hint="eastAsia"/>
                <w:snapToGrid w:val="0"/>
                <w:kern w:val="21"/>
                <w:sz w:val="24"/>
                <w:szCs w:val="24"/>
                <w:lang w:val="en-US" w:eastAsia="zh-CN"/>
              </w:rPr>
              <w:t>291</w:t>
            </w:r>
            <w:r>
              <w:rPr>
                <w:snapToGrid w:val="0"/>
                <w:kern w:val="21"/>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rPr>
                <w:szCs w:val="21"/>
              </w:rPr>
            </w:pPr>
            <w:r>
              <w:rPr>
                <w:szCs w:val="21"/>
              </w:rPr>
              <w:t>生活垃圾</w:t>
            </w:r>
          </w:p>
        </w:tc>
        <w:tc>
          <w:tcPr>
            <w:tcW w:w="1121" w:type="dxa"/>
            <w:vAlign w:val="center"/>
          </w:tcPr>
          <w:p>
            <w:pPr>
              <w:adjustRightInd w:val="0"/>
              <w:snapToGrid w:val="0"/>
              <w:spacing w:line="240" w:lineRule="auto"/>
              <w:jc w:val="center"/>
              <w:rPr>
                <w:snapToGrid w:val="0"/>
                <w:kern w:val="21"/>
                <w:szCs w:val="21"/>
              </w:rPr>
            </w:pPr>
            <w:r>
              <w:rPr>
                <w:snapToGrid w:val="0"/>
                <w:kern w:val="21"/>
                <w:szCs w:val="21"/>
              </w:rPr>
              <w:t>/</w:t>
            </w:r>
          </w:p>
        </w:tc>
        <w:tc>
          <w:tcPr>
            <w:tcW w:w="1275" w:type="dxa"/>
            <w:vAlign w:val="center"/>
          </w:tcPr>
          <w:p>
            <w:pPr>
              <w:adjustRightInd w:val="0"/>
              <w:snapToGrid w:val="0"/>
              <w:spacing w:line="240" w:lineRule="auto"/>
              <w:jc w:val="center"/>
              <w:rPr>
                <w:snapToGrid w:val="0"/>
                <w:kern w:val="21"/>
                <w:szCs w:val="21"/>
              </w:rPr>
            </w:pPr>
            <w:r>
              <w:rPr>
                <w:snapToGrid w:val="0"/>
                <w:kern w:val="21"/>
                <w:szCs w:val="21"/>
              </w:rPr>
              <w:t>/</w:t>
            </w:r>
          </w:p>
        </w:tc>
        <w:tc>
          <w:tcPr>
            <w:tcW w:w="1699" w:type="dxa"/>
            <w:vAlign w:val="center"/>
          </w:tcPr>
          <w:p>
            <w:pPr>
              <w:adjustRightInd w:val="0"/>
              <w:snapToGrid w:val="0"/>
              <w:spacing w:line="240" w:lineRule="auto"/>
              <w:jc w:val="center"/>
              <w:rPr>
                <w:snapToGrid w:val="0"/>
                <w:kern w:val="21"/>
                <w:szCs w:val="21"/>
              </w:rPr>
            </w:pPr>
            <w:r>
              <w:rPr>
                <w:snapToGrid w:val="0"/>
                <w:kern w:val="21"/>
                <w:szCs w:val="21"/>
              </w:rPr>
              <w:t>/</w:t>
            </w:r>
          </w:p>
        </w:tc>
        <w:tc>
          <w:tcPr>
            <w:tcW w:w="1558" w:type="dxa"/>
            <w:vAlign w:val="center"/>
          </w:tcPr>
          <w:p>
            <w:pPr>
              <w:adjustRightInd w:val="0"/>
              <w:snapToGrid w:val="0"/>
              <w:spacing w:line="240" w:lineRule="auto"/>
              <w:jc w:val="center"/>
              <w:rPr>
                <w:snapToGrid w:val="0"/>
                <w:kern w:val="21"/>
                <w:sz w:val="24"/>
                <w:szCs w:val="24"/>
              </w:rPr>
            </w:pPr>
            <w:r>
              <w:rPr>
                <w:snapToGrid w:val="0"/>
                <w:kern w:val="21"/>
                <w:sz w:val="24"/>
                <w:szCs w:val="24"/>
              </w:rPr>
              <w:t>7.5t/a</w:t>
            </w:r>
          </w:p>
        </w:tc>
        <w:tc>
          <w:tcPr>
            <w:tcW w:w="1427" w:type="dxa"/>
            <w:vAlign w:val="center"/>
          </w:tcPr>
          <w:p>
            <w:pPr>
              <w:adjustRightInd w:val="0"/>
              <w:snapToGrid w:val="0"/>
              <w:spacing w:line="240" w:lineRule="auto"/>
              <w:jc w:val="center"/>
              <w:rPr>
                <w:snapToGrid w:val="0"/>
                <w:kern w:val="21"/>
                <w:sz w:val="24"/>
                <w:szCs w:val="24"/>
              </w:rPr>
            </w:pPr>
            <w:r>
              <w:rPr>
                <w:snapToGrid w:val="0"/>
                <w:kern w:val="21"/>
                <w:sz w:val="24"/>
                <w:szCs w:val="24"/>
              </w:rPr>
              <w:t>/</w:t>
            </w:r>
          </w:p>
        </w:tc>
        <w:tc>
          <w:tcPr>
            <w:tcW w:w="1842" w:type="dxa"/>
            <w:vAlign w:val="center"/>
          </w:tcPr>
          <w:p>
            <w:pPr>
              <w:adjustRightInd w:val="0"/>
              <w:snapToGrid w:val="0"/>
              <w:spacing w:line="240" w:lineRule="auto"/>
              <w:jc w:val="center"/>
              <w:rPr>
                <w:snapToGrid w:val="0"/>
                <w:kern w:val="21"/>
                <w:sz w:val="24"/>
                <w:szCs w:val="24"/>
              </w:rPr>
            </w:pPr>
            <w:r>
              <w:rPr>
                <w:snapToGrid w:val="0"/>
                <w:kern w:val="21"/>
                <w:sz w:val="24"/>
                <w:szCs w:val="24"/>
              </w:rPr>
              <w:t>7.5t/a</w:t>
            </w:r>
          </w:p>
        </w:tc>
        <w:tc>
          <w:tcPr>
            <w:tcW w:w="1274" w:type="dxa"/>
            <w:vAlign w:val="center"/>
          </w:tcPr>
          <w:p>
            <w:pPr>
              <w:adjustRightInd w:val="0"/>
              <w:snapToGrid w:val="0"/>
              <w:spacing w:line="240" w:lineRule="auto"/>
              <w:jc w:val="center"/>
              <w:rPr>
                <w:snapToGrid w:val="0"/>
                <w:kern w:val="21"/>
                <w:sz w:val="24"/>
                <w:szCs w:val="24"/>
              </w:rPr>
            </w:pPr>
            <w:r>
              <w:rPr>
                <w:snapToGrid w:val="0"/>
                <w:kern w:val="21"/>
                <w:sz w:val="24"/>
                <w:szCs w:val="24"/>
              </w:rPr>
              <w:t>+7.5t/a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restart"/>
            <w:vAlign w:val="center"/>
          </w:tcPr>
          <w:p>
            <w:pPr>
              <w:pStyle w:val="39"/>
              <w:spacing w:before="0" w:beforeLines="0" w:after="0" w:afterLines="0" w:line="240" w:lineRule="auto"/>
              <w:rPr>
                <w:rFonts w:ascii="Times New Roman"/>
                <w:snapToGrid w:val="0"/>
                <w:kern w:val="21"/>
                <w:szCs w:val="21"/>
              </w:rPr>
            </w:pPr>
            <w:r>
              <w:rPr>
                <w:rFonts w:ascii="Times New Roman"/>
                <w:snapToGrid w:val="0"/>
                <w:kern w:val="21"/>
                <w:szCs w:val="21"/>
              </w:rPr>
              <w:t>危险废物</w:t>
            </w:r>
          </w:p>
        </w:tc>
        <w:tc>
          <w:tcPr>
            <w:tcW w:w="1993" w:type="dxa"/>
            <w:vAlign w:val="center"/>
          </w:tcPr>
          <w:p>
            <w:pPr>
              <w:adjustRightInd w:val="0"/>
              <w:snapToGrid w:val="0"/>
              <w:spacing w:line="240" w:lineRule="auto"/>
              <w:jc w:val="center"/>
            </w:pPr>
            <w:r>
              <w:rPr>
                <w:snapToGrid w:val="0"/>
                <w:kern w:val="21"/>
                <w:szCs w:val="21"/>
              </w:rPr>
              <w:t>废油桶</w:t>
            </w:r>
          </w:p>
        </w:tc>
        <w:tc>
          <w:tcPr>
            <w:tcW w:w="1121" w:type="dxa"/>
            <w:vAlign w:val="center"/>
          </w:tcPr>
          <w:p>
            <w:pPr>
              <w:adjustRightInd w:val="0"/>
              <w:snapToGrid w:val="0"/>
              <w:spacing w:line="240" w:lineRule="auto"/>
              <w:jc w:val="center"/>
            </w:pPr>
            <w:r>
              <w:rPr>
                <w:snapToGrid w:val="0"/>
                <w:kern w:val="21"/>
                <w:szCs w:val="21"/>
              </w:rPr>
              <w:t>/</w:t>
            </w:r>
          </w:p>
        </w:tc>
        <w:tc>
          <w:tcPr>
            <w:tcW w:w="1275" w:type="dxa"/>
            <w:vAlign w:val="center"/>
          </w:tcPr>
          <w:p>
            <w:pPr>
              <w:adjustRightInd w:val="0"/>
              <w:snapToGrid w:val="0"/>
              <w:spacing w:line="240" w:lineRule="auto"/>
              <w:jc w:val="center"/>
            </w:pPr>
            <w:r>
              <w:rPr>
                <w:snapToGrid w:val="0"/>
                <w:kern w:val="21"/>
                <w:szCs w:val="21"/>
              </w:rPr>
              <w:t>/</w:t>
            </w:r>
          </w:p>
        </w:tc>
        <w:tc>
          <w:tcPr>
            <w:tcW w:w="1699" w:type="dxa"/>
            <w:vAlign w:val="center"/>
          </w:tcPr>
          <w:p>
            <w:pPr>
              <w:adjustRightInd w:val="0"/>
              <w:snapToGrid w:val="0"/>
              <w:spacing w:line="240" w:lineRule="auto"/>
              <w:jc w:val="center"/>
            </w:pPr>
            <w:r>
              <w:rPr>
                <w:snapToGrid w:val="0"/>
                <w:kern w:val="21"/>
                <w:szCs w:val="21"/>
              </w:rPr>
              <w:t>/</w:t>
            </w:r>
          </w:p>
        </w:tc>
        <w:tc>
          <w:tcPr>
            <w:tcW w:w="1558" w:type="dxa"/>
            <w:vAlign w:val="center"/>
          </w:tcPr>
          <w:p>
            <w:pPr>
              <w:adjustRightInd w:val="0"/>
              <w:snapToGrid w:val="0"/>
              <w:spacing w:line="240" w:lineRule="auto"/>
              <w:jc w:val="center"/>
              <w:rPr>
                <w:sz w:val="24"/>
                <w:szCs w:val="24"/>
              </w:rPr>
            </w:pPr>
            <w:r>
              <w:rPr>
                <w:snapToGrid w:val="0"/>
                <w:kern w:val="21"/>
                <w:sz w:val="24"/>
                <w:szCs w:val="24"/>
              </w:rPr>
              <w:t>0.01t/a</w:t>
            </w:r>
          </w:p>
        </w:tc>
        <w:tc>
          <w:tcPr>
            <w:tcW w:w="1427" w:type="dxa"/>
            <w:vAlign w:val="center"/>
          </w:tcPr>
          <w:p>
            <w:pPr>
              <w:pStyle w:val="39"/>
              <w:spacing w:before="0" w:beforeLines="0" w:after="0" w:afterLines="0" w:line="240" w:lineRule="auto"/>
              <w:rPr>
                <w:rFonts w:ascii="Times New Roman"/>
                <w:snapToGrid w:val="0"/>
                <w:kern w:val="21"/>
                <w:sz w:val="24"/>
                <w:szCs w:val="24"/>
              </w:rPr>
            </w:pPr>
            <w:r>
              <w:rPr>
                <w:rFonts w:ascii="Times New Roman"/>
                <w:snapToGrid w:val="0"/>
                <w:kern w:val="21"/>
                <w:sz w:val="24"/>
                <w:szCs w:val="24"/>
              </w:rPr>
              <w:t>/</w:t>
            </w:r>
          </w:p>
        </w:tc>
        <w:tc>
          <w:tcPr>
            <w:tcW w:w="1842" w:type="dxa"/>
            <w:vAlign w:val="center"/>
          </w:tcPr>
          <w:p>
            <w:pPr>
              <w:adjustRightInd w:val="0"/>
              <w:snapToGrid w:val="0"/>
              <w:spacing w:line="240" w:lineRule="auto"/>
              <w:jc w:val="center"/>
              <w:rPr>
                <w:sz w:val="24"/>
                <w:szCs w:val="24"/>
              </w:rPr>
            </w:pPr>
            <w:r>
              <w:rPr>
                <w:snapToGrid w:val="0"/>
                <w:kern w:val="21"/>
                <w:sz w:val="24"/>
                <w:szCs w:val="24"/>
              </w:rPr>
              <w:t>0.01t/a</w:t>
            </w:r>
          </w:p>
        </w:tc>
        <w:tc>
          <w:tcPr>
            <w:tcW w:w="1274" w:type="dxa"/>
            <w:vAlign w:val="center"/>
          </w:tcPr>
          <w:p>
            <w:pPr>
              <w:adjustRightInd w:val="0"/>
              <w:snapToGrid w:val="0"/>
              <w:spacing w:line="240" w:lineRule="auto"/>
              <w:jc w:val="center"/>
              <w:rPr>
                <w:sz w:val="24"/>
                <w:szCs w:val="24"/>
              </w:rPr>
            </w:pPr>
            <w:r>
              <w:rPr>
                <w:snapToGrid w:val="0"/>
                <w:kern w:val="21"/>
                <w:sz w:val="24"/>
                <w:szCs w:val="24"/>
              </w:rPr>
              <w:t>+0.01t/a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7" w:type="dxa"/>
            <w:vMerge w:val="continue"/>
            <w:vAlign w:val="center"/>
          </w:tcPr>
          <w:p>
            <w:pPr>
              <w:adjustRightInd w:val="0"/>
              <w:snapToGrid w:val="0"/>
              <w:spacing w:line="240" w:lineRule="auto"/>
            </w:pPr>
          </w:p>
        </w:tc>
        <w:tc>
          <w:tcPr>
            <w:tcW w:w="1993" w:type="dxa"/>
            <w:vAlign w:val="center"/>
          </w:tcPr>
          <w:p>
            <w:pPr>
              <w:adjustRightInd w:val="0"/>
              <w:snapToGrid w:val="0"/>
              <w:spacing w:line="240" w:lineRule="auto"/>
              <w:jc w:val="center"/>
            </w:pPr>
            <w:r>
              <w:rPr>
                <w:snapToGrid w:val="0"/>
                <w:kern w:val="21"/>
                <w:szCs w:val="21"/>
              </w:rPr>
              <w:t>废机油</w:t>
            </w:r>
          </w:p>
        </w:tc>
        <w:tc>
          <w:tcPr>
            <w:tcW w:w="1121" w:type="dxa"/>
            <w:vAlign w:val="center"/>
          </w:tcPr>
          <w:p>
            <w:pPr>
              <w:adjustRightInd w:val="0"/>
              <w:snapToGrid w:val="0"/>
              <w:spacing w:line="240" w:lineRule="auto"/>
              <w:jc w:val="center"/>
            </w:pPr>
            <w:r>
              <w:rPr>
                <w:snapToGrid w:val="0"/>
                <w:kern w:val="21"/>
                <w:szCs w:val="21"/>
              </w:rPr>
              <w:t>/</w:t>
            </w:r>
          </w:p>
        </w:tc>
        <w:tc>
          <w:tcPr>
            <w:tcW w:w="1275" w:type="dxa"/>
            <w:vAlign w:val="center"/>
          </w:tcPr>
          <w:p>
            <w:pPr>
              <w:adjustRightInd w:val="0"/>
              <w:snapToGrid w:val="0"/>
              <w:spacing w:line="240" w:lineRule="auto"/>
              <w:jc w:val="center"/>
            </w:pPr>
            <w:r>
              <w:rPr>
                <w:snapToGrid w:val="0"/>
                <w:kern w:val="21"/>
                <w:szCs w:val="21"/>
              </w:rPr>
              <w:t>/</w:t>
            </w:r>
          </w:p>
        </w:tc>
        <w:tc>
          <w:tcPr>
            <w:tcW w:w="1699" w:type="dxa"/>
            <w:vAlign w:val="center"/>
          </w:tcPr>
          <w:p>
            <w:pPr>
              <w:adjustRightInd w:val="0"/>
              <w:snapToGrid w:val="0"/>
              <w:spacing w:line="240" w:lineRule="auto"/>
              <w:jc w:val="center"/>
            </w:pPr>
            <w:r>
              <w:rPr>
                <w:snapToGrid w:val="0"/>
                <w:kern w:val="21"/>
                <w:szCs w:val="21"/>
              </w:rPr>
              <w:t>/</w:t>
            </w:r>
          </w:p>
        </w:tc>
        <w:tc>
          <w:tcPr>
            <w:tcW w:w="1558" w:type="dxa"/>
            <w:vAlign w:val="center"/>
          </w:tcPr>
          <w:p>
            <w:pPr>
              <w:adjustRightInd w:val="0"/>
              <w:snapToGrid w:val="0"/>
              <w:spacing w:line="240" w:lineRule="auto"/>
              <w:jc w:val="center"/>
              <w:rPr>
                <w:sz w:val="24"/>
                <w:szCs w:val="24"/>
              </w:rPr>
            </w:pPr>
            <w:r>
              <w:rPr>
                <w:snapToGrid w:val="0"/>
                <w:kern w:val="21"/>
                <w:sz w:val="24"/>
                <w:szCs w:val="24"/>
              </w:rPr>
              <w:t>0.01t/a</w:t>
            </w:r>
          </w:p>
        </w:tc>
        <w:tc>
          <w:tcPr>
            <w:tcW w:w="1427" w:type="dxa"/>
            <w:vAlign w:val="center"/>
          </w:tcPr>
          <w:p>
            <w:pPr>
              <w:adjustRightInd w:val="0"/>
              <w:snapToGrid w:val="0"/>
              <w:spacing w:line="240" w:lineRule="auto"/>
              <w:jc w:val="center"/>
              <w:rPr>
                <w:sz w:val="24"/>
                <w:szCs w:val="24"/>
              </w:rPr>
            </w:pPr>
            <w:r>
              <w:rPr>
                <w:snapToGrid w:val="0"/>
                <w:kern w:val="21"/>
                <w:sz w:val="24"/>
                <w:szCs w:val="24"/>
              </w:rPr>
              <w:t>/</w:t>
            </w:r>
          </w:p>
        </w:tc>
        <w:tc>
          <w:tcPr>
            <w:tcW w:w="1842" w:type="dxa"/>
            <w:vAlign w:val="center"/>
          </w:tcPr>
          <w:p>
            <w:pPr>
              <w:adjustRightInd w:val="0"/>
              <w:snapToGrid w:val="0"/>
              <w:spacing w:line="240" w:lineRule="auto"/>
              <w:jc w:val="center"/>
              <w:rPr>
                <w:sz w:val="24"/>
                <w:szCs w:val="24"/>
              </w:rPr>
            </w:pPr>
            <w:r>
              <w:rPr>
                <w:snapToGrid w:val="0"/>
                <w:kern w:val="21"/>
                <w:sz w:val="24"/>
                <w:szCs w:val="24"/>
              </w:rPr>
              <w:t>0.01t/a</w:t>
            </w:r>
          </w:p>
        </w:tc>
        <w:tc>
          <w:tcPr>
            <w:tcW w:w="1274" w:type="dxa"/>
            <w:vAlign w:val="center"/>
          </w:tcPr>
          <w:p>
            <w:pPr>
              <w:adjustRightInd w:val="0"/>
              <w:snapToGrid w:val="0"/>
              <w:spacing w:line="240" w:lineRule="auto"/>
              <w:jc w:val="center"/>
              <w:rPr>
                <w:sz w:val="24"/>
                <w:szCs w:val="24"/>
              </w:rPr>
            </w:pPr>
            <w:r>
              <w:rPr>
                <w:snapToGrid w:val="0"/>
                <w:kern w:val="21"/>
                <w:sz w:val="24"/>
                <w:szCs w:val="24"/>
              </w:rPr>
              <w:t>+0.01t/a</w:t>
            </w:r>
          </w:p>
        </w:tc>
      </w:tr>
    </w:tbl>
    <w:p>
      <w:pPr>
        <w:pStyle w:val="39"/>
        <w:spacing w:before="0" w:beforeLines="0" w:after="0" w:afterLines="0"/>
        <w:jc w:val="left"/>
        <w:rPr>
          <w:rFonts w:ascii="Times New Roman"/>
          <w:snapToGrid w:val="0"/>
          <w:spacing w:val="-6"/>
          <w:kern w:val="21"/>
          <w:szCs w:val="21"/>
        </w:rPr>
        <w:sectPr>
          <w:footerReference r:id="rId5"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int="eastAsia" w:hAnsi="宋体" w:cs="宋体"/>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int="eastAsia" w:hAnsi="宋体" w:cs="宋体"/>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int="eastAsia" w:hAnsi="宋体" w:cs="宋体"/>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int="eastAsia" w:hAnsi="宋体" w:cs="宋体"/>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p>
    <w:p>
      <w:pPr>
        <w:pStyle w:val="36"/>
        <w:jc w:val="both"/>
      </w:pPr>
    </w:p>
    <w:sectPr>
      <w:footerReference r:id="rId6"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美黑简体">
    <w:altName w:val="宋体"/>
    <w:panose1 w:val="02010601030101010101"/>
    <w:charset w:val="86"/>
    <w:family w:val="auto"/>
    <w:pitch w:val="default"/>
    <w:sig w:usb0="00000000" w:usb1="00000000" w:usb2="0000001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ind w:left="240" w:right="240"/>
      <w:rPr>
        <w:rStyle w:val="30"/>
        <w:rFonts w:ascii="宋体"/>
        <w:sz w:val="28"/>
        <w:szCs w:val="28"/>
      </w:rPr>
    </w:pPr>
    <w:r>
      <w:rPr>
        <w:rStyle w:val="30"/>
        <w:rFonts w:hint="eastAsia" w:ascii="宋体"/>
        <w:sz w:val="28"/>
        <w:szCs w:val="28"/>
      </w:rPr>
      <w:t>—</w:t>
    </w:r>
    <w:r>
      <w:rPr>
        <w:rFonts w:hint="eastAsia" w:ascii="宋体"/>
        <w:sz w:val="26"/>
        <w:szCs w:val="26"/>
      </w:rPr>
      <w:fldChar w:fldCharType="begin"/>
    </w:r>
    <w:r>
      <w:rPr>
        <w:rStyle w:val="30"/>
        <w:rFonts w:hint="eastAsia" w:ascii="宋体"/>
        <w:sz w:val="26"/>
        <w:szCs w:val="26"/>
      </w:rPr>
      <w:instrText xml:space="preserve">PAGE  </w:instrText>
    </w:r>
    <w:r>
      <w:rPr>
        <w:rFonts w:hint="eastAsia" w:ascii="宋体"/>
        <w:sz w:val="26"/>
        <w:szCs w:val="26"/>
      </w:rPr>
      <w:fldChar w:fldCharType="separate"/>
    </w:r>
    <w:r>
      <w:rPr>
        <w:rStyle w:val="30"/>
        <w:rFonts w:ascii="宋体"/>
        <w:sz w:val="26"/>
        <w:szCs w:val="26"/>
      </w:rPr>
      <w:t>33</w:t>
    </w:r>
    <w:r>
      <w:rPr>
        <w:rFonts w:hint="eastAsia" w:ascii="宋体"/>
        <w:sz w:val="26"/>
        <w:szCs w:val="26"/>
      </w:rPr>
      <w:fldChar w:fldCharType="end"/>
    </w:r>
    <w:r>
      <w:rPr>
        <w:rStyle w:val="30"/>
        <w:rFonts w:hint="eastAsia" w:ascii="宋体"/>
        <w:sz w:val="28"/>
        <w:szCs w:val="28"/>
      </w:rPr>
      <w:t>—</w:t>
    </w:r>
  </w:p>
  <w:p>
    <w:pPr>
      <w:pStyle w:val="17"/>
      <w:ind w:left="240" w:right="24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ind w:left="240" w:right="240"/>
      <w:rPr>
        <w:rStyle w:val="30"/>
        <w:rFonts w:ascii="宋体"/>
        <w:sz w:val="28"/>
        <w:szCs w:val="28"/>
      </w:rPr>
    </w:pPr>
    <w:r>
      <w:rPr>
        <w:rStyle w:val="30"/>
        <w:rFonts w:hint="eastAsia" w:ascii="宋体"/>
        <w:sz w:val="28"/>
        <w:szCs w:val="28"/>
      </w:rPr>
      <w:t>—</w:t>
    </w:r>
    <w:r>
      <w:rPr>
        <w:rFonts w:hint="eastAsia" w:ascii="宋体"/>
        <w:sz w:val="26"/>
        <w:szCs w:val="26"/>
      </w:rPr>
      <w:fldChar w:fldCharType="begin"/>
    </w:r>
    <w:r>
      <w:rPr>
        <w:rStyle w:val="30"/>
        <w:rFonts w:hint="eastAsia" w:ascii="宋体"/>
        <w:sz w:val="26"/>
        <w:szCs w:val="26"/>
      </w:rPr>
      <w:instrText xml:space="preserve">PAGE  </w:instrText>
    </w:r>
    <w:r>
      <w:rPr>
        <w:rFonts w:hint="eastAsia" w:ascii="宋体"/>
        <w:sz w:val="26"/>
        <w:szCs w:val="26"/>
      </w:rPr>
      <w:fldChar w:fldCharType="separate"/>
    </w:r>
    <w:r>
      <w:rPr>
        <w:rStyle w:val="30"/>
        <w:rFonts w:ascii="宋体"/>
        <w:sz w:val="26"/>
        <w:szCs w:val="26"/>
      </w:rPr>
      <w:t>50</w:t>
    </w:r>
    <w:r>
      <w:rPr>
        <w:rFonts w:hint="eastAsia" w:ascii="宋体"/>
        <w:sz w:val="26"/>
        <w:szCs w:val="26"/>
      </w:rPr>
      <w:fldChar w:fldCharType="end"/>
    </w:r>
    <w:r>
      <w:rPr>
        <w:rStyle w:val="30"/>
        <w:rFonts w:hint="eastAsia" w:ascii="宋体"/>
        <w:sz w:val="28"/>
        <w:szCs w:val="28"/>
      </w:rPr>
      <w:t>—</w:t>
    </w:r>
  </w:p>
  <w:p>
    <w:pPr>
      <w:pStyle w:val="17"/>
      <w:ind w:left="240" w:right="24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24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453D1"/>
    <w:multiLevelType w:val="singleLevel"/>
    <w:tmpl w:val="B8A453D1"/>
    <w:lvl w:ilvl="0" w:tentative="0">
      <w:start w:val="1"/>
      <w:numFmt w:val="bullet"/>
      <w:pStyle w:val="13"/>
      <w:lvlText w:val=""/>
      <w:lvlJc w:val="left"/>
      <w:pPr>
        <w:tabs>
          <w:tab w:val="left" w:pos="2040"/>
        </w:tabs>
        <w:ind w:left="2040" w:hanging="360"/>
      </w:pPr>
      <w:rPr>
        <w:rFonts w:hint="default" w:ascii="Wingdings" w:hAnsi="Wingdings"/>
      </w:rPr>
    </w:lvl>
  </w:abstractNum>
  <w:abstractNum w:abstractNumId="1">
    <w:nsid w:val="F27785CD"/>
    <w:multiLevelType w:val="singleLevel"/>
    <w:tmpl w:val="F27785CD"/>
    <w:lvl w:ilvl="0" w:tentative="0">
      <w:start w:val="1"/>
      <w:numFmt w:val="decimal"/>
      <w:suff w:val="nothing"/>
      <w:lvlText w:val="（%1）"/>
      <w:lvlJc w:val="left"/>
    </w:lvl>
  </w:abstractNum>
  <w:abstractNum w:abstractNumId="2">
    <w:nsid w:val="2EE8D88B"/>
    <w:multiLevelType w:val="multilevel"/>
    <w:tmpl w:val="2EE8D88B"/>
    <w:lvl w:ilvl="0" w:tentative="0">
      <w:start w:val="1"/>
      <w:numFmt w:val="decimal"/>
      <w:lvlText w:val="%1"/>
      <w:lvlJc w:val="left"/>
      <w:pPr>
        <w:tabs>
          <w:tab w:val="left" w:pos="0"/>
        </w:tabs>
        <w:ind w:left="420" w:firstLine="0"/>
      </w:pPr>
      <w:rPr>
        <w:rFonts w:hint="eastAsia"/>
      </w:rPr>
    </w:lvl>
    <w:lvl w:ilvl="1" w:tentative="0">
      <w:start w:val="1"/>
      <w:numFmt w:val="decimal"/>
      <w:pStyle w:val="2"/>
      <w:lvlText w:val="%1.%2"/>
      <w:lvlJc w:val="left"/>
      <w:pPr>
        <w:tabs>
          <w:tab w:val="left" w:pos="0"/>
        </w:tabs>
        <w:ind w:left="576" w:hanging="576"/>
      </w:pPr>
      <w:rPr>
        <w:rFonts w:hint="default" w:ascii="Times New Roman" w:hAnsi="Times New Roman" w:cs="Times New Roman"/>
        <w:b w:val="0"/>
        <w:color w:val="auto"/>
        <w:sz w:val="24"/>
        <w:szCs w:val="24"/>
      </w:rPr>
    </w:lvl>
    <w:lvl w:ilvl="2" w:tentative="0">
      <w:start w:val="1"/>
      <w:numFmt w:val="decimal"/>
      <w:pStyle w:val="4"/>
      <w:lvlText w:val="%1.%2.%3"/>
      <w:lvlJc w:val="left"/>
      <w:pPr>
        <w:tabs>
          <w:tab w:val="left" w:pos="0"/>
        </w:tabs>
        <w:ind w:left="1133" w:firstLine="142"/>
      </w:pPr>
      <w:rPr>
        <w:rFonts w:hint="eastAsia"/>
      </w:rPr>
    </w:lvl>
    <w:lvl w:ilvl="3" w:tentative="0">
      <w:start w:val="1"/>
      <w:numFmt w:val="decimal"/>
      <w:lvlText w:val="%1.%2.%3.%4"/>
      <w:lvlJc w:val="left"/>
      <w:pPr>
        <w:tabs>
          <w:tab w:val="left" w:pos="0"/>
        </w:tabs>
        <w:ind w:left="1844" w:hanging="1844"/>
      </w:pPr>
      <w:rPr>
        <w:rFonts w:hint="eastAsia"/>
      </w:rPr>
    </w:lvl>
    <w:lvl w:ilvl="4" w:tentative="0">
      <w:start w:val="1"/>
      <w:numFmt w:val="decimal"/>
      <w:lvlText w:val="%1.%2.%3.%4.%5"/>
      <w:lvlJc w:val="left"/>
      <w:pPr>
        <w:tabs>
          <w:tab w:val="left" w:pos="0"/>
        </w:tabs>
        <w:ind w:left="1008" w:hanging="1008"/>
      </w:pPr>
      <w:rPr>
        <w:rFonts w:hint="eastAsia"/>
      </w:rPr>
    </w:lvl>
    <w:lvl w:ilvl="5" w:tentative="0">
      <w:start w:val="1"/>
      <w:numFmt w:val="decimal"/>
      <w:lvlText w:val="%1.%2.%3.%4.%5.%6"/>
      <w:lvlJc w:val="left"/>
      <w:pPr>
        <w:tabs>
          <w:tab w:val="left" w:pos="0"/>
        </w:tabs>
        <w:ind w:left="1152" w:hanging="1152"/>
      </w:pPr>
      <w:rPr>
        <w:rFonts w:hint="eastAsia"/>
      </w:rPr>
    </w:lvl>
    <w:lvl w:ilvl="6" w:tentative="0">
      <w:start w:val="1"/>
      <w:numFmt w:val="decimal"/>
      <w:lvlText w:val="%1.%2.%3.%4.%5.%6.%7"/>
      <w:lvlJc w:val="left"/>
      <w:pPr>
        <w:tabs>
          <w:tab w:val="left" w:pos="0"/>
        </w:tabs>
        <w:ind w:left="1296" w:hanging="1296"/>
      </w:pPr>
      <w:rPr>
        <w:rFonts w:hint="eastAsia"/>
      </w:rPr>
    </w:lvl>
    <w:lvl w:ilvl="7" w:tentative="0">
      <w:start w:val="1"/>
      <w:numFmt w:val="decimal"/>
      <w:lvlText w:val="%1.%2.%3.%4.%5.%6.%7.%8"/>
      <w:lvlJc w:val="left"/>
      <w:pPr>
        <w:tabs>
          <w:tab w:val="left" w:pos="0"/>
        </w:tabs>
        <w:ind w:left="1440" w:hanging="1440"/>
      </w:pPr>
      <w:rPr>
        <w:rFonts w:hint="eastAsia"/>
      </w:rPr>
    </w:lvl>
    <w:lvl w:ilvl="8" w:tentative="0">
      <w:start w:val="1"/>
      <w:numFmt w:val="decimal"/>
      <w:lvlText w:val="%1.%2.%3.%4.%5.%6.%7.%8.%9"/>
      <w:lvlJc w:val="left"/>
      <w:pPr>
        <w:tabs>
          <w:tab w:val="left" w:pos="0"/>
        </w:tabs>
        <w:ind w:left="1584" w:hanging="1584"/>
      </w:pPr>
      <w:rPr>
        <w:rFonts w:hint="eastAsia"/>
      </w:rPr>
    </w:lvl>
  </w:abstractNum>
  <w:abstractNum w:abstractNumId="3">
    <w:nsid w:val="4213F22C"/>
    <w:multiLevelType w:val="singleLevel"/>
    <w:tmpl w:val="4213F22C"/>
    <w:lvl w:ilvl="0" w:tentative="0">
      <w:start w:val="1"/>
      <w:numFmt w:val="decimal"/>
      <w:suff w:val="nothing"/>
      <w:lvlText w:val="（%1）"/>
      <w:lvlJc w:val="left"/>
    </w:lvl>
  </w:abstractNum>
  <w:abstractNum w:abstractNumId="4">
    <w:nsid w:val="54E8CC7F"/>
    <w:multiLevelType w:val="singleLevel"/>
    <w:tmpl w:val="54E8CC7F"/>
    <w:lvl w:ilvl="0" w:tentative="0">
      <w:start w:val="2"/>
      <w:numFmt w:val="decimal"/>
      <w:suff w:val="nothing"/>
      <w:lvlText w:val="%1、"/>
      <w:lvlJc w:val="left"/>
    </w:lvl>
  </w:abstractNum>
  <w:abstractNum w:abstractNumId="5">
    <w:nsid w:val="629D8929"/>
    <w:multiLevelType w:val="singleLevel"/>
    <w:tmpl w:val="629D8929"/>
    <w:lvl w:ilvl="0" w:tentative="0">
      <w:start w:val="4"/>
      <w:numFmt w:val="decimal"/>
      <w:suff w:val="nothing"/>
      <w:lvlText w:val="（%1）"/>
      <w:lvlJc w:val="left"/>
    </w:lvl>
  </w:abstractNum>
  <w:abstractNum w:abstractNumId="6">
    <w:nsid w:val="69284BA7"/>
    <w:multiLevelType w:val="singleLevel"/>
    <w:tmpl w:val="69284BA7"/>
    <w:lvl w:ilvl="0" w:tentative="0">
      <w:start w:val="12"/>
      <w:numFmt w:val="decimal"/>
      <w:suff w:val="nothing"/>
      <w:lvlText w:val="%1、"/>
      <w:lvlJc w:val="left"/>
    </w:lvl>
  </w:abstractNum>
  <w:abstractNum w:abstractNumId="7">
    <w:nsid w:val="6F14AADA"/>
    <w:multiLevelType w:val="multilevel"/>
    <w:tmpl w:val="6F14AADA"/>
    <w:lvl w:ilvl="0" w:tentative="0">
      <w:start w:val="1"/>
      <w:numFmt w:val="decimal"/>
      <w:pStyle w:val="49"/>
      <w:lvlText w:val="表%1 "/>
      <w:lvlJc w:val="left"/>
      <w:pPr>
        <w:tabs>
          <w:tab w:val="left" w:pos="0"/>
        </w:tabs>
        <w:ind w:left="4105" w:hanging="420"/>
      </w:pPr>
      <w:rPr>
        <w:rFonts w:hint="default"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6F7F2C6F"/>
    <w:multiLevelType w:val="multilevel"/>
    <w:tmpl w:val="6F7F2C6F"/>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2"/>
  </w:num>
  <w:num w:numId="2">
    <w:abstractNumId w:val="0"/>
  </w:num>
  <w:num w:numId="3">
    <w:abstractNumId w:val="7"/>
  </w:num>
  <w:num w:numId="4">
    <w:abstractNumId w:val="4"/>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NTMyNWI4ZDc1YjQ5OTdmNTBjMWM4MmNhMDUxMDIifQ=="/>
  </w:docVars>
  <w:rsids>
    <w:rsidRoot w:val="00A14947"/>
    <w:rsid w:val="000009A8"/>
    <w:rsid w:val="0000275C"/>
    <w:rsid w:val="0001166B"/>
    <w:rsid w:val="00012C70"/>
    <w:rsid w:val="00013D8E"/>
    <w:rsid w:val="00013EEB"/>
    <w:rsid w:val="000149E3"/>
    <w:rsid w:val="00016BF9"/>
    <w:rsid w:val="00021545"/>
    <w:rsid w:val="000227C9"/>
    <w:rsid w:val="00022C11"/>
    <w:rsid w:val="0002364C"/>
    <w:rsid w:val="00024080"/>
    <w:rsid w:val="00025297"/>
    <w:rsid w:val="000255D7"/>
    <w:rsid w:val="00027B5A"/>
    <w:rsid w:val="000314FE"/>
    <w:rsid w:val="00031EC8"/>
    <w:rsid w:val="00042AC0"/>
    <w:rsid w:val="0004667C"/>
    <w:rsid w:val="00047168"/>
    <w:rsid w:val="000479DC"/>
    <w:rsid w:val="00052637"/>
    <w:rsid w:val="000561BB"/>
    <w:rsid w:val="00062018"/>
    <w:rsid w:val="0006555E"/>
    <w:rsid w:val="00065928"/>
    <w:rsid w:val="00070B7A"/>
    <w:rsid w:val="000729EA"/>
    <w:rsid w:val="00073579"/>
    <w:rsid w:val="00077275"/>
    <w:rsid w:val="00080B30"/>
    <w:rsid w:val="00083884"/>
    <w:rsid w:val="0009330E"/>
    <w:rsid w:val="0009363F"/>
    <w:rsid w:val="0009447F"/>
    <w:rsid w:val="00094E82"/>
    <w:rsid w:val="000A1349"/>
    <w:rsid w:val="000A4AA2"/>
    <w:rsid w:val="000A691D"/>
    <w:rsid w:val="000A6C86"/>
    <w:rsid w:val="000B1489"/>
    <w:rsid w:val="000B1614"/>
    <w:rsid w:val="000B18CE"/>
    <w:rsid w:val="000B2002"/>
    <w:rsid w:val="000B27A4"/>
    <w:rsid w:val="000B4F13"/>
    <w:rsid w:val="000C6EAA"/>
    <w:rsid w:val="000C6FA3"/>
    <w:rsid w:val="000D05B6"/>
    <w:rsid w:val="000D48E7"/>
    <w:rsid w:val="000D5CB9"/>
    <w:rsid w:val="000D6D72"/>
    <w:rsid w:val="000E1566"/>
    <w:rsid w:val="000E7AE0"/>
    <w:rsid w:val="000F1EC9"/>
    <w:rsid w:val="000F40F5"/>
    <w:rsid w:val="000F58D0"/>
    <w:rsid w:val="000F5D67"/>
    <w:rsid w:val="00101108"/>
    <w:rsid w:val="001032FA"/>
    <w:rsid w:val="00105C0A"/>
    <w:rsid w:val="00107194"/>
    <w:rsid w:val="001071D2"/>
    <w:rsid w:val="0011130F"/>
    <w:rsid w:val="001120DE"/>
    <w:rsid w:val="001137E3"/>
    <w:rsid w:val="00113F10"/>
    <w:rsid w:val="001152EB"/>
    <w:rsid w:val="0011682B"/>
    <w:rsid w:val="0012280B"/>
    <w:rsid w:val="00126C15"/>
    <w:rsid w:val="001320D6"/>
    <w:rsid w:val="00132B48"/>
    <w:rsid w:val="00132E0E"/>
    <w:rsid w:val="00133ED8"/>
    <w:rsid w:val="00135081"/>
    <w:rsid w:val="00136D91"/>
    <w:rsid w:val="00137D5A"/>
    <w:rsid w:val="00140269"/>
    <w:rsid w:val="0014290D"/>
    <w:rsid w:val="00144183"/>
    <w:rsid w:val="00146E26"/>
    <w:rsid w:val="0014742F"/>
    <w:rsid w:val="00153DE5"/>
    <w:rsid w:val="001570E7"/>
    <w:rsid w:val="00157E72"/>
    <w:rsid w:val="0016049A"/>
    <w:rsid w:val="00161458"/>
    <w:rsid w:val="00166A62"/>
    <w:rsid w:val="0016797F"/>
    <w:rsid w:val="00172359"/>
    <w:rsid w:val="00173782"/>
    <w:rsid w:val="00173F9A"/>
    <w:rsid w:val="00175AD0"/>
    <w:rsid w:val="00175EEB"/>
    <w:rsid w:val="00176B60"/>
    <w:rsid w:val="00176FB2"/>
    <w:rsid w:val="00177545"/>
    <w:rsid w:val="00181C58"/>
    <w:rsid w:val="00187B37"/>
    <w:rsid w:val="00193C5D"/>
    <w:rsid w:val="00196462"/>
    <w:rsid w:val="00196DD9"/>
    <w:rsid w:val="001A2610"/>
    <w:rsid w:val="001A3527"/>
    <w:rsid w:val="001A606F"/>
    <w:rsid w:val="001B261C"/>
    <w:rsid w:val="001B4FA9"/>
    <w:rsid w:val="001B6423"/>
    <w:rsid w:val="001C3977"/>
    <w:rsid w:val="001C675A"/>
    <w:rsid w:val="001C7919"/>
    <w:rsid w:val="001C795B"/>
    <w:rsid w:val="001C7AB5"/>
    <w:rsid w:val="001D2CA9"/>
    <w:rsid w:val="001D3886"/>
    <w:rsid w:val="001D4164"/>
    <w:rsid w:val="001D7EAE"/>
    <w:rsid w:val="001E120A"/>
    <w:rsid w:val="001E2413"/>
    <w:rsid w:val="001E53F7"/>
    <w:rsid w:val="001F5B2E"/>
    <w:rsid w:val="001F5CC6"/>
    <w:rsid w:val="001F6FEC"/>
    <w:rsid w:val="0020103E"/>
    <w:rsid w:val="00203BB3"/>
    <w:rsid w:val="0021667C"/>
    <w:rsid w:val="00220905"/>
    <w:rsid w:val="00225429"/>
    <w:rsid w:val="00227DF5"/>
    <w:rsid w:val="00230CCC"/>
    <w:rsid w:val="0023467D"/>
    <w:rsid w:val="0024140F"/>
    <w:rsid w:val="002427C0"/>
    <w:rsid w:val="00246187"/>
    <w:rsid w:val="0024680F"/>
    <w:rsid w:val="0025053A"/>
    <w:rsid w:val="00250ACF"/>
    <w:rsid w:val="002536F9"/>
    <w:rsid w:val="00256EFA"/>
    <w:rsid w:val="00281DE4"/>
    <w:rsid w:val="00285843"/>
    <w:rsid w:val="00290714"/>
    <w:rsid w:val="00290C05"/>
    <w:rsid w:val="002918A0"/>
    <w:rsid w:val="00294505"/>
    <w:rsid w:val="002956D8"/>
    <w:rsid w:val="00296FB6"/>
    <w:rsid w:val="002A562F"/>
    <w:rsid w:val="002A6FB4"/>
    <w:rsid w:val="002B586D"/>
    <w:rsid w:val="002C39B5"/>
    <w:rsid w:val="002C5B59"/>
    <w:rsid w:val="002C6E11"/>
    <w:rsid w:val="002D2015"/>
    <w:rsid w:val="002D2CD3"/>
    <w:rsid w:val="002D56BE"/>
    <w:rsid w:val="002E0852"/>
    <w:rsid w:val="002E13E8"/>
    <w:rsid w:val="002E179A"/>
    <w:rsid w:val="002E4BE5"/>
    <w:rsid w:val="002E671C"/>
    <w:rsid w:val="002F00FA"/>
    <w:rsid w:val="002F045F"/>
    <w:rsid w:val="002F2768"/>
    <w:rsid w:val="002F2C36"/>
    <w:rsid w:val="002F2E46"/>
    <w:rsid w:val="002F5861"/>
    <w:rsid w:val="002F5896"/>
    <w:rsid w:val="002F5B16"/>
    <w:rsid w:val="00301293"/>
    <w:rsid w:val="00302709"/>
    <w:rsid w:val="00304AB3"/>
    <w:rsid w:val="0030566F"/>
    <w:rsid w:val="0031319F"/>
    <w:rsid w:val="003141B3"/>
    <w:rsid w:val="00316175"/>
    <w:rsid w:val="00320E1B"/>
    <w:rsid w:val="003246E3"/>
    <w:rsid w:val="00331FC3"/>
    <w:rsid w:val="003443DC"/>
    <w:rsid w:val="00345D45"/>
    <w:rsid w:val="00350447"/>
    <w:rsid w:val="003506DF"/>
    <w:rsid w:val="003568C9"/>
    <w:rsid w:val="003613F6"/>
    <w:rsid w:val="00366340"/>
    <w:rsid w:val="0037472F"/>
    <w:rsid w:val="003772B7"/>
    <w:rsid w:val="00381CDD"/>
    <w:rsid w:val="00382DF6"/>
    <w:rsid w:val="00392A2C"/>
    <w:rsid w:val="00393063"/>
    <w:rsid w:val="00393FDF"/>
    <w:rsid w:val="00396ABC"/>
    <w:rsid w:val="00396E52"/>
    <w:rsid w:val="003A1687"/>
    <w:rsid w:val="003A1D71"/>
    <w:rsid w:val="003A6812"/>
    <w:rsid w:val="003A6C99"/>
    <w:rsid w:val="003A6E57"/>
    <w:rsid w:val="003A712D"/>
    <w:rsid w:val="003B175A"/>
    <w:rsid w:val="003C0A18"/>
    <w:rsid w:val="003D0ACF"/>
    <w:rsid w:val="003D10F0"/>
    <w:rsid w:val="003D2A7B"/>
    <w:rsid w:val="003D3B93"/>
    <w:rsid w:val="003D46F5"/>
    <w:rsid w:val="003D50BB"/>
    <w:rsid w:val="00400D14"/>
    <w:rsid w:val="00400D68"/>
    <w:rsid w:val="00406DAF"/>
    <w:rsid w:val="00410D2E"/>
    <w:rsid w:val="00410EC0"/>
    <w:rsid w:val="0042086D"/>
    <w:rsid w:val="00422424"/>
    <w:rsid w:val="00424BBD"/>
    <w:rsid w:val="00424EE9"/>
    <w:rsid w:val="00431125"/>
    <w:rsid w:val="0043165B"/>
    <w:rsid w:val="00432142"/>
    <w:rsid w:val="00433668"/>
    <w:rsid w:val="00434B62"/>
    <w:rsid w:val="004358F4"/>
    <w:rsid w:val="004375BB"/>
    <w:rsid w:val="00446FE3"/>
    <w:rsid w:val="00447446"/>
    <w:rsid w:val="004503E8"/>
    <w:rsid w:val="00455421"/>
    <w:rsid w:val="00460927"/>
    <w:rsid w:val="00461E85"/>
    <w:rsid w:val="00465215"/>
    <w:rsid w:val="004777BC"/>
    <w:rsid w:val="00477C1E"/>
    <w:rsid w:val="00485E3B"/>
    <w:rsid w:val="004938F2"/>
    <w:rsid w:val="0049503A"/>
    <w:rsid w:val="004A2D15"/>
    <w:rsid w:val="004A3AC6"/>
    <w:rsid w:val="004A4E6D"/>
    <w:rsid w:val="004A5DB1"/>
    <w:rsid w:val="004B670F"/>
    <w:rsid w:val="004C0D63"/>
    <w:rsid w:val="004C4A2F"/>
    <w:rsid w:val="004D2065"/>
    <w:rsid w:val="004D4AC1"/>
    <w:rsid w:val="004D6D0E"/>
    <w:rsid w:val="004E3FA5"/>
    <w:rsid w:val="004E433B"/>
    <w:rsid w:val="004E4D92"/>
    <w:rsid w:val="004E627C"/>
    <w:rsid w:val="004E6DD9"/>
    <w:rsid w:val="004F0C22"/>
    <w:rsid w:val="005014B9"/>
    <w:rsid w:val="005073ED"/>
    <w:rsid w:val="0051316D"/>
    <w:rsid w:val="005145F3"/>
    <w:rsid w:val="00517C9C"/>
    <w:rsid w:val="00520532"/>
    <w:rsid w:val="00520FC0"/>
    <w:rsid w:val="00522A21"/>
    <w:rsid w:val="00523AD4"/>
    <w:rsid w:val="00525BCF"/>
    <w:rsid w:val="00525DEF"/>
    <w:rsid w:val="00526606"/>
    <w:rsid w:val="005279DE"/>
    <w:rsid w:val="0053162B"/>
    <w:rsid w:val="0053391A"/>
    <w:rsid w:val="00533C56"/>
    <w:rsid w:val="00535DA2"/>
    <w:rsid w:val="005372E0"/>
    <w:rsid w:val="00542626"/>
    <w:rsid w:val="00544088"/>
    <w:rsid w:val="005466DF"/>
    <w:rsid w:val="00556C69"/>
    <w:rsid w:val="005579C0"/>
    <w:rsid w:val="00557C12"/>
    <w:rsid w:val="005615E2"/>
    <w:rsid w:val="005633A7"/>
    <w:rsid w:val="00567BA7"/>
    <w:rsid w:val="00570B3C"/>
    <w:rsid w:val="005723D2"/>
    <w:rsid w:val="005727D1"/>
    <w:rsid w:val="00572B2D"/>
    <w:rsid w:val="00575016"/>
    <w:rsid w:val="005754AE"/>
    <w:rsid w:val="00576780"/>
    <w:rsid w:val="005778DB"/>
    <w:rsid w:val="005828B5"/>
    <w:rsid w:val="00583E46"/>
    <w:rsid w:val="00583E54"/>
    <w:rsid w:val="00585467"/>
    <w:rsid w:val="00585941"/>
    <w:rsid w:val="00594011"/>
    <w:rsid w:val="005943C3"/>
    <w:rsid w:val="0059569D"/>
    <w:rsid w:val="005A12FC"/>
    <w:rsid w:val="005A203E"/>
    <w:rsid w:val="005A5EE3"/>
    <w:rsid w:val="005A6111"/>
    <w:rsid w:val="005A64CC"/>
    <w:rsid w:val="005A7AEF"/>
    <w:rsid w:val="005B665B"/>
    <w:rsid w:val="005C5473"/>
    <w:rsid w:val="005C62AF"/>
    <w:rsid w:val="005D2854"/>
    <w:rsid w:val="005D58B6"/>
    <w:rsid w:val="005D7002"/>
    <w:rsid w:val="005E138C"/>
    <w:rsid w:val="005F11C3"/>
    <w:rsid w:val="00600F9F"/>
    <w:rsid w:val="00601368"/>
    <w:rsid w:val="006017C8"/>
    <w:rsid w:val="00602365"/>
    <w:rsid w:val="00602A93"/>
    <w:rsid w:val="006037AC"/>
    <w:rsid w:val="00607B38"/>
    <w:rsid w:val="00611005"/>
    <w:rsid w:val="006175CD"/>
    <w:rsid w:val="00620E2E"/>
    <w:rsid w:val="00621904"/>
    <w:rsid w:val="00624A97"/>
    <w:rsid w:val="00634C0B"/>
    <w:rsid w:val="006352A8"/>
    <w:rsid w:val="006360BD"/>
    <w:rsid w:val="006370E1"/>
    <w:rsid w:val="006441D8"/>
    <w:rsid w:val="00645C06"/>
    <w:rsid w:val="00645CEA"/>
    <w:rsid w:val="0065178E"/>
    <w:rsid w:val="00654F15"/>
    <w:rsid w:val="00655B75"/>
    <w:rsid w:val="00660797"/>
    <w:rsid w:val="00667184"/>
    <w:rsid w:val="00670559"/>
    <w:rsid w:val="0067642C"/>
    <w:rsid w:val="006774F6"/>
    <w:rsid w:val="006808CB"/>
    <w:rsid w:val="00681B91"/>
    <w:rsid w:val="00684AB3"/>
    <w:rsid w:val="006915E6"/>
    <w:rsid w:val="006930D2"/>
    <w:rsid w:val="006973F6"/>
    <w:rsid w:val="006A102D"/>
    <w:rsid w:val="006A207F"/>
    <w:rsid w:val="006A5F4C"/>
    <w:rsid w:val="006A72B5"/>
    <w:rsid w:val="006A7D7B"/>
    <w:rsid w:val="006B3442"/>
    <w:rsid w:val="006B73C6"/>
    <w:rsid w:val="006C21AF"/>
    <w:rsid w:val="006C2AD8"/>
    <w:rsid w:val="006C304F"/>
    <w:rsid w:val="006C30AB"/>
    <w:rsid w:val="006C50F6"/>
    <w:rsid w:val="006C64F4"/>
    <w:rsid w:val="006C66B4"/>
    <w:rsid w:val="006D0F5A"/>
    <w:rsid w:val="006D3A6D"/>
    <w:rsid w:val="006D5962"/>
    <w:rsid w:val="006D6301"/>
    <w:rsid w:val="006D6375"/>
    <w:rsid w:val="006E307C"/>
    <w:rsid w:val="006E3106"/>
    <w:rsid w:val="006E4F62"/>
    <w:rsid w:val="006E6049"/>
    <w:rsid w:val="006E6FFB"/>
    <w:rsid w:val="006E721E"/>
    <w:rsid w:val="006F13D9"/>
    <w:rsid w:val="006F338D"/>
    <w:rsid w:val="007067C7"/>
    <w:rsid w:val="007167D6"/>
    <w:rsid w:val="007214BE"/>
    <w:rsid w:val="0072411F"/>
    <w:rsid w:val="00725394"/>
    <w:rsid w:val="00726D7B"/>
    <w:rsid w:val="007432FA"/>
    <w:rsid w:val="0074418B"/>
    <w:rsid w:val="00752992"/>
    <w:rsid w:val="007532C4"/>
    <w:rsid w:val="007579BD"/>
    <w:rsid w:val="0076044F"/>
    <w:rsid w:val="00762291"/>
    <w:rsid w:val="007623DA"/>
    <w:rsid w:val="00762882"/>
    <w:rsid w:val="00762E54"/>
    <w:rsid w:val="00762F32"/>
    <w:rsid w:val="007665BB"/>
    <w:rsid w:val="00767053"/>
    <w:rsid w:val="007671FC"/>
    <w:rsid w:val="00767287"/>
    <w:rsid w:val="00771DFA"/>
    <w:rsid w:val="00773916"/>
    <w:rsid w:val="00781BEB"/>
    <w:rsid w:val="00782422"/>
    <w:rsid w:val="0078286A"/>
    <w:rsid w:val="00782C25"/>
    <w:rsid w:val="00791ACD"/>
    <w:rsid w:val="0079217E"/>
    <w:rsid w:val="007922B7"/>
    <w:rsid w:val="00794748"/>
    <w:rsid w:val="00794D21"/>
    <w:rsid w:val="007956F0"/>
    <w:rsid w:val="007A1147"/>
    <w:rsid w:val="007A123B"/>
    <w:rsid w:val="007A44C2"/>
    <w:rsid w:val="007A4F95"/>
    <w:rsid w:val="007B054B"/>
    <w:rsid w:val="007B3828"/>
    <w:rsid w:val="007C02F3"/>
    <w:rsid w:val="007C1F28"/>
    <w:rsid w:val="007C2650"/>
    <w:rsid w:val="007C293B"/>
    <w:rsid w:val="007C4753"/>
    <w:rsid w:val="007D0291"/>
    <w:rsid w:val="007D3114"/>
    <w:rsid w:val="007D4B20"/>
    <w:rsid w:val="007D5A3A"/>
    <w:rsid w:val="007E090C"/>
    <w:rsid w:val="007E12BD"/>
    <w:rsid w:val="007E3F20"/>
    <w:rsid w:val="007E6962"/>
    <w:rsid w:val="007F4BB0"/>
    <w:rsid w:val="007F570E"/>
    <w:rsid w:val="007F5C8C"/>
    <w:rsid w:val="0080002F"/>
    <w:rsid w:val="00801F4A"/>
    <w:rsid w:val="0080364E"/>
    <w:rsid w:val="00816D7B"/>
    <w:rsid w:val="0082021A"/>
    <w:rsid w:val="00824BF2"/>
    <w:rsid w:val="008254B4"/>
    <w:rsid w:val="00827F73"/>
    <w:rsid w:val="00830EFC"/>
    <w:rsid w:val="00842978"/>
    <w:rsid w:val="008438BD"/>
    <w:rsid w:val="008449EE"/>
    <w:rsid w:val="00847A1E"/>
    <w:rsid w:val="00856CF9"/>
    <w:rsid w:val="00860C91"/>
    <w:rsid w:val="008634C3"/>
    <w:rsid w:val="008644BF"/>
    <w:rsid w:val="0086465D"/>
    <w:rsid w:val="00865DB0"/>
    <w:rsid w:val="0086677B"/>
    <w:rsid w:val="00880A04"/>
    <w:rsid w:val="00886D73"/>
    <w:rsid w:val="00891172"/>
    <w:rsid w:val="00896FA2"/>
    <w:rsid w:val="00897EE7"/>
    <w:rsid w:val="008A1251"/>
    <w:rsid w:val="008A1412"/>
    <w:rsid w:val="008A3B4B"/>
    <w:rsid w:val="008A6427"/>
    <w:rsid w:val="008A79C4"/>
    <w:rsid w:val="008B2822"/>
    <w:rsid w:val="008B7859"/>
    <w:rsid w:val="008C3071"/>
    <w:rsid w:val="008C3EAE"/>
    <w:rsid w:val="008C47E6"/>
    <w:rsid w:val="008C5E69"/>
    <w:rsid w:val="008C7C2D"/>
    <w:rsid w:val="008D3386"/>
    <w:rsid w:val="008D3DE4"/>
    <w:rsid w:val="008D4642"/>
    <w:rsid w:val="008D5A26"/>
    <w:rsid w:val="008D7352"/>
    <w:rsid w:val="008E02D6"/>
    <w:rsid w:val="008E07AF"/>
    <w:rsid w:val="008E220C"/>
    <w:rsid w:val="008E46F2"/>
    <w:rsid w:val="008F0015"/>
    <w:rsid w:val="008F55F6"/>
    <w:rsid w:val="008F6B15"/>
    <w:rsid w:val="008F7275"/>
    <w:rsid w:val="00901F68"/>
    <w:rsid w:val="00903B09"/>
    <w:rsid w:val="00910541"/>
    <w:rsid w:val="0091095D"/>
    <w:rsid w:val="00915438"/>
    <w:rsid w:val="0092039D"/>
    <w:rsid w:val="009206C8"/>
    <w:rsid w:val="009214AE"/>
    <w:rsid w:val="00921CE2"/>
    <w:rsid w:val="009256E0"/>
    <w:rsid w:val="00930FDD"/>
    <w:rsid w:val="009336E0"/>
    <w:rsid w:val="00941D09"/>
    <w:rsid w:val="0094252E"/>
    <w:rsid w:val="00942FDF"/>
    <w:rsid w:val="00947EA5"/>
    <w:rsid w:val="0095310E"/>
    <w:rsid w:val="00953892"/>
    <w:rsid w:val="00962671"/>
    <w:rsid w:val="00963E56"/>
    <w:rsid w:val="0096567E"/>
    <w:rsid w:val="0096709D"/>
    <w:rsid w:val="00967F71"/>
    <w:rsid w:val="0097718E"/>
    <w:rsid w:val="00977A40"/>
    <w:rsid w:val="00985B48"/>
    <w:rsid w:val="00985F36"/>
    <w:rsid w:val="00986588"/>
    <w:rsid w:val="00990059"/>
    <w:rsid w:val="00990BCC"/>
    <w:rsid w:val="00991FA1"/>
    <w:rsid w:val="009941D3"/>
    <w:rsid w:val="009950AA"/>
    <w:rsid w:val="009958B0"/>
    <w:rsid w:val="00997AB5"/>
    <w:rsid w:val="009A195C"/>
    <w:rsid w:val="009A22DE"/>
    <w:rsid w:val="009A44F1"/>
    <w:rsid w:val="009A5585"/>
    <w:rsid w:val="009A6E84"/>
    <w:rsid w:val="009B3565"/>
    <w:rsid w:val="009C3E76"/>
    <w:rsid w:val="009C512B"/>
    <w:rsid w:val="009D0D6D"/>
    <w:rsid w:val="009D7718"/>
    <w:rsid w:val="009E1F03"/>
    <w:rsid w:val="009E4DAB"/>
    <w:rsid w:val="009E5768"/>
    <w:rsid w:val="009E5A35"/>
    <w:rsid w:val="009E5E77"/>
    <w:rsid w:val="009E7586"/>
    <w:rsid w:val="009F694A"/>
    <w:rsid w:val="009F7CFE"/>
    <w:rsid w:val="00A00B65"/>
    <w:rsid w:val="00A04026"/>
    <w:rsid w:val="00A063A6"/>
    <w:rsid w:val="00A11CFB"/>
    <w:rsid w:val="00A137AB"/>
    <w:rsid w:val="00A13B03"/>
    <w:rsid w:val="00A13D49"/>
    <w:rsid w:val="00A14947"/>
    <w:rsid w:val="00A2092C"/>
    <w:rsid w:val="00A26903"/>
    <w:rsid w:val="00A27943"/>
    <w:rsid w:val="00A27E65"/>
    <w:rsid w:val="00A33E9C"/>
    <w:rsid w:val="00A34C85"/>
    <w:rsid w:val="00A413C3"/>
    <w:rsid w:val="00A41514"/>
    <w:rsid w:val="00A51A33"/>
    <w:rsid w:val="00A56D78"/>
    <w:rsid w:val="00A606EF"/>
    <w:rsid w:val="00A630D7"/>
    <w:rsid w:val="00A63DC1"/>
    <w:rsid w:val="00A63F8F"/>
    <w:rsid w:val="00A6519D"/>
    <w:rsid w:val="00A65E45"/>
    <w:rsid w:val="00A65FA9"/>
    <w:rsid w:val="00A662AE"/>
    <w:rsid w:val="00A726F1"/>
    <w:rsid w:val="00A76EFB"/>
    <w:rsid w:val="00A81892"/>
    <w:rsid w:val="00A825BA"/>
    <w:rsid w:val="00A83143"/>
    <w:rsid w:val="00A84DC7"/>
    <w:rsid w:val="00A916B6"/>
    <w:rsid w:val="00A92D24"/>
    <w:rsid w:val="00A953E0"/>
    <w:rsid w:val="00A97C63"/>
    <w:rsid w:val="00AA28EC"/>
    <w:rsid w:val="00AA334F"/>
    <w:rsid w:val="00AA4581"/>
    <w:rsid w:val="00AA5A15"/>
    <w:rsid w:val="00AB0949"/>
    <w:rsid w:val="00AB1D44"/>
    <w:rsid w:val="00AB3482"/>
    <w:rsid w:val="00AB4FD6"/>
    <w:rsid w:val="00AD1385"/>
    <w:rsid w:val="00AD1D6E"/>
    <w:rsid w:val="00AD21C6"/>
    <w:rsid w:val="00AD3FA7"/>
    <w:rsid w:val="00AD522C"/>
    <w:rsid w:val="00AD66D8"/>
    <w:rsid w:val="00AE5C88"/>
    <w:rsid w:val="00AE6662"/>
    <w:rsid w:val="00AE6A5B"/>
    <w:rsid w:val="00AF3BF6"/>
    <w:rsid w:val="00AF5F78"/>
    <w:rsid w:val="00AF67A0"/>
    <w:rsid w:val="00B00311"/>
    <w:rsid w:val="00B02118"/>
    <w:rsid w:val="00B05ACB"/>
    <w:rsid w:val="00B06CD3"/>
    <w:rsid w:val="00B14489"/>
    <w:rsid w:val="00B15F34"/>
    <w:rsid w:val="00B16230"/>
    <w:rsid w:val="00B2160C"/>
    <w:rsid w:val="00B23D93"/>
    <w:rsid w:val="00B31C37"/>
    <w:rsid w:val="00B31F47"/>
    <w:rsid w:val="00B32564"/>
    <w:rsid w:val="00B347C1"/>
    <w:rsid w:val="00B42388"/>
    <w:rsid w:val="00B42681"/>
    <w:rsid w:val="00B5504B"/>
    <w:rsid w:val="00B553B0"/>
    <w:rsid w:val="00B6531C"/>
    <w:rsid w:val="00B65496"/>
    <w:rsid w:val="00B672C9"/>
    <w:rsid w:val="00B71BB8"/>
    <w:rsid w:val="00B732B6"/>
    <w:rsid w:val="00B747CE"/>
    <w:rsid w:val="00B84935"/>
    <w:rsid w:val="00B87F2A"/>
    <w:rsid w:val="00B91033"/>
    <w:rsid w:val="00B91590"/>
    <w:rsid w:val="00B96265"/>
    <w:rsid w:val="00B9770A"/>
    <w:rsid w:val="00BA10C9"/>
    <w:rsid w:val="00BA55AB"/>
    <w:rsid w:val="00BB2A0D"/>
    <w:rsid w:val="00BB4004"/>
    <w:rsid w:val="00BB5A70"/>
    <w:rsid w:val="00BC0A40"/>
    <w:rsid w:val="00BC5638"/>
    <w:rsid w:val="00BD1809"/>
    <w:rsid w:val="00BD414C"/>
    <w:rsid w:val="00BD5310"/>
    <w:rsid w:val="00BE5F47"/>
    <w:rsid w:val="00BF3B6A"/>
    <w:rsid w:val="00BF7831"/>
    <w:rsid w:val="00C001E4"/>
    <w:rsid w:val="00C004F8"/>
    <w:rsid w:val="00C0190E"/>
    <w:rsid w:val="00C019E4"/>
    <w:rsid w:val="00C01A7F"/>
    <w:rsid w:val="00C07C79"/>
    <w:rsid w:val="00C1063D"/>
    <w:rsid w:val="00C234E5"/>
    <w:rsid w:val="00C35CB7"/>
    <w:rsid w:val="00C414DB"/>
    <w:rsid w:val="00C422A7"/>
    <w:rsid w:val="00C4412C"/>
    <w:rsid w:val="00C45E5D"/>
    <w:rsid w:val="00C461E8"/>
    <w:rsid w:val="00C46D8D"/>
    <w:rsid w:val="00C52D20"/>
    <w:rsid w:val="00C53447"/>
    <w:rsid w:val="00C54B0A"/>
    <w:rsid w:val="00C57DE8"/>
    <w:rsid w:val="00C628AC"/>
    <w:rsid w:val="00C737B4"/>
    <w:rsid w:val="00C74ED0"/>
    <w:rsid w:val="00C74F3E"/>
    <w:rsid w:val="00C7655C"/>
    <w:rsid w:val="00C81657"/>
    <w:rsid w:val="00C82A77"/>
    <w:rsid w:val="00C83FA6"/>
    <w:rsid w:val="00C8435D"/>
    <w:rsid w:val="00C85A58"/>
    <w:rsid w:val="00C86CE2"/>
    <w:rsid w:val="00C878B0"/>
    <w:rsid w:val="00C95BA3"/>
    <w:rsid w:val="00CA0516"/>
    <w:rsid w:val="00CA5DBF"/>
    <w:rsid w:val="00CA7356"/>
    <w:rsid w:val="00CA782B"/>
    <w:rsid w:val="00CB0484"/>
    <w:rsid w:val="00CB6FB0"/>
    <w:rsid w:val="00CB7B67"/>
    <w:rsid w:val="00CC0610"/>
    <w:rsid w:val="00CC212F"/>
    <w:rsid w:val="00CC22B4"/>
    <w:rsid w:val="00CD48C1"/>
    <w:rsid w:val="00CE12CA"/>
    <w:rsid w:val="00CE6566"/>
    <w:rsid w:val="00CE779F"/>
    <w:rsid w:val="00CF4149"/>
    <w:rsid w:val="00CF512E"/>
    <w:rsid w:val="00D01278"/>
    <w:rsid w:val="00D018C3"/>
    <w:rsid w:val="00D05A70"/>
    <w:rsid w:val="00D1057F"/>
    <w:rsid w:val="00D1366A"/>
    <w:rsid w:val="00D248E3"/>
    <w:rsid w:val="00D2720C"/>
    <w:rsid w:val="00D301EF"/>
    <w:rsid w:val="00D3047F"/>
    <w:rsid w:val="00D313B1"/>
    <w:rsid w:val="00D351C8"/>
    <w:rsid w:val="00D3554D"/>
    <w:rsid w:val="00D378CC"/>
    <w:rsid w:val="00D4119C"/>
    <w:rsid w:val="00D417D6"/>
    <w:rsid w:val="00D47B2D"/>
    <w:rsid w:val="00D516DA"/>
    <w:rsid w:val="00D5215D"/>
    <w:rsid w:val="00D523A1"/>
    <w:rsid w:val="00D55F62"/>
    <w:rsid w:val="00D6469E"/>
    <w:rsid w:val="00D651D6"/>
    <w:rsid w:val="00D7390B"/>
    <w:rsid w:val="00D759D3"/>
    <w:rsid w:val="00D809DA"/>
    <w:rsid w:val="00D810B4"/>
    <w:rsid w:val="00D8378B"/>
    <w:rsid w:val="00D867B7"/>
    <w:rsid w:val="00D86832"/>
    <w:rsid w:val="00D87AC3"/>
    <w:rsid w:val="00D87EA0"/>
    <w:rsid w:val="00D90B7A"/>
    <w:rsid w:val="00D9456E"/>
    <w:rsid w:val="00D96A41"/>
    <w:rsid w:val="00D97B6D"/>
    <w:rsid w:val="00DA0A5C"/>
    <w:rsid w:val="00DA275D"/>
    <w:rsid w:val="00DA390C"/>
    <w:rsid w:val="00DA65BF"/>
    <w:rsid w:val="00DB011D"/>
    <w:rsid w:val="00DB1B5C"/>
    <w:rsid w:val="00DB2A27"/>
    <w:rsid w:val="00DB2F9F"/>
    <w:rsid w:val="00DB30D0"/>
    <w:rsid w:val="00DB4D8E"/>
    <w:rsid w:val="00DB579E"/>
    <w:rsid w:val="00DB75E7"/>
    <w:rsid w:val="00DC05B8"/>
    <w:rsid w:val="00DC105C"/>
    <w:rsid w:val="00DC16C4"/>
    <w:rsid w:val="00DC19AA"/>
    <w:rsid w:val="00DC24D3"/>
    <w:rsid w:val="00DC5749"/>
    <w:rsid w:val="00DC69A6"/>
    <w:rsid w:val="00DD45F6"/>
    <w:rsid w:val="00DE4D75"/>
    <w:rsid w:val="00DE4D9C"/>
    <w:rsid w:val="00DE747E"/>
    <w:rsid w:val="00DE779A"/>
    <w:rsid w:val="00DF2DCE"/>
    <w:rsid w:val="00E01809"/>
    <w:rsid w:val="00E01C43"/>
    <w:rsid w:val="00E026DB"/>
    <w:rsid w:val="00E046E0"/>
    <w:rsid w:val="00E10450"/>
    <w:rsid w:val="00E17808"/>
    <w:rsid w:val="00E20623"/>
    <w:rsid w:val="00E24250"/>
    <w:rsid w:val="00E257FC"/>
    <w:rsid w:val="00E27815"/>
    <w:rsid w:val="00E3252E"/>
    <w:rsid w:val="00E351D8"/>
    <w:rsid w:val="00E36019"/>
    <w:rsid w:val="00E37D13"/>
    <w:rsid w:val="00E4241D"/>
    <w:rsid w:val="00E431F8"/>
    <w:rsid w:val="00E50B14"/>
    <w:rsid w:val="00E51D59"/>
    <w:rsid w:val="00E538E8"/>
    <w:rsid w:val="00E53B68"/>
    <w:rsid w:val="00E54E10"/>
    <w:rsid w:val="00E55154"/>
    <w:rsid w:val="00E56561"/>
    <w:rsid w:val="00E57C20"/>
    <w:rsid w:val="00E700DA"/>
    <w:rsid w:val="00E705C8"/>
    <w:rsid w:val="00E708F0"/>
    <w:rsid w:val="00E714D1"/>
    <w:rsid w:val="00E7457D"/>
    <w:rsid w:val="00E762A5"/>
    <w:rsid w:val="00E77F83"/>
    <w:rsid w:val="00E879E8"/>
    <w:rsid w:val="00E93EE7"/>
    <w:rsid w:val="00EA08BC"/>
    <w:rsid w:val="00EA2EE9"/>
    <w:rsid w:val="00EA4B05"/>
    <w:rsid w:val="00EA4BE1"/>
    <w:rsid w:val="00EA543B"/>
    <w:rsid w:val="00EA7036"/>
    <w:rsid w:val="00EA7C48"/>
    <w:rsid w:val="00EB3462"/>
    <w:rsid w:val="00EB39AB"/>
    <w:rsid w:val="00EB72C0"/>
    <w:rsid w:val="00EC1A27"/>
    <w:rsid w:val="00EC1DC7"/>
    <w:rsid w:val="00EC25B5"/>
    <w:rsid w:val="00EC2CF0"/>
    <w:rsid w:val="00EC4BFC"/>
    <w:rsid w:val="00EC5F36"/>
    <w:rsid w:val="00ED0EE5"/>
    <w:rsid w:val="00ED218B"/>
    <w:rsid w:val="00ED27C9"/>
    <w:rsid w:val="00ED402B"/>
    <w:rsid w:val="00ED5479"/>
    <w:rsid w:val="00ED56E5"/>
    <w:rsid w:val="00ED7CC6"/>
    <w:rsid w:val="00EE162A"/>
    <w:rsid w:val="00EE3AC1"/>
    <w:rsid w:val="00EE4EF1"/>
    <w:rsid w:val="00EE6D4C"/>
    <w:rsid w:val="00EE7A21"/>
    <w:rsid w:val="00EF1283"/>
    <w:rsid w:val="00EF5D58"/>
    <w:rsid w:val="00EF681F"/>
    <w:rsid w:val="00EF7481"/>
    <w:rsid w:val="00F012D4"/>
    <w:rsid w:val="00F021B7"/>
    <w:rsid w:val="00F031BD"/>
    <w:rsid w:val="00F059A3"/>
    <w:rsid w:val="00F06C8E"/>
    <w:rsid w:val="00F13B1E"/>
    <w:rsid w:val="00F15BEA"/>
    <w:rsid w:val="00F20A45"/>
    <w:rsid w:val="00F20D7F"/>
    <w:rsid w:val="00F25156"/>
    <w:rsid w:val="00F2568B"/>
    <w:rsid w:val="00F272E7"/>
    <w:rsid w:val="00F273F7"/>
    <w:rsid w:val="00F30B96"/>
    <w:rsid w:val="00F31490"/>
    <w:rsid w:val="00F346C7"/>
    <w:rsid w:val="00F425E0"/>
    <w:rsid w:val="00F42BC4"/>
    <w:rsid w:val="00F439F5"/>
    <w:rsid w:val="00F45F25"/>
    <w:rsid w:val="00F50A1D"/>
    <w:rsid w:val="00F5129F"/>
    <w:rsid w:val="00F53E5E"/>
    <w:rsid w:val="00F550A3"/>
    <w:rsid w:val="00F56D7B"/>
    <w:rsid w:val="00F5775E"/>
    <w:rsid w:val="00F6224A"/>
    <w:rsid w:val="00F623C1"/>
    <w:rsid w:val="00F65DB8"/>
    <w:rsid w:val="00F6660C"/>
    <w:rsid w:val="00F72C8B"/>
    <w:rsid w:val="00F82002"/>
    <w:rsid w:val="00F8387E"/>
    <w:rsid w:val="00F8413B"/>
    <w:rsid w:val="00F91124"/>
    <w:rsid w:val="00F91F32"/>
    <w:rsid w:val="00F92167"/>
    <w:rsid w:val="00F92247"/>
    <w:rsid w:val="00F94EC2"/>
    <w:rsid w:val="00F963EA"/>
    <w:rsid w:val="00F96C92"/>
    <w:rsid w:val="00FA1632"/>
    <w:rsid w:val="00FA38F6"/>
    <w:rsid w:val="00FA55A9"/>
    <w:rsid w:val="00FA7AA3"/>
    <w:rsid w:val="00FB2A09"/>
    <w:rsid w:val="00FC24D0"/>
    <w:rsid w:val="00FC3E26"/>
    <w:rsid w:val="00FC5784"/>
    <w:rsid w:val="00FC58C7"/>
    <w:rsid w:val="00FC5C79"/>
    <w:rsid w:val="00FC6C4E"/>
    <w:rsid w:val="00FC6E67"/>
    <w:rsid w:val="00FD0656"/>
    <w:rsid w:val="00FD067B"/>
    <w:rsid w:val="00FD163E"/>
    <w:rsid w:val="00FD1F95"/>
    <w:rsid w:val="00FD42E0"/>
    <w:rsid w:val="00FD53A6"/>
    <w:rsid w:val="00FD5979"/>
    <w:rsid w:val="00FE0113"/>
    <w:rsid w:val="00FE146F"/>
    <w:rsid w:val="00FE185D"/>
    <w:rsid w:val="00FE24DF"/>
    <w:rsid w:val="00FE444B"/>
    <w:rsid w:val="00FF04B1"/>
    <w:rsid w:val="00FF1EED"/>
    <w:rsid w:val="00FF451D"/>
    <w:rsid w:val="01213882"/>
    <w:rsid w:val="01260BCB"/>
    <w:rsid w:val="01852063"/>
    <w:rsid w:val="01A4698D"/>
    <w:rsid w:val="01AA7D1B"/>
    <w:rsid w:val="01EC3E90"/>
    <w:rsid w:val="02203B3A"/>
    <w:rsid w:val="025F0B06"/>
    <w:rsid w:val="02704AC1"/>
    <w:rsid w:val="028265A2"/>
    <w:rsid w:val="02A36C44"/>
    <w:rsid w:val="035E4919"/>
    <w:rsid w:val="0385634A"/>
    <w:rsid w:val="03A569EC"/>
    <w:rsid w:val="03AE6202"/>
    <w:rsid w:val="04161698"/>
    <w:rsid w:val="045126D0"/>
    <w:rsid w:val="04932CE9"/>
    <w:rsid w:val="04B50EB1"/>
    <w:rsid w:val="04CD61FB"/>
    <w:rsid w:val="04E13A54"/>
    <w:rsid w:val="051A0D14"/>
    <w:rsid w:val="051C2849"/>
    <w:rsid w:val="052D14CE"/>
    <w:rsid w:val="054144F3"/>
    <w:rsid w:val="056D7096"/>
    <w:rsid w:val="0593599E"/>
    <w:rsid w:val="05A21435"/>
    <w:rsid w:val="05BE1FE7"/>
    <w:rsid w:val="05C02D3F"/>
    <w:rsid w:val="05D76C05"/>
    <w:rsid w:val="05EE467B"/>
    <w:rsid w:val="061B4D44"/>
    <w:rsid w:val="06361B7E"/>
    <w:rsid w:val="063876A4"/>
    <w:rsid w:val="066C37F1"/>
    <w:rsid w:val="06A25465"/>
    <w:rsid w:val="06BB2083"/>
    <w:rsid w:val="06CC4290"/>
    <w:rsid w:val="06EB2968"/>
    <w:rsid w:val="072F41F2"/>
    <w:rsid w:val="073065CD"/>
    <w:rsid w:val="0750482F"/>
    <w:rsid w:val="075229E7"/>
    <w:rsid w:val="075F3C36"/>
    <w:rsid w:val="07862691"/>
    <w:rsid w:val="078D1C71"/>
    <w:rsid w:val="07AF3996"/>
    <w:rsid w:val="07C244FC"/>
    <w:rsid w:val="07CD02C0"/>
    <w:rsid w:val="07CF5124"/>
    <w:rsid w:val="080D2DB2"/>
    <w:rsid w:val="08114650"/>
    <w:rsid w:val="084B1117"/>
    <w:rsid w:val="08794660"/>
    <w:rsid w:val="087E15BA"/>
    <w:rsid w:val="08D5567E"/>
    <w:rsid w:val="091F0FEF"/>
    <w:rsid w:val="092B1742"/>
    <w:rsid w:val="094840A2"/>
    <w:rsid w:val="098D7D07"/>
    <w:rsid w:val="099F7A3A"/>
    <w:rsid w:val="09E06664"/>
    <w:rsid w:val="0A8E1F88"/>
    <w:rsid w:val="0A9E1A86"/>
    <w:rsid w:val="0AB20325"/>
    <w:rsid w:val="0ACD35F3"/>
    <w:rsid w:val="0AE147AE"/>
    <w:rsid w:val="0AEF0C11"/>
    <w:rsid w:val="0B097861"/>
    <w:rsid w:val="0B2823DD"/>
    <w:rsid w:val="0B416FFB"/>
    <w:rsid w:val="0B772A1C"/>
    <w:rsid w:val="0B8B296C"/>
    <w:rsid w:val="0BB51797"/>
    <w:rsid w:val="0C2E41A2"/>
    <w:rsid w:val="0C5D026B"/>
    <w:rsid w:val="0C81376F"/>
    <w:rsid w:val="0C8F3D96"/>
    <w:rsid w:val="0C9413AC"/>
    <w:rsid w:val="0CA23AC9"/>
    <w:rsid w:val="0CA67D92"/>
    <w:rsid w:val="0CF87B8D"/>
    <w:rsid w:val="0D0570E0"/>
    <w:rsid w:val="0D1424ED"/>
    <w:rsid w:val="0D1D5845"/>
    <w:rsid w:val="0D347B34"/>
    <w:rsid w:val="0D740AB4"/>
    <w:rsid w:val="0D847672"/>
    <w:rsid w:val="0D894C89"/>
    <w:rsid w:val="0DD30BCF"/>
    <w:rsid w:val="0DEB14A0"/>
    <w:rsid w:val="0E39045D"/>
    <w:rsid w:val="0E4453E9"/>
    <w:rsid w:val="0E697416"/>
    <w:rsid w:val="0E745939"/>
    <w:rsid w:val="0E811E04"/>
    <w:rsid w:val="0E8A65F3"/>
    <w:rsid w:val="0E990EFC"/>
    <w:rsid w:val="0EB61AAE"/>
    <w:rsid w:val="0EBD52BD"/>
    <w:rsid w:val="0ED168E7"/>
    <w:rsid w:val="0ED463D8"/>
    <w:rsid w:val="0EDE1004"/>
    <w:rsid w:val="0F46124C"/>
    <w:rsid w:val="0F5B2655"/>
    <w:rsid w:val="0F621390"/>
    <w:rsid w:val="0F6A2898"/>
    <w:rsid w:val="0FD22917"/>
    <w:rsid w:val="0FFC7994"/>
    <w:rsid w:val="0FFF2388"/>
    <w:rsid w:val="10280789"/>
    <w:rsid w:val="103A226A"/>
    <w:rsid w:val="106C2D6C"/>
    <w:rsid w:val="10EE19D3"/>
    <w:rsid w:val="1106435B"/>
    <w:rsid w:val="113B273E"/>
    <w:rsid w:val="119A56B6"/>
    <w:rsid w:val="11B5604C"/>
    <w:rsid w:val="11F272A1"/>
    <w:rsid w:val="12176D07"/>
    <w:rsid w:val="122318BF"/>
    <w:rsid w:val="1228607D"/>
    <w:rsid w:val="12386C7D"/>
    <w:rsid w:val="12614426"/>
    <w:rsid w:val="12895E65"/>
    <w:rsid w:val="130D010A"/>
    <w:rsid w:val="13272F7A"/>
    <w:rsid w:val="132D4308"/>
    <w:rsid w:val="13A04ADA"/>
    <w:rsid w:val="13AB626E"/>
    <w:rsid w:val="13BC4EB9"/>
    <w:rsid w:val="13CC58CF"/>
    <w:rsid w:val="13F56435"/>
    <w:rsid w:val="14327E28"/>
    <w:rsid w:val="14916041"/>
    <w:rsid w:val="14A979BF"/>
    <w:rsid w:val="14C842E9"/>
    <w:rsid w:val="14E8498B"/>
    <w:rsid w:val="14FB7C3C"/>
    <w:rsid w:val="152D05F0"/>
    <w:rsid w:val="15437E13"/>
    <w:rsid w:val="15453B8B"/>
    <w:rsid w:val="15602773"/>
    <w:rsid w:val="156E6E68"/>
    <w:rsid w:val="15A5233F"/>
    <w:rsid w:val="16175528"/>
    <w:rsid w:val="161B48EC"/>
    <w:rsid w:val="161B669A"/>
    <w:rsid w:val="1651030E"/>
    <w:rsid w:val="16557DFE"/>
    <w:rsid w:val="16BF796D"/>
    <w:rsid w:val="16C86822"/>
    <w:rsid w:val="16CF5E02"/>
    <w:rsid w:val="16E11692"/>
    <w:rsid w:val="16EB2510"/>
    <w:rsid w:val="16FB652F"/>
    <w:rsid w:val="17035AAC"/>
    <w:rsid w:val="1735378C"/>
    <w:rsid w:val="173A1883"/>
    <w:rsid w:val="175B7696"/>
    <w:rsid w:val="17683B61"/>
    <w:rsid w:val="179D7CAF"/>
    <w:rsid w:val="17D96A93"/>
    <w:rsid w:val="17EC4792"/>
    <w:rsid w:val="17FA3BC2"/>
    <w:rsid w:val="18023FB5"/>
    <w:rsid w:val="18253800"/>
    <w:rsid w:val="18653FFC"/>
    <w:rsid w:val="18891FE1"/>
    <w:rsid w:val="18954E2A"/>
    <w:rsid w:val="18C9062F"/>
    <w:rsid w:val="18F002B2"/>
    <w:rsid w:val="19193365"/>
    <w:rsid w:val="192A75AB"/>
    <w:rsid w:val="19496EB2"/>
    <w:rsid w:val="195F2D42"/>
    <w:rsid w:val="197131A1"/>
    <w:rsid w:val="19760FDF"/>
    <w:rsid w:val="1977452F"/>
    <w:rsid w:val="19ED659F"/>
    <w:rsid w:val="19FC755C"/>
    <w:rsid w:val="1A1B135F"/>
    <w:rsid w:val="1A312930"/>
    <w:rsid w:val="1A3A7A37"/>
    <w:rsid w:val="1A3B730B"/>
    <w:rsid w:val="1A5D3725"/>
    <w:rsid w:val="1AB77A3B"/>
    <w:rsid w:val="1AF22BDD"/>
    <w:rsid w:val="1B214753"/>
    <w:rsid w:val="1B486183"/>
    <w:rsid w:val="1B754A9E"/>
    <w:rsid w:val="1B83540D"/>
    <w:rsid w:val="1C534DE0"/>
    <w:rsid w:val="1C563D3A"/>
    <w:rsid w:val="1C672639"/>
    <w:rsid w:val="1CA32868"/>
    <w:rsid w:val="1CAC629E"/>
    <w:rsid w:val="1CB34114"/>
    <w:rsid w:val="1CB810E7"/>
    <w:rsid w:val="1CBC0BD7"/>
    <w:rsid w:val="1D0B7468"/>
    <w:rsid w:val="1D1213C6"/>
    <w:rsid w:val="1D4B55B0"/>
    <w:rsid w:val="1D4B5AB7"/>
    <w:rsid w:val="1D6E79F7"/>
    <w:rsid w:val="1D7A555D"/>
    <w:rsid w:val="1D835251"/>
    <w:rsid w:val="1D862F93"/>
    <w:rsid w:val="1D9A259A"/>
    <w:rsid w:val="1DAA31C8"/>
    <w:rsid w:val="1DCF0496"/>
    <w:rsid w:val="1E01086B"/>
    <w:rsid w:val="1E5170FD"/>
    <w:rsid w:val="1E635082"/>
    <w:rsid w:val="1E873CC8"/>
    <w:rsid w:val="1ECC0E79"/>
    <w:rsid w:val="1EE04FE4"/>
    <w:rsid w:val="1EE77A61"/>
    <w:rsid w:val="1F0C1276"/>
    <w:rsid w:val="1F170346"/>
    <w:rsid w:val="1F262338"/>
    <w:rsid w:val="1F48202E"/>
    <w:rsid w:val="1F6F0182"/>
    <w:rsid w:val="1F9000F9"/>
    <w:rsid w:val="1F903C55"/>
    <w:rsid w:val="1FAD2A59"/>
    <w:rsid w:val="1FC85AE5"/>
    <w:rsid w:val="1FEF6BCD"/>
    <w:rsid w:val="200143C1"/>
    <w:rsid w:val="202C459A"/>
    <w:rsid w:val="20431205"/>
    <w:rsid w:val="204C2272"/>
    <w:rsid w:val="2076109D"/>
    <w:rsid w:val="208512E0"/>
    <w:rsid w:val="208714FC"/>
    <w:rsid w:val="209854B7"/>
    <w:rsid w:val="20B9542D"/>
    <w:rsid w:val="20DA0A66"/>
    <w:rsid w:val="21052421"/>
    <w:rsid w:val="2110133D"/>
    <w:rsid w:val="216E0E98"/>
    <w:rsid w:val="21780E44"/>
    <w:rsid w:val="21A8797C"/>
    <w:rsid w:val="21B856E5"/>
    <w:rsid w:val="22086397"/>
    <w:rsid w:val="22280ABD"/>
    <w:rsid w:val="224A6A13"/>
    <w:rsid w:val="22A5210D"/>
    <w:rsid w:val="22E70030"/>
    <w:rsid w:val="232A43C0"/>
    <w:rsid w:val="23487B3F"/>
    <w:rsid w:val="23623B5A"/>
    <w:rsid w:val="23696C97"/>
    <w:rsid w:val="23977CA8"/>
    <w:rsid w:val="23983A20"/>
    <w:rsid w:val="23B43E92"/>
    <w:rsid w:val="23CE74B6"/>
    <w:rsid w:val="23E34C9B"/>
    <w:rsid w:val="242552B4"/>
    <w:rsid w:val="24343749"/>
    <w:rsid w:val="2443398C"/>
    <w:rsid w:val="245259F0"/>
    <w:rsid w:val="246468A3"/>
    <w:rsid w:val="24704E96"/>
    <w:rsid w:val="24826886"/>
    <w:rsid w:val="24A47D7F"/>
    <w:rsid w:val="24CE594B"/>
    <w:rsid w:val="24DA29FA"/>
    <w:rsid w:val="24E21DF2"/>
    <w:rsid w:val="257D111F"/>
    <w:rsid w:val="258C1362"/>
    <w:rsid w:val="25A14E0E"/>
    <w:rsid w:val="25DE7AE8"/>
    <w:rsid w:val="25F56F08"/>
    <w:rsid w:val="25F969F8"/>
    <w:rsid w:val="260366D1"/>
    <w:rsid w:val="264A1001"/>
    <w:rsid w:val="26CF7759"/>
    <w:rsid w:val="26D905D7"/>
    <w:rsid w:val="27076EF2"/>
    <w:rsid w:val="27113621"/>
    <w:rsid w:val="272D6D87"/>
    <w:rsid w:val="27412FEF"/>
    <w:rsid w:val="27714173"/>
    <w:rsid w:val="27736336"/>
    <w:rsid w:val="277420AE"/>
    <w:rsid w:val="278422F1"/>
    <w:rsid w:val="278E13C2"/>
    <w:rsid w:val="27930786"/>
    <w:rsid w:val="27A97FAA"/>
    <w:rsid w:val="27B14A6F"/>
    <w:rsid w:val="27F82CDF"/>
    <w:rsid w:val="281573ED"/>
    <w:rsid w:val="2830793F"/>
    <w:rsid w:val="28765017"/>
    <w:rsid w:val="28885E11"/>
    <w:rsid w:val="288B76AF"/>
    <w:rsid w:val="289447B6"/>
    <w:rsid w:val="28A236DD"/>
    <w:rsid w:val="28C037FD"/>
    <w:rsid w:val="28C130D1"/>
    <w:rsid w:val="28CA467C"/>
    <w:rsid w:val="290556B4"/>
    <w:rsid w:val="292024ED"/>
    <w:rsid w:val="292518B2"/>
    <w:rsid w:val="29842A7C"/>
    <w:rsid w:val="299F1664"/>
    <w:rsid w:val="29D3130E"/>
    <w:rsid w:val="29D67050"/>
    <w:rsid w:val="29E96D83"/>
    <w:rsid w:val="29FC6AB7"/>
    <w:rsid w:val="2A0C2A72"/>
    <w:rsid w:val="2A1A0CEB"/>
    <w:rsid w:val="2A1D07DB"/>
    <w:rsid w:val="2A20564D"/>
    <w:rsid w:val="2A293624"/>
    <w:rsid w:val="2A3825E7"/>
    <w:rsid w:val="2A7F3244"/>
    <w:rsid w:val="2A8D3BB3"/>
    <w:rsid w:val="2ACD755C"/>
    <w:rsid w:val="2ADC2444"/>
    <w:rsid w:val="2B391645"/>
    <w:rsid w:val="2B620B9B"/>
    <w:rsid w:val="2B6B0976"/>
    <w:rsid w:val="2B6C37C8"/>
    <w:rsid w:val="2B7D59D5"/>
    <w:rsid w:val="2B8E1990"/>
    <w:rsid w:val="2B966A97"/>
    <w:rsid w:val="2C11436F"/>
    <w:rsid w:val="2C212965"/>
    <w:rsid w:val="2C6C77F8"/>
    <w:rsid w:val="2C6D5A4A"/>
    <w:rsid w:val="2C98683F"/>
    <w:rsid w:val="2C9A6113"/>
    <w:rsid w:val="2CB23E56"/>
    <w:rsid w:val="2CD23AFF"/>
    <w:rsid w:val="2CDE24A4"/>
    <w:rsid w:val="2CE009C5"/>
    <w:rsid w:val="2D450775"/>
    <w:rsid w:val="2D482013"/>
    <w:rsid w:val="2D60735C"/>
    <w:rsid w:val="2DA27975"/>
    <w:rsid w:val="2DC07DFB"/>
    <w:rsid w:val="2E2C594D"/>
    <w:rsid w:val="2E56250D"/>
    <w:rsid w:val="2E627104"/>
    <w:rsid w:val="2E842EEF"/>
    <w:rsid w:val="2EDC0C65"/>
    <w:rsid w:val="2EED69CE"/>
    <w:rsid w:val="2F1A178D"/>
    <w:rsid w:val="2F2D14C0"/>
    <w:rsid w:val="2F633134"/>
    <w:rsid w:val="2F713AA3"/>
    <w:rsid w:val="2F792957"/>
    <w:rsid w:val="2FFD5337"/>
    <w:rsid w:val="300F6E18"/>
    <w:rsid w:val="30352C8B"/>
    <w:rsid w:val="303D1803"/>
    <w:rsid w:val="30755759"/>
    <w:rsid w:val="30872912"/>
    <w:rsid w:val="30A567B5"/>
    <w:rsid w:val="30A56CD5"/>
    <w:rsid w:val="30A6777C"/>
    <w:rsid w:val="30E42053"/>
    <w:rsid w:val="310B75DF"/>
    <w:rsid w:val="31230DCD"/>
    <w:rsid w:val="313703D4"/>
    <w:rsid w:val="315471D8"/>
    <w:rsid w:val="315A18D4"/>
    <w:rsid w:val="316339BD"/>
    <w:rsid w:val="31884247"/>
    <w:rsid w:val="318850D4"/>
    <w:rsid w:val="32146F7F"/>
    <w:rsid w:val="324A4137"/>
    <w:rsid w:val="32627F77"/>
    <w:rsid w:val="326314AF"/>
    <w:rsid w:val="32F26CA9"/>
    <w:rsid w:val="32F347CF"/>
    <w:rsid w:val="332E3A59"/>
    <w:rsid w:val="333077D1"/>
    <w:rsid w:val="33D60378"/>
    <w:rsid w:val="343E1A7A"/>
    <w:rsid w:val="345B087E"/>
    <w:rsid w:val="346A0AC1"/>
    <w:rsid w:val="34781430"/>
    <w:rsid w:val="34795EDB"/>
    <w:rsid w:val="34CC0915"/>
    <w:rsid w:val="34DF500B"/>
    <w:rsid w:val="34E40E71"/>
    <w:rsid w:val="352C6210"/>
    <w:rsid w:val="35352E7D"/>
    <w:rsid w:val="35521D79"/>
    <w:rsid w:val="35676515"/>
    <w:rsid w:val="35843E04"/>
    <w:rsid w:val="359849D9"/>
    <w:rsid w:val="35C37D33"/>
    <w:rsid w:val="35EF5721"/>
    <w:rsid w:val="35F76384"/>
    <w:rsid w:val="35FA5E74"/>
    <w:rsid w:val="35FE7713"/>
    <w:rsid w:val="36176A26"/>
    <w:rsid w:val="36203B2D"/>
    <w:rsid w:val="363B44C3"/>
    <w:rsid w:val="365D1BFD"/>
    <w:rsid w:val="36681030"/>
    <w:rsid w:val="368F480F"/>
    <w:rsid w:val="36C50230"/>
    <w:rsid w:val="36EF34FF"/>
    <w:rsid w:val="373D070E"/>
    <w:rsid w:val="37CB0305"/>
    <w:rsid w:val="37E82428"/>
    <w:rsid w:val="38174ABC"/>
    <w:rsid w:val="38BE13DB"/>
    <w:rsid w:val="38C91A9F"/>
    <w:rsid w:val="39194863"/>
    <w:rsid w:val="391E1E7A"/>
    <w:rsid w:val="39273424"/>
    <w:rsid w:val="39570DCA"/>
    <w:rsid w:val="39CE564E"/>
    <w:rsid w:val="39EC3D26"/>
    <w:rsid w:val="39FE23D7"/>
    <w:rsid w:val="3A6F6E31"/>
    <w:rsid w:val="3A8B353F"/>
    <w:rsid w:val="3A946897"/>
    <w:rsid w:val="3AA572CA"/>
    <w:rsid w:val="3ABE56C2"/>
    <w:rsid w:val="3AD9074E"/>
    <w:rsid w:val="3AED5FA8"/>
    <w:rsid w:val="3AF13CEA"/>
    <w:rsid w:val="3AF87369"/>
    <w:rsid w:val="3AFE01B5"/>
    <w:rsid w:val="3B6E533A"/>
    <w:rsid w:val="3BE455FD"/>
    <w:rsid w:val="3C410359"/>
    <w:rsid w:val="3C4669A2"/>
    <w:rsid w:val="3C4B742A"/>
    <w:rsid w:val="3C88242C"/>
    <w:rsid w:val="3CAB7EC8"/>
    <w:rsid w:val="3CAD59EE"/>
    <w:rsid w:val="3CD918D9"/>
    <w:rsid w:val="3CEB6517"/>
    <w:rsid w:val="3D0F0457"/>
    <w:rsid w:val="3D163594"/>
    <w:rsid w:val="3D1E68EC"/>
    <w:rsid w:val="3D3B749E"/>
    <w:rsid w:val="3D5347E8"/>
    <w:rsid w:val="3D7031B1"/>
    <w:rsid w:val="3D931088"/>
    <w:rsid w:val="3DAB5B08"/>
    <w:rsid w:val="3DBF59D9"/>
    <w:rsid w:val="3DC92CFC"/>
    <w:rsid w:val="3DCB0822"/>
    <w:rsid w:val="3DF24001"/>
    <w:rsid w:val="3DFD29A6"/>
    <w:rsid w:val="3E772758"/>
    <w:rsid w:val="3E906080"/>
    <w:rsid w:val="3E907376"/>
    <w:rsid w:val="3EAB2402"/>
    <w:rsid w:val="3EB23790"/>
    <w:rsid w:val="3F115250"/>
    <w:rsid w:val="3F3329AD"/>
    <w:rsid w:val="3F4E2E03"/>
    <w:rsid w:val="3F516B05"/>
    <w:rsid w:val="3F73047A"/>
    <w:rsid w:val="3F7D78FA"/>
    <w:rsid w:val="400C0FB7"/>
    <w:rsid w:val="40267F92"/>
    <w:rsid w:val="40483833"/>
    <w:rsid w:val="404E1296"/>
    <w:rsid w:val="407C5E04"/>
    <w:rsid w:val="40907B01"/>
    <w:rsid w:val="40A75A1F"/>
    <w:rsid w:val="40AF61D9"/>
    <w:rsid w:val="40B21825"/>
    <w:rsid w:val="40BA4B7E"/>
    <w:rsid w:val="40F05F95"/>
    <w:rsid w:val="411424E0"/>
    <w:rsid w:val="411E510D"/>
    <w:rsid w:val="41314E40"/>
    <w:rsid w:val="41540B2E"/>
    <w:rsid w:val="417953B1"/>
    <w:rsid w:val="419E624E"/>
    <w:rsid w:val="41A03D74"/>
    <w:rsid w:val="41A90E7A"/>
    <w:rsid w:val="41C757A4"/>
    <w:rsid w:val="41C95079"/>
    <w:rsid w:val="41E225DE"/>
    <w:rsid w:val="41F32F91"/>
    <w:rsid w:val="422D1840"/>
    <w:rsid w:val="4249440B"/>
    <w:rsid w:val="42A33B1C"/>
    <w:rsid w:val="42B850ED"/>
    <w:rsid w:val="42CF079F"/>
    <w:rsid w:val="42DA1507"/>
    <w:rsid w:val="42F223AD"/>
    <w:rsid w:val="432033BE"/>
    <w:rsid w:val="432E715D"/>
    <w:rsid w:val="438D20D6"/>
    <w:rsid w:val="43B6162D"/>
    <w:rsid w:val="43B81849"/>
    <w:rsid w:val="43D85A47"/>
    <w:rsid w:val="43DE0B83"/>
    <w:rsid w:val="43F81C45"/>
    <w:rsid w:val="43FA3C0F"/>
    <w:rsid w:val="44213794"/>
    <w:rsid w:val="44A122DD"/>
    <w:rsid w:val="44B87626"/>
    <w:rsid w:val="44DF4BB3"/>
    <w:rsid w:val="453A50DB"/>
    <w:rsid w:val="457D7DF7"/>
    <w:rsid w:val="459C0CF6"/>
    <w:rsid w:val="45AB2CE7"/>
    <w:rsid w:val="45CF69D6"/>
    <w:rsid w:val="45D109A0"/>
    <w:rsid w:val="45F813BF"/>
    <w:rsid w:val="4601007B"/>
    <w:rsid w:val="461042B8"/>
    <w:rsid w:val="46205483"/>
    <w:rsid w:val="46207231"/>
    <w:rsid w:val="466A4950"/>
    <w:rsid w:val="467A2C19"/>
    <w:rsid w:val="468C48C7"/>
    <w:rsid w:val="46C0525D"/>
    <w:rsid w:val="46D22C21"/>
    <w:rsid w:val="46DC3AA0"/>
    <w:rsid w:val="47032343"/>
    <w:rsid w:val="470E1780"/>
    <w:rsid w:val="471640E6"/>
    <w:rsid w:val="4723347D"/>
    <w:rsid w:val="472917AE"/>
    <w:rsid w:val="47685334"/>
    <w:rsid w:val="47727F60"/>
    <w:rsid w:val="477B5067"/>
    <w:rsid w:val="4799373F"/>
    <w:rsid w:val="47B05A7D"/>
    <w:rsid w:val="47BC567F"/>
    <w:rsid w:val="47C56DB1"/>
    <w:rsid w:val="47CC6920"/>
    <w:rsid w:val="47D017F8"/>
    <w:rsid w:val="47D91D8D"/>
    <w:rsid w:val="4819662E"/>
    <w:rsid w:val="485578E8"/>
    <w:rsid w:val="489D2DBB"/>
    <w:rsid w:val="48AE321A"/>
    <w:rsid w:val="48E11FE9"/>
    <w:rsid w:val="48E72288"/>
    <w:rsid w:val="48FC3F85"/>
    <w:rsid w:val="4924528A"/>
    <w:rsid w:val="49311755"/>
    <w:rsid w:val="49325BF9"/>
    <w:rsid w:val="493C25D4"/>
    <w:rsid w:val="49720E2B"/>
    <w:rsid w:val="497F6965"/>
    <w:rsid w:val="4981448B"/>
    <w:rsid w:val="498B355B"/>
    <w:rsid w:val="499F2B63"/>
    <w:rsid w:val="49A32653"/>
    <w:rsid w:val="49A62143"/>
    <w:rsid w:val="49D61BFB"/>
    <w:rsid w:val="49E8450A"/>
    <w:rsid w:val="49EA73FB"/>
    <w:rsid w:val="49EB5DA8"/>
    <w:rsid w:val="4A1F6149"/>
    <w:rsid w:val="4A276C67"/>
    <w:rsid w:val="4A2C089A"/>
    <w:rsid w:val="4A2F6DBE"/>
    <w:rsid w:val="4A6F0787"/>
    <w:rsid w:val="4A7171D7"/>
    <w:rsid w:val="4A8948AD"/>
    <w:rsid w:val="4ACC7FB9"/>
    <w:rsid w:val="4AD11442"/>
    <w:rsid w:val="4ADC060D"/>
    <w:rsid w:val="4AFA2747"/>
    <w:rsid w:val="4B02784D"/>
    <w:rsid w:val="4B133808"/>
    <w:rsid w:val="4B1D6435"/>
    <w:rsid w:val="4B213A74"/>
    <w:rsid w:val="4B38501D"/>
    <w:rsid w:val="4B5248D3"/>
    <w:rsid w:val="4B5D4A84"/>
    <w:rsid w:val="4B6D2FDD"/>
    <w:rsid w:val="4B83273C"/>
    <w:rsid w:val="4BB5666E"/>
    <w:rsid w:val="4BE551A5"/>
    <w:rsid w:val="4BE807F1"/>
    <w:rsid w:val="4C3E48B5"/>
    <w:rsid w:val="4C5916EF"/>
    <w:rsid w:val="4C87000A"/>
    <w:rsid w:val="4C8A18A8"/>
    <w:rsid w:val="4C8A7AFA"/>
    <w:rsid w:val="4CC50B32"/>
    <w:rsid w:val="4CD64AED"/>
    <w:rsid w:val="4D111FCA"/>
    <w:rsid w:val="4D194D02"/>
    <w:rsid w:val="4D2E66D8"/>
    <w:rsid w:val="4D31441A"/>
    <w:rsid w:val="4D3F08E5"/>
    <w:rsid w:val="4DAB7D28"/>
    <w:rsid w:val="4DAE15C6"/>
    <w:rsid w:val="4DC40DEA"/>
    <w:rsid w:val="4DC42B98"/>
    <w:rsid w:val="4E127DA7"/>
    <w:rsid w:val="4EA56E6D"/>
    <w:rsid w:val="4EB96475"/>
    <w:rsid w:val="4EC07803"/>
    <w:rsid w:val="4EF93C57"/>
    <w:rsid w:val="4F244236"/>
    <w:rsid w:val="4F29184C"/>
    <w:rsid w:val="4F427FF9"/>
    <w:rsid w:val="4F6665FD"/>
    <w:rsid w:val="4F6B3C13"/>
    <w:rsid w:val="4F7A1943"/>
    <w:rsid w:val="4F87250A"/>
    <w:rsid w:val="4FDA66A3"/>
    <w:rsid w:val="502913D8"/>
    <w:rsid w:val="502D2C76"/>
    <w:rsid w:val="503C55AF"/>
    <w:rsid w:val="506D5769"/>
    <w:rsid w:val="50770396"/>
    <w:rsid w:val="508B3E41"/>
    <w:rsid w:val="50AF3E9A"/>
    <w:rsid w:val="50B52C6C"/>
    <w:rsid w:val="50C17863"/>
    <w:rsid w:val="50C7131D"/>
    <w:rsid w:val="50E27F05"/>
    <w:rsid w:val="512A365A"/>
    <w:rsid w:val="512E1ED0"/>
    <w:rsid w:val="51422751"/>
    <w:rsid w:val="515406D7"/>
    <w:rsid w:val="516E1AD1"/>
    <w:rsid w:val="51730B5D"/>
    <w:rsid w:val="51C21AE4"/>
    <w:rsid w:val="51FE4CB8"/>
    <w:rsid w:val="52075749"/>
    <w:rsid w:val="52102850"/>
    <w:rsid w:val="522105B9"/>
    <w:rsid w:val="5222397F"/>
    <w:rsid w:val="522D3402"/>
    <w:rsid w:val="52B70F1D"/>
    <w:rsid w:val="52E141EC"/>
    <w:rsid w:val="52E85F59"/>
    <w:rsid w:val="52FB705C"/>
    <w:rsid w:val="533D58C6"/>
    <w:rsid w:val="536B032F"/>
    <w:rsid w:val="53A5521A"/>
    <w:rsid w:val="53B86CFB"/>
    <w:rsid w:val="53C03E02"/>
    <w:rsid w:val="53C75190"/>
    <w:rsid w:val="53D1600F"/>
    <w:rsid w:val="53F651CA"/>
    <w:rsid w:val="54177EC5"/>
    <w:rsid w:val="54273E81"/>
    <w:rsid w:val="546B6463"/>
    <w:rsid w:val="548117E3"/>
    <w:rsid w:val="549D3414"/>
    <w:rsid w:val="54A9774A"/>
    <w:rsid w:val="54B020C8"/>
    <w:rsid w:val="54C7728E"/>
    <w:rsid w:val="54DF6509"/>
    <w:rsid w:val="55083CB2"/>
    <w:rsid w:val="55662458"/>
    <w:rsid w:val="55733821"/>
    <w:rsid w:val="5577375E"/>
    <w:rsid w:val="55831AAB"/>
    <w:rsid w:val="55C620ED"/>
    <w:rsid w:val="55C776C9"/>
    <w:rsid w:val="55DC0560"/>
    <w:rsid w:val="55E22755"/>
    <w:rsid w:val="55FC1772"/>
    <w:rsid w:val="560C1580"/>
    <w:rsid w:val="560C332E"/>
    <w:rsid w:val="56286892"/>
    <w:rsid w:val="562A2635"/>
    <w:rsid w:val="56462CE4"/>
    <w:rsid w:val="565D002E"/>
    <w:rsid w:val="56A8574D"/>
    <w:rsid w:val="56E62EF3"/>
    <w:rsid w:val="56ED13B1"/>
    <w:rsid w:val="570606C5"/>
    <w:rsid w:val="570D3802"/>
    <w:rsid w:val="573963A5"/>
    <w:rsid w:val="574A05B2"/>
    <w:rsid w:val="57783371"/>
    <w:rsid w:val="578775DB"/>
    <w:rsid w:val="57A852D8"/>
    <w:rsid w:val="57AC2A2F"/>
    <w:rsid w:val="57BB325E"/>
    <w:rsid w:val="57FA3D86"/>
    <w:rsid w:val="5805272B"/>
    <w:rsid w:val="580D1F08"/>
    <w:rsid w:val="583D1EC5"/>
    <w:rsid w:val="5851771E"/>
    <w:rsid w:val="585B62F1"/>
    <w:rsid w:val="586B6A4E"/>
    <w:rsid w:val="587440B4"/>
    <w:rsid w:val="58931AE5"/>
    <w:rsid w:val="589870FB"/>
    <w:rsid w:val="58B8154B"/>
    <w:rsid w:val="58C46142"/>
    <w:rsid w:val="58FC1D80"/>
    <w:rsid w:val="5900361E"/>
    <w:rsid w:val="59262959"/>
    <w:rsid w:val="593908DE"/>
    <w:rsid w:val="59C86619"/>
    <w:rsid w:val="59F3191A"/>
    <w:rsid w:val="5A1D1FAE"/>
    <w:rsid w:val="5A3A2B60"/>
    <w:rsid w:val="5A81253D"/>
    <w:rsid w:val="5AC92D10"/>
    <w:rsid w:val="5AED1980"/>
    <w:rsid w:val="5B101B12"/>
    <w:rsid w:val="5B3255E5"/>
    <w:rsid w:val="5B3524F6"/>
    <w:rsid w:val="5B991686"/>
    <w:rsid w:val="5BA069F2"/>
    <w:rsid w:val="5BB57FE9"/>
    <w:rsid w:val="5BC30933"/>
    <w:rsid w:val="5BCC5A39"/>
    <w:rsid w:val="5BE72873"/>
    <w:rsid w:val="5BE96A18"/>
    <w:rsid w:val="5C08212B"/>
    <w:rsid w:val="5C2A09B2"/>
    <w:rsid w:val="5C2C0286"/>
    <w:rsid w:val="5C55719A"/>
    <w:rsid w:val="5C5B500F"/>
    <w:rsid w:val="5C7165E1"/>
    <w:rsid w:val="5C787D93"/>
    <w:rsid w:val="5C9D2F32"/>
    <w:rsid w:val="5CCB5CF1"/>
    <w:rsid w:val="5CD94E88"/>
    <w:rsid w:val="5CF50FC0"/>
    <w:rsid w:val="5D320DA7"/>
    <w:rsid w:val="5D431D2B"/>
    <w:rsid w:val="5D4D4958"/>
    <w:rsid w:val="5D6132D5"/>
    <w:rsid w:val="5D8F6D1E"/>
    <w:rsid w:val="5DA86032"/>
    <w:rsid w:val="5DAA368E"/>
    <w:rsid w:val="5DBA4E8D"/>
    <w:rsid w:val="5DD961EC"/>
    <w:rsid w:val="5DDB01B6"/>
    <w:rsid w:val="5DDB6408"/>
    <w:rsid w:val="5DE828D3"/>
    <w:rsid w:val="5DF44A63"/>
    <w:rsid w:val="5E122D21"/>
    <w:rsid w:val="5E175C01"/>
    <w:rsid w:val="5E225A8B"/>
    <w:rsid w:val="5E371164"/>
    <w:rsid w:val="5E522294"/>
    <w:rsid w:val="5E6006BB"/>
    <w:rsid w:val="5EA762EA"/>
    <w:rsid w:val="5EB50A07"/>
    <w:rsid w:val="5EBE53E1"/>
    <w:rsid w:val="5ED864A3"/>
    <w:rsid w:val="5EE70DDC"/>
    <w:rsid w:val="5EFE5A3A"/>
    <w:rsid w:val="5F025C16"/>
    <w:rsid w:val="5F103E8F"/>
    <w:rsid w:val="5F143660"/>
    <w:rsid w:val="5F225447"/>
    <w:rsid w:val="5F3D75FF"/>
    <w:rsid w:val="5F590905"/>
    <w:rsid w:val="5F950838"/>
    <w:rsid w:val="5FA97E40"/>
    <w:rsid w:val="5FAF36A8"/>
    <w:rsid w:val="5FB009D6"/>
    <w:rsid w:val="5FDA1659"/>
    <w:rsid w:val="5FEA2932"/>
    <w:rsid w:val="6017124D"/>
    <w:rsid w:val="602D281F"/>
    <w:rsid w:val="605D1356"/>
    <w:rsid w:val="605E11F7"/>
    <w:rsid w:val="605E6E7C"/>
    <w:rsid w:val="612400C6"/>
    <w:rsid w:val="615838CB"/>
    <w:rsid w:val="615D0EE2"/>
    <w:rsid w:val="6166423A"/>
    <w:rsid w:val="619C1438"/>
    <w:rsid w:val="61C55405"/>
    <w:rsid w:val="61DC62AA"/>
    <w:rsid w:val="61DE0274"/>
    <w:rsid w:val="61DF3FED"/>
    <w:rsid w:val="61EB2991"/>
    <w:rsid w:val="624A590A"/>
    <w:rsid w:val="62A3501A"/>
    <w:rsid w:val="62A80882"/>
    <w:rsid w:val="62AC3ECF"/>
    <w:rsid w:val="62B92A90"/>
    <w:rsid w:val="62C3746A"/>
    <w:rsid w:val="62CF5E0F"/>
    <w:rsid w:val="631A52DC"/>
    <w:rsid w:val="633B5253"/>
    <w:rsid w:val="635653E7"/>
    <w:rsid w:val="63696264"/>
    <w:rsid w:val="638135AD"/>
    <w:rsid w:val="638275AF"/>
    <w:rsid w:val="639826A5"/>
    <w:rsid w:val="639F3A33"/>
    <w:rsid w:val="63F0603D"/>
    <w:rsid w:val="64032214"/>
    <w:rsid w:val="6410048D"/>
    <w:rsid w:val="641C32D6"/>
    <w:rsid w:val="647E7AED"/>
    <w:rsid w:val="6487494E"/>
    <w:rsid w:val="648D1ADE"/>
    <w:rsid w:val="64AD3F2E"/>
    <w:rsid w:val="64CE2822"/>
    <w:rsid w:val="64E60CB4"/>
    <w:rsid w:val="64F14763"/>
    <w:rsid w:val="652C12F7"/>
    <w:rsid w:val="65660CAD"/>
    <w:rsid w:val="656960A7"/>
    <w:rsid w:val="659140E2"/>
    <w:rsid w:val="65A73073"/>
    <w:rsid w:val="65A8146E"/>
    <w:rsid w:val="65BA4B55"/>
    <w:rsid w:val="663012BB"/>
    <w:rsid w:val="666B22F3"/>
    <w:rsid w:val="668F1B3D"/>
    <w:rsid w:val="668F7D8F"/>
    <w:rsid w:val="669B4986"/>
    <w:rsid w:val="66A51361"/>
    <w:rsid w:val="66B43C9A"/>
    <w:rsid w:val="66B5531C"/>
    <w:rsid w:val="66BD28D1"/>
    <w:rsid w:val="66C979B7"/>
    <w:rsid w:val="66CD2666"/>
    <w:rsid w:val="66FD3A84"/>
    <w:rsid w:val="67006EDF"/>
    <w:rsid w:val="678C42CF"/>
    <w:rsid w:val="67C73559"/>
    <w:rsid w:val="67C95E4B"/>
    <w:rsid w:val="67CE2B39"/>
    <w:rsid w:val="67F1102B"/>
    <w:rsid w:val="680F19A3"/>
    <w:rsid w:val="68232E85"/>
    <w:rsid w:val="68391610"/>
    <w:rsid w:val="685749E6"/>
    <w:rsid w:val="688349F7"/>
    <w:rsid w:val="688558EE"/>
    <w:rsid w:val="68863217"/>
    <w:rsid w:val="688D6550"/>
    <w:rsid w:val="68B95597"/>
    <w:rsid w:val="68D93E6E"/>
    <w:rsid w:val="68E13C59"/>
    <w:rsid w:val="68E5638C"/>
    <w:rsid w:val="68E60C58"/>
    <w:rsid w:val="68EB3277"/>
    <w:rsid w:val="68F760C0"/>
    <w:rsid w:val="68FC7232"/>
    <w:rsid w:val="69605A13"/>
    <w:rsid w:val="69652A6D"/>
    <w:rsid w:val="698931BC"/>
    <w:rsid w:val="69985850"/>
    <w:rsid w:val="699F150E"/>
    <w:rsid w:val="69C441F4"/>
    <w:rsid w:val="69EE1271"/>
    <w:rsid w:val="69F0437C"/>
    <w:rsid w:val="6A0665BA"/>
    <w:rsid w:val="6A1B7B8C"/>
    <w:rsid w:val="6A4964A7"/>
    <w:rsid w:val="6A527A52"/>
    <w:rsid w:val="6A635FA8"/>
    <w:rsid w:val="6A641533"/>
    <w:rsid w:val="6A8E65B0"/>
    <w:rsid w:val="6A9040D6"/>
    <w:rsid w:val="6AA31216"/>
    <w:rsid w:val="6AA858C3"/>
    <w:rsid w:val="6B105217"/>
    <w:rsid w:val="6B2018FE"/>
    <w:rsid w:val="6B4D219F"/>
    <w:rsid w:val="6B4F1FC6"/>
    <w:rsid w:val="6BF7202F"/>
    <w:rsid w:val="6C07486C"/>
    <w:rsid w:val="6C7E123B"/>
    <w:rsid w:val="6CB93DB8"/>
    <w:rsid w:val="6CBA0D48"/>
    <w:rsid w:val="6CBE065A"/>
    <w:rsid w:val="6CCD1611"/>
    <w:rsid w:val="6D45564C"/>
    <w:rsid w:val="6D6261FE"/>
    <w:rsid w:val="6D747CDF"/>
    <w:rsid w:val="6D77332B"/>
    <w:rsid w:val="6D7E0B5E"/>
    <w:rsid w:val="6DA265FA"/>
    <w:rsid w:val="6DE85FD7"/>
    <w:rsid w:val="6DFC5FDF"/>
    <w:rsid w:val="6E24188C"/>
    <w:rsid w:val="6E245261"/>
    <w:rsid w:val="6E2E7E8E"/>
    <w:rsid w:val="6EB9158C"/>
    <w:rsid w:val="6EF456A2"/>
    <w:rsid w:val="6F674D4A"/>
    <w:rsid w:val="6F7D2720"/>
    <w:rsid w:val="6FAB550E"/>
    <w:rsid w:val="6FC26795"/>
    <w:rsid w:val="703E6382"/>
    <w:rsid w:val="705F4C76"/>
    <w:rsid w:val="70E62CA2"/>
    <w:rsid w:val="71256075"/>
    <w:rsid w:val="712B2DAA"/>
    <w:rsid w:val="716A5681"/>
    <w:rsid w:val="71752277"/>
    <w:rsid w:val="717715C3"/>
    <w:rsid w:val="71BB5EDC"/>
    <w:rsid w:val="71F4319C"/>
    <w:rsid w:val="722C2936"/>
    <w:rsid w:val="72676064"/>
    <w:rsid w:val="727B566C"/>
    <w:rsid w:val="728269FA"/>
    <w:rsid w:val="72942D6F"/>
    <w:rsid w:val="72A42EE3"/>
    <w:rsid w:val="72D57472"/>
    <w:rsid w:val="72EB459F"/>
    <w:rsid w:val="72EE5E3E"/>
    <w:rsid w:val="730D09BA"/>
    <w:rsid w:val="732648F9"/>
    <w:rsid w:val="73357F10"/>
    <w:rsid w:val="733A1083"/>
    <w:rsid w:val="73577E87"/>
    <w:rsid w:val="73836F1E"/>
    <w:rsid w:val="73F2195D"/>
    <w:rsid w:val="74503497"/>
    <w:rsid w:val="745F5C2E"/>
    <w:rsid w:val="749E3893"/>
    <w:rsid w:val="74A94712"/>
    <w:rsid w:val="74FF7233"/>
    <w:rsid w:val="75395FD2"/>
    <w:rsid w:val="75630090"/>
    <w:rsid w:val="7581506D"/>
    <w:rsid w:val="758D5DE2"/>
    <w:rsid w:val="75907680"/>
    <w:rsid w:val="75AD1FE0"/>
    <w:rsid w:val="75FE283B"/>
    <w:rsid w:val="76206C56"/>
    <w:rsid w:val="765D1F94"/>
    <w:rsid w:val="76674885"/>
    <w:rsid w:val="769D3E02"/>
    <w:rsid w:val="76A038F3"/>
    <w:rsid w:val="76FB321F"/>
    <w:rsid w:val="773329B9"/>
    <w:rsid w:val="773A3D47"/>
    <w:rsid w:val="778D031B"/>
    <w:rsid w:val="77976AA4"/>
    <w:rsid w:val="77BB72D9"/>
    <w:rsid w:val="77C74EAF"/>
    <w:rsid w:val="77F02658"/>
    <w:rsid w:val="77F2077D"/>
    <w:rsid w:val="78063C29"/>
    <w:rsid w:val="780802FA"/>
    <w:rsid w:val="78591FAB"/>
    <w:rsid w:val="788A6608"/>
    <w:rsid w:val="78EA6370"/>
    <w:rsid w:val="78EA7F04"/>
    <w:rsid w:val="794964C4"/>
    <w:rsid w:val="79532E9E"/>
    <w:rsid w:val="795B1D53"/>
    <w:rsid w:val="79D42231"/>
    <w:rsid w:val="79DA711C"/>
    <w:rsid w:val="79DF2984"/>
    <w:rsid w:val="7A37456E"/>
    <w:rsid w:val="7AAF39D3"/>
    <w:rsid w:val="7AB02D4B"/>
    <w:rsid w:val="7AB43E11"/>
    <w:rsid w:val="7AD16771"/>
    <w:rsid w:val="7AEC7106"/>
    <w:rsid w:val="7AF34939"/>
    <w:rsid w:val="7B2A7C2F"/>
    <w:rsid w:val="7B8B2DC3"/>
    <w:rsid w:val="7BB341FE"/>
    <w:rsid w:val="7BBC11CF"/>
    <w:rsid w:val="7BD65A86"/>
    <w:rsid w:val="7BDC53CD"/>
    <w:rsid w:val="7BE67977"/>
    <w:rsid w:val="7C444D20"/>
    <w:rsid w:val="7C605FFE"/>
    <w:rsid w:val="7CD76D10"/>
    <w:rsid w:val="7CF90201"/>
    <w:rsid w:val="7D020E63"/>
    <w:rsid w:val="7D2012E9"/>
    <w:rsid w:val="7D3357F3"/>
    <w:rsid w:val="7D3B3B39"/>
    <w:rsid w:val="7D605B8A"/>
    <w:rsid w:val="7D6278F2"/>
    <w:rsid w:val="7D7B5F04"/>
    <w:rsid w:val="7D9817C8"/>
    <w:rsid w:val="7DBB7264"/>
    <w:rsid w:val="7DC1266E"/>
    <w:rsid w:val="7E4B683A"/>
    <w:rsid w:val="7E531A2A"/>
    <w:rsid w:val="7E5F5E41"/>
    <w:rsid w:val="7E7E6015"/>
    <w:rsid w:val="7E812519"/>
    <w:rsid w:val="7EA321D2"/>
    <w:rsid w:val="7EDC3936"/>
    <w:rsid w:val="7F161053"/>
    <w:rsid w:val="7F1B0068"/>
    <w:rsid w:val="7F243BE2"/>
    <w:rsid w:val="7F4A5728"/>
    <w:rsid w:val="7F4B5923"/>
    <w:rsid w:val="7F5876EB"/>
    <w:rsid w:val="7FB64187"/>
    <w:rsid w:val="7FD14B1D"/>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iPriority="39"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qFormat="1" w:uiPriority="99"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1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4"/>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1"/>
    <w:next w:val="1"/>
    <w:qFormat/>
    <w:locked/>
    <w:uiPriority w:val="0"/>
    <w:pPr>
      <w:keepNext/>
      <w:keepLines/>
      <w:numPr>
        <w:ilvl w:val="1"/>
        <w:numId w:val="1"/>
      </w:numPr>
      <w:spacing w:before="260" w:after="260" w:line="415" w:lineRule="auto"/>
      <w:outlineLvl w:val="1"/>
    </w:pPr>
    <w:rPr>
      <w:rFonts w:ascii="Cambria" w:hAnsi="Cambria"/>
      <w:b/>
      <w:bCs/>
      <w:sz w:val="32"/>
      <w:szCs w:val="32"/>
    </w:rPr>
  </w:style>
  <w:style w:type="paragraph" w:styleId="4">
    <w:name w:val="heading 3"/>
    <w:basedOn w:val="1"/>
    <w:next w:val="1"/>
    <w:qFormat/>
    <w:locked/>
    <w:uiPriority w:val="0"/>
    <w:pPr>
      <w:keepNext/>
      <w:keepLines/>
      <w:numPr>
        <w:ilvl w:val="2"/>
        <w:numId w:val="1"/>
      </w:numPr>
      <w:spacing w:before="260" w:after="260"/>
      <w:outlineLvl w:val="2"/>
    </w:pPr>
    <w:rPr>
      <w:rFonts w:ascii="方正美黑简体" w:eastAsia="方正美黑简体"/>
      <w:bCs/>
      <w:sz w:val="28"/>
      <w:szCs w:val="32"/>
    </w:rPr>
  </w:style>
  <w:style w:type="paragraph" w:styleId="5">
    <w:name w:val="heading 4"/>
    <w:basedOn w:val="1"/>
    <w:next w:val="1"/>
    <w:semiHidden/>
    <w:unhideWhenUsed/>
    <w:qFormat/>
    <w:locked/>
    <w:uiPriority w:val="0"/>
    <w:pPr>
      <w:keepNext/>
      <w:keepLines/>
      <w:spacing w:before="280" w:after="290" w:line="372" w:lineRule="auto"/>
      <w:outlineLvl w:val="3"/>
    </w:pPr>
    <w:rPr>
      <w:rFonts w:ascii="Arial" w:hAnsi="Arial" w:eastAsia="黑体"/>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rPr>
      <w:rFonts w:ascii="Calibri" w:hAnsi="Calibri"/>
      <w:szCs w:val="22"/>
    </w:rPr>
  </w:style>
  <w:style w:type="paragraph" w:styleId="7">
    <w:name w:val="Normal Indent"/>
    <w:basedOn w:val="1"/>
    <w:next w:val="8"/>
    <w:qFormat/>
    <w:locked/>
    <w:uiPriority w:val="0"/>
    <w:pPr>
      <w:ind w:firstLine="200" w:firstLineChars="200"/>
    </w:pPr>
    <w:rPr>
      <w:rFonts w:ascii="宋体"/>
    </w:rPr>
  </w:style>
  <w:style w:type="paragraph" w:customStyle="1" w:styleId="8">
    <w:name w:val="样式 正文文本 + 首行缩进:  2 字符"/>
    <w:basedOn w:val="9"/>
    <w:next w:val="1"/>
    <w:qFormat/>
    <w:uiPriority w:val="0"/>
    <w:pPr>
      <w:spacing w:line="480" w:lineRule="exact"/>
      <w:ind w:firstLine="480"/>
    </w:pPr>
    <w:rPr>
      <w:rFonts w:ascii="宋体" w:cs="宋体"/>
      <w:sz w:val="24"/>
    </w:rPr>
  </w:style>
  <w:style w:type="paragraph" w:styleId="9">
    <w:name w:val="Body Text"/>
    <w:basedOn w:val="1"/>
    <w:next w:val="1"/>
    <w:link w:val="74"/>
    <w:qFormat/>
    <w:uiPriority w:val="0"/>
    <w:pPr>
      <w:widowControl/>
      <w:snapToGrid w:val="0"/>
      <w:spacing w:before="60" w:after="160" w:line="259" w:lineRule="auto"/>
      <w:ind w:right="113"/>
    </w:pPr>
    <w:rPr>
      <w:kern w:val="0"/>
      <w:sz w:val="18"/>
      <w:szCs w:val="20"/>
    </w:rPr>
  </w:style>
  <w:style w:type="paragraph" w:styleId="10">
    <w:name w:val="annotation text"/>
    <w:basedOn w:val="1"/>
    <w:qFormat/>
    <w:uiPriority w:val="0"/>
    <w:pPr>
      <w:jc w:val="left"/>
    </w:pPr>
    <w:rPr>
      <w:kern w:val="0"/>
      <w:szCs w:val="20"/>
    </w:rPr>
  </w:style>
  <w:style w:type="paragraph" w:styleId="11">
    <w:name w:val="Body Text Indent"/>
    <w:basedOn w:val="1"/>
    <w:next w:val="5"/>
    <w:link w:val="92"/>
    <w:qFormat/>
    <w:uiPriority w:val="0"/>
    <w:pPr>
      <w:spacing w:after="120"/>
      <w:ind w:left="200" w:leftChars="200"/>
    </w:pPr>
    <w:rPr>
      <w:kern w:val="0"/>
      <w:szCs w:val="20"/>
    </w:rPr>
  </w:style>
  <w:style w:type="paragraph" w:styleId="12">
    <w:name w:val="Plain Text"/>
    <w:basedOn w:val="1"/>
    <w:qFormat/>
    <w:locked/>
    <w:uiPriority w:val="0"/>
    <w:rPr>
      <w:rFonts w:ascii="宋体"/>
      <w:szCs w:val="22"/>
    </w:rPr>
  </w:style>
  <w:style w:type="paragraph" w:styleId="13">
    <w:name w:val="List Bullet 5"/>
    <w:basedOn w:val="1"/>
    <w:qFormat/>
    <w:locked/>
    <w:uiPriority w:val="0"/>
    <w:pPr>
      <w:numPr>
        <w:ilvl w:val="0"/>
        <w:numId w:val="2"/>
      </w:numPr>
    </w:pPr>
  </w:style>
  <w:style w:type="paragraph" w:styleId="14">
    <w:name w:val="Date"/>
    <w:basedOn w:val="1"/>
    <w:next w:val="1"/>
    <w:qFormat/>
    <w:uiPriority w:val="0"/>
    <w:pPr>
      <w:ind w:left="2500" w:leftChars="2500"/>
    </w:pPr>
    <w:rPr>
      <w:kern w:val="0"/>
      <w:szCs w:val="20"/>
    </w:rPr>
  </w:style>
  <w:style w:type="paragraph" w:styleId="15">
    <w:name w:val="Body Text Indent 2"/>
    <w:basedOn w:val="1"/>
    <w:qFormat/>
    <w:locked/>
    <w:uiPriority w:val="0"/>
    <w:pPr>
      <w:spacing w:after="120" w:line="480" w:lineRule="auto"/>
      <w:ind w:left="200" w:leftChars="200"/>
    </w:pPr>
  </w:style>
  <w:style w:type="paragraph" w:styleId="16">
    <w:name w:val="Balloon Text"/>
    <w:basedOn w:val="1"/>
    <w:qFormat/>
    <w:uiPriority w:val="0"/>
    <w:rPr>
      <w:kern w:val="0"/>
      <w:sz w:val="18"/>
      <w:szCs w:val="20"/>
    </w:rPr>
  </w:style>
  <w:style w:type="paragraph" w:styleId="17">
    <w:name w:val="footer"/>
    <w:basedOn w:val="1"/>
    <w:next w:val="1"/>
    <w:link w:val="76"/>
    <w:qFormat/>
    <w:uiPriority w:val="99"/>
    <w:pPr>
      <w:tabs>
        <w:tab w:val="center" w:pos="4153"/>
        <w:tab w:val="right" w:pos="8306"/>
      </w:tabs>
      <w:snapToGrid w:val="0"/>
      <w:jc w:val="left"/>
    </w:pPr>
    <w:rPr>
      <w:kern w:val="0"/>
      <w:sz w:val="18"/>
      <w:szCs w:val="20"/>
    </w:rPr>
  </w:style>
  <w:style w:type="paragraph" w:styleId="18">
    <w:name w:val="header"/>
    <w:basedOn w:val="1"/>
    <w:next w:val="1"/>
    <w:link w:val="81"/>
    <w:qFormat/>
    <w:uiPriority w:val="0"/>
    <w:pPr>
      <w:pBdr>
        <w:bottom w:val="single" w:color="auto" w:sz="6" w:space="1"/>
      </w:pBdr>
      <w:tabs>
        <w:tab w:val="center" w:pos="4153"/>
        <w:tab w:val="right" w:pos="8306"/>
      </w:tabs>
      <w:snapToGrid w:val="0"/>
      <w:jc w:val="center"/>
    </w:pPr>
    <w:rPr>
      <w:kern w:val="0"/>
      <w:sz w:val="18"/>
      <w:szCs w:val="20"/>
    </w:rPr>
  </w:style>
  <w:style w:type="paragraph" w:styleId="19">
    <w:name w:val="List"/>
    <w:basedOn w:val="1"/>
    <w:qFormat/>
    <w:locked/>
    <w:uiPriority w:val="0"/>
    <w:pPr>
      <w:ind w:left="200" w:hanging="200" w:hangingChars="200"/>
      <w:contextualSpacing/>
    </w:pPr>
  </w:style>
  <w:style w:type="paragraph" w:styleId="20">
    <w:name w:val="table of figures"/>
    <w:basedOn w:val="1"/>
    <w:next w:val="1"/>
    <w:unhideWhenUsed/>
    <w:qFormat/>
    <w:locked/>
    <w:uiPriority w:val="99"/>
    <w:pPr>
      <w:tabs>
        <w:tab w:val="left" w:pos="0"/>
      </w:tabs>
      <w:spacing w:beforeLines="50" w:line="400" w:lineRule="exact"/>
      <w:jc w:val="center"/>
    </w:pPr>
    <w:rPr>
      <w:b/>
      <w:bCs/>
    </w:rPr>
  </w:style>
  <w:style w:type="paragraph" w:styleId="21">
    <w:name w:val="Normal (Web)"/>
    <w:basedOn w:val="1"/>
    <w:qFormat/>
    <w:uiPriority w:val="99"/>
    <w:pPr>
      <w:widowControl/>
      <w:spacing w:before="100" w:beforeAutospacing="1" w:after="100" w:afterAutospacing="1"/>
      <w:jc w:val="left"/>
    </w:pPr>
    <w:rPr>
      <w:rFonts w:ascii="宋体"/>
      <w:kern w:val="0"/>
      <w:szCs w:val="20"/>
    </w:rPr>
  </w:style>
  <w:style w:type="paragraph" w:styleId="22">
    <w:name w:val="Title"/>
    <w:basedOn w:val="1"/>
    <w:next w:val="1"/>
    <w:link w:val="79"/>
    <w:qFormat/>
    <w:locked/>
    <w:uiPriority w:val="10"/>
    <w:pPr>
      <w:spacing w:before="50" w:beforeLines="50"/>
      <w:jc w:val="center"/>
      <w:textAlignment w:val="center"/>
    </w:pPr>
    <w:rPr>
      <w:rFonts w:cstheme="majorBidi"/>
      <w:b/>
      <w:bCs/>
      <w:szCs w:val="32"/>
    </w:rPr>
  </w:style>
  <w:style w:type="paragraph" w:styleId="23">
    <w:name w:val="annotation subject"/>
    <w:basedOn w:val="10"/>
    <w:next w:val="10"/>
    <w:qFormat/>
    <w:uiPriority w:val="0"/>
    <w:rPr>
      <w:b/>
    </w:rPr>
  </w:style>
  <w:style w:type="paragraph" w:styleId="24">
    <w:name w:val="Body Text First Indent"/>
    <w:basedOn w:val="9"/>
    <w:next w:val="1"/>
    <w:qFormat/>
    <w:locked/>
    <w:uiPriority w:val="0"/>
    <w:pPr>
      <w:adjustRightInd w:val="0"/>
      <w:spacing w:before="50" w:beforeLines="50" w:after="0" w:line="360" w:lineRule="auto"/>
      <w:ind w:firstLine="200" w:firstLineChars="200"/>
    </w:pPr>
    <w:rPr>
      <w:sz w:val="24"/>
    </w:rPr>
  </w:style>
  <w:style w:type="paragraph" w:styleId="25">
    <w:name w:val="Body Text First Indent 2"/>
    <w:basedOn w:val="11"/>
    <w:next w:val="1"/>
    <w:link w:val="93"/>
    <w:qFormat/>
    <w:locked/>
    <w:uiPriority w:val="0"/>
    <w:pPr>
      <w:ind w:firstLine="200" w:firstLineChars="200"/>
    </w:pPr>
    <w:rPr>
      <w:kern w:val="2"/>
      <w:sz w:val="21"/>
      <w:szCs w:val="24"/>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locked/>
    <w:uiPriority w:val="0"/>
    <w:rPr>
      <w:b/>
      <w:bCs/>
    </w:rPr>
  </w:style>
  <w:style w:type="character" w:styleId="30">
    <w:name w:val="page number"/>
    <w:qFormat/>
    <w:locked/>
    <w:uiPriority w:val="0"/>
  </w:style>
  <w:style w:type="character" w:styleId="31">
    <w:name w:val="FollowedHyperlink"/>
    <w:basedOn w:val="28"/>
    <w:qFormat/>
    <w:locked/>
    <w:uiPriority w:val="0"/>
    <w:rPr>
      <w:color w:val="954F72"/>
      <w:u w:val="single"/>
    </w:rPr>
  </w:style>
  <w:style w:type="character" w:styleId="32">
    <w:name w:val="Hyperlink"/>
    <w:basedOn w:val="28"/>
    <w:unhideWhenUsed/>
    <w:qFormat/>
    <w:locked/>
    <w:uiPriority w:val="99"/>
    <w:rPr>
      <w:color w:val="0000FF"/>
      <w:u w:val="single"/>
    </w:rPr>
  </w:style>
  <w:style w:type="character" w:styleId="33">
    <w:name w:val="annotation reference"/>
    <w:qFormat/>
    <w:uiPriority w:val="0"/>
    <w:rPr>
      <w:sz w:val="21"/>
    </w:rPr>
  </w:style>
  <w:style w:type="character" w:customStyle="1" w:styleId="34">
    <w:name w:val="标题 1 Char"/>
    <w:link w:val="3"/>
    <w:qFormat/>
    <w:uiPriority w:val="0"/>
    <w:rPr>
      <w:rFonts w:eastAsia="黑体"/>
      <w:b/>
      <w:bCs/>
      <w:color w:val="000000"/>
      <w:kern w:val="44"/>
      <w:sz w:val="30"/>
      <w:szCs w:val="30"/>
    </w:rPr>
  </w:style>
  <w:style w:type="paragraph" w:customStyle="1" w:styleId="35">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eastAsia="新宋体-18030" w:cs="新宋体-18030"/>
      <w:kern w:val="0"/>
    </w:rPr>
  </w:style>
  <w:style w:type="paragraph" w:customStyle="1" w:styleId="36">
    <w:name w:val="表格内"/>
    <w:basedOn w:val="1"/>
    <w:qFormat/>
    <w:uiPriority w:val="0"/>
    <w:pPr>
      <w:widowControl/>
      <w:adjustRightInd w:val="0"/>
      <w:snapToGrid w:val="0"/>
      <w:spacing w:after="200" w:line="360" w:lineRule="exact"/>
      <w:jc w:val="center"/>
    </w:pPr>
    <w:rPr>
      <w:rFonts w:eastAsia="微软雅黑"/>
      <w:snapToGrid w:val="0"/>
      <w:kern w:val="0"/>
      <w:sz w:val="22"/>
      <w:szCs w:val="21"/>
    </w:rPr>
  </w:style>
  <w:style w:type="paragraph" w:customStyle="1" w:styleId="37">
    <w:name w:val="Default"/>
    <w:basedOn w:val="38"/>
    <w:next w:val="39"/>
    <w:qFormat/>
    <w:uiPriority w:val="0"/>
    <w:pPr>
      <w:autoSpaceDE w:val="0"/>
      <w:autoSpaceDN w:val="0"/>
    </w:pPr>
    <w:rPr>
      <w:rFonts w:ascii="宋体" w:cs="宋体"/>
      <w:szCs w:val="24"/>
    </w:rPr>
  </w:style>
  <w:style w:type="paragraph" w:customStyle="1" w:styleId="38">
    <w:name w:val="1 表头"/>
    <w:basedOn w:val="1"/>
    <w:qFormat/>
    <w:uiPriority w:val="0"/>
    <w:pPr>
      <w:adjustRightInd w:val="0"/>
      <w:snapToGrid w:val="0"/>
      <w:jc w:val="center"/>
    </w:pPr>
    <w:rPr>
      <w:b/>
      <w:color w:val="000000"/>
      <w:sz w:val="21"/>
      <w:szCs w:val="21"/>
    </w:rPr>
  </w:style>
  <w:style w:type="paragraph" w:customStyle="1" w:styleId="39">
    <w:name w:val="表格"/>
    <w:basedOn w:val="1"/>
    <w:next w:val="1"/>
    <w:qFormat/>
    <w:uiPriority w:val="0"/>
    <w:pPr>
      <w:adjustRightInd w:val="0"/>
      <w:snapToGrid w:val="0"/>
      <w:spacing w:line="300" w:lineRule="auto"/>
      <w:jc w:val="center"/>
    </w:pPr>
    <w:rPr>
      <w:rFonts w:ascii="宋体" w:hAnsi="宋体" w:eastAsia="宋体"/>
      <w:kern w:val="0"/>
      <w:sz w:val="21"/>
      <w:szCs w:val="20"/>
    </w:rPr>
  </w:style>
  <w:style w:type="paragraph" w:customStyle="1" w:styleId="40">
    <w:name w:val="纯文本1"/>
    <w:basedOn w:val="1"/>
    <w:qFormat/>
    <w:uiPriority w:val="0"/>
    <w:pPr>
      <w:adjustRightInd w:val="0"/>
    </w:pPr>
    <w:rPr>
      <w:rFonts w:hAnsi="Courier New"/>
      <w:szCs w:val="20"/>
    </w:rPr>
  </w:style>
  <w:style w:type="paragraph" w:customStyle="1" w:styleId="4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正文"/>
    <w:basedOn w:val="1"/>
    <w:qFormat/>
    <w:uiPriority w:val="0"/>
    <w:pPr>
      <w:spacing w:line="480" w:lineRule="exact"/>
      <w:ind w:firstLine="200" w:firstLineChars="200"/>
    </w:pPr>
    <w:rPr>
      <w:rFonts w:cs="宋体"/>
      <w:szCs w:val="21"/>
    </w:rPr>
  </w:style>
  <w:style w:type="paragraph" w:customStyle="1" w:styleId="43">
    <w:name w:val="lh-正文-报告表"/>
    <w:basedOn w:val="1"/>
    <w:qFormat/>
    <w:uiPriority w:val="0"/>
    <w:pPr>
      <w:ind w:firstLine="200" w:firstLineChars="200"/>
    </w:pPr>
    <w:rPr>
      <w:kern w:val="0"/>
      <w:szCs w:val="21"/>
    </w:rPr>
  </w:style>
  <w:style w:type="paragraph" w:customStyle="1" w:styleId="44">
    <w:name w:val="正文首行缩进2个字"/>
    <w:basedOn w:val="1"/>
    <w:qFormat/>
    <w:uiPriority w:val="0"/>
    <w:pPr>
      <w:ind w:firstLine="200" w:firstLineChars="200"/>
    </w:pPr>
    <w:rPr>
      <w:szCs w:val="20"/>
    </w:rPr>
  </w:style>
  <w:style w:type="paragraph" w:customStyle="1" w:styleId="45">
    <w:name w:val="表格内格式"/>
    <w:basedOn w:val="1"/>
    <w:next w:val="1"/>
    <w:qFormat/>
    <w:uiPriority w:val="0"/>
    <w:pPr>
      <w:widowControl/>
      <w:spacing w:line="360" w:lineRule="exact"/>
      <w:jc w:val="center"/>
    </w:pPr>
    <w:rPr>
      <w:kern w:val="0"/>
      <w:szCs w:val="20"/>
    </w:rPr>
  </w:style>
  <w:style w:type="paragraph" w:customStyle="1" w:styleId="46">
    <w:name w:val="Table Paragraph"/>
    <w:basedOn w:val="1"/>
    <w:qFormat/>
    <w:uiPriority w:val="1"/>
    <w:pPr>
      <w:kinsoku w:val="0"/>
      <w:overflowPunct w:val="0"/>
      <w:ind w:firstLine="420" w:firstLineChars="200"/>
    </w:pPr>
    <w:rPr>
      <w:szCs w:val="21"/>
    </w:rPr>
  </w:style>
  <w:style w:type="paragraph" w:customStyle="1" w:styleId="47">
    <w:name w:val="普通(网站)2"/>
    <w:basedOn w:val="1"/>
    <w:qFormat/>
    <w:uiPriority w:val="0"/>
    <w:pPr>
      <w:widowControl/>
      <w:spacing w:before="100" w:beforeAutospacing="1" w:after="100" w:afterAutospacing="1"/>
      <w:jc w:val="left"/>
    </w:pPr>
    <w:rPr>
      <w:rFonts w:ascii="宋体"/>
      <w:szCs w:val="20"/>
    </w:rPr>
  </w:style>
  <w:style w:type="paragraph" w:customStyle="1" w:styleId="48">
    <w:name w:val="1正文"/>
    <w:qFormat/>
    <w:uiPriority w:val="0"/>
    <w:pPr>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49">
    <w:name w:val="lh-表题--报告表"/>
    <w:basedOn w:val="1"/>
    <w:qFormat/>
    <w:uiPriority w:val="0"/>
    <w:pPr>
      <w:keepNext/>
      <w:widowControl/>
      <w:numPr>
        <w:ilvl w:val="0"/>
        <w:numId w:val="3"/>
      </w:numPr>
      <w:spacing w:before="156"/>
      <w:ind w:left="0" w:firstLine="0"/>
      <w:jc w:val="center"/>
    </w:pPr>
    <w:rPr>
      <w:snapToGrid w:val="0"/>
      <w:kern w:val="0"/>
      <w:szCs w:val="21"/>
    </w:rPr>
  </w:style>
  <w:style w:type="paragraph" w:customStyle="1" w:styleId="50">
    <w:name w:val="lh-表格文字-报告表"/>
    <w:qFormat/>
    <w:uiPriority w:val="0"/>
    <w:pPr>
      <w:jc w:val="center"/>
    </w:pPr>
    <w:rPr>
      <w:rFonts w:ascii="Times New Roman" w:hAnsi="Times New Roman" w:eastAsia="宋体" w:cs="Times New Roman"/>
      <w:snapToGrid w:val="0"/>
      <w:sz w:val="21"/>
      <w:szCs w:val="24"/>
      <w:lang w:val="en-US" w:eastAsia="zh-CN" w:bidi="ar-SA"/>
    </w:rPr>
  </w:style>
  <w:style w:type="paragraph" w:customStyle="1" w:styleId="51">
    <w:name w:val="表格文字"/>
    <w:basedOn w:val="24"/>
    <w:qFormat/>
    <w:uiPriority w:val="0"/>
    <w:pPr>
      <w:jc w:val="center"/>
    </w:pPr>
    <w:rPr>
      <w:rFonts w:ascii="Calibri" w:hAnsi="Calibri"/>
      <w:szCs w:val="22"/>
    </w:rPr>
  </w:style>
  <w:style w:type="paragraph" w:customStyle="1" w:styleId="52">
    <w:name w:val="正文首行缩进 2 + Times New Roman"/>
    <w:basedOn w:val="1"/>
    <w:qFormat/>
    <w:uiPriority w:val="0"/>
    <w:pPr>
      <w:tabs>
        <w:tab w:val="left" w:pos="0"/>
        <w:tab w:val="left" w:pos="870"/>
        <w:tab w:val="left" w:pos="3150"/>
      </w:tabs>
      <w:autoSpaceDE w:val="0"/>
      <w:autoSpaceDN w:val="0"/>
      <w:ind w:firstLine="200" w:firstLineChars="200"/>
      <w:jc w:val="left"/>
    </w:pPr>
    <w:rPr>
      <w:kern w:val="0"/>
    </w:rPr>
  </w:style>
  <w:style w:type="paragraph" w:customStyle="1" w:styleId="53">
    <w:name w:val="正文标准样式"/>
    <w:basedOn w:val="1"/>
    <w:qFormat/>
    <w:uiPriority w:val="0"/>
    <w:pPr>
      <w:adjustRightInd w:val="0"/>
      <w:spacing w:line="300" w:lineRule="auto"/>
      <w:ind w:firstLine="482"/>
    </w:pPr>
    <w:rPr>
      <w:rFonts w:ascii="Calibri" w:hAnsi="Calibri"/>
      <w:szCs w:val="22"/>
    </w:rPr>
  </w:style>
  <w:style w:type="paragraph" w:customStyle="1" w:styleId="54">
    <w:name w:val="Char Char Char Char Char Char Char"/>
    <w:basedOn w:val="1"/>
    <w:qFormat/>
    <w:uiPriority w:val="0"/>
  </w:style>
  <w:style w:type="paragraph" w:customStyle="1" w:styleId="55">
    <w:name w:val="表格内容"/>
    <w:basedOn w:val="1"/>
    <w:qFormat/>
    <w:uiPriority w:val="0"/>
    <w:pPr>
      <w:autoSpaceDE w:val="0"/>
      <w:autoSpaceDN w:val="0"/>
      <w:adjustRightInd w:val="0"/>
      <w:jc w:val="center"/>
      <w:textAlignment w:val="center"/>
    </w:pPr>
    <w:rPr>
      <w:kern w:val="0"/>
      <w:szCs w:val="21"/>
    </w:rPr>
  </w:style>
  <w:style w:type="paragraph" w:customStyle="1" w:styleId="56">
    <w:name w:val="表头"/>
    <w:basedOn w:val="1"/>
    <w:next w:val="1"/>
    <w:link w:val="98"/>
    <w:qFormat/>
    <w:uiPriority w:val="0"/>
    <w:pPr>
      <w:overflowPunct w:val="0"/>
      <w:snapToGrid w:val="0"/>
      <w:ind w:firstLine="200" w:firstLineChars="200"/>
    </w:pPr>
    <w:rPr>
      <w:b/>
    </w:rPr>
  </w:style>
  <w:style w:type="paragraph" w:customStyle="1" w:styleId="57">
    <w:name w:val="农贸市场正文"/>
    <w:qFormat/>
    <w:uiPriority w:val="0"/>
    <w:pPr>
      <w:widowControl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character" w:customStyle="1" w:styleId="58">
    <w:name w:val="日期 字符"/>
    <w:qFormat/>
    <w:uiPriority w:val="0"/>
    <w:rPr>
      <w:rFonts w:ascii="Times New Roman" w:hAnsi="Times New Roman" w:eastAsia="宋体"/>
      <w:sz w:val="24"/>
    </w:rPr>
  </w:style>
  <w:style w:type="character" w:customStyle="1" w:styleId="59">
    <w:name w:val="批注文字 字符1"/>
    <w:qFormat/>
    <w:uiPriority w:val="0"/>
    <w:rPr>
      <w:rFonts w:ascii="Times New Roman" w:hAnsi="Times New Roman" w:eastAsia="宋体"/>
      <w:sz w:val="24"/>
    </w:rPr>
  </w:style>
  <w:style w:type="character" w:customStyle="1" w:styleId="60">
    <w:name w:val="页脚 字符"/>
    <w:qFormat/>
    <w:uiPriority w:val="0"/>
  </w:style>
  <w:style w:type="character" w:customStyle="1" w:styleId="61">
    <w:name w:val="正文文本 字符1"/>
    <w:qFormat/>
    <w:uiPriority w:val="0"/>
    <w:rPr>
      <w:rFonts w:ascii="Times New Roman" w:hAnsi="Times New Roman" w:eastAsia="宋体"/>
      <w:sz w:val="24"/>
    </w:rPr>
  </w:style>
  <w:style w:type="paragraph" w:customStyle="1" w:styleId="62">
    <w:name w:val="表格1"/>
    <w:basedOn w:val="1"/>
    <w:qFormat/>
    <w:uiPriority w:val="0"/>
    <w:pPr>
      <w:adjustRightInd w:val="0"/>
      <w:snapToGrid w:val="0"/>
      <w:jc w:val="center"/>
    </w:pPr>
    <w:rPr>
      <w:rFonts w:eastAsia="方正仿宋_GBK"/>
      <w:color w:val="000000"/>
      <w:kern w:val="0"/>
      <w:szCs w:val="21"/>
    </w:rPr>
  </w:style>
  <w:style w:type="paragraph" w:customStyle="1" w:styleId="63">
    <w:name w:val="列出段落1"/>
    <w:basedOn w:val="1"/>
    <w:qFormat/>
    <w:uiPriority w:val="0"/>
    <w:pPr>
      <w:ind w:firstLine="420" w:firstLineChars="200"/>
    </w:pPr>
    <w:rPr>
      <w:szCs w:val="21"/>
    </w:rPr>
  </w:style>
  <w:style w:type="character" w:customStyle="1" w:styleId="64">
    <w:name w:val="fontstyle01"/>
    <w:qFormat/>
    <w:uiPriority w:val="0"/>
    <w:rPr>
      <w:rFonts w:hint="eastAsia" w:ascii="宋体" w:hAnsi="宋体" w:eastAsia="宋体"/>
      <w:color w:val="000000"/>
      <w:sz w:val="24"/>
      <w:szCs w:val="24"/>
    </w:rPr>
  </w:style>
  <w:style w:type="character" w:customStyle="1" w:styleId="65">
    <w:name w:val="fontstyle21"/>
    <w:qFormat/>
    <w:uiPriority w:val="0"/>
    <w:rPr>
      <w:rFonts w:hint="default" w:ascii="TimesNewRomanPSMT" w:hAnsi="TimesNewRomanPSMT"/>
      <w:color w:val="000000"/>
      <w:sz w:val="24"/>
      <w:szCs w:val="24"/>
    </w:rPr>
  </w:style>
  <w:style w:type="paragraph" w:customStyle="1" w:styleId="66">
    <w:name w:val="表头，alt+D"/>
    <w:basedOn w:val="1"/>
    <w:qFormat/>
    <w:uiPriority w:val="0"/>
    <w:pPr>
      <w:spacing w:before="60" w:after="60" w:line="240" w:lineRule="atLeast"/>
      <w:ind w:left="-113" w:right="-113"/>
      <w:jc w:val="center"/>
      <w:textAlignment w:val="center"/>
    </w:pPr>
    <w:rPr>
      <w:color w:val="808000"/>
    </w:rPr>
  </w:style>
  <w:style w:type="paragraph" w:customStyle="1" w:styleId="67">
    <w:name w:val="表体"/>
    <w:qFormat/>
    <w:uiPriority w:val="0"/>
    <w:pPr>
      <w:spacing w:before="40" w:after="40"/>
      <w:jc w:val="center"/>
    </w:pPr>
    <w:rPr>
      <w:rFonts w:ascii="宋体" w:hAnsi="宋体" w:eastAsia="宋体" w:cs="宋体"/>
      <w:color w:val="000080"/>
      <w:kern w:val="2"/>
      <w:sz w:val="24"/>
      <w:szCs w:val="24"/>
      <w:lang w:val="en-US" w:eastAsia="zh-CN" w:bidi="ar-SA"/>
    </w:rPr>
  </w:style>
  <w:style w:type="paragraph" w:customStyle="1" w:styleId="68">
    <w:name w:val="标题  4"/>
    <w:qFormat/>
    <w:uiPriority w:val="0"/>
    <w:pPr>
      <w:spacing w:before="120" w:after="120" w:line="360" w:lineRule="auto"/>
      <w:ind w:firstLine="200" w:firstLineChars="200"/>
    </w:pPr>
    <w:rPr>
      <w:rFonts w:ascii="Arial" w:hAnsi="Arial" w:eastAsia="Times New Roman" w:cs="Times New Roman"/>
      <w:sz w:val="24"/>
      <w:lang w:val="en-US" w:eastAsia="zh-CN" w:bidi="ar-SA"/>
    </w:rPr>
  </w:style>
  <w:style w:type="paragraph" w:customStyle="1" w:styleId="69">
    <w:name w:val="段落"/>
    <w:basedOn w:val="1"/>
    <w:qFormat/>
    <w:uiPriority w:val="0"/>
    <w:pPr>
      <w:tabs>
        <w:tab w:val="left" w:pos="1021"/>
      </w:tabs>
      <w:adjustRightInd w:val="0"/>
      <w:snapToGrid w:val="0"/>
    </w:pPr>
    <w:rPr>
      <w:rFonts w:ascii="宋体" w:hAnsi="宋体"/>
    </w:rPr>
  </w:style>
  <w:style w:type="paragraph" w:customStyle="1" w:styleId="70">
    <w:name w:val="表 图 内容"/>
    <w:basedOn w:val="71"/>
    <w:qFormat/>
    <w:uiPriority w:val="0"/>
    <w:pPr>
      <w:jc w:val="center"/>
    </w:pPr>
    <w:rPr>
      <w:color w:val="000000"/>
      <w:sz w:val="21"/>
    </w:rPr>
  </w:style>
  <w:style w:type="paragraph" w:customStyle="1" w:styleId="71">
    <w:name w:val="正  文"/>
    <w:basedOn w:val="1"/>
    <w:qFormat/>
    <w:uiPriority w:val="0"/>
    <w:pPr>
      <w:ind w:firstLine="560" w:firstLineChars="200"/>
    </w:pPr>
    <w:rPr>
      <w:rFonts w:eastAsia="仿宋_GB2312"/>
      <w:sz w:val="28"/>
      <w:szCs w:val="28"/>
    </w:rPr>
  </w:style>
  <w:style w:type="paragraph" w:customStyle="1" w:styleId="72">
    <w:name w:val="首行缩进  2 字符"/>
    <w:basedOn w:val="1"/>
    <w:qFormat/>
    <w:uiPriority w:val="0"/>
    <w:pPr>
      <w:spacing w:line="480" w:lineRule="exact"/>
      <w:ind w:firstLine="480" w:firstLineChars="200"/>
    </w:pPr>
    <w:rPr>
      <w:rFonts w:ascii="宋体" w:hAnsi="宋体" w:cs="宋体"/>
      <w:kern w:val="0"/>
    </w:rPr>
  </w:style>
  <w:style w:type="paragraph" w:customStyle="1" w:styleId="73">
    <w:name w:val="XQ表格文字"/>
    <w:basedOn w:val="1"/>
    <w:qFormat/>
    <w:uiPriority w:val="0"/>
    <w:pPr>
      <w:tabs>
        <w:tab w:val="left" w:pos="420"/>
        <w:tab w:val="center" w:pos="623"/>
      </w:tabs>
      <w:adjustRightInd w:val="0"/>
      <w:snapToGrid w:val="0"/>
      <w:jc w:val="center"/>
    </w:pPr>
    <w:rPr>
      <w:color w:val="000000"/>
      <w:kern w:val="0"/>
      <w:szCs w:val="21"/>
    </w:rPr>
  </w:style>
  <w:style w:type="character" w:customStyle="1" w:styleId="74">
    <w:name w:val="正文文本 Char"/>
    <w:link w:val="9"/>
    <w:qFormat/>
    <w:locked/>
    <w:uiPriority w:val="0"/>
    <w:rPr>
      <w:sz w:val="18"/>
    </w:rPr>
  </w:style>
  <w:style w:type="paragraph" w:styleId="75">
    <w:name w:val="List Paragraph"/>
    <w:basedOn w:val="1"/>
    <w:unhideWhenUsed/>
    <w:qFormat/>
    <w:uiPriority w:val="99"/>
    <w:pPr>
      <w:ind w:firstLine="420" w:firstLineChars="200"/>
    </w:pPr>
  </w:style>
  <w:style w:type="character" w:customStyle="1" w:styleId="76">
    <w:name w:val="页脚 Char"/>
    <w:basedOn w:val="28"/>
    <w:link w:val="17"/>
    <w:qFormat/>
    <w:uiPriority w:val="99"/>
    <w:rPr>
      <w:sz w:val="18"/>
    </w:rPr>
  </w:style>
  <w:style w:type="paragraph" w:customStyle="1" w:styleId="77">
    <w:name w:val="Char Char"/>
    <w:basedOn w:val="1"/>
    <w:semiHidden/>
    <w:qFormat/>
    <w:uiPriority w:val="0"/>
    <w:pPr>
      <w:tabs>
        <w:tab w:val="left" w:pos="426"/>
      </w:tabs>
      <w:ind w:left="426" w:hanging="420"/>
    </w:pPr>
  </w:style>
  <w:style w:type="paragraph" w:customStyle="1" w:styleId="78">
    <w:name w:val="无间隔1"/>
    <w:basedOn w:val="19"/>
    <w:next w:val="1"/>
    <w:qFormat/>
    <w:uiPriority w:val="1"/>
    <w:pPr>
      <w:ind w:left="0" w:firstLine="0" w:firstLineChars="0"/>
      <w:jc w:val="center"/>
    </w:pPr>
    <w:rPr>
      <w:rFonts w:cstheme="minorBidi"/>
      <w:szCs w:val="22"/>
    </w:rPr>
  </w:style>
  <w:style w:type="character" w:customStyle="1" w:styleId="79">
    <w:name w:val="标题 Char"/>
    <w:basedOn w:val="28"/>
    <w:link w:val="22"/>
    <w:qFormat/>
    <w:uiPriority w:val="10"/>
    <w:rPr>
      <w:rFonts w:cstheme="majorBidi"/>
      <w:b/>
      <w:bCs/>
      <w:kern w:val="2"/>
      <w:sz w:val="21"/>
      <w:szCs w:val="32"/>
    </w:rPr>
  </w:style>
  <w:style w:type="character" w:customStyle="1" w:styleId="80">
    <w:name w:val="15"/>
    <w:basedOn w:val="28"/>
    <w:qFormat/>
    <w:uiPriority w:val="0"/>
    <w:rPr>
      <w:rFonts w:hint="default" w:ascii="Times New Roman" w:hAnsi="Times New Roman" w:cs="Times New Roman"/>
      <w:color w:val="4D4D4D"/>
    </w:rPr>
  </w:style>
  <w:style w:type="character" w:customStyle="1" w:styleId="81">
    <w:name w:val="页眉 Char"/>
    <w:basedOn w:val="28"/>
    <w:link w:val="18"/>
    <w:qFormat/>
    <w:uiPriority w:val="0"/>
    <w:rPr>
      <w:rFonts w:hint="default" w:ascii="Arial Unicode MS" w:hAnsi="Arial Unicode MS" w:eastAsia="Arial Unicode MS" w:cs="Arial Unicode MS"/>
    </w:rPr>
  </w:style>
  <w:style w:type="character" w:customStyle="1" w:styleId="82">
    <w:name w:val="font11"/>
    <w:basedOn w:val="28"/>
    <w:qFormat/>
    <w:uiPriority w:val="0"/>
    <w:rPr>
      <w:rFonts w:hint="eastAsia" w:ascii="宋体" w:hAnsi="宋体" w:eastAsia="宋体" w:cs="宋体"/>
      <w:b/>
      <w:bCs/>
      <w:color w:val="000000"/>
      <w:sz w:val="21"/>
      <w:szCs w:val="21"/>
      <w:u w:val="none"/>
    </w:rPr>
  </w:style>
  <w:style w:type="character" w:customStyle="1" w:styleId="83">
    <w:name w:val="font71"/>
    <w:basedOn w:val="28"/>
    <w:qFormat/>
    <w:uiPriority w:val="0"/>
    <w:rPr>
      <w:rFonts w:hint="default" w:ascii="Times New Roman" w:hAnsi="Times New Roman" w:cs="Times New Roman"/>
      <w:b/>
      <w:bCs/>
      <w:color w:val="000000"/>
      <w:sz w:val="21"/>
      <w:szCs w:val="21"/>
      <w:u w:val="none"/>
    </w:rPr>
  </w:style>
  <w:style w:type="character" w:customStyle="1" w:styleId="84">
    <w:name w:val="font21"/>
    <w:basedOn w:val="28"/>
    <w:qFormat/>
    <w:uiPriority w:val="0"/>
    <w:rPr>
      <w:rFonts w:hint="eastAsia" w:ascii="宋体" w:hAnsi="宋体" w:eastAsia="宋体" w:cs="宋体"/>
      <w:color w:val="000000"/>
      <w:sz w:val="21"/>
      <w:szCs w:val="21"/>
      <w:u w:val="none"/>
    </w:rPr>
  </w:style>
  <w:style w:type="character" w:customStyle="1" w:styleId="85">
    <w:name w:val="font51"/>
    <w:basedOn w:val="28"/>
    <w:qFormat/>
    <w:uiPriority w:val="0"/>
    <w:rPr>
      <w:rFonts w:hint="default" w:ascii="Times New Roman" w:hAnsi="Times New Roman" w:cs="Times New Roman"/>
      <w:color w:val="000000"/>
      <w:sz w:val="21"/>
      <w:szCs w:val="21"/>
      <w:u w:val="none"/>
    </w:rPr>
  </w:style>
  <w:style w:type="character" w:customStyle="1" w:styleId="86">
    <w:name w:val="font31"/>
    <w:basedOn w:val="28"/>
    <w:qFormat/>
    <w:uiPriority w:val="0"/>
    <w:rPr>
      <w:rFonts w:hint="default" w:ascii="Arial" w:hAnsi="Arial" w:cs="Arial"/>
      <w:color w:val="000000"/>
      <w:sz w:val="20"/>
      <w:szCs w:val="20"/>
      <w:u w:val="none"/>
    </w:rPr>
  </w:style>
  <w:style w:type="paragraph" w:customStyle="1" w:styleId="87">
    <w:name w:val="表格文字2"/>
    <w:basedOn w:val="1"/>
    <w:qFormat/>
    <w:uiPriority w:val="0"/>
    <w:pPr>
      <w:tabs>
        <w:tab w:val="left" w:pos="277"/>
        <w:tab w:val="left" w:pos="600"/>
        <w:tab w:val="left" w:pos="780"/>
        <w:tab w:val="left" w:pos="2517"/>
      </w:tabs>
      <w:adjustRightInd w:val="0"/>
      <w:spacing w:line="300" w:lineRule="auto"/>
      <w:jc w:val="center"/>
    </w:pPr>
    <w:rPr>
      <w:rFonts w:ascii="宋体" w:hAnsi="宋体" w:eastAsia="宋体" w:cs="宋体"/>
      <w:bCs/>
      <w:spacing w:val="5"/>
      <w:kern w:val="0"/>
      <w:sz w:val="21"/>
      <w:szCs w:val="21"/>
    </w:rPr>
  </w:style>
  <w:style w:type="paragraph" w:customStyle="1" w:styleId="88">
    <w:name w:val="。正文格式"/>
    <w:qFormat/>
    <w:uiPriority w:val="0"/>
    <w:pPr>
      <w:widowControl w:val="0"/>
      <w:spacing w:line="360" w:lineRule="auto"/>
      <w:ind w:firstLine="200" w:firstLineChars="200"/>
    </w:pPr>
    <w:rPr>
      <w:rFonts w:ascii="Times New Roman" w:hAnsi="Times New Roman" w:eastAsia="宋体" w:cs="Times New Roman"/>
      <w:sz w:val="24"/>
      <w:lang w:val="en-US" w:eastAsia="zh-CN" w:bidi="ar-SA"/>
    </w:rPr>
  </w:style>
  <w:style w:type="character" w:customStyle="1" w:styleId="89">
    <w:name w:val="font01"/>
    <w:basedOn w:val="28"/>
    <w:qFormat/>
    <w:uiPriority w:val="0"/>
    <w:rPr>
      <w:rFonts w:hint="default" w:ascii="Times New Roman" w:hAnsi="Times New Roman" w:cs="Times New Roman"/>
      <w:b/>
      <w:bCs/>
      <w:color w:val="000000"/>
      <w:sz w:val="21"/>
      <w:szCs w:val="21"/>
      <w:u w:val="none"/>
      <w:vertAlign w:val="superscript"/>
    </w:rPr>
  </w:style>
  <w:style w:type="character" w:customStyle="1" w:styleId="90">
    <w:name w:val="font81"/>
    <w:basedOn w:val="28"/>
    <w:qFormat/>
    <w:uiPriority w:val="0"/>
    <w:rPr>
      <w:rFonts w:hint="default" w:ascii="Times New Roman" w:hAnsi="Times New Roman" w:cs="Times New Roman"/>
      <w:color w:val="000000"/>
      <w:sz w:val="21"/>
      <w:szCs w:val="21"/>
      <w:u w:val="none"/>
      <w:vertAlign w:val="subscript"/>
    </w:rPr>
  </w:style>
  <w:style w:type="character" w:customStyle="1" w:styleId="91">
    <w:name w:val="font61"/>
    <w:basedOn w:val="28"/>
    <w:qFormat/>
    <w:uiPriority w:val="0"/>
    <w:rPr>
      <w:rFonts w:hint="eastAsia" w:ascii="宋体" w:hAnsi="宋体" w:eastAsia="宋体" w:cs="宋体"/>
      <w:color w:val="000000"/>
      <w:sz w:val="21"/>
      <w:szCs w:val="21"/>
      <w:u w:val="none"/>
    </w:rPr>
  </w:style>
  <w:style w:type="character" w:customStyle="1" w:styleId="92">
    <w:name w:val="正文文本缩进 Char"/>
    <w:basedOn w:val="28"/>
    <w:link w:val="11"/>
    <w:qFormat/>
    <w:uiPriority w:val="0"/>
    <w:rPr>
      <w:kern w:val="2"/>
      <w:sz w:val="21"/>
      <w:szCs w:val="24"/>
    </w:rPr>
  </w:style>
  <w:style w:type="character" w:customStyle="1" w:styleId="93">
    <w:name w:val="正文首行缩进 2 Char"/>
    <w:basedOn w:val="92"/>
    <w:link w:val="25"/>
    <w:qFormat/>
    <w:uiPriority w:val="0"/>
    <w:rPr>
      <w:kern w:val="2"/>
      <w:sz w:val="21"/>
      <w:szCs w:val="24"/>
    </w:rPr>
  </w:style>
  <w:style w:type="paragraph" w:customStyle="1" w:styleId="94">
    <w:name w:val="！正文"/>
    <w:basedOn w:val="1"/>
    <w:qFormat/>
    <w:uiPriority w:val="0"/>
    <w:pPr>
      <w:spacing w:line="500" w:lineRule="exact"/>
    </w:pPr>
    <w:rPr>
      <w:rFonts w:ascii="Calibri" w:hAnsi="Calibri"/>
      <w:sz w:val="21"/>
    </w:rPr>
  </w:style>
  <w:style w:type="paragraph" w:customStyle="1" w:styleId="95">
    <w:name w:val="表内文字"/>
    <w:basedOn w:val="1"/>
    <w:qFormat/>
    <w:uiPriority w:val="0"/>
    <w:pPr>
      <w:spacing w:line="240" w:lineRule="auto"/>
      <w:ind w:firstLine="0" w:firstLineChars="0"/>
      <w:jc w:val="center"/>
    </w:pPr>
    <w:rPr>
      <w:rFonts w:ascii="宋体" w:hAnsi="宋体" w:cs="宋体"/>
      <w:sz w:val="21"/>
    </w:rPr>
  </w:style>
  <w:style w:type="paragraph" w:customStyle="1" w:styleId="96">
    <w:name w:val="样式 正文文本缩进 + 行距: 1.5 倍行距"/>
    <w:basedOn w:val="11"/>
    <w:qFormat/>
    <w:uiPriority w:val="0"/>
    <w:pPr>
      <w:ind w:firstLine="560"/>
    </w:pPr>
    <w:rPr>
      <w:rFonts w:cs="宋体"/>
      <w:sz w:val="28"/>
    </w:rPr>
  </w:style>
  <w:style w:type="paragraph" w:customStyle="1" w:styleId="97">
    <w:name w:val="表格格式"/>
    <w:basedOn w:val="1"/>
    <w:next w:val="1"/>
    <w:qFormat/>
    <w:uiPriority w:val="0"/>
    <w:pPr>
      <w:spacing w:line="240" w:lineRule="auto"/>
      <w:ind w:firstLine="0" w:firstLineChars="0"/>
      <w:jc w:val="center"/>
      <w:textAlignment w:val="auto"/>
    </w:pPr>
    <w:rPr>
      <w:rFonts w:cs="Times New Roman"/>
      <w:kern w:val="0"/>
      <w:sz w:val="21"/>
      <w:szCs w:val="20"/>
    </w:rPr>
  </w:style>
  <w:style w:type="character" w:customStyle="1" w:styleId="98">
    <w:name w:val="表头 Char"/>
    <w:link w:val="5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emf"/><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emf"/><Relationship Id="rId11" Type="http://schemas.openxmlformats.org/officeDocument/2006/relationships/oleObject" Target="embeddings/oleObject2.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7841E-4BE2-4CBF-9F39-D8C69E586C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5474</Words>
  <Characters>31205</Characters>
  <Lines>260</Lines>
  <Paragraphs>73</Paragraphs>
  <TotalTime>18</TotalTime>
  <ScaleCrop>false</ScaleCrop>
  <LinksUpToDate>false</LinksUpToDate>
  <CharactersWithSpaces>36606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2022-08-25T15:06:00Z</dcterms:created>
  <dc:creator>尚云环境</dc:creator>
  <cp:lastModifiedBy>Administrator</cp:lastModifiedBy>
  <cp:lastPrinted>2023-12-28T03:14:00Z</cp:lastPrinted>
  <dcterms:modified xsi:type="dcterms:W3CDTF">2024-01-01T08:18:36Z</dcterms:modified>
  <dc:title>建设项目环境影响报告表（污染影响类）</dc:title>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DE56B297EC4241D6AA860B89B2AE1864</vt:lpwstr>
  </property>
  <property fmtid="{D5CDD505-2E9C-101B-9397-08002B2CF9AE}" pid="4" name="KSOSaveFontToCloudKey">
    <vt:lpwstr>359974527_cloud</vt:lpwstr>
  </property>
</Properties>
</file>