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宋体" w:hAnsi="宋体" w:eastAsia="方正小标宋简体" w:cs="方正小标宋简体"/>
          <w:sz w:val="40"/>
          <w:szCs w:val="40"/>
        </w:rPr>
      </w:pPr>
    </w:p>
    <w:p>
      <w:pPr>
        <w:spacing w:line="584" w:lineRule="exact"/>
        <w:jc w:val="center"/>
        <w:rPr>
          <w:rFonts w:ascii="宋体" w:hAnsi="宋体" w:eastAsia="方正小标宋简体" w:cs="方正小标宋简体"/>
          <w:sz w:val="40"/>
          <w:szCs w:val="40"/>
        </w:rPr>
      </w:pPr>
      <w:r>
        <w:rPr>
          <w:rFonts w:hint="eastAsia" w:ascii="宋体" w:hAnsi="宋体" w:eastAsia="方正小标宋简体" w:cs="方正小标宋简体"/>
          <w:sz w:val="40"/>
          <w:szCs w:val="40"/>
        </w:rPr>
        <w:t>关于2018年尉犁县财政决算情况和</w:t>
      </w:r>
    </w:p>
    <w:p>
      <w:pPr>
        <w:spacing w:line="584" w:lineRule="exact"/>
        <w:jc w:val="center"/>
        <w:rPr>
          <w:rFonts w:ascii="宋体" w:hAnsi="宋体" w:eastAsia="方正小标宋简体" w:cs="方正小标宋简体"/>
          <w:sz w:val="40"/>
          <w:szCs w:val="40"/>
        </w:rPr>
      </w:pPr>
      <w:r>
        <w:rPr>
          <w:rFonts w:hint="eastAsia" w:ascii="宋体" w:hAnsi="宋体" w:eastAsia="方正小标宋简体" w:cs="方正小标宋简体"/>
          <w:sz w:val="40"/>
          <w:szCs w:val="40"/>
        </w:rPr>
        <w:t>2019年上半年预算执行情况的报告</w:t>
      </w:r>
    </w:p>
    <w:p>
      <w:pPr>
        <w:spacing w:line="480" w:lineRule="exact"/>
        <w:jc w:val="center"/>
        <w:rPr>
          <w:rFonts w:ascii="方正小标宋简体" w:eastAsia="方正小标宋简体"/>
          <w:sz w:val="40"/>
          <w:szCs w:val="40"/>
        </w:rPr>
      </w:pPr>
    </w:p>
    <w:p>
      <w:pPr>
        <w:spacing w:line="600" w:lineRule="exact"/>
        <w:jc w:val="center"/>
        <w:rPr>
          <w:rFonts w:ascii="宋体" w:hAnsi="宋体" w:eastAsia="楷体_GB2312"/>
          <w:color w:val="000000"/>
          <w:szCs w:val="32"/>
        </w:rPr>
      </w:pPr>
      <w:r>
        <w:rPr>
          <w:rFonts w:hint="eastAsia" w:ascii="宋体" w:hAnsi="宋体" w:eastAsia="楷体_GB2312"/>
          <w:color w:val="000000"/>
          <w:szCs w:val="32"/>
        </w:rPr>
        <w:t>尉犁县人民政府</w:t>
      </w:r>
    </w:p>
    <w:p>
      <w:pPr>
        <w:spacing w:line="600" w:lineRule="exact"/>
        <w:jc w:val="center"/>
        <w:rPr>
          <w:rFonts w:ascii="宋体" w:hAnsi="宋体" w:eastAsia="楷体_GB2312"/>
          <w:color w:val="000000"/>
          <w:szCs w:val="32"/>
        </w:rPr>
      </w:pPr>
      <w:r>
        <w:rPr>
          <w:rFonts w:hint="eastAsia" w:ascii="宋体" w:hAnsi="宋体" w:eastAsia="楷体_GB2312"/>
          <w:color w:val="000000"/>
          <w:szCs w:val="32"/>
        </w:rPr>
        <w:t>（2019年9月20日）</w:t>
      </w:r>
    </w:p>
    <w:p>
      <w:pPr>
        <w:spacing w:line="480" w:lineRule="exact"/>
        <w:jc w:val="center"/>
        <w:rPr>
          <w:rFonts w:ascii="宋体" w:hAnsi="宋体" w:eastAsia="方正小标宋_GBK"/>
          <w:spacing w:val="80"/>
          <w:sz w:val="40"/>
          <w:szCs w:val="40"/>
        </w:rPr>
      </w:pPr>
    </w:p>
    <w:p>
      <w:pPr>
        <w:spacing w:line="584" w:lineRule="exact"/>
        <w:rPr>
          <w:rFonts w:ascii="宋体" w:hAnsi="宋体" w:eastAsia="方正仿宋_GBK"/>
          <w:color w:val="000000"/>
          <w:sz w:val="31"/>
          <w:szCs w:val="31"/>
        </w:rPr>
      </w:pPr>
      <w:r>
        <w:rPr>
          <w:rFonts w:hint="eastAsia" w:ascii="宋体" w:hAnsi="宋体" w:eastAsia="方正仿宋_GBK"/>
          <w:color w:val="000000"/>
          <w:sz w:val="31"/>
          <w:szCs w:val="31"/>
        </w:rPr>
        <w:t>主任、各位副主任、各位委员：</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受县人民政府的委托，现将2018年尉犁县财政决算情况和2019年上半年预算执行情况报告如下。</w:t>
      </w:r>
    </w:p>
    <w:p>
      <w:pPr>
        <w:spacing w:line="584" w:lineRule="exact"/>
        <w:ind w:firstLine="612"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一、2018年度尉犁县财政收支决算情况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2018年12月份向尉犁县第十七届人</w:t>
      </w:r>
      <w:r>
        <w:rPr>
          <w:rFonts w:hint="eastAsia" w:ascii="宋体" w:hAnsi="宋体" w:eastAsia="方正仿宋_GBK"/>
          <w:color w:val="000000"/>
          <w:sz w:val="31"/>
          <w:szCs w:val="31"/>
          <w:lang w:eastAsia="zh-CN"/>
        </w:rPr>
        <w:t>民代表大会第</w:t>
      </w:r>
      <w:r>
        <w:rPr>
          <w:rFonts w:hint="eastAsia" w:ascii="宋体" w:hAnsi="宋体" w:eastAsia="方正仿宋_GBK"/>
          <w:color w:val="000000"/>
          <w:sz w:val="31"/>
          <w:szCs w:val="31"/>
        </w:rPr>
        <w:t>四次会议报告了2018年尉犁县财政预算预计执行情况，经自治州财政局批复，</w:t>
      </w:r>
      <w:r>
        <w:rPr>
          <w:rFonts w:hint="eastAsia" w:ascii="宋体" w:hAnsi="宋体" w:eastAsia="方正仿宋_GBK"/>
          <w:color w:val="000000"/>
          <w:sz w:val="31"/>
          <w:szCs w:val="31"/>
          <w:lang w:eastAsia="zh-CN"/>
        </w:rPr>
        <w:t>现</w:t>
      </w:r>
      <w:r>
        <w:rPr>
          <w:rFonts w:hint="eastAsia" w:ascii="宋体" w:hAnsi="宋体" w:eastAsia="方正仿宋_GBK"/>
          <w:color w:val="000000"/>
          <w:sz w:val="31"/>
          <w:szCs w:val="31"/>
        </w:rPr>
        <w:t>将2018年尉犁县财政决算情况报告如下：</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（一）一般公共预算决算情况</w:t>
      </w:r>
    </w:p>
    <w:p>
      <w:pPr>
        <w:spacing w:line="584" w:lineRule="exact"/>
        <w:ind w:firstLine="612" w:firstLineChars="200"/>
        <w:rPr>
          <w:rFonts w:ascii="宋体" w:hAnsi="宋体" w:eastAsia="方正仿宋_GBK"/>
          <w:color w:val="000000"/>
          <w:sz w:val="31"/>
          <w:szCs w:val="31"/>
          <w:highlight w:val="lightGray"/>
        </w:rPr>
      </w:pPr>
      <w:r>
        <w:rPr>
          <w:rFonts w:hint="eastAsia" w:ascii="宋体" w:hAnsi="宋体" w:eastAsia="方正仿宋_GBK"/>
          <w:color w:val="000000"/>
          <w:sz w:val="31"/>
          <w:szCs w:val="31"/>
        </w:rPr>
        <w:t>一般公共预算收入29005万元，上级补助收入122952万元，调入资金7830万元（其中：政府性基金</w:t>
      </w:r>
      <w:r>
        <w:rPr>
          <w:rFonts w:hint="eastAsia" w:ascii="宋体" w:hAnsi="宋体" w:eastAsia="方正仿宋_GBK"/>
          <w:color w:val="000000"/>
          <w:sz w:val="31"/>
          <w:szCs w:val="31"/>
          <w:lang w:eastAsia="zh-CN"/>
        </w:rPr>
        <w:t>预算</w:t>
      </w:r>
      <w:r>
        <w:rPr>
          <w:rFonts w:hint="eastAsia" w:ascii="宋体" w:hAnsi="宋体" w:eastAsia="方正仿宋_GBK"/>
          <w:color w:val="000000"/>
          <w:sz w:val="31"/>
          <w:szCs w:val="31"/>
        </w:rPr>
        <w:t>调入6217万元，国有资本经营预算调入1613万元），地方政府一般债务转贷收入8984万元；上年滚存赤字4611万元。一般公共预算支出158254万元，专项上解支出1922万元，地方政府一般债务还本支出3984万元。</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（二）政府性基金预算决算情况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地方政府性基金预算收入29812万元，上级补助收入487万元，上年结余103万元，地方政府专项债务转贷收入10320万元。地方政府性基金预算支出33234万元，调出资金6217万元，地方政府专项债务还本支出920万元，年终结余为351万元。</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（三）国有资本经营预算决算情况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国有资本经营收入完成3868万元，国有资本经营支出2255万元，调出资金1613万元。</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（四）社会保</w:t>
      </w:r>
      <w:r>
        <w:rPr>
          <w:rFonts w:hint="eastAsia" w:ascii="宋体" w:hAnsi="宋体" w:eastAsia="方正仿宋_GBK"/>
          <w:color w:val="000000"/>
          <w:sz w:val="31"/>
          <w:szCs w:val="31"/>
        </w:rPr>
        <w:t>险</w:t>
      </w:r>
      <w:r>
        <w:rPr>
          <w:rFonts w:hint="eastAsia" w:ascii="宋体" w:hAnsi="宋体" w:eastAsia="方正楷体_GBK" w:cs="方正楷体_GBK"/>
          <w:color w:val="000000"/>
          <w:sz w:val="31"/>
          <w:szCs w:val="31"/>
        </w:rPr>
        <w:t>基金预算决算情况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社会保险基金预算收入35466.4万元，上年结余7561.4万元；社会保险基金预算支出34750.8万元，年终滚存结余为827</w:t>
      </w:r>
      <w:r>
        <w:rPr>
          <w:rFonts w:hint="eastAsia" w:ascii="宋体" w:hAnsi="宋体" w:eastAsia="方正仿宋_GBK"/>
          <w:color w:val="000000"/>
          <w:sz w:val="31"/>
          <w:szCs w:val="31"/>
          <w:lang w:val="en-US" w:eastAsia="zh-CN"/>
        </w:rPr>
        <w:t>5</w:t>
      </w:r>
      <w:bookmarkStart w:id="0" w:name="_GoBack"/>
      <w:bookmarkEnd w:id="0"/>
      <w:r>
        <w:rPr>
          <w:rFonts w:hint="eastAsia" w:ascii="宋体" w:hAnsi="宋体" w:eastAsia="方正仿宋_GBK"/>
          <w:color w:val="000000"/>
          <w:sz w:val="31"/>
          <w:szCs w:val="31"/>
        </w:rPr>
        <w:t>万元。</w:t>
      </w:r>
    </w:p>
    <w:p>
      <w:pPr>
        <w:spacing w:line="584" w:lineRule="exact"/>
        <w:ind w:firstLine="612"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二、2019年度财政收支预算调整情况</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（一）一般公共预算调整情况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一般公共预算收入调整为30456万元，与年初预算数保持不变。上级补助收入调整为72362万元，比年初预算的65047万元增加7315万元，主要是专项转移支付补助增加7315万元。债券转贷收入13000万元，调入资金预计12376万元（政府基金调入6000万元，国有资本经营预算调入2000万元，其他资金调入4286），比年初预算数6090万元增加6286万元。一般公共预算支出调整为126971万元，比年初预算支出99441万元增加27530万元。专项上解支出1223万元，与年初预算数保持不变。</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（二）政府性基金预算调整情况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政府性基金预算收入调整为10000万元，与年初预算数保持不变。上级补助收入调增377万元，主要是专项转移支付补助增加377万元。专项债务转贷收入33000万元。政府基金预算支出调整为37377万元，比年初预算支出10191万元，增加26344万元，基金调出6000万元，与年初预算数保持不变。</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（三）国有资本经营预算调整情况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国有资本经营预算收入调整为7253万元，比年初预算300万元增加6953万元。国有资本经营预算支出调整为5253万元，比年初预算210万元增加5043万元，调出资金调整为2000万元，比年初预算90万元增加1910万元。</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（四）社会保</w:t>
      </w:r>
      <w:r>
        <w:rPr>
          <w:rFonts w:hint="eastAsia" w:ascii="宋体" w:hAnsi="宋体" w:eastAsia="方正仿宋_GBK"/>
          <w:color w:val="000000"/>
          <w:sz w:val="31"/>
          <w:szCs w:val="31"/>
        </w:rPr>
        <w:t>险</w:t>
      </w:r>
      <w:r>
        <w:rPr>
          <w:rFonts w:hint="eastAsia" w:ascii="宋体" w:hAnsi="宋体" w:eastAsia="方正楷体_GBK" w:cs="方正楷体_GBK"/>
          <w:color w:val="000000"/>
          <w:sz w:val="31"/>
          <w:szCs w:val="31"/>
        </w:rPr>
        <w:t>基金预算调整情况</w:t>
      </w:r>
    </w:p>
    <w:p>
      <w:pPr>
        <w:spacing w:line="584" w:lineRule="exact"/>
        <w:ind w:firstLine="612" w:firstLineChars="200"/>
        <w:rPr>
          <w:rFonts w:ascii="宋体" w:hAnsi="宋体" w:eastAsia="方正仿宋_GBK"/>
          <w:sz w:val="31"/>
          <w:szCs w:val="31"/>
        </w:rPr>
      </w:pPr>
      <w:r>
        <w:rPr>
          <w:rFonts w:hint="eastAsia" w:ascii="宋体" w:hAnsi="宋体" w:eastAsia="方正仿宋_GBK"/>
          <w:sz w:val="31"/>
          <w:szCs w:val="31"/>
        </w:rPr>
        <w:t>社会保险基金预算收入调整为</w:t>
      </w:r>
      <w:r>
        <w:rPr>
          <w:rFonts w:ascii="宋体" w:hAnsi="宋体" w:eastAsia="方正仿宋_GBK"/>
          <w:sz w:val="31"/>
          <w:szCs w:val="31"/>
        </w:rPr>
        <w:t>37537</w:t>
      </w:r>
      <w:r>
        <w:rPr>
          <w:rFonts w:hint="eastAsia" w:ascii="宋体" w:hAnsi="宋体" w:eastAsia="方正仿宋_GBK"/>
          <w:sz w:val="31"/>
          <w:szCs w:val="31"/>
        </w:rPr>
        <w:t>万元，比年初预算的</w:t>
      </w:r>
      <w:r>
        <w:rPr>
          <w:rFonts w:ascii="宋体" w:hAnsi="宋体" w:eastAsia="方正仿宋_GBK"/>
          <w:sz w:val="31"/>
          <w:szCs w:val="31"/>
        </w:rPr>
        <w:t>37207</w:t>
      </w:r>
      <w:r>
        <w:rPr>
          <w:rFonts w:hint="eastAsia" w:ascii="宋体" w:hAnsi="宋体" w:eastAsia="方正仿宋_GBK"/>
          <w:sz w:val="31"/>
          <w:szCs w:val="31"/>
        </w:rPr>
        <w:t>万元，</w:t>
      </w:r>
      <w:r>
        <w:rPr>
          <w:rFonts w:hint="eastAsia" w:ascii="宋体" w:hAnsi="宋体" w:eastAsia="方正仿宋_GBK" w:cs="宋体"/>
          <w:sz w:val="31"/>
          <w:szCs w:val="31"/>
        </w:rPr>
        <w:t>增加</w:t>
      </w:r>
      <w:r>
        <w:rPr>
          <w:rFonts w:ascii="宋体" w:hAnsi="宋体" w:eastAsia="方正仿宋_GBK"/>
          <w:sz w:val="31"/>
          <w:szCs w:val="31"/>
        </w:rPr>
        <w:t>330</w:t>
      </w:r>
      <w:r>
        <w:rPr>
          <w:rFonts w:hint="eastAsia" w:ascii="宋体" w:hAnsi="宋体" w:eastAsia="方正仿宋_GBK"/>
          <w:sz w:val="31"/>
          <w:szCs w:val="31"/>
        </w:rPr>
        <w:t>万元，主要是由于机关事业单位</w:t>
      </w:r>
      <w:r>
        <w:rPr>
          <w:rFonts w:hint="eastAsia" w:ascii="宋体" w:hAnsi="宋体" w:eastAsia="方正仿宋_GBK" w:cs="宋体"/>
          <w:sz w:val="31"/>
          <w:szCs w:val="31"/>
        </w:rPr>
        <w:t>养老</w:t>
      </w:r>
      <w:r>
        <w:rPr>
          <w:rFonts w:hint="eastAsia" w:ascii="宋体" w:hAnsi="宋体" w:eastAsia="方正仿宋_GBK"/>
          <w:sz w:val="31"/>
          <w:szCs w:val="31"/>
        </w:rPr>
        <w:t>保险收入</w:t>
      </w:r>
      <w:r>
        <w:rPr>
          <w:rFonts w:hint="eastAsia" w:ascii="宋体" w:hAnsi="宋体" w:eastAsia="方正仿宋_GBK" w:cs="宋体"/>
          <w:sz w:val="31"/>
          <w:szCs w:val="31"/>
        </w:rPr>
        <w:t>增加</w:t>
      </w:r>
      <w:r>
        <w:rPr>
          <w:rFonts w:ascii="宋体" w:hAnsi="宋体" w:eastAsia="方正仿宋_GBK"/>
          <w:sz w:val="31"/>
          <w:szCs w:val="31"/>
        </w:rPr>
        <w:t>300</w:t>
      </w:r>
      <w:r>
        <w:rPr>
          <w:rFonts w:hint="eastAsia" w:ascii="宋体" w:hAnsi="宋体" w:eastAsia="方正仿宋_GBK"/>
          <w:sz w:val="31"/>
          <w:szCs w:val="31"/>
        </w:rPr>
        <w:t>万元，</w:t>
      </w:r>
      <w:r>
        <w:rPr>
          <w:rFonts w:hint="eastAsia" w:ascii="宋体" w:hAnsi="宋体" w:eastAsia="方正仿宋_GBK" w:cs="宋体"/>
          <w:sz w:val="31"/>
          <w:szCs w:val="31"/>
        </w:rPr>
        <w:t>工伤</w:t>
      </w:r>
      <w:r>
        <w:rPr>
          <w:rFonts w:hint="eastAsia" w:ascii="宋体" w:hAnsi="宋体" w:eastAsia="方正仿宋_GBK"/>
          <w:sz w:val="31"/>
          <w:szCs w:val="31"/>
        </w:rPr>
        <w:t>保险收入增加</w:t>
      </w:r>
      <w:r>
        <w:rPr>
          <w:rFonts w:ascii="宋体" w:hAnsi="宋体" w:eastAsia="方正仿宋_GBK"/>
          <w:sz w:val="31"/>
          <w:szCs w:val="31"/>
        </w:rPr>
        <w:t>30</w:t>
      </w:r>
      <w:r>
        <w:rPr>
          <w:rFonts w:hint="eastAsia" w:ascii="宋体" w:hAnsi="宋体" w:eastAsia="方正仿宋_GBK"/>
          <w:sz w:val="31"/>
          <w:szCs w:val="31"/>
        </w:rPr>
        <w:t>万元。社会保险基金预算支出调整为</w:t>
      </w:r>
      <w:r>
        <w:rPr>
          <w:rFonts w:ascii="宋体" w:hAnsi="宋体" w:eastAsia="方正仿宋_GBK"/>
          <w:sz w:val="31"/>
          <w:szCs w:val="31"/>
        </w:rPr>
        <w:t>36586</w:t>
      </w:r>
      <w:r>
        <w:rPr>
          <w:rFonts w:hint="eastAsia" w:ascii="宋体" w:hAnsi="宋体" w:eastAsia="方正仿宋_GBK"/>
          <w:sz w:val="31"/>
          <w:szCs w:val="31"/>
        </w:rPr>
        <w:t>万元，比年初预算的</w:t>
      </w:r>
      <w:r>
        <w:rPr>
          <w:rFonts w:ascii="宋体" w:hAnsi="宋体" w:eastAsia="方正仿宋_GBK"/>
          <w:sz w:val="31"/>
          <w:szCs w:val="31"/>
        </w:rPr>
        <w:t>36256</w:t>
      </w:r>
      <w:r>
        <w:rPr>
          <w:rFonts w:hint="eastAsia" w:ascii="宋体" w:hAnsi="宋体" w:eastAsia="方正仿宋_GBK"/>
          <w:sz w:val="31"/>
          <w:szCs w:val="31"/>
        </w:rPr>
        <w:t>万元，</w:t>
      </w:r>
      <w:r>
        <w:rPr>
          <w:rFonts w:hint="eastAsia" w:ascii="宋体" w:hAnsi="宋体" w:eastAsia="方正仿宋_GBK" w:cs="宋体"/>
          <w:sz w:val="31"/>
          <w:szCs w:val="31"/>
        </w:rPr>
        <w:t>增加</w:t>
      </w:r>
      <w:r>
        <w:rPr>
          <w:rFonts w:ascii="宋体" w:hAnsi="宋体" w:eastAsia="方正仿宋_GBK"/>
          <w:sz w:val="31"/>
          <w:szCs w:val="31"/>
        </w:rPr>
        <w:t>330</w:t>
      </w:r>
      <w:r>
        <w:rPr>
          <w:rFonts w:hint="eastAsia" w:ascii="宋体" w:hAnsi="宋体" w:eastAsia="方正仿宋_GBK"/>
          <w:sz w:val="31"/>
          <w:szCs w:val="31"/>
        </w:rPr>
        <w:t>万元，主要是由于机关事业单位</w:t>
      </w:r>
      <w:r>
        <w:rPr>
          <w:rFonts w:hint="eastAsia" w:ascii="宋体" w:hAnsi="宋体" w:eastAsia="方正仿宋_GBK" w:cs="宋体"/>
          <w:sz w:val="31"/>
          <w:szCs w:val="31"/>
        </w:rPr>
        <w:t>养老</w:t>
      </w:r>
      <w:r>
        <w:rPr>
          <w:rFonts w:hint="eastAsia" w:ascii="宋体" w:hAnsi="宋体" w:eastAsia="方正仿宋_GBK"/>
          <w:sz w:val="31"/>
          <w:szCs w:val="31"/>
        </w:rPr>
        <w:t>保险支出</w:t>
      </w:r>
      <w:r>
        <w:rPr>
          <w:rFonts w:hint="eastAsia" w:ascii="宋体" w:hAnsi="宋体" w:eastAsia="方正仿宋_GBK" w:cs="宋体"/>
          <w:sz w:val="31"/>
          <w:szCs w:val="31"/>
        </w:rPr>
        <w:t>增加</w:t>
      </w:r>
      <w:r>
        <w:rPr>
          <w:rFonts w:ascii="宋体" w:hAnsi="宋体" w:eastAsia="方正仿宋_GBK"/>
          <w:sz w:val="31"/>
          <w:szCs w:val="31"/>
        </w:rPr>
        <w:t>300</w:t>
      </w:r>
      <w:r>
        <w:rPr>
          <w:rFonts w:hint="eastAsia" w:ascii="宋体" w:hAnsi="宋体" w:eastAsia="方正仿宋_GBK"/>
          <w:sz w:val="31"/>
          <w:szCs w:val="31"/>
        </w:rPr>
        <w:t>万元，</w:t>
      </w:r>
      <w:r>
        <w:rPr>
          <w:rFonts w:hint="eastAsia" w:ascii="宋体" w:hAnsi="宋体" w:eastAsia="方正仿宋_GBK" w:cs="宋体"/>
          <w:sz w:val="31"/>
          <w:szCs w:val="31"/>
        </w:rPr>
        <w:t>工伤</w:t>
      </w:r>
      <w:r>
        <w:rPr>
          <w:rFonts w:hint="eastAsia" w:ascii="宋体" w:hAnsi="宋体" w:eastAsia="方正仿宋_GBK"/>
          <w:sz w:val="31"/>
          <w:szCs w:val="31"/>
        </w:rPr>
        <w:t>保险支出增加</w:t>
      </w:r>
      <w:r>
        <w:rPr>
          <w:rFonts w:ascii="宋体" w:hAnsi="宋体" w:eastAsia="方正仿宋_GBK"/>
          <w:sz w:val="31"/>
          <w:szCs w:val="31"/>
        </w:rPr>
        <w:t>30</w:t>
      </w:r>
      <w:r>
        <w:rPr>
          <w:rFonts w:hint="eastAsia" w:ascii="宋体" w:hAnsi="宋体" w:eastAsia="方正仿宋_GBK"/>
          <w:sz w:val="31"/>
          <w:szCs w:val="31"/>
        </w:rPr>
        <w:t>万元。</w:t>
      </w:r>
    </w:p>
    <w:p>
      <w:pPr>
        <w:spacing w:line="584" w:lineRule="exact"/>
        <w:ind w:firstLine="612"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三、2019年上半年财政预算执行情况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今年上半年，在县委、县人民政府的正确领导下，在县人大、县政协的监督指导下，面对经济下行压力不断加大,财政收支矛盾异常严峻的挑战，财税部门紧紧围绕全县经济建设和社会进步的重大决策部署，开拓进取，攻坚克难，全面深化财税改革、减税降费、增收节支，防范风险，努力服务于全县改革发展稳定大局。</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（一）一般公共预算执行情况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一般公共预算收入完成10890万元，完成预算的35.76%，同比减收3629万元，降低25%；其中：税收收入完成8507万元，完成预算的55.78%，同比增收2575万元，增长43.41 %。非税收入累计完成2383万元，完成预算的15.67%，同比减收6204万元，降低72.25%，上级补助收入54333万元，地方政府债务转贷收入13100万元。一般公共预算支出完成75237万元，完成调整预算的59%，同比减支10582万元，降低12.33%。</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（二）政府性基金预算执行情况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政府性基金预算收入完成7057万元，完成调整预算的71%，同比增收178万元，增长2.59%，地方政府专项债券转贷收入28000万元。政府性基金预算支出28724万元，完成调整预算的78%，同比增支23151万元，增长415.41%。</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（三）国有资本经营预算执行情况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国有资本经营预算收入完成3600万元，完成调整预算的50%，同比增收2748万元，增长332.54%。国有资本经营预算支出3365万元，完成调整预算的64%，同比增支2495万元，增长286.78%。</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（四）社会保险基金预算执行情况</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社会保险基金预算收入18152万元，完成调整预算的48.36%。社会保险基金预算支出16882万元，完成调整预算的46.14%。</w:t>
      </w:r>
    </w:p>
    <w:p>
      <w:pPr>
        <w:spacing w:line="584" w:lineRule="exact"/>
        <w:ind w:firstLine="612"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四、存在的主要问题</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（一）财政收入增长动力不足</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支撑财政收入增长动力不足。我县税收收入增长主要依赖于房地产开发、基础建设投资项目及棉花企业，增收基础并不牢固，经济增长内生动力不足，多项财税改革深入推进，进一步减税降费因素持续存在，预计税收收入增长仍将延续放缓态势。同时非税增收困难，持续深化“放管服”改革，取消多项行政审批事项，各类政策性减收因素叠加。以及铁路、公路土地征迁等补偿费用基本到位，非税收入增长面临较大压力，导致我县财政收入增收乏力。</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（二）三保</w:t>
      </w:r>
      <w:r>
        <w:rPr>
          <w:rFonts w:hint="eastAsia" w:ascii="宋体" w:hAnsi="宋体" w:eastAsia="方正仿宋_GBK"/>
          <w:color w:val="000000"/>
          <w:sz w:val="31"/>
          <w:szCs w:val="31"/>
        </w:rPr>
        <w:t>支出</w:t>
      </w:r>
      <w:r>
        <w:rPr>
          <w:rFonts w:hint="eastAsia" w:ascii="宋体" w:hAnsi="宋体" w:eastAsia="方正楷体_GBK" w:cs="方正楷体_GBK"/>
          <w:color w:val="000000"/>
          <w:sz w:val="31"/>
          <w:szCs w:val="31"/>
        </w:rPr>
        <w:t>压力持续加大</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财政增收压力与财政支出刚性带来的财政收支矛盾凸显，工资津贴补贴、机构运转等基本支出需要保障，各项民生政策、强农惠农补贴政策需要确保落实；财政部门要实现“保基本、保运转、保民生”的目标面临越来越大的压力。特别是政策性调资因素和财政供养人员增加进一步加重财政负担。此外，医疗保险、教育经费、保障性住房、贷款还本、专项上解等刚性支出不断增加，经济社会发展面临的困难和问题更加突出，这些问题需要我们进一步采取措施，切实加以解决。</w:t>
      </w:r>
    </w:p>
    <w:p>
      <w:pPr>
        <w:spacing w:line="584" w:lineRule="exact"/>
        <w:ind w:firstLine="612"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五、下半年工作的思路</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（一）积极培育财源 推进财政收入</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全面推进综合治税工作开展，将收入目标和征管责任分解落实到各执收部门，做到“千斤重担大家挑，人人头上有目标”，齐抓共管，加强收入调度力度，确保收入及时入库；坚持组织收入和培养税源两手抓，积极面对减税降费带来的影响，加强重点税源监控，查找征管薄弱环节，明确工作重点和方向，保证各项税费应收尽收，努力完成全年收入目标。</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（二）严格财政支出 加强资金管理</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牢固树立过紧日子思想，大力压减一般性支出，坚持“保工资、保运转、保基本民生”的支出原则，在保障工资和津补贴正常发放，单位正常运转前提下，全力保障医疗卫生、社会保障、教育、保障性住房等重大民生需求，优化财政支出结构；清理沉淀资金，用好债券资金，整合专项资金，科学合理安排财政支出，提高财政保障能力；明确支出责任，加快财政支出进度，切实发挥财政资金稳增长、促改革、惠民生的积极作用。</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（三）打好防范化解重大风险攻坚战</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认真贯彻落实习近平总书记、自治区党委关于加强地方政府债务管理的重要批示精神和中央金融工作会议、自治区金融工作会议精神，严守政府债务管理的红线和底线，坚决不发生系统性风险，坚持把违规举债作为带电的高压线，严格落实“四个一律”“三个界限”要求，审慎审批无明确资金来源的项目，坚决遏制隐性债务增量，确保我县经济建设和社会发展稳步健康运行。</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（四）全面实施预算绩效管理</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全面推行财政资金预算绩效管理工作，坚持</w:t>
      </w:r>
      <w:r>
        <w:rPr>
          <w:rFonts w:hint="eastAsia" w:ascii="宋体" w:hAnsi="宋体" w:eastAsia="方正仿宋_GBK" w:cs="方正仿宋_GBK"/>
          <w:color w:val="000000"/>
          <w:sz w:val="31"/>
          <w:szCs w:val="31"/>
        </w:rPr>
        <w:t>建成全方位、全过程、全覆盖的预算绩效管理体系，实现预算和绩效管理一体化，提高财政资源配置效率和使用效益，改变预算资金分配的固化格局，提高预算管理水平和政策实施效果，强化绩效评价结果的运用，将绩效结果与部门预算挂钩，提高资金使用效益，为我县经济社会发展提供有力保障。</w:t>
      </w:r>
    </w:p>
    <w:p>
      <w:pPr>
        <w:spacing w:line="584" w:lineRule="exact"/>
        <w:ind w:firstLine="612"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（五）落实减税降费 促进经济发展</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减税降费对减轻企业负担、激发市场活力、促进经济增长具有重要意义，我局高度重视，统一思想，建立机制，狠抓督导，确保纳税人和缴费人从国家减税降费中享受实实在在的获得感，提振市场信心，促进我县经济实现高质量发展。</w:t>
      </w:r>
    </w:p>
    <w:p>
      <w:pPr>
        <w:spacing w:line="584" w:lineRule="exact"/>
        <w:ind w:firstLine="612" w:firstLineChars="200"/>
        <w:rPr>
          <w:rFonts w:ascii="宋体" w:hAnsi="宋体" w:eastAsia="方正仿宋_GBK"/>
          <w:color w:val="000000"/>
          <w:sz w:val="31"/>
          <w:szCs w:val="31"/>
        </w:rPr>
      </w:pPr>
      <w:r>
        <w:rPr>
          <w:rFonts w:hint="eastAsia" w:ascii="宋体" w:hAnsi="宋体" w:eastAsia="方正仿宋_GBK"/>
          <w:color w:val="000000"/>
          <w:sz w:val="31"/>
          <w:szCs w:val="31"/>
        </w:rPr>
        <w:t>主任、各位副主任、各位委员，2019年的财政工作我们将在县委的坚强领导下，在县人大、政协的监督指导下，振奋精神，协力攻坚，开拓进取，苦拼实干，全面完成各项财政工作任务，为实现社会稳定和长治久安总目标而努力奋斗！</w:t>
      </w:r>
    </w:p>
    <w:p>
      <w:pPr>
        <w:spacing w:line="584" w:lineRule="exact"/>
        <w:rPr>
          <w:rFonts w:ascii="宋体" w:hAnsi="宋体" w:eastAsia="方正仿宋_GBK"/>
          <w:sz w:val="31"/>
          <w:szCs w:val="31"/>
        </w:rPr>
      </w:pPr>
    </w:p>
    <w:p>
      <w:pPr>
        <w:spacing w:line="584" w:lineRule="exact"/>
        <w:rPr>
          <w:rFonts w:ascii="宋体" w:hAnsi="宋体" w:eastAsia="方正仿宋_GBK"/>
          <w:sz w:val="31"/>
          <w:szCs w:val="31"/>
        </w:rPr>
      </w:pPr>
    </w:p>
    <w:p>
      <w:pPr>
        <w:spacing w:line="584" w:lineRule="exact"/>
        <w:rPr>
          <w:rFonts w:ascii="宋体" w:hAnsi="宋体" w:eastAsia="方正仿宋_GBK"/>
          <w:sz w:val="31"/>
          <w:szCs w:val="31"/>
        </w:rPr>
      </w:pPr>
    </w:p>
    <w:p>
      <w:pPr>
        <w:spacing w:line="584" w:lineRule="exact"/>
        <w:rPr>
          <w:rFonts w:ascii="宋体" w:hAnsi="宋体" w:eastAsia="方正仿宋_GBK"/>
          <w:sz w:val="31"/>
          <w:szCs w:val="31"/>
        </w:rPr>
      </w:pPr>
    </w:p>
    <w:p>
      <w:pPr>
        <w:spacing w:line="584" w:lineRule="exact"/>
        <w:rPr>
          <w:rFonts w:ascii="宋体" w:hAnsi="宋体" w:eastAsia="方正仿宋_GBK"/>
          <w:sz w:val="31"/>
          <w:szCs w:val="31"/>
        </w:rPr>
      </w:pPr>
    </w:p>
    <w:p>
      <w:pPr>
        <w:spacing w:line="584" w:lineRule="exact"/>
        <w:rPr>
          <w:rFonts w:ascii="宋体" w:hAnsi="宋体" w:eastAsia="方正仿宋_GBK"/>
          <w:sz w:val="31"/>
          <w:szCs w:val="31"/>
        </w:rPr>
      </w:pPr>
    </w:p>
    <w:p>
      <w:pPr>
        <w:spacing w:line="584" w:lineRule="exact"/>
        <w:rPr>
          <w:rFonts w:ascii="宋体" w:hAnsi="宋体" w:eastAsia="方正仿宋_GBK"/>
          <w:sz w:val="31"/>
          <w:szCs w:val="31"/>
        </w:rPr>
      </w:pPr>
    </w:p>
    <w:p>
      <w:pPr>
        <w:spacing w:line="584" w:lineRule="exact"/>
        <w:rPr>
          <w:rFonts w:ascii="宋体" w:hAnsi="宋体" w:eastAsia="方正仿宋_GBK"/>
          <w:sz w:val="31"/>
          <w:szCs w:val="31"/>
        </w:rPr>
      </w:pPr>
    </w:p>
    <w:p>
      <w:pPr>
        <w:spacing w:line="584" w:lineRule="exact"/>
        <w:rPr>
          <w:rFonts w:ascii="宋体" w:hAnsi="宋体" w:eastAsia="方正仿宋_GBK"/>
          <w:sz w:val="31"/>
          <w:szCs w:val="31"/>
        </w:rPr>
      </w:pPr>
    </w:p>
    <w:sectPr>
      <w:footerReference r:id="rId3" w:type="default"/>
      <w:footerReference r:id="rId4" w:type="even"/>
      <w:pgSz w:w="11906" w:h="16838"/>
      <w:pgMar w:top="2041" w:right="1531" w:bottom="1871" w:left="1531" w:header="737"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789"/>
        <w:tab w:val="clear" w:pos="8306"/>
      </w:tabs>
      <w:rPr>
        <w:rFonts w:ascii="宋体" w:hAnsi="宋体" w:eastAsia="宋体"/>
        <w:sz w:val="28"/>
        <w:szCs w:val="28"/>
      </w:rPr>
    </w:pPr>
    <w:r>
      <w:rPr>
        <w:sz w:val="28"/>
        <w:szCs w:val="28"/>
      </w:rPr>
      <w:tab/>
    </w:r>
    <w:r>
      <w:rPr>
        <w:sz w:val="28"/>
        <w:szCs w:val="28"/>
      </w:rPr>
      <w:tab/>
    </w:r>
    <w:r>
      <w:rPr>
        <w:rFonts w:hint="eastAsia"/>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9D330DB"/>
    <w:rsid w:val="000079F7"/>
    <w:rsid w:val="00051BB4"/>
    <w:rsid w:val="000D2CB0"/>
    <w:rsid w:val="000F00E0"/>
    <w:rsid w:val="001C6AB6"/>
    <w:rsid w:val="001D0BAA"/>
    <w:rsid w:val="001E28E9"/>
    <w:rsid w:val="00247C0A"/>
    <w:rsid w:val="00313308"/>
    <w:rsid w:val="00413C11"/>
    <w:rsid w:val="00416F16"/>
    <w:rsid w:val="004462FC"/>
    <w:rsid w:val="00467182"/>
    <w:rsid w:val="0049332E"/>
    <w:rsid w:val="004C391A"/>
    <w:rsid w:val="0063269B"/>
    <w:rsid w:val="00674A06"/>
    <w:rsid w:val="00697699"/>
    <w:rsid w:val="006A343C"/>
    <w:rsid w:val="00732E99"/>
    <w:rsid w:val="0082524A"/>
    <w:rsid w:val="0087185C"/>
    <w:rsid w:val="008A5BAB"/>
    <w:rsid w:val="00937D2F"/>
    <w:rsid w:val="0098252D"/>
    <w:rsid w:val="009B2D72"/>
    <w:rsid w:val="00A5670D"/>
    <w:rsid w:val="00A81974"/>
    <w:rsid w:val="00AE49FE"/>
    <w:rsid w:val="00B92188"/>
    <w:rsid w:val="00BE2BC5"/>
    <w:rsid w:val="00CB5B39"/>
    <w:rsid w:val="00DC094E"/>
    <w:rsid w:val="00E30FB2"/>
    <w:rsid w:val="00E567F1"/>
    <w:rsid w:val="00E818EF"/>
    <w:rsid w:val="00EB2177"/>
    <w:rsid w:val="00EE2B51"/>
    <w:rsid w:val="00F72DDE"/>
    <w:rsid w:val="00FB6F54"/>
    <w:rsid w:val="0189019B"/>
    <w:rsid w:val="09290832"/>
    <w:rsid w:val="0C657F1E"/>
    <w:rsid w:val="0E8F7845"/>
    <w:rsid w:val="12F02613"/>
    <w:rsid w:val="15A5051B"/>
    <w:rsid w:val="18AE3B42"/>
    <w:rsid w:val="196C7F2D"/>
    <w:rsid w:val="1B3104CC"/>
    <w:rsid w:val="1FA531B2"/>
    <w:rsid w:val="26464E45"/>
    <w:rsid w:val="26EA0030"/>
    <w:rsid w:val="28D70671"/>
    <w:rsid w:val="29D330DB"/>
    <w:rsid w:val="2B0127EE"/>
    <w:rsid w:val="3227481A"/>
    <w:rsid w:val="377B30F7"/>
    <w:rsid w:val="3BD378C6"/>
    <w:rsid w:val="3CC80884"/>
    <w:rsid w:val="3D063940"/>
    <w:rsid w:val="4AE62C12"/>
    <w:rsid w:val="50805CF2"/>
    <w:rsid w:val="5189163B"/>
    <w:rsid w:val="5C232659"/>
    <w:rsid w:val="5FB0384C"/>
    <w:rsid w:val="60C80C6C"/>
    <w:rsid w:val="62460384"/>
    <w:rsid w:val="638C19A2"/>
    <w:rsid w:val="6CBB4F53"/>
    <w:rsid w:val="6DF31B90"/>
    <w:rsid w:val="6F9E4A8D"/>
    <w:rsid w:val="707C70D2"/>
    <w:rsid w:val="712A294E"/>
    <w:rsid w:val="71EA5A39"/>
    <w:rsid w:val="762142BD"/>
    <w:rsid w:val="78275EE7"/>
    <w:rsid w:val="7B126CB8"/>
    <w:rsid w:val="7B4B3946"/>
    <w:rsid w:val="7DD01669"/>
    <w:rsid w:val="7F421B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page number"/>
    <w:basedOn w:val="5"/>
    <w:qFormat/>
    <w:uiPriority w:val="0"/>
  </w:style>
  <w:style w:type="character" w:customStyle="1" w:styleId="8">
    <w:name w:val="页眉 Char"/>
    <w:basedOn w:val="5"/>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534</Words>
  <Characters>3046</Characters>
  <Lines>25</Lines>
  <Paragraphs>7</Paragraphs>
  <TotalTime>160</TotalTime>
  <ScaleCrop>false</ScaleCrop>
  <LinksUpToDate>false</LinksUpToDate>
  <CharactersWithSpaces>3573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2019-11-06T04:43:00Z</dcterms:created>
  <dc:creator>wellhope</dc:creator>
  <cp:lastModifiedBy>Administrator</cp:lastModifiedBy>
  <cp:lastPrinted>2019-11-15T05:02:00Z</cp:lastPrinted>
  <dcterms:modified xsi:type="dcterms:W3CDTF">2021-05-20T13:53:25Z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