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ind w:firstLine="0" w:firstLineChars="0"/>
        <w:jc w:val="center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  <w:t>转移支付安排情况说明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pacing w:val="-4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b/>
          <w:bCs w:val="0"/>
          <w:spacing w:val="-4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楷体_GB2312" w:cs="Times New Roman"/>
          <w:b/>
          <w:bCs w:val="0"/>
          <w:spacing w:val="-4"/>
          <w:sz w:val="32"/>
          <w:szCs w:val="32"/>
          <w:lang w:val="en-US" w:eastAsia="zh-Hans"/>
        </w:rPr>
        <w:t>一般公共预算对下转移支付情况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尉犁县无一般公共预算对下转移支付情况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pacing w:val="-4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b/>
          <w:bCs w:val="0"/>
          <w:spacing w:val="-4"/>
          <w:sz w:val="32"/>
          <w:szCs w:val="32"/>
          <w:lang w:val="en-US" w:eastAsia="zh-Hans"/>
        </w:rPr>
        <w:t>二、政府性基金对下转移支付情况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尉犁县无政府性基金对下转移支付情况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pacing w:val="-4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b/>
          <w:bCs w:val="0"/>
          <w:spacing w:val="-4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楷体_GB2312" w:cs="Times New Roman"/>
          <w:b/>
          <w:bCs w:val="0"/>
          <w:spacing w:val="-4"/>
          <w:sz w:val="32"/>
          <w:szCs w:val="32"/>
          <w:lang w:val="en-US" w:eastAsia="zh-Hans"/>
        </w:rPr>
        <w:t>国有资本经营预算对下转移支付情况</w:t>
      </w:r>
    </w:p>
    <w:p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尉犁县无国有资本经营预算对下转移支付情况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E0361"/>
    <w:rsid w:val="495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2024-03-14T08:18:00Z</dcterms:created>
  <dc:creator>Administrator</dc:creator>
  <cp:lastModifiedBy>Administrator</cp:lastModifiedBy>
  <dcterms:modified xsi:type="dcterms:W3CDTF">2024-03-14T08:35:31Z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