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569" w:rsidRDefault="006C6569">
      <w:pPr>
        <w:ind w:firstLine="640"/>
        <w:rPr>
          <w:rFonts w:eastAsia="宋体"/>
        </w:rPr>
      </w:pPr>
      <w:bookmarkStart w:id="0" w:name="OLE_LINK26"/>
    </w:p>
    <w:p w:rsidR="006C6569" w:rsidRDefault="006C6569">
      <w:pPr>
        <w:ind w:firstLine="640"/>
        <w:rPr>
          <w:rFonts w:eastAsia="宋体"/>
        </w:rPr>
      </w:pPr>
    </w:p>
    <w:p w:rsidR="006C6569" w:rsidRDefault="006C6569">
      <w:pPr>
        <w:ind w:firstLine="640"/>
        <w:rPr>
          <w:rFonts w:eastAsia="宋体"/>
        </w:rPr>
      </w:pPr>
    </w:p>
    <w:p w:rsidR="006C6569" w:rsidRDefault="005047E6">
      <w:pPr>
        <w:pStyle w:val="1"/>
        <w:rPr>
          <w:sz w:val="44"/>
          <w:szCs w:val="44"/>
        </w:rPr>
      </w:pPr>
      <w:bookmarkStart w:id="1" w:name="_Toc23109"/>
      <w:bookmarkStart w:id="2" w:name="_Toc24054"/>
      <w:bookmarkStart w:id="3" w:name="_Toc28201"/>
      <w:r>
        <w:rPr>
          <w:sz w:val="44"/>
          <w:szCs w:val="44"/>
        </w:rPr>
        <w:t>项目支出绩效评价报告</w:t>
      </w:r>
      <w:bookmarkEnd w:id="1"/>
      <w:bookmarkEnd w:id="2"/>
      <w:bookmarkEnd w:id="3"/>
    </w:p>
    <w:p w:rsidR="006C6569" w:rsidRDefault="006C6569">
      <w:pPr>
        <w:ind w:firstLine="883"/>
        <w:rPr>
          <w:rFonts w:eastAsia="宋体"/>
          <w:b/>
          <w:bCs/>
          <w:sz w:val="44"/>
          <w:szCs w:val="44"/>
        </w:rPr>
      </w:pPr>
    </w:p>
    <w:p w:rsidR="006C6569" w:rsidRDefault="006C6569">
      <w:pPr>
        <w:ind w:firstLine="640"/>
        <w:rPr>
          <w:rFonts w:eastAsia="宋体"/>
        </w:rPr>
      </w:pPr>
    </w:p>
    <w:p w:rsidR="006C6569" w:rsidRDefault="005047E6">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6C6569" w:rsidRDefault="006C6569">
      <w:pPr>
        <w:ind w:firstLine="640"/>
        <w:rPr>
          <w:rFonts w:eastAsia="宋体"/>
        </w:rPr>
      </w:pPr>
    </w:p>
    <w:p w:rsidR="006C6569" w:rsidRDefault="006C6569">
      <w:pPr>
        <w:ind w:firstLine="640"/>
        <w:rPr>
          <w:rFonts w:eastAsia="宋体"/>
        </w:rPr>
      </w:pPr>
    </w:p>
    <w:p w:rsidR="006C6569" w:rsidRDefault="006C6569">
      <w:pPr>
        <w:ind w:firstLine="640"/>
        <w:rPr>
          <w:rFonts w:eastAsia="宋体"/>
        </w:rPr>
      </w:pPr>
    </w:p>
    <w:p w:rsidR="006C6569" w:rsidRDefault="006C6569">
      <w:pPr>
        <w:ind w:firstLine="640"/>
        <w:rPr>
          <w:rFonts w:eastAsia="宋体"/>
        </w:rPr>
      </w:pPr>
    </w:p>
    <w:p w:rsidR="006C6569" w:rsidRDefault="006C6569">
      <w:pPr>
        <w:ind w:firstLine="643"/>
        <w:rPr>
          <w:rFonts w:eastAsia="宋体"/>
          <w:b/>
          <w:bCs/>
        </w:rPr>
      </w:pPr>
    </w:p>
    <w:p w:rsidR="006C6569" w:rsidRDefault="005047E6">
      <w:pPr>
        <w:ind w:firstLine="640"/>
        <w:rPr>
          <w:rFonts w:ascii="仿宋_GB2312" w:hAnsi="仿宋_GB2312" w:cs="仿宋_GB2312"/>
        </w:rPr>
      </w:pPr>
      <w:r>
        <w:rPr>
          <w:rFonts w:ascii="仿宋_GB2312" w:hAnsi="仿宋_GB2312" w:cs="仿宋_GB2312" w:hint="eastAsia"/>
        </w:rPr>
        <w:t>项目名称：</w:t>
      </w:r>
      <w:bookmarkStart w:id="4" w:name="OLE_LINK1"/>
      <w:r>
        <w:rPr>
          <w:rFonts w:ascii="仿宋_GB2312" w:hAnsi="仿宋_GB2312" w:cs="仿宋_GB2312" w:hint="eastAsia"/>
        </w:rPr>
        <w:t>2024</w:t>
      </w:r>
      <w:r>
        <w:rPr>
          <w:rFonts w:ascii="仿宋_GB2312" w:hAnsi="仿宋_GB2312" w:cs="仿宋_GB2312" w:hint="eastAsia"/>
        </w:rPr>
        <w:t>年“四好农村公路”养护项目</w:t>
      </w:r>
    </w:p>
    <w:bookmarkEnd w:id="4"/>
    <w:p w:rsidR="006C6569" w:rsidRDefault="005047E6">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尉犁县交通运输局</w:t>
      </w:r>
    </w:p>
    <w:p w:rsidR="006C6569" w:rsidRDefault="005047E6">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尉犁县交通运输局</w:t>
      </w:r>
    </w:p>
    <w:p w:rsidR="006C6569" w:rsidRDefault="005047E6">
      <w:pPr>
        <w:ind w:firstLine="640"/>
        <w:rPr>
          <w:rFonts w:ascii="仿宋_GB2312" w:hAnsi="仿宋_GB2312" w:cs="仿宋_GB2312"/>
        </w:rPr>
      </w:pPr>
      <w:r>
        <w:rPr>
          <w:rFonts w:ascii="仿宋_GB2312" w:hAnsi="仿宋_GB2312" w:cs="仿宋_GB2312" w:hint="eastAsia"/>
        </w:rPr>
        <w:t>项目负责人（签章）：克来木·马那甫</w:t>
      </w:r>
    </w:p>
    <w:p w:rsidR="006C6569" w:rsidRDefault="005047E6">
      <w:pPr>
        <w:ind w:firstLine="640"/>
        <w:rPr>
          <w:rFonts w:eastAsia="宋体"/>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4</w:t>
      </w:r>
      <w:r>
        <w:rPr>
          <w:rFonts w:ascii="仿宋_GB2312" w:hAnsi="仿宋_GB2312" w:cs="仿宋_GB2312" w:hint="eastAsia"/>
        </w:rPr>
        <w:t>月</w:t>
      </w:r>
      <w:r>
        <w:rPr>
          <w:rFonts w:ascii="仿宋_GB2312" w:hAnsi="仿宋_GB2312" w:cs="仿宋_GB2312" w:hint="eastAsia"/>
        </w:rPr>
        <w:t>3</w:t>
      </w:r>
      <w:r>
        <w:rPr>
          <w:rFonts w:ascii="仿宋_GB2312" w:hAnsi="仿宋_GB2312" w:cs="仿宋_GB2312" w:hint="eastAsia"/>
        </w:rPr>
        <w:t>日</w:t>
      </w:r>
    </w:p>
    <w:p w:rsidR="006C6569" w:rsidRDefault="006C6569">
      <w:pPr>
        <w:ind w:firstLine="640"/>
        <w:rPr>
          <w:rFonts w:eastAsia="宋体"/>
        </w:rPr>
        <w:sectPr w:rsidR="006C656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docGrid w:type="lines" w:linePitch="312"/>
        </w:sectPr>
      </w:pPr>
    </w:p>
    <w:p w:rsidR="006C6569" w:rsidRDefault="005047E6">
      <w:pPr>
        <w:spacing w:line="580" w:lineRule="exact"/>
        <w:ind w:firstLineChars="0" w:firstLine="0"/>
        <w:jc w:val="center"/>
        <w:rPr>
          <w:b/>
          <w:bCs/>
          <w:szCs w:val="32"/>
        </w:rPr>
      </w:pPr>
      <w:bookmarkStart w:id="5" w:name="_Toc14721"/>
      <w:bookmarkStart w:id="6" w:name="_Toc1891"/>
      <w:bookmarkStart w:id="7" w:name="_Toc5473"/>
      <w:bookmarkStart w:id="8" w:name="_Toc18707"/>
      <w:bookmarkStart w:id="9" w:name="_Toc15542"/>
      <w:bookmarkStart w:id="10" w:name="_Toc11827"/>
      <w:r>
        <w:rPr>
          <w:rFonts w:ascii="宋体" w:eastAsia="宋体" w:hAnsi="宋体"/>
          <w:b/>
          <w:bCs/>
          <w:szCs w:val="32"/>
        </w:rPr>
        <w:lastRenderedPageBreak/>
        <w:t>目</w:t>
      </w:r>
      <w:r>
        <w:rPr>
          <w:rFonts w:ascii="宋体" w:eastAsia="宋体" w:hAnsi="宋体" w:hint="eastAsia"/>
          <w:b/>
          <w:bCs/>
          <w:szCs w:val="32"/>
        </w:rPr>
        <w:t xml:space="preserve">  </w:t>
      </w:r>
      <w:r>
        <w:rPr>
          <w:rFonts w:ascii="宋体" w:eastAsia="宋体" w:hAnsi="宋体"/>
          <w:b/>
          <w:bCs/>
          <w:szCs w:val="32"/>
        </w:rPr>
        <w:t>录</w:t>
      </w:r>
    </w:p>
    <w:p w:rsidR="006C6569" w:rsidRDefault="005047E6">
      <w:pPr>
        <w:pStyle w:val="WPSOffice1"/>
        <w:tabs>
          <w:tab w:val="right" w:leader="dot" w:pos="8306"/>
        </w:tabs>
        <w:spacing w:line="580" w:lineRule="exact"/>
        <w:rPr>
          <w:bCs/>
          <w:sz w:val="32"/>
          <w:szCs w:val="32"/>
        </w:rPr>
      </w:pPr>
      <w:r>
        <w:rPr>
          <w:sz w:val="32"/>
          <w:szCs w:val="32"/>
        </w:rPr>
        <w:fldChar w:fldCharType="begin"/>
      </w:r>
      <w:r>
        <w:rPr>
          <w:sz w:val="32"/>
          <w:szCs w:val="32"/>
        </w:rPr>
        <w:instrText xml:space="preserve">TOC \o "1-2" \h \u </w:instrText>
      </w:r>
      <w:r>
        <w:rPr>
          <w:sz w:val="32"/>
          <w:szCs w:val="32"/>
        </w:rPr>
        <w:fldChar w:fldCharType="separate"/>
      </w:r>
      <w:hyperlink w:anchor="_Toc3972" w:history="1">
        <w:r>
          <w:rPr>
            <w:rFonts w:eastAsia="黑体"/>
            <w:bCs/>
            <w:iCs/>
            <w:kern w:val="2"/>
            <w:sz w:val="32"/>
            <w:szCs w:val="32"/>
          </w:rPr>
          <w:t>一、基本情况</w:t>
        </w:r>
        <w:r>
          <w:rPr>
            <w:bCs/>
            <w:sz w:val="32"/>
            <w:szCs w:val="32"/>
          </w:rPr>
          <w:tab/>
        </w:r>
        <w:r>
          <w:rPr>
            <w:bCs/>
            <w:sz w:val="32"/>
            <w:szCs w:val="32"/>
          </w:rPr>
          <w:fldChar w:fldCharType="begin"/>
        </w:r>
        <w:r>
          <w:rPr>
            <w:bCs/>
            <w:sz w:val="32"/>
            <w:szCs w:val="32"/>
          </w:rPr>
          <w:instrText xml:space="preserve"> PAGEREF _Toc3972 \h </w:instrText>
        </w:r>
        <w:r>
          <w:rPr>
            <w:bCs/>
            <w:sz w:val="32"/>
            <w:szCs w:val="32"/>
          </w:rPr>
        </w:r>
        <w:r>
          <w:rPr>
            <w:bCs/>
            <w:sz w:val="32"/>
            <w:szCs w:val="32"/>
          </w:rPr>
          <w:fldChar w:fldCharType="separate"/>
        </w:r>
        <w:r>
          <w:rPr>
            <w:bCs/>
            <w:sz w:val="32"/>
            <w:szCs w:val="32"/>
          </w:rPr>
          <w:t>1</w:t>
        </w:r>
        <w:r>
          <w:rPr>
            <w:bCs/>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1779" w:history="1">
        <w:r>
          <w:rPr>
            <w:rFonts w:eastAsia="楷体"/>
            <w:sz w:val="32"/>
            <w:szCs w:val="32"/>
          </w:rPr>
          <w:t>（一）项目概况</w:t>
        </w:r>
        <w:r>
          <w:rPr>
            <w:sz w:val="32"/>
            <w:szCs w:val="32"/>
          </w:rPr>
          <w:tab/>
        </w:r>
        <w:r>
          <w:rPr>
            <w:sz w:val="32"/>
            <w:szCs w:val="32"/>
          </w:rPr>
          <w:fldChar w:fldCharType="begin"/>
        </w:r>
        <w:r>
          <w:rPr>
            <w:sz w:val="32"/>
            <w:szCs w:val="32"/>
          </w:rPr>
          <w:instrText xml:space="preserve"> PAGEREF _Toc1779 \h </w:instrText>
        </w:r>
        <w:r>
          <w:rPr>
            <w:sz w:val="32"/>
            <w:szCs w:val="32"/>
          </w:rPr>
        </w:r>
        <w:r>
          <w:rPr>
            <w:sz w:val="32"/>
            <w:szCs w:val="32"/>
          </w:rPr>
          <w:fldChar w:fldCharType="separate"/>
        </w:r>
        <w:r>
          <w:rPr>
            <w:sz w:val="32"/>
            <w:szCs w:val="32"/>
          </w:rPr>
          <w:t>1</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16268" w:history="1">
        <w:r>
          <w:rPr>
            <w:rFonts w:eastAsia="楷体"/>
            <w:sz w:val="32"/>
            <w:szCs w:val="32"/>
          </w:rPr>
          <w:t>（二）项目绩效目标</w:t>
        </w:r>
        <w:r>
          <w:rPr>
            <w:sz w:val="32"/>
            <w:szCs w:val="32"/>
          </w:rPr>
          <w:tab/>
        </w:r>
        <w:r>
          <w:rPr>
            <w:sz w:val="32"/>
            <w:szCs w:val="32"/>
          </w:rPr>
          <w:fldChar w:fldCharType="begin"/>
        </w:r>
        <w:r>
          <w:rPr>
            <w:sz w:val="32"/>
            <w:szCs w:val="32"/>
          </w:rPr>
          <w:instrText xml:space="preserve"> PAGEREF _Toc16268 \h </w:instrText>
        </w:r>
        <w:r>
          <w:rPr>
            <w:sz w:val="32"/>
            <w:szCs w:val="32"/>
          </w:rPr>
        </w:r>
        <w:r>
          <w:rPr>
            <w:sz w:val="32"/>
            <w:szCs w:val="32"/>
          </w:rPr>
          <w:fldChar w:fldCharType="separate"/>
        </w:r>
        <w:r>
          <w:rPr>
            <w:sz w:val="32"/>
            <w:szCs w:val="32"/>
          </w:rPr>
          <w:t>4</w:t>
        </w:r>
        <w:r>
          <w:rPr>
            <w:sz w:val="32"/>
            <w:szCs w:val="32"/>
          </w:rPr>
          <w:fldChar w:fldCharType="end"/>
        </w:r>
      </w:hyperlink>
    </w:p>
    <w:p w:rsidR="006C6569" w:rsidRDefault="005047E6">
      <w:pPr>
        <w:pStyle w:val="WPSOffice2"/>
        <w:tabs>
          <w:tab w:val="right" w:leader="dot" w:pos="8306"/>
        </w:tabs>
        <w:spacing w:line="580" w:lineRule="exact"/>
        <w:ind w:leftChars="0" w:left="0"/>
        <w:rPr>
          <w:sz w:val="32"/>
          <w:szCs w:val="32"/>
        </w:rPr>
      </w:pPr>
      <w:hyperlink w:anchor="_Toc19395" w:history="1">
        <w:r>
          <w:rPr>
            <w:rFonts w:eastAsia="黑体"/>
            <w:sz w:val="32"/>
            <w:szCs w:val="32"/>
          </w:rPr>
          <w:t>二、绩效评价工作开展情况</w:t>
        </w:r>
        <w:r>
          <w:rPr>
            <w:sz w:val="32"/>
            <w:szCs w:val="32"/>
          </w:rPr>
          <w:tab/>
        </w:r>
        <w:r>
          <w:rPr>
            <w:sz w:val="32"/>
            <w:szCs w:val="32"/>
          </w:rPr>
          <w:fldChar w:fldCharType="begin"/>
        </w:r>
        <w:r>
          <w:rPr>
            <w:sz w:val="32"/>
            <w:szCs w:val="32"/>
          </w:rPr>
          <w:instrText xml:space="preserve"> PAGEREF _Toc19395 \h </w:instrText>
        </w:r>
        <w:r>
          <w:rPr>
            <w:sz w:val="32"/>
            <w:szCs w:val="32"/>
          </w:rPr>
        </w:r>
        <w:r>
          <w:rPr>
            <w:sz w:val="32"/>
            <w:szCs w:val="32"/>
          </w:rPr>
          <w:fldChar w:fldCharType="separate"/>
        </w:r>
        <w:r>
          <w:rPr>
            <w:sz w:val="32"/>
            <w:szCs w:val="32"/>
          </w:rPr>
          <w:t>5</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3338" w:history="1">
        <w:r>
          <w:rPr>
            <w:rFonts w:eastAsia="楷体"/>
            <w:sz w:val="32"/>
            <w:szCs w:val="32"/>
          </w:rPr>
          <w:t>（一）绩效评价目的、对象和范围</w:t>
        </w:r>
        <w:r>
          <w:rPr>
            <w:sz w:val="32"/>
            <w:szCs w:val="32"/>
          </w:rPr>
          <w:tab/>
        </w:r>
        <w:r>
          <w:rPr>
            <w:sz w:val="32"/>
            <w:szCs w:val="32"/>
          </w:rPr>
          <w:fldChar w:fldCharType="begin"/>
        </w:r>
        <w:r>
          <w:rPr>
            <w:sz w:val="32"/>
            <w:szCs w:val="32"/>
          </w:rPr>
          <w:instrText xml:space="preserve"> PAGEREF _Toc3338 \h </w:instrText>
        </w:r>
        <w:r>
          <w:rPr>
            <w:sz w:val="32"/>
            <w:szCs w:val="32"/>
          </w:rPr>
        </w:r>
        <w:r>
          <w:rPr>
            <w:sz w:val="32"/>
            <w:szCs w:val="32"/>
          </w:rPr>
          <w:fldChar w:fldCharType="separate"/>
        </w:r>
        <w:r>
          <w:rPr>
            <w:sz w:val="32"/>
            <w:szCs w:val="32"/>
          </w:rPr>
          <w:t>5</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16288" w:history="1">
        <w:r>
          <w:rPr>
            <w:rFonts w:ascii="楷体" w:eastAsia="楷体" w:hAnsi="楷体" w:cs="楷体" w:hint="eastAsia"/>
            <w:sz w:val="32"/>
            <w:szCs w:val="32"/>
          </w:rPr>
          <w:t>（二）绩效评价原则、评价指标体系、评价方法、评价标准</w:t>
        </w:r>
        <w:r>
          <w:rPr>
            <w:sz w:val="32"/>
            <w:szCs w:val="32"/>
          </w:rPr>
          <w:tab/>
        </w:r>
        <w:r>
          <w:rPr>
            <w:sz w:val="32"/>
            <w:szCs w:val="32"/>
          </w:rPr>
          <w:fldChar w:fldCharType="begin"/>
        </w:r>
        <w:r>
          <w:rPr>
            <w:sz w:val="32"/>
            <w:szCs w:val="32"/>
          </w:rPr>
          <w:instrText xml:space="preserve"> PAGEREF _Toc1</w:instrText>
        </w:r>
        <w:r>
          <w:rPr>
            <w:sz w:val="32"/>
            <w:szCs w:val="32"/>
          </w:rPr>
          <w:instrText xml:space="preserve">6288 \h </w:instrText>
        </w:r>
        <w:r>
          <w:rPr>
            <w:sz w:val="32"/>
            <w:szCs w:val="32"/>
          </w:rPr>
        </w:r>
        <w:r>
          <w:rPr>
            <w:sz w:val="32"/>
            <w:szCs w:val="32"/>
          </w:rPr>
          <w:fldChar w:fldCharType="separate"/>
        </w:r>
        <w:r>
          <w:rPr>
            <w:sz w:val="32"/>
            <w:szCs w:val="32"/>
          </w:rPr>
          <w:t>7</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3085" w:history="1">
        <w:r>
          <w:rPr>
            <w:rFonts w:ascii="楷体" w:eastAsia="楷体" w:hAnsi="楷体" w:cs="楷体" w:hint="eastAsia"/>
            <w:sz w:val="32"/>
            <w:szCs w:val="32"/>
          </w:rPr>
          <w:t>（三）绩效评价工作过程</w:t>
        </w:r>
        <w:r>
          <w:rPr>
            <w:sz w:val="32"/>
            <w:szCs w:val="32"/>
          </w:rPr>
          <w:tab/>
        </w:r>
        <w:r>
          <w:rPr>
            <w:sz w:val="32"/>
            <w:szCs w:val="32"/>
          </w:rPr>
          <w:fldChar w:fldCharType="begin"/>
        </w:r>
        <w:r>
          <w:rPr>
            <w:sz w:val="32"/>
            <w:szCs w:val="32"/>
          </w:rPr>
          <w:instrText xml:space="preserve"> PAGEREF _Toc3085 \h </w:instrText>
        </w:r>
        <w:r>
          <w:rPr>
            <w:sz w:val="32"/>
            <w:szCs w:val="32"/>
          </w:rPr>
        </w:r>
        <w:r>
          <w:rPr>
            <w:sz w:val="32"/>
            <w:szCs w:val="32"/>
          </w:rPr>
          <w:fldChar w:fldCharType="separate"/>
        </w:r>
        <w:r>
          <w:rPr>
            <w:sz w:val="32"/>
            <w:szCs w:val="32"/>
          </w:rPr>
          <w:t>12</w:t>
        </w:r>
        <w:r>
          <w:rPr>
            <w:sz w:val="32"/>
            <w:szCs w:val="32"/>
          </w:rPr>
          <w:fldChar w:fldCharType="end"/>
        </w:r>
      </w:hyperlink>
    </w:p>
    <w:p w:rsidR="006C6569" w:rsidRDefault="005047E6">
      <w:pPr>
        <w:pStyle w:val="WPSOffice2"/>
        <w:tabs>
          <w:tab w:val="right" w:leader="dot" w:pos="8306"/>
        </w:tabs>
        <w:spacing w:line="580" w:lineRule="exact"/>
        <w:ind w:leftChars="0" w:left="0"/>
        <w:rPr>
          <w:sz w:val="32"/>
          <w:szCs w:val="32"/>
        </w:rPr>
      </w:pPr>
      <w:hyperlink w:anchor="_Toc25579" w:history="1">
        <w:r>
          <w:rPr>
            <w:rFonts w:ascii="黑体" w:eastAsia="黑体" w:hAnsi="黑体" w:cs="黑体" w:hint="eastAsia"/>
            <w:sz w:val="32"/>
            <w:szCs w:val="32"/>
          </w:rPr>
          <w:t>三、综合评价情况及评价结论</w:t>
        </w:r>
        <w:r>
          <w:rPr>
            <w:sz w:val="32"/>
            <w:szCs w:val="32"/>
          </w:rPr>
          <w:tab/>
        </w:r>
        <w:r>
          <w:rPr>
            <w:sz w:val="32"/>
            <w:szCs w:val="32"/>
          </w:rPr>
          <w:fldChar w:fldCharType="begin"/>
        </w:r>
        <w:r>
          <w:rPr>
            <w:sz w:val="32"/>
            <w:szCs w:val="32"/>
          </w:rPr>
          <w:instrText xml:space="preserve"> PAGEREF _Toc2557</w:instrText>
        </w:r>
        <w:r>
          <w:rPr>
            <w:sz w:val="32"/>
            <w:szCs w:val="32"/>
          </w:rPr>
          <w:instrText xml:space="preserve">9 \h </w:instrText>
        </w:r>
        <w:r>
          <w:rPr>
            <w:sz w:val="32"/>
            <w:szCs w:val="32"/>
          </w:rPr>
        </w:r>
        <w:r>
          <w:rPr>
            <w:sz w:val="32"/>
            <w:szCs w:val="32"/>
          </w:rPr>
          <w:fldChar w:fldCharType="separate"/>
        </w:r>
        <w:r>
          <w:rPr>
            <w:sz w:val="32"/>
            <w:szCs w:val="32"/>
          </w:rPr>
          <w:t>14</w:t>
        </w:r>
        <w:r>
          <w:rPr>
            <w:sz w:val="32"/>
            <w:szCs w:val="32"/>
          </w:rPr>
          <w:fldChar w:fldCharType="end"/>
        </w:r>
      </w:hyperlink>
    </w:p>
    <w:p w:rsidR="006C6569" w:rsidRDefault="005047E6">
      <w:pPr>
        <w:pStyle w:val="WPSOffice2"/>
        <w:tabs>
          <w:tab w:val="right" w:leader="dot" w:pos="8306"/>
        </w:tabs>
        <w:spacing w:line="580" w:lineRule="exact"/>
        <w:ind w:leftChars="0" w:left="0"/>
        <w:rPr>
          <w:sz w:val="32"/>
          <w:szCs w:val="32"/>
        </w:rPr>
      </w:pPr>
      <w:hyperlink w:anchor="_Toc12940" w:history="1">
        <w:r>
          <w:rPr>
            <w:rFonts w:ascii="黑体" w:eastAsia="黑体" w:hAnsi="黑体" w:cs="黑体" w:hint="eastAsia"/>
            <w:sz w:val="32"/>
            <w:szCs w:val="32"/>
          </w:rPr>
          <w:t>四、绩效评价指标分析</w:t>
        </w:r>
        <w:r>
          <w:rPr>
            <w:sz w:val="32"/>
            <w:szCs w:val="32"/>
          </w:rPr>
          <w:tab/>
        </w:r>
        <w:r>
          <w:rPr>
            <w:sz w:val="32"/>
            <w:szCs w:val="32"/>
          </w:rPr>
          <w:fldChar w:fldCharType="begin"/>
        </w:r>
        <w:r>
          <w:rPr>
            <w:sz w:val="32"/>
            <w:szCs w:val="32"/>
          </w:rPr>
          <w:instrText xml:space="preserve"> PAGEREF _Toc12940 \h </w:instrText>
        </w:r>
        <w:r>
          <w:rPr>
            <w:sz w:val="32"/>
            <w:szCs w:val="32"/>
          </w:rPr>
        </w:r>
        <w:r>
          <w:rPr>
            <w:sz w:val="32"/>
            <w:szCs w:val="32"/>
          </w:rPr>
          <w:fldChar w:fldCharType="separate"/>
        </w:r>
        <w:r>
          <w:rPr>
            <w:sz w:val="32"/>
            <w:szCs w:val="32"/>
          </w:rPr>
          <w:t>15</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18493" w:history="1">
        <w:r>
          <w:rPr>
            <w:rFonts w:ascii="楷体" w:eastAsia="楷体" w:hAnsi="楷体" w:cs="楷体" w:hint="eastAsia"/>
            <w:sz w:val="32"/>
            <w:szCs w:val="32"/>
          </w:rPr>
          <w:t>（一）项目决策情况</w:t>
        </w:r>
        <w:r>
          <w:rPr>
            <w:sz w:val="32"/>
            <w:szCs w:val="32"/>
          </w:rPr>
          <w:tab/>
        </w:r>
        <w:r>
          <w:rPr>
            <w:sz w:val="32"/>
            <w:szCs w:val="32"/>
          </w:rPr>
          <w:fldChar w:fldCharType="begin"/>
        </w:r>
        <w:r>
          <w:rPr>
            <w:sz w:val="32"/>
            <w:szCs w:val="32"/>
          </w:rPr>
          <w:instrText xml:space="preserve"> PAGEREF _Toc18493 \h </w:instrText>
        </w:r>
        <w:r>
          <w:rPr>
            <w:sz w:val="32"/>
            <w:szCs w:val="32"/>
          </w:rPr>
        </w:r>
        <w:r>
          <w:rPr>
            <w:sz w:val="32"/>
            <w:szCs w:val="32"/>
          </w:rPr>
          <w:fldChar w:fldCharType="separate"/>
        </w:r>
        <w:r>
          <w:rPr>
            <w:sz w:val="32"/>
            <w:szCs w:val="32"/>
          </w:rPr>
          <w:t>15</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9137" w:history="1">
        <w:r>
          <w:rPr>
            <w:rFonts w:ascii="楷体" w:eastAsia="楷体" w:hAnsi="楷体" w:cs="楷体" w:hint="eastAsia"/>
            <w:sz w:val="32"/>
            <w:szCs w:val="32"/>
          </w:rPr>
          <w:t>（二）项目过程情况</w:t>
        </w:r>
        <w:r>
          <w:rPr>
            <w:sz w:val="32"/>
            <w:szCs w:val="32"/>
          </w:rPr>
          <w:tab/>
        </w:r>
        <w:r>
          <w:rPr>
            <w:sz w:val="32"/>
            <w:szCs w:val="32"/>
          </w:rPr>
          <w:fldChar w:fldCharType="begin"/>
        </w:r>
        <w:r>
          <w:rPr>
            <w:sz w:val="32"/>
            <w:szCs w:val="32"/>
          </w:rPr>
          <w:instrText xml:space="preserve"> PAGEREF _Toc9137 \h </w:instrText>
        </w:r>
        <w:r>
          <w:rPr>
            <w:sz w:val="32"/>
            <w:szCs w:val="32"/>
          </w:rPr>
        </w:r>
        <w:r>
          <w:rPr>
            <w:sz w:val="32"/>
            <w:szCs w:val="32"/>
          </w:rPr>
          <w:fldChar w:fldCharType="separate"/>
        </w:r>
        <w:r>
          <w:rPr>
            <w:sz w:val="32"/>
            <w:szCs w:val="32"/>
          </w:rPr>
          <w:t>17</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12780" w:history="1">
        <w:r>
          <w:rPr>
            <w:rFonts w:ascii="楷体" w:eastAsia="楷体" w:hAnsi="楷体" w:cs="楷体" w:hint="eastAsia"/>
            <w:sz w:val="32"/>
            <w:szCs w:val="32"/>
          </w:rPr>
          <w:t>（三）项目产出情况</w:t>
        </w:r>
        <w:r>
          <w:rPr>
            <w:sz w:val="32"/>
            <w:szCs w:val="32"/>
          </w:rPr>
          <w:tab/>
        </w:r>
        <w:r>
          <w:rPr>
            <w:sz w:val="32"/>
            <w:szCs w:val="32"/>
          </w:rPr>
          <w:fldChar w:fldCharType="begin"/>
        </w:r>
        <w:r>
          <w:rPr>
            <w:sz w:val="32"/>
            <w:szCs w:val="32"/>
          </w:rPr>
          <w:instrText xml:space="preserve"> PAGEREF _Toc12780 \h </w:instrText>
        </w:r>
        <w:r>
          <w:rPr>
            <w:sz w:val="32"/>
            <w:szCs w:val="32"/>
          </w:rPr>
        </w:r>
        <w:r>
          <w:rPr>
            <w:sz w:val="32"/>
            <w:szCs w:val="32"/>
          </w:rPr>
          <w:fldChar w:fldCharType="separate"/>
        </w:r>
        <w:r>
          <w:rPr>
            <w:sz w:val="32"/>
            <w:szCs w:val="32"/>
          </w:rPr>
          <w:t>18</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739" w:history="1">
        <w:r>
          <w:rPr>
            <w:rFonts w:ascii="楷体" w:eastAsia="楷体" w:hAnsi="楷体" w:cs="楷体" w:hint="eastAsia"/>
            <w:sz w:val="32"/>
            <w:szCs w:val="32"/>
          </w:rPr>
          <w:t>（四）项目效益情况</w:t>
        </w:r>
        <w:r>
          <w:rPr>
            <w:sz w:val="32"/>
            <w:szCs w:val="32"/>
          </w:rPr>
          <w:tab/>
        </w:r>
        <w:r>
          <w:rPr>
            <w:sz w:val="32"/>
            <w:szCs w:val="32"/>
          </w:rPr>
          <w:fldChar w:fldCharType="begin"/>
        </w:r>
        <w:r>
          <w:rPr>
            <w:sz w:val="32"/>
            <w:szCs w:val="32"/>
          </w:rPr>
          <w:instrText xml:space="preserve"> PAGEREF _Toc739 \h </w:instrText>
        </w:r>
        <w:r>
          <w:rPr>
            <w:sz w:val="32"/>
            <w:szCs w:val="32"/>
          </w:rPr>
        </w:r>
        <w:r>
          <w:rPr>
            <w:sz w:val="32"/>
            <w:szCs w:val="32"/>
          </w:rPr>
          <w:fldChar w:fldCharType="separate"/>
        </w:r>
        <w:r>
          <w:rPr>
            <w:sz w:val="32"/>
            <w:szCs w:val="32"/>
          </w:rPr>
          <w:t>19</w:t>
        </w:r>
        <w:r>
          <w:rPr>
            <w:sz w:val="32"/>
            <w:szCs w:val="32"/>
          </w:rPr>
          <w:fldChar w:fldCharType="end"/>
        </w:r>
      </w:hyperlink>
    </w:p>
    <w:p w:rsidR="006C6569" w:rsidRDefault="005047E6">
      <w:pPr>
        <w:pStyle w:val="WPSOffice2"/>
        <w:tabs>
          <w:tab w:val="right" w:leader="dot" w:pos="8306"/>
        </w:tabs>
        <w:spacing w:line="580" w:lineRule="exact"/>
        <w:ind w:leftChars="0" w:left="0"/>
        <w:rPr>
          <w:sz w:val="32"/>
          <w:szCs w:val="32"/>
        </w:rPr>
      </w:pPr>
      <w:hyperlink w:anchor="_Toc17596" w:history="1">
        <w:r>
          <w:rPr>
            <w:rFonts w:ascii="黑体" w:eastAsia="黑体" w:hAnsi="黑体" w:cs="黑体" w:hint="eastAsia"/>
            <w:sz w:val="32"/>
            <w:szCs w:val="32"/>
          </w:rPr>
          <w:t>五、主要经验及做法、存在的问题及原因分析</w:t>
        </w:r>
        <w:r>
          <w:rPr>
            <w:sz w:val="32"/>
            <w:szCs w:val="32"/>
          </w:rPr>
          <w:tab/>
        </w:r>
        <w:r>
          <w:rPr>
            <w:sz w:val="32"/>
            <w:szCs w:val="32"/>
          </w:rPr>
          <w:fldChar w:fldCharType="begin"/>
        </w:r>
        <w:r>
          <w:rPr>
            <w:sz w:val="32"/>
            <w:szCs w:val="32"/>
          </w:rPr>
          <w:instrText xml:space="preserve"> PAGEREF _Toc17596 \h </w:instrText>
        </w:r>
        <w:r>
          <w:rPr>
            <w:sz w:val="32"/>
            <w:szCs w:val="32"/>
          </w:rPr>
        </w:r>
        <w:r>
          <w:rPr>
            <w:sz w:val="32"/>
            <w:szCs w:val="32"/>
          </w:rPr>
          <w:fldChar w:fldCharType="separate"/>
        </w:r>
        <w:r>
          <w:rPr>
            <w:sz w:val="32"/>
            <w:szCs w:val="32"/>
          </w:rPr>
          <w:t>20</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10728" w:history="1">
        <w:r>
          <w:rPr>
            <w:rFonts w:ascii="楷体" w:eastAsia="楷体" w:hAnsi="楷体" w:cs="楷体" w:hint="eastAsia"/>
            <w:sz w:val="32"/>
            <w:szCs w:val="32"/>
          </w:rPr>
          <w:t>（一）主要经验及做法</w:t>
        </w:r>
        <w:r>
          <w:rPr>
            <w:sz w:val="32"/>
            <w:szCs w:val="32"/>
          </w:rPr>
          <w:tab/>
        </w:r>
        <w:r>
          <w:rPr>
            <w:sz w:val="32"/>
            <w:szCs w:val="32"/>
          </w:rPr>
          <w:fldChar w:fldCharType="begin"/>
        </w:r>
        <w:r>
          <w:rPr>
            <w:sz w:val="32"/>
            <w:szCs w:val="32"/>
          </w:rPr>
          <w:instrText xml:space="preserve"> PAGEREF _Toc10728 \h </w:instrText>
        </w:r>
        <w:r>
          <w:rPr>
            <w:sz w:val="32"/>
            <w:szCs w:val="32"/>
          </w:rPr>
        </w:r>
        <w:r>
          <w:rPr>
            <w:sz w:val="32"/>
            <w:szCs w:val="32"/>
          </w:rPr>
          <w:fldChar w:fldCharType="separate"/>
        </w:r>
        <w:r>
          <w:rPr>
            <w:sz w:val="32"/>
            <w:szCs w:val="32"/>
          </w:rPr>
          <w:t>20</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24430" w:history="1">
        <w:r>
          <w:rPr>
            <w:rFonts w:ascii="楷体" w:eastAsia="楷体" w:hAnsi="楷体" w:cs="楷体" w:hint="eastAsia"/>
            <w:sz w:val="32"/>
            <w:szCs w:val="32"/>
          </w:rPr>
          <w:t>（二）存在的问题及分析</w:t>
        </w:r>
        <w:r>
          <w:rPr>
            <w:sz w:val="32"/>
            <w:szCs w:val="32"/>
          </w:rPr>
          <w:tab/>
        </w:r>
        <w:r>
          <w:rPr>
            <w:sz w:val="32"/>
            <w:szCs w:val="32"/>
          </w:rPr>
          <w:fldChar w:fldCharType="begin"/>
        </w:r>
        <w:r>
          <w:rPr>
            <w:sz w:val="32"/>
            <w:szCs w:val="32"/>
          </w:rPr>
          <w:instrText xml:space="preserve"> PAGEREF _Toc24430 \h </w:instrText>
        </w:r>
        <w:r>
          <w:rPr>
            <w:sz w:val="32"/>
            <w:szCs w:val="32"/>
          </w:rPr>
        </w:r>
        <w:r>
          <w:rPr>
            <w:sz w:val="32"/>
            <w:szCs w:val="32"/>
          </w:rPr>
          <w:fldChar w:fldCharType="separate"/>
        </w:r>
        <w:r>
          <w:rPr>
            <w:sz w:val="32"/>
            <w:szCs w:val="32"/>
          </w:rPr>
          <w:t>22</w:t>
        </w:r>
        <w:r>
          <w:rPr>
            <w:sz w:val="32"/>
            <w:szCs w:val="32"/>
          </w:rPr>
          <w:fldChar w:fldCharType="end"/>
        </w:r>
      </w:hyperlink>
    </w:p>
    <w:p w:rsidR="006C6569" w:rsidRDefault="005047E6">
      <w:pPr>
        <w:pStyle w:val="WPSOffice2"/>
        <w:tabs>
          <w:tab w:val="right" w:leader="dot" w:pos="8306"/>
        </w:tabs>
        <w:spacing w:line="580" w:lineRule="exact"/>
        <w:ind w:leftChars="0" w:left="0"/>
        <w:rPr>
          <w:sz w:val="32"/>
          <w:szCs w:val="32"/>
        </w:rPr>
      </w:pPr>
      <w:hyperlink w:anchor="_Toc8238" w:history="1">
        <w:r>
          <w:rPr>
            <w:rFonts w:ascii="黑体" w:eastAsia="黑体" w:hAnsi="黑体" w:cs="黑体" w:hint="eastAsia"/>
            <w:sz w:val="32"/>
            <w:szCs w:val="32"/>
          </w:rPr>
          <w:t>六、有关建议</w:t>
        </w:r>
        <w:r>
          <w:rPr>
            <w:sz w:val="32"/>
            <w:szCs w:val="32"/>
          </w:rPr>
          <w:tab/>
        </w:r>
        <w:r>
          <w:rPr>
            <w:sz w:val="32"/>
            <w:szCs w:val="32"/>
          </w:rPr>
          <w:fldChar w:fldCharType="begin"/>
        </w:r>
        <w:r>
          <w:rPr>
            <w:sz w:val="32"/>
            <w:szCs w:val="32"/>
          </w:rPr>
          <w:instrText xml:space="preserve"> PAGEREF _Toc8238 \h </w:instrText>
        </w:r>
        <w:r>
          <w:rPr>
            <w:sz w:val="32"/>
            <w:szCs w:val="32"/>
          </w:rPr>
        </w:r>
        <w:r>
          <w:rPr>
            <w:sz w:val="32"/>
            <w:szCs w:val="32"/>
          </w:rPr>
          <w:fldChar w:fldCharType="separate"/>
        </w:r>
        <w:r>
          <w:rPr>
            <w:sz w:val="32"/>
            <w:szCs w:val="32"/>
          </w:rPr>
          <w:t>22</w:t>
        </w:r>
        <w:r>
          <w:rPr>
            <w:sz w:val="32"/>
            <w:szCs w:val="32"/>
          </w:rPr>
          <w:fldChar w:fldCharType="end"/>
        </w:r>
      </w:hyperlink>
    </w:p>
    <w:p w:rsidR="006C6569" w:rsidRDefault="005047E6">
      <w:pPr>
        <w:pStyle w:val="WPSOffice2"/>
        <w:tabs>
          <w:tab w:val="right" w:leader="dot" w:pos="8306"/>
        </w:tabs>
        <w:spacing w:line="580" w:lineRule="exact"/>
        <w:ind w:leftChars="0" w:left="0"/>
        <w:rPr>
          <w:sz w:val="32"/>
          <w:szCs w:val="32"/>
        </w:rPr>
      </w:pPr>
      <w:hyperlink w:anchor="_Toc18594" w:history="1">
        <w:r>
          <w:rPr>
            <w:rFonts w:ascii="黑体" w:eastAsia="黑体" w:hAnsi="黑体" w:cs="黑体"/>
            <w:bCs/>
            <w:iCs/>
            <w:sz w:val="32"/>
            <w:szCs w:val="32"/>
          </w:rPr>
          <w:t>七、其他需要说明的问题</w:t>
        </w:r>
        <w:r>
          <w:rPr>
            <w:sz w:val="32"/>
            <w:szCs w:val="32"/>
          </w:rPr>
          <w:tab/>
        </w:r>
        <w:r>
          <w:rPr>
            <w:sz w:val="32"/>
            <w:szCs w:val="32"/>
          </w:rPr>
          <w:fldChar w:fldCharType="begin"/>
        </w:r>
        <w:r>
          <w:rPr>
            <w:sz w:val="32"/>
            <w:szCs w:val="32"/>
          </w:rPr>
          <w:instrText xml:space="preserve"> PAGEREF _Toc18594 \h </w:instrText>
        </w:r>
        <w:r>
          <w:rPr>
            <w:sz w:val="32"/>
            <w:szCs w:val="32"/>
          </w:rPr>
        </w:r>
        <w:r>
          <w:rPr>
            <w:sz w:val="32"/>
            <w:szCs w:val="32"/>
          </w:rPr>
          <w:fldChar w:fldCharType="separate"/>
        </w:r>
        <w:r>
          <w:rPr>
            <w:sz w:val="32"/>
            <w:szCs w:val="32"/>
          </w:rPr>
          <w:t>23</w:t>
        </w:r>
        <w:r>
          <w:rPr>
            <w:sz w:val="32"/>
            <w:szCs w:val="32"/>
          </w:rPr>
          <w:fldChar w:fldCharType="end"/>
        </w:r>
      </w:hyperlink>
    </w:p>
    <w:p w:rsidR="006C6569" w:rsidRDefault="005047E6">
      <w:pPr>
        <w:pStyle w:val="WPSOffice2"/>
        <w:tabs>
          <w:tab w:val="right" w:leader="dot" w:pos="8306"/>
        </w:tabs>
        <w:spacing w:line="580" w:lineRule="exact"/>
        <w:ind w:leftChars="0" w:left="0"/>
        <w:rPr>
          <w:sz w:val="32"/>
          <w:szCs w:val="32"/>
        </w:rPr>
      </w:pPr>
      <w:hyperlink w:anchor="_Toc8987" w:history="1">
        <w:r>
          <w:rPr>
            <w:rFonts w:ascii="黑体" w:eastAsia="黑体" w:hAnsi="黑体" w:cs="黑体"/>
            <w:bCs/>
            <w:iCs/>
            <w:sz w:val="32"/>
            <w:szCs w:val="32"/>
          </w:rPr>
          <w:t>八、附件</w:t>
        </w:r>
        <w:r>
          <w:rPr>
            <w:sz w:val="32"/>
            <w:szCs w:val="32"/>
          </w:rPr>
          <w:tab/>
        </w:r>
        <w:r>
          <w:rPr>
            <w:sz w:val="32"/>
            <w:szCs w:val="32"/>
          </w:rPr>
          <w:fldChar w:fldCharType="begin"/>
        </w:r>
        <w:r>
          <w:rPr>
            <w:sz w:val="32"/>
            <w:szCs w:val="32"/>
          </w:rPr>
          <w:instrText xml:space="preserve"> PAGEREF _Toc8987 \h </w:instrText>
        </w:r>
        <w:r>
          <w:rPr>
            <w:sz w:val="32"/>
            <w:szCs w:val="32"/>
          </w:rPr>
        </w:r>
        <w:r>
          <w:rPr>
            <w:sz w:val="32"/>
            <w:szCs w:val="32"/>
          </w:rPr>
          <w:fldChar w:fldCharType="separate"/>
        </w:r>
        <w:r>
          <w:rPr>
            <w:sz w:val="32"/>
            <w:szCs w:val="32"/>
          </w:rPr>
          <w:t>23</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7270" w:history="1">
        <w:r>
          <w:rPr>
            <w:rFonts w:eastAsia="仿宋_GB2312"/>
            <w:bCs/>
            <w:iCs/>
            <w:sz w:val="32"/>
            <w:szCs w:val="32"/>
          </w:rPr>
          <w:t>附件</w:t>
        </w:r>
        <w:r>
          <w:rPr>
            <w:rFonts w:eastAsia="仿宋_GB2312"/>
            <w:bCs/>
            <w:iCs/>
            <w:sz w:val="32"/>
            <w:szCs w:val="32"/>
          </w:rPr>
          <w:t>1</w:t>
        </w:r>
        <w:r>
          <w:rPr>
            <w:rFonts w:eastAsia="仿宋_GB2312"/>
            <w:bCs/>
            <w:iCs/>
            <w:sz w:val="32"/>
            <w:szCs w:val="32"/>
          </w:rPr>
          <w:t>：</w:t>
        </w:r>
        <w:r>
          <w:rPr>
            <w:rFonts w:eastAsia="仿宋_GB2312"/>
            <w:sz w:val="32"/>
            <w:szCs w:val="32"/>
          </w:rPr>
          <w:t>项目支出绩效自评表</w:t>
        </w:r>
        <w:r>
          <w:rPr>
            <w:sz w:val="32"/>
            <w:szCs w:val="32"/>
          </w:rPr>
          <w:tab/>
        </w:r>
        <w:r>
          <w:rPr>
            <w:sz w:val="32"/>
            <w:szCs w:val="32"/>
          </w:rPr>
          <w:fldChar w:fldCharType="begin"/>
        </w:r>
        <w:r>
          <w:rPr>
            <w:sz w:val="32"/>
            <w:szCs w:val="32"/>
          </w:rPr>
          <w:instrText xml:space="preserve"> PAGEREF _Toc7270 \h </w:instrText>
        </w:r>
        <w:r>
          <w:rPr>
            <w:sz w:val="32"/>
            <w:szCs w:val="32"/>
          </w:rPr>
        </w:r>
        <w:r>
          <w:rPr>
            <w:sz w:val="32"/>
            <w:szCs w:val="32"/>
          </w:rPr>
          <w:fldChar w:fldCharType="separate"/>
        </w:r>
        <w:r>
          <w:rPr>
            <w:sz w:val="32"/>
            <w:szCs w:val="32"/>
          </w:rPr>
          <w:t>24</w:t>
        </w:r>
        <w:r>
          <w:rPr>
            <w:sz w:val="32"/>
            <w:szCs w:val="32"/>
          </w:rPr>
          <w:fldChar w:fldCharType="end"/>
        </w:r>
      </w:hyperlink>
    </w:p>
    <w:p w:rsidR="006C6569" w:rsidRDefault="005047E6">
      <w:pPr>
        <w:pStyle w:val="WPSOffice2"/>
        <w:tabs>
          <w:tab w:val="right" w:leader="dot" w:pos="8306"/>
        </w:tabs>
        <w:spacing w:line="580" w:lineRule="exact"/>
        <w:ind w:left="640"/>
        <w:rPr>
          <w:sz w:val="32"/>
          <w:szCs w:val="32"/>
        </w:rPr>
      </w:pPr>
      <w:hyperlink w:anchor="_Toc18899" w:history="1">
        <w:r>
          <w:rPr>
            <w:rFonts w:eastAsia="仿宋_GB2312"/>
            <w:sz w:val="32"/>
            <w:szCs w:val="32"/>
          </w:rPr>
          <w:t>附件</w:t>
        </w:r>
        <w:r>
          <w:rPr>
            <w:rFonts w:eastAsia="仿宋_GB2312"/>
            <w:sz w:val="32"/>
            <w:szCs w:val="32"/>
          </w:rPr>
          <w:t>2</w:t>
        </w:r>
        <w:r>
          <w:rPr>
            <w:rFonts w:eastAsia="仿宋_GB2312"/>
            <w:sz w:val="32"/>
            <w:szCs w:val="32"/>
          </w:rPr>
          <w:t>：</w:t>
        </w:r>
        <w:r>
          <w:rPr>
            <w:sz w:val="32"/>
            <w:szCs w:val="32"/>
          </w:rPr>
          <w:tab/>
        </w:r>
        <w:r>
          <w:rPr>
            <w:sz w:val="32"/>
            <w:szCs w:val="32"/>
          </w:rPr>
          <w:fldChar w:fldCharType="begin"/>
        </w:r>
        <w:r>
          <w:rPr>
            <w:sz w:val="32"/>
            <w:szCs w:val="32"/>
          </w:rPr>
          <w:instrText xml:space="preserve"> PAGEREF _Toc18899 \h </w:instrText>
        </w:r>
        <w:r>
          <w:rPr>
            <w:sz w:val="32"/>
            <w:szCs w:val="32"/>
          </w:rPr>
        </w:r>
        <w:r>
          <w:rPr>
            <w:sz w:val="32"/>
            <w:szCs w:val="32"/>
          </w:rPr>
          <w:fldChar w:fldCharType="separate"/>
        </w:r>
        <w:r>
          <w:rPr>
            <w:sz w:val="32"/>
            <w:szCs w:val="32"/>
          </w:rPr>
          <w:t>26</w:t>
        </w:r>
        <w:r>
          <w:rPr>
            <w:sz w:val="32"/>
            <w:szCs w:val="32"/>
          </w:rPr>
          <w:fldChar w:fldCharType="end"/>
        </w:r>
      </w:hyperlink>
    </w:p>
    <w:p w:rsidR="006C6569" w:rsidRDefault="005047E6">
      <w:pPr>
        <w:tabs>
          <w:tab w:val="right" w:leader="dot" w:pos="8306"/>
        </w:tabs>
        <w:spacing w:line="580" w:lineRule="exact"/>
        <w:ind w:firstLine="643"/>
        <w:rPr>
          <w:b/>
          <w:szCs w:val="32"/>
        </w:rPr>
      </w:pPr>
      <w:r>
        <w:rPr>
          <w:b/>
          <w:szCs w:val="32"/>
        </w:rPr>
        <w:fldChar w:fldCharType="end"/>
      </w:r>
    </w:p>
    <w:p w:rsidR="006C6569" w:rsidRDefault="006C6569">
      <w:pPr>
        <w:tabs>
          <w:tab w:val="right" w:leader="dot" w:pos="8306"/>
        </w:tabs>
        <w:ind w:firstLine="640"/>
        <w:rPr>
          <w:rFonts w:eastAsia="黑体"/>
          <w:bCs/>
          <w:iCs/>
          <w:szCs w:val="21"/>
        </w:rPr>
        <w:sectPr w:rsidR="006C6569">
          <w:footerReference w:type="default" r:id="rId14"/>
          <w:pgSz w:w="11906" w:h="16838"/>
          <w:pgMar w:top="1440" w:right="1800" w:bottom="1440" w:left="1800" w:header="851" w:footer="992" w:gutter="0"/>
          <w:cols w:space="720"/>
          <w:docGrid w:type="lines" w:linePitch="312"/>
        </w:sectPr>
      </w:pPr>
      <w:bookmarkStart w:id="11" w:name="_Toc3972"/>
    </w:p>
    <w:p w:rsidR="006C6569" w:rsidRDefault="005047E6">
      <w:pPr>
        <w:tabs>
          <w:tab w:val="right" w:leader="dot" w:pos="8306"/>
        </w:tabs>
        <w:ind w:firstLine="640"/>
        <w:rPr>
          <w:rFonts w:eastAsia="黑体"/>
          <w:bCs/>
          <w:iCs/>
          <w:szCs w:val="21"/>
        </w:rPr>
      </w:pPr>
      <w:r>
        <w:rPr>
          <w:rFonts w:eastAsia="黑体"/>
          <w:bCs/>
          <w:iCs/>
          <w:szCs w:val="21"/>
        </w:rPr>
        <w:lastRenderedPageBreak/>
        <w:t>一、基本情况</w:t>
      </w:r>
      <w:bookmarkStart w:id="12" w:name="_Toc27593"/>
      <w:bookmarkEnd w:id="5"/>
      <w:bookmarkEnd w:id="6"/>
      <w:bookmarkEnd w:id="7"/>
      <w:bookmarkEnd w:id="8"/>
      <w:bookmarkEnd w:id="9"/>
      <w:bookmarkEnd w:id="10"/>
      <w:bookmarkEnd w:id="11"/>
    </w:p>
    <w:p w:rsidR="006C6569" w:rsidRDefault="005047E6">
      <w:pPr>
        <w:pStyle w:val="3"/>
        <w:ind w:firstLine="643"/>
        <w:rPr>
          <w:rFonts w:eastAsia="楷体"/>
        </w:rPr>
      </w:pPr>
      <w:bookmarkStart w:id="13" w:name="_Toc24048"/>
      <w:bookmarkStart w:id="14" w:name="_Toc26183"/>
      <w:bookmarkStart w:id="15" w:name="_Toc1779"/>
      <w:bookmarkStart w:id="16" w:name="_Toc9236"/>
      <w:bookmarkStart w:id="17" w:name="_Toc24706"/>
      <w:r>
        <w:rPr>
          <w:rFonts w:eastAsia="楷体"/>
        </w:rPr>
        <w:t>（一）项目概况</w:t>
      </w:r>
      <w:bookmarkEnd w:id="12"/>
      <w:bookmarkEnd w:id="13"/>
      <w:bookmarkEnd w:id="14"/>
      <w:bookmarkEnd w:id="15"/>
      <w:bookmarkEnd w:id="16"/>
      <w:bookmarkEnd w:id="17"/>
    </w:p>
    <w:p w:rsidR="006C6569" w:rsidRDefault="005047E6">
      <w:pPr>
        <w:ind w:firstLine="643"/>
        <w:rPr>
          <w:b/>
          <w:bCs/>
        </w:rPr>
      </w:pPr>
      <w:bookmarkStart w:id="18" w:name="_Toc19984"/>
      <w:bookmarkStart w:id="19" w:name="_Toc11427"/>
      <w:r>
        <w:rPr>
          <w:b/>
          <w:bCs/>
        </w:rPr>
        <w:t>1.</w:t>
      </w:r>
      <w:r>
        <w:rPr>
          <w:b/>
          <w:bCs/>
        </w:rPr>
        <w:t>项目背景</w:t>
      </w:r>
      <w:bookmarkEnd w:id="18"/>
      <w:bookmarkEnd w:id="19"/>
    </w:p>
    <w:p w:rsidR="006C6569" w:rsidRDefault="005047E6">
      <w:pPr>
        <w:tabs>
          <w:tab w:val="right" w:leader="dot" w:pos="8306"/>
        </w:tabs>
        <w:ind w:firstLineChars="300" w:firstLine="960"/>
      </w:pPr>
      <w:bookmarkStart w:id="20" w:name="_Toc22079"/>
      <w:bookmarkStart w:id="21" w:name="_Toc22216"/>
      <w:r>
        <w:rPr>
          <w:rFonts w:hint="eastAsia"/>
        </w:rPr>
        <w:t>总书记对进一步做好“四好农村路”建设作出重要指示，强调实施新一轮农村公路提升行动，持续推动“四好农村路”高质量发展，助力宜居宜业和美乡村建设。这一指示为农村公路养护工作锚定了清晰的方向。随着乡村振兴战略的深入实施，农村地区对公路的需求不再局限于基本的通行功能，而是向更高质量、更可持续、更具融合性的方向发展。一方面，农村公路需要与乡村产业、旅游等深度融合，另一方面，绿色、智慧养护成为趋势，这些发展趋势对农村公路养护项目提出了新的要求，促使项目在实施过程中，不仅要注重公路的日常维护，还要融入绿色、智慧、融合的理</w:t>
      </w:r>
      <w:r>
        <w:rPr>
          <w:rFonts w:hint="eastAsia"/>
        </w:rPr>
        <w:t>念，提升公路的综合服务功能。</w:t>
      </w:r>
    </w:p>
    <w:p w:rsidR="006C6569" w:rsidRDefault="005047E6">
      <w:pPr>
        <w:tabs>
          <w:tab w:val="right" w:leader="dot" w:pos="8306"/>
        </w:tabs>
        <w:ind w:firstLineChars="300" w:firstLine="960"/>
      </w:pPr>
      <w:r>
        <w:rPr>
          <w:rFonts w:hint="eastAsia"/>
        </w:rPr>
        <w:t>2024</w:t>
      </w:r>
      <w:r>
        <w:rPr>
          <w:rFonts w:hint="eastAsia"/>
        </w:rPr>
        <w:t>年</w:t>
      </w:r>
      <w:r>
        <w:rPr>
          <w:rFonts w:hint="eastAsia"/>
        </w:rPr>
        <w:t>5</w:t>
      </w:r>
      <w:r>
        <w:rPr>
          <w:rFonts w:hint="eastAsia"/>
        </w:rPr>
        <w:t>月</w:t>
      </w:r>
      <w:r>
        <w:rPr>
          <w:rFonts w:hint="eastAsia"/>
        </w:rPr>
        <w:t>30</w:t>
      </w:r>
      <w:r>
        <w:rPr>
          <w:rFonts w:hint="eastAsia"/>
        </w:rPr>
        <w:t>日，自治区十四届人大常委会第十一次会议通过了《新疆维吾尔自治区农村公路条例》，并于</w:t>
      </w:r>
      <w:r>
        <w:rPr>
          <w:rFonts w:hint="eastAsia"/>
        </w:rPr>
        <w:t>7</w:t>
      </w:r>
      <w:r>
        <w:rPr>
          <w:rFonts w:hint="eastAsia"/>
        </w:rPr>
        <w:t>月</w:t>
      </w:r>
      <w:r>
        <w:rPr>
          <w:rFonts w:hint="eastAsia"/>
        </w:rPr>
        <w:t>1</w:t>
      </w:r>
      <w:r>
        <w:rPr>
          <w:rFonts w:hint="eastAsia"/>
        </w:rPr>
        <w:t>日起正式施行。《条例》明确规定县（市、区）人民政府是农村公路规划、建设、养护、管理和运营的责任主体，尉犁县作为县级单位，在该条例的指导下，需切实承担起农村公路养护的主要职责，这为尉犁县</w:t>
      </w:r>
      <w:r>
        <w:rPr>
          <w:rFonts w:hint="eastAsia"/>
        </w:rPr>
        <w:t>2024</w:t>
      </w:r>
      <w:r>
        <w:rPr>
          <w:rFonts w:hint="eastAsia"/>
        </w:rPr>
        <w:t>年“四好农村路”养护项目确定了责任主体。同时，《条例》规定实行县、乡、村三级路长制，因地制宜建立健全路长管理责任体系和运行</w:t>
      </w:r>
      <w:r>
        <w:rPr>
          <w:rFonts w:hint="eastAsia"/>
        </w:rPr>
        <w:lastRenderedPageBreak/>
        <w:t>机制，尉犁县可依据此规定，完善本县农村公路养护的管理体系，保障养护工作有序开展。在资金方面，</w:t>
      </w:r>
      <w:r>
        <w:rPr>
          <w:rFonts w:hint="eastAsia"/>
        </w:rPr>
        <w:t>《条例》规定农村公路建设、养护、管理和运营应当建立以财政投入为主，利用农村公路冠名权、绿化经营权、广告经营权等方式多渠道筹集为辅的资金保障机制，这为尉犁县“四好农村路”养护项目的资金来源提供了政策依据，使其在资金筹集与使用上有章可循。尉犁县</w:t>
      </w:r>
      <w:r>
        <w:rPr>
          <w:rFonts w:hint="eastAsia"/>
        </w:rPr>
        <w:t>2024</w:t>
      </w:r>
      <w:r>
        <w:rPr>
          <w:rFonts w:hint="eastAsia"/>
        </w:rPr>
        <w:t>年“四好农村路”养护项目紧密贴合国家与自治区在农村公路发展方面的政策导向，这些政策为项目的实施提供了全方位的支持，从责任落实、管理体系构建到资金保障等各方面，确保项目能够高效、有序推进，进而提升尉犁县农村公路的养护水平，助力当地农村经济社会发展。</w:t>
      </w:r>
    </w:p>
    <w:p w:rsidR="006C6569" w:rsidRDefault="005047E6">
      <w:pPr>
        <w:ind w:firstLine="643"/>
        <w:rPr>
          <w:b/>
          <w:bCs/>
        </w:rPr>
      </w:pPr>
      <w:r>
        <w:rPr>
          <w:rFonts w:hint="eastAsia"/>
          <w:b/>
          <w:bCs/>
        </w:rPr>
        <w:t>2</w:t>
      </w:r>
      <w:r>
        <w:rPr>
          <w:b/>
          <w:bCs/>
        </w:rPr>
        <w:t>.</w:t>
      </w:r>
      <w:r>
        <w:rPr>
          <w:b/>
          <w:bCs/>
        </w:rPr>
        <w:t>项目主要内容</w:t>
      </w:r>
      <w:bookmarkEnd w:id="20"/>
      <w:bookmarkEnd w:id="21"/>
    </w:p>
    <w:p w:rsidR="006C6569" w:rsidRDefault="005047E6">
      <w:pPr>
        <w:tabs>
          <w:tab w:val="right" w:leader="dot" w:pos="8306"/>
        </w:tabs>
        <w:ind w:firstLine="640"/>
      </w:pPr>
      <w:bookmarkStart w:id="22" w:name="_Toc31519"/>
      <w:bookmarkStart w:id="23" w:name="_Toc21529"/>
      <w:r>
        <w:rPr>
          <w:rFonts w:hint="eastAsia"/>
        </w:rPr>
        <w:t>道路坑槽清理修补至少</w:t>
      </w:r>
      <w:r>
        <w:rPr>
          <w:rFonts w:hint="eastAsia"/>
        </w:rPr>
        <w:t>800</w:t>
      </w:r>
      <w:r>
        <w:rPr>
          <w:rFonts w:hint="eastAsia"/>
        </w:rPr>
        <w:t>平方米，购买标志牌</w:t>
      </w:r>
      <w:r>
        <w:rPr>
          <w:rFonts w:hint="eastAsia"/>
        </w:rPr>
        <w:t>40</w:t>
      </w:r>
      <w:r>
        <w:rPr>
          <w:rFonts w:hint="eastAsia"/>
        </w:rPr>
        <w:t>个，严格按照施工工艺标准，采用合格的材料，确保质量。进一步把农村公路建好、管好、护好、运营好，逐步消除制约农村发展的交通瓶颈，为广大农民脱贫致富奔小康提供更好的保障。</w:t>
      </w:r>
    </w:p>
    <w:p w:rsidR="006C6569" w:rsidRDefault="005047E6">
      <w:pPr>
        <w:ind w:firstLine="643"/>
        <w:rPr>
          <w:b/>
          <w:bCs/>
        </w:rPr>
      </w:pPr>
      <w:r>
        <w:rPr>
          <w:b/>
          <w:bCs/>
        </w:rPr>
        <w:t>3.</w:t>
      </w:r>
      <w:r>
        <w:rPr>
          <w:b/>
          <w:bCs/>
        </w:rPr>
        <w:t>项目实施情况</w:t>
      </w:r>
      <w:bookmarkStart w:id="24" w:name="_Toc20138"/>
      <w:bookmarkEnd w:id="22"/>
      <w:bookmarkEnd w:id="23"/>
    </w:p>
    <w:p w:rsidR="006C6569" w:rsidRDefault="005047E6">
      <w:pPr>
        <w:ind w:firstLine="640"/>
      </w:pPr>
      <w:r>
        <w:t>（</w:t>
      </w:r>
      <w:r>
        <w:t>1</w:t>
      </w:r>
      <w:r>
        <w:t>）</w:t>
      </w:r>
      <w:r>
        <w:t>前期勘察与方案制定：在项目启动初期，施工团队组织专业人员对尉犁县农村公路进行全面路况勘察。通过实地巡查、路况检测设备辅助等方式，精准定位坑槽位置，</w:t>
      </w:r>
      <w:r>
        <w:lastRenderedPageBreak/>
        <w:t>并详细记录坑槽的数量、面积、深度以及所处路段的交通流量等信息。基于大量的数据收集与分析，施工团队制定了科学合理的坑槽修补方案</w:t>
      </w:r>
      <w:r>
        <w:t>。针对不同类型和严重程度的坑槽，采用了不同的修补工艺。对于面积较小、深度较浅的坑槽，采用直接填补法，选用符合标准的沥青混凝土材料进行快速修补；对于面积较大、深度较深且周边路面状况也较差的坑槽区域，则先对破损路面进行铣刨处理，清理干净基层后，重新铺设基层材料和沥青混凝土面层，以确保修补后的路面结构稳固，与周边路面衔接良好</w:t>
      </w:r>
      <w:r>
        <w:t xml:space="preserve"> </w:t>
      </w:r>
      <w:r>
        <w:t>。</w:t>
      </w:r>
    </w:p>
    <w:p w:rsidR="006C6569" w:rsidRDefault="005047E6">
      <w:pPr>
        <w:ind w:firstLine="640"/>
      </w:pPr>
      <w:r>
        <w:t>（</w:t>
      </w:r>
      <w:r>
        <w:t>2</w:t>
      </w:r>
      <w:r>
        <w:t>）</w:t>
      </w:r>
      <w:r>
        <w:t>材料采购与设备调配：为保障坑槽修补质量，施工团队严格把控材料采购环节。按照设计要求，从信誉良好的供应商处采购优质沥青、粗细集料等原材料。在采购过程中，对每一批次的材料进行严格的质量</w:t>
      </w:r>
      <w:r>
        <w:t>检测，确保其各项性能指标符合相</w:t>
      </w:r>
      <w:r>
        <w:t>关标准。同时，调配先进的施工设备，如沥青混凝土摊铺机、压路机、铣刨机等，确保施工过程高效、精准。在设备进场前，对设备进行全面调试和维护，保障设备在施工期间正常运行，减少因设备故障导致的工期延误</w:t>
      </w:r>
      <w:r>
        <w:t xml:space="preserve"> </w:t>
      </w:r>
    </w:p>
    <w:p w:rsidR="006C6569" w:rsidRDefault="005047E6">
      <w:pPr>
        <w:ind w:firstLine="640"/>
      </w:pPr>
      <w:r>
        <w:t>（</w:t>
      </w:r>
      <w:r>
        <w:t>3</w:t>
      </w:r>
      <w:r>
        <w:t>）</w:t>
      </w:r>
      <w:r>
        <w:t>施工过程与质量把控：在施工阶段，施工人员严格按照既定方案操作。先对坑槽进行彻底清理，去除槽内的松散颗粒、杂物和积水等，确保坑槽底部和侧壁坚实、干净。在整个施工过程中，项目管理团队安排专人进行现场监督，对每一道工序进行质量检查，一旦发现问题，立即要求施工</w:t>
      </w:r>
      <w:r>
        <w:lastRenderedPageBreak/>
        <w:t>人员整改，确保每一处坑槽的修补质量都达到高标准。截至目前，已顺利完成坑槽修补</w:t>
      </w:r>
      <w:r>
        <w:t>800</w:t>
      </w:r>
      <w:r>
        <w:t>平方米，有效改善了农村公路的路面平整度，减少了车辆行驶时的颠簸，提升了行车舒适性和安全性</w:t>
      </w:r>
      <w:r>
        <w:t xml:space="preserve"> </w:t>
      </w:r>
      <w:r>
        <w:t>。</w:t>
      </w:r>
    </w:p>
    <w:p w:rsidR="006C6569" w:rsidRDefault="005047E6">
      <w:pPr>
        <w:ind w:firstLine="643"/>
        <w:rPr>
          <w:b/>
          <w:bCs/>
        </w:rPr>
      </w:pPr>
      <w:bookmarkStart w:id="25" w:name="_Toc1111"/>
      <w:r>
        <w:rPr>
          <w:b/>
          <w:bCs/>
        </w:rPr>
        <w:t>4.</w:t>
      </w:r>
      <w:r>
        <w:rPr>
          <w:b/>
          <w:bCs/>
        </w:rPr>
        <w:t>资金投入情况</w:t>
      </w:r>
      <w:bookmarkEnd w:id="24"/>
      <w:bookmarkEnd w:id="25"/>
    </w:p>
    <w:p w:rsidR="006C6569" w:rsidRDefault="005047E6">
      <w:pPr>
        <w:ind w:firstLine="640"/>
      </w:pPr>
      <w:bookmarkStart w:id="26" w:name="OLE_LINK2"/>
      <w:bookmarkStart w:id="27" w:name="_Toc7324"/>
      <w:r>
        <w:t>根据《</w:t>
      </w:r>
      <w:r>
        <w:rPr>
          <w:rFonts w:hint="eastAsia"/>
        </w:rPr>
        <w:t>关于下达成品油转移支付资金预算用于</w:t>
      </w:r>
      <w:bookmarkStart w:id="28" w:name="OLE_LINK9"/>
      <w:r>
        <w:rPr>
          <w:rFonts w:hint="eastAsia"/>
        </w:rPr>
        <w:t>“四好农村路”养护补助</w:t>
      </w:r>
      <w:bookmarkEnd w:id="28"/>
      <w:r>
        <w:rPr>
          <w:rFonts w:hint="eastAsia"/>
        </w:rPr>
        <w:t>的通</w:t>
      </w:r>
      <w:r>
        <w:rPr>
          <w:rFonts w:hint="eastAsia"/>
        </w:rPr>
        <w:t>知</w:t>
      </w:r>
      <w:r>
        <w:t>》（</w:t>
      </w:r>
      <w:r>
        <w:rPr>
          <w:rFonts w:hint="eastAsia"/>
        </w:rPr>
        <w:t>巴财建</w:t>
      </w:r>
      <w:r>
        <w:t>〔</w:t>
      </w:r>
      <w:r>
        <w:rPr>
          <w:rFonts w:hint="eastAsia"/>
        </w:rPr>
        <w:t>2019</w:t>
      </w:r>
      <w:r>
        <w:t>〕</w:t>
      </w:r>
      <w:r>
        <w:rPr>
          <w:rFonts w:hint="eastAsia"/>
        </w:rPr>
        <w:t>155</w:t>
      </w:r>
      <w:r>
        <w:t>号）</w:t>
      </w:r>
      <w:bookmarkEnd w:id="26"/>
      <w:r>
        <w:t>，下达</w:t>
      </w:r>
      <w:r>
        <w:rPr>
          <w:rFonts w:hint="eastAsia"/>
        </w:rPr>
        <w:t>“四好农村路”养护补助</w:t>
      </w:r>
      <w:r>
        <w:t>资金</w:t>
      </w:r>
      <w:r>
        <w:rPr>
          <w:rFonts w:hint="eastAsia"/>
        </w:rPr>
        <w:t>58.62</w:t>
      </w:r>
      <w:r>
        <w:t>万元。</w:t>
      </w:r>
    </w:p>
    <w:p w:rsidR="006C6569" w:rsidRDefault="005047E6">
      <w:pPr>
        <w:ind w:firstLine="640"/>
      </w:pPr>
      <w:r>
        <w:t>实施</w:t>
      </w:r>
      <w:r>
        <w:t>2024</w:t>
      </w:r>
      <w:r>
        <w:t>年</w:t>
      </w:r>
      <w:r>
        <w:t>“</w:t>
      </w:r>
      <w:r>
        <w:t>四好农村公路</w:t>
      </w:r>
      <w:r>
        <w:t>”</w:t>
      </w:r>
      <w:r>
        <w:t>养护项目投入</w:t>
      </w:r>
      <w:r>
        <w:rPr>
          <w:rFonts w:hint="eastAsia"/>
        </w:rPr>
        <w:t>58.62</w:t>
      </w:r>
      <w:r>
        <w:t>万元，其中</w:t>
      </w:r>
      <w:r>
        <w:rPr>
          <w:rFonts w:hint="eastAsia"/>
        </w:rPr>
        <w:t>自治区</w:t>
      </w:r>
      <w:r>
        <w:t>资金</w:t>
      </w:r>
      <w:r>
        <w:rPr>
          <w:rFonts w:hint="eastAsia"/>
        </w:rPr>
        <w:t>58.62</w:t>
      </w:r>
      <w:r>
        <w:t>万元</w:t>
      </w:r>
      <w:r>
        <w:t>。</w:t>
      </w:r>
    </w:p>
    <w:p w:rsidR="006C6569" w:rsidRDefault="005047E6">
      <w:pPr>
        <w:ind w:firstLine="643"/>
        <w:rPr>
          <w:b/>
          <w:bCs/>
        </w:rPr>
      </w:pPr>
      <w:bookmarkStart w:id="29" w:name="_Toc10837"/>
      <w:r>
        <w:rPr>
          <w:b/>
          <w:bCs/>
        </w:rPr>
        <w:t>5.</w:t>
      </w:r>
      <w:r>
        <w:rPr>
          <w:b/>
          <w:bCs/>
        </w:rPr>
        <w:t>资金使用情况</w:t>
      </w:r>
      <w:bookmarkEnd w:id="27"/>
      <w:bookmarkEnd w:id="29"/>
    </w:p>
    <w:p w:rsidR="006C6569" w:rsidRDefault="005047E6">
      <w:pPr>
        <w:ind w:firstLine="640"/>
      </w:pPr>
      <w:r>
        <w:rPr>
          <w:rFonts w:hint="eastAsia"/>
        </w:rPr>
        <w:t>2024</w:t>
      </w:r>
      <w:r>
        <w:rPr>
          <w:rFonts w:hint="eastAsia"/>
        </w:rPr>
        <w:t>年年</w:t>
      </w:r>
      <w:r>
        <w:rPr>
          <w:szCs w:val="32"/>
        </w:rPr>
        <w:t>初预算数</w:t>
      </w:r>
      <w:r>
        <w:rPr>
          <w:rFonts w:hint="eastAsia"/>
          <w:szCs w:val="32"/>
        </w:rPr>
        <w:t>58.62</w:t>
      </w:r>
      <w:r>
        <w:t>万元</w:t>
      </w:r>
      <w:r>
        <w:t>，</w:t>
      </w:r>
      <w:r>
        <w:t>实际到位资金</w:t>
      </w:r>
      <w:r>
        <w:rPr>
          <w:rFonts w:hint="eastAsia"/>
        </w:rPr>
        <w:t>58.62</w:t>
      </w:r>
      <w:r>
        <w:t>万元</w:t>
      </w:r>
      <w:r>
        <w:t>。</w:t>
      </w:r>
      <w:r>
        <w:t>截</w:t>
      </w:r>
      <w:r>
        <w:rPr>
          <w:rFonts w:hint="eastAsia"/>
        </w:rPr>
        <w:t>至</w:t>
      </w:r>
      <w:r>
        <w:t>202</w:t>
      </w:r>
      <w:r>
        <w:rPr>
          <w:rFonts w:hint="eastAsia"/>
        </w:rPr>
        <w:t>4</w:t>
      </w:r>
      <w:r>
        <w:t>年</w:t>
      </w:r>
      <w:r>
        <w:t>12</w:t>
      </w:r>
      <w:r>
        <w:t>月</w:t>
      </w:r>
      <w:r>
        <w:t>31</w:t>
      </w:r>
      <w:r>
        <w:t>日</w:t>
      </w:r>
      <w:r>
        <w:t>，</w:t>
      </w:r>
      <w:r>
        <w:t>项目实际使用资金</w:t>
      </w:r>
      <w:r>
        <w:rPr>
          <w:rFonts w:hint="eastAsia"/>
        </w:rPr>
        <w:t>58.62</w:t>
      </w:r>
      <w:r>
        <w:t>万元，资金</w:t>
      </w:r>
      <w:r>
        <w:t>使用</w:t>
      </w:r>
      <w:r>
        <w:t>率达到了</w:t>
      </w:r>
      <w:r>
        <w:t>100</w:t>
      </w:r>
      <w:r>
        <w:t>%</w:t>
      </w:r>
      <w:r>
        <w:t>。具体资金支付情况</w:t>
      </w:r>
      <w:r>
        <w:rPr>
          <w:rFonts w:hint="eastAsia"/>
        </w:rPr>
        <w:t>如下</w:t>
      </w:r>
      <w:r>
        <w:t>：</w:t>
      </w:r>
    </w:p>
    <w:p w:rsidR="006C6569" w:rsidRDefault="005047E6">
      <w:pPr>
        <w:ind w:firstLine="640"/>
      </w:pPr>
      <w:r>
        <w:t>202</w:t>
      </w:r>
      <w:r>
        <w:rPr>
          <w:rFonts w:hint="eastAsia"/>
        </w:rPr>
        <w:t>4</w:t>
      </w:r>
      <w:r>
        <w:t>年</w:t>
      </w:r>
      <w:r>
        <w:rPr>
          <w:rFonts w:hint="eastAsia"/>
        </w:rPr>
        <w:t>8</w:t>
      </w:r>
      <w:r>
        <w:t>月</w:t>
      </w:r>
      <w:r>
        <w:rPr>
          <w:rFonts w:hint="eastAsia"/>
        </w:rPr>
        <w:t>6</w:t>
      </w:r>
      <w:r>
        <w:t>日，支付</w:t>
      </w:r>
      <w:r>
        <w:rPr>
          <w:rFonts w:hint="eastAsia"/>
        </w:rPr>
        <w:t>库尔勒凯瑞安金属标志牌制作厂</w:t>
      </w:r>
      <w:r>
        <w:rPr>
          <w:rFonts w:hint="eastAsia"/>
        </w:rPr>
        <w:t>40</w:t>
      </w:r>
      <w:r>
        <w:t>万元</w:t>
      </w:r>
      <w:r>
        <w:rPr>
          <w:rFonts w:hint="eastAsia"/>
        </w:rPr>
        <w:t>，</w:t>
      </w:r>
    </w:p>
    <w:p w:rsidR="006C6569" w:rsidRDefault="005047E6">
      <w:pPr>
        <w:ind w:firstLine="640"/>
      </w:pPr>
      <w:r>
        <w:t>202</w:t>
      </w:r>
      <w:r>
        <w:rPr>
          <w:rFonts w:hint="eastAsia"/>
        </w:rPr>
        <w:t>4</w:t>
      </w:r>
      <w:r>
        <w:t>年</w:t>
      </w:r>
      <w:r>
        <w:rPr>
          <w:rFonts w:hint="eastAsia"/>
        </w:rPr>
        <w:t>12</w:t>
      </w:r>
      <w:r>
        <w:t>月</w:t>
      </w:r>
      <w:r>
        <w:rPr>
          <w:rFonts w:hint="eastAsia"/>
        </w:rPr>
        <w:t>5</w:t>
      </w:r>
      <w:r>
        <w:t>日，支付</w:t>
      </w:r>
      <w:r>
        <w:rPr>
          <w:rFonts w:hint="eastAsia"/>
        </w:rPr>
        <w:t>巴州通达公路养护有限责任公司</w:t>
      </w:r>
      <w:r>
        <w:rPr>
          <w:rFonts w:hint="eastAsia"/>
        </w:rPr>
        <w:t>18.62</w:t>
      </w:r>
      <w:r>
        <w:t>万元</w:t>
      </w:r>
      <w:r>
        <w:rPr>
          <w:rFonts w:hint="eastAsia"/>
        </w:rPr>
        <w:t>。</w:t>
      </w:r>
    </w:p>
    <w:p w:rsidR="006C6569" w:rsidRDefault="005047E6">
      <w:pPr>
        <w:pStyle w:val="3"/>
        <w:ind w:firstLine="643"/>
        <w:rPr>
          <w:rFonts w:eastAsia="楷体"/>
        </w:rPr>
      </w:pPr>
      <w:bookmarkStart w:id="30" w:name="_Toc14296"/>
      <w:bookmarkStart w:id="31" w:name="_Toc31302"/>
      <w:bookmarkStart w:id="32" w:name="_Toc11967"/>
      <w:bookmarkStart w:id="33" w:name="_Toc26395"/>
      <w:bookmarkStart w:id="34" w:name="_Toc16268"/>
      <w:bookmarkStart w:id="35" w:name="_Toc9567"/>
      <w:r>
        <w:rPr>
          <w:rFonts w:eastAsia="楷体"/>
        </w:rPr>
        <w:t>（二）项目绩效目标</w:t>
      </w:r>
      <w:bookmarkEnd w:id="30"/>
      <w:bookmarkEnd w:id="31"/>
      <w:bookmarkEnd w:id="32"/>
      <w:bookmarkEnd w:id="33"/>
      <w:bookmarkEnd w:id="34"/>
      <w:bookmarkEnd w:id="35"/>
    </w:p>
    <w:p w:rsidR="006C6569" w:rsidRDefault="005047E6">
      <w:pPr>
        <w:ind w:firstLine="643"/>
        <w:rPr>
          <w:b/>
          <w:bCs/>
        </w:rPr>
      </w:pPr>
      <w:bookmarkStart w:id="36" w:name="_Toc18809"/>
      <w:bookmarkStart w:id="37" w:name="_Toc905"/>
      <w:bookmarkStart w:id="38" w:name="OLE_LINK18"/>
      <w:r>
        <w:rPr>
          <w:b/>
          <w:bCs/>
        </w:rPr>
        <w:t>1.</w:t>
      </w:r>
      <w:r>
        <w:rPr>
          <w:b/>
          <w:bCs/>
        </w:rPr>
        <w:t>总体目标</w:t>
      </w:r>
      <w:bookmarkEnd w:id="36"/>
      <w:bookmarkEnd w:id="37"/>
    </w:p>
    <w:p w:rsidR="006C6569" w:rsidRDefault="005047E6">
      <w:pPr>
        <w:ind w:firstLine="640"/>
      </w:pPr>
      <w:bookmarkStart w:id="39" w:name="_Toc10045"/>
      <w:r>
        <w:rPr>
          <w:rFonts w:hint="eastAsia"/>
        </w:rPr>
        <w:t>道路坑槽清理修补至少</w:t>
      </w:r>
      <w:r>
        <w:rPr>
          <w:rFonts w:hint="eastAsia"/>
        </w:rPr>
        <w:t>800</w:t>
      </w:r>
      <w:r>
        <w:rPr>
          <w:rFonts w:hint="eastAsia"/>
        </w:rPr>
        <w:t>平方米，购买标志牌</w:t>
      </w:r>
      <w:r>
        <w:rPr>
          <w:rFonts w:hint="eastAsia"/>
        </w:rPr>
        <w:t>40</w:t>
      </w:r>
      <w:r>
        <w:rPr>
          <w:rFonts w:hint="eastAsia"/>
        </w:rPr>
        <w:t>个，进一步把农村公路建好、管好、护好、运营好，逐步消除制</w:t>
      </w:r>
      <w:r>
        <w:rPr>
          <w:rFonts w:hint="eastAsia"/>
        </w:rPr>
        <w:lastRenderedPageBreak/>
        <w:t>约农村发展的交通瓶颈，为广大农民脱贫致富奔小康提供更好的保障。</w:t>
      </w:r>
    </w:p>
    <w:p w:rsidR="006C6569" w:rsidRDefault="005047E6">
      <w:pPr>
        <w:numPr>
          <w:ilvl w:val="0"/>
          <w:numId w:val="1"/>
        </w:numPr>
        <w:ind w:firstLine="643"/>
        <w:rPr>
          <w:b/>
          <w:bCs/>
        </w:rPr>
      </w:pPr>
      <w:bookmarkStart w:id="40" w:name="_Toc11195"/>
      <w:bookmarkStart w:id="41" w:name="OLE_LINK11"/>
      <w:r>
        <w:rPr>
          <w:b/>
          <w:bCs/>
        </w:rPr>
        <w:t>阶段性目标</w:t>
      </w:r>
      <w:bookmarkEnd w:id="39"/>
      <w:bookmarkEnd w:id="40"/>
    </w:p>
    <w:p w:rsidR="006C6569" w:rsidRDefault="005047E6">
      <w:pPr>
        <w:ind w:firstLine="640"/>
      </w:pPr>
      <w:r>
        <w:rPr>
          <w:rFonts w:ascii="方正仿宋_GB2312" w:eastAsia="方正仿宋_GB2312" w:hAnsi="方正仿宋_GB2312" w:cs="方正仿宋_GB2312"/>
        </w:rPr>
        <w:t>（</w:t>
      </w:r>
      <w:r>
        <w:t>1</w:t>
      </w:r>
      <w:r>
        <w:t>）养护准备与病害排查：</w:t>
      </w:r>
      <w:r>
        <w:rPr>
          <w:rFonts w:hint="eastAsia"/>
        </w:rPr>
        <w:t>尉犁</w:t>
      </w:r>
      <w:r>
        <w:t>县交通运输局对辖区农村公路进行全面排查，详细记录路面破损、路基坍塌、桥涵病害等情况，建立病害档案。科学编制预防性养护计划，明确需养护路线、工程量及处置方法。</w:t>
      </w:r>
    </w:p>
    <w:p w:rsidR="006C6569" w:rsidRDefault="005047E6">
      <w:pPr>
        <w:ind w:firstLine="640"/>
      </w:pPr>
      <w:r>
        <w:t>（</w:t>
      </w:r>
      <w:r>
        <w:rPr>
          <w:rFonts w:hint="eastAsia"/>
        </w:rPr>
        <w:t>2</w:t>
      </w:r>
      <w:r>
        <w:t>）预防性养护实施：抓住春季气温回升的有利时机，开展预防性养护工作。组织专业养护队伍，出动养护车辆及机械设备，对路面裂缝、破碎板、沉陷等病害进行集中处治，防止病害进一步恶化。</w:t>
      </w:r>
    </w:p>
    <w:p w:rsidR="006C6569" w:rsidRDefault="005047E6">
      <w:pPr>
        <w:ind w:firstLine="640"/>
      </w:pPr>
      <w:r>
        <w:t>（</w:t>
      </w:r>
      <w:r>
        <w:rPr>
          <w:rFonts w:hint="eastAsia"/>
        </w:rPr>
        <w:t>3</w:t>
      </w:r>
      <w:r>
        <w:t>）路长制推进落实：依据路长制实施方案，进一步明确各级路长职责，完善路长运行机制。</w:t>
      </w:r>
    </w:p>
    <w:p w:rsidR="006C6569" w:rsidRDefault="005047E6">
      <w:pPr>
        <w:pStyle w:val="2"/>
        <w:ind w:firstLine="640"/>
      </w:pPr>
      <w:bookmarkStart w:id="42" w:name="_Toc6534"/>
      <w:bookmarkStart w:id="43" w:name="_Toc25321"/>
      <w:bookmarkStart w:id="44" w:name="_Toc857"/>
      <w:bookmarkStart w:id="45" w:name="_Toc19395"/>
      <w:bookmarkStart w:id="46" w:name="_Toc6156"/>
      <w:bookmarkStart w:id="47" w:name="_Toc31122"/>
      <w:bookmarkEnd w:id="38"/>
      <w:bookmarkEnd w:id="41"/>
      <w:r>
        <w:t>二、绩效评价工作开展情况</w:t>
      </w:r>
      <w:bookmarkEnd w:id="42"/>
      <w:bookmarkEnd w:id="43"/>
      <w:bookmarkEnd w:id="44"/>
      <w:bookmarkEnd w:id="45"/>
      <w:bookmarkEnd w:id="46"/>
      <w:bookmarkEnd w:id="47"/>
    </w:p>
    <w:p w:rsidR="006C6569" w:rsidRDefault="005047E6">
      <w:pPr>
        <w:pStyle w:val="3"/>
        <w:ind w:firstLine="643"/>
        <w:rPr>
          <w:rFonts w:eastAsia="楷体"/>
        </w:rPr>
      </w:pPr>
      <w:bookmarkStart w:id="48" w:name="_Toc10300"/>
      <w:bookmarkStart w:id="49" w:name="_Toc32557"/>
      <w:bookmarkStart w:id="50" w:name="_Toc17516"/>
      <w:bookmarkStart w:id="51" w:name="_Toc30569"/>
      <w:bookmarkStart w:id="52" w:name="_Toc3338"/>
      <w:r>
        <w:rPr>
          <w:rFonts w:eastAsia="楷体"/>
        </w:rPr>
        <w:t>（一）绩效评价目的、对象和范围</w:t>
      </w:r>
      <w:bookmarkEnd w:id="48"/>
      <w:bookmarkEnd w:id="49"/>
      <w:bookmarkEnd w:id="50"/>
      <w:bookmarkEnd w:id="51"/>
      <w:bookmarkEnd w:id="52"/>
    </w:p>
    <w:p w:rsidR="006C6569" w:rsidRDefault="005047E6">
      <w:pPr>
        <w:tabs>
          <w:tab w:val="left" w:pos="486"/>
        </w:tabs>
        <w:ind w:firstLine="643"/>
        <w:rPr>
          <w:b/>
          <w:bCs/>
        </w:rPr>
      </w:pPr>
      <w:bookmarkStart w:id="53" w:name="_Toc11562"/>
      <w:bookmarkStart w:id="54" w:name="_Toc12440"/>
      <w:bookmarkStart w:id="55" w:name="OLE_LINK19"/>
      <w:r>
        <w:rPr>
          <w:rFonts w:hint="eastAsia"/>
          <w:b/>
          <w:bCs/>
        </w:rPr>
        <w:tab/>
      </w:r>
      <w:r>
        <w:rPr>
          <w:b/>
          <w:bCs/>
        </w:rPr>
        <w:t>1.</w:t>
      </w:r>
      <w:r>
        <w:rPr>
          <w:b/>
          <w:bCs/>
        </w:rPr>
        <w:t>绩效评价目的</w:t>
      </w:r>
      <w:bookmarkEnd w:id="53"/>
      <w:bookmarkEnd w:id="54"/>
    </w:p>
    <w:p w:rsidR="006C6569" w:rsidRDefault="005047E6">
      <w:pPr>
        <w:ind w:firstLine="640"/>
      </w:pPr>
      <w:r>
        <w:rPr>
          <w:rFonts w:hint="eastAsia"/>
        </w:rPr>
        <w:t>本次绩效评价遵循财政部《关于印发〈项目支出绩效评价管理办法〉的通知》（财预〔</w:t>
      </w:r>
      <w:r>
        <w:rPr>
          <w:rFonts w:hint="eastAsia"/>
        </w:rPr>
        <w:t>2020</w:t>
      </w:r>
      <w:r>
        <w:rPr>
          <w:rFonts w:hint="eastAsia"/>
        </w:rPr>
        <w:t>〕</w:t>
      </w:r>
      <w:r>
        <w:rPr>
          <w:rFonts w:hint="eastAsia"/>
        </w:rPr>
        <w:t>10</w:t>
      </w:r>
      <w:r>
        <w:rPr>
          <w:rFonts w:hint="eastAsia"/>
        </w:rPr>
        <w:t>号）文件精神，对</w:t>
      </w:r>
      <w:bookmarkStart w:id="56" w:name="OLE_LINK10"/>
      <w:r>
        <w:rPr>
          <w:rFonts w:hint="eastAsia"/>
        </w:rPr>
        <w:t>2024</w:t>
      </w:r>
      <w:r>
        <w:rPr>
          <w:rFonts w:hint="eastAsia"/>
        </w:rPr>
        <w:t>年“四好农村公路”养护项目</w:t>
      </w:r>
      <w:bookmarkEnd w:id="56"/>
      <w:r>
        <w:rPr>
          <w:rFonts w:hint="eastAsia"/>
        </w:rPr>
        <w:t>预算编制合理性、资金使用合规性、项</w:t>
      </w:r>
      <w:r>
        <w:rPr>
          <w:rFonts w:hint="eastAsia"/>
        </w:rPr>
        <w:t>目管理的规范性、项目目标的实现情况、服务对象的满意度等，通过部门自评来总结经验，促进项目成果转化和应用，查找其存在的不足，为今后类似项目的长效管</w:t>
      </w:r>
      <w:r>
        <w:rPr>
          <w:rFonts w:hint="eastAsia"/>
        </w:rPr>
        <w:lastRenderedPageBreak/>
        <w:t>理，资金使用规范性以及加强制定相关制度、采取措施等方面提供参考，不断提高财政资金使用效益和项目管理水平。</w:t>
      </w:r>
      <w:bookmarkStart w:id="57" w:name="OLE_LINK40"/>
      <w:r>
        <w:rPr>
          <w:rFonts w:hint="eastAsia"/>
        </w:rPr>
        <w:t>具体绩效评价的目的细分如下：</w:t>
      </w:r>
    </w:p>
    <w:p w:rsidR="006C6569" w:rsidRDefault="005047E6">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6C6569" w:rsidRDefault="005047E6">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6C6569" w:rsidRDefault="005047E6">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6C6569" w:rsidRDefault="005047E6">
      <w:pPr>
        <w:ind w:firstLine="640"/>
      </w:pPr>
      <w:r>
        <w:rPr>
          <w:rFonts w:hint="eastAsia"/>
        </w:rPr>
        <w:t>四是：通过部门项目支出绩效评价，从绩效的角度发现本项目在决策、实施和管理过程中存在的问题，寻求解决方</w:t>
      </w:r>
      <w:r>
        <w:rPr>
          <w:rFonts w:hint="eastAsia"/>
        </w:rPr>
        <w:lastRenderedPageBreak/>
        <w:t>案，为进一步深化项目管理工作提供依据，以促进项目进一步的推进和后期项目维护和评价工作提供更深一步的理论和实际支持。</w:t>
      </w:r>
    </w:p>
    <w:p w:rsidR="006C6569" w:rsidRDefault="005047E6">
      <w:pPr>
        <w:ind w:firstLine="643"/>
        <w:rPr>
          <w:b/>
          <w:bCs/>
        </w:rPr>
      </w:pPr>
      <w:bookmarkStart w:id="58" w:name="_Toc8924"/>
      <w:bookmarkStart w:id="59" w:name="_Toc2159"/>
      <w:bookmarkEnd w:id="57"/>
      <w:r>
        <w:rPr>
          <w:b/>
          <w:bCs/>
        </w:rPr>
        <w:t>2.</w:t>
      </w:r>
      <w:r>
        <w:rPr>
          <w:b/>
          <w:bCs/>
        </w:rPr>
        <w:t>绩效评价对象</w:t>
      </w:r>
      <w:bookmarkEnd w:id="58"/>
      <w:r>
        <w:rPr>
          <w:b/>
          <w:bCs/>
        </w:rPr>
        <w:t>和范围</w:t>
      </w:r>
      <w:bookmarkEnd w:id="59"/>
    </w:p>
    <w:p w:rsidR="006C6569" w:rsidRDefault="005047E6">
      <w:pPr>
        <w:ind w:firstLine="640"/>
      </w:pPr>
      <w:r>
        <w:t>根据《财政支出绩效评价管理办法》（财预〔</w:t>
      </w:r>
      <w:r>
        <w:t>2020</w:t>
      </w:r>
      <w:r>
        <w:t>〕</w:t>
      </w:r>
      <w:r>
        <w:t>10</w:t>
      </w:r>
      <w:r>
        <w:t>号）文件要求，对</w:t>
      </w:r>
      <w:r>
        <w:rPr>
          <w:rFonts w:hint="eastAsia"/>
        </w:rPr>
        <w:t>2024</w:t>
      </w:r>
      <w:r>
        <w:rPr>
          <w:rFonts w:hint="eastAsia"/>
        </w:rPr>
        <w:t>年“四好农村公路”养护项目</w:t>
      </w:r>
      <w:r>
        <w:t>开展绩效评价，本次绩效评价范围主要围绕项</w:t>
      </w:r>
      <w:r>
        <w:t>目决策（包括项目</w:t>
      </w:r>
      <w:r>
        <w:rPr>
          <w:rFonts w:hint="eastAsia"/>
        </w:rPr>
        <w:t>实施</w:t>
      </w:r>
      <w:r>
        <w:t>、绩效目标、资金投入）、项目过程（包括资金管理、组织实施）、项目产出（包括产出数量、质量、时效、成本）和项目效益等进行评价。</w:t>
      </w:r>
    </w:p>
    <w:p w:rsidR="006C6569" w:rsidRDefault="005047E6">
      <w:pPr>
        <w:pStyle w:val="3"/>
        <w:ind w:firstLine="643"/>
        <w:rPr>
          <w:rFonts w:ascii="楷体" w:eastAsia="楷体" w:hAnsi="楷体" w:cs="楷体"/>
        </w:rPr>
      </w:pPr>
      <w:bookmarkStart w:id="60" w:name="_Toc19566"/>
      <w:bookmarkStart w:id="61" w:name="_Toc16288"/>
      <w:bookmarkStart w:id="62" w:name="_Toc13496"/>
      <w:bookmarkStart w:id="63" w:name="_Toc17158"/>
      <w:bookmarkStart w:id="64" w:name="_Toc15409"/>
      <w:bookmarkEnd w:id="55"/>
      <w:r>
        <w:rPr>
          <w:rFonts w:ascii="楷体" w:eastAsia="楷体" w:hAnsi="楷体" w:cs="楷体" w:hint="eastAsia"/>
        </w:rPr>
        <w:t>（二）绩效评价原则、评价指标体系、评价方法、评价标准</w:t>
      </w:r>
      <w:bookmarkEnd w:id="60"/>
      <w:bookmarkEnd w:id="61"/>
      <w:bookmarkEnd w:id="62"/>
      <w:bookmarkEnd w:id="63"/>
      <w:bookmarkEnd w:id="64"/>
    </w:p>
    <w:p w:rsidR="006C6569" w:rsidRDefault="005047E6">
      <w:pPr>
        <w:ind w:firstLine="643"/>
        <w:rPr>
          <w:b/>
          <w:bCs/>
        </w:rPr>
      </w:pPr>
      <w:bookmarkStart w:id="65" w:name="_Toc23487"/>
      <w:bookmarkStart w:id="66" w:name="_Toc18268"/>
      <w:bookmarkStart w:id="67" w:name="OLE_LINK20"/>
      <w:r>
        <w:rPr>
          <w:b/>
          <w:bCs/>
        </w:rPr>
        <w:t>1.</w:t>
      </w:r>
      <w:r>
        <w:rPr>
          <w:b/>
          <w:bCs/>
        </w:rPr>
        <w:t>绩效评价原则</w:t>
      </w:r>
      <w:bookmarkEnd w:id="65"/>
      <w:bookmarkEnd w:id="66"/>
    </w:p>
    <w:p w:rsidR="006C6569" w:rsidRDefault="005047E6">
      <w:pPr>
        <w:ind w:firstLine="640"/>
      </w:pPr>
      <w:bookmarkStart w:id="68" w:name="OLE_LINK39"/>
      <w:bookmarkStart w:id="69" w:name="OLE_LINK1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bookmarkEnd w:id="68"/>
    <w:p w:rsidR="006C6569" w:rsidRDefault="005047E6">
      <w:pPr>
        <w:ind w:firstLine="640"/>
      </w:pPr>
      <w:r>
        <w:t>（</w:t>
      </w:r>
      <w:r>
        <w:t>1</w:t>
      </w:r>
      <w:r>
        <w:t>）</w:t>
      </w:r>
      <w:bookmarkEnd w:id="69"/>
      <w:r>
        <w:t>科学公正。绩效评价应当运用科学合理的方法，按照规范的程序，对项目绩效进行客观、</w:t>
      </w:r>
      <w:r>
        <w:t>公正地反映</w:t>
      </w:r>
      <w:r>
        <w:t>。</w:t>
      </w:r>
    </w:p>
    <w:p w:rsidR="006C6569" w:rsidRDefault="005047E6">
      <w:pPr>
        <w:ind w:firstLine="640"/>
      </w:pPr>
      <w:r>
        <w:lastRenderedPageBreak/>
        <w:t>（</w:t>
      </w:r>
      <w:r>
        <w:t>2</w:t>
      </w:r>
      <w:r>
        <w:t>）统筹兼顾。单位自评应由项目单位自主实施，即</w:t>
      </w:r>
      <w:r>
        <w:t>“</w:t>
      </w:r>
      <w:r>
        <w:t>谁支出、谁自评</w:t>
      </w:r>
      <w:r>
        <w:t>”</w:t>
      </w:r>
      <w:r>
        <w:t>。</w:t>
      </w:r>
    </w:p>
    <w:p w:rsidR="006C6569" w:rsidRDefault="005047E6">
      <w:pPr>
        <w:ind w:firstLine="640"/>
      </w:pPr>
      <w:r>
        <w:t>（</w:t>
      </w:r>
      <w:r>
        <w:t>3</w:t>
      </w:r>
      <w:r>
        <w:t>）激励约束。绩效评价结果应与预算安排、政策调整、改进管理实质性挂钩，体现奖优罚劣和激励相容导向，有效要安排、低效要压减、无效要问责。</w:t>
      </w:r>
    </w:p>
    <w:p w:rsidR="006C6569" w:rsidRDefault="005047E6">
      <w:pPr>
        <w:ind w:firstLine="640"/>
      </w:pPr>
      <w:r>
        <w:t>（</w:t>
      </w:r>
      <w:r>
        <w:t>4</w:t>
      </w:r>
      <w:r>
        <w:t>）公开透明。</w:t>
      </w:r>
      <w:r>
        <w:t>本次项目支出绩效评价结果已依法依规在</w:t>
      </w:r>
      <w:r>
        <w:rPr>
          <w:rFonts w:hint="eastAsia"/>
        </w:rPr>
        <w:t>尉犁</w:t>
      </w:r>
      <w:r>
        <w:t>县人民政府网站上公开，并自觉接受社会监督</w:t>
      </w:r>
      <w:r>
        <w:t>。</w:t>
      </w:r>
    </w:p>
    <w:p w:rsidR="006C6569" w:rsidRDefault="005047E6">
      <w:pPr>
        <w:snapToGrid w:val="0"/>
        <w:ind w:firstLine="640"/>
      </w:pPr>
      <w:bookmarkStart w:id="70" w:name="OLE_LINK38"/>
      <w:bookmarkStart w:id="71" w:name="_Toc23112"/>
      <w:bookmarkStart w:id="72" w:name="_Toc28342"/>
      <w:r>
        <w:rPr>
          <w:rFonts w:hint="eastAsia"/>
        </w:rPr>
        <w:t>根据以上原则</w:t>
      </w:r>
      <w:r>
        <w:rPr>
          <w:rFonts w:hint="eastAsia"/>
        </w:rPr>
        <w:t>，</w:t>
      </w:r>
      <w:r>
        <w:rPr>
          <w:rFonts w:hint="eastAsia"/>
        </w:rPr>
        <w:t>绩效评价应遵循如下要求</w:t>
      </w:r>
      <w:r>
        <w:rPr>
          <w:rFonts w:hint="eastAsia"/>
        </w:rPr>
        <w:t>:</w:t>
      </w:r>
    </w:p>
    <w:p w:rsidR="006C6569" w:rsidRDefault="005047E6">
      <w:pPr>
        <w:snapToGrid w:val="0"/>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6C6569" w:rsidRDefault="005047E6">
      <w:pPr>
        <w:snapToGrid w:val="0"/>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6C6569" w:rsidRDefault="005047E6">
      <w:pPr>
        <w:snapToGrid w:val="0"/>
        <w:ind w:firstLine="640"/>
        <w:rPr>
          <w:b/>
          <w:bCs/>
        </w:rPr>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p>
    <w:bookmarkEnd w:id="70"/>
    <w:p w:rsidR="006C6569" w:rsidRDefault="005047E6">
      <w:pPr>
        <w:ind w:firstLine="643"/>
        <w:rPr>
          <w:b/>
          <w:bCs/>
        </w:rPr>
      </w:pPr>
      <w:r>
        <w:rPr>
          <w:b/>
          <w:bCs/>
        </w:rPr>
        <w:t>2.</w:t>
      </w:r>
      <w:r>
        <w:rPr>
          <w:b/>
          <w:bCs/>
        </w:rPr>
        <w:t>评价指标体系</w:t>
      </w:r>
      <w:bookmarkEnd w:id="71"/>
      <w:bookmarkEnd w:id="72"/>
    </w:p>
    <w:p w:rsidR="006C6569" w:rsidRDefault="005047E6">
      <w:pPr>
        <w:ind w:firstLine="640"/>
      </w:pPr>
      <w:r>
        <w:rPr>
          <w:rFonts w:hint="eastAsia"/>
        </w:rPr>
        <w:t>2024</w:t>
      </w:r>
      <w:r>
        <w:rPr>
          <w:rFonts w:hint="eastAsia"/>
        </w:rPr>
        <w:t>年“四好农村公路”养护项目</w:t>
      </w:r>
      <w:r>
        <w:t>绩效评价（部门自评）指标体系的设计，是在充分掌握项目状况的基础上，形成了</w:t>
      </w:r>
      <w:bookmarkStart w:id="73" w:name="OLE_LINK3"/>
      <w:r>
        <w:rPr>
          <w:rFonts w:hint="eastAsia"/>
        </w:rPr>
        <w:t>2024</w:t>
      </w:r>
      <w:r>
        <w:rPr>
          <w:rFonts w:hint="eastAsia"/>
        </w:rPr>
        <w:t>年“四好农村公路</w:t>
      </w:r>
      <w:bookmarkStart w:id="74" w:name="OLE_LINK4"/>
      <w:r>
        <w:rPr>
          <w:rFonts w:hint="eastAsia"/>
        </w:rPr>
        <w:t>”养护项目</w:t>
      </w:r>
      <w:bookmarkEnd w:id="73"/>
      <w:bookmarkEnd w:id="74"/>
      <w:r>
        <w:t>的项目支出绩效评价指标</w:t>
      </w:r>
      <w:r>
        <w:lastRenderedPageBreak/>
        <w:t>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6C6569" w:rsidRDefault="005047E6">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End w:id="67"/>
      <w:r>
        <w:t>具体如下：</w:t>
      </w:r>
    </w:p>
    <w:p w:rsidR="006C6569" w:rsidRDefault="006C6569">
      <w:pPr>
        <w:ind w:firstLine="640"/>
      </w:pPr>
      <w:bookmarkStart w:id="75" w:name="_Toc15680"/>
      <w:bookmarkStart w:id="76" w:name="_Toc10631"/>
    </w:p>
    <w:tbl>
      <w:tblPr>
        <w:tblpPr w:leftFromText="180" w:rightFromText="180" w:vertAnchor="text" w:horzAnchor="page" w:tblpXSpec="center" w:tblpY="180"/>
        <w:tblOverlap w:val="never"/>
        <w:tblW w:w="5270" w:type="pct"/>
        <w:jc w:val="center"/>
        <w:tblLayout w:type="fixed"/>
        <w:tblLook w:val="04A0" w:firstRow="1" w:lastRow="0" w:firstColumn="1" w:lastColumn="0" w:noHBand="0" w:noVBand="1"/>
      </w:tblPr>
      <w:tblGrid>
        <w:gridCol w:w="635"/>
        <w:gridCol w:w="642"/>
        <w:gridCol w:w="973"/>
        <w:gridCol w:w="2202"/>
        <w:gridCol w:w="3871"/>
        <w:gridCol w:w="659"/>
      </w:tblGrid>
      <w:tr w:rsidR="006C6569">
        <w:trPr>
          <w:trHeight w:val="460"/>
          <w:jc w:val="center"/>
        </w:trPr>
        <w:tc>
          <w:tcPr>
            <w:tcW w:w="353"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一级指标</w:t>
            </w:r>
          </w:p>
        </w:tc>
        <w:tc>
          <w:tcPr>
            <w:tcW w:w="357"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二级指标</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三级指标</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rPr>
                <w:rFonts w:hint="default"/>
                <w:sz w:val="18"/>
                <w:szCs w:val="18"/>
              </w:rPr>
            </w:pPr>
            <w:r>
              <w:rPr>
                <w:rFonts w:hint="default"/>
                <w:sz w:val="18"/>
                <w:szCs w:val="18"/>
              </w:rPr>
              <w:t>指标解释</w:t>
            </w:r>
          </w:p>
        </w:tc>
        <w:tc>
          <w:tcPr>
            <w:tcW w:w="2152"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指标说明</w:t>
            </w:r>
          </w:p>
        </w:tc>
        <w:tc>
          <w:tcPr>
            <w:tcW w:w="367"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分值</w:t>
            </w:r>
          </w:p>
        </w:tc>
      </w:tr>
      <w:tr w:rsidR="006C6569">
        <w:trPr>
          <w:trHeight w:val="277"/>
          <w:jc w:val="center"/>
        </w:trPr>
        <w:tc>
          <w:tcPr>
            <w:tcW w:w="353"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决策</w:t>
            </w:r>
          </w:p>
        </w:tc>
        <w:tc>
          <w:tcPr>
            <w:tcW w:w="357"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项目</w:t>
            </w:r>
            <w:r>
              <w:rPr>
                <w:sz w:val="18"/>
                <w:szCs w:val="18"/>
              </w:rPr>
              <w:t>实施</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sz w:val="18"/>
                <w:szCs w:val="18"/>
              </w:rPr>
              <w:t>实施</w:t>
            </w:r>
            <w:r>
              <w:rPr>
                <w:rFonts w:hint="default"/>
                <w:sz w:val="18"/>
                <w:szCs w:val="18"/>
              </w:rPr>
              <w:t>依据充分性</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52"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p w:rsidR="006C6569" w:rsidRDefault="005047E6">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p w:rsidR="006C6569" w:rsidRDefault="005047E6">
            <w:pPr>
              <w:pStyle w:val="a8"/>
              <w:spacing w:line="240" w:lineRule="exact"/>
              <w:jc w:val="both"/>
              <w:rPr>
                <w:rFonts w:hint="default"/>
              </w:rPr>
            </w:pPr>
            <w:r>
              <w:rPr>
                <w:rFonts w:hint="default"/>
                <w:sz w:val="18"/>
                <w:szCs w:val="18"/>
              </w:rPr>
              <w:t>⑤</w:t>
            </w:r>
            <w:r>
              <w:rPr>
                <w:rFonts w:hint="default"/>
                <w:sz w:val="18"/>
                <w:szCs w:val="18"/>
              </w:rPr>
              <w:t>项目是否与相关部门同类项目或部门内部相关项目重复。</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3</w:t>
            </w:r>
          </w:p>
        </w:tc>
      </w:tr>
      <w:tr w:rsidR="006C6569">
        <w:trPr>
          <w:trHeight w:val="90"/>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rPr>
                <w:rFonts w:hint="default"/>
                <w:sz w:val="18"/>
                <w:szCs w:val="18"/>
              </w:rPr>
            </w:pP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sz w:val="18"/>
                <w:szCs w:val="18"/>
              </w:rPr>
              <w:t>实施</w:t>
            </w:r>
            <w:r>
              <w:rPr>
                <w:rFonts w:hint="default"/>
                <w:sz w:val="18"/>
                <w:szCs w:val="18"/>
              </w:rPr>
              <w:t>程序规范性</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52"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p w:rsidR="006C6569" w:rsidRDefault="005047E6">
            <w:pPr>
              <w:pStyle w:val="a8"/>
              <w:spacing w:line="240" w:lineRule="exact"/>
              <w:jc w:val="both"/>
              <w:rPr>
                <w:rFonts w:hint="default"/>
              </w:rPr>
            </w:pPr>
            <w:r>
              <w:rPr>
                <w:rFonts w:hint="default"/>
                <w:sz w:val="18"/>
                <w:szCs w:val="18"/>
              </w:rPr>
              <w:t>③</w:t>
            </w:r>
            <w:r>
              <w:rPr>
                <w:rFonts w:hint="default"/>
                <w:sz w:val="18"/>
                <w:szCs w:val="18"/>
              </w:rPr>
              <w:t>事前是否已经过必要的可行性研究、专家论证、风险评估、绩效评估、集体决策。</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3</w:t>
            </w:r>
          </w:p>
        </w:tc>
      </w:tr>
      <w:tr w:rsidR="006C6569">
        <w:trPr>
          <w:trHeight w:val="90"/>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绩效目标</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绩效目标合理性</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52"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p w:rsidR="006C6569" w:rsidRDefault="005047E6">
            <w:pPr>
              <w:pStyle w:val="a8"/>
              <w:spacing w:line="240" w:lineRule="exact"/>
              <w:jc w:val="both"/>
              <w:rPr>
                <w:rFonts w:hint="default"/>
              </w:rPr>
            </w:pPr>
            <w:r>
              <w:rPr>
                <w:rFonts w:hint="default"/>
                <w:sz w:val="18"/>
                <w:szCs w:val="18"/>
              </w:rPr>
              <w:t>④</w:t>
            </w:r>
            <w:r>
              <w:rPr>
                <w:rFonts w:hint="default"/>
                <w:sz w:val="18"/>
                <w:szCs w:val="18"/>
              </w:rPr>
              <w:t>是否与预算确定的项目投资额或资金量相匹配。</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4</w:t>
            </w:r>
          </w:p>
        </w:tc>
      </w:tr>
      <w:tr w:rsidR="006C6569">
        <w:trPr>
          <w:trHeight w:val="108"/>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rPr>
                <w:rFonts w:hint="default"/>
                <w:sz w:val="18"/>
                <w:szCs w:val="18"/>
              </w:rPr>
            </w:pP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绩效指标明确性</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52" w:type="pct"/>
            <w:tcBorders>
              <w:top w:val="single" w:sz="4" w:space="0" w:color="000000"/>
              <w:left w:val="single" w:sz="4" w:space="0" w:color="000000"/>
              <w:bottom w:val="single" w:sz="4" w:space="0" w:color="auto"/>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p w:rsidR="006C6569" w:rsidRDefault="005047E6">
            <w:pPr>
              <w:pStyle w:val="a8"/>
              <w:spacing w:line="240" w:lineRule="exact"/>
              <w:jc w:val="both"/>
              <w:rPr>
                <w:rFonts w:hint="default"/>
              </w:rPr>
            </w:pPr>
            <w:r>
              <w:rPr>
                <w:rFonts w:hint="default"/>
                <w:sz w:val="18"/>
                <w:szCs w:val="18"/>
              </w:rPr>
              <w:t>③</w:t>
            </w:r>
            <w:r>
              <w:rPr>
                <w:rFonts w:hint="default"/>
                <w:sz w:val="18"/>
                <w:szCs w:val="18"/>
              </w:rPr>
              <w:t>是否与项目目标任务数或计划数相对应。</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4</w:t>
            </w:r>
          </w:p>
        </w:tc>
      </w:tr>
      <w:tr w:rsidR="006C6569">
        <w:trPr>
          <w:trHeight w:val="232"/>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资金投入</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预算编制科学性</w:t>
            </w:r>
          </w:p>
        </w:tc>
        <w:tc>
          <w:tcPr>
            <w:tcW w:w="1226" w:type="pct"/>
            <w:tcBorders>
              <w:top w:val="single" w:sz="4" w:space="0" w:color="000000"/>
              <w:left w:val="single" w:sz="4" w:space="0" w:color="000000"/>
              <w:bottom w:val="single" w:sz="4" w:space="0" w:color="000000"/>
              <w:right w:val="single" w:sz="4" w:space="0" w:color="auto"/>
            </w:tcBorders>
            <w:vAlign w:val="center"/>
          </w:tcPr>
          <w:p w:rsidR="006C6569" w:rsidRDefault="005047E6">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52" w:type="pct"/>
            <w:tcBorders>
              <w:top w:val="single" w:sz="4" w:space="0" w:color="auto"/>
              <w:left w:val="single" w:sz="4" w:space="0" w:color="auto"/>
              <w:bottom w:val="single" w:sz="4" w:space="0" w:color="auto"/>
              <w:right w:val="single" w:sz="4" w:space="0" w:color="auto"/>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p w:rsidR="006C6569" w:rsidRDefault="005047E6">
            <w:pPr>
              <w:pStyle w:val="a8"/>
              <w:spacing w:line="240" w:lineRule="exact"/>
              <w:jc w:val="both"/>
              <w:rPr>
                <w:rFonts w:hint="default"/>
              </w:rPr>
            </w:pPr>
            <w:r>
              <w:rPr>
                <w:rFonts w:hint="default"/>
                <w:sz w:val="18"/>
                <w:szCs w:val="18"/>
              </w:rPr>
              <w:t>④</w:t>
            </w:r>
            <w:r>
              <w:rPr>
                <w:rFonts w:hint="default"/>
                <w:sz w:val="18"/>
                <w:szCs w:val="18"/>
              </w:rPr>
              <w:t>预算确定的项目投资额或资金量是否与工作</w:t>
            </w:r>
            <w:r>
              <w:rPr>
                <w:rFonts w:hint="default"/>
                <w:sz w:val="18"/>
                <w:szCs w:val="18"/>
              </w:rPr>
              <w:lastRenderedPageBreak/>
              <w:t>任务相匹配。</w:t>
            </w:r>
          </w:p>
        </w:tc>
        <w:tc>
          <w:tcPr>
            <w:tcW w:w="367" w:type="pct"/>
            <w:tcBorders>
              <w:top w:val="single" w:sz="4" w:space="0" w:color="000000"/>
              <w:left w:val="single" w:sz="4" w:space="0" w:color="auto"/>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lastRenderedPageBreak/>
              <w:t>4</w:t>
            </w:r>
          </w:p>
        </w:tc>
      </w:tr>
      <w:tr w:rsidR="006C6569">
        <w:trPr>
          <w:trHeight w:val="1416"/>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rPr>
                <w:rFonts w:hint="default"/>
                <w:sz w:val="18"/>
                <w:szCs w:val="18"/>
              </w:rPr>
            </w:pP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资金分配合理性</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52" w:type="pct"/>
            <w:tcBorders>
              <w:top w:val="single" w:sz="4" w:space="0" w:color="auto"/>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p w:rsidR="006C6569" w:rsidRDefault="005047E6">
            <w:pPr>
              <w:pStyle w:val="a8"/>
              <w:spacing w:line="240" w:lineRule="exact"/>
              <w:jc w:val="both"/>
              <w:rPr>
                <w:rFonts w:hint="default"/>
              </w:rPr>
            </w:pPr>
            <w:r>
              <w:rPr>
                <w:rFonts w:hint="default"/>
                <w:sz w:val="18"/>
                <w:szCs w:val="18"/>
              </w:rPr>
              <w:t>②</w:t>
            </w:r>
            <w:r>
              <w:rPr>
                <w:rFonts w:hint="default"/>
                <w:sz w:val="18"/>
                <w:szCs w:val="18"/>
              </w:rPr>
              <w:t>资金分配额度是否合理，与项目单位或地方实际是否相适应。</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4</w:t>
            </w:r>
          </w:p>
        </w:tc>
      </w:tr>
      <w:tr w:rsidR="006C6569">
        <w:trPr>
          <w:trHeight w:val="164"/>
          <w:jc w:val="center"/>
        </w:trPr>
        <w:tc>
          <w:tcPr>
            <w:tcW w:w="353"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过程</w:t>
            </w:r>
          </w:p>
        </w:tc>
        <w:tc>
          <w:tcPr>
            <w:tcW w:w="357"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资金管理</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资金到位率</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52"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p w:rsidR="006C6569" w:rsidRDefault="005047E6">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p w:rsidR="006C6569" w:rsidRDefault="005047E6">
            <w:pPr>
              <w:pStyle w:val="a8"/>
              <w:spacing w:line="240" w:lineRule="exact"/>
              <w:jc w:val="both"/>
              <w:rPr>
                <w:rFonts w:hint="default"/>
              </w:rPr>
            </w:pPr>
            <w:r>
              <w:rPr>
                <w:rFonts w:hint="default"/>
                <w:sz w:val="18"/>
                <w:szCs w:val="18"/>
              </w:rPr>
              <w:t>预算资金：一定时期（本年度或项目期）内预算安排到具体项目的资金。</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4</w:t>
            </w:r>
          </w:p>
        </w:tc>
      </w:tr>
      <w:tr w:rsidR="006C6569">
        <w:trPr>
          <w:trHeight w:val="460"/>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rPr>
                <w:rFonts w:hint="default"/>
                <w:sz w:val="18"/>
                <w:szCs w:val="18"/>
              </w:rPr>
            </w:pP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预算执行率</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52"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p w:rsidR="006C6569" w:rsidRDefault="005047E6">
            <w:pPr>
              <w:pStyle w:val="a8"/>
              <w:spacing w:line="240" w:lineRule="exact"/>
              <w:jc w:val="both"/>
              <w:rPr>
                <w:rFonts w:hint="default"/>
              </w:rPr>
            </w:pPr>
            <w:r>
              <w:rPr>
                <w:rFonts w:hint="default"/>
                <w:sz w:val="18"/>
                <w:szCs w:val="18"/>
              </w:rPr>
              <w:t>实际支出资金：一定时期（本年度或项目期）内项目实际拨付的资金。</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4</w:t>
            </w:r>
          </w:p>
        </w:tc>
      </w:tr>
      <w:tr w:rsidR="006C6569">
        <w:trPr>
          <w:trHeight w:val="222"/>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rPr>
                <w:rFonts w:hint="default"/>
                <w:sz w:val="18"/>
                <w:szCs w:val="18"/>
              </w:rPr>
            </w:pP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资金使用合规性</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52"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p w:rsidR="006C6569" w:rsidRDefault="005047E6">
            <w:pPr>
              <w:pStyle w:val="a8"/>
              <w:spacing w:line="240" w:lineRule="exact"/>
              <w:jc w:val="both"/>
              <w:rPr>
                <w:rFonts w:hint="default"/>
              </w:rPr>
            </w:pPr>
            <w:r>
              <w:rPr>
                <w:rFonts w:hint="default"/>
                <w:sz w:val="18"/>
                <w:szCs w:val="18"/>
              </w:rPr>
              <w:t>④</w:t>
            </w:r>
            <w:r>
              <w:rPr>
                <w:rFonts w:hint="default"/>
                <w:sz w:val="18"/>
                <w:szCs w:val="18"/>
              </w:rPr>
              <w:t>是否存在截留、挤占、挪用、虚列支出等情况。</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4</w:t>
            </w:r>
          </w:p>
        </w:tc>
      </w:tr>
      <w:tr w:rsidR="006C6569">
        <w:trPr>
          <w:trHeight w:val="222"/>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组织实施</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管理制度健全性</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52"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p w:rsidR="006C6569" w:rsidRDefault="005047E6">
            <w:pPr>
              <w:pStyle w:val="a8"/>
              <w:spacing w:line="240" w:lineRule="exact"/>
              <w:jc w:val="both"/>
              <w:rPr>
                <w:rFonts w:hint="default"/>
              </w:rPr>
            </w:pPr>
            <w:r>
              <w:rPr>
                <w:rFonts w:hint="default"/>
                <w:sz w:val="18"/>
                <w:szCs w:val="18"/>
              </w:rPr>
              <w:t>②</w:t>
            </w:r>
            <w:r>
              <w:rPr>
                <w:rFonts w:hint="default"/>
                <w:sz w:val="18"/>
                <w:szCs w:val="18"/>
              </w:rPr>
              <w:t>财务和业务管理制度是否合法、合规、完整。</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3</w:t>
            </w:r>
          </w:p>
        </w:tc>
      </w:tr>
      <w:tr w:rsidR="006C6569">
        <w:trPr>
          <w:trHeight w:val="210"/>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rPr>
                <w:rFonts w:hint="default"/>
                <w:sz w:val="18"/>
                <w:szCs w:val="18"/>
              </w:rPr>
            </w:pP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制度执行有效性</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52"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p w:rsidR="006C6569" w:rsidRDefault="005047E6">
            <w:pPr>
              <w:pStyle w:val="a8"/>
              <w:spacing w:line="240" w:lineRule="exact"/>
              <w:jc w:val="both"/>
              <w:rPr>
                <w:rFonts w:hint="default"/>
              </w:rPr>
            </w:pPr>
            <w:r>
              <w:rPr>
                <w:rFonts w:hint="default"/>
                <w:sz w:val="18"/>
                <w:szCs w:val="18"/>
              </w:rPr>
              <w:t>④</w:t>
            </w:r>
            <w:r>
              <w:rPr>
                <w:rFonts w:hint="default"/>
                <w:sz w:val="18"/>
                <w:szCs w:val="18"/>
              </w:rPr>
              <w:t>项目实施的人员条件、场地设备、信息支撑等是否落实到位。</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3</w:t>
            </w:r>
          </w:p>
        </w:tc>
      </w:tr>
      <w:tr w:rsidR="006C6569">
        <w:trPr>
          <w:trHeight w:val="233"/>
          <w:jc w:val="center"/>
        </w:trPr>
        <w:tc>
          <w:tcPr>
            <w:tcW w:w="353"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产出</w:t>
            </w:r>
          </w:p>
        </w:tc>
        <w:tc>
          <w:tcPr>
            <w:tcW w:w="357"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产出数量</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实际完成率</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52"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p w:rsidR="006C6569" w:rsidRDefault="005047E6">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p w:rsidR="006C6569" w:rsidRDefault="005047E6">
            <w:pPr>
              <w:pStyle w:val="a8"/>
              <w:spacing w:line="240" w:lineRule="exact"/>
              <w:jc w:val="both"/>
              <w:rPr>
                <w:rFonts w:hint="default"/>
              </w:rPr>
            </w:pPr>
            <w:r>
              <w:rPr>
                <w:rFonts w:hint="default"/>
                <w:sz w:val="18"/>
                <w:szCs w:val="18"/>
              </w:rPr>
              <w:t>计划产出数：项目绩效目标确定的在一定时期（本年度或项目期）内计划产出的产品或提供的服务数量。</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12</w:t>
            </w:r>
          </w:p>
        </w:tc>
      </w:tr>
      <w:tr w:rsidR="006C6569">
        <w:trPr>
          <w:trHeight w:val="234"/>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产出质量</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质量达标率</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52"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p w:rsidR="006C6569" w:rsidRDefault="005047E6">
            <w:pPr>
              <w:pStyle w:val="a8"/>
              <w:spacing w:line="240" w:lineRule="exact"/>
              <w:jc w:val="both"/>
              <w:rPr>
                <w:rFonts w:hint="default"/>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12</w:t>
            </w:r>
          </w:p>
        </w:tc>
      </w:tr>
      <w:tr w:rsidR="006C6569">
        <w:trPr>
          <w:trHeight w:val="460"/>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产出时效</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完成及时性</w:t>
            </w:r>
          </w:p>
        </w:tc>
        <w:tc>
          <w:tcPr>
            <w:tcW w:w="1226" w:type="pct"/>
            <w:tcBorders>
              <w:top w:val="single" w:sz="4" w:space="0" w:color="000000"/>
              <w:left w:val="single" w:sz="4" w:space="0" w:color="000000"/>
              <w:bottom w:val="single" w:sz="4" w:space="0" w:color="000000"/>
              <w:right w:val="single" w:sz="4" w:space="0" w:color="auto"/>
            </w:tcBorders>
            <w:vAlign w:val="center"/>
          </w:tcPr>
          <w:p w:rsidR="006C6569" w:rsidRDefault="005047E6">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52" w:type="pct"/>
            <w:tcBorders>
              <w:top w:val="single" w:sz="4" w:space="0" w:color="auto"/>
              <w:left w:val="single" w:sz="4" w:space="0" w:color="auto"/>
              <w:bottom w:val="single" w:sz="4" w:space="0" w:color="auto"/>
              <w:right w:val="single" w:sz="4" w:space="0" w:color="auto"/>
            </w:tcBorders>
            <w:vAlign w:val="center"/>
          </w:tcPr>
          <w:p w:rsidR="006C6569" w:rsidRDefault="005047E6">
            <w:pPr>
              <w:pStyle w:val="a8"/>
              <w:spacing w:line="240" w:lineRule="exact"/>
              <w:jc w:val="both"/>
              <w:rPr>
                <w:rFonts w:hint="default"/>
                <w:sz w:val="18"/>
                <w:szCs w:val="18"/>
              </w:rPr>
            </w:pPr>
            <w:r>
              <w:rPr>
                <w:rFonts w:hint="default"/>
                <w:sz w:val="18"/>
                <w:szCs w:val="18"/>
              </w:rPr>
              <w:t>实际完成时间：项目实施单位完成该项目实际所耗用的时间。</w:t>
            </w:r>
          </w:p>
          <w:p w:rsidR="006C6569" w:rsidRDefault="005047E6">
            <w:pPr>
              <w:pStyle w:val="a8"/>
              <w:spacing w:line="240" w:lineRule="exact"/>
              <w:jc w:val="both"/>
              <w:rPr>
                <w:rFonts w:hint="default"/>
              </w:rPr>
            </w:pPr>
            <w:r>
              <w:rPr>
                <w:rFonts w:hint="default"/>
                <w:sz w:val="18"/>
                <w:szCs w:val="18"/>
              </w:rPr>
              <w:t>计划完成时间：按照项目实施计划或相关规定完成该项目所需的时间。</w:t>
            </w:r>
          </w:p>
        </w:tc>
        <w:tc>
          <w:tcPr>
            <w:tcW w:w="367" w:type="pct"/>
            <w:tcBorders>
              <w:top w:val="single" w:sz="4" w:space="0" w:color="000000"/>
              <w:left w:val="single" w:sz="4" w:space="0" w:color="auto"/>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12</w:t>
            </w:r>
          </w:p>
        </w:tc>
      </w:tr>
      <w:tr w:rsidR="006C6569">
        <w:trPr>
          <w:trHeight w:val="1690"/>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产出成本</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成本节约率</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52" w:type="pct"/>
            <w:tcBorders>
              <w:top w:val="single" w:sz="4" w:space="0" w:color="auto"/>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p w:rsidR="006C6569" w:rsidRDefault="005047E6">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p w:rsidR="006C6569" w:rsidRDefault="005047E6">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4</w:t>
            </w:r>
          </w:p>
        </w:tc>
      </w:tr>
      <w:tr w:rsidR="006C6569">
        <w:trPr>
          <w:trHeight w:val="780"/>
          <w:jc w:val="center"/>
        </w:trPr>
        <w:tc>
          <w:tcPr>
            <w:tcW w:w="353"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效益</w:t>
            </w:r>
          </w:p>
        </w:tc>
        <w:tc>
          <w:tcPr>
            <w:tcW w:w="357"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项目效益</w:t>
            </w: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实施效益</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项目实施所产生的效益。</w:t>
            </w:r>
          </w:p>
        </w:tc>
        <w:tc>
          <w:tcPr>
            <w:tcW w:w="2152"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10</w:t>
            </w:r>
          </w:p>
        </w:tc>
      </w:tr>
      <w:tr w:rsidR="006C6569">
        <w:trPr>
          <w:trHeight w:val="645"/>
          <w:jc w:val="center"/>
        </w:trPr>
        <w:tc>
          <w:tcPr>
            <w:tcW w:w="353"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57"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rPr>
                <w:rFonts w:hint="default"/>
                <w:sz w:val="18"/>
                <w:szCs w:val="18"/>
              </w:rPr>
            </w:pPr>
          </w:p>
        </w:tc>
        <w:tc>
          <w:tcPr>
            <w:tcW w:w="541"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rPr>
                <w:rFonts w:hint="default"/>
                <w:sz w:val="18"/>
                <w:szCs w:val="18"/>
              </w:rPr>
            </w:pPr>
            <w:r>
              <w:rPr>
                <w:rFonts w:hint="default"/>
                <w:sz w:val="18"/>
                <w:szCs w:val="18"/>
              </w:rPr>
              <w:t>满意度</w:t>
            </w:r>
          </w:p>
        </w:tc>
        <w:tc>
          <w:tcPr>
            <w:tcW w:w="1226"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52"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10</w:t>
            </w:r>
          </w:p>
        </w:tc>
      </w:tr>
      <w:tr w:rsidR="006C6569">
        <w:trPr>
          <w:trHeight w:val="460"/>
          <w:jc w:val="center"/>
        </w:trPr>
        <w:tc>
          <w:tcPr>
            <w:tcW w:w="4632" w:type="pct"/>
            <w:gridSpan w:val="5"/>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合计</w:t>
            </w:r>
          </w:p>
        </w:tc>
        <w:tc>
          <w:tcPr>
            <w:tcW w:w="36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rPr>
                <w:rFonts w:hint="default"/>
                <w:sz w:val="18"/>
                <w:szCs w:val="18"/>
              </w:rPr>
            </w:pPr>
            <w:r>
              <w:rPr>
                <w:rFonts w:hint="default"/>
                <w:sz w:val="18"/>
                <w:szCs w:val="18"/>
              </w:rPr>
              <w:t>100</w:t>
            </w:r>
          </w:p>
        </w:tc>
      </w:tr>
    </w:tbl>
    <w:p w:rsidR="006C6569" w:rsidRDefault="005047E6">
      <w:pPr>
        <w:ind w:firstLine="643"/>
        <w:rPr>
          <w:b/>
          <w:bCs/>
        </w:rPr>
      </w:pPr>
      <w:bookmarkStart w:id="77" w:name="OLE_LINK21"/>
      <w:r>
        <w:rPr>
          <w:b/>
          <w:bCs/>
        </w:rPr>
        <w:t>3.</w:t>
      </w:r>
      <w:r>
        <w:rPr>
          <w:b/>
          <w:bCs/>
        </w:rPr>
        <w:t>绩效评价方法</w:t>
      </w:r>
      <w:bookmarkEnd w:id="75"/>
      <w:bookmarkEnd w:id="76"/>
    </w:p>
    <w:p w:rsidR="006C6569" w:rsidRDefault="005047E6">
      <w:pPr>
        <w:ind w:firstLine="640"/>
      </w:pPr>
      <w:r>
        <w:t>结合</w:t>
      </w:r>
      <w:bookmarkStart w:id="78" w:name="OLE_LINK5"/>
      <w:r>
        <w:rPr>
          <w:rFonts w:ascii="仿宋_GB2312" w:hAnsi="仿宋_GB2312" w:cs="仿宋_GB2312" w:hint="eastAsia"/>
        </w:rPr>
        <w:t>2024</w:t>
      </w:r>
      <w:r>
        <w:rPr>
          <w:rFonts w:ascii="仿宋_GB2312" w:hAnsi="仿宋_GB2312" w:cs="仿宋_GB2312" w:hint="eastAsia"/>
        </w:rPr>
        <w:t>年“四好农村公路”养护</w:t>
      </w:r>
      <w:r>
        <w:rPr>
          <w:rFonts w:hint="eastAsia"/>
        </w:rPr>
        <w:t>项目</w:t>
      </w:r>
      <w:bookmarkEnd w:id="78"/>
      <w:r>
        <w:t>的特点，</w:t>
      </w:r>
      <w:r>
        <w:t>本项目绩效评价将项目实施情况即实际完成的</w:t>
      </w:r>
      <w:r>
        <w:rPr>
          <w:rFonts w:hint="eastAsia"/>
        </w:rPr>
        <w:t>道路坑槽清理修补面积、</w:t>
      </w:r>
      <w:r>
        <w:t>购买标志牌数量</w:t>
      </w:r>
      <w:r>
        <w:t>等指标与年初设定的目标值进行比较</w:t>
      </w:r>
      <w:r>
        <w:t>。</w:t>
      </w:r>
      <w:bookmarkStart w:id="79" w:name="OLE_LINK43"/>
      <w:r>
        <w:rPr>
          <w:rFonts w:hint="eastAsia"/>
        </w:rPr>
        <w:t>并且通过公众评判。</w:t>
      </w:r>
      <w:r>
        <w:t>因此，采取的绩效评价方法是：比较法</w:t>
      </w:r>
      <w:r>
        <w:rPr>
          <w:rFonts w:hint="eastAsia"/>
        </w:rPr>
        <w:t>、</w:t>
      </w:r>
      <w:bookmarkStart w:id="80" w:name="OLE_LINK45"/>
      <w:r>
        <w:rPr>
          <w:rFonts w:hint="eastAsia"/>
        </w:rPr>
        <w:t>公众评判</w:t>
      </w:r>
      <w:bookmarkEnd w:id="80"/>
      <w:r>
        <w:rPr>
          <w:rFonts w:hint="eastAsia"/>
        </w:rPr>
        <w:t>法</w:t>
      </w:r>
      <w:r>
        <w:t>。</w:t>
      </w:r>
      <w:bookmarkEnd w:id="79"/>
    </w:p>
    <w:p w:rsidR="006C6569" w:rsidRDefault="005047E6">
      <w:pPr>
        <w:ind w:firstLine="643"/>
        <w:rPr>
          <w:b/>
          <w:bCs/>
        </w:rPr>
      </w:pPr>
      <w:bookmarkStart w:id="81" w:name="_Toc15525"/>
      <w:bookmarkStart w:id="82" w:name="_Toc3155"/>
      <w:r>
        <w:rPr>
          <w:b/>
          <w:bCs/>
        </w:rPr>
        <w:t>4.</w:t>
      </w:r>
      <w:r>
        <w:rPr>
          <w:b/>
          <w:bCs/>
        </w:rPr>
        <w:t>绩效评价标准</w:t>
      </w:r>
      <w:bookmarkEnd w:id="81"/>
      <w:bookmarkEnd w:id="82"/>
    </w:p>
    <w:p w:rsidR="006C6569" w:rsidRDefault="005047E6">
      <w:pPr>
        <w:ind w:firstLine="640"/>
      </w:pPr>
      <w:r>
        <w:t>绩效评价标准通常包括计划标准、行业标准、历史标准等，用于对绩效指标完成情况进行比较。</w:t>
      </w:r>
    </w:p>
    <w:p w:rsidR="006C6569" w:rsidRDefault="005047E6">
      <w:pPr>
        <w:pStyle w:val="a3"/>
        <w:ind w:firstLine="640"/>
        <w:jc w:val="both"/>
      </w:pPr>
      <w:r>
        <w:t>结合</w:t>
      </w:r>
      <w:bookmarkStart w:id="83" w:name="OLE_LINK6"/>
      <w:r>
        <w:rPr>
          <w:rFonts w:hint="eastAsia"/>
        </w:rPr>
        <w:t>2024</w:t>
      </w:r>
      <w:r>
        <w:rPr>
          <w:rFonts w:hint="eastAsia"/>
        </w:rPr>
        <w:t>年“四好农村公路”养护项目</w:t>
      </w:r>
      <w:bookmarkEnd w:id="83"/>
      <w:r>
        <w:t>的特点，</w:t>
      </w:r>
      <w:bookmarkStart w:id="84" w:name="_Toc15381"/>
      <w:bookmarkStart w:id="85" w:name="_Toc30219"/>
      <w:bookmarkStart w:id="86" w:name="_Toc17851"/>
      <w:bookmarkStart w:id="87" w:name="_Toc26411"/>
      <w:r>
        <w:rPr>
          <w:bCs/>
          <w:szCs w:val="32"/>
        </w:rPr>
        <w:t>本项目绩效评价以预先制定的</w:t>
      </w:r>
      <w:bookmarkStart w:id="88" w:name="OLE_LINK30"/>
      <w:r>
        <w:rPr>
          <w:rFonts w:hint="eastAsia"/>
        </w:rPr>
        <w:t>道路坑槽清理修补面积</w:t>
      </w:r>
      <w:r>
        <w:rPr>
          <w:rFonts w:hint="eastAsia"/>
        </w:rPr>
        <w:t>800</w:t>
      </w:r>
      <w:r>
        <w:rPr>
          <w:rFonts w:hint="eastAsia"/>
        </w:rPr>
        <w:t>㎡、</w:t>
      </w:r>
      <w:r>
        <w:t>购买标志牌数量</w:t>
      </w:r>
      <w:r>
        <w:rPr>
          <w:rFonts w:hint="eastAsia"/>
        </w:rPr>
        <w:t>40</w:t>
      </w:r>
      <w:r>
        <w:rPr>
          <w:rFonts w:hint="eastAsia"/>
        </w:rPr>
        <w:t>个</w:t>
      </w:r>
      <w:bookmarkEnd w:id="88"/>
      <w:r>
        <w:t>为计</w:t>
      </w:r>
      <w:r>
        <w:rPr>
          <w:bCs/>
          <w:szCs w:val="32"/>
        </w:rPr>
        <w:t>划数作为评价标准；同时参照</w:t>
      </w:r>
      <w:r>
        <w:t>有关</w:t>
      </w:r>
      <w:r>
        <w:rPr>
          <w:rFonts w:hint="eastAsia"/>
        </w:rPr>
        <w:t>农村公路日常养护费</w:t>
      </w:r>
      <w:r>
        <w:t>等同类项目建设的行业标准</w:t>
      </w:r>
      <w:r>
        <w:rPr>
          <w:bCs/>
          <w:szCs w:val="32"/>
        </w:rPr>
        <w:t>来制定评价标准。因此，采取的绩效评价标准为：计划标准、行业标准。</w:t>
      </w:r>
    </w:p>
    <w:p w:rsidR="006C6569" w:rsidRDefault="005047E6">
      <w:pPr>
        <w:pStyle w:val="3"/>
        <w:ind w:firstLine="643"/>
        <w:rPr>
          <w:rFonts w:ascii="楷体" w:eastAsia="楷体" w:hAnsi="楷体" w:cs="楷体"/>
        </w:rPr>
      </w:pPr>
      <w:bookmarkStart w:id="89" w:name="_Toc3085"/>
      <w:bookmarkEnd w:id="77"/>
      <w:r>
        <w:rPr>
          <w:rFonts w:ascii="楷体" w:eastAsia="楷体" w:hAnsi="楷体" w:cs="楷体" w:hint="eastAsia"/>
        </w:rPr>
        <w:lastRenderedPageBreak/>
        <w:t>（三）绩效评价工作过程</w:t>
      </w:r>
      <w:bookmarkEnd w:id="84"/>
      <w:bookmarkEnd w:id="85"/>
      <w:bookmarkEnd w:id="86"/>
      <w:bookmarkEnd w:id="87"/>
      <w:bookmarkEnd w:id="89"/>
    </w:p>
    <w:p w:rsidR="006C6569" w:rsidRDefault="005047E6">
      <w:pPr>
        <w:ind w:firstLine="643"/>
        <w:rPr>
          <w:b/>
          <w:bCs/>
        </w:rPr>
      </w:pPr>
      <w:bookmarkStart w:id="90" w:name="_Toc17595"/>
      <w:bookmarkStart w:id="91" w:name="_Toc30911"/>
      <w:bookmarkStart w:id="92" w:name="_Toc31054"/>
      <w:bookmarkStart w:id="93" w:name="_Toc27442"/>
      <w:bookmarkStart w:id="94" w:name="_Toc22987"/>
      <w:bookmarkStart w:id="95" w:name="OLE_LINK22"/>
      <w:r>
        <w:rPr>
          <w:b/>
          <w:bCs/>
        </w:rPr>
        <w:t>1.</w:t>
      </w:r>
      <w:r>
        <w:rPr>
          <w:b/>
          <w:bCs/>
        </w:rPr>
        <w:t>前期准备</w:t>
      </w:r>
      <w:bookmarkStart w:id="96" w:name="OLE_LINK34"/>
      <w:bookmarkEnd w:id="90"/>
      <w:bookmarkEnd w:id="91"/>
      <w:bookmarkEnd w:id="92"/>
      <w:bookmarkEnd w:id="93"/>
      <w:bookmarkEnd w:id="94"/>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6C6569" w:rsidRDefault="005047E6">
      <w:pPr>
        <w:spacing w:line="600" w:lineRule="exact"/>
        <w:ind w:firstLine="640"/>
        <w:rPr>
          <w:bCs/>
          <w:szCs w:val="32"/>
        </w:rPr>
      </w:pPr>
      <w:bookmarkStart w:id="97" w:name="_Toc2579"/>
      <w:bookmarkEnd w:id="96"/>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bCs/>
          <w:szCs w:val="32"/>
        </w:rPr>
        <w:t>尉犁</w:t>
      </w:r>
      <w:r>
        <w:t>县</w:t>
      </w:r>
      <w:r>
        <w:rPr>
          <w:rFonts w:hint="eastAsia"/>
        </w:rPr>
        <w:t>交通运输局</w:t>
      </w:r>
      <w:r>
        <w:rPr>
          <w:bCs/>
          <w:szCs w:val="32"/>
        </w:rPr>
        <w:t>成立了绩效评价小组，对项目实施的全过程，收集、整理项目实施的相关资料，了解项目实施情况和资金支付情况。从项目内容出发，结合项目预期目标，制定绩效评价的指标体系。</w:t>
      </w:r>
    </w:p>
    <w:p w:rsidR="006C6569" w:rsidRDefault="005047E6">
      <w:pPr>
        <w:ind w:firstLine="640"/>
      </w:pPr>
      <w:r>
        <w:t>评价小组组长：</w:t>
      </w:r>
      <w:r>
        <w:rPr>
          <w:rFonts w:hint="eastAsia"/>
        </w:rPr>
        <w:t>陈亚飞，</w:t>
      </w:r>
      <w:r>
        <w:t>主要负责协调相关科室、部门对项目整体运行情况进行验收、评估。</w:t>
      </w:r>
    </w:p>
    <w:p w:rsidR="006C6569" w:rsidRDefault="005047E6">
      <w:pPr>
        <w:ind w:firstLine="640"/>
      </w:pPr>
      <w:r>
        <w:t>评价小组组员：</w:t>
      </w:r>
      <w:r>
        <w:rPr>
          <w:rFonts w:hint="eastAsia"/>
        </w:rPr>
        <w:t>艾尼帕·司马义</w:t>
      </w:r>
      <w:r>
        <w:t>，主要负责制定评价指标体系及评价标准。</w:t>
      </w:r>
    </w:p>
    <w:p w:rsidR="006C6569" w:rsidRDefault="005047E6">
      <w:pPr>
        <w:ind w:firstLine="640"/>
      </w:pPr>
      <w:r>
        <w:t>评价小组组员：</w:t>
      </w:r>
      <w:r>
        <w:rPr>
          <w:rFonts w:hint="eastAsia"/>
        </w:rPr>
        <w:t>克来木·马那甫</w:t>
      </w:r>
      <w:r>
        <w:t>，主要负责</w:t>
      </w:r>
      <w:r>
        <w:t>2024</w:t>
      </w:r>
      <w:r>
        <w:t>年中央对地方成品油税费改革转移支付资金用于农村公路养护专项资金项目项目实施、监督、评估工作。</w:t>
      </w:r>
    </w:p>
    <w:p w:rsidR="006C6569" w:rsidRDefault="005047E6">
      <w:pPr>
        <w:ind w:firstLine="643"/>
        <w:rPr>
          <w:b/>
          <w:bCs/>
        </w:rPr>
      </w:pPr>
      <w:r>
        <w:rPr>
          <w:b/>
          <w:bCs/>
        </w:rPr>
        <w:t>2.</w:t>
      </w:r>
      <w:r>
        <w:rPr>
          <w:b/>
          <w:bCs/>
        </w:rPr>
        <w:t>组织实施</w:t>
      </w:r>
      <w:bookmarkStart w:id="98" w:name="OLE_LINK35"/>
      <w:bookmarkEnd w:id="97"/>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r>
        <w:rPr>
          <w:rFonts w:hint="eastAsia"/>
          <w:b/>
          <w:bCs/>
        </w:rPr>
        <w:t>）</w:t>
      </w:r>
    </w:p>
    <w:bookmarkEnd w:id="98"/>
    <w:p w:rsidR="006C6569" w:rsidRDefault="005047E6">
      <w:pPr>
        <w:ind w:firstLine="640"/>
      </w:pPr>
      <w:r>
        <w:t>评价的具体实施根据评价指标及评价工作要求，对具体评价内容和不同环节，采用以下取得的资料与评价方式。</w:t>
      </w:r>
    </w:p>
    <w:p w:rsidR="006C6569" w:rsidRDefault="005047E6">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6C6569" w:rsidRDefault="005047E6">
      <w:pPr>
        <w:ind w:firstLine="640"/>
      </w:pPr>
      <w:r>
        <w:t>（</w:t>
      </w:r>
      <w:r>
        <w:rPr>
          <w:rFonts w:hint="eastAsia"/>
        </w:rPr>
        <w:t>2</w:t>
      </w:r>
      <w:r>
        <w:t>）实地考察。根据评价指标及评价工作要求，到评</w:t>
      </w:r>
      <w:r>
        <w:lastRenderedPageBreak/>
        <w:t>价实地采取调查、询查、复核等方式收集、整理数据和资料，包括评价对象的基本情况、财政资金使用情况、评价指标体系需要的相关资料等。根据基础资料，核实数据的全面性、真实性以及指标口径的一</w:t>
      </w:r>
      <w:r>
        <w:t>致性，并对所掌握的有关信息资料采用相关方法进行分类、整理和分析，根据评价标准进行打分。</w:t>
      </w:r>
    </w:p>
    <w:p w:rsidR="006C6569" w:rsidRDefault="005047E6">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6C6569" w:rsidRDefault="005047E6">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6C6569" w:rsidRDefault="005047E6">
      <w:pPr>
        <w:ind w:firstLine="643"/>
        <w:rPr>
          <w:b/>
          <w:bCs/>
        </w:rPr>
      </w:pPr>
      <w:bookmarkStart w:id="99" w:name="_Toc19781"/>
      <w:r>
        <w:rPr>
          <w:b/>
          <w:bCs/>
        </w:rPr>
        <w:t>3.</w:t>
      </w:r>
      <w:r>
        <w:rPr>
          <w:b/>
          <w:bCs/>
        </w:rPr>
        <w:t>数据集中分析</w:t>
      </w:r>
      <w:bookmarkStart w:id="100" w:name="OLE_LINK36"/>
      <w:bookmarkEnd w:id="9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r>
        <w:rPr>
          <w:rFonts w:hint="eastAsia"/>
          <w:b/>
          <w:bCs/>
        </w:rPr>
        <w:t>）</w:t>
      </w:r>
    </w:p>
    <w:bookmarkEnd w:id="100"/>
    <w:p w:rsidR="006C6569" w:rsidRDefault="005047E6">
      <w:pPr>
        <w:ind w:firstLine="640"/>
      </w:pPr>
      <w:r>
        <w:t>对相关资料，包括资金文件、项目实施方案、相关管理办法，问卷调查等进行集中分析。在查阅大量项目资料的基础上，根据考察、考评的结果进行整理、分析。</w:t>
      </w:r>
    </w:p>
    <w:p w:rsidR="006C6569" w:rsidRDefault="005047E6">
      <w:pPr>
        <w:ind w:firstLine="643"/>
        <w:rPr>
          <w:b/>
          <w:bCs/>
        </w:rPr>
      </w:pPr>
      <w:bookmarkStart w:id="101" w:name="_Toc5021"/>
      <w:r>
        <w:rPr>
          <w:b/>
          <w:bCs/>
        </w:rPr>
        <w:t>4.</w:t>
      </w:r>
      <w:r>
        <w:rPr>
          <w:b/>
          <w:bCs/>
        </w:rPr>
        <w:t>分析总结</w:t>
      </w:r>
      <w:bookmarkEnd w:id="10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4</w:t>
      </w:r>
      <w:r>
        <w:rPr>
          <w:rFonts w:hint="eastAsia"/>
          <w:b/>
          <w:bCs/>
        </w:rPr>
        <w:t>月</w:t>
      </w:r>
      <w:r>
        <w:rPr>
          <w:rFonts w:hint="eastAsia"/>
          <w:b/>
          <w:bCs/>
        </w:rPr>
        <w:t>3</w:t>
      </w:r>
      <w:r>
        <w:rPr>
          <w:rFonts w:hint="eastAsia"/>
          <w:b/>
          <w:bCs/>
        </w:rPr>
        <w:t>日</w:t>
      </w:r>
      <w:r>
        <w:rPr>
          <w:rFonts w:hint="eastAsia"/>
          <w:b/>
          <w:bCs/>
        </w:rPr>
        <w:t>）</w:t>
      </w:r>
    </w:p>
    <w:p w:rsidR="006C6569" w:rsidRDefault="005047E6">
      <w:pPr>
        <w:ind w:firstLine="640"/>
      </w:pPr>
      <w:r>
        <w:t>（</w:t>
      </w:r>
      <w:r>
        <w:t>1</w:t>
      </w:r>
      <w:r>
        <w:t>）根据部门自评的意见及考察、考评的结果进行整理、分析，撰写绩效评价报告初稿；</w:t>
      </w:r>
    </w:p>
    <w:p w:rsidR="006C6569" w:rsidRDefault="005047E6">
      <w:pPr>
        <w:ind w:firstLine="640"/>
      </w:pPr>
      <w:r>
        <w:lastRenderedPageBreak/>
        <w:t>（</w:t>
      </w:r>
      <w:r>
        <w:t>2</w:t>
      </w:r>
      <w:r>
        <w:t>）就部门自评报告与部门具体有关股室征求意见，形成最终的绩效评价报告。</w:t>
      </w:r>
    </w:p>
    <w:p w:rsidR="006C6569" w:rsidRDefault="005047E6">
      <w:pPr>
        <w:ind w:firstLine="643"/>
        <w:rPr>
          <w:b/>
          <w:bCs/>
        </w:rPr>
      </w:pPr>
      <w:bookmarkStart w:id="102" w:name="OLE_LINK37"/>
      <w:r>
        <w:rPr>
          <w:rFonts w:hint="eastAsia"/>
          <w:b/>
          <w:bCs/>
        </w:rPr>
        <w:t>5</w:t>
      </w:r>
      <w:r>
        <w:rPr>
          <w:rFonts w:hint="eastAsia"/>
          <w:b/>
          <w:bCs/>
        </w:rPr>
        <w:t>.</w:t>
      </w:r>
      <w:r>
        <w:rPr>
          <w:rFonts w:hint="eastAsia"/>
          <w:b/>
          <w:bCs/>
        </w:rPr>
        <w:t>问题整改</w:t>
      </w:r>
    </w:p>
    <w:p w:rsidR="006C6569" w:rsidRDefault="005047E6">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6C6569" w:rsidRDefault="005047E6">
      <w:pPr>
        <w:ind w:firstLine="643"/>
        <w:rPr>
          <w:b/>
          <w:bCs/>
        </w:rPr>
      </w:pPr>
      <w:r>
        <w:rPr>
          <w:rFonts w:hint="eastAsia"/>
          <w:b/>
          <w:bCs/>
        </w:rPr>
        <w:t>6</w:t>
      </w:r>
      <w:r>
        <w:rPr>
          <w:rFonts w:hint="eastAsia"/>
          <w:b/>
          <w:bCs/>
        </w:rPr>
        <w:t>.</w:t>
      </w:r>
      <w:r>
        <w:rPr>
          <w:rFonts w:hint="eastAsia"/>
          <w:b/>
          <w:bCs/>
        </w:rPr>
        <w:t>档案整理</w:t>
      </w:r>
    </w:p>
    <w:p w:rsidR="006C6569" w:rsidRDefault="005047E6">
      <w:pPr>
        <w:ind w:firstLine="640"/>
      </w:pPr>
      <w:r>
        <w:t>建立和落实档案管理制度，将项目相关资料存档，包括但不限于：评价项目基本情况和相关文件、评价实施方案、项目支付资料等相关档案。</w:t>
      </w:r>
    </w:p>
    <w:p w:rsidR="006C6569" w:rsidRDefault="005047E6">
      <w:pPr>
        <w:pStyle w:val="2"/>
        <w:ind w:firstLine="640"/>
        <w:rPr>
          <w:rFonts w:ascii="黑体" w:hAnsi="黑体" w:cs="黑体"/>
        </w:rPr>
      </w:pPr>
      <w:bookmarkStart w:id="103" w:name="_Toc21627"/>
      <w:bookmarkStart w:id="104" w:name="_Toc25201"/>
      <w:bookmarkStart w:id="105" w:name="_Toc25579"/>
      <w:bookmarkStart w:id="106" w:name="_Toc1808"/>
      <w:bookmarkStart w:id="107" w:name="_Toc31058"/>
      <w:bookmarkStart w:id="108" w:name="_Toc32641"/>
      <w:bookmarkEnd w:id="95"/>
      <w:bookmarkEnd w:id="102"/>
      <w:r>
        <w:rPr>
          <w:rFonts w:ascii="黑体" w:hAnsi="黑体" w:cs="黑体" w:hint="eastAsia"/>
        </w:rPr>
        <w:t>三、综合评价情况及评价结论</w:t>
      </w:r>
      <w:bookmarkEnd w:id="103"/>
      <w:bookmarkEnd w:id="104"/>
      <w:bookmarkEnd w:id="105"/>
      <w:bookmarkEnd w:id="106"/>
      <w:bookmarkEnd w:id="107"/>
      <w:bookmarkEnd w:id="108"/>
    </w:p>
    <w:p w:rsidR="006C6569" w:rsidRDefault="005047E6">
      <w:pPr>
        <w:ind w:firstLine="640"/>
      </w:pPr>
      <w:bookmarkStart w:id="109" w:name="OLE_LINK23"/>
      <w:r>
        <w:t>本项目的绩效评价结果为</w:t>
      </w:r>
      <w:r>
        <w:t>“</w:t>
      </w:r>
      <w:r>
        <w:t>优</w:t>
      </w:r>
      <w:r>
        <w:t>”</w:t>
      </w:r>
      <w:r>
        <w:t>，综合评分</w:t>
      </w:r>
      <w:r>
        <w:t>100</w:t>
      </w:r>
      <w:r>
        <w:t>分。其中项目决策</w:t>
      </w:r>
      <w:r>
        <w:t>22</w:t>
      </w:r>
      <w:r>
        <w:t>分，项目过程</w:t>
      </w:r>
      <w:r>
        <w:t>1</w:t>
      </w:r>
      <w:r>
        <w:t>8</w:t>
      </w:r>
      <w:r>
        <w:t>分，项目产出管理得分</w:t>
      </w:r>
      <w:r>
        <w:t>40</w:t>
      </w:r>
      <w:r>
        <w:t>分，项目效益</w:t>
      </w:r>
      <w:r>
        <w:t>20</w:t>
      </w:r>
      <w:r>
        <w:t>分</w:t>
      </w:r>
      <w:r>
        <w:t>。各部分权重和绩效汇总分值如下表所示：</w:t>
      </w:r>
    </w:p>
    <w:tbl>
      <w:tblPr>
        <w:tblW w:w="8289" w:type="dxa"/>
        <w:jc w:val="center"/>
        <w:tblLayout w:type="fixed"/>
        <w:tblCellMar>
          <w:left w:w="0" w:type="dxa"/>
          <w:right w:w="0" w:type="dxa"/>
        </w:tblCellMar>
        <w:tblLook w:val="04A0" w:firstRow="1" w:lastRow="0" w:firstColumn="1" w:lastColumn="0" w:noHBand="0" w:noVBand="1"/>
      </w:tblPr>
      <w:tblGrid>
        <w:gridCol w:w="1094"/>
        <w:gridCol w:w="1541"/>
        <w:gridCol w:w="1520"/>
        <w:gridCol w:w="1536"/>
        <w:gridCol w:w="1504"/>
        <w:gridCol w:w="1094"/>
      </w:tblGrid>
      <w:tr w:rsidR="006C6569">
        <w:trPr>
          <w:trHeight w:val="375"/>
          <w:jc w:val="center"/>
        </w:trPr>
        <w:tc>
          <w:tcPr>
            <w:tcW w:w="8289" w:type="dxa"/>
            <w:gridSpan w:val="6"/>
            <w:tcBorders>
              <w:top w:val="nil"/>
              <w:left w:val="nil"/>
              <w:bottom w:val="nil"/>
              <w:right w:val="nil"/>
            </w:tcBorders>
            <w:noWrap/>
            <w:tcMar>
              <w:top w:w="15" w:type="dxa"/>
              <w:left w:w="15" w:type="dxa"/>
              <w:right w:w="15" w:type="dxa"/>
            </w:tcMar>
            <w:vAlign w:val="center"/>
          </w:tcPr>
          <w:p w:rsidR="006C6569" w:rsidRDefault="005047E6">
            <w:pPr>
              <w:pStyle w:val="a7"/>
              <w:rPr>
                <w:rFonts w:hint="default"/>
              </w:rPr>
            </w:pPr>
            <w:bookmarkStart w:id="110" w:name="_Toc10197"/>
            <w:bookmarkStart w:id="111" w:name="_Toc17356"/>
            <w:bookmarkStart w:id="112" w:name="_Toc30727"/>
            <w:r>
              <w:t>2024</w:t>
            </w:r>
            <w:r>
              <w:t>年“四好农村公路”养护项目</w:t>
            </w:r>
            <w:bookmarkEnd w:id="110"/>
          </w:p>
          <w:p w:rsidR="006C6569" w:rsidRDefault="005047E6">
            <w:pPr>
              <w:pStyle w:val="a7"/>
              <w:rPr>
                <w:rFonts w:hint="default"/>
              </w:rPr>
            </w:pPr>
            <w:bookmarkStart w:id="113" w:name="_Toc12475"/>
            <w:bookmarkStart w:id="114" w:name="_Toc3703"/>
            <w:bookmarkStart w:id="115" w:name="_Toc16086"/>
            <w:r>
              <w:rPr>
                <w:rFonts w:hint="default"/>
              </w:rPr>
              <w:t>绩效评价</w:t>
            </w:r>
            <w:r>
              <w:rPr>
                <w:rFonts w:hint="default"/>
                <w:lang w:val="zh-TW" w:eastAsia="zh-TW"/>
              </w:rPr>
              <w:t>得分表</w:t>
            </w:r>
            <w:bookmarkEnd w:id="113"/>
            <w:bookmarkEnd w:id="114"/>
            <w:bookmarkEnd w:id="115"/>
          </w:p>
        </w:tc>
      </w:tr>
      <w:tr w:rsidR="006C6569">
        <w:trPr>
          <w:trHeight w:val="375"/>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指标类别</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1.</w:t>
            </w:r>
            <w:r>
              <w:rPr>
                <w:rFonts w:hint="default"/>
              </w:rPr>
              <w:t>项目决策</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2.</w:t>
            </w:r>
            <w:r>
              <w:rPr>
                <w:rFonts w:hint="default"/>
              </w:rPr>
              <w:t>过程管理</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3.</w:t>
            </w:r>
            <w:r>
              <w:rPr>
                <w:rFonts w:hint="default"/>
              </w:rPr>
              <w:t>项目产出</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4.</w:t>
            </w:r>
            <w:r>
              <w:rPr>
                <w:rFonts w:hint="default"/>
              </w:rPr>
              <w:t>项目效益</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合计</w:t>
            </w:r>
          </w:p>
        </w:tc>
      </w:tr>
      <w:tr w:rsidR="006C6569">
        <w:trPr>
          <w:trHeight w:val="441"/>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权重</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22%</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18%</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40%</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20%</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100</w:t>
            </w:r>
            <w:r>
              <w:t>%</w:t>
            </w:r>
          </w:p>
        </w:tc>
      </w:tr>
      <w:tr w:rsidR="006C6569">
        <w:trPr>
          <w:trHeight w:val="375"/>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分值</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22</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18</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40</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20</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100</w:t>
            </w:r>
          </w:p>
        </w:tc>
      </w:tr>
      <w:tr w:rsidR="006C6569">
        <w:trPr>
          <w:trHeight w:val="375"/>
          <w:jc w:val="center"/>
        </w:trPr>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得分</w:t>
            </w:r>
          </w:p>
        </w:tc>
        <w:tc>
          <w:tcPr>
            <w:tcW w:w="1541"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22</w:t>
            </w:r>
          </w:p>
        </w:tc>
        <w:tc>
          <w:tcPr>
            <w:tcW w:w="152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18</w:t>
            </w:r>
          </w:p>
        </w:tc>
        <w:tc>
          <w:tcPr>
            <w:tcW w:w="153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40</w:t>
            </w:r>
          </w:p>
        </w:tc>
        <w:tc>
          <w:tcPr>
            <w:tcW w:w="150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20</w:t>
            </w:r>
          </w:p>
        </w:tc>
        <w:tc>
          <w:tcPr>
            <w:tcW w:w="109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6C6569" w:rsidRDefault="005047E6">
            <w:pPr>
              <w:pStyle w:val="a8"/>
              <w:rPr>
                <w:rFonts w:hint="default"/>
              </w:rPr>
            </w:pPr>
            <w:r>
              <w:rPr>
                <w:rFonts w:hint="default"/>
              </w:rPr>
              <w:t>100</w:t>
            </w:r>
          </w:p>
        </w:tc>
      </w:tr>
    </w:tbl>
    <w:p w:rsidR="006C6569" w:rsidRDefault="005047E6">
      <w:pPr>
        <w:pStyle w:val="2"/>
        <w:ind w:firstLine="640"/>
        <w:rPr>
          <w:rFonts w:ascii="黑体" w:hAnsi="黑体" w:cs="黑体"/>
        </w:rPr>
      </w:pPr>
      <w:bookmarkStart w:id="116" w:name="_Toc13630"/>
      <w:bookmarkStart w:id="117" w:name="_Toc4904"/>
      <w:bookmarkStart w:id="118" w:name="_Toc12940"/>
      <w:bookmarkStart w:id="119" w:name="_Toc29439"/>
      <w:bookmarkEnd w:id="109"/>
      <w:r>
        <w:rPr>
          <w:rFonts w:ascii="黑体" w:hAnsi="黑体" w:cs="黑体" w:hint="eastAsia"/>
        </w:rPr>
        <w:lastRenderedPageBreak/>
        <w:t>四、绩效评价指标分析</w:t>
      </w:r>
      <w:bookmarkEnd w:id="111"/>
      <w:bookmarkEnd w:id="112"/>
      <w:bookmarkEnd w:id="116"/>
      <w:bookmarkEnd w:id="117"/>
      <w:bookmarkEnd w:id="118"/>
      <w:bookmarkEnd w:id="119"/>
    </w:p>
    <w:p w:rsidR="006C6569" w:rsidRDefault="005047E6">
      <w:pPr>
        <w:pStyle w:val="3"/>
        <w:ind w:firstLine="643"/>
        <w:rPr>
          <w:rFonts w:ascii="楷体" w:eastAsia="楷体" w:hAnsi="楷体" w:cs="楷体"/>
        </w:rPr>
      </w:pPr>
      <w:bookmarkStart w:id="120" w:name="_Toc28477"/>
      <w:bookmarkStart w:id="121" w:name="_Toc1968"/>
      <w:bookmarkStart w:id="122" w:name="_Toc18493"/>
      <w:bookmarkStart w:id="123" w:name="_Toc2901"/>
      <w:bookmarkStart w:id="124" w:name="_Toc22323"/>
      <w:r>
        <w:rPr>
          <w:rFonts w:ascii="楷体" w:eastAsia="楷体" w:hAnsi="楷体" w:cs="楷体" w:hint="eastAsia"/>
        </w:rPr>
        <w:t>（一）项目决策情况</w:t>
      </w:r>
      <w:bookmarkEnd w:id="120"/>
      <w:bookmarkEnd w:id="121"/>
      <w:bookmarkEnd w:id="122"/>
      <w:bookmarkEnd w:id="123"/>
      <w:bookmarkEnd w:id="124"/>
    </w:p>
    <w:p w:rsidR="006C6569" w:rsidRDefault="005047E6">
      <w:pPr>
        <w:ind w:firstLine="643"/>
        <w:rPr>
          <w:b/>
          <w:bCs/>
        </w:rPr>
      </w:pPr>
      <w:bookmarkStart w:id="125" w:name="_Toc510"/>
      <w:bookmarkStart w:id="126" w:name="_Toc22511"/>
      <w:bookmarkStart w:id="127" w:name="OLE_LINK24"/>
      <w:r>
        <w:rPr>
          <w:b/>
          <w:bCs/>
        </w:rPr>
        <w:t>1.</w:t>
      </w:r>
      <w:r>
        <w:rPr>
          <w:rFonts w:hint="eastAsia"/>
          <w:b/>
          <w:bCs/>
        </w:rPr>
        <w:t>实施</w:t>
      </w:r>
      <w:r>
        <w:rPr>
          <w:b/>
          <w:bCs/>
        </w:rPr>
        <w:t>依据充分性</w:t>
      </w:r>
      <w:bookmarkEnd w:id="125"/>
      <w:bookmarkEnd w:id="126"/>
    </w:p>
    <w:p w:rsidR="006C6569" w:rsidRDefault="005047E6">
      <w:pPr>
        <w:ind w:firstLine="640"/>
      </w:pPr>
      <w:bookmarkStart w:id="128" w:name="OLE_LINK60"/>
      <w:r>
        <w:rPr>
          <w:rFonts w:hint="eastAsia"/>
        </w:rPr>
        <w:t>本</w:t>
      </w:r>
      <w:r>
        <w:rPr>
          <w:rFonts w:hint="eastAsia"/>
          <w:lang w:eastAsia="zh-Hans"/>
        </w:rPr>
        <w:t>项目</w:t>
      </w:r>
      <w:r>
        <w:rPr>
          <w:rFonts w:hint="eastAsia"/>
        </w:rPr>
        <w:t>实施</w:t>
      </w:r>
      <w:r>
        <w:rPr>
          <w:rFonts w:hint="eastAsia"/>
          <w:lang w:eastAsia="zh-Hans"/>
        </w:rPr>
        <w:t>符合</w:t>
      </w:r>
      <w:r>
        <w:rPr>
          <w:rFonts w:hint="eastAsia"/>
        </w:rPr>
        <w:t>国务院办公厅</w:t>
      </w:r>
      <w:r w:rsidR="004F350F">
        <w:rPr>
          <w:rFonts w:hint="eastAsia"/>
          <w:lang w:eastAsia="zh-Hans"/>
        </w:rPr>
        <w:t>印</w:t>
      </w:r>
      <w:bookmarkStart w:id="129" w:name="_GoBack"/>
      <w:bookmarkEnd w:id="129"/>
      <w:r>
        <w:rPr>
          <w:rFonts w:hint="eastAsia"/>
          <w:lang w:eastAsia="zh-Hans"/>
        </w:rPr>
        <w:t>发的《农村公路管理养护体制改革方案》（国办发〔</w:t>
      </w:r>
      <w:r>
        <w:rPr>
          <w:rFonts w:hint="eastAsia"/>
          <w:lang w:eastAsia="zh-Hans"/>
        </w:rPr>
        <w:t>2005</w:t>
      </w:r>
      <w:r>
        <w:rPr>
          <w:rFonts w:hint="eastAsia"/>
          <w:lang w:eastAsia="zh-Hans"/>
        </w:rPr>
        <w:t>〕</w:t>
      </w:r>
      <w:r>
        <w:rPr>
          <w:rFonts w:hint="eastAsia"/>
          <w:lang w:eastAsia="zh-Hans"/>
        </w:rPr>
        <w:t>49</w:t>
      </w:r>
      <w:r>
        <w:rPr>
          <w:rFonts w:hint="eastAsia"/>
          <w:lang w:eastAsia="zh-Hans"/>
        </w:rPr>
        <w:t>号）中</w:t>
      </w:r>
      <w:r>
        <w:rPr>
          <w:rFonts w:hint="eastAsia"/>
        </w:rPr>
        <w:t>，</w:t>
      </w:r>
      <w:r>
        <w:rPr>
          <w:rFonts w:hint="eastAsia"/>
        </w:rPr>
        <w:t>明确提出要建立稳定的农村公路养护资金渠道，其中公路养路费需确保一定比例用于农村公路养护，这为中央对地方成品油税费改革转移支付资金用于农村公路养护提供了政策源头指引；本项目</w:t>
      </w:r>
      <w:r>
        <w:rPr>
          <w:rFonts w:hint="eastAsia"/>
        </w:rPr>
        <w:t>实施</w:t>
      </w:r>
      <w:r>
        <w:rPr>
          <w:rFonts w:hint="eastAsia"/>
          <w:lang w:eastAsia="zh-Hans"/>
        </w:rPr>
        <w:t>符合《新疆维吾尔自治区农村公路条例》规定</w:t>
      </w:r>
      <w:r>
        <w:rPr>
          <w:rFonts w:hint="eastAsia"/>
        </w:rPr>
        <w:t>，</w:t>
      </w:r>
      <w:r>
        <w:rPr>
          <w:rFonts w:hint="eastAsia"/>
        </w:rPr>
        <w:t>农村公路建设、养护、管理和运营应当建立以财政投入为主的资金保障机制，自治区、州、市（地）人民政府（行政公署）应加大对农村公路建设与养护资金的投入。</w:t>
      </w:r>
      <w:bookmarkEnd w:id="128"/>
      <w:r>
        <w:rPr>
          <w:rFonts w:hint="eastAsia"/>
        </w:rPr>
        <w:t>根据《关于下达成品油转移支付资金预算用于“四好农村路”养护补助的通</w:t>
      </w:r>
      <w:r>
        <w:rPr>
          <w:rFonts w:hint="eastAsia"/>
        </w:rPr>
        <w:t>知》（巴财建〔</w:t>
      </w:r>
      <w:r>
        <w:rPr>
          <w:rFonts w:hint="eastAsia"/>
        </w:rPr>
        <w:t>2019</w:t>
      </w:r>
      <w:r>
        <w:rPr>
          <w:rFonts w:hint="eastAsia"/>
        </w:rPr>
        <w:t>〕</w:t>
      </w:r>
      <w:r>
        <w:rPr>
          <w:rFonts w:hint="eastAsia"/>
        </w:rPr>
        <w:t>155</w:t>
      </w:r>
      <w:r>
        <w:rPr>
          <w:rFonts w:hint="eastAsia"/>
        </w:rPr>
        <w:t>号）</w:t>
      </w:r>
      <w:bookmarkStart w:id="130" w:name="OLE_LINK7"/>
      <w:r>
        <w:rPr>
          <w:rFonts w:hint="eastAsia"/>
        </w:rPr>
        <w:t>文件实施</w:t>
      </w:r>
      <w:r>
        <w:rPr>
          <w:rFonts w:hint="eastAsia"/>
        </w:rPr>
        <w:t>2024</w:t>
      </w:r>
      <w:r>
        <w:rPr>
          <w:rFonts w:hint="eastAsia"/>
        </w:rPr>
        <w:t>年“四好农村公路”养护项目</w:t>
      </w:r>
      <w:bookmarkEnd w:id="130"/>
      <w:r>
        <w:rPr>
          <w:rFonts w:hint="eastAsia"/>
        </w:rPr>
        <w:t>。</w:t>
      </w:r>
      <w:r>
        <w:t>项目</w:t>
      </w:r>
      <w:r>
        <w:t>实</w:t>
      </w:r>
      <w:r>
        <w:t>施</w:t>
      </w:r>
      <w:r>
        <w:t>符合国家法律法规、国民经济发展规划和相关政策；符合行业发展规划和政策要求；与部门职责范围相符，属于部门履职所需；属于公共财政支持范围，符合中央、地方事权支出责任划分原则；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6C6569" w:rsidRDefault="005047E6">
      <w:pPr>
        <w:ind w:firstLine="640"/>
      </w:pPr>
      <w:r>
        <w:t>本项满分</w:t>
      </w:r>
      <w:r>
        <w:t>3</w:t>
      </w:r>
      <w:r>
        <w:t>分，评估得分</w:t>
      </w:r>
      <w:r>
        <w:t>3</w:t>
      </w:r>
      <w:r>
        <w:t>分。</w:t>
      </w:r>
    </w:p>
    <w:p w:rsidR="006C6569" w:rsidRDefault="005047E6">
      <w:pPr>
        <w:ind w:firstLine="643"/>
        <w:rPr>
          <w:b/>
          <w:bCs/>
        </w:rPr>
      </w:pPr>
      <w:bookmarkStart w:id="131" w:name="_Toc283"/>
      <w:bookmarkStart w:id="132" w:name="_Toc27895"/>
      <w:r>
        <w:rPr>
          <w:b/>
          <w:bCs/>
        </w:rPr>
        <w:t>2.</w:t>
      </w:r>
      <w:r>
        <w:rPr>
          <w:rFonts w:hint="eastAsia"/>
          <w:b/>
          <w:bCs/>
        </w:rPr>
        <w:t>实施</w:t>
      </w:r>
      <w:r>
        <w:rPr>
          <w:b/>
          <w:bCs/>
        </w:rPr>
        <w:t>程序规范性</w:t>
      </w:r>
      <w:bookmarkEnd w:id="131"/>
      <w:bookmarkEnd w:id="132"/>
    </w:p>
    <w:p w:rsidR="006C6569" w:rsidRDefault="005047E6">
      <w:pPr>
        <w:ind w:firstLine="640"/>
      </w:pPr>
      <w:r>
        <w:rPr>
          <w:rFonts w:hint="eastAsia"/>
          <w:lang w:eastAsia="zh-Hans"/>
        </w:rPr>
        <w:lastRenderedPageBreak/>
        <w:t>本项目</w:t>
      </w:r>
      <w:r>
        <w:rPr>
          <w:rFonts w:hint="eastAsia"/>
        </w:rPr>
        <w:t>实施单位尉犁县交通运输局</w:t>
      </w:r>
      <w:r>
        <w:rPr>
          <w:lang w:eastAsia="zh-Hans"/>
        </w:rPr>
        <w:t>编制了</w:t>
      </w:r>
      <w:r>
        <w:rPr>
          <w:lang w:eastAsia="zh-Hans"/>
        </w:rPr>
        <w:t>2024</w:t>
      </w:r>
      <w:r>
        <w:rPr>
          <w:lang w:eastAsia="zh-Hans"/>
        </w:rPr>
        <w:t>年</w:t>
      </w:r>
      <w:r>
        <w:rPr>
          <w:lang w:eastAsia="zh-Hans"/>
        </w:rPr>
        <w:t>“</w:t>
      </w:r>
      <w:r>
        <w:rPr>
          <w:lang w:eastAsia="zh-Hans"/>
        </w:rPr>
        <w:t>四好农村公路</w:t>
      </w:r>
      <w:r>
        <w:rPr>
          <w:lang w:eastAsia="zh-Hans"/>
        </w:rPr>
        <w:t>”</w:t>
      </w:r>
      <w:r>
        <w:rPr>
          <w:lang w:eastAsia="zh-Hans"/>
        </w:rPr>
        <w:t>养护项目</w:t>
      </w:r>
      <w:r>
        <w:rPr>
          <w:rFonts w:hint="eastAsia"/>
        </w:rPr>
        <w:t>实施方案，通过尉犁县交通运输局党组会议同意实施该项目，因此，本项目实施资料</w:t>
      </w:r>
      <w:r>
        <w:rPr>
          <w:rFonts w:hint="eastAsia"/>
        </w:rPr>
        <w:t>齐</w:t>
      </w:r>
      <w:r>
        <w:rPr>
          <w:rFonts w:hint="eastAsia"/>
        </w:rPr>
        <w:t>全，实施程序规范；审批文件、材料符合相关要求，事前已经过必要的集体决策，实施程序规范。</w:t>
      </w:r>
    </w:p>
    <w:p w:rsidR="006C6569" w:rsidRDefault="005047E6">
      <w:pPr>
        <w:ind w:firstLine="640"/>
      </w:pPr>
      <w:r>
        <w:t>本项满分</w:t>
      </w:r>
      <w:r>
        <w:t>3</w:t>
      </w:r>
      <w:r>
        <w:t>分，评估得分</w:t>
      </w:r>
      <w:r>
        <w:t>3</w:t>
      </w:r>
      <w:r>
        <w:t>分。</w:t>
      </w:r>
    </w:p>
    <w:p w:rsidR="006C6569" w:rsidRDefault="005047E6">
      <w:pPr>
        <w:ind w:firstLine="643"/>
        <w:rPr>
          <w:b/>
          <w:bCs/>
        </w:rPr>
      </w:pPr>
      <w:bookmarkStart w:id="133" w:name="_Toc13368"/>
      <w:bookmarkStart w:id="134" w:name="_Toc20471"/>
      <w:r>
        <w:rPr>
          <w:b/>
          <w:bCs/>
        </w:rPr>
        <w:t>3.</w:t>
      </w:r>
      <w:r>
        <w:rPr>
          <w:b/>
          <w:bCs/>
        </w:rPr>
        <w:t>绩效目标合理性</w:t>
      </w:r>
      <w:bookmarkEnd w:id="133"/>
      <w:bookmarkEnd w:id="134"/>
    </w:p>
    <w:p w:rsidR="006C6569" w:rsidRDefault="005047E6">
      <w:pPr>
        <w:ind w:firstLine="640"/>
      </w:pPr>
      <w:r>
        <w:rPr>
          <w:rFonts w:hint="eastAsia"/>
        </w:rPr>
        <w:t>尉犁县交通运输局</w:t>
      </w:r>
      <w:bookmarkStart w:id="135" w:name="OLE_LINK16"/>
      <w:r>
        <w:rPr>
          <w:rFonts w:hint="eastAsia"/>
        </w:rPr>
        <w:t>2024</w:t>
      </w:r>
      <w:r>
        <w:rPr>
          <w:rFonts w:hint="eastAsia"/>
        </w:rPr>
        <w:t>年“四好农村公路”养护项目</w:t>
      </w:r>
      <w:bookmarkEnd w:id="135"/>
      <w:r>
        <w:t>设立了项目绩效目标，绩效目标指标设置合理，项目绩效目标与实际工作内容相关性较强；项目预期产出效益和效果符合正常的业绩水平；绩效目标与预算确定的项目投资额相匹配。</w:t>
      </w:r>
    </w:p>
    <w:p w:rsidR="006C6569" w:rsidRDefault="005047E6">
      <w:pPr>
        <w:ind w:firstLine="640"/>
      </w:pPr>
      <w:r>
        <w:t>本项满分</w:t>
      </w:r>
      <w:r>
        <w:t>4</w:t>
      </w:r>
      <w:r>
        <w:t>分，评估得分</w:t>
      </w:r>
      <w:r>
        <w:t>4</w:t>
      </w:r>
      <w:r>
        <w:t>分。</w:t>
      </w:r>
    </w:p>
    <w:p w:rsidR="006C6569" w:rsidRDefault="005047E6">
      <w:pPr>
        <w:ind w:firstLine="643"/>
        <w:rPr>
          <w:b/>
          <w:bCs/>
        </w:rPr>
      </w:pPr>
      <w:bookmarkStart w:id="136" w:name="_Toc21087"/>
      <w:bookmarkStart w:id="137" w:name="_Toc15543"/>
      <w:r>
        <w:rPr>
          <w:b/>
          <w:bCs/>
        </w:rPr>
        <w:t>4.</w:t>
      </w:r>
      <w:r>
        <w:rPr>
          <w:b/>
          <w:bCs/>
        </w:rPr>
        <w:t>绩效指标明确性</w:t>
      </w:r>
      <w:bookmarkEnd w:id="136"/>
      <w:bookmarkEnd w:id="137"/>
    </w:p>
    <w:p w:rsidR="006C6569" w:rsidRDefault="005047E6">
      <w:pPr>
        <w:ind w:firstLine="640"/>
      </w:pPr>
      <w:r>
        <w:rPr>
          <w:rFonts w:hint="eastAsia"/>
        </w:rPr>
        <w:t>2024</w:t>
      </w:r>
      <w:r>
        <w:rPr>
          <w:rFonts w:hint="eastAsia"/>
        </w:rPr>
        <w:t>年“四好农村公路”养护项目</w:t>
      </w:r>
      <w:r>
        <w:t>，设置一级指标</w:t>
      </w:r>
      <w:r>
        <w:rPr>
          <w:rFonts w:hint="eastAsia"/>
        </w:rPr>
        <w:t>4</w:t>
      </w:r>
      <w:r>
        <w:t>条，二级指标</w:t>
      </w:r>
      <w:r>
        <w:rPr>
          <w:rFonts w:hint="eastAsia"/>
        </w:rPr>
        <w:t>10</w:t>
      </w:r>
      <w:r>
        <w:t>条，三级指标</w:t>
      </w:r>
      <w:r>
        <w:rPr>
          <w:rFonts w:hint="eastAsia"/>
        </w:rPr>
        <w:t>10</w:t>
      </w:r>
      <w:r>
        <w:t>条，其中量化指标</w:t>
      </w:r>
      <w:r>
        <w:rPr>
          <w:rFonts w:hint="eastAsia"/>
        </w:rPr>
        <w:t>8</w:t>
      </w:r>
      <w:r>
        <w:t>条，绩效目标</w:t>
      </w:r>
      <w:r>
        <w:t>指标设定清晰、可衡量性较强，与项目目标任务计划数对应性较强。</w:t>
      </w:r>
    </w:p>
    <w:p w:rsidR="006C6569" w:rsidRDefault="005047E6">
      <w:pPr>
        <w:ind w:firstLine="640"/>
      </w:pPr>
      <w:r>
        <w:t>本项满分</w:t>
      </w:r>
      <w:r>
        <w:t>4</w:t>
      </w:r>
      <w:r>
        <w:t>分，评估得分</w:t>
      </w:r>
      <w:r>
        <w:t>4</w:t>
      </w:r>
      <w:r>
        <w:t>分。</w:t>
      </w:r>
    </w:p>
    <w:p w:rsidR="006C6569" w:rsidRDefault="005047E6">
      <w:pPr>
        <w:ind w:firstLine="643"/>
        <w:rPr>
          <w:b/>
          <w:bCs/>
        </w:rPr>
      </w:pPr>
      <w:bookmarkStart w:id="138" w:name="_Toc25638"/>
      <w:bookmarkStart w:id="139" w:name="_Toc21476"/>
      <w:r>
        <w:rPr>
          <w:b/>
          <w:bCs/>
        </w:rPr>
        <w:t>5.</w:t>
      </w:r>
      <w:r>
        <w:rPr>
          <w:b/>
          <w:bCs/>
        </w:rPr>
        <w:t>预算编制科学性</w:t>
      </w:r>
      <w:bookmarkEnd w:id="138"/>
      <w:bookmarkEnd w:id="139"/>
    </w:p>
    <w:p w:rsidR="006C6569" w:rsidRDefault="005047E6">
      <w:pPr>
        <w:ind w:firstLine="640"/>
      </w:pPr>
      <w:r>
        <w:t>本项目预算资金</w:t>
      </w:r>
      <w:bookmarkStart w:id="140" w:name="OLE_LINK8"/>
      <w:r>
        <w:rPr>
          <w:rFonts w:hint="eastAsia"/>
        </w:rPr>
        <w:t>58.62</w:t>
      </w:r>
      <w:bookmarkEnd w:id="140"/>
      <w:r>
        <w:t>万元，来源为</w:t>
      </w:r>
      <w:r>
        <w:rPr>
          <w:rFonts w:hint="eastAsia"/>
        </w:rPr>
        <w:t>自治区</w:t>
      </w:r>
      <w:r>
        <w:t>资金</w:t>
      </w:r>
      <w:r>
        <w:rPr>
          <w:rFonts w:hint="eastAsia"/>
        </w:rPr>
        <w:t>58.62</w:t>
      </w:r>
      <w:r>
        <w:t>万元，预算编制较为科学，预算内容与项目</w:t>
      </w:r>
      <w:r>
        <w:rPr>
          <w:rFonts w:hint="eastAsia"/>
        </w:rPr>
        <w:t>实施</w:t>
      </w:r>
      <w:r>
        <w:t>内容相匹配，</w:t>
      </w:r>
      <w:r>
        <w:lastRenderedPageBreak/>
        <w:t>预算额度测算依据充分，预算确定的资金量与工</w:t>
      </w:r>
      <w:r>
        <w:rPr>
          <w:rFonts w:hint="eastAsia"/>
        </w:rPr>
        <w:t>作</w:t>
      </w:r>
      <w:r>
        <w:t>量相匹配。</w:t>
      </w:r>
    </w:p>
    <w:p w:rsidR="006C6569" w:rsidRDefault="005047E6">
      <w:pPr>
        <w:ind w:firstLine="640"/>
      </w:pPr>
      <w:r>
        <w:t>本项满分</w:t>
      </w:r>
      <w:r>
        <w:t>4</w:t>
      </w:r>
      <w:r>
        <w:t>分，评估得分</w:t>
      </w:r>
      <w:r>
        <w:t>4</w:t>
      </w:r>
      <w:r>
        <w:t>分。</w:t>
      </w:r>
    </w:p>
    <w:p w:rsidR="006C6569" w:rsidRDefault="005047E6">
      <w:pPr>
        <w:ind w:firstLine="643"/>
        <w:rPr>
          <w:b/>
          <w:bCs/>
        </w:rPr>
      </w:pPr>
      <w:bookmarkStart w:id="141" w:name="_Toc30661"/>
      <w:bookmarkStart w:id="142" w:name="_Toc21577"/>
      <w:r>
        <w:rPr>
          <w:b/>
          <w:bCs/>
        </w:rPr>
        <w:t>6.</w:t>
      </w:r>
      <w:r>
        <w:rPr>
          <w:b/>
          <w:bCs/>
        </w:rPr>
        <w:t>资金分配合理性</w:t>
      </w:r>
      <w:bookmarkEnd w:id="141"/>
      <w:bookmarkEnd w:id="142"/>
    </w:p>
    <w:p w:rsidR="006C6569" w:rsidRDefault="005047E6">
      <w:pPr>
        <w:ind w:firstLine="640"/>
      </w:pPr>
      <w:r>
        <w:t>本项目预算资金分配依据充分；资金分配额度合理，与项目单位实际相适应。</w:t>
      </w:r>
    </w:p>
    <w:p w:rsidR="006C6569" w:rsidRDefault="005047E6">
      <w:pPr>
        <w:ind w:firstLine="640"/>
      </w:pPr>
      <w:r>
        <w:t>本项满分</w:t>
      </w:r>
      <w:r>
        <w:t>4</w:t>
      </w:r>
      <w:r>
        <w:t>分，评估得分</w:t>
      </w:r>
      <w:r>
        <w:t>4</w:t>
      </w:r>
      <w:r>
        <w:t>分。</w:t>
      </w:r>
    </w:p>
    <w:p w:rsidR="006C6569" w:rsidRDefault="005047E6">
      <w:pPr>
        <w:pStyle w:val="3"/>
        <w:ind w:firstLine="643"/>
      </w:pPr>
      <w:bookmarkStart w:id="143" w:name="_Toc13442"/>
      <w:bookmarkStart w:id="144" w:name="_Toc30992"/>
      <w:bookmarkStart w:id="145" w:name="_Toc9137"/>
      <w:bookmarkStart w:id="146" w:name="_Toc27855"/>
      <w:bookmarkStart w:id="147" w:name="_Toc9897"/>
      <w:bookmarkEnd w:id="127"/>
      <w:r>
        <w:rPr>
          <w:rFonts w:hint="eastAsia"/>
        </w:rPr>
        <w:t>（二）项目过程情况</w:t>
      </w:r>
      <w:bookmarkEnd w:id="143"/>
      <w:bookmarkEnd w:id="144"/>
      <w:bookmarkEnd w:id="145"/>
      <w:bookmarkEnd w:id="146"/>
      <w:bookmarkEnd w:id="147"/>
    </w:p>
    <w:p w:rsidR="006C6569" w:rsidRDefault="005047E6">
      <w:pPr>
        <w:ind w:firstLine="643"/>
        <w:rPr>
          <w:b/>
          <w:bCs/>
        </w:rPr>
      </w:pPr>
      <w:bookmarkStart w:id="148" w:name="_Toc29417"/>
      <w:bookmarkStart w:id="149" w:name="_Toc19854"/>
      <w:bookmarkStart w:id="150" w:name="OLE_LINK25"/>
      <w:r>
        <w:rPr>
          <w:b/>
          <w:bCs/>
        </w:rPr>
        <w:t>1.</w:t>
      </w:r>
      <w:r>
        <w:rPr>
          <w:b/>
          <w:bCs/>
        </w:rPr>
        <w:t>资金到位率</w:t>
      </w:r>
      <w:bookmarkEnd w:id="148"/>
      <w:bookmarkEnd w:id="149"/>
    </w:p>
    <w:p w:rsidR="006C6569" w:rsidRDefault="005047E6">
      <w:pPr>
        <w:ind w:firstLine="640"/>
      </w:pPr>
      <w:r>
        <w:t>本项目预算资金</w:t>
      </w:r>
      <w:r>
        <w:rPr>
          <w:rFonts w:hint="eastAsia"/>
        </w:rPr>
        <w:t>58.62</w:t>
      </w:r>
      <w:r>
        <w:t>万元，实际到位资金</w:t>
      </w:r>
      <w:r>
        <w:rPr>
          <w:rFonts w:hint="eastAsia"/>
        </w:rPr>
        <w:t>58.62</w:t>
      </w:r>
      <w:r>
        <w:t>万元，资金到位率</w:t>
      </w:r>
      <w:r>
        <w:t>100%</w:t>
      </w:r>
      <w:r>
        <w:t>。</w:t>
      </w:r>
    </w:p>
    <w:p w:rsidR="006C6569" w:rsidRDefault="005047E6">
      <w:pPr>
        <w:ind w:firstLine="640"/>
      </w:pPr>
      <w:r>
        <w:t>本项满分</w:t>
      </w:r>
      <w:r>
        <w:t>4</w:t>
      </w:r>
      <w:r>
        <w:t>分，评估得分</w:t>
      </w:r>
      <w:r>
        <w:t>4</w:t>
      </w:r>
      <w:r>
        <w:t>分。</w:t>
      </w:r>
    </w:p>
    <w:p w:rsidR="006C6569" w:rsidRDefault="005047E6">
      <w:pPr>
        <w:ind w:firstLine="643"/>
        <w:rPr>
          <w:b/>
          <w:bCs/>
        </w:rPr>
      </w:pPr>
      <w:bookmarkStart w:id="151" w:name="_Toc29889"/>
      <w:bookmarkStart w:id="152" w:name="_Toc13724"/>
      <w:r>
        <w:rPr>
          <w:b/>
          <w:bCs/>
        </w:rPr>
        <w:t>2.</w:t>
      </w:r>
      <w:r>
        <w:rPr>
          <w:b/>
          <w:bCs/>
        </w:rPr>
        <w:t>预算执行率</w:t>
      </w:r>
      <w:bookmarkEnd w:id="151"/>
      <w:bookmarkEnd w:id="152"/>
    </w:p>
    <w:p w:rsidR="006C6569" w:rsidRDefault="005047E6">
      <w:pPr>
        <w:ind w:firstLine="640"/>
      </w:pPr>
      <w:r>
        <w:t>本项目到位资金</w:t>
      </w:r>
      <w:r>
        <w:rPr>
          <w:rFonts w:hint="eastAsia"/>
        </w:rPr>
        <w:t>58.62</w:t>
      </w:r>
      <w:r>
        <w:t>万元，实际支付资金</w:t>
      </w:r>
      <w:r>
        <w:rPr>
          <w:rFonts w:hint="eastAsia"/>
        </w:rPr>
        <w:t>58.62</w:t>
      </w:r>
      <w:r>
        <w:t>万元，预算执行率为</w:t>
      </w:r>
      <w:r>
        <w:t>100</w:t>
      </w:r>
      <w:r>
        <w:t>%</w:t>
      </w:r>
      <w:r>
        <w:t>。</w:t>
      </w:r>
    </w:p>
    <w:p w:rsidR="006C6569" w:rsidRDefault="005047E6">
      <w:pPr>
        <w:ind w:firstLine="640"/>
      </w:pPr>
      <w:r>
        <w:t>本项满分</w:t>
      </w:r>
      <w:r>
        <w:t>4</w:t>
      </w:r>
      <w:r>
        <w:t>分，评估得分</w:t>
      </w:r>
      <w:r>
        <w:t>4</w:t>
      </w:r>
      <w:r>
        <w:t>分。</w:t>
      </w:r>
    </w:p>
    <w:p w:rsidR="006C6569" w:rsidRDefault="005047E6">
      <w:pPr>
        <w:ind w:firstLine="643"/>
        <w:rPr>
          <w:b/>
          <w:bCs/>
        </w:rPr>
      </w:pPr>
      <w:bookmarkStart w:id="153" w:name="_Toc2484"/>
      <w:bookmarkStart w:id="154" w:name="_Toc8316"/>
      <w:r>
        <w:rPr>
          <w:b/>
          <w:bCs/>
        </w:rPr>
        <w:t>3.</w:t>
      </w:r>
      <w:r>
        <w:rPr>
          <w:b/>
          <w:bCs/>
        </w:rPr>
        <w:t>资金使用合规性</w:t>
      </w:r>
      <w:bookmarkEnd w:id="153"/>
      <w:bookmarkEnd w:id="154"/>
    </w:p>
    <w:p w:rsidR="006C6569" w:rsidRDefault="005047E6">
      <w:pPr>
        <w:ind w:firstLine="640"/>
      </w:pPr>
      <w:r>
        <w:t>本项目资金的使用符合</w:t>
      </w:r>
      <w:r>
        <w:t>《中华人民共和国预算法》《中华人民共和国会计法》等</w:t>
      </w:r>
      <w:r>
        <w:t>国家</w:t>
      </w:r>
      <w:r>
        <w:t>有关</w:t>
      </w:r>
      <w:r>
        <w:t>财经法规</w:t>
      </w:r>
      <w:r>
        <w:t>以及预算管理制度。</w:t>
      </w:r>
      <w:r>
        <w:t>资金的</w:t>
      </w:r>
      <w:r>
        <w:t>审批和</w:t>
      </w:r>
      <w:r>
        <w:t>拨付</w:t>
      </w:r>
      <w:r>
        <w:t>按照《</w:t>
      </w:r>
      <w:r>
        <w:rPr>
          <w:rFonts w:hint="eastAsia"/>
        </w:rPr>
        <w:t>尉犁县</w:t>
      </w:r>
      <w:r>
        <w:t>财政资金审批管理办法》执行</w:t>
      </w:r>
      <w:r>
        <w:t>。资金的拨付有完整的审批程序和手续；资金使用符合专项资金支持的范围。不存在截留、挤占、挪用、虚列支出</w:t>
      </w:r>
      <w:r>
        <w:lastRenderedPageBreak/>
        <w:t>等情况。</w:t>
      </w:r>
    </w:p>
    <w:p w:rsidR="006C6569" w:rsidRDefault="005047E6">
      <w:pPr>
        <w:ind w:firstLine="640"/>
      </w:pPr>
      <w:r>
        <w:t>本项满分</w:t>
      </w:r>
      <w:r>
        <w:t>4</w:t>
      </w:r>
      <w:r>
        <w:t>分，评估得分</w:t>
      </w:r>
      <w:r>
        <w:t>4</w:t>
      </w:r>
      <w:r>
        <w:t>分。</w:t>
      </w:r>
    </w:p>
    <w:p w:rsidR="006C6569" w:rsidRDefault="005047E6">
      <w:pPr>
        <w:ind w:firstLine="643"/>
        <w:rPr>
          <w:b/>
          <w:bCs/>
        </w:rPr>
      </w:pPr>
      <w:bookmarkStart w:id="155" w:name="_Toc20651"/>
      <w:bookmarkStart w:id="156" w:name="_Toc15332"/>
      <w:r>
        <w:rPr>
          <w:b/>
          <w:bCs/>
        </w:rPr>
        <w:t>4.</w:t>
      </w:r>
      <w:r>
        <w:rPr>
          <w:b/>
          <w:bCs/>
        </w:rPr>
        <w:t>管理制度健全性</w:t>
      </w:r>
      <w:bookmarkEnd w:id="155"/>
      <w:bookmarkEnd w:id="156"/>
    </w:p>
    <w:p w:rsidR="006C6569" w:rsidRDefault="005047E6">
      <w:pPr>
        <w:ind w:firstLine="640"/>
      </w:pPr>
      <w:r>
        <w:rPr>
          <w:rFonts w:hint="eastAsia"/>
        </w:rPr>
        <w:t>尉犁县交通运输局制定了《尉犁县交通运输局财务管理制度》和《尉犁县交通运输局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资金管理等方面都做出明确的规范的要求，财务制度和业务管理制度健全。</w:t>
      </w:r>
    </w:p>
    <w:p w:rsidR="006C6569" w:rsidRDefault="005047E6">
      <w:pPr>
        <w:ind w:firstLine="640"/>
      </w:pPr>
      <w:r>
        <w:t>本项满分</w:t>
      </w:r>
      <w:r>
        <w:t>3</w:t>
      </w:r>
      <w:r>
        <w:t>分，评估得分</w:t>
      </w:r>
      <w:r>
        <w:t>3</w:t>
      </w:r>
      <w:r>
        <w:t>分。</w:t>
      </w:r>
    </w:p>
    <w:p w:rsidR="006C6569" w:rsidRDefault="005047E6">
      <w:pPr>
        <w:ind w:firstLine="643"/>
        <w:rPr>
          <w:b/>
          <w:bCs/>
        </w:rPr>
      </w:pPr>
      <w:bookmarkStart w:id="157" w:name="_Toc14853"/>
      <w:bookmarkStart w:id="158" w:name="_Toc14023"/>
      <w:r>
        <w:rPr>
          <w:b/>
          <w:bCs/>
        </w:rPr>
        <w:t>5.</w:t>
      </w:r>
      <w:r>
        <w:rPr>
          <w:b/>
          <w:bCs/>
        </w:rPr>
        <w:t>制度执行有效性</w:t>
      </w:r>
      <w:bookmarkEnd w:id="157"/>
      <w:bookmarkEnd w:id="158"/>
    </w:p>
    <w:p w:rsidR="006C6569" w:rsidRDefault="005047E6">
      <w:pPr>
        <w:ind w:firstLine="640"/>
      </w:pPr>
      <w:r>
        <w:t>本项目在实施过程中严格遵守相关法律法规和相关管理规定，如《</w:t>
      </w:r>
      <w:bookmarkStart w:id="159" w:name="OLE_LINK31"/>
      <w:r>
        <w:t>中华人民共和国</w:t>
      </w:r>
      <w:bookmarkEnd w:id="159"/>
      <w:r>
        <w:t>预算法</w:t>
      </w:r>
      <w:r>
        <w:t>》《</w:t>
      </w:r>
      <w:r>
        <w:t>中华人民共和国会计法</w:t>
      </w:r>
      <w:r>
        <w:t>》《</w:t>
      </w:r>
      <w:r>
        <w:t>中华人民共和国</w:t>
      </w:r>
      <w:r>
        <w:rPr>
          <w:rFonts w:hint="eastAsia"/>
        </w:rPr>
        <w:t>政府</w:t>
      </w:r>
      <w:r>
        <w:t>采购法》等，有关资料齐全，并及时整理归档。</w:t>
      </w:r>
      <w:r>
        <w:t>本项目无项目调整及支出调整，制度执行有效性较高。</w:t>
      </w:r>
    </w:p>
    <w:p w:rsidR="006C6569" w:rsidRDefault="005047E6">
      <w:pPr>
        <w:ind w:firstLine="640"/>
      </w:pPr>
      <w:r>
        <w:t>本项满分</w:t>
      </w:r>
      <w:r>
        <w:t>3</w:t>
      </w:r>
      <w:r>
        <w:t>分，评估得分</w:t>
      </w:r>
      <w:r>
        <w:t>3</w:t>
      </w:r>
      <w:r>
        <w:t>分。</w:t>
      </w:r>
    </w:p>
    <w:p w:rsidR="006C6569" w:rsidRDefault="005047E6">
      <w:pPr>
        <w:pStyle w:val="3"/>
        <w:ind w:firstLine="643"/>
        <w:rPr>
          <w:rFonts w:ascii="楷体" w:eastAsia="楷体" w:hAnsi="楷体" w:cs="楷体"/>
        </w:rPr>
      </w:pPr>
      <w:bookmarkStart w:id="160" w:name="_Toc5161"/>
      <w:bookmarkStart w:id="161" w:name="_Toc6865"/>
      <w:bookmarkStart w:id="162" w:name="_Toc22156"/>
      <w:bookmarkStart w:id="163" w:name="_Toc31545"/>
      <w:bookmarkStart w:id="164" w:name="_Toc12780"/>
      <w:bookmarkEnd w:id="150"/>
      <w:r>
        <w:rPr>
          <w:rFonts w:ascii="楷体" w:eastAsia="楷体" w:hAnsi="楷体" w:cs="楷体" w:hint="eastAsia"/>
        </w:rPr>
        <w:t>（三）项目产出情况</w:t>
      </w:r>
      <w:bookmarkEnd w:id="160"/>
      <w:bookmarkEnd w:id="161"/>
      <w:bookmarkEnd w:id="162"/>
      <w:bookmarkEnd w:id="163"/>
      <w:bookmarkEnd w:id="164"/>
    </w:p>
    <w:p w:rsidR="006C6569" w:rsidRDefault="005047E6">
      <w:pPr>
        <w:ind w:firstLine="643"/>
        <w:rPr>
          <w:b/>
          <w:bCs/>
        </w:rPr>
      </w:pPr>
      <w:bookmarkStart w:id="165" w:name="_Toc31041"/>
      <w:bookmarkStart w:id="166" w:name="_Toc4184"/>
      <w:r>
        <w:rPr>
          <w:b/>
          <w:bCs/>
        </w:rPr>
        <w:t>1.</w:t>
      </w:r>
      <w:r>
        <w:rPr>
          <w:b/>
          <w:bCs/>
        </w:rPr>
        <w:t>产出数量</w:t>
      </w:r>
      <w:bookmarkEnd w:id="165"/>
      <w:bookmarkEnd w:id="166"/>
    </w:p>
    <w:p w:rsidR="006C6569" w:rsidRDefault="005047E6">
      <w:pPr>
        <w:ind w:firstLine="640"/>
      </w:pPr>
      <w:r>
        <w:t>本项目数量指标：</w:t>
      </w:r>
    </w:p>
    <w:p w:rsidR="006C6569" w:rsidRDefault="005047E6">
      <w:pPr>
        <w:ind w:firstLine="640"/>
      </w:pPr>
      <w:r>
        <w:rPr>
          <w:bCs/>
          <w:szCs w:val="32"/>
        </w:rPr>
        <w:lastRenderedPageBreak/>
        <w:t>指标</w:t>
      </w:r>
      <w:r>
        <w:rPr>
          <w:bCs/>
          <w:szCs w:val="32"/>
        </w:rPr>
        <w:t>1</w:t>
      </w:r>
      <w:r>
        <w:rPr>
          <w:bCs/>
          <w:szCs w:val="32"/>
        </w:rPr>
        <w:t>：</w:t>
      </w:r>
      <w:r>
        <w:rPr>
          <w:rFonts w:hint="eastAsia"/>
        </w:rPr>
        <w:t>道路坑槽清理修补面积</w:t>
      </w:r>
      <w:r>
        <w:t>，预期指标值</w:t>
      </w:r>
      <w:bookmarkStart w:id="167" w:name="OLE_LINK13"/>
      <w:r>
        <w:rPr>
          <w:rFonts w:hint="eastAsia"/>
        </w:rPr>
        <w:t>大于或等于</w:t>
      </w:r>
      <w:r>
        <w:rPr>
          <w:rFonts w:hint="eastAsia"/>
        </w:rPr>
        <w:t>800</w:t>
      </w:r>
      <w:r>
        <w:rPr>
          <w:rFonts w:hint="eastAsia"/>
        </w:rPr>
        <w:t>㎡</w:t>
      </w:r>
      <w:bookmarkEnd w:id="167"/>
      <w:r>
        <w:t>，指标完成值：</w:t>
      </w:r>
      <w:r>
        <w:rPr>
          <w:rFonts w:hint="eastAsia"/>
        </w:rPr>
        <w:t>800</w:t>
      </w:r>
      <w:r>
        <w:rPr>
          <w:rFonts w:hint="eastAsia"/>
        </w:rPr>
        <w:t>㎡</w:t>
      </w:r>
      <w:r>
        <w:t>，完成率：</w:t>
      </w:r>
      <w:r>
        <w:rPr>
          <w:rFonts w:hint="eastAsia"/>
        </w:rPr>
        <w:t>100%</w:t>
      </w:r>
      <w:r>
        <w:t>；</w:t>
      </w:r>
    </w:p>
    <w:p w:rsidR="006C6569" w:rsidRDefault="005047E6">
      <w:pPr>
        <w:ind w:firstLine="640"/>
      </w:pPr>
      <w:r>
        <w:rPr>
          <w:bCs/>
          <w:szCs w:val="32"/>
        </w:rPr>
        <w:t>指标</w:t>
      </w:r>
      <w:r>
        <w:rPr>
          <w:bCs/>
          <w:szCs w:val="32"/>
        </w:rPr>
        <w:t>2</w:t>
      </w:r>
      <w:r>
        <w:rPr>
          <w:bCs/>
          <w:szCs w:val="32"/>
        </w:rPr>
        <w:t>：</w:t>
      </w:r>
      <w:r>
        <w:rPr>
          <w:rFonts w:hint="eastAsia"/>
        </w:rPr>
        <w:t>购买标志牌数量</w:t>
      </w:r>
      <w:r>
        <w:t>，预期指标值</w:t>
      </w:r>
      <w:r>
        <w:rPr>
          <w:rFonts w:hint="eastAsia"/>
        </w:rPr>
        <w:t>大于或等于</w:t>
      </w:r>
      <w:r>
        <w:rPr>
          <w:rFonts w:hint="eastAsia"/>
        </w:rPr>
        <w:t>40</w:t>
      </w:r>
      <w:r>
        <w:rPr>
          <w:rFonts w:hint="eastAsia"/>
        </w:rPr>
        <w:t>个</w:t>
      </w:r>
      <w:r>
        <w:t>，指标完成值：</w:t>
      </w:r>
      <w:r>
        <w:rPr>
          <w:rFonts w:hint="eastAsia"/>
        </w:rPr>
        <w:t>88</w:t>
      </w:r>
      <w:r>
        <w:rPr>
          <w:rFonts w:hint="eastAsia"/>
        </w:rPr>
        <w:t>个</w:t>
      </w:r>
      <w:r>
        <w:t>，完成率：</w:t>
      </w:r>
      <w:r>
        <w:rPr>
          <w:rFonts w:hint="eastAsia"/>
        </w:rPr>
        <w:t>220%</w:t>
      </w:r>
      <w:r>
        <w:t>；</w:t>
      </w:r>
      <w:r>
        <w:rPr>
          <w:rFonts w:hint="eastAsia"/>
        </w:rPr>
        <w:t>原因是设定指标值偏低，按照实际需求采购。</w:t>
      </w:r>
    </w:p>
    <w:p w:rsidR="006C6569" w:rsidRDefault="005047E6">
      <w:pPr>
        <w:ind w:firstLine="640"/>
      </w:pPr>
      <w:r>
        <w:t>本项满分</w:t>
      </w:r>
      <w:r>
        <w:t>12</w:t>
      </w:r>
      <w:r>
        <w:t>分，评估得分</w:t>
      </w:r>
      <w:r>
        <w:t>12</w:t>
      </w:r>
      <w:r>
        <w:t>分。</w:t>
      </w:r>
    </w:p>
    <w:p w:rsidR="006C6569" w:rsidRDefault="005047E6">
      <w:pPr>
        <w:ind w:firstLine="643"/>
        <w:rPr>
          <w:b/>
          <w:bCs/>
        </w:rPr>
      </w:pPr>
      <w:bookmarkStart w:id="168" w:name="_Toc21607"/>
      <w:bookmarkStart w:id="169" w:name="_Toc7420"/>
      <w:r>
        <w:rPr>
          <w:b/>
          <w:bCs/>
        </w:rPr>
        <w:t>2.</w:t>
      </w:r>
      <w:r>
        <w:rPr>
          <w:b/>
          <w:bCs/>
        </w:rPr>
        <w:t>产出质量</w:t>
      </w:r>
      <w:bookmarkEnd w:id="168"/>
      <w:bookmarkEnd w:id="169"/>
    </w:p>
    <w:p w:rsidR="006C6569" w:rsidRDefault="005047E6">
      <w:pPr>
        <w:ind w:firstLine="640"/>
      </w:pPr>
      <w:r>
        <w:rPr>
          <w:bCs/>
          <w:szCs w:val="32"/>
        </w:rPr>
        <w:t>指标</w:t>
      </w:r>
      <w:r>
        <w:rPr>
          <w:bCs/>
          <w:szCs w:val="32"/>
        </w:rPr>
        <w:t>1</w:t>
      </w:r>
      <w:r>
        <w:rPr>
          <w:bCs/>
          <w:szCs w:val="32"/>
        </w:rPr>
        <w:t>：</w:t>
      </w:r>
      <w:r>
        <w:rPr>
          <w:rFonts w:hint="eastAsia"/>
        </w:rPr>
        <w:t>工程验收合格率</w:t>
      </w:r>
      <w:r>
        <w:t>，预期指标值</w:t>
      </w:r>
      <w:bookmarkStart w:id="170" w:name="OLE_LINK14"/>
      <w:r>
        <w:rPr>
          <w:rFonts w:hint="eastAsia"/>
        </w:rPr>
        <w:t>100%</w:t>
      </w:r>
      <w:bookmarkEnd w:id="170"/>
      <w:r>
        <w:t>，指标完成值：</w:t>
      </w:r>
      <w:r>
        <w:rPr>
          <w:rFonts w:hint="eastAsia"/>
        </w:rPr>
        <w:t>100%</w:t>
      </w:r>
      <w:r>
        <w:t>，完成率：</w:t>
      </w:r>
      <w:r>
        <w:rPr>
          <w:rFonts w:hint="eastAsia"/>
        </w:rPr>
        <w:t>100%</w:t>
      </w:r>
      <w:r>
        <w:t>；</w:t>
      </w:r>
    </w:p>
    <w:p w:rsidR="006C6569" w:rsidRDefault="005047E6">
      <w:pPr>
        <w:ind w:firstLine="640"/>
      </w:pPr>
      <w:r>
        <w:t>本项满分</w:t>
      </w:r>
      <w:r>
        <w:t>12</w:t>
      </w:r>
      <w:r>
        <w:t>分，评估得分</w:t>
      </w:r>
      <w:r>
        <w:t>12</w:t>
      </w:r>
      <w:r>
        <w:t>分。</w:t>
      </w:r>
    </w:p>
    <w:p w:rsidR="006C6569" w:rsidRDefault="005047E6">
      <w:pPr>
        <w:ind w:firstLine="643"/>
        <w:rPr>
          <w:b/>
          <w:bCs/>
        </w:rPr>
      </w:pPr>
      <w:bookmarkStart w:id="171" w:name="_Toc6277"/>
      <w:bookmarkStart w:id="172" w:name="_Toc5394"/>
      <w:r>
        <w:rPr>
          <w:b/>
          <w:bCs/>
        </w:rPr>
        <w:t>3.</w:t>
      </w:r>
      <w:r>
        <w:rPr>
          <w:b/>
          <w:bCs/>
        </w:rPr>
        <w:t>产出时效</w:t>
      </w:r>
      <w:bookmarkEnd w:id="171"/>
      <w:bookmarkEnd w:id="172"/>
    </w:p>
    <w:p w:rsidR="006C6569" w:rsidRDefault="005047E6">
      <w:pPr>
        <w:ind w:firstLine="640"/>
      </w:pPr>
      <w:r>
        <w:rPr>
          <w:bCs/>
          <w:szCs w:val="32"/>
        </w:rPr>
        <w:t>指标</w:t>
      </w:r>
      <w:r>
        <w:rPr>
          <w:bCs/>
          <w:szCs w:val="32"/>
        </w:rPr>
        <w:t>1</w:t>
      </w:r>
      <w:r>
        <w:rPr>
          <w:bCs/>
          <w:szCs w:val="32"/>
        </w:rPr>
        <w:t>：</w:t>
      </w:r>
      <w:r>
        <w:rPr>
          <w:rFonts w:hint="eastAsia"/>
        </w:rPr>
        <w:t>当年投资完成率</w:t>
      </w:r>
      <w:r>
        <w:t>，预期指标值</w:t>
      </w:r>
      <w:r>
        <w:rPr>
          <w:rFonts w:hint="eastAsia"/>
        </w:rPr>
        <w:t>100%</w:t>
      </w:r>
      <w:r>
        <w:t>，指标完成值：</w:t>
      </w:r>
      <w:r>
        <w:rPr>
          <w:rFonts w:hint="eastAsia"/>
        </w:rPr>
        <w:t>100%</w:t>
      </w:r>
      <w:r>
        <w:t>，完成率：</w:t>
      </w:r>
      <w:r>
        <w:rPr>
          <w:rFonts w:hint="eastAsia"/>
        </w:rPr>
        <w:t>100%</w:t>
      </w:r>
      <w:r>
        <w:t>；</w:t>
      </w:r>
    </w:p>
    <w:p w:rsidR="006C6569" w:rsidRDefault="005047E6">
      <w:pPr>
        <w:ind w:firstLine="640"/>
      </w:pPr>
      <w:r>
        <w:t>本项满分</w:t>
      </w:r>
      <w:r>
        <w:t>12</w:t>
      </w:r>
      <w:r>
        <w:t>分，评估得分</w:t>
      </w:r>
      <w:r>
        <w:t>12</w:t>
      </w:r>
      <w:r>
        <w:t>分。</w:t>
      </w:r>
    </w:p>
    <w:p w:rsidR="006C6569" w:rsidRDefault="005047E6">
      <w:pPr>
        <w:ind w:firstLine="643"/>
        <w:rPr>
          <w:b/>
          <w:bCs/>
        </w:rPr>
      </w:pPr>
      <w:bookmarkStart w:id="173" w:name="_Toc18558"/>
      <w:bookmarkStart w:id="174" w:name="_Toc28975"/>
      <w:r>
        <w:rPr>
          <w:b/>
          <w:bCs/>
        </w:rPr>
        <w:t>4.</w:t>
      </w:r>
      <w:r>
        <w:rPr>
          <w:b/>
          <w:bCs/>
        </w:rPr>
        <w:t>产出成本</w:t>
      </w:r>
      <w:bookmarkEnd w:id="173"/>
      <w:bookmarkEnd w:id="174"/>
    </w:p>
    <w:p w:rsidR="006C6569" w:rsidRDefault="005047E6">
      <w:pPr>
        <w:ind w:firstLine="640"/>
      </w:pPr>
      <w:bookmarkStart w:id="175" w:name="OLE_LINK15"/>
      <w:r>
        <w:t>指标</w:t>
      </w:r>
      <w:r>
        <w:t>1</w:t>
      </w:r>
      <w:r>
        <w:t>：</w:t>
      </w:r>
      <w:r>
        <w:rPr>
          <w:rFonts w:hint="eastAsia"/>
        </w:rPr>
        <w:t>道路坑槽清理修补成本</w:t>
      </w:r>
      <w:r>
        <w:t>，预期指标值</w:t>
      </w:r>
      <w:r>
        <w:rPr>
          <w:rFonts w:hint="eastAsia"/>
        </w:rPr>
        <w:t>18.62</w:t>
      </w:r>
      <w:r>
        <w:rPr>
          <w:rFonts w:hint="eastAsia"/>
        </w:rPr>
        <w:t>万元</w:t>
      </w:r>
      <w:r>
        <w:t>，指标完成值：</w:t>
      </w:r>
      <w:r>
        <w:rPr>
          <w:rFonts w:hint="eastAsia"/>
        </w:rPr>
        <w:t>18.62</w:t>
      </w:r>
      <w:r>
        <w:rPr>
          <w:rFonts w:hint="eastAsia"/>
        </w:rPr>
        <w:t>万元</w:t>
      </w:r>
      <w:r>
        <w:t>，完成率：</w:t>
      </w:r>
      <w:r>
        <w:rPr>
          <w:rFonts w:hint="eastAsia"/>
        </w:rPr>
        <w:t>100%</w:t>
      </w:r>
      <w:r>
        <w:t>；</w:t>
      </w:r>
      <w:bookmarkEnd w:id="175"/>
    </w:p>
    <w:p w:rsidR="006C6569" w:rsidRDefault="005047E6">
      <w:pPr>
        <w:ind w:firstLine="640"/>
      </w:pPr>
      <w:r>
        <w:t>指标</w:t>
      </w:r>
      <w:r>
        <w:t>1</w:t>
      </w:r>
      <w:r>
        <w:t>：购买标志牌成本，预期指标值</w:t>
      </w:r>
      <w:r>
        <w:rPr>
          <w:rFonts w:hint="eastAsia"/>
        </w:rPr>
        <w:t>40</w:t>
      </w:r>
      <w:r>
        <w:t>万元，指标完成值：</w:t>
      </w:r>
      <w:r>
        <w:rPr>
          <w:rFonts w:hint="eastAsia"/>
        </w:rPr>
        <w:t>40</w:t>
      </w:r>
      <w:r>
        <w:t>万元，完成率：</w:t>
      </w:r>
      <w:r>
        <w:t>100%</w:t>
      </w:r>
      <w:r>
        <w:t>；</w:t>
      </w:r>
    </w:p>
    <w:p w:rsidR="006C6569" w:rsidRDefault="005047E6">
      <w:pPr>
        <w:ind w:firstLine="640"/>
      </w:pPr>
      <w:r>
        <w:t>本项满分</w:t>
      </w:r>
      <w:r>
        <w:t>4</w:t>
      </w:r>
      <w:r>
        <w:t>分，评估得分</w:t>
      </w:r>
      <w:r>
        <w:t>4</w:t>
      </w:r>
      <w:r>
        <w:t>分。</w:t>
      </w:r>
    </w:p>
    <w:p w:rsidR="006C6569" w:rsidRDefault="005047E6">
      <w:pPr>
        <w:pStyle w:val="3"/>
        <w:ind w:firstLine="643"/>
        <w:rPr>
          <w:rFonts w:ascii="楷体" w:eastAsia="楷体" w:hAnsi="楷体" w:cs="楷体"/>
        </w:rPr>
      </w:pPr>
      <w:bookmarkStart w:id="176" w:name="_Toc18194"/>
      <w:bookmarkStart w:id="177" w:name="_Toc27548"/>
      <w:bookmarkStart w:id="178" w:name="_Toc739"/>
      <w:bookmarkStart w:id="179" w:name="_Toc14881"/>
      <w:bookmarkStart w:id="180" w:name="_Toc24492"/>
      <w:r>
        <w:rPr>
          <w:rFonts w:ascii="楷体" w:eastAsia="楷体" w:hAnsi="楷体" w:cs="楷体" w:hint="eastAsia"/>
        </w:rPr>
        <w:t>（四）项目效益情况</w:t>
      </w:r>
      <w:bookmarkEnd w:id="176"/>
      <w:bookmarkEnd w:id="177"/>
      <w:bookmarkEnd w:id="178"/>
      <w:bookmarkEnd w:id="179"/>
      <w:bookmarkEnd w:id="180"/>
    </w:p>
    <w:p w:rsidR="006C6569" w:rsidRDefault="005047E6">
      <w:pPr>
        <w:ind w:firstLine="643"/>
        <w:rPr>
          <w:b/>
          <w:bCs/>
        </w:rPr>
      </w:pPr>
      <w:bookmarkStart w:id="181" w:name="_Toc8370"/>
      <w:bookmarkStart w:id="182" w:name="_Toc15599"/>
      <w:r>
        <w:rPr>
          <w:b/>
          <w:bCs/>
        </w:rPr>
        <w:t>1.</w:t>
      </w:r>
      <w:r>
        <w:rPr>
          <w:b/>
          <w:bCs/>
        </w:rPr>
        <w:t>实施效益</w:t>
      </w:r>
      <w:bookmarkEnd w:id="181"/>
      <w:bookmarkEnd w:id="182"/>
    </w:p>
    <w:p w:rsidR="006C6569" w:rsidRDefault="005047E6">
      <w:pPr>
        <w:ind w:firstLine="640"/>
      </w:pPr>
      <w:r>
        <w:lastRenderedPageBreak/>
        <w:t>本项目实施所产生的效益主要包括社会效益、经济效益和生态效益。</w:t>
      </w:r>
    </w:p>
    <w:p w:rsidR="006C6569" w:rsidRDefault="005047E6">
      <w:pPr>
        <w:ind w:firstLine="640"/>
      </w:pPr>
      <w:r>
        <w:rPr>
          <w:rFonts w:hint="eastAsia"/>
        </w:rPr>
        <w:t>此项目符合交通建设符合环评审批要求，</w:t>
      </w:r>
      <w:r>
        <w:t>项目的实施</w:t>
      </w:r>
      <w:r>
        <w:rPr>
          <w:rFonts w:hint="eastAsia"/>
        </w:rPr>
        <w:t>明显提升了农村公路路况水平，用时对经济发展促进作用。</w:t>
      </w:r>
    </w:p>
    <w:p w:rsidR="006C6569" w:rsidRDefault="005047E6">
      <w:pPr>
        <w:ind w:firstLine="640"/>
      </w:pPr>
      <w:r>
        <w:t>本项满分</w:t>
      </w:r>
      <w:r>
        <w:t>10</w:t>
      </w:r>
      <w:r>
        <w:t>分，评估得分</w:t>
      </w:r>
      <w:r>
        <w:t>10</w:t>
      </w:r>
      <w:r>
        <w:t>分。</w:t>
      </w:r>
    </w:p>
    <w:p w:rsidR="006C6569" w:rsidRDefault="005047E6">
      <w:pPr>
        <w:ind w:firstLine="643"/>
        <w:rPr>
          <w:b/>
          <w:bCs/>
        </w:rPr>
      </w:pPr>
      <w:bookmarkStart w:id="183" w:name="_Toc31503"/>
      <w:bookmarkStart w:id="184" w:name="_Toc20772"/>
      <w:bookmarkStart w:id="185" w:name="OLE_LINK27"/>
      <w:r>
        <w:rPr>
          <w:b/>
          <w:bCs/>
        </w:rPr>
        <w:t>2.</w:t>
      </w:r>
      <w:r>
        <w:rPr>
          <w:b/>
          <w:bCs/>
        </w:rPr>
        <w:t>满意度</w:t>
      </w:r>
      <w:bookmarkEnd w:id="183"/>
      <w:bookmarkEnd w:id="184"/>
    </w:p>
    <w:p w:rsidR="006C6569" w:rsidRDefault="005047E6">
      <w:pPr>
        <w:ind w:firstLine="640"/>
      </w:pPr>
      <w:r>
        <w:t>本项目服务对象和受益群众主要是</w:t>
      </w:r>
      <w:r>
        <w:rPr>
          <w:rFonts w:hint="eastAsia"/>
        </w:rPr>
        <w:t>农民</w:t>
      </w:r>
      <w:r>
        <w:t>，通过问卷调查方式收集服务对象和受益群众对本项目实施的满意度。调查人群都表示很满意，</w:t>
      </w:r>
      <w:r>
        <w:rPr>
          <w:rFonts w:hint="eastAsia"/>
        </w:rPr>
        <w:t>满意度</w:t>
      </w:r>
      <w:r>
        <w:rPr>
          <w:rFonts w:hint="eastAsia"/>
        </w:rPr>
        <w:t>90%,</w:t>
      </w:r>
      <w:r>
        <w:t>认为本项目实施后，</w:t>
      </w:r>
      <w:r>
        <w:rPr>
          <w:rFonts w:hint="eastAsia"/>
        </w:rPr>
        <w:t>改善了出行条件。</w:t>
      </w:r>
    </w:p>
    <w:bookmarkEnd w:id="185"/>
    <w:p w:rsidR="006C6569" w:rsidRDefault="005047E6">
      <w:pPr>
        <w:ind w:firstLine="640"/>
      </w:pPr>
      <w:r>
        <w:t>本项满分</w:t>
      </w:r>
      <w:r>
        <w:t>10</w:t>
      </w:r>
      <w:r>
        <w:t>分，评估得分</w:t>
      </w:r>
      <w:r>
        <w:t>10</w:t>
      </w:r>
      <w:r>
        <w:t>分。</w:t>
      </w:r>
    </w:p>
    <w:p w:rsidR="006C6569" w:rsidRDefault="005047E6">
      <w:pPr>
        <w:pStyle w:val="2"/>
        <w:ind w:firstLine="640"/>
        <w:rPr>
          <w:rFonts w:eastAsia="仿宋_GB2312"/>
        </w:rPr>
      </w:pPr>
      <w:bookmarkStart w:id="186" w:name="_Toc3310"/>
      <w:bookmarkStart w:id="187" w:name="_Toc17596"/>
      <w:bookmarkStart w:id="188" w:name="_Toc24261"/>
      <w:bookmarkStart w:id="189" w:name="_Toc17413"/>
      <w:bookmarkStart w:id="190" w:name="_Toc23114"/>
      <w:bookmarkStart w:id="191" w:name="_Toc20473"/>
      <w:r>
        <w:rPr>
          <w:rFonts w:ascii="黑体" w:hAnsi="黑体" w:cs="黑体" w:hint="eastAsia"/>
        </w:rPr>
        <w:t>五、主要经验及做法、存在的问题及原因分析</w:t>
      </w:r>
      <w:bookmarkEnd w:id="186"/>
      <w:bookmarkEnd w:id="187"/>
      <w:bookmarkEnd w:id="188"/>
      <w:bookmarkEnd w:id="189"/>
      <w:bookmarkEnd w:id="190"/>
      <w:bookmarkEnd w:id="191"/>
    </w:p>
    <w:p w:rsidR="006C6569" w:rsidRDefault="005047E6">
      <w:pPr>
        <w:pStyle w:val="3"/>
        <w:ind w:firstLine="643"/>
        <w:rPr>
          <w:rFonts w:ascii="楷体" w:eastAsia="楷体" w:hAnsi="楷体" w:cs="楷体"/>
        </w:rPr>
      </w:pPr>
      <w:bookmarkStart w:id="192" w:name="_Toc6522"/>
      <w:bookmarkStart w:id="193" w:name="_Toc10514"/>
      <w:bookmarkStart w:id="194" w:name="_Toc14362"/>
      <w:bookmarkStart w:id="195" w:name="_Toc10728"/>
      <w:bookmarkStart w:id="196" w:name="_Toc6741"/>
      <w:bookmarkStart w:id="197" w:name="OLE_LINK28"/>
      <w:r>
        <w:rPr>
          <w:rFonts w:ascii="楷体" w:eastAsia="楷体" w:hAnsi="楷体" w:cs="楷体" w:hint="eastAsia"/>
        </w:rPr>
        <w:t>（一）主要经验及做法</w:t>
      </w:r>
      <w:bookmarkEnd w:id="192"/>
      <w:bookmarkEnd w:id="193"/>
      <w:bookmarkEnd w:id="194"/>
      <w:bookmarkEnd w:id="195"/>
      <w:bookmarkEnd w:id="196"/>
    </w:p>
    <w:p w:rsidR="006C6569" w:rsidRDefault="005047E6">
      <w:pPr>
        <w:ind w:firstLine="640"/>
      </w:pPr>
      <w:bookmarkStart w:id="198" w:name="OLE_LINK17"/>
      <w:r>
        <w:rPr>
          <w:rFonts w:hint="eastAsia"/>
        </w:rPr>
        <w:t>2024</w:t>
      </w:r>
      <w:r>
        <w:rPr>
          <w:rFonts w:hint="eastAsia"/>
        </w:rPr>
        <w:t>年“四好农村公路”养护项目</w:t>
      </w:r>
      <w:bookmarkEnd w:id="198"/>
      <w:r>
        <w:t>在</w:t>
      </w:r>
      <w:r>
        <w:t>县委、县政府</w:t>
      </w:r>
      <w:r>
        <w:t>的支持下，在相关部门的配合下，全面顺利完成，绩效评价</w:t>
      </w:r>
      <w:r>
        <w:t>“</w:t>
      </w:r>
      <w:r>
        <w:t>优</w:t>
      </w:r>
      <w:r>
        <w:t>”</w:t>
      </w:r>
      <w:r>
        <w:t>，主要经验及做法如下：</w:t>
      </w:r>
    </w:p>
    <w:p w:rsidR="006C6569" w:rsidRDefault="005047E6">
      <w:pPr>
        <w:ind w:firstLine="640"/>
      </w:pPr>
      <w:bookmarkStart w:id="199" w:name="_Toc12100"/>
      <w:bookmarkStart w:id="200" w:name="_Toc5794"/>
      <w:bookmarkStart w:id="201" w:name="_Toc21621"/>
      <w:bookmarkStart w:id="202" w:name="_Toc22823"/>
      <w:bookmarkStart w:id="203" w:name="_Toc24871"/>
      <w:r>
        <w:rPr>
          <w:rFonts w:hint="eastAsia"/>
        </w:rPr>
        <w:t>1.</w:t>
      </w:r>
      <w:r>
        <w:t>全面精准的路况勘察</w:t>
      </w:r>
      <w:r>
        <w:rPr>
          <w:rFonts w:hint="eastAsia"/>
        </w:rPr>
        <w:t>。</w:t>
      </w:r>
      <w:r>
        <w:t>项目启动前期，高度重视路况勘察工作。组建专业的勘察团队，运用实地徒步巡查、结合先进路况检测设备的方式，对尉犁县全域农村公路展开地毯式排查。团队成员详细记录每一处坑槽的精确位置、面积大小、深度尺寸，同时考量所处路段的交通流量、过往车辆类型等因素。例如，在交通流量大且重载货车频繁通行的路段，</w:t>
      </w:r>
      <w:r>
        <w:lastRenderedPageBreak/>
        <w:t>对坑槽情况重点标注，为后续制定针对性修补方案提供详实数据支撑。</w:t>
      </w:r>
    </w:p>
    <w:p w:rsidR="006C6569" w:rsidRDefault="005047E6">
      <w:pPr>
        <w:ind w:firstLine="640"/>
      </w:pPr>
      <w:r>
        <w:t>2.</w:t>
      </w:r>
      <w:r>
        <w:t>施工流程的标准化作业</w:t>
      </w:r>
      <w:r>
        <w:rPr>
          <w:rFonts w:hint="eastAsia"/>
        </w:rPr>
        <w:t>。</w:t>
      </w:r>
      <w:r>
        <w:t>在坑槽修补施工阶段，施工人员严格遵循既定流程操作。先对坑槽进行全方位清理，使用专业工具去除槽内松散颗粒、杂物与积水，确保坑槽底部和侧壁</w:t>
      </w:r>
      <w:r>
        <w:t>坚实、洁净。随后均匀喷洒粘层油，增强新铺材料与原路面的粘结力。接着，按照设计厚度分层摊铺加热后的沥青混凝土材料，每摊铺一层，立即使用小型压路机或平板夯进行压实，确保压实度达到设计要求。在标志牌安装施工中，安装人员依据设计图纸与现场实际情况，精准确定每一块标志牌的安装位置。运用专业安装设备，保障标志牌安装牢固、垂直，版面朝向符合交通流向要求。</w:t>
      </w:r>
    </w:p>
    <w:p w:rsidR="006C6569" w:rsidRDefault="005047E6">
      <w:pPr>
        <w:ind w:firstLine="640"/>
      </w:pPr>
      <w:r>
        <w:t>3</w:t>
      </w:r>
      <w:r>
        <w:rPr>
          <w:rFonts w:hint="eastAsia"/>
        </w:rPr>
        <w:t>.</w:t>
      </w:r>
      <w:r>
        <w:t>严格规范的验收工作</w:t>
      </w:r>
      <w:r>
        <w:rPr>
          <w:rFonts w:hint="eastAsia"/>
        </w:rPr>
        <w:t>。</w:t>
      </w:r>
      <w:r>
        <w:t>项目完工后，项目管理团队联合当地交通管理部门、质量检测机构等，对坑槽修补和标志牌安装工作进行全面验收。对于坑槽修补，通过路面平整度检测、压实度复</w:t>
      </w:r>
      <w:r>
        <w:t>测、修补区域与周边路面衔接情况检查等方式，评估修补效果；对于标志牌，检查安装位置准确性、安装牢固程度、标志内容清晰度完整性以及反光效果等。只有各项指标全部符合设计要求和相关标准，才认定验收合格。例如，在本次项目中，经过严格验收，</w:t>
      </w:r>
      <w:r>
        <w:t>88</w:t>
      </w:r>
      <w:r>
        <w:t>块标志牌全部安装合格，坑槽修补的</w:t>
      </w:r>
      <w:r>
        <w:t>800</w:t>
      </w:r>
      <w:r>
        <w:t>平方米区域路面平整度、压实度等指标均达到优良标准。</w:t>
      </w:r>
    </w:p>
    <w:p w:rsidR="006C6569" w:rsidRDefault="005047E6">
      <w:pPr>
        <w:pStyle w:val="3"/>
        <w:ind w:firstLine="643"/>
        <w:rPr>
          <w:rFonts w:ascii="楷体" w:eastAsia="楷体" w:hAnsi="楷体" w:cs="楷体"/>
        </w:rPr>
      </w:pPr>
      <w:bookmarkStart w:id="204" w:name="_Toc27408"/>
      <w:bookmarkStart w:id="205" w:name="_Toc11238"/>
      <w:bookmarkStart w:id="206" w:name="_Toc4673"/>
      <w:bookmarkStart w:id="207" w:name="_Toc24430"/>
      <w:bookmarkStart w:id="208" w:name="_Toc6359"/>
      <w:r>
        <w:rPr>
          <w:rFonts w:ascii="楷体" w:eastAsia="楷体" w:hAnsi="楷体" w:cs="楷体" w:hint="eastAsia"/>
        </w:rPr>
        <w:lastRenderedPageBreak/>
        <w:t>（二）存在的问题及分析</w:t>
      </w:r>
      <w:bookmarkEnd w:id="204"/>
      <w:bookmarkEnd w:id="205"/>
      <w:bookmarkEnd w:id="206"/>
      <w:bookmarkEnd w:id="207"/>
      <w:bookmarkEnd w:id="208"/>
    </w:p>
    <w:p w:rsidR="006C6569" w:rsidRDefault="005047E6">
      <w:pPr>
        <w:ind w:firstLine="640"/>
      </w:pPr>
      <w:bookmarkStart w:id="209" w:name="_Toc13345"/>
      <w:bookmarkStart w:id="210" w:name="_Toc20116"/>
      <w:bookmarkStart w:id="211" w:name="_Toc13270"/>
      <w:bookmarkStart w:id="212" w:name="_Toc5702"/>
      <w:bookmarkStart w:id="213" w:name="_Toc22271"/>
      <w:r>
        <w:rPr>
          <w:rFonts w:hint="eastAsia"/>
        </w:rPr>
        <w:t>1.</w:t>
      </w:r>
      <w:r>
        <w:rPr>
          <w:rFonts w:hint="eastAsia"/>
        </w:rPr>
        <w:t>养护工作监管不到位。从管理主体来看，农村公路养护存在管理主体不明晰的现象。乡镇（街道）交通部门主要负责县道及主要乡道，而大部分村道及偏远乡道的管理养护存在缺失或不</w:t>
      </w:r>
      <w:r>
        <w:rPr>
          <w:rFonts w:hint="eastAsia"/>
        </w:rPr>
        <w:t>到位的情况。例如，部分村道仅进行简单的卫生打扫，对于路面病害、道路设施损坏等问题未能及时处理。此外，在项目执行过程中，虽然有现场监督，但对于一些隐蔽工程环节，如基层材料铺设质量等，监督可能存在漏洞</w:t>
      </w:r>
      <w:r>
        <w:rPr>
          <w:rFonts w:hint="eastAsia"/>
        </w:rPr>
        <w:t xml:space="preserve"> </w:t>
      </w:r>
      <w:r>
        <w:rPr>
          <w:rFonts w:hint="eastAsia"/>
        </w:rPr>
        <w:t>。</w:t>
      </w:r>
    </w:p>
    <w:p w:rsidR="006C6569" w:rsidRDefault="005047E6">
      <w:pPr>
        <w:ind w:firstLine="640"/>
      </w:pPr>
      <w:r>
        <w:rPr>
          <w:rFonts w:hint="eastAsia"/>
        </w:rPr>
        <w:t>2.</w:t>
      </w:r>
      <w:bookmarkEnd w:id="197"/>
      <w:r>
        <w:rPr>
          <w:rFonts w:hint="eastAsia"/>
        </w:rPr>
        <w:t>群众参与与意识问题。爱路护路意识淡薄，沿路部分群众缺乏爱路护路意识，在道路两侧乱搭乱建、堆物占道、打场晒粮、乱倒垃圾、路面受污染、涵洞被堵塞等现象时有发生。这些行为不仅影响了道路的美观和整洁，更对道路结构和交通安全造成威胁。例如，杂物堆积可能导致排水不畅，进而影响路基稳定性；打场晒粮易使车辆制动距离增加，</w:t>
      </w:r>
      <w:r>
        <w:rPr>
          <w:rFonts w:hint="eastAsia"/>
        </w:rPr>
        <w:t>引发交通事故</w:t>
      </w:r>
      <w:r>
        <w:rPr>
          <w:rFonts w:hint="eastAsia"/>
        </w:rPr>
        <w:t xml:space="preserve"> </w:t>
      </w:r>
      <w:r>
        <w:rPr>
          <w:rFonts w:hint="eastAsia"/>
        </w:rPr>
        <w:t>。</w:t>
      </w:r>
    </w:p>
    <w:p w:rsidR="006C6569" w:rsidRDefault="005047E6">
      <w:pPr>
        <w:pStyle w:val="2"/>
        <w:ind w:firstLine="640"/>
        <w:rPr>
          <w:rFonts w:ascii="黑体" w:hAnsi="黑体" w:cs="黑体"/>
        </w:rPr>
      </w:pPr>
      <w:bookmarkStart w:id="214" w:name="_Toc8238"/>
      <w:r>
        <w:rPr>
          <w:rFonts w:ascii="黑体" w:hAnsi="黑体" w:cs="黑体" w:hint="eastAsia"/>
        </w:rPr>
        <w:t>六、有关建议</w:t>
      </w:r>
      <w:bookmarkEnd w:id="209"/>
      <w:bookmarkEnd w:id="210"/>
      <w:bookmarkEnd w:id="211"/>
      <w:bookmarkEnd w:id="212"/>
      <w:bookmarkEnd w:id="213"/>
      <w:bookmarkEnd w:id="214"/>
    </w:p>
    <w:p w:rsidR="006C6569" w:rsidRDefault="005047E6">
      <w:pPr>
        <w:ind w:firstLine="640"/>
      </w:pPr>
      <w:bookmarkStart w:id="215" w:name="OLE_LINK29"/>
      <w:r>
        <w:rPr>
          <w:rFonts w:hint="eastAsia"/>
        </w:rPr>
        <w:t>1.</w:t>
      </w:r>
      <w:r>
        <w:t>完善养护工作监管体系：明确农村公路养护管理主体责任，建立健全县、乡、村三级养护管理体系，将村道养护责任落实到具体的村委会和责任人。加强对养护工作全过程的监督，除了现场监督外，引入信息化手段，如利用卫星遥感、无人机巡查等技术，对农村公路进行全方位、实时监测，及时发现养护工作中的问题并督促整改。同时，建立养护工</w:t>
      </w:r>
      <w:r>
        <w:lastRenderedPageBreak/>
        <w:t>作考核评价机制，将考核结果与资金分配、人员绩效挂钩</w:t>
      </w:r>
      <w:r>
        <w:t xml:space="preserve"> </w:t>
      </w:r>
      <w:r>
        <w:t>。</w:t>
      </w:r>
      <w:r>
        <w:rPr>
          <w:rFonts w:hint="eastAsia"/>
        </w:rPr>
        <w:t xml:space="preserve"> </w:t>
      </w:r>
    </w:p>
    <w:p w:rsidR="006C6569" w:rsidRDefault="005047E6">
      <w:pPr>
        <w:ind w:firstLine="640"/>
      </w:pPr>
      <w:r>
        <w:rPr>
          <w:rFonts w:hint="eastAsia"/>
        </w:rPr>
        <w:t xml:space="preserve"> 2.</w:t>
      </w:r>
      <w:bookmarkEnd w:id="215"/>
      <w:r>
        <w:t>鼓励群众参与养护工作：建立群众参与农村公路养护的激励机制，对积极参与养护工作的群众给予一定的物质奖励或荣</w:t>
      </w:r>
      <w:r>
        <w:t>誉表彰。例如，设立</w:t>
      </w:r>
      <w:r>
        <w:t>“</w:t>
      </w:r>
      <w:r>
        <w:t>优秀护路志愿者</w:t>
      </w:r>
      <w:r>
        <w:t>”</w:t>
      </w:r>
      <w:r>
        <w:t>奖项，对表现突出的群众进行奖励。同时，鼓励群众参与养护项目的监督，设立举报电话和奖励制度，对发现并举报破坏农村公路行为的群众给予奖励，形成全民参与农村公路养护的良好局面</w:t>
      </w:r>
      <w:r>
        <w:t xml:space="preserve"> </w:t>
      </w:r>
      <w:r>
        <w:t>。</w:t>
      </w:r>
    </w:p>
    <w:p w:rsidR="006C6569" w:rsidRDefault="005047E6">
      <w:pPr>
        <w:pStyle w:val="2"/>
        <w:ind w:firstLine="640"/>
        <w:rPr>
          <w:rFonts w:ascii="黑体" w:hAnsi="黑体" w:cs="黑体"/>
        </w:rPr>
      </w:pPr>
      <w:bookmarkStart w:id="216" w:name="_Toc18594"/>
      <w:r>
        <w:rPr>
          <w:rFonts w:ascii="黑体" w:hAnsi="黑体" w:cs="黑体"/>
        </w:rPr>
        <w:t>七、其他需要说明的问题</w:t>
      </w:r>
      <w:bookmarkEnd w:id="199"/>
      <w:bookmarkEnd w:id="200"/>
      <w:bookmarkEnd w:id="201"/>
      <w:bookmarkEnd w:id="202"/>
      <w:bookmarkEnd w:id="203"/>
      <w:bookmarkEnd w:id="216"/>
    </w:p>
    <w:p w:rsidR="006C6569" w:rsidRDefault="005047E6">
      <w:pPr>
        <w:ind w:firstLine="640"/>
      </w:pPr>
      <w:bookmarkStart w:id="217" w:name="OLE_LINK42"/>
      <w:r>
        <w:t>1</w:t>
      </w:r>
      <w:r>
        <w:t>、</w:t>
      </w:r>
      <w:r>
        <w:t>本项目部分间接产生的效果无法准确在短期内衡量，因此很难认定项目产生的全部效果</w:t>
      </w:r>
      <w:r>
        <w:rPr>
          <w:rFonts w:hint="eastAsia"/>
        </w:rPr>
        <w:t>。</w:t>
      </w:r>
      <w:r>
        <w:t>通过指标来反映绩效，指标的科学性和全面性需要不断地完善和研究。</w:t>
      </w:r>
    </w:p>
    <w:p w:rsidR="006C6569" w:rsidRDefault="005047E6">
      <w:pPr>
        <w:ind w:firstLine="640"/>
      </w:pPr>
      <w:r>
        <w:t>2</w:t>
      </w:r>
      <w:r>
        <w:t>、</w:t>
      </w:r>
      <w:r>
        <w:t>评价结果分别编入政府决算和部门预算</w:t>
      </w:r>
      <w:r>
        <w:rPr>
          <w:rFonts w:hint="eastAsia"/>
        </w:rPr>
        <w:t>，</w:t>
      </w:r>
      <w:r>
        <w:t>报送本级人民代表大会常务委员会，并依法予以公开。</w:t>
      </w:r>
    </w:p>
    <w:p w:rsidR="006C6569" w:rsidRDefault="005047E6">
      <w:pPr>
        <w:pStyle w:val="2"/>
        <w:ind w:firstLine="640"/>
        <w:rPr>
          <w:rFonts w:ascii="黑体" w:hAnsi="黑体" w:cs="黑体"/>
        </w:rPr>
      </w:pPr>
      <w:bookmarkStart w:id="218" w:name="_Toc30245"/>
      <w:bookmarkStart w:id="219" w:name="_Toc28493"/>
      <w:bookmarkStart w:id="220" w:name="_Toc4210"/>
      <w:bookmarkStart w:id="221" w:name="_Toc8987"/>
      <w:bookmarkEnd w:id="217"/>
      <w:r>
        <w:rPr>
          <w:rFonts w:ascii="黑体" w:hAnsi="黑体" w:cs="黑体"/>
        </w:rPr>
        <w:t>八、附件</w:t>
      </w:r>
      <w:bookmarkEnd w:id="218"/>
      <w:bookmarkEnd w:id="219"/>
      <w:bookmarkEnd w:id="220"/>
      <w:bookmarkEnd w:id="221"/>
    </w:p>
    <w:p w:rsidR="006C6569" w:rsidRDefault="005047E6">
      <w:pPr>
        <w:ind w:firstLine="640"/>
      </w:pPr>
      <w:r>
        <w:t>1</w:t>
      </w:r>
      <w:r>
        <w:t>、项目支出绩效自评表</w:t>
      </w:r>
    </w:p>
    <w:p w:rsidR="006C6569" w:rsidRDefault="005047E6">
      <w:pPr>
        <w:ind w:firstLine="640"/>
      </w:pPr>
      <w:r>
        <w:t>2</w:t>
      </w:r>
      <w:r>
        <w:t>、项目支出绩效评价指标体系及评分</w:t>
      </w:r>
    </w:p>
    <w:p w:rsidR="006C6569" w:rsidRDefault="006C6569">
      <w:pPr>
        <w:ind w:firstLine="640"/>
      </w:pPr>
    </w:p>
    <w:p w:rsidR="006C6569" w:rsidRDefault="006C6569">
      <w:pPr>
        <w:ind w:firstLine="640"/>
      </w:pPr>
    </w:p>
    <w:p w:rsidR="006C6569" w:rsidRDefault="006C6569">
      <w:pPr>
        <w:ind w:firstLine="640"/>
      </w:pPr>
    </w:p>
    <w:p w:rsidR="006C6569" w:rsidRDefault="006C6569">
      <w:pPr>
        <w:ind w:firstLine="640"/>
        <w:sectPr w:rsidR="006C6569">
          <w:footerReference w:type="default" r:id="rId15"/>
          <w:pgSz w:w="11906" w:h="16838"/>
          <w:pgMar w:top="1440" w:right="1800" w:bottom="1440" w:left="1800" w:header="851" w:footer="992" w:gutter="0"/>
          <w:pgNumType w:start="1"/>
          <w:cols w:space="720"/>
          <w:docGrid w:type="lines" w:linePitch="312"/>
        </w:sectPr>
      </w:pPr>
    </w:p>
    <w:p w:rsidR="006C6569" w:rsidRDefault="005047E6">
      <w:pPr>
        <w:pStyle w:val="2"/>
        <w:ind w:firstLine="640"/>
        <w:rPr>
          <w:rFonts w:eastAsia="仿宋_GB2312"/>
        </w:rPr>
      </w:pPr>
      <w:bookmarkStart w:id="222" w:name="_Toc15698"/>
      <w:bookmarkStart w:id="223" w:name="_Toc28598"/>
      <w:bookmarkStart w:id="224" w:name="_Toc7270"/>
      <w:r>
        <w:rPr>
          <w:rFonts w:eastAsia="仿宋_GB2312"/>
        </w:rPr>
        <w:lastRenderedPageBreak/>
        <w:t>附件</w:t>
      </w:r>
      <w:r>
        <w:rPr>
          <w:rFonts w:eastAsia="仿宋_GB2312"/>
        </w:rPr>
        <w:t>1</w:t>
      </w:r>
      <w:r>
        <w:rPr>
          <w:rFonts w:eastAsia="仿宋_GB2312"/>
        </w:rPr>
        <w:t>：</w:t>
      </w:r>
      <w:bookmarkEnd w:id="222"/>
      <w:bookmarkEnd w:id="223"/>
      <w:r>
        <w:rPr>
          <w:rFonts w:eastAsia="仿宋_GB2312"/>
        </w:rPr>
        <w:t>项目支出绩效自评表</w:t>
      </w:r>
      <w:bookmarkEnd w:id="224"/>
    </w:p>
    <w:p w:rsidR="006C6569" w:rsidRDefault="006C6569">
      <w:pPr>
        <w:ind w:firstLineChars="0" w:firstLine="0"/>
        <w:rPr>
          <w:sz w:val="18"/>
          <w:szCs w:val="18"/>
        </w:rPr>
      </w:pPr>
    </w:p>
    <w:tbl>
      <w:tblPr>
        <w:tblW w:w="5000" w:type="pct"/>
        <w:jc w:val="center"/>
        <w:tblLayout w:type="fixed"/>
        <w:tblLook w:val="04A0" w:firstRow="1" w:lastRow="0" w:firstColumn="1" w:lastColumn="0" w:noHBand="0" w:noVBand="1"/>
      </w:tblPr>
      <w:tblGrid>
        <w:gridCol w:w="950"/>
        <w:gridCol w:w="955"/>
        <w:gridCol w:w="950"/>
        <w:gridCol w:w="1389"/>
        <w:gridCol w:w="805"/>
        <w:gridCol w:w="950"/>
        <w:gridCol w:w="950"/>
        <w:gridCol w:w="935"/>
        <w:gridCol w:w="961"/>
        <w:gridCol w:w="950"/>
        <w:gridCol w:w="1199"/>
        <w:gridCol w:w="1091"/>
        <w:gridCol w:w="850"/>
        <w:gridCol w:w="1239"/>
      </w:tblGrid>
      <w:tr w:rsidR="006C6569">
        <w:trPr>
          <w:trHeight w:val="420"/>
          <w:jc w:val="center"/>
        </w:trPr>
        <w:tc>
          <w:tcPr>
            <w:tcW w:w="5000" w:type="pct"/>
            <w:gridSpan w:val="14"/>
            <w:tcBorders>
              <w:top w:val="single" w:sz="4" w:space="0" w:color="000000"/>
              <w:left w:val="single" w:sz="4" w:space="0" w:color="000000"/>
              <w:bottom w:val="single" w:sz="4" w:space="0" w:color="000000"/>
              <w:right w:val="single" w:sz="4" w:space="0" w:color="000000"/>
            </w:tcBorders>
            <w:vAlign w:val="center"/>
          </w:tcPr>
          <w:p w:rsidR="006C6569" w:rsidRDefault="005047E6">
            <w:pPr>
              <w:widowControl/>
              <w:spacing w:line="240" w:lineRule="auto"/>
              <w:ind w:firstLineChars="0" w:firstLine="0"/>
              <w:jc w:val="center"/>
              <w:textAlignment w:val="center"/>
              <w:rPr>
                <w:rFonts w:ascii="华文中宋" w:eastAsia="华文中宋" w:hAnsi="华文中宋" w:cs="华文中宋"/>
                <w:b/>
                <w:bCs/>
                <w:sz w:val="40"/>
                <w:szCs w:val="40"/>
              </w:rPr>
            </w:pPr>
            <w:bookmarkStart w:id="225" w:name="_Toc5134"/>
            <w:bookmarkStart w:id="226" w:name="_Toc22143"/>
            <w:bookmarkStart w:id="227" w:name="_Toc1641"/>
            <w:bookmarkStart w:id="228" w:name="_Toc28099"/>
            <w:r>
              <w:rPr>
                <w:rFonts w:hint="eastAsia"/>
                <w:b/>
                <w:iCs/>
                <w:szCs w:val="21"/>
              </w:rPr>
              <w:t>项目支出绩效自评表</w:t>
            </w:r>
          </w:p>
        </w:tc>
      </w:tr>
      <w:tr w:rsidR="006C6569">
        <w:trPr>
          <w:trHeight w:val="800"/>
          <w:jc w:val="center"/>
        </w:trPr>
        <w:tc>
          <w:tcPr>
            <w:tcW w:w="5000" w:type="pct"/>
            <w:gridSpan w:val="14"/>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(2024</w:t>
            </w:r>
            <w:r>
              <w:rPr>
                <w:rFonts w:hint="eastAsia"/>
                <w:sz w:val="21"/>
                <w:szCs w:val="21"/>
              </w:rPr>
              <w:t>年度</w:t>
            </w:r>
            <w:r>
              <w:rPr>
                <w:rFonts w:hint="eastAsia"/>
                <w:sz w:val="21"/>
                <w:szCs w:val="21"/>
              </w:rPr>
              <w:t>)</w:t>
            </w:r>
          </w:p>
        </w:tc>
      </w:tr>
      <w:tr w:rsidR="006C6569">
        <w:trPr>
          <w:trHeight w:val="270"/>
          <w:jc w:val="center"/>
        </w:trPr>
        <w:tc>
          <w:tcPr>
            <w:tcW w:w="672"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项目名称</w:t>
            </w:r>
          </w:p>
        </w:tc>
        <w:tc>
          <w:tcPr>
            <w:tcW w:w="4327" w:type="pct"/>
            <w:gridSpan w:val="1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2024</w:t>
            </w:r>
            <w:r>
              <w:rPr>
                <w:rFonts w:hint="eastAsia"/>
                <w:sz w:val="21"/>
                <w:szCs w:val="21"/>
              </w:rPr>
              <w:t>年“四好农村公路”养护项目</w:t>
            </w:r>
          </w:p>
        </w:tc>
      </w:tr>
      <w:tr w:rsidR="006C6569">
        <w:trPr>
          <w:trHeight w:val="600"/>
          <w:jc w:val="center"/>
        </w:trPr>
        <w:tc>
          <w:tcPr>
            <w:tcW w:w="672"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主管部门</w:t>
            </w:r>
          </w:p>
        </w:tc>
        <w:tc>
          <w:tcPr>
            <w:tcW w:w="1779" w:type="pct"/>
            <w:gridSpan w:val="5"/>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尉犁县交通运输局</w:t>
            </w:r>
          </w:p>
        </w:tc>
        <w:tc>
          <w:tcPr>
            <w:tcW w:w="668"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实施单位</w:t>
            </w:r>
          </w:p>
        </w:tc>
        <w:tc>
          <w:tcPr>
            <w:tcW w:w="1879" w:type="pct"/>
            <w:gridSpan w:val="5"/>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尉犁县交通运输局</w:t>
            </w:r>
          </w:p>
        </w:tc>
      </w:tr>
      <w:tr w:rsidR="006C6569">
        <w:trPr>
          <w:trHeight w:val="440"/>
          <w:jc w:val="center"/>
        </w:trPr>
        <w:tc>
          <w:tcPr>
            <w:tcW w:w="672" w:type="pct"/>
            <w:gridSpan w:val="2"/>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项目资金</w:t>
            </w:r>
            <w:r>
              <w:rPr>
                <w:rFonts w:hint="eastAsia"/>
                <w:sz w:val="21"/>
                <w:szCs w:val="21"/>
              </w:rPr>
              <w:br/>
            </w:r>
            <w:r>
              <w:rPr>
                <w:rFonts w:hint="eastAsia"/>
                <w:sz w:val="21"/>
                <w:szCs w:val="21"/>
              </w:rPr>
              <w:t>（万元）</w:t>
            </w: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资金来源</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年初预算数</w:t>
            </w:r>
          </w:p>
        </w:tc>
        <w:tc>
          <w:tcPr>
            <w:tcW w:w="669"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全年预算数</w:t>
            </w:r>
          </w:p>
        </w:tc>
        <w:tc>
          <w:tcPr>
            <w:tcW w:w="668"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全年执行数</w:t>
            </w:r>
          </w:p>
        </w:tc>
        <w:tc>
          <w:tcPr>
            <w:tcW w:w="758"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分值权重</w:t>
            </w:r>
          </w:p>
        </w:tc>
        <w:tc>
          <w:tcPr>
            <w:tcW w:w="685"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执行率</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得分</w:t>
            </w:r>
          </w:p>
        </w:tc>
      </w:tr>
      <w:tr w:rsidR="006C6569">
        <w:trPr>
          <w:trHeight w:val="440"/>
          <w:jc w:val="center"/>
        </w:trPr>
        <w:tc>
          <w:tcPr>
            <w:tcW w:w="672" w:type="pct"/>
            <w:gridSpan w:val="2"/>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年度资金总额</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58.62</w:t>
            </w:r>
          </w:p>
        </w:tc>
        <w:tc>
          <w:tcPr>
            <w:tcW w:w="669"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58.62</w:t>
            </w:r>
          </w:p>
        </w:tc>
        <w:tc>
          <w:tcPr>
            <w:tcW w:w="668"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58.62</w:t>
            </w:r>
          </w:p>
        </w:tc>
        <w:tc>
          <w:tcPr>
            <w:tcW w:w="758"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685"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100.00%</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10.00</w:t>
            </w:r>
            <w:r>
              <w:rPr>
                <w:rFonts w:hint="eastAsia"/>
                <w:sz w:val="21"/>
                <w:szCs w:val="21"/>
              </w:rPr>
              <w:t>分</w:t>
            </w:r>
          </w:p>
        </w:tc>
      </w:tr>
      <w:tr w:rsidR="006C6569">
        <w:trPr>
          <w:trHeight w:val="440"/>
          <w:jc w:val="center"/>
        </w:trPr>
        <w:tc>
          <w:tcPr>
            <w:tcW w:w="672" w:type="pct"/>
            <w:gridSpan w:val="2"/>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其中：当年财政拨款</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58.62</w:t>
            </w:r>
          </w:p>
        </w:tc>
        <w:tc>
          <w:tcPr>
            <w:tcW w:w="669"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58.62</w:t>
            </w:r>
          </w:p>
        </w:tc>
        <w:tc>
          <w:tcPr>
            <w:tcW w:w="668"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58.62</w:t>
            </w:r>
          </w:p>
        </w:tc>
        <w:tc>
          <w:tcPr>
            <w:tcW w:w="758"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685"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r>
      <w:tr w:rsidR="006C6569">
        <w:trPr>
          <w:trHeight w:val="440"/>
          <w:jc w:val="center"/>
        </w:trPr>
        <w:tc>
          <w:tcPr>
            <w:tcW w:w="672" w:type="pct"/>
            <w:gridSpan w:val="2"/>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825"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其他资金</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0</w:t>
            </w:r>
          </w:p>
        </w:tc>
        <w:tc>
          <w:tcPr>
            <w:tcW w:w="669"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0</w:t>
            </w:r>
          </w:p>
        </w:tc>
        <w:tc>
          <w:tcPr>
            <w:tcW w:w="668"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0</w:t>
            </w:r>
          </w:p>
        </w:tc>
        <w:tc>
          <w:tcPr>
            <w:tcW w:w="758"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685" w:type="pct"/>
            <w:gridSpan w:val="2"/>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r>
      <w:tr w:rsidR="006C6569">
        <w:trPr>
          <w:trHeight w:val="600"/>
          <w:jc w:val="center"/>
        </w:trPr>
        <w:tc>
          <w:tcPr>
            <w:tcW w:w="335"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年度总体目标</w:t>
            </w:r>
          </w:p>
        </w:tc>
        <w:tc>
          <w:tcPr>
            <w:tcW w:w="2785" w:type="pct"/>
            <w:gridSpan w:val="8"/>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总体目标</w:t>
            </w:r>
          </w:p>
        </w:tc>
        <w:tc>
          <w:tcPr>
            <w:tcW w:w="1879" w:type="pct"/>
            <w:gridSpan w:val="5"/>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总体目标完成情况</w:t>
            </w:r>
          </w:p>
        </w:tc>
      </w:tr>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2785" w:type="pct"/>
            <w:gridSpan w:val="8"/>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道路坑槽清理修补至少</w:t>
            </w:r>
            <w:r>
              <w:rPr>
                <w:rFonts w:hint="eastAsia"/>
                <w:sz w:val="21"/>
                <w:szCs w:val="21"/>
              </w:rPr>
              <w:t>800</w:t>
            </w:r>
            <w:r>
              <w:rPr>
                <w:rFonts w:hint="eastAsia"/>
                <w:sz w:val="21"/>
                <w:szCs w:val="21"/>
              </w:rPr>
              <w:t>平方米，购买标志牌</w:t>
            </w:r>
            <w:r>
              <w:rPr>
                <w:rFonts w:hint="eastAsia"/>
                <w:sz w:val="21"/>
                <w:szCs w:val="21"/>
              </w:rPr>
              <w:t>40</w:t>
            </w:r>
            <w:r>
              <w:rPr>
                <w:rFonts w:hint="eastAsia"/>
                <w:sz w:val="21"/>
                <w:szCs w:val="21"/>
              </w:rPr>
              <w:t>个，进一步把农村公路建好、管好、护好、运营好，逐步消除制约农村发展的交通瓶颈，为广大农民脱贫致富奔小康提供更好的保障。</w:t>
            </w:r>
          </w:p>
        </w:tc>
        <w:tc>
          <w:tcPr>
            <w:tcW w:w="1879" w:type="pct"/>
            <w:gridSpan w:val="5"/>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已完成坑槽修补</w:t>
            </w:r>
            <w:r>
              <w:rPr>
                <w:rFonts w:hint="eastAsia"/>
                <w:sz w:val="21"/>
                <w:szCs w:val="21"/>
              </w:rPr>
              <w:t>800</w:t>
            </w:r>
            <w:r>
              <w:rPr>
                <w:rFonts w:hint="eastAsia"/>
                <w:sz w:val="21"/>
                <w:szCs w:val="21"/>
              </w:rPr>
              <w:t>平方米，标志牌</w:t>
            </w:r>
            <w:r>
              <w:rPr>
                <w:rFonts w:hint="eastAsia"/>
                <w:sz w:val="21"/>
                <w:szCs w:val="21"/>
              </w:rPr>
              <w:t>40</w:t>
            </w:r>
            <w:r>
              <w:rPr>
                <w:rFonts w:hint="eastAsia"/>
                <w:sz w:val="21"/>
                <w:szCs w:val="21"/>
              </w:rPr>
              <w:t>块，严格按照施工工艺标准，采用合格的材料，确保质量。把农村公路建好、管好、护好、运营好，进一步消除制约农村发展的交通瓶颈，为广大农民脱贫致富奔小康提供更好的保障。</w:t>
            </w:r>
          </w:p>
        </w:tc>
      </w:tr>
      <w:tr w:rsidR="006C6569">
        <w:trPr>
          <w:trHeight w:val="90"/>
          <w:jc w:val="center"/>
        </w:trPr>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6"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一级指标</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二级指标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三级指标</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指标值</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指标值设置依据</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上年完成值</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指标分值权重</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指标赋分规则</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佐证资料</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指标实际完成值</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完成率</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指标得分</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偏差原因分析及改进措施</w:t>
            </w:r>
          </w:p>
        </w:tc>
      </w:tr>
      <w:tr w:rsidR="006C6569">
        <w:trPr>
          <w:trHeight w:val="600"/>
          <w:jc w:val="center"/>
        </w:trPr>
        <w:tc>
          <w:tcPr>
            <w:tcW w:w="335"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lastRenderedPageBreak/>
              <w:t>年度绩效指标完成情况</w:t>
            </w:r>
          </w:p>
        </w:tc>
        <w:tc>
          <w:tcPr>
            <w:tcW w:w="33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产出指标</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数量指标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道路坑槽清理修补面积</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&gt;=800</w:t>
            </w:r>
            <w:r>
              <w:rPr>
                <w:rFonts w:hint="eastAsia"/>
                <w:sz w:val="21"/>
                <w:szCs w:val="21"/>
              </w:rPr>
              <w:t>平方米</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bookmarkStart w:id="229" w:name="OLE_LINK32"/>
            <w:r>
              <w:rPr>
                <w:rFonts w:hint="eastAsia"/>
                <w:sz w:val="21"/>
                <w:szCs w:val="21"/>
              </w:rPr>
              <w:t>按照完成比例赋分</w:t>
            </w:r>
            <w:bookmarkEnd w:id="229"/>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工作资料</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=800</w:t>
            </w:r>
            <w:r>
              <w:rPr>
                <w:rFonts w:hint="eastAsia"/>
                <w:sz w:val="21"/>
                <w:szCs w:val="21"/>
              </w:rPr>
              <w:t>平方米</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bookmarkStart w:id="230" w:name="OLE_LINK44" w:colFirst="8" w:colLast="8"/>
          </w:p>
        </w:tc>
        <w:tc>
          <w:tcPr>
            <w:tcW w:w="33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数量指标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购买标志牌数量</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&gt;=40</w:t>
            </w:r>
            <w:r>
              <w:rPr>
                <w:rFonts w:hint="eastAsia"/>
                <w:sz w:val="21"/>
                <w:szCs w:val="21"/>
              </w:rPr>
              <w:t>个</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按照完成比例赋分</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工作资料</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=88</w:t>
            </w:r>
            <w:r>
              <w:rPr>
                <w:rFonts w:hint="eastAsia"/>
                <w:sz w:val="21"/>
                <w:szCs w:val="21"/>
              </w:rPr>
              <w:t>个</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220%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0</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设定指标值偏低，按照实际需求采购</w:t>
            </w:r>
          </w:p>
        </w:tc>
      </w:tr>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质量指标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工程验收合格率</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按照完成比例赋分</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工作资料</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时效指标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当年投资完成率</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按照完成比例赋分</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工作资料</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成本指标</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经济成本指标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道路坑槽清理修补成本</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=18.62</w:t>
            </w:r>
            <w:r>
              <w:rPr>
                <w:rFonts w:hint="eastAsia"/>
                <w:sz w:val="21"/>
                <w:szCs w:val="21"/>
              </w:rPr>
              <w:t>万元</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按照完成比例赋分</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原始凭证</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=18.62</w:t>
            </w:r>
            <w:r>
              <w:rPr>
                <w:rFonts w:hint="eastAsia"/>
                <w:sz w:val="21"/>
                <w:szCs w:val="21"/>
              </w:rPr>
              <w:t>万元</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经济成本指标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购买标志牌成本</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=40</w:t>
            </w:r>
            <w:r>
              <w:rPr>
                <w:rFonts w:hint="eastAsia"/>
                <w:sz w:val="21"/>
                <w:szCs w:val="21"/>
              </w:rPr>
              <w:t>万元</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bookmarkStart w:id="231" w:name="OLE_LINK33"/>
            <w:r>
              <w:rPr>
                <w:rFonts w:hint="eastAsia"/>
                <w:sz w:val="21"/>
                <w:szCs w:val="21"/>
              </w:rPr>
              <w:t>按照完成比例赋分</w:t>
            </w:r>
            <w:bookmarkEnd w:id="231"/>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原始凭证</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=40</w:t>
            </w:r>
            <w:r>
              <w:rPr>
                <w:rFonts w:hint="eastAsia"/>
                <w:sz w:val="21"/>
                <w:szCs w:val="21"/>
              </w:rPr>
              <w:t>万元</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bookmarkEnd w:id="230"/>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效益指标</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经济效益指标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对经济发展促进作用</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明显提升</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按评判等级赋分</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料</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达成目标</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社会效益指标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提升农村公路路况水平</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提升</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按评判等级赋分</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工作资料</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达成目标</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5</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生态效益指标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交通建设符合环评审批要求</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按照完成比例赋分</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工作资料</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tr w:rsidR="006C6569">
        <w:trPr>
          <w:trHeight w:val="600"/>
          <w:jc w:val="center"/>
        </w:trPr>
        <w:tc>
          <w:tcPr>
            <w:tcW w:w="335"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6"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满意度指标</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满意度指标</w:t>
            </w:r>
          </w:p>
        </w:tc>
        <w:tc>
          <w:tcPr>
            <w:tcW w:w="49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农民满意度</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&gt;=90%</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计划标准</w:t>
            </w: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w:t>
            </w: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满意度赋分</w:t>
            </w: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工作资料</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=90%</w:t>
            </w: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100%</w:t>
            </w: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10</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tr w:rsidR="006C6569">
        <w:trPr>
          <w:trHeight w:val="500"/>
          <w:jc w:val="center"/>
        </w:trPr>
        <w:tc>
          <w:tcPr>
            <w:tcW w:w="1497" w:type="pct"/>
            <w:gridSpan w:val="4"/>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总分</w:t>
            </w:r>
          </w:p>
        </w:tc>
        <w:tc>
          <w:tcPr>
            <w:tcW w:w="284"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4"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0"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7"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35"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385"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c>
          <w:tcPr>
            <w:tcW w:w="299" w:type="pct"/>
            <w:tcBorders>
              <w:top w:val="single" w:sz="4" w:space="0" w:color="000000"/>
              <w:left w:val="single" w:sz="4" w:space="0" w:color="000000"/>
              <w:bottom w:val="single" w:sz="4" w:space="0" w:color="000000"/>
              <w:right w:val="single" w:sz="4" w:space="0" w:color="000000"/>
            </w:tcBorders>
            <w:vAlign w:val="center"/>
          </w:tcPr>
          <w:p w:rsidR="006C6569" w:rsidRDefault="005047E6">
            <w:pPr>
              <w:spacing w:line="240" w:lineRule="exact"/>
              <w:ind w:firstLineChars="0" w:firstLine="0"/>
              <w:jc w:val="center"/>
              <w:rPr>
                <w:sz w:val="21"/>
                <w:szCs w:val="21"/>
              </w:rPr>
            </w:pPr>
            <w:r>
              <w:rPr>
                <w:rFonts w:hint="eastAsia"/>
                <w:sz w:val="21"/>
                <w:szCs w:val="21"/>
              </w:rPr>
              <w:t>9</w:t>
            </w:r>
            <w:r>
              <w:rPr>
                <w:rFonts w:hint="eastAsia"/>
                <w:sz w:val="21"/>
                <w:szCs w:val="21"/>
              </w:rPr>
              <w:t>0.00</w:t>
            </w:r>
            <w:r>
              <w:rPr>
                <w:rFonts w:hint="eastAsia"/>
                <w:sz w:val="21"/>
                <w:szCs w:val="21"/>
              </w:rPr>
              <w:t>分</w:t>
            </w:r>
          </w:p>
        </w:tc>
        <w:tc>
          <w:tcPr>
            <w:tcW w:w="436" w:type="pct"/>
            <w:tcBorders>
              <w:top w:val="single" w:sz="4" w:space="0" w:color="000000"/>
              <w:left w:val="single" w:sz="4" w:space="0" w:color="000000"/>
              <w:bottom w:val="single" w:sz="4" w:space="0" w:color="000000"/>
              <w:right w:val="single" w:sz="4" w:space="0" w:color="000000"/>
            </w:tcBorders>
            <w:vAlign w:val="center"/>
          </w:tcPr>
          <w:p w:rsidR="006C6569" w:rsidRDefault="006C6569">
            <w:pPr>
              <w:spacing w:line="240" w:lineRule="exact"/>
              <w:ind w:firstLineChars="0" w:firstLine="0"/>
              <w:jc w:val="center"/>
              <w:rPr>
                <w:sz w:val="21"/>
                <w:szCs w:val="21"/>
              </w:rPr>
            </w:pPr>
          </w:p>
        </w:tc>
      </w:tr>
    </w:tbl>
    <w:p w:rsidR="006C6569" w:rsidRDefault="006C6569">
      <w:pPr>
        <w:pStyle w:val="3"/>
        <w:ind w:firstLineChars="0" w:firstLine="0"/>
        <w:rPr>
          <w:rFonts w:eastAsia="仿宋_GB2312"/>
        </w:rPr>
        <w:sectPr w:rsidR="006C6569">
          <w:pgSz w:w="16838" w:h="11906" w:orient="landscape"/>
          <w:pgMar w:top="1800" w:right="1440" w:bottom="1800" w:left="1440" w:header="851" w:footer="992" w:gutter="0"/>
          <w:cols w:space="720"/>
          <w:docGrid w:type="lines" w:linePitch="312"/>
        </w:sectPr>
      </w:pPr>
    </w:p>
    <w:p w:rsidR="006C6569" w:rsidRDefault="005047E6">
      <w:pPr>
        <w:pStyle w:val="2"/>
        <w:ind w:firstLine="640"/>
        <w:rPr>
          <w:rFonts w:eastAsia="仿宋_GB2312"/>
        </w:rPr>
      </w:pPr>
      <w:bookmarkStart w:id="232" w:name="_Toc31300"/>
      <w:bookmarkStart w:id="233" w:name="_Toc29757"/>
      <w:bookmarkStart w:id="234" w:name="_Toc18899"/>
      <w:r>
        <w:rPr>
          <w:rFonts w:eastAsia="仿宋_GB2312"/>
        </w:rPr>
        <w:lastRenderedPageBreak/>
        <w:t>附件</w:t>
      </w:r>
      <w:r>
        <w:rPr>
          <w:rFonts w:eastAsia="仿宋_GB2312"/>
        </w:rPr>
        <w:t>2</w:t>
      </w:r>
      <w:r>
        <w:rPr>
          <w:rFonts w:eastAsia="仿宋_GB2312"/>
        </w:rPr>
        <w:t>：</w:t>
      </w:r>
      <w:bookmarkEnd w:id="225"/>
      <w:bookmarkEnd w:id="226"/>
      <w:bookmarkEnd w:id="227"/>
      <w:bookmarkEnd w:id="228"/>
      <w:bookmarkEnd w:id="232"/>
      <w:bookmarkEnd w:id="233"/>
      <w:bookmarkEnd w:id="234"/>
    </w:p>
    <w:p w:rsidR="006C6569" w:rsidRDefault="005047E6">
      <w:pPr>
        <w:pStyle w:val="a7"/>
        <w:rPr>
          <w:rFonts w:hint="default"/>
        </w:rPr>
      </w:pPr>
      <w:bookmarkStart w:id="235" w:name="_Toc28172"/>
      <w:bookmarkStart w:id="236" w:name="_Toc6994"/>
      <w:bookmarkStart w:id="237" w:name="_Toc29561"/>
      <w:r>
        <w:rPr>
          <w:rFonts w:hint="default"/>
        </w:rPr>
        <w:t>项目支出绩效评价指标体系及评分</w:t>
      </w:r>
      <w:bookmarkEnd w:id="235"/>
      <w:bookmarkEnd w:id="236"/>
      <w:bookmarkEnd w:id="237"/>
    </w:p>
    <w:tbl>
      <w:tblPr>
        <w:tblW w:w="5674" w:type="pct"/>
        <w:jc w:val="center"/>
        <w:tblLayout w:type="fixed"/>
        <w:tblLook w:val="04A0" w:firstRow="1" w:lastRow="0" w:firstColumn="1" w:lastColumn="0" w:noHBand="0" w:noVBand="1"/>
      </w:tblPr>
      <w:tblGrid>
        <w:gridCol w:w="593"/>
        <w:gridCol w:w="670"/>
        <w:gridCol w:w="816"/>
        <w:gridCol w:w="2172"/>
        <w:gridCol w:w="4182"/>
        <w:gridCol w:w="613"/>
        <w:gridCol w:w="625"/>
      </w:tblGrid>
      <w:tr w:rsidR="006C6569">
        <w:trPr>
          <w:trHeight w:val="460"/>
          <w:jc w:val="center"/>
        </w:trPr>
        <w:tc>
          <w:tcPr>
            <w:tcW w:w="306"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一级</w:t>
            </w:r>
          </w:p>
          <w:p w:rsidR="006C6569" w:rsidRDefault="005047E6">
            <w:pPr>
              <w:pStyle w:val="a8"/>
              <w:spacing w:line="240" w:lineRule="exact"/>
              <w:jc w:val="both"/>
              <w:rPr>
                <w:rFonts w:hint="default"/>
                <w:sz w:val="18"/>
                <w:szCs w:val="18"/>
              </w:rPr>
            </w:pPr>
            <w:r>
              <w:rPr>
                <w:rFonts w:hint="default"/>
                <w:sz w:val="18"/>
                <w:szCs w:val="18"/>
              </w:rPr>
              <w:t>指标</w:t>
            </w:r>
          </w:p>
        </w:tc>
        <w:tc>
          <w:tcPr>
            <w:tcW w:w="346"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二级指标</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三级</w:t>
            </w:r>
          </w:p>
          <w:p w:rsidR="006C6569" w:rsidRDefault="005047E6">
            <w:pPr>
              <w:pStyle w:val="a8"/>
              <w:spacing w:line="240" w:lineRule="exact"/>
              <w:jc w:val="both"/>
              <w:rPr>
                <w:rFonts w:hint="default"/>
                <w:sz w:val="18"/>
                <w:szCs w:val="18"/>
              </w:rPr>
            </w:pPr>
            <w:r>
              <w:rPr>
                <w:rFonts w:hint="default"/>
                <w:sz w:val="18"/>
                <w:szCs w:val="18"/>
              </w:rPr>
              <w:t>指标</w:t>
            </w:r>
          </w:p>
        </w:tc>
        <w:tc>
          <w:tcPr>
            <w:tcW w:w="1123"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指标解释</w:t>
            </w:r>
          </w:p>
        </w:tc>
        <w:tc>
          <w:tcPr>
            <w:tcW w:w="2160"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指标说明</w:t>
            </w:r>
          </w:p>
        </w:tc>
        <w:tc>
          <w:tcPr>
            <w:tcW w:w="317"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分值</w:t>
            </w:r>
          </w:p>
        </w:tc>
        <w:tc>
          <w:tcPr>
            <w:tcW w:w="323"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得分</w:t>
            </w:r>
          </w:p>
        </w:tc>
      </w:tr>
      <w:tr w:rsidR="006C6569">
        <w:trPr>
          <w:trHeight w:val="90"/>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3</w:t>
            </w: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131"/>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3</w:t>
            </w:r>
          </w:p>
        </w:tc>
      </w:tr>
      <w:tr w:rsidR="006C6569">
        <w:trPr>
          <w:trHeight w:val="107"/>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254"/>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221"/>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r>
      <w:tr w:rsidR="006C6569">
        <w:trPr>
          <w:trHeight w:val="152"/>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198"/>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153"/>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依据绩效目标设定的绩效指标是否清晰、细化、可衡量等，用以反映和考核项目绩效目标的明细化情况。</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14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是否通过清晰、可衡量的指标值予以体现；</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131"/>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97"/>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176"/>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1088"/>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tcPr>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108"/>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582"/>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预算资金：一定时期（本年度或项目期）内预算安排到具体项目的资金。</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r>
      <w:tr w:rsidR="006C6569">
        <w:trPr>
          <w:trHeight w:val="628"/>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资金使用合规性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119"/>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3</w:t>
            </w: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财务和业务管理制度是否合法、合规、完整。</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233"/>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3</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3</w:t>
            </w:r>
          </w:p>
        </w:tc>
      </w:tr>
      <w:tr w:rsidR="006C6569">
        <w:trPr>
          <w:trHeight w:val="152"/>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9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12</w:t>
            </w: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337"/>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12</w:t>
            </w:r>
          </w:p>
        </w:tc>
      </w:tr>
      <w:tr w:rsidR="006C6569">
        <w:trPr>
          <w:trHeight w:val="88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000000"/>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12</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12</w:t>
            </w: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000000"/>
              <w:left w:val="single" w:sz="4" w:space="0" w:color="000000"/>
              <w:bottom w:val="nil"/>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17"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c>
          <w:tcPr>
            <w:tcW w:w="323" w:type="pct"/>
            <w:vMerge w:val="restar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4</w:t>
            </w: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nil"/>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4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1123" w:type="pct"/>
            <w:vMerge/>
            <w:tcBorders>
              <w:top w:val="single" w:sz="4" w:space="0" w:color="000000"/>
              <w:left w:val="single" w:sz="4" w:space="0" w:color="000000"/>
              <w:bottom w:val="single" w:sz="4" w:space="0" w:color="000000"/>
              <w:right w:val="nil"/>
            </w:tcBorders>
            <w:vAlign w:val="center"/>
          </w:tcPr>
          <w:p w:rsidR="006C6569" w:rsidRDefault="006C6569">
            <w:pPr>
              <w:pStyle w:val="a8"/>
              <w:spacing w:line="240" w:lineRule="exact"/>
              <w:jc w:val="both"/>
              <w:rPr>
                <w:rFonts w:hint="default"/>
                <w:sz w:val="18"/>
                <w:szCs w:val="18"/>
              </w:rPr>
            </w:pPr>
          </w:p>
        </w:tc>
        <w:tc>
          <w:tcPr>
            <w:tcW w:w="2160" w:type="pct"/>
            <w:tcBorders>
              <w:top w:val="nil"/>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c>
          <w:tcPr>
            <w:tcW w:w="323" w:type="pct"/>
            <w:vMerge/>
            <w:tcBorders>
              <w:top w:val="single" w:sz="4" w:space="0" w:color="000000"/>
              <w:left w:val="single" w:sz="4" w:space="0" w:color="000000"/>
              <w:bottom w:val="single" w:sz="4" w:space="0" w:color="000000"/>
              <w:right w:val="single" w:sz="4" w:space="0" w:color="000000"/>
            </w:tcBorders>
            <w:noWrap/>
            <w:vAlign w:val="center"/>
          </w:tcPr>
          <w:p w:rsidR="006C6569" w:rsidRDefault="006C6569">
            <w:pPr>
              <w:pStyle w:val="a8"/>
              <w:spacing w:line="240" w:lineRule="exact"/>
              <w:jc w:val="both"/>
              <w:rPr>
                <w:rFonts w:hint="default"/>
                <w:sz w:val="18"/>
                <w:szCs w:val="18"/>
              </w:rPr>
            </w:pPr>
          </w:p>
        </w:tc>
      </w:tr>
      <w:tr w:rsidR="006C6569">
        <w:trPr>
          <w:trHeight w:val="780"/>
          <w:jc w:val="center"/>
        </w:trPr>
        <w:tc>
          <w:tcPr>
            <w:tcW w:w="30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效益</w:t>
            </w:r>
          </w:p>
        </w:tc>
        <w:tc>
          <w:tcPr>
            <w:tcW w:w="346" w:type="pct"/>
            <w:vMerge w:val="restar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项目效益</w:t>
            </w: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实施</w:t>
            </w:r>
          </w:p>
          <w:p w:rsidR="006C6569" w:rsidRDefault="005047E6">
            <w:pPr>
              <w:pStyle w:val="a8"/>
              <w:spacing w:line="240" w:lineRule="exact"/>
              <w:jc w:val="both"/>
              <w:rPr>
                <w:rFonts w:hint="default"/>
                <w:sz w:val="18"/>
                <w:szCs w:val="18"/>
              </w:rPr>
            </w:pPr>
            <w:r>
              <w:rPr>
                <w:rFonts w:hint="default"/>
                <w:sz w:val="18"/>
                <w:szCs w:val="18"/>
              </w:rPr>
              <w:t>效益</w:t>
            </w:r>
          </w:p>
        </w:tc>
        <w:tc>
          <w:tcPr>
            <w:tcW w:w="1123"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10</w:t>
            </w:r>
          </w:p>
        </w:tc>
        <w:tc>
          <w:tcPr>
            <w:tcW w:w="323"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10</w:t>
            </w:r>
          </w:p>
        </w:tc>
      </w:tr>
      <w:tr w:rsidR="006C6569">
        <w:trPr>
          <w:trHeight w:val="860"/>
          <w:jc w:val="center"/>
        </w:trPr>
        <w:tc>
          <w:tcPr>
            <w:tcW w:w="30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346" w:type="pct"/>
            <w:vMerge/>
            <w:tcBorders>
              <w:top w:val="single" w:sz="4" w:space="0" w:color="000000"/>
              <w:left w:val="single" w:sz="4" w:space="0" w:color="000000"/>
              <w:bottom w:val="single" w:sz="4" w:space="0" w:color="000000"/>
              <w:right w:val="single" w:sz="4" w:space="0" w:color="000000"/>
            </w:tcBorders>
            <w:vAlign w:val="center"/>
          </w:tcPr>
          <w:p w:rsidR="006C6569" w:rsidRDefault="006C6569">
            <w:pPr>
              <w:pStyle w:val="a8"/>
              <w:spacing w:line="240" w:lineRule="exact"/>
              <w:jc w:val="both"/>
              <w:rPr>
                <w:rFonts w:hint="default"/>
                <w:sz w:val="18"/>
                <w:szCs w:val="18"/>
              </w:rPr>
            </w:pPr>
          </w:p>
        </w:tc>
        <w:tc>
          <w:tcPr>
            <w:tcW w:w="422"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满意度</w:t>
            </w:r>
          </w:p>
        </w:tc>
        <w:tc>
          <w:tcPr>
            <w:tcW w:w="1123" w:type="pct"/>
            <w:tcBorders>
              <w:top w:val="single" w:sz="4" w:space="0" w:color="000000"/>
              <w:left w:val="single" w:sz="4" w:space="0" w:color="000000"/>
              <w:bottom w:val="single" w:sz="4" w:space="0" w:color="000000"/>
              <w:right w:val="nil"/>
            </w:tcBorders>
            <w:vAlign w:val="center"/>
          </w:tcPr>
          <w:p w:rsidR="006C6569" w:rsidRDefault="005047E6">
            <w:pPr>
              <w:pStyle w:val="a8"/>
              <w:spacing w:line="240" w:lineRule="exact"/>
              <w:jc w:val="both"/>
              <w:rPr>
                <w:rFonts w:hint="default"/>
                <w:sz w:val="18"/>
                <w:szCs w:val="18"/>
              </w:rPr>
            </w:pPr>
            <w:r>
              <w:rPr>
                <w:rFonts w:hint="default"/>
                <w:sz w:val="18"/>
                <w:szCs w:val="18"/>
              </w:rPr>
              <w:t>社会公众或服务对象对项目实施效果的满意程度。</w:t>
            </w:r>
          </w:p>
        </w:tc>
        <w:tc>
          <w:tcPr>
            <w:tcW w:w="2160" w:type="pct"/>
            <w:tcBorders>
              <w:top w:val="single" w:sz="4" w:space="0" w:color="000000"/>
              <w:left w:val="single" w:sz="4" w:space="0" w:color="000000"/>
              <w:bottom w:val="single" w:sz="4" w:space="0" w:color="000000"/>
              <w:right w:val="single" w:sz="4" w:space="0" w:color="000000"/>
            </w:tcBorders>
            <w:vAlign w:val="center"/>
          </w:tcPr>
          <w:p w:rsidR="006C6569" w:rsidRDefault="005047E6">
            <w:pPr>
              <w:pStyle w:val="a8"/>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31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10</w:t>
            </w:r>
          </w:p>
        </w:tc>
        <w:tc>
          <w:tcPr>
            <w:tcW w:w="323"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10</w:t>
            </w:r>
          </w:p>
        </w:tc>
      </w:tr>
      <w:tr w:rsidR="006C6569">
        <w:trPr>
          <w:trHeight w:val="460"/>
          <w:jc w:val="center"/>
        </w:trPr>
        <w:tc>
          <w:tcPr>
            <w:tcW w:w="4359" w:type="pct"/>
            <w:gridSpan w:val="5"/>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合计</w:t>
            </w:r>
          </w:p>
        </w:tc>
        <w:tc>
          <w:tcPr>
            <w:tcW w:w="317"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100</w:t>
            </w:r>
          </w:p>
        </w:tc>
        <w:tc>
          <w:tcPr>
            <w:tcW w:w="323" w:type="pct"/>
            <w:tcBorders>
              <w:top w:val="single" w:sz="4" w:space="0" w:color="000000"/>
              <w:left w:val="single" w:sz="4" w:space="0" w:color="000000"/>
              <w:bottom w:val="single" w:sz="4" w:space="0" w:color="000000"/>
              <w:right w:val="single" w:sz="4" w:space="0" w:color="000000"/>
            </w:tcBorders>
            <w:noWrap/>
            <w:vAlign w:val="center"/>
          </w:tcPr>
          <w:p w:rsidR="006C6569" w:rsidRDefault="005047E6">
            <w:pPr>
              <w:pStyle w:val="a8"/>
              <w:spacing w:line="240" w:lineRule="exact"/>
              <w:jc w:val="both"/>
              <w:rPr>
                <w:rFonts w:hint="default"/>
                <w:sz w:val="18"/>
                <w:szCs w:val="18"/>
              </w:rPr>
            </w:pPr>
            <w:r>
              <w:rPr>
                <w:rFonts w:hint="default"/>
                <w:sz w:val="18"/>
                <w:szCs w:val="18"/>
              </w:rPr>
              <w:t>100</w:t>
            </w:r>
          </w:p>
        </w:tc>
      </w:tr>
      <w:bookmarkEnd w:id="0"/>
    </w:tbl>
    <w:p w:rsidR="006C6569" w:rsidRDefault="006C6569">
      <w:pPr>
        <w:ind w:firstLine="640"/>
      </w:pPr>
    </w:p>
    <w:sectPr w:rsidR="006C656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7E6" w:rsidRDefault="005047E6">
      <w:pPr>
        <w:spacing w:line="240" w:lineRule="auto"/>
        <w:ind w:firstLine="640"/>
      </w:pPr>
      <w:r>
        <w:separator/>
      </w:r>
    </w:p>
  </w:endnote>
  <w:endnote w:type="continuationSeparator" w:id="0">
    <w:p w:rsidR="005047E6" w:rsidRDefault="005047E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B41F25DF-5C32-4216-A40A-642A3F807332}"/>
    <w:embedBold r:id="rId2" w:subsetted="1" w:fontKey="{F5DB1E95-2608-4584-8B1E-617C26507D7B}"/>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0104F904-EAF0-49E3-A143-11CB6B148BBA}"/>
  </w:font>
  <w:font w:name="黑体">
    <w:altName w:val="SimHei"/>
    <w:panose1 w:val="02010600030101010101"/>
    <w:charset w:val="86"/>
    <w:family w:val="auto"/>
    <w:pitch w:val="variable"/>
    <w:sig w:usb0="800002BF" w:usb1="38CF7CFA" w:usb2="00000016" w:usb3="00000000" w:csb0="00040001" w:csb1="00000000"/>
    <w:embedRegular r:id="rId4" w:subsetted="1" w:fontKey="{B2149BD7-74D5-4B2A-AA33-2EDDEDB4E07C}"/>
  </w:font>
  <w:font w:name="楷体_GB2312">
    <w:altName w:val="楷体"/>
    <w:panose1 w:val="02010609030101010101"/>
    <w:charset w:val="86"/>
    <w:family w:val="modern"/>
    <w:pitch w:val="fixed"/>
    <w:sig w:usb0="00000001" w:usb1="080E0000" w:usb2="00000010" w:usb3="00000000" w:csb0="00040000" w:csb1="00000000"/>
    <w:embedBold r:id="rId5" w:subsetted="1" w:fontKey="{CDA81D39-8C2A-4E15-95E3-D3293A404306}"/>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6" w:subsetted="1" w:fontKey="{9769B326-7EA1-4B7E-8463-91E81CE45955}"/>
    <w:embedBold r:id="rId7" w:subsetted="1" w:fontKey="{419933CB-B362-48E7-8D33-B124A0F1CAFE}"/>
  </w:font>
  <w:font w:name="方正仿宋_GB2312">
    <w:charset w:val="86"/>
    <w:family w:val="auto"/>
    <w:pitch w:val="default"/>
    <w:sig w:usb0="A00002BF" w:usb1="184F6CFA" w:usb2="00000012" w:usb3="00000000" w:csb0="00040001" w:csb1="00000000"/>
    <w:embedRegular r:id="rId8" w:fontKey="{FF81E4F7-01D8-4B24-AB7D-A7B5ACD3AE84}"/>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50F" w:rsidRDefault="004F350F">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50F" w:rsidRDefault="004F350F">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50F" w:rsidRDefault="004F350F">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569" w:rsidRDefault="006C6569">
    <w:pPr>
      <w:pStyle w:val="a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569" w:rsidRDefault="005047E6">
    <w:pPr>
      <w:pStyle w:val="a4"/>
      <w:ind w:firstLine="360"/>
    </w:pPr>
    <w:r>
      <w:pict>
        <v:shapetype id="_x0000_t202" coordsize="21600,21600" o:spt="202" path="m,l,21600r21600,l21600,xe">
          <v:stroke joinstyle="miter"/>
          <v:path gradientshapeok="t" o:connecttype="rect"/>
        </v:shapetype>
        <v:shape id="_x0000_s2059" type="#_x0000_t202" style="position:absolute;left:0;text-align:left;margin-left:0;margin-top:0;width:2in;height:2in;z-index:1;mso-wrap-style:none;mso-position-horizontal:center;mso-position-horizontal-relative:margin;mso-width-relative:page;mso-height-relative:page" filled="f" stroked="f">
          <v:textbox style="mso-fit-shape-to-text:t" inset="0,0,0,0">
            <w:txbxContent>
              <w:p w:rsidR="006C6569" w:rsidRDefault="005047E6">
                <w:pPr>
                  <w:pStyle w:val="a4"/>
                  <w:ind w:firstLine="360"/>
                </w:pPr>
                <w:r>
                  <w:fldChar w:fldCharType="begin"/>
                </w:r>
                <w:r>
                  <w:instrText xml:space="preserve"> PAGE  \* MERGEFORMAT </w:instrText>
                </w:r>
                <w:r>
                  <w:fldChar w:fldCharType="separate"/>
                </w:r>
                <w:r w:rsidR="004F350F">
                  <w:rPr>
                    <w:noProof/>
                  </w:rPr>
                  <w:t>15</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7E6" w:rsidRDefault="005047E6">
      <w:pPr>
        <w:ind w:firstLine="640"/>
      </w:pPr>
      <w:r>
        <w:separator/>
      </w:r>
    </w:p>
  </w:footnote>
  <w:footnote w:type="continuationSeparator" w:id="0">
    <w:p w:rsidR="005047E6" w:rsidRDefault="005047E6">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50F" w:rsidRDefault="004F350F">
    <w:pPr>
      <w:pStyle w:val="a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50F" w:rsidRDefault="004F350F">
    <w:pPr>
      <w:pStyle w:val="a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50F" w:rsidRDefault="004F350F">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5DECC86"/>
    <w:multiLevelType w:val="singleLevel"/>
    <w:tmpl w:val="D5DECC86"/>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cyODMxYTE0ZTc0ZGU3Y2QwODc3MzYzN2Q1YmNiM2EifQ=="/>
    <w:docVar w:name="KSO_WPS_MARK_KEY" w:val="d8fc45ee-2241-4ae0-a52c-f72a5426aedf"/>
  </w:docVars>
  <w:rsids>
    <w:rsidRoot w:val="005A0191"/>
    <w:rsid w:val="000B4A5E"/>
    <w:rsid w:val="00263361"/>
    <w:rsid w:val="00285B8D"/>
    <w:rsid w:val="00307EE9"/>
    <w:rsid w:val="004F350F"/>
    <w:rsid w:val="005047E6"/>
    <w:rsid w:val="005A0191"/>
    <w:rsid w:val="005E50CC"/>
    <w:rsid w:val="006652A9"/>
    <w:rsid w:val="006C6569"/>
    <w:rsid w:val="006D3B86"/>
    <w:rsid w:val="0076256A"/>
    <w:rsid w:val="00883824"/>
    <w:rsid w:val="008B6319"/>
    <w:rsid w:val="00AA58F9"/>
    <w:rsid w:val="00AF0F6E"/>
    <w:rsid w:val="00C13BF9"/>
    <w:rsid w:val="00D95D43"/>
    <w:rsid w:val="00E558F6"/>
    <w:rsid w:val="00FD44D7"/>
    <w:rsid w:val="010543E8"/>
    <w:rsid w:val="012B6E6A"/>
    <w:rsid w:val="013F4951"/>
    <w:rsid w:val="01671053"/>
    <w:rsid w:val="016D421F"/>
    <w:rsid w:val="01963FB6"/>
    <w:rsid w:val="01C45237"/>
    <w:rsid w:val="01E14F30"/>
    <w:rsid w:val="01E70402"/>
    <w:rsid w:val="02322B8F"/>
    <w:rsid w:val="026E3F27"/>
    <w:rsid w:val="02846936"/>
    <w:rsid w:val="02A439B0"/>
    <w:rsid w:val="02C27C6C"/>
    <w:rsid w:val="02CA09AC"/>
    <w:rsid w:val="02D967BB"/>
    <w:rsid w:val="02E46C76"/>
    <w:rsid w:val="030D1C33"/>
    <w:rsid w:val="0314263A"/>
    <w:rsid w:val="03172250"/>
    <w:rsid w:val="03487E9F"/>
    <w:rsid w:val="039C7361"/>
    <w:rsid w:val="03A5117F"/>
    <w:rsid w:val="03B96CD5"/>
    <w:rsid w:val="03C74C2B"/>
    <w:rsid w:val="03CC6B77"/>
    <w:rsid w:val="03DB5C6E"/>
    <w:rsid w:val="03F36136"/>
    <w:rsid w:val="0434049E"/>
    <w:rsid w:val="043862A3"/>
    <w:rsid w:val="04774752"/>
    <w:rsid w:val="04977F1A"/>
    <w:rsid w:val="04AD6036"/>
    <w:rsid w:val="04B34683"/>
    <w:rsid w:val="04ED5CD1"/>
    <w:rsid w:val="056863D0"/>
    <w:rsid w:val="05BA7C49"/>
    <w:rsid w:val="05C45670"/>
    <w:rsid w:val="063B3638"/>
    <w:rsid w:val="063F1C46"/>
    <w:rsid w:val="067B1422"/>
    <w:rsid w:val="068115BE"/>
    <w:rsid w:val="06B9431C"/>
    <w:rsid w:val="06EA072F"/>
    <w:rsid w:val="06F71662"/>
    <w:rsid w:val="07030662"/>
    <w:rsid w:val="07195A4A"/>
    <w:rsid w:val="077C1AE0"/>
    <w:rsid w:val="078639EC"/>
    <w:rsid w:val="078E639B"/>
    <w:rsid w:val="07EE42E4"/>
    <w:rsid w:val="07F35B8A"/>
    <w:rsid w:val="0802067F"/>
    <w:rsid w:val="08163C04"/>
    <w:rsid w:val="081E3E76"/>
    <w:rsid w:val="084E5D95"/>
    <w:rsid w:val="0881297A"/>
    <w:rsid w:val="08931718"/>
    <w:rsid w:val="08A02045"/>
    <w:rsid w:val="08A553EB"/>
    <w:rsid w:val="09021C27"/>
    <w:rsid w:val="091268D2"/>
    <w:rsid w:val="091E28BF"/>
    <w:rsid w:val="093D48C5"/>
    <w:rsid w:val="099D72DD"/>
    <w:rsid w:val="09AF464C"/>
    <w:rsid w:val="09B1793B"/>
    <w:rsid w:val="0A255C82"/>
    <w:rsid w:val="0A3F75E5"/>
    <w:rsid w:val="0A95058B"/>
    <w:rsid w:val="0AD132FF"/>
    <w:rsid w:val="0AD53F72"/>
    <w:rsid w:val="0AFC291E"/>
    <w:rsid w:val="0AFC6FEE"/>
    <w:rsid w:val="0B2F6AAA"/>
    <w:rsid w:val="0B3C64DE"/>
    <w:rsid w:val="0B447ABF"/>
    <w:rsid w:val="0B451D17"/>
    <w:rsid w:val="0B6F4EA9"/>
    <w:rsid w:val="0B79296B"/>
    <w:rsid w:val="0B7B2FBD"/>
    <w:rsid w:val="0BC4514F"/>
    <w:rsid w:val="0BF043EB"/>
    <w:rsid w:val="0BF163BC"/>
    <w:rsid w:val="0BF513C4"/>
    <w:rsid w:val="0C0101D8"/>
    <w:rsid w:val="0C7318D2"/>
    <w:rsid w:val="0C83556D"/>
    <w:rsid w:val="0CA80B48"/>
    <w:rsid w:val="0CC6420D"/>
    <w:rsid w:val="0CCF5247"/>
    <w:rsid w:val="0D122608"/>
    <w:rsid w:val="0D1558E6"/>
    <w:rsid w:val="0D524F8D"/>
    <w:rsid w:val="0D8B1E65"/>
    <w:rsid w:val="0DB314C5"/>
    <w:rsid w:val="0DBA32B1"/>
    <w:rsid w:val="0DCD3034"/>
    <w:rsid w:val="0E224E98"/>
    <w:rsid w:val="0E390EE5"/>
    <w:rsid w:val="0E572792"/>
    <w:rsid w:val="0E582F4B"/>
    <w:rsid w:val="0E5C6180"/>
    <w:rsid w:val="0E804269"/>
    <w:rsid w:val="0EB517A1"/>
    <w:rsid w:val="0EE02A66"/>
    <w:rsid w:val="0F217EB3"/>
    <w:rsid w:val="0F600192"/>
    <w:rsid w:val="0F621741"/>
    <w:rsid w:val="0F8807D1"/>
    <w:rsid w:val="0F970C9D"/>
    <w:rsid w:val="0FDB7A31"/>
    <w:rsid w:val="10161FE7"/>
    <w:rsid w:val="10507CE0"/>
    <w:rsid w:val="10863702"/>
    <w:rsid w:val="110122D6"/>
    <w:rsid w:val="11186DE1"/>
    <w:rsid w:val="114E2105"/>
    <w:rsid w:val="115252C3"/>
    <w:rsid w:val="11982DAB"/>
    <w:rsid w:val="11983817"/>
    <w:rsid w:val="11B12658"/>
    <w:rsid w:val="11BF7F02"/>
    <w:rsid w:val="11F53453"/>
    <w:rsid w:val="12094FEC"/>
    <w:rsid w:val="12B468EA"/>
    <w:rsid w:val="12DD21B3"/>
    <w:rsid w:val="12F1269E"/>
    <w:rsid w:val="12F62E89"/>
    <w:rsid w:val="12FA591C"/>
    <w:rsid w:val="13113756"/>
    <w:rsid w:val="133072D7"/>
    <w:rsid w:val="136F71F9"/>
    <w:rsid w:val="13755298"/>
    <w:rsid w:val="1384211F"/>
    <w:rsid w:val="13A829DF"/>
    <w:rsid w:val="13D41BD8"/>
    <w:rsid w:val="13DE588B"/>
    <w:rsid w:val="14510163"/>
    <w:rsid w:val="14525DEA"/>
    <w:rsid w:val="146A107D"/>
    <w:rsid w:val="14952462"/>
    <w:rsid w:val="14A800EA"/>
    <w:rsid w:val="14DD0CF7"/>
    <w:rsid w:val="151100C6"/>
    <w:rsid w:val="15617E60"/>
    <w:rsid w:val="15697C1D"/>
    <w:rsid w:val="15C17503"/>
    <w:rsid w:val="15D94B81"/>
    <w:rsid w:val="165512EC"/>
    <w:rsid w:val="165616AB"/>
    <w:rsid w:val="169C11A5"/>
    <w:rsid w:val="16B46F56"/>
    <w:rsid w:val="16C008D1"/>
    <w:rsid w:val="1769796A"/>
    <w:rsid w:val="17761585"/>
    <w:rsid w:val="179C3E62"/>
    <w:rsid w:val="17B614FB"/>
    <w:rsid w:val="17C074F9"/>
    <w:rsid w:val="180F1976"/>
    <w:rsid w:val="18827387"/>
    <w:rsid w:val="1890180C"/>
    <w:rsid w:val="191B17BF"/>
    <w:rsid w:val="19503780"/>
    <w:rsid w:val="1A275824"/>
    <w:rsid w:val="1A4E6747"/>
    <w:rsid w:val="1A7C4A6F"/>
    <w:rsid w:val="1B0B555F"/>
    <w:rsid w:val="1B0D1BBD"/>
    <w:rsid w:val="1B2600DE"/>
    <w:rsid w:val="1B2C40B3"/>
    <w:rsid w:val="1B63742C"/>
    <w:rsid w:val="1B78396E"/>
    <w:rsid w:val="1C1E1445"/>
    <w:rsid w:val="1C337552"/>
    <w:rsid w:val="1C582114"/>
    <w:rsid w:val="1C615474"/>
    <w:rsid w:val="1C652EB5"/>
    <w:rsid w:val="1CC70C15"/>
    <w:rsid w:val="1D206D03"/>
    <w:rsid w:val="1D2D5D73"/>
    <w:rsid w:val="1D41328F"/>
    <w:rsid w:val="1D675F5E"/>
    <w:rsid w:val="1D7E189D"/>
    <w:rsid w:val="1D8E71D8"/>
    <w:rsid w:val="1DF05F40"/>
    <w:rsid w:val="1E161167"/>
    <w:rsid w:val="1E555448"/>
    <w:rsid w:val="1E65489C"/>
    <w:rsid w:val="1E9F6DD4"/>
    <w:rsid w:val="1EA41518"/>
    <w:rsid w:val="1EB0650A"/>
    <w:rsid w:val="1EDF3B2E"/>
    <w:rsid w:val="1EEE244E"/>
    <w:rsid w:val="1EFB48ED"/>
    <w:rsid w:val="1EFF3DA3"/>
    <w:rsid w:val="1F1D617F"/>
    <w:rsid w:val="1F2362F2"/>
    <w:rsid w:val="1F6000DB"/>
    <w:rsid w:val="1FB504D9"/>
    <w:rsid w:val="1FDC2D63"/>
    <w:rsid w:val="201A6F6B"/>
    <w:rsid w:val="20491078"/>
    <w:rsid w:val="214C08CD"/>
    <w:rsid w:val="214E4272"/>
    <w:rsid w:val="219D7746"/>
    <w:rsid w:val="21B44535"/>
    <w:rsid w:val="21FF5479"/>
    <w:rsid w:val="229B35E6"/>
    <w:rsid w:val="22C66D26"/>
    <w:rsid w:val="22EA5552"/>
    <w:rsid w:val="235023CF"/>
    <w:rsid w:val="237C0471"/>
    <w:rsid w:val="239F121A"/>
    <w:rsid w:val="241D59F3"/>
    <w:rsid w:val="243B7C60"/>
    <w:rsid w:val="24633AD1"/>
    <w:rsid w:val="24842D82"/>
    <w:rsid w:val="24A0584E"/>
    <w:rsid w:val="24AA20CF"/>
    <w:rsid w:val="24E11E8D"/>
    <w:rsid w:val="24EB2CF8"/>
    <w:rsid w:val="251777BD"/>
    <w:rsid w:val="2573074E"/>
    <w:rsid w:val="257F2ADA"/>
    <w:rsid w:val="258C0B2E"/>
    <w:rsid w:val="25B3069D"/>
    <w:rsid w:val="26051F0A"/>
    <w:rsid w:val="26192A64"/>
    <w:rsid w:val="26261634"/>
    <w:rsid w:val="26542A3C"/>
    <w:rsid w:val="267D04E7"/>
    <w:rsid w:val="2687108C"/>
    <w:rsid w:val="26947205"/>
    <w:rsid w:val="26AE1C86"/>
    <w:rsid w:val="26C45EC0"/>
    <w:rsid w:val="26C70A5B"/>
    <w:rsid w:val="26F95D4A"/>
    <w:rsid w:val="27204086"/>
    <w:rsid w:val="27675F25"/>
    <w:rsid w:val="27A51C9D"/>
    <w:rsid w:val="27F947D4"/>
    <w:rsid w:val="27FE4C79"/>
    <w:rsid w:val="283B63F3"/>
    <w:rsid w:val="28620786"/>
    <w:rsid w:val="28A558B9"/>
    <w:rsid w:val="28BE5EF4"/>
    <w:rsid w:val="28FA4FC4"/>
    <w:rsid w:val="29540328"/>
    <w:rsid w:val="29546F32"/>
    <w:rsid w:val="29600B3C"/>
    <w:rsid w:val="2994097D"/>
    <w:rsid w:val="29C0559E"/>
    <w:rsid w:val="29F75B90"/>
    <w:rsid w:val="2A050E66"/>
    <w:rsid w:val="2A280C7B"/>
    <w:rsid w:val="2A3152AB"/>
    <w:rsid w:val="2A430D03"/>
    <w:rsid w:val="2A4A7CD3"/>
    <w:rsid w:val="2AEE4C16"/>
    <w:rsid w:val="2AF86CB7"/>
    <w:rsid w:val="2AF93B0B"/>
    <w:rsid w:val="2B3E7E63"/>
    <w:rsid w:val="2B6F3FB5"/>
    <w:rsid w:val="2B795BE9"/>
    <w:rsid w:val="2BB22B77"/>
    <w:rsid w:val="2BBF03D1"/>
    <w:rsid w:val="2BDB26FC"/>
    <w:rsid w:val="2BFE1794"/>
    <w:rsid w:val="2C054F73"/>
    <w:rsid w:val="2C21614B"/>
    <w:rsid w:val="2C2C5AE6"/>
    <w:rsid w:val="2CD020DE"/>
    <w:rsid w:val="2CDE2F94"/>
    <w:rsid w:val="2CF53514"/>
    <w:rsid w:val="2D182A01"/>
    <w:rsid w:val="2D1C2B55"/>
    <w:rsid w:val="2D2101F2"/>
    <w:rsid w:val="2D2D5765"/>
    <w:rsid w:val="2D5B3076"/>
    <w:rsid w:val="2D752533"/>
    <w:rsid w:val="2D990AC0"/>
    <w:rsid w:val="2DAC58E7"/>
    <w:rsid w:val="2DC76676"/>
    <w:rsid w:val="2DCD5F82"/>
    <w:rsid w:val="2E376114"/>
    <w:rsid w:val="2E3F5B83"/>
    <w:rsid w:val="2E531A7A"/>
    <w:rsid w:val="2E695859"/>
    <w:rsid w:val="2E725850"/>
    <w:rsid w:val="2E9632A9"/>
    <w:rsid w:val="2E9F7434"/>
    <w:rsid w:val="2EAA7541"/>
    <w:rsid w:val="2EC06CB9"/>
    <w:rsid w:val="2F012B36"/>
    <w:rsid w:val="2F2041F1"/>
    <w:rsid w:val="2F2E0676"/>
    <w:rsid w:val="2F2E3FBD"/>
    <w:rsid w:val="2F4C7199"/>
    <w:rsid w:val="2FFC24A6"/>
    <w:rsid w:val="3014565E"/>
    <w:rsid w:val="307D6F1D"/>
    <w:rsid w:val="307E5259"/>
    <w:rsid w:val="30C8302E"/>
    <w:rsid w:val="30C94B14"/>
    <w:rsid w:val="30CB5B55"/>
    <w:rsid w:val="3110673E"/>
    <w:rsid w:val="311D182B"/>
    <w:rsid w:val="31322DBE"/>
    <w:rsid w:val="314B5F4F"/>
    <w:rsid w:val="316D4215"/>
    <w:rsid w:val="317938B6"/>
    <w:rsid w:val="317B51EB"/>
    <w:rsid w:val="318A0E4C"/>
    <w:rsid w:val="318F0A3B"/>
    <w:rsid w:val="31E11B89"/>
    <w:rsid w:val="31FA2D37"/>
    <w:rsid w:val="32041A3C"/>
    <w:rsid w:val="32377392"/>
    <w:rsid w:val="328179D3"/>
    <w:rsid w:val="328F300E"/>
    <w:rsid w:val="32A05291"/>
    <w:rsid w:val="32B02295"/>
    <w:rsid w:val="32D934EB"/>
    <w:rsid w:val="33B92170"/>
    <w:rsid w:val="33EB6C5F"/>
    <w:rsid w:val="34542FD7"/>
    <w:rsid w:val="3463264A"/>
    <w:rsid w:val="346B44B9"/>
    <w:rsid w:val="346B6434"/>
    <w:rsid w:val="34C407FF"/>
    <w:rsid w:val="34DF781A"/>
    <w:rsid w:val="34E02E6A"/>
    <w:rsid w:val="34E246D0"/>
    <w:rsid w:val="34F10CC8"/>
    <w:rsid w:val="34F72EDE"/>
    <w:rsid w:val="34FB104A"/>
    <w:rsid w:val="350D5076"/>
    <w:rsid w:val="35512394"/>
    <w:rsid w:val="356669E8"/>
    <w:rsid w:val="35A00049"/>
    <w:rsid w:val="35B62D85"/>
    <w:rsid w:val="35BD1217"/>
    <w:rsid w:val="35E65C73"/>
    <w:rsid w:val="36792E95"/>
    <w:rsid w:val="3691606C"/>
    <w:rsid w:val="36AF4A98"/>
    <w:rsid w:val="36AF6C5F"/>
    <w:rsid w:val="36E379B0"/>
    <w:rsid w:val="36F85FB9"/>
    <w:rsid w:val="370703D7"/>
    <w:rsid w:val="37102991"/>
    <w:rsid w:val="37487FA4"/>
    <w:rsid w:val="376110C0"/>
    <w:rsid w:val="37AC66C1"/>
    <w:rsid w:val="37AF022F"/>
    <w:rsid w:val="37E31F7F"/>
    <w:rsid w:val="37F06718"/>
    <w:rsid w:val="38834B12"/>
    <w:rsid w:val="3899639C"/>
    <w:rsid w:val="392439F6"/>
    <w:rsid w:val="3930052B"/>
    <w:rsid w:val="39371DE3"/>
    <w:rsid w:val="393A58DF"/>
    <w:rsid w:val="39417D1D"/>
    <w:rsid w:val="39495149"/>
    <w:rsid w:val="39A03105"/>
    <w:rsid w:val="39AA5EE2"/>
    <w:rsid w:val="3A0665A9"/>
    <w:rsid w:val="3A3F1505"/>
    <w:rsid w:val="3AC80CDD"/>
    <w:rsid w:val="3AC82638"/>
    <w:rsid w:val="3AE42AE8"/>
    <w:rsid w:val="3B0D48C5"/>
    <w:rsid w:val="3B340298"/>
    <w:rsid w:val="3B4D3F2F"/>
    <w:rsid w:val="3B73249E"/>
    <w:rsid w:val="3B8473C0"/>
    <w:rsid w:val="3B9F1655"/>
    <w:rsid w:val="3BA35B49"/>
    <w:rsid w:val="3BDF3899"/>
    <w:rsid w:val="3C1656D6"/>
    <w:rsid w:val="3C5910AC"/>
    <w:rsid w:val="3CA12586"/>
    <w:rsid w:val="3D2961D2"/>
    <w:rsid w:val="3D510E8A"/>
    <w:rsid w:val="3D734A02"/>
    <w:rsid w:val="3D7566A5"/>
    <w:rsid w:val="3DA30BED"/>
    <w:rsid w:val="3DE06DCB"/>
    <w:rsid w:val="3E49466B"/>
    <w:rsid w:val="3E5134DA"/>
    <w:rsid w:val="3E534EE0"/>
    <w:rsid w:val="3E6A5C4C"/>
    <w:rsid w:val="3E8936E8"/>
    <w:rsid w:val="3E8A2E2B"/>
    <w:rsid w:val="3EB91201"/>
    <w:rsid w:val="3EC90E62"/>
    <w:rsid w:val="3EF449BE"/>
    <w:rsid w:val="3EF47F2F"/>
    <w:rsid w:val="3EF5310E"/>
    <w:rsid w:val="3EF7687F"/>
    <w:rsid w:val="3F1C5F95"/>
    <w:rsid w:val="3F505508"/>
    <w:rsid w:val="3F865DB9"/>
    <w:rsid w:val="3F894845"/>
    <w:rsid w:val="3F936E29"/>
    <w:rsid w:val="3FAB55DB"/>
    <w:rsid w:val="400C26A7"/>
    <w:rsid w:val="401F00C8"/>
    <w:rsid w:val="405855B9"/>
    <w:rsid w:val="407625F0"/>
    <w:rsid w:val="40A327DC"/>
    <w:rsid w:val="40C10722"/>
    <w:rsid w:val="40C34049"/>
    <w:rsid w:val="415947C9"/>
    <w:rsid w:val="419E3B58"/>
    <w:rsid w:val="41AE46B4"/>
    <w:rsid w:val="41DB35B4"/>
    <w:rsid w:val="42373989"/>
    <w:rsid w:val="4286056C"/>
    <w:rsid w:val="42873F23"/>
    <w:rsid w:val="42EE0454"/>
    <w:rsid w:val="42F425C9"/>
    <w:rsid w:val="43081BD1"/>
    <w:rsid w:val="431A6E5E"/>
    <w:rsid w:val="431E5FDB"/>
    <w:rsid w:val="43F53D2B"/>
    <w:rsid w:val="440B07D4"/>
    <w:rsid w:val="440C119F"/>
    <w:rsid w:val="441E4214"/>
    <w:rsid w:val="449B3D14"/>
    <w:rsid w:val="44CB2BF8"/>
    <w:rsid w:val="44EE4EEB"/>
    <w:rsid w:val="45384F8A"/>
    <w:rsid w:val="453F125D"/>
    <w:rsid w:val="45453AC9"/>
    <w:rsid w:val="45BE7804"/>
    <w:rsid w:val="45D0650B"/>
    <w:rsid w:val="45EE3D85"/>
    <w:rsid w:val="46030076"/>
    <w:rsid w:val="46216D40"/>
    <w:rsid w:val="462540D9"/>
    <w:rsid w:val="464E1ED1"/>
    <w:rsid w:val="46587862"/>
    <w:rsid w:val="47175F64"/>
    <w:rsid w:val="475A2101"/>
    <w:rsid w:val="47604EFD"/>
    <w:rsid w:val="47F11247"/>
    <w:rsid w:val="480976AD"/>
    <w:rsid w:val="480E3AAA"/>
    <w:rsid w:val="48102704"/>
    <w:rsid w:val="488B2090"/>
    <w:rsid w:val="4892065F"/>
    <w:rsid w:val="48B05E34"/>
    <w:rsid w:val="48C87682"/>
    <w:rsid w:val="48CA7638"/>
    <w:rsid w:val="48DD648B"/>
    <w:rsid w:val="49325B51"/>
    <w:rsid w:val="493E6EB1"/>
    <w:rsid w:val="498D5FEB"/>
    <w:rsid w:val="499C5710"/>
    <w:rsid w:val="49A73D65"/>
    <w:rsid w:val="49C25629"/>
    <w:rsid w:val="4A0844E2"/>
    <w:rsid w:val="4A130C19"/>
    <w:rsid w:val="4A2D0508"/>
    <w:rsid w:val="4A526BA3"/>
    <w:rsid w:val="4A5E31B9"/>
    <w:rsid w:val="4A635A65"/>
    <w:rsid w:val="4A9016F1"/>
    <w:rsid w:val="4A967431"/>
    <w:rsid w:val="4ACE0ED7"/>
    <w:rsid w:val="4AE83611"/>
    <w:rsid w:val="4AFC2875"/>
    <w:rsid w:val="4B144460"/>
    <w:rsid w:val="4B1C707F"/>
    <w:rsid w:val="4B235AEE"/>
    <w:rsid w:val="4B3F63AB"/>
    <w:rsid w:val="4B46537C"/>
    <w:rsid w:val="4B4B11F4"/>
    <w:rsid w:val="4B643575"/>
    <w:rsid w:val="4B720E6A"/>
    <w:rsid w:val="4BA81C14"/>
    <w:rsid w:val="4BB42626"/>
    <w:rsid w:val="4BB63216"/>
    <w:rsid w:val="4BCC17BD"/>
    <w:rsid w:val="4BD66CEC"/>
    <w:rsid w:val="4BD93801"/>
    <w:rsid w:val="4C156D1C"/>
    <w:rsid w:val="4C4D3038"/>
    <w:rsid w:val="4C8F3363"/>
    <w:rsid w:val="4C90015F"/>
    <w:rsid w:val="4C921EE7"/>
    <w:rsid w:val="4CB7140A"/>
    <w:rsid w:val="4CE615EA"/>
    <w:rsid w:val="4D097932"/>
    <w:rsid w:val="4D1473C4"/>
    <w:rsid w:val="4D3E5E35"/>
    <w:rsid w:val="4D5168DE"/>
    <w:rsid w:val="4DE17957"/>
    <w:rsid w:val="4DE265D4"/>
    <w:rsid w:val="4DE87FBB"/>
    <w:rsid w:val="4E2F7415"/>
    <w:rsid w:val="4E4D3086"/>
    <w:rsid w:val="4E6A0AE5"/>
    <w:rsid w:val="4EB95B3F"/>
    <w:rsid w:val="4F1D5190"/>
    <w:rsid w:val="4F203DAD"/>
    <w:rsid w:val="4F407550"/>
    <w:rsid w:val="4F543FE7"/>
    <w:rsid w:val="4F5B2A95"/>
    <w:rsid w:val="4F5C1662"/>
    <w:rsid w:val="4F5F3FD2"/>
    <w:rsid w:val="4F8D166C"/>
    <w:rsid w:val="4FAC7633"/>
    <w:rsid w:val="4FD244A6"/>
    <w:rsid w:val="4FE271AE"/>
    <w:rsid w:val="500458D3"/>
    <w:rsid w:val="5009079B"/>
    <w:rsid w:val="500D5236"/>
    <w:rsid w:val="504109E5"/>
    <w:rsid w:val="505C197D"/>
    <w:rsid w:val="505E4554"/>
    <w:rsid w:val="50912AE3"/>
    <w:rsid w:val="50982BE7"/>
    <w:rsid w:val="50C22A17"/>
    <w:rsid w:val="50CA5C74"/>
    <w:rsid w:val="50DD7627"/>
    <w:rsid w:val="50E0398E"/>
    <w:rsid w:val="50E6540C"/>
    <w:rsid w:val="50EA447E"/>
    <w:rsid w:val="50F11D20"/>
    <w:rsid w:val="511B6314"/>
    <w:rsid w:val="51246A5C"/>
    <w:rsid w:val="51263658"/>
    <w:rsid w:val="516602F2"/>
    <w:rsid w:val="516F72BF"/>
    <w:rsid w:val="518D2C7E"/>
    <w:rsid w:val="51957F0A"/>
    <w:rsid w:val="5228359C"/>
    <w:rsid w:val="524F1E93"/>
    <w:rsid w:val="525273F7"/>
    <w:rsid w:val="525405A3"/>
    <w:rsid w:val="529A4D92"/>
    <w:rsid w:val="52D338EA"/>
    <w:rsid w:val="52F64B9D"/>
    <w:rsid w:val="53145240"/>
    <w:rsid w:val="532B4628"/>
    <w:rsid w:val="53420030"/>
    <w:rsid w:val="535675C4"/>
    <w:rsid w:val="536B0802"/>
    <w:rsid w:val="537E1A3B"/>
    <w:rsid w:val="539A297D"/>
    <w:rsid w:val="53B841D5"/>
    <w:rsid w:val="53C827BC"/>
    <w:rsid w:val="54056E17"/>
    <w:rsid w:val="542A241C"/>
    <w:rsid w:val="546D096A"/>
    <w:rsid w:val="54760D44"/>
    <w:rsid w:val="550D0FF7"/>
    <w:rsid w:val="551D7B1F"/>
    <w:rsid w:val="555647FC"/>
    <w:rsid w:val="558A5081"/>
    <w:rsid w:val="55C57B49"/>
    <w:rsid w:val="55CA7705"/>
    <w:rsid w:val="562C635E"/>
    <w:rsid w:val="569D78F6"/>
    <w:rsid w:val="56B74FAE"/>
    <w:rsid w:val="56C47107"/>
    <w:rsid w:val="56E81AF9"/>
    <w:rsid w:val="56EA453C"/>
    <w:rsid w:val="573B2BB0"/>
    <w:rsid w:val="579F26C0"/>
    <w:rsid w:val="579F3880"/>
    <w:rsid w:val="57CA730B"/>
    <w:rsid w:val="57D775C6"/>
    <w:rsid w:val="58112494"/>
    <w:rsid w:val="584A50B0"/>
    <w:rsid w:val="58552324"/>
    <w:rsid w:val="585D58F9"/>
    <w:rsid w:val="58A041F5"/>
    <w:rsid w:val="58BA16F7"/>
    <w:rsid w:val="58FE4E68"/>
    <w:rsid w:val="59260085"/>
    <w:rsid w:val="594162E9"/>
    <w:rsid w:val="595B0568"/>
    <w:rsid w:val="599C7F9A"/>
    <w:rsid w:val="5A1A5A23"/>
    <w:rsid w:val="5A1B518E"/>
    <w:rsid w:val="5A6C5773"/>
    <w:rsid w:val="5A81078E"/>
    <w:rsid w:val="5AB70E5C"/>
    <w:rsid w:val="5AD9077B"/>
    <w:rsid w:val="5B0A3DFE"/>
    <w:rsid w:val="5B432E39"/>
    <w:rsid w:val="5B6D4858"/>
    <w:rsid w:val="5B9B74C9"/>
    <w:rsid w:val="5BC4270F"/>
    <w:rsid w:val="5C182C1A"/>
    <w:rsid w:val="5C2D6ACE"/>
    <w:rsid w:val="5C361C7B"/>
    <w:rsid w:val="5C6669BE"/>
    <w:rsid w:val="5C8D2DEB"/>
    <w:rsid w:val="5C937D59"/>
    <w:rsid w:val="5CB72A40"/>
    <w:rsid w:val="5CCD12AB"/>
    <w:rsid w:val="5CCD6BAE"/>
    <w:rsid w:val="5CFC0A75"/>
    <w:rsid w:val="5D0273FA"/>
    <w:rsid w:val="5D3643FE"/>
    <w:rsid w:val="5D64485C"/>
    <w:rsid w:val="5DA564AC"/>
    <w:rsid w:val="5DC2755F"/>
    <w:rsid w:val="5DC6599B"/>
    <w:rsid w:val="5E1557FC"/>
    <w:rsid w:val="5E293DE4"/>
    <w:rsid w:val="5E4C536C"/>
    <w:rsid w:val="5E7D32B8"/>
    <w:rsid w:val="5E7F6429"/>
    <w:rsid w:val="5E9F5E91"/>
    <w:rsid w:val="5EA03A5B"/>
    <w:rsid w:val="5EAC67A3"/>
    <w:rsid w:val="5ECC5F65"/>
    <w:rsid w:val="5F303EAD"/>
    <w:rsid w:val="5FDD2ECA"/>
    <w:rsid w:val="60084723"/>
    <w:rsid w:val="6010361D"/>
    <w:rsid w:val="6010698F"/>
    <w:rsid w:val="60610FBC"/>
    <w:rsid w:val="60671263"/>
    <w:rsid w:val="60C90176"/>
    <w:rsid w:val="60F6186E"/>
    <w:rsid w:val="610C2C6F"/>
    <w:rsid w:val="614055AD"/>
    <w:rsid w:val="61496C5A"/>
    <w:rsid w:val="614C50B3"/>
    <w:rsid w:val="615B402F"/>
    <w:rsid w:val="617243CD"/>
    <w:rsid w:val="61B63126"/>
    <w:rsid w:val="61BA5426"/>
    <w:rsid w:val="61DE2F20"/>
    <w:rsid w:val="61E85E08"/>
    <w:rsid w:val="621C156E"/>
    <w:rsid w:val="62243F9A"/>
    <w:rsid w:val="62896173"/>
    <w:rsid w:val="62995C96"/>
    <w:rsid w:val="62A045A6"/>
    <w:rsid w:val="62C4208E"/>
    <w:rsid w:val="62D1277F"/>
    <w:rsid w:val="62EE6294"/>
    <w:rsid w:val="62F539B4"/>
    <w:rsid w:val="63362F9E"/>
    <w:rsid w:val="637969CD"/>
    <w:rsid w:val="63797077"/>
    <w:rsid w:val="6381422B"/>
    <w:rsid w:val="63E761EC"/>
    <w:rsid w:val="642D7BC3"/>
    <w:rsid w:val="64385ED0"/>
    <w:rsid w:val="64447207"/>
    <w:rsid w:val="64940BB4"/>
    <w:rsid w:val="64947F5C"/>
    <w:rsid w:val="64955B92"/>
    <w:rsid w:val="64C11604"/>
    <w:rsid w:val="64C24447"/>
    <w:rsid w:val="65054DD3"/>
    <w:rsid w:val="652B7B81"/>
    <w:rsid w:val="65362351"/>
    <w:rsid w:val="65395F25"/>
    <w:rsid w:val="656547E3"/>
    <w:rsid w:val="656C6AE4"/>
    <w:rsid w:val="65AD04A8"/>
    <w:rsid w:val="6613751A"/>
    <w:rsid w:val="66365DEA"/>
    <w:rsid w:val="66526996"/>
    <w:rsid w:val="66527D7E"/>
    <w:rsid w:val="66965874"/>
    <w:rsid w:val="6698661C"/>
    <w:rsid w:val="66A00268"/>
    <w:rsid w:val="66CC6D05"/>
    <w:rsid w:val="66E140C1"/>
    <w:rsid w:val="67521C47"/>
    <w:rsid w:val="675B4115"/>
    <w:rsid w:val="676668CC"/>
    <w:rsid w:val="67A87596"/>
    <w:rsid w:val="6803042D"/>
    <w:rsid w:val="680A741E"/>
    <w:rsid w:val="681919C1"/>
    <w:rsid w:val="6859088D"/>
    <w:rsid w:val="687C635B"/>
    <w:rsid w:val="687E3D36"/>
    <w:rsid w:val="68AB188F"/>
    <w:rsid w:val="68DA42E7"/>
    <w:rsid w:val="68E14B96"/>
    <w:rsid w:val="68FB13E3"/>
    <w:rsid w:val="698A3431"/>
    <w:rsid w:val="69C23E91"/>
    <w:rsid w:val="69DF1AB9"/>
    <w:rsid w:val="6A775FCB"/>
    <w:rsid w:val="6A837D34"/>
    <w:rsid w:val="6A8C3F1C"/>
    <w:rsid w:val="6AC16180"/>
    <w:rsid w:val="6AD33C5F"/>
    <w:rsid w:val="6AF2794B"/>
    <w:rsid w:val="6B286A04"/>
    <w:rsid w:val="6B2E60EB"/>
    <w:rsid w:val="6B3A1015"/>
    <w:rsid w:val="6B51718A"/>
    <w:rsid w:val="6B58549F"/>
    <w:rsid w:val="6B607510"/>
    <w:rsid w:val="6B7045E5"/>
    <w:rsid w:val="6B956269"/>
    <w:rsid w:val="6BDF7A7C"/>
    <w:rsid w:val="6BF55641"/>
    <w:rsid w:val="6BFC0794"/>
    <w:rsid w:val="6C1A208F"/>
    <w:rsid w:val="6C473D89"/>
    <w:rsid w:val="6C5E76B7"/>
    <w:rsid w:val="6D0B1189"/>
    <w:rsid w:val="6D21440A"/>
    <w:rsid w:val="6D2F4D6C"/>
    <w:rsid w:val="6D3A0188"/>
    <w:rsid w:val="6D564A4D"/>
    <w:rsid w:val="6DA81AC4"/>
    <w:rsid w:val="6DB9769A"/>
    <w:rsid w:val="6DD0258D"/>
    <w:rsid w:val="6E9955E9"/>
    <w:rsid w:val="6E9F1966"/>
    <w:rsid w:val="6ECD1FF4"/>
    <w:rsid w:val="6ED35BED"/>
    <w:rsid w:val="6ED833BB"/>
    <w:rsid w:val="6EFC3E16"/>
    <w:rsid w:val="6F0845E5"/>
    <w:rsid w:val="6F0D55E2"/>
    <w:rsid w:val="6F6D1C12"/>
    <w:rsid w:val="6FB92329"/>
    <w:rsid w:val="6FFD045F"/>
    <w:rsid w:val="700E0976"/>
    <w:rsid w:val="70103A11"/>
    <w:rsid w:val="704332CF"/>
    <w:rsid w:val="704854E0"/>
    <w:rsid w:val="705D7B9C"/>
    <w:rsid w:val="706C2295"/>
    <w:rsid w:val="706D4BBB"/>
    <w:rsid w:val="70C516E1"/>
    <w:rsid w:val="70C840E7"/>
    <w:rsid w:val="70E816FE"/>
    <w:rsid w:val="713B2ABA"/>
    <w:rsid w:val="7156629E"/>
    <w:rsid w:val="718F76DC"/>
    <w:rsid w:val="71AC77C4"/>
    <w:rsid w:val="71BF70A5"/>
    <w:rsid w:val="723B6900"/>
    <w:rsid w:val="72570BF6"/>
    <w:rsid w:val="729B5FF5"/>
    <w:rsid w:val="729C55E9"/>
    <w:rsid w:val="72B2118E"/>
    <w:rsid w:val="72F1346B"/>
    <w:rsid w:val="72FA15BE"/>
    <w:rsid w:val="72FD09F1"/>
    <w:rsid w:val="730F5CDE"/>
    <w:rsid w:val="7318549A"/>
    <w:rsid w:val="732F314B"/>
    <w:rsid w:val="737E69AC"/>
    <w:rsid w:val="739F77B7"/>
    <w:rsid w:val="73C44387"/>
    <w:rsid w:val="7407086A"/>
    <w:rsid w:val="740A5ED3"/>
    <w:rsid w:val="74340958"/>
    <w:rsid w:val="743B19F9"/>
    <w:rsid w:val="749042F6"/>
    <w:rsid w:val="74B301C7"/>
    <w:rsid w:val="74C171F1"/>
    <w:rsid w:val="74CC6C8D"/>
    <w:rsid w:val="75390CCA"/>
    <w:rsid w:val="754564DC"/>
    <w:rsid w:val="756423A4"/>
    <w:rsid w:val="756B6277"/>
    <w:rsid w:val="759E262B"/>
    <w:rsid w:val="75BD4EC4"/>
    <w:rsid w:val="75E07B88"/>
    <w:rsid w:val="76040533"/>
    <w:rsid w:val="76213917"/>
    <w:rsid w:val="76591FC7"/>
    <w:rsid w:val="76781F92"/>
    <w:rsid w:val="76E93FB8"/>
    <w:rsid w:val="76F51CA2"/>
    <w:rsid w:val="770D6121"/>
    <w:rsid w:val="774239F2"/>
    <w:rsid w:val="77536B1C"/>
    <w:rsid w:val="77672C30"/>
    <w:rsid w:val="77A847D7"/>
    <w:rsid w:val="77BB1F41"/>
    <w:rsid w:val="77D432E5"/>
    <w:rsid w:val="77E54859"/>
    <w:rsid w:val="77EA569C"/>
    <w:rsid w:val="782E4A59"/>
    <w:rsid w:val="78384639"/>
    <w:rsid w:val="784E67C5"/>
    <w:rsid w:val="78615304"/>
    <w:rsid w:val="787A4610"/>
    <w:rsid w:val="788E7005"/>
    <w:rsid w:val="78E42C8C"/>
    <w:rsid w:val="78F8044C"/>
    <w:rsid w:val="79093E87"/>
    <w:rsid w:val="790E53F3"/>
    <w:rsid w:val="795705AE"/>
    <w:rsid w:val="795E4B17"/>
    <w:rsid w:val="797519A8"/>
    <w:rsid w:val="79774A82"/>
    <w:rsid w:val="797D5CB1"/>
    <w:rsid w:val="79CA2F5D"/>
    <w:rsid w:val="7A8F3AF6"/>
    <w:rsid w:val="7AAB70A3"/>
    <w:rsid w:val="7AB45744"/>
    <w:rsid w:val="7AD832CC"/>
    <w:rsid w:val="7AEA1AB0"/>
    <w:rsid w:val="7B0651AC"/>
    <w:rsid w:val="7B09552C"/>
    <w:rsid w:val="7B1D5EED"/>
    <w:rsid w:val="7B257F37"/>
    <w:rsid w:val="7B5B3E61"/>
    <w:rsid w:val="7B5D1904"/>
    <w:rsid w:val="7B5E4A5F"/>
    <w:rsid w:val="7B6704D0"/>
    <w:rsid w:val="7B6906CD"/>
    <w:rsid w:val="7B716743"/>
    <w:rsid w:val="7BA77CB7"/>
    <w:rsid w:val="7BAE0A36"/>
    <w:rsid w:val="7BC96E8D"/>
    <w:rsid w:val="7BD82F6E"/>
    <w:rsid w:val="7BE424D4"/>
    <w:rsid w:val="7BEF6AA3"/>
    <w:rsid w:val="7C40549B"/>
    <w:rsid w:val="7C4C28D6"/>
    <w:rsid w:val="7C7C340D"/>
    <w:rsid w:val="7CF37EBC"/>
    <w:rsid w:val="7D107432"/>
    <w:rsid w:val="7D1D2706"/>
    <w:rsid w:val="7D47489B"/>
    <w:rsid w:val="7D515C28"/>
    <w:rsid w:val="7DC530B0"/>
    <w:rsid w:val="7DEE1845"/>
    <w:rsid w:val="7DFE7A9A"/>
    <w:rsid w:val="7E393CD7"/>
    <w:rsid w:val="7E501E3C"/>
    <w:rsid w:val="7E564F54"/>
    <w:rsid w:val="7E812BEB"/>
    <w:rsid w:val="7EB612B7"/>
    <w:rsid w:val="7EC918BC"/>
    <w:rsid w:val="7ED24E70"/>
    <w:rsid w:val="7EDD618C"/>
    <w:rsid w:val="7EDF394B"/>
    <w:rsid w:val="7EE64B43"/>
    <w:rsid w:val="7EEA095F"/>
    <w:rsid w:val="7EFE2678"/>
    <w:rsid w:val="7F2C410A"/>
    <w:rsid w:val="7F3A0783"/>
    <w:rsid w:val="7F53390C"/>
    <w:rsid w:val="7F617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1"/>
    </o:shapelayout>
  </w:shapeDefaults>
  <w:decimalSymbol w:val="."/>
  <w:listSeparator w:val=","/>
  <w15:docId w15:val="{360B4C15-D319-4FEB-A24C-67EB1DD1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30">
    <w:name w:val="toc 3"/>
    <w:basedOn w:val="a"/>
    <w:next w:val="a"/>
    <w:uiPriority w:val="39"/>
    <w:qFormat/>
    <w:pPr>
      <w:ind w:leftChars="400" w:left="840"/>
    </w:pPr>
  </w:style>
  <w:style w:type="paragraph" w:styleId="a4">
    <w:name w:val="footer"/>
    <w:basedOn w:val="a"/>
    <w:link w:val="Char"/>
    <w:uiPriority w:val="99"/>
    <w:unhideWhenUsed/>
    <w:pPr>
      <w:tabs>
        <w:tab w:val="center" w:pos="4153"/>
        <w:tab w:val="right" w:pos="8306"/>
      </w:tabs>
      <w:snapToGrid w:val="0"/>
      <w:jc w:val="left"/>
    </w:pPr>
    <w:rPr>
      <w:sz w:val="18"/>
    </w:rPr>
  </w:style>
  <w:style w:type="paragraph" w:styleId="a5">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91">
    <w:name w:val="font91"/>
    <w:rPr>
      <w:rFonts w:ascii="Times New Roman" w:hAnsi="Times New Roman" w:cs="Times New Roman" w:hint="default"/>
      <w:color w:val="000000"/>
      <w:sz w:val="18"/>
      <w:szCs w:val="18"/>
      <w:u w:val="none"/>
    </w:rPr>
  </w:style>
  <w:style w:type="character" w:customStyle="1" w:styleId="Char0">
    <w:name w:val="页眉 Char"/>
    <w:link w:val="a5"/>
    <w:uiPriority w:val="99"/>
    <w:rPr>
      <w:rFonts w:eastAsia="仿宋_GB2312" w:cs="Times New Roman"/>
      <w:kern w:val="2"/>
      <w:sz w:val="18"/>
      <w:szCs w:val="22"/>
    </w:rPr>
  </w:style>
  <w:style w:type="character" w:customStyle="1" w:styleId="font71">
    <w:name w:val="font71"/>
    <w:rPr>
      <w:rFonts w:ascii="宋体" w:eastAsia="宋体" w:hAnsi="宋体" w:cs="宋体" w:hint="eastAsia"/>
      <w:color w:val="000000"/>
      <w:sz w:val="22"/>
      <w:szCs w:val="22"/>
      <w:u w:val="none"/>
    </w:rPr>
  </w:style>
  <w:style w:type="character" w:customStyle="1" w:styleId="font21">
    <w:name w:val="font21"/>
    <w:rPr>
      <w:rFonts w:ascii="Times New Roman" w:hAnsi="Times New Roman" w:cs="Times New Roman" w:hint="default"/>
      <w:color w:val="000000"/>
      <w:sz w:val="22"/>
      <w:szCs w:val="22"/>
      <w:u w:val="none"/>
    </w:rPr>
  </w:style>
  <w:style w:type="character" w:customStyle="1" w:styleId="font131">
    <w:name w:val="font131"/>
    <w:rPr>
      <w:rFonts w:ascii="宋体" w:eastAsia="宋体" w:hAnsi="宋体" w:cs="宋体" w:hint="eastAsia"/>
      <w:color w:val="000000"/>
      <w:sz w:val="18"/>
      <w:szCs w:val="18"/>
      <w:u w:val="none"/>
    </w:rPr>
  </w:style>
  <w:style w:type="character" w:customStyle="1" w:styleId="font41">
    <w:name w:val="font41"/>
    <w:rPr>
      <w:rFonts w:ascii="宋体" w:eastAsia="宋体" w:hAnsi="宋体" w:cs="宋体" w:hint="eastAsia"/>
      <w:color w:val="000000"/>
      <w:sz w:val="22"/>
      <w:szCs w:val="22"/>
      <w:u w:val="none"/>
    </w:rPr>
  </w:style>
  <w:style w:type="character" w:customStyle="1" w:styleId="font112">
    <w:name w:val="font112"/>
    <w:rPr>
      <w:rFonts w:ascii="宋体" w:eastAsia="宋体" w:hAnsi="宋体" w:cs="宋体" w:hint="eastAsia"/>
      <w:color w:val="000000"/>
      <w:sz w:val="22"/>
      <w:szCs w:val="22"/>
      <w:u w:val="none"/>
    </w:rPr>
  </w:style>
  <w:style w:type="character" w:customStyle="1" w:styleId="Char">
    <w:name w:val="页脚 Char"/>
    <w:link w:val="a4"/>
    <w:uiPriority w:val="99"/>
    <w:rPr>
      <w:rFonts w:eastAsia="仿宋_GB2312" w:cs="Times New Roman"/>
      <w:kern w:val="2"/>
      <w:sz w:val="18"/>
      <w:szCs w:val="22"/>
    </w:rPr>
  </w:style>
  <w:style w:type="character" w:customStyle="1" w:styleId="font81">
    <w:name w:val="font81"/>
    <w:rPr>
      <w:rFonts w:ascii="宋体" w:eastAsia="宋体" w:hAnsi="宋体" w:cs="宋体" w:hint="eastAsia"/>
      <w:color w:val="000000"/>
      <w:sz w:val="22"/>
      <w:szCs w:val="22"/>
      <w:u w:val="none"/>
    </w:rPr>
  </w:style>
  <w:style w:type="character" w:customStyle="1" w:styleId="font101">
    <w:name w:val="font101"/>
    <w:rPr>
      <w:rFonts w:ascii="宋体" w:eastAsia="宋体" w:hAnsi="宋体" w:cs="宋体" w:hint="eastAsia"/>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paragraph" w:customStyle="1" w:styleId="WPSOffice2">
    <w:name w:val="WPSOffice手动目录 2"/>
    <w:pPr>
      <w:ind w:leftChars="200" w:left="200"/>
    </w:pPr>
  </w:style>
  <w:style w:type="paragraph" w:customStyle="1" w:styleId="a7">
    <w:name w:val="表格标题"/>
    <w:basedOn w:val="a"/>
    <w:next w:val="a"/>
    <w:pPr>
      <w:keepNext/>
      <w:keepLines/>
      <w:ind w:firstLineChars="0" w:firstLine="0"/>
      <w:jc w:val="center"/>
      <w:outlineLvl w:val="0"/>
    </w:pPr>
    <w:rPr>
      <w:rFonts w:hint="eastAsia"/>
      <w:b/>
      <w:kern w:val="44"/>
    </w:rPr>
  </w:style>
  <w:style w:type="paragraph" w:customStyle="1" w:styleId="a8">
    <w:name w:val="表格内容"/>
    <w:basedOn w:val="a"/>
    <w:next w:val="a"/>
    <w:pPr>
      <w:keepLines/>
      <w:spacing w:line="240" w:lineRule="auto"/>
      <w:ind w:firstLineChars="0" w:firstLine="0"/>
      <w:jc w:val="center"/>
    </w:pPr>
    <w:rPr>
      <w:rFonts w:hint="eastAsia"/>
      <w:kern w:val="44"/>
      <w:sz w:val="21"/>
    </w:r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29</Pages>
  <Words>2661</Words>
  <Characters>15169</Characters>
  <Application>Microsoft Office Word</Application>
  <DocSecurity>0</DocSecurity>
  <Lines>126</Lines>
  <Paragraphs>35</Paragraphs>
  <ScaleCrop>false</ScaleCrop>
  <Company>Microsoft</Company>
  <LinksUpToDate>false</LinksUpToDate>
  <CharactersWithSpaces>17795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cp:lastPrinted>2025-04-10T02:19:00Z</cp:lastPrinted>
  <dcterms:created xsi:type="dcterms:W3CDTF">2019-11-25T12:51:00Z</dcterms:created>
  <dcterms:modified xsi:type="dcterms:W3CDTF">2025-09-16T03:57:00Z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0BB0368D43CE4369B80D0DBA790A475D_13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