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E2D" w:rsidRDefault="005F7E2D">
      <w:pPr>
        <w:ind w:firstLine="640"/>
        <w:rPr>
          <w:rFonts w:eastAsia="宋体"/>
        </w:rPr>
      </w:pPr>
      <w:bookmarkStart w:id="0" w:name="OLE_LINK36"/>
    </w:p>
    <w:p w:rsidR="005F7E2D" w:rsidRDefault="005F7E2D">
      <w:pPr>
        <w:ind w:firstLine="640"/>
        <w:rPr>
          <w:rFonts w:eastAsia="宋体"/>
        </w:rPr>
      </w:pPr>
    </w:p>
    <w:p w:rsidR="005F7E2D" w:rsidRDefault="005F7E2D">
      <w:pPr>
        <w:ind w:firstLine="640"/>
        <w:rPr>
          <w:rFonts w:eastAsia="宋体"/>
        </w:rPr>
      </w:pPr>
    </w:p>
    <w:p w:rsidR="005F7E2D" w:rsidRDefault="003A1171">
      <w:pPr>
        <w:pStyle w:val="1"/>
        <w:rPr>
          <w:sz w:val="44"/>
          <w:szCs w:val="44"/>
        </w:rPr>
      </w:pPr>
      <w:bookmarkStart w:id="1" w:name="_Toc24054"/>
      <w:bookmarkStart w:id="2" w:name="_Toc28201"/>
      <w:r>
        <w:rPr>
          <w:sz w:val="44"/>
          <w:szCs w:val="44"/>
        </w:rPr>
        <w:t>项目支出绩效评价报告</w:t>
      </w:r>
      <w:bookmarkEnd w:id="1"/>
      <w:bookmarkEnd w:id="2"/>
    </w:p>
    <w:p w:rsidR="005F7E2D" w:rsidRDefault="005F7E2D">
      <w:pPr>
        <w:ind w:firstLine="883"/>
        <w:rPr>
          <w:rFonts w:eastAsia="宋体"/>
          <w:b/>
          <w:bCs/>
          <w:sz w:val="44"/>
          <w:szCs w:val="44"/>
        </w:rPr>
      </w:pPr>
    </w:p>
    <w:p w:rsidR="005F7E2D" w:rsidRDefault="005F7E2D">
      <w:pPr>
        <w:ind w:firstLine="640"/>
        <w:rPr>
          <w:rFonts w:eastAsia="宋体"/>
        </w:rPr>
      </w:pPr>
    </w:p>
    <w:p w:rsidR="005F7E2D" w:rsidRDefault="003A1171">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5F7E2D" w:rsidRDefault="005F7E2D">
      <w:pPr>
        <w:ind w:firstLine="640"/>
        <w:rPr>
          <w:rFonts w:eastAsia="宋体"/>
        </w:rPr>
      </w:pPr>
    </w:p>
    <w:p w:rsidR="005F7E2D" w:rsidRDefault="005F7E2D">
      <w:pPr>
        <w:ind w:firstLine="640"/>
        <w:rPr>
          <w:rFonts w:eastAsia="宋体"/>
        </w:rPr>
      </w:pPr>
    </w:p>
    <w:p w:rsidR="005F7E2D" w:rsidRDefault="005F7E2D">
      <w:pPr>
        <w:ind w:firstLine="640"/>
        <w:rPr>
          <w:rFonts w:eastAsia="宋体"/>
        </w:rPr>
      </w:pPr>
    </w:p>
    <w:p w:rsidR="005F7E2D" w:rsidRDefault="005F7E2D">
      <w:pPr>
        <w:ind w:firstLine="640"/>
        <w:rPr>
          <w:rFonts w:eastAsia="宋体"/>
        </w:rPr>
      </w:pPr>
    </w:p>
    <w:p w:rsidR="005F7E2D" w:rsidRDefault="005F7E2D">
      <w:pPr>
        <w:ind w:firstLine="643"/>
        <w:rPr>
          <w:rFonts w:eastAsia="宋体"/>
          <w:b/>
          <w:bCs/>
        </w:rPr>
      </w:pPr>
    </w:p>
    <w:p w:rsidR="005F7E2D" w:rsidRDefault="003A1171">
      <w:pPr>
        <w:ind w:firstLine="640"/>
        <w:rPr>
          <w:rFonts w:ascii="仿宋_GB2312" w:hAnsi="仿宋_GB2312" w:cs="仿宋_GB2312"/>
        </w:rPr>
      </w:pPr>
      <w:r>
        <w:rPr>
          <w:rFonts w:ascii="仿宋_GB2312" w:hAnsi="仿宋_GB2312" w:cs="仿宋_GB2312" w:hint="eastAsia"/>
        </w:rPr>
        <w:t>项目名称：</w:t>
      </w:r>
      <w:bookmarkStart w:id="3" w:name="OLE_LINK29"/>
      <w:bookmarkStart w:id="4" w:name="OLE_LINK3"/>
      <w:r>
        <w:rPr>
          <w:rFonts w:ascii="仿宋_GB2312" w:hAnsi="仿宋_GB2312" w:cs="仿宋_GB2312" w:hint="eastAsia"/>
        </w:rPr>
        <w:t>2024</w:t>
      </w:r>
      <w:r>
        <w:rPr>
          <w:rFonts w:ascii="仿宋_GB2312" w:hAnsi="仿宋_GB2312" w:cs="仿宋_GB2312" w:hint="eastAsia"/>
        </w:rPr>
        <w:t>年尉犁县农村公路日常养护资金</w:t>
      </w:r>
      <w:bookmarkEnd w:id="3"/>
    </w:p>
    <w:bookmarkEnd w:id="4"/>
    <w:p w:rsidR="005F7E2D" w:rsidRDefault="003A1171">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尉犁县交通运输局</w:t>
      </w:r>
    </w:p>
    <w:p w:rsidR="005F7E2D" w:rsidRDefault="003A1171">
      <w:pPr>
        <w:ind w:firstLine="640"/>
        <w:rPr>
          <w:rFonts w:ascii="仿宋_GB2312" w:hAnsi="仿宋_GB2312" w:cs="仿宋_GB2312"/>
        </w:rPr>
      </w:pPr>
      <w:r>
        <w:rPr>
          <w:rFonts w:ascii="仿宋_GB2312" w:hAnsi="仿宋_GB2312" w:cs="仿宋_GB2312" w:hint="eastAsia"/>
        </w:rPr>
        <w:t>主管部门（公章）：</w:t>
      </w:r>
      <w:bookmarkStart w:id="5" w:name="OLE_LINK1"/>
      <w:r>
        <w:rPr>
          <w:rFonts w:ascii="仿宋_GB2312" w:hAnsi="仿宋_GB2312" w:cs="仿宋_GB2312" w:hint="eastAsia"/>
        </w:rPr>
        <w:t>尉犁县交通运输局</w:t>
      </w:r>
      <w:bookmarkEnd w:id="5"/>
    </w:p>
    <w:p w:rsidR="005F7E2D" w:rsidRDefault="003A1171">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克来木</w:t>
      </w:r>
      <w:r>
        <w:rPr>
          <w:rFonts w:ascii="仿宋_GB2312" w:hAnsi="仿宋_GB2312" w:cs="仿宋_GB2312" w:hint="eastAsia"/>
        </w:rPr>
        <w:t>·马那甫</w:t>
      </w:r>
    </w:p>
    <w:p w:rsidR="005F7E2D" w:rsidRDefault="003A1171">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3</w:t>
      </w:r>
      <w:r>
        <w:rPr>
          <w:rFonts w:ascii="仿宋_GB2312" w:hAnsi="仿宋_GB2312" w:cs="仿宋_GB2312" w:hint="eastAsia"/>
        </w:rPr>
        <w:t>日</w:t>
      </w:r>
    </w:p>
    <w:p w:rsidR="005F7E2D" w:rsidRDefault="005F7E2D">
      <w:pPr>
        <w:ind w:firstLine="640"/>
        <w:rPr>
          <w:rFonts w:eastAsia="宋体"/>
        </w:rPr>
      </w:pPr>
    </w:p>
    <w:p w:rsidR="005F7E2D" w:rsidRDefault="005F7E2D">
      <w:pPr>
        <w:ind w:firstLine="640"/>
        <w:rPr>
          <w:rFonts w:eastAsia="宋体"/>
        </w:rPr>
        <w:sectPr w:rsidR="005F7E2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720"/>
          <w:docGrid w:type="lines" w:linePitch="312"/>
        </w:sectPr>
      </w:pPr>
    </w:p>
    <w:p w:rsidR="005F7E2D" w:rsidRDefault="003A1171">
      <w:pPr>
        <w:spacing w:line="500" w:lineRule="exact"/>
        <w:ind w:firstLineChars="0" w:firstLine="0"/>
        <w:jc w:val="center"/>
        <w:outlineLvl w:val="1"/>
        <w:rPr>
          <w:rFonts w:eastAsia="宋体"/>
          <w:bCs/>
          <w:iCs/>
          <w:szCs w:val="21"/>
        </w:rPr>
      </w:pPr>
      <w:bookmarkStart w:id="6" w:name="_Toc1891"/>
      <w:bookmarkStart w:id="7" w:name="_Toc5473"/>
      <w:bookmarkStart w:id="8" w:name="_Toc15542"/>
      <w:bookmarkStart w:id="9" w:name="_Toc14721"/>
      <w:bookmarkStart w:id="10" w:name="_Toc18707"/>
      <w:bookmarkStart w:id="11" w:name="_Toc11827"/>
      <w:r>
        <w:rPr>
          <w:rFonts w:eastAsia="宋体"/>
          <w:bCs/>
          <w:iCs/>
          <w:szCs w:val="21"/>
        </w:rPr>
        <w:lastRenderedPageBreak/>
        <w:t>目</w:t>
      </w:r>
      <w:r>
        <w:rPr>
          <w:rFonts w:eastAsia="宋体"/>
          <w:bCs/>
          <w:iCs/>
          <w:szCs w:val="21"/>
        </w:rPr>
        <w:t xml:space="preserve">  </w:t>
      </w:r>
      <w:r>
        <w:rPr>
          <w:rFonts w:eastAsia="宋体"/>
          <w:bCs/>
          <w:iCs/>
          <w:szCs w:val="21"/>
        </w:rPr>
        <w:t>录</w:t>
      </w:r>
    </w:p>
    <w:p w:rsidR="005F7E2D" w:rsidRDefault="005F7E2D">
      <w:pPr>
        <w:spacing w:line="500" w:lineRule="exact"/>
        <w:ind w:firstLine="640"/>
        <w:jc w:val="center"/>
        <w:outlineLvl w:val="1"/>
        <w:rPr>
          <w:rFonts w:eastAsia="宋体"/>
          <w:bCs/>
          <w:iCs/>
          <w:szCs w:val="21"/>
        </w:rPr>
      </w:pPr>
    </w:p>
    <w:p w:rsidR="005F7E2D" w:rsidRDefault="003A1171">
      <w:pPr>
        <w:tabs>
          <w:tab w:val="right" w:leader="dot" w:pos="8306"/>
        </w:tabs>
        <w:ind w:firstLine="640"/>
      </w:pPr>
      <w:hyperlink w:anchor="_Toc25620" w:history="1">
        <w:r>
          <w:t>一、基本情况</w:t>
        </w:r>
        <w:r>
          <w:tab/>
        </w:r>
        <w:r>
          <w:fldChar w:fldCharType="begin"/>
        </w:r>
        <w:r>
          <w:instrText xml:space="preserve"> PAGEREF _Toc25620 \h </w:instrText>
        </w:r>
        <w:r>
          <w:fldChar w:fldCharType="separate"/>
        </w:r>
        <w:r>
          <w:t>1</w:t>
        </w:r>
        <w:r>
          <w:fldChar w:fldCharType="end"/>
        </w:r>
      </w:hyperlink>
    </w:p>
    <w:p w:rsidR="005F7E2D" w:rsidRDefault="003A1171">
      <w:pPr>
        <w:tabs>
          <w:tab w:val="right" w:leader="dot" w:pos="8306"/>
        </w:tabs>
        <w:ind w:left="640" w:firstLine="64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5F7E2D" w:rsidRDefault="003A1171">
      <w:pPr>
        <w:tabs>
          <w:tab w:val="right" w:leader="dot" w:pos="8306"/>
        </w:tabs>
        <w:ind w:left="640" w:firstLine="640"/>
      </w:pPr>
      <w:hyperlink w:anchor="_Toc25187" w:history="1">
        <w:r>
          <w:t>（二）项目绩效目标</w:t>
        </w:r>
        <w:r>
          <w:tab/>
        </w:r>
        <w:r>
          <w:fldChar w:fldCharType="begin"/>
        </w:r>
        <w:r>
          <w:instrText xml:space="preserve"> PAGEREF _Toc25187 \h </w:instrText>
        </w:r>
        <w:r>
          <w:fldChar w:fldCharType="separate"/>
        </w:r>
        <w:r>
          <w:t>3</w:t>
        </w:r>
        <w:r>
          <w:fldChar w:fldCharType="end"/>
        </w:r>
      </w:hyperlink>
    </w:p>
    <w:p w:rsidR="005F7E2D" w:rsidRDefault="003A1171">
      <w:pPr>
        <w:tabs>
          <w:tab w:val="right" w:leader="dot" w:pos="8306"/>
        </w:tabs>
        <w:ind w:firstLine="640"/>
      </w:pPr>
      <w:hyperlink w:anchor="_Toc28824" w:history="1">
        <w:r>
          <w:rPr>
            <w:rFonts w:hint="eastAsia"/>
          </w:rPr>
          <w:t>二、绩效评价工作开展情况</w:t>
        </w:r>
        <w:r>
          <w:tab/>
        </w:r>
        <w:r>
          <w:fldChar w:fldCharType="begin"/>
        </w:r>
        <w:r>
          <w:instrText xml:space="preserve"> PAGEREF _Toc28824 \h </w:instrText>
        </w:r>
        <w:r>
          <w:fldChar w:fldCharType="separate"/>
        </w:r>
        <w:r>
          <w:t>4</w:t>
        </w:r>
        <w:r>
          <w:fldChar w:fldCharType="end"/>
        </w:r>
      </w:hyperlink>
    </w:p>
    <w:p w:rsidR="005F7E2D" w:rsidRDefault="003A1171">
      <w:pPr>
        <w:tabs>
          <w:tab w:val="right" w:leader="dot" w:pos="8306"/>
        </w:tabs>
        <w:ind w:left="640" w:firstLine="640"/>
      </w:pPr>
      <w:hyperlink w:anchor="_Toc24175" w:history="1">
        <w:r>
          <w:rPr>
            <w:rFonts w:hint="eastAsia"/>
          </w:rPr>
          <w:t>（一）绩效评价目的、对象和范围</w:t>
        </w:r>
        <w:r>
          <w:tab/>
        </w:r>
        <w:r>
          <w:fldChar w:fldCharType="begin"/>
        </w:r>
        <w:r>
          <w:instrText xml:space="preserve"> PAGEREF _Toc24175 \h </w:instrText>
        </w:r>
        <w:r>
          <w:fldChar w:fldCharType="separate"/>
        </w:r>
        <w:r>
          <w:t>4</w:t>
        </w:r>
        <w:r>
          <w:fldChar w:fldCharType="end"/>
        </w:r>
      </w:hyperlink>
    </w:p>
    <w:p w:rsidR="005F7E2D" w:rsidRDefault="003A1171">
      <w:pPr>
        <w:tabs>
          <w:tab w:val="right" w:leader="dot" w:pos="8306"/>
        </w:tabs>
        <w:ind w:left="640" w:firstLine="640"/>
      </w:pPr>
      <w:hyperlink w:anchor="_Toc5109" w:history="1">
        <w:r>
          <w:rPr>
            <w:rFonts w:hint="eastAsia"/>
          </w:rPr>
          <w:t>（二）绩效评价原则、评价指标体系、评价方法、评价标准</w:t>
        </w:r>
        <w:r>
          <w:tab/>
        </w:r>
        <w:r>
          <w:fldChar w:fldCharType="begin"/>
        </w:r>
        <w:r>
          <w:instrText xml:space="preserve"> PAGEREF</w:instrText>
        </w:r>
        <w:r>
          <w:instrText xml:space="preserve"> _Toc5109 \h </w:instrText>
        </w:r>
        <w:r>
          <w:fldChar w:fldCharType="separate"/>
        </w:r>
        <w:r>
          <w:t>4</w:t>
        </w:r>
        <w:r>
          <w:fldChar w:fldCharType="end"/>
        </w:r>
      </w:hyperlink>
    </w:p>
    <w:p w:rsidR="005F7E2D" w:rsidRDefault="003A1171">
      <w:pPr>
        <w:tabs>
          <w:tab w:val="right" w:leader="dot" w:pos="8306"/>
        </w:tabs>
        <w:ind w:left="640" w:firstLine="640"/>
      </w:pPr>
      <w:hyperlink w:anchor="_Toc23796" w:history="1">
        <w:r>
          <w:rPr>
            <w:rFonts w:hint="eastAsia"/>
          </w:rPr>
          <w:t>（三）绩效评价工作过程</w:t>
        </w:r>
        <w:r>
          <w:tab/>
        </w:r>
        <w:r>
          <w:fldChar w:fldCharType="begin"/>
        </w:r>
        <w:r>
          <w:instrText xml:space="preserve"> PAGEREF _Toc23796 \h </w:instrText>
        </w:r>
        <w:r>
          <w:fldChar w:fldCharType="separate"/>
        </w:r>
        <w:r>
          <w:t>8</w:t>
        </w:r>
        <w:r>
          <w:fldChar w:fldCharType="end"/>
        </w:r>
      </w:hyperlink>
    </w:p>
    <w:p w:rsidR="005F7E2D" w:rsidRDefault="003A1171">
      <w:pPr>
        <w:tabs>
          <w:tab w:val="right" w:leader="dot" w:pos="8306"/>
        </w:tabs>
        <w:ind w:firstLine="640"/>
      </w:pPr>
      <w:hyperlink w:anchor="_Toc20784" w:history="1">
        <w:r>
          <w:rPr>
            <w:rFonts w:hint="eastAsia"/>
          </w:rPr>
          <w:t>三、综合评价情况及评价结论</w:t>
        </w:r>
        <w:r>
          <w:tab/>
        </w:r>
        <w:r>
          <w:fldChar w:fldCharType="begin"/>
        </w:r>
        <w:r>
          <w:instrText xml:space="preserve"> PAGER</w:instrText>
        </w:r>
        <w:r>
          <w:instrText xml:space="preserve">EF _Toc20784 \h </w:instrText>
        </w:r>
        <w:r>
          <w:fldChar w:fldCharType="separate"/>
        </w:r>
        <w:r>
          <w:t>10</w:t>
        </w:r>
        <w:r>
          <w:fldChar w:fldCharType="end"/>
        </w:r>
      </w:hyperlink>
    </w:p>
    <w:p w:rsidR="005F7E2D" w:rsidRDefault="003A1171">
      <w:pPr>
        <w:tabs>
          <w:tab w:val="right" w:leader="dot" w:pos="8306"/>
        </w:tabs>
        <w:ind w:firstLine="640"/>
      </w:pPr>
      <w:hyperlink w:anchor="_Toc8960" w:history="1">
        <w:r>
          <w:rPr>
            <w:rFonts w:hint="eastAsia"/>
          </w:rPr>
          <w:t>四、绩效评价指标分析</w:t>
        </w:r>
        <w:r>
          <w:tab/>
        </w:r>
        <w:r>
          <w:fldChar w:fldCharType="begin"/>
        </w:r>
        <w:r>
          <w:instrText xml:space="preserve"> PAGEREF _Toc8960 \h </w:instrText>
        </w:r>
        <w:r>
          <w:fldChar w:fldCharType="separate"/>
        </w:r>
        <w:r>
          <w:t>10</w:t>
        </w:r>
        <w:r>
          <w:fldChar w:fldCharType="end"/>
        </w:r>
      </w:hyperlink>
    </w:p>
    <w:p w:rsidR="005F7E2D" w:rsidRDefault="003A1171">
      <w:pPr>
        <w:tabs>
          <w:tab w:val="right" w:leader="dot" w:pos="8306"/>
        </w:tabs>
        <w:ind w:left="640" w:firstLine="640"/>
      </w:pPr>
      <w:hyperlink w:anchor="_Toc3445" w:history="1">
        <w:r>
          <w:rPr>
            <w:rFonts w:hint="eastAsia"/>
          </w:rPr>
          <w:t>（一）项目决策情况</w:t>
        </w:r>
        <w:r>
          <w:tab/>
        </w:r>
        <w:r>
          <w:fldChar w:fldCharType="begin"/>
        </w:r>
        <w:r>
          <w:instrText xml:space="preserve"> PAGEREF _Toc3445 \h </w:instrText>
        </w:r>
        <w:r>
          <w:fldChar w:fldCharType="separate"/>
        </w:r>
        <w:r>
          <w:t>10</w:t>
        </w:r>
        <w:r>
          <w:fldChar w:fldCharType="end"/>
        </w:r>
      </w:hyperlink>
    </w:p>
    <w:p w:rsidR="005F7E2D" w:rsidRDefault="003A1171">
      <w:pPr>
        <w:tabs>
          <w:tab w:val="right" w:leader="dot" w:pos="8306"/>
        </w:tabs>
        <w:ind w:left="640" w:firstLine="640"/>
      </w:pPr>
      <w:hyperlink w:anchor="_Toc11290" w:history="1">
        <w:r>
          <w:rPr>
            <w:rFonts w:hint="eastAsia"/>
          </w:rPr>
          <w:t>（二）项目过程情况</w:t>
        </w:r>
        <w:r>
          <w:tab/>
        </w:r>
        <w:r>
          <w:fldChar w:fldCharType="begin"/>
        </w:r>
        <w:r>
          <w:instrText xml:space="preserve"> PAGEREF _Toc11290 \h </w:instrText>
        </w:r>
        <w:r>
          <w:fldChar w:fldCharType="separate"/>
        </w:r>
        <w:r>
          <w:t>12</w:t>
        </w:r>
        <w:r>
          <w:fldChar w:fldCharType="end"/>
        </w:r>
      </w:hyperlink>
    </w:p>
    <w:p w:rsidR="005F7E2D" w:rsidRDefault="003A1171">
      <w:pPr>
        <w:tabs>
          <w:tab w:val="right" w:leader="dot" w:pos="8306"/>
        </w:tabs>
        <w:ind w:left="640" w:firstLine="640"/>
      </w:pPr>
      <w:hyperlink w:anchor="_Toc32013" w:history="1">
        <w:r>
          <w:rPr>
            <w:rFonts w:hint="eastAsia"/>
          </w:rPr>
          <w:t>（三）项目产出情况</w:t>
        </w:r>
        <w:r>
          <w:tab/>
        </w:r>
        <w:r>
          <w:fldChar w:fldCharType="begin"/>
        </w:r>
        <w:r>
          <w:instrText xml:space="preserve"> PAGEREF _Toc32013 \h </w:instrText>
        </w:r>
        <w:r>
          <w:fldChar w:fldCharType="separate"/>
        </w:r>
        <w:r>
          <w:t>14</w:t>
        </w:r>
        <w:r>
          <w:fldChar w:fldCharType="end"/>
        </w:r>
      </w:hyperlink>
    </w:p>
    <w:p w:rsidR="005F7E2D" w:rsidRDefault="003A1171">
      <w:pPr>
        <w:tabs>
          <w:tab w:val="right" w:leader="dot" w:pos="8306"/>
        </w:tabs>
        <w:ind w:left="640" w:firstLine="640"/>
      </w:pPr>
      <w:hyperlink w:anchor="_Toc28354" w:history="1">
        <w:r>
          <w:rPr>
            <w:rFonts w:hint="eastAsia"/>
          </w:rPr>
          <w:t>（四）项目效益情况</w:t>
        </w:r>
        <w:r>
          <w:tab/>
        </w:r>
        <w:r>
          <w:fldChar w:fldCharType="begin"/>
        </w:r>
        <w:r>
          <w:instrText xml:space="preserve"> PAGEREF _Toc28354 \h </w:instrText>
        </w:r>
        <w:r>
          <w:fldChar w:fldCharType="separate"/>
        </w:r>
        <w:r>
          <w:t>15</w:t>
        </w:r>
        <w:r>
          <w:fldChar w:fldCharType="end"/>
        </w:r>
      </w:hyperlink>
    </w:p>
    <w:p w:rsidR="005F7E2D" w:rsidRDefault="003A1171">
      <w:pPr>
        <w:tabs>
          <w:tab w:val="right" w:leader="dot" w:pos="8306"/>
        </w:tabs>
        <w:ind w:firstLine="640"/>
      </w:pPr>
      <w:hyperlink w:anchor="_Toc27244" w:history="1">
        <w:r>
          <w:rPr>
            <w:rFonts w:hint="eastAsia"/>
          </w:rPr>
          <w:t>五、主要经验及做法、存在的问题及原因分析</w:t>
        </w:r>
        <w:r>
          <w:tab/>
        </w:r>
        <w:r>
          <w:fldChar w:fldCharType="begin"/>
        </w:r>
        <w:r>
          <w:instrText xml:space="preserve"> PAGEREF _Toc27244 \h </w:instrText>
        </w:r>
        <w:r>
          <w:fldChar w:fldCharType="separate"/>
        </w:r>
        <w:r>
          <w:t>15</w:t>
        </w:r>
        <w:r>
          <w:fldChar w:fldCharType="end"/>
        </w:r>
      </w:hyperlink>
    </w:p>
    <w:p w:rsidR="005F7E2D" w:rsidRDefault="003A1171">
      <w:pPr>
        <w:tabs>
          <w:tab w:val="right" w:leader="dot" w:pos="8306"/>
        </w:tabs>
        <w:ind w:left="640" w:firstLine="640"/>
      </w:pPr>
      <w:hyperlink w:anchor="_Toc18880" w:history="1">
        <w:r>
          <w:rPr>
            <w:rFonts w:hint="eastAsia"/>
          </w:rPr>
          <w:t>（一）主要经验及做法</w:t>
        </w:r>
        <w:r>
          <w:tab/>
        </w:r>
        <w:r>
          <w:fldChar w:fldCharType="begin"/>
        </w:r>
        <w:r>
          <w:instrText xml:space="preserve"> PAGEREF _Toc18880 \h </w:instrText>
        </w:r>
        <w:r>
          <w:fldChar w:fldCharType="separate"/>
        </w:r>
        <w:r>
          <w:t>1</w:t>
        </w:r>
        <w:r>
          <w:t>5</w:t>
        </w:r>
        <w:r>
          <w:fldChar w:fldCharType="end"/>
        </w:r>
      </w:hyperlink>
    </w:p>
    <w:p w:rsidR="005F7E2D" w:rsidRDefault="003A1171">
      <w:pPr>
        <w:tabs>
          <w:tab w:val="right" w:leader="dot" w:pos="8306"/>
        </w:tabs>
        <w:ind w:left="640" w:firstLine="640"/>
      </w:pPr>
      <w:hyperlink w:anchor="_Toc9914" w:history="1">
        <w:r>
          <w:rPr>
            <w:rFonts w:hint="eastAsia"/>
          </w:rPr>
          <w:t>（二）存在问题及原因分析</w:t>
        </w:r>
        <w:r>
          <w:tab/>
        </w:r>
        <w:r>
          <w:fldChar w:fldCharType="begin"/>
        </w:r>
        <w:r>
          <w:instrText xml:space="preserve"> PAGEREF _Toc9914 \h </w:instrText>
        </w:r>
        <w:r>
          <w:fldChar w:fldCharType="separate"/>
        </w:r>
        <w:r>
          <w:t>16</w:t>
        </w:r>
        <w:r>
          <w:fldChar w:fldCharType="end"/>
        </w:r>
      </w:hyperlink>
    </w:p>
    <w:p w:rsidR="005F7E2D" w:rsidRDefault="003A1171">
      <w:pPr>
        <w:tabs>
          <w:tab w:val="right" w:leader="dot" w:pos="8306"/>
        </w:tabs>
        <w:ind w:firstLine="640"/>
      </w:pPr>
      <w:hyperlink w:anchor="_Toc2334" w:history="1">
        <w:r>
          <w:rPr>
            <w:rFonts w:hint="eastAsia"/>
          </w:rPr>
          <w:t>六、有关建议</w:t>
        </w:r>
        <w:r>
          <w:tab/>
        </w:r>
        <w:r>
          <w:fldChar w:fldCharType="begin"/>
        </w:r>
        <w:r>
          <w:instrText xml:space="preserve"> PAGEREF _Toc2334 \h </w:instrText>
        </w:r>
        <w:r>
          <w:fldChar w:fldCharType="separate"/>
        </w:r>
        <w:r>
          <w:t>16</w:t>
        </w:r>
        <w:r>
          <w:fldChar w:fldCharType="end"/>
        </w:r>
      </w:hyperlink>
    </w:p>
    <w:p w:rsidR="005F7E2D" w:rsidRDefault="003A1171">
      <w:pPr>
        <w:tabs>
          <w:tab w:val="right" w:leader="dot" w:pos="8306"/>
        </w:tabs>
        <w:ind w:firstLine="640"/>
      </w:pPr>
      <w:hyperlink w:anchor="_Toc30571" w:history="1">
        <w:r>
          <w:rPr>
            <w:rFonts w:hint="eastAsia"/>
          </w:rPr>
          <w:t>七、其他需要说明的问题</w:t>
        </w:r>
        <w:r>
          <w:tab/>
        </w:r>
        <w:r>
          <w:fldChar w:fldCharType="begin"/>
        </w:r>
        <w:r>
          <w:instrText xml:space="preserve"> PAGEREF _Toc30571 \h </w:instrText>
        </w:r>
        <w:r>
          <w:fldChar w:fldCharType="separate"/>
        </w:r>
        <w:r>
          <w:t>16</w:t>
        </w:r>
        <w:r>
          <w:fldChar w:fldCharType="end"/>
        </w:r>
      </w:hyperlink>
    </w:p>
    <w:p w:rsidR="005F7E2D" w:rsidRDefault="003A1171">
      <w:pPr>
        <w:tabs>
          <w:tab w:val="right" w:leader="dot" w:pos="8306"/>
        </w:tabs>
        <w:ind w:firstLine="640"/>
      </w:pPr>
      <w:hyperlink w:anchor="_Toc10180" w:history="1">
        <w:r>
          <w:rPr>
            <w:rFonts w:hint="eastAsia"/>
          </w:rPr>
          <w:t>八、相关附件</w:t>
        </w:r>
        <w:r>
          <w:tab/>
        </w:r>
        <w:r>
          <w:fldChar w:fldCharType="begin"/>
        </w:r>
        <w:r>
          <w:instrText xml:space="preserve"> PAGEREF _Toc10180 \h </w:instrText>
        </w:r>
        <w:r>
          <w:fldChar w:fldCharType="separate"/>
        </w:r>
        <w:r>
          <w:t>16</w:t>
        </w:r>
        <w:r>
          <w:fldChar w:fldCharType="end"/>
        </w:r>
      </w:hyperlink>
    </w:p>
    <w:p w:rsidR="005F7E2D" w:rsidRDefault="003A1171">
      <w:pPr>
        <w:spacing w:line="500" w:lineRule="exact"/>
        <w:ind w:firstLine="640"/>
        <w:outlineLvl w:val="1"/>
        <w:rPr>
          <w:rFonts w:eastAsia="黑体"/>
          <w:bCs/>
          <w:iCs/>
          <w:szCs w:val="21"/>
        </w:rPr>
      </w:pPr>
      <w:r>
        <w:rPr>
          <w:rFonts w:eastAsia="黑体"/>
          <w:bCs/>
          <w:iCs/>
          <w:szCs w:val="21"/>
        </w:rPr>
        <w:lastRenderedPageBreak/>
        <w:t>一、基本情况</w:t>
      </w:r>
      <w:bookmarkStart w:id="12" w:name="_Toc27593"/>
      <w:bookmarkEnd w:id="6"/>
      <w:bookmarkEnd w:id="7"/>
      <w:bookmarkEnd w:id="8"/>
      <w:bookmarkEnd w:id="9"/>
      <w:bookmarkEnd w:id="10"/>
      <w:bookmarkEnd w:id="11"/>
    </w:p>
    <w:p w:rsidR="005F7E2D" w:rsidRDefault="003A1171">
      <w:pPr>
        <w:pStyle w:val="3"/>
        <w:ind w:firstLine="643"/>
        <w:rPr>
          <w:rFonts w:eastAsia="楷体"/>
        </w:rPr>
      </w:pPr>
      <w:bookmarkStart w:id="13" w:name="_Toc9236"/>
      <w:bookmarkStart w:id="14" w:name="_Toc24706"/>
      <w:bookmarkStart w:id="15" w:name="_Toc24048"/>
      <w:bookmarkStart w:id="16" w:name="_Toc26183"/>
      <w:r>
        <w:rPr>
          <w:rFonts w:eastAsia="楷体"/>
        </w:rPr>
        <w:t>（一）项目概况</w:t>
      </w:r>
      <w:bookmarkEnd w:id="12"/>
      <w:bookmarkEnd w:id="13"/>
      <w:bookmarkEnd w:id="14"/>
      <w:bookmarkEnd w:id="15"/>
      <w:bookmarkEnd w:id="16"/>
    </w:p>
    <w:p w:rsidR="005F7E2D" w:rsidRDefault="003A1171">
      <w:pPr>
        <w:ind w:firstLine="643"/>
        <w:rPr>
          <w:b/>
          <w:bCs/>
        </w:rPr>
      </w:pPr>
      <w:bookmarkStart w:id="17" w:name="_Toc11427"/>
      <w:bookmarkStart w:id="18" w:name="_Toc19984"/>
      <w:r>
        <w:rPr>
          <w:b/>
          <w:bCs/>
        </w:rPr>
        <w:t>1.</w:t>
      </w:r>
      <w:r>
        <w:rPr>
          <w:b/>
          <w:bCs/>
        </w:rPr>
        <w:t>项目背景</w:t>
      </w:r>
      <w:bookmarkEnd w:id="17"/>
      <w:bookmarkEnd w:id="18"/>
    </w:p>
    <w:p w:rsidR="005F7E2D" w:rsidRDefault="003A1171">
      <w:pPr>
        <w:ind w:firstLine="640"/>
      </w:pPr>
      <w:bookmarkStart w:id="19" w:name="_Toc22216"/>
      <w:bookmarkStart w:id="20" w:name="_Toc22079"/>
      <w:r>
        <w:rPr>
          <w:rFonts w:hint="eastAsia"/>
        </w:rPr>
        <w:t>农村公路是全国公路网的有机组成部分，是农村重要的公益性基础设施。它不仅关乎农民群众的日常出行</w:t>
      </w:r>
      <w:r>
        <w:rPr>
          <w:rFonts w:hint="eastAsia"/>
        </w:rPr>
        <w:t>，还对农村经济发展、物资运输、农产品流通、农村旅游开发等起着关键的支撑作用，是实现乡村振兴战略的重要基础。随着农村经济社会的不断发展，农民生活水平日益提高，农村交通流量不断增加，对农村公路的通行能力和服务质量提出了更高的要求。同时，建设</w:t>
      </w:r>
      <w:r>
        <w:rPr>
          <w:rFonts w:hint="eastAsia"/>
        </w:rPr>
        <w:t xml:space="preserve"> </w:t>
      </w:r>
      <w:r>
        <w:rPr>
          <w:rFonts w:hint="eastAsia"/>
        </w:rPr>
        <w:t>“四好农村路”，实现农村公路</w:t>
      </w:r>
      <w:r>
        <w:rPr>
          <w:rFonts w:hint="eastAsia"/>
        </w:rPr>
        <w:t xml:space="preserve"> </w:t>
      </w:r>
      <w:r>
        <w:rPr>
          <w:rFonts w:hint="eastAsia"/>
        </w:rPr>
        <w:t>“建好、管好、护好、运营好”</w:t>
      </w:r>
      <w:r>
        <w:rPr>
          <w:rFonts w:hint="eastAsia"/>
        </w:rPr>
        <w:t xml:space="preserve"> </w:t>
      </w:r>
      <w:r>
        <w:rPr>
          <w:rFonts w:hint="eastAsia"/>
        </w:rPr>
        <w:t>的目标，也需要有稳定的资金支持来保障农村公路养护工作的顺利开展。</w:t>
      </w:r>
    </w:p>
    <w:p w:rsidR="005F7E2D" w:rsidRDefault="003A1171">
      <w:pPr>
        <w:ind w:firstLine="640"/>
      </w:pPr>
      <w:r>
        <w:rPr>
          <w:rFonts w:hint="eastAsia"/>
        </w:rPr>
        <w:t>根据尉犁县财政局</w:t>
      </w:r>
      <w:r>
        <w:rPr>
          <w:rFonts w:hint="eastAsia"/>
        </w:rPr>
        <w:t>(</w:t>
      </w:r>
      <w:r>
        <w:rPr>
          <w:rFonts w:hint="eastAsia"/>
        </w:rPr>
        <w:t>国资委</w:t>
      </w:r>
      <w:r>
        <w:rPr>
          <w:rFonts w:hint="eastAsia"/>
        </w:rPr>
        <w:t>)</w:t>
      </w:r>
      <w:bookmarkStart w:id="21" w:name="OLE_LINK30"/>
      <w:r>
        <w:rPr>
          <w:rFonts w:hint="eastAsia"/>
        </w:rPr>
        <w:t>《关于下达</w:t>
      </w:r>
      <w:r>
        <w:rPr>
          <w:rFonts w:hint="eastAsia"/>
        </w:rPr>
        <w:t>2024</w:t>
      </w:r>
      <w:r>
        <w:rPr>
          <w:rFonts w:hint="eastAsia"/>
        </w:rPr>
        <w:t>年尉犁县农村公路日常养护资金的通知》</w:t>
      </w:r>
      <w:bookmarkEnd w:id="21"/>
      <w:r>
        <w:t>（</w:t>
      </w:r>
      <w:r>
        <w:rPr>
          <w:rFonts w:hint="eastAsia"/>
        </w:rPr>
        <w:t>尉财建</w:t>
      </w:r>
      <w:r>
        <w:t>〔</w:t>
      </w:r>
      <w:r>
        <w:rPr>
          <w:rFonts w:hint="eastAsia"/>
        </w:rPr>
        <w:t>2024</w:t>
      </w:r>
      <w:r>
        <w:t>〕</w:t>
      </w:r>
      <w:r>
        <w:rPr>
          <w:rFonts w:hint="eastAsia"/>
        </w:rPr>
        <w:t>83</w:t>
      </w:r>
      <w:r>
        <w:t>号</w:t>
      </w:r>
      <w:r>
        <w:rPr>
          <w:rFonts w:hint="eastAsia"/>
        </w:rPr>
        <w:t>）</w:t>
      </w:r>
      <w:r>
        <w:rPr>
          <w:rFonts w:hint="eastAsia"/>
        </w:rPr>
        <w:t>文件，下达资金</w:t>
      </w:r>
      <w:r>
        <w:rPr>
          <w:rFonts w:hint="eastAsia"/>
        </w:rPr>
        <w:t>214</w:t>
      </w:r>
      <w:r>
        <w:rPr>
          <w:rFonts w:hint="eastAsia"/>
        </w:rPr>
        <w:t>万元</w:t>
      </w:r>
      <w:bookmarkStart w:id="22" w:name="OLE_LINK13"/>
      <w:r>
        <w:rPr>
          <w:rFonts w:hint="eastAsia"/>
        </w:rPr>
        <w:t>。</w:t>
      </w:r>
      <w:r>
        <w:rPr>
          <w:rFonts w:hint="eastAsia"/>
        </w:rPr>
        <w:t>2024</w:t>
      </w:r>
      <w:r>
        <w:rPr>
          <w:rFonts w:hint="eastAsia"/>
        </w:rPr>
        <w:t>年</w:t>
      </w:r>
      <w:r>
        <w:rPr>
          <w:rFonts w:hint="eastAsia"/>
        </w:rPr>
        <w:t>5</w:t>
      </w:r>
      <w:r>
        <w:rPr>
          <w:rFonts w:hint="eastAsia"/>
        </w:rPr>
        <w:t>月</w:t>
      </w:r>
      <w:r>
        <w:rPr>
          <w:rFonts w:hint="eastAsia"/>
        </w:rPr>
        <w:t>30</w:t>
      </w:r>
      <w:r>
        <w:rPr>
          <w:rFonts w:hint="eastAsia"/>
        </w:rPr>
        <w:t>日通过并于</w:t>
      </w:r>
      <w:r>
        <w:rPr>
          <w:rFonts w:hint="eastAsia"/>
        </w:rPr>
        <w:t>7</w:t>
      </w:r>
      <w:r>
        <w:rPr>
          <w:rFonts w:hint="eastAsia"/>
        </w:rPr>
        <w:t>月</w:t>
      </w:r>
      <w:r>
        <w:rPr>
          <w:rFonts w:hint="eastAsia"/>
        </w:rPr>
        <w:t>1</w:t>
      </w:r>
      <w:r>
        <w:rPr>
          <w:rFonts w:hint="eastAsia"/>
        </w:rPr>
        <w:t>日起施行的《新疆维吾尔自治区农村公路条例》，为尉犁县农村公路日常养护资金政策的制定与实施提供了直接依据</w:t>
      </w:r>
      <w:r>
        <w:rPr>
          <w:rFonts w:hint="eastAsia"/>
        </w:rPr>
        <w:t xml:space="preserve"> </w:t>
      </w:r>
      <w:r>
        <w:rPr>
          <w:rFonts w:hint="eastAsia"/>
        </w:rPr>
        <w:t>。该《条例》规定农村公路建设、养护、管理和运营应建立以财政投入为主，利用农村公路冠名权、绿化经营权、广告经营权等多渠道筹集为辅的资金保障机制</w:t>
      </w:r>
      <w:r>
        <w:rPr>
          <w:rFonts w:hint="eastAsia"/>
        </w:rPr>
        <w:t xml:space="preserve"> </w:t>
      </w:r>
      <w:r>
        <w:rPr>
          <w:rFonts w:hint="eastAsia"/>
        </w:rPr>
        <w:t>。这意味着尉犁县在安排日常养护资金时，一方面要强化财政资金的主渠道作用，另一方面可积极探索多元化的资金筹集路径。</w:t>
      </w:r>
    </w:p>
    <w:p w:rsidR="005F7E2D" w:rsidRDefault="003A1171">
      <w:pPr>
        <w:ind w:firstLine="643"/>
        <w:rPr>
          <w:b/>
          <w:bCs/>
        </w:rPr>
      </w:pPr>
      <w:r>
        <w:rPr>
          <w:rFonts w:hint="eastAsia"/>
          <w:b/>
          <w:bCs/>
        </w:rPr>
        <w:lastRenderedPageBreak/>
        <w:t>2.</w:t>
      </w:r>
      <w:r>
        <w:rPr>
          <w:b/>
          <w:bCs/>
        </w:rPr>
        <w:t>项目主要内容</w:t>
      </w:r>
      <w:bookmarkStart w:id="23" w:name="_Toc21529"/>
      <w:bookmarkStart w:id="24" w:name="_Toc31519"/>
      <w:bookmarkEnd w:id="19"/>
      <w:bookmarkEnd w:id="20"/>
    </w:p>
    <w:p w:rsidR="005F7E2D" w:rsidRDefault="003A1171">
      <w:pPr>
        <w:ind w:firstLine="640"/>
      </w:pPr>
      <w:r>
        <w:rPr>
          <w:rFonts w:hint="eastAsia"/>
        </w:rPr>
        <w:t>（</w:t>
      </w:r>
      <w:r>
        <w:rPr>
          <w:rFonts w:hint="eastAsia"/>
        </w:rPr>
        <w:t>1</w:t>
      </w:r>
      <w:r>
        <w:rPr>
          <w:rFonts w:hint="eastAsia"/>
        </w:rPr>
        <w:t>）完成</w:t>
      </w:r>
      <w:r>
        <w:rPr>
          <w:rFonts w:hint="eastAsia"/>
        </w:rPr>
        <w:t>18</w:t>
      </w:r>
      <w:r>
        <w:rPr>
          <w:rFonts w:hint="eastAsia"/>
        </w:rPr>
        <w:t>公里村道安防建设任务；</w:t>
      </w:r>
    </w:p>
    <w:p w:rsidR="005F7E2D" w:rsidRDefault="003A1171">
      <w:pPr>
        <w:ind w:firstLine="640"/>
      </w:pPr>
      <w:r>
        <w:rPr>
          <w:rFonts w:hint="eastAsia"/>
        </w:rPr>
        <w:t>（</w:t>
      </w:r>
      <w:r>
        <w:rPr>
          <w:rFonts w:hint="eastAsia"/>
        </w:rPr>
        <w:t>2</w:t>
      </w:r>
      <w:r>
        <w:rPr>
          <w:rFonts w:hint="eastAsia"/>
        </w:rPr>
        <w:t>）各乡镇管委会事故多发路段隐患整改，如：标志标牌、标线、修补坑槽、警示护柱、减速带、爆闪灯、电子哨兵、移动式红绿灯、防撞</w:t>
      </w:r>
      <w:proofErr w:type="gramStart"/>
      <w:r>
        <w:rPr>
          <w:rFonts w:hint="eastAsia"/>
        </w:rPr>
        <w:t>桶以及</w:t>
      </w:r>
      <w:proofErr w:type="gramEnd"/>
      <w:r>
        <w:rPr>
          <w:rFonts w:hint="eastAsia"/>
        </w:rPr>
        <w:t>修复破损桥栏杆等。</w:t>
      </w:r>
    </w:p>
    <w:p w:rsidR="005F7E2D" w:rsidRDefault="003A1171">
      <w:pPr>
        <w:ind w:firstLine="643"/>
        <w:rPr>
          <w:b/>
          <w:bCs/>
        </w:rPr>
      </w:pPr>
      <w:r>
        <w:rPr>
          <w:b/>
          <w:bCs/>
        </w:rPr>
        <w:t>3.</w:t>
      </w:r>
      <w:r>
        <w:rPr>
          <w:b/>
          <w:bCs/>
        </w:rPr>
        <w:t>项目实施情况</w:t>
      </w:r>
      <w:bookmarkStart w:id="25" w:name="_Toc20138"/>
      <w:bookmarkEnd w:id="23"/>
      <w:bookmarkEnd w:id="24"/>
    </w:p>
    <w:p w:rsidR="005F7E2D" w:rsidRDefault="003A1171">
      <w:pPr>
        <w:pStyle w:val="3"/>
        <w:ind w:firstLine="640"/>
        <w:rPr>
          <w:rFonts w:eastAsia="仿宋_GB2312"/>
          <w:b w:val="0"/>
        </w:rPr>
      </w:pPr>
      <w:r>
        <w:rPr>
          <w:rFonts w:eastAsia="仿宋_GB2312" w:hint="eastAsia"/>
          <w:b w:val="0"/>
        </w:rPr>
        <w:t>（</w:t>
      </w:r>
      <w:r>
        <w:rPr>
          <w:rFonts w:eastAsia="仿宋_GB2312" w:hint="eastAsia"/>
          <w:b w:val="0"/>
        </w:rPr>
        <w:t>1</w:t>
      </w:r>
      <w:r>
        <w:rPr>
          <w:rFonts w:eastAsia="仿宋_GB2312" w:hint="eastAsia"/>
          <w:b w:val="0"/>
        </w:rPr>
        <w:t>）</w:t>
      </w:r>
      <w:r>
        <w:rPr>
          <w:rFonts w:eastAsia="仿宋_GB2312"/>
          <w:b w:val="0"/>
        </w:rPr>
        <w:t>预算规划与公告发布：</w:t>
      </w:r>
      <w:r>
        <w:rPr>
          <w:rFonts w:eastAsia="仿宋_GB2312"/>
          <w:b w:val="0"/>
        </w:rPr>
        <w:t>2024</w:t>
      </w:r>
      <w:r>
        <w:rPr>
          <w:rFonts w:eastAsia="仿宋_GB2312"/>
          <w:b w:val="0"/>
        </w:rPr>
        <w:t>年，尉犁县交通运输局针对农村公路养护需求，制定了详细的预算规划。该项目通过中国政府采购网等平台发布竞争性磋商公告，明确项目需求，包括村道安防</w:t>
      </w:r>
      <w:r>
        <w:rPr>
          <w:rFonts w:eastAsia="仿宋_GB2312"/>
          <w:b w:val="0"/>
        </w:rPr>
        <w:t>18</w:t>
      </w:r>
      <w:r>
        <w:rPr>
          <w:rFonts w:eastAsia="仿宋_GB2312"/>
          <w:b w:val="0"/>
        </w:rPr>
        <w:t>公里，以及对各乡镇管委会事故多发路段隐患整改，涉及标志标牌、标线、修补坑槽、警示护柱、减速带、爆闪灯、电子哨兵、移动式红绿灯、防撞</w:t>
      </w:r>
      <w:proofErr w:type="gramStart"/>
      <w:r>
        <w:rPr>
          <w:rFonts w:eastAsia="仿宋_GB2312"/>
          <w:b w:val="0"/>
        </w:rPr>
        <w:t>桶以及</w:t>
      </w:r>
      <w:proofErr w:type="gramEnd"/>
      <w:r>
        <w:rPr>
          <w:rFonts w:eastAsia="仿宋_GB2312"/>
          <w:b w:val="0"/>
        </w:rPr>
        <w:t>修复破损桥栏杆等工作。</w:t>
      </w:r>
    </w:p>
    <w:p w:rsidR="005F7E2D" w:rsidRDefault="003A1171">
      <w:pPr>
        <w:ind w:firstLine="640"/>
      </w:pPr>
      <w:r>
        <w:rPr>
          <w:rFonts w:hint="eastAsia"/>
        </w:rPr>
        <w:t>（</w:t>
      </w:r>
      <w:r>
        <w:rPr>
          <w:rFonts w:hint="eastAsia"/>
        </w:rPr>
        <w:t>2</w:t>
      </w:r>
      <w:r>
        <w:rPr>
          <w:rFonts w:hint="eastAsia"/>
        </w:rPr>
        <w:t>）</w:t>
      </w:r>
      <w:r>
        <w:rPr>
          <w:rFonts w:hint="eastAsia"/>
        </w:rPr>
        <w:t>工程推进与质量把控：在施工过程中，施工团队严格按照设计方案和相关标准进行作业。对于乡村道路存在安全隐患的部位，如标志牌、警示柱、减速带、标线等的设置与修复，</w:t>
      </w:r>
      <w:proofErr w:type="gramStart"/>
      <w:r>
        <w:rPr>
          <w:rFonts w:hint="eastAsia"/>
        </w:rPr>
        <w:t>均确保</w:t>
      </w:r>
      <w:proofErr w:type="gramEnd"/>
      <w:r>
        <w:rPr>
          <w:rFonts w:hint="eastAsia"/>
        </w:rPr>
        <w:t>符合安全规范。例如，在一些事故多发路段，精准安装警示护柱，合理设置减速带，规范施</w:t>
      </w:r>
      <w:proofErr w:type="gramStart"/>
      <w:r>
        <w:rPr>
          <w:rFonts w:hint="eastAsia"/>
        </w:rPr>
        <w:t>划交通</w:t>
      </w:r>
      <w:proofErr w:type="gramEnd"/>
      <w:r>
        <w:rPr>
          <w:rFonts w:hint="eastAsia"/>
        </w:rPr>
        <w:t>标线，有效提升道路交通安全水平。同时，项目管理团队加强现场监督，定期检查工程质量，对发现的问题及时整改，保障工程质量达标。</w:t>
      </w:r>
    </w:p>
    <w:p w:rsidR="005F7E2D" w:rsidRDefault="003A1171">
      <w:pPr>
        <w:ind w:firstLine="640"/>
      </w:pPr>
      <w:r>
        <w:rPr>
          <w:rFonts w:hint="eastAsia"/>
        </w:rPr>
        <w:t>（</w:t>
      </w:r>
      <w:r>
        <w:rPr>
          <w:rFonts w:hint="eastAsia"/>
        </w:rPr>
        <w:t>3</w:t>
      </w:r>
      <w:r>
        <w:rPr>
          <w:rFonts w:hint="eastAsia"/>
        </w:rPr>
        <w:t>）安防设施完善成果：截至目前，项目按计划推进，</w:t>
      </w:r>
      <w:r>
        <w:rPr>
          <w:rFonts w:hint="eastAsia"/>
        </w:rPr>
        <w:lastRenderedPageBreak/>
        <w:t>已完成对大量乡村道路安全隐患的处理工作。村道安防</w:t>
      </w:r>
      <w:r>
        <w:rPr>
          <w:rFonts w:hint="eastAsia"/>
        </w:rPr>
        <w:t xml:space="preserve"> 18 </w:t>
      </w:r>
      <w:r>
        <w:rPr>
          <w:rFonts w:hint="eastAsia"/>
        </w:rPr>
        <w:t>公里的任务顺利完成，在各乡镇管委会</w:t>
      </w:r>
      <w:r>
        <w:rPr>
          <w:rFonts w:hint="eastAsia"/>
        </w:rPr>
        <w:t>事故多发路段，新增和修复了大量的标志标牌，清晰明确地引导车辆和行人通行；完成了多处标线施划，规范了交通秩序；修补坑槽工作有效改善了路面状况，提升行车舒适性；安装的警示护柱、减速带、爆闪灯等设施，显著增强了道路的安全性，减少事故发生风险。</w:t>
      </w:r>
    </w:p>
    <w:p w:rsidR="005F7E2D" w:rsidRDefault="003A1171">
      <w:pPr>
        <w:ind w:firstLine="643"/>
        <w:rPr>
          <w:b/>
          <w:bCs/>
        </w:rPr>
      </w:pPr>
      <w:bookmarkStart w:id="26" w:name="_Toc1111"/>
      <w:r>
        <w:rPr>
          <w:b/>
          <w:bCs/>
        </w:rPr>
        <w:t>4.</w:t>
      </w:r>
      <w:r>
        <w:rPr>
          <w:b/>
          <w:bCs/>
        </w:rPr>
        <w:t>资金投入情况</w:t>
      </w:r>
      <w:bookmarkEnd w:id="25"/>
      <w:bookmarkEnd w:id="26"/>
    </w:p>
    <w:p w:rsidR="005F7E2D" w:rsidRDefault="003A1171">
      <w:pPr>
        <w:pStyle w:val="3"/>
        <w:ind w:firstLine="640"/>
        <w:rPr>
          <w:rFonts w:eastAsia="仿宋_GB2312"/>
          <w:b w:val="0"/>
        </w:rPr>
      </w:pPr>
      <w:bookmarkStart w:id="27" w:name="OLE_LINK4"/>
      <w:bookmarkStart w:id="28" w:name="OLE_LINK5"/>
      <w:bookmarkStart w:id="29" w:name="_Toc7324"/>
      <w:r>
        <w:rPr>
          <w:rFonts w:eastAsia="仿宋_GB2312"/>
          <w:b w:val="0"/>
        </w:rPr>
        <w:t>根据</w:t>
      </w:r>
      <w:bookmarkStart w:id="30" w:name="OLE_LINK12"/>
      <w:r>
        <w:rPr>
          <w:rFonts w:eastAsia="仿宋_GB2312"/>
          <w:b w:val="0"/>
        </w:rPr>
        <w:t>《关于下达</w:t>
      </w:r>
      <w:r>
        <w:rPr>
          <w:rFonts w:eastAsia="仿宋_GB2312"/>
          <w:b w:val="0"/>
        </w:rPr>
        <w:t>2024</w:t>
      </w:r>
      <w:r>
        <w:rPr>
          <w:rFonts w:eastAsia="仿宋_GB2312"/>
          <w:b w:val="0"/>
        </w:rPr>
        <w:t>年尉犁县农村公路日常养护资金的通知》（</w:t>
      </w:r>
      <w:r>
        <w:rPr>
          <w:rFonts w:eastAsia="仿宋_GB2312" w:hint="eastAsia"/>
          <w:b w:val="0"/>
        </w:rPr>
        <w:t>尉财建</w:t>
      </w:r>
      <w:r>
        <w:rPr>
          <w:rFonts w:eastAsia="仿宋_GB2312"/>
          <w:b w:val="0"/>
        </w:rPr>
        <w:t>〔</w:t>
      </w:r>
      <w:r>
        <w:rPr>
          <w:rFonts w:eastAsia="仿宋_GB2312" w:hint="eastAsia"/>
          <w:b w:val="0"/>
        </w:rPr>
        <w:t>2024</w:t>
      </w:r>
      <w:r>
        <w:rPr>
          <w:rFonts w:eastAsia="仿宋_GB2312"/>
          <w:b w:val="0"/>
        </w:rPr>
        <w:t>〕</w:t>
      </w:r>
      <w:r>
        <w:rPr>
          <w:rFonts w:eastAsia="仿宋_GB2312" w:hint="eastAsia"/>
          <w:b w:val="0"/>
        </w:rPr>
        <w:t>83</w:t>
      </w:r>
      <w:r>
        <w:rPr>
          <w:rFonts w:eastAsia="仿宋_GB2312"/>
          <w:b w:val="0"/>
        </w:rPr>
        <w:t>号</w:t>
      </w:r>
      <w:bookmarkEnd w:id="27"/>
      <w:r>
        <w:rPr>
          <w:rFonts w:eastAsia="仿宋_GB2312" w:hint="eastAsia"/>
          <w:b w:val="0"/>
        </w:rPr>
        <w:t>）</w:t>
      </w:r>
      <w:bookmarkEnd w:id="28"/>
      <w:bookmarkEnd w:id="30"/>
      <w:r>
        <w:rPr>
          <w:rFonts w:eastAsia="仿宋_GB2312" w:hint="eastAsia"/>
          <w:b w:val="0"/>
        </w:rPr>
        <w:t>，</w:t>
      </w:r>
      <w:r>
        <w:rPr>
          <w:rFonts w:eastAsia="仿宋_GB2312"/>
          <w:b w:val="0"/>
        </w:rPr>
        <w:t>下达</w:t>
      </w:r>
      <w:r>
        <w:rPr>
          <w:rFonts w:eastAsia="仿宋_GB2312" w:hint="eastAsia"/>
          <w:b w:val="0"/>
        </w:rPr>
        <w:t>农村公路日常养护</w:t>
      </w:r>
      <w:r>
        <w:rPr>
          <w:rFonts w:eastAsia="仿宋_GB2312"/>
          <w:b w:val="0"/>
        </w:rPr>
        <w:t>资金</w:t>
      </w:r>
      <w:r>
        <w:rPr>
          <w:rFonts w:eastAsia="仿宋_GB2312" w:hint="eastAsia"/>
          <w:b w:val="0"/>
        </w:rPr>
        <w:t>214</w:t>
      </w:r>
      <w:r>
        <w:rPr>
          <w:rFonts w:eastAsia="仿宋_GB2312"/>
          <w:b w:val="0"/>
        </w:rPr>
        <w:t>万元。</w:t>
      </w:r>
    </w:p>
    <w:p w:rsidR="005F7E2D" w:rsidRDefault="003A1171">
      <w:pPr>
        <w:ind w:firstLine="640"/>
      </w:pPr>
      <w:r>
        <w:t>实施</w:t>
      </w:r>
      <w:r>
        <w:t>2024</w:t>
      </w:r>
      <w:r>
        <w:t>年尉犁县农村公路日常养护资金投</w:t>
      </w:r>
      <w:r>
        <w:rPr>
          <w:rFonts w:hint="eastAsia"/>
        </w:rPr>
        <w:t>入</w:t>
      </w:r>
      <w:r>
        <w:rPr>
          <w:rFonts w:hint="eastAsia"/>
        </w:rPr>
        <w:t>214</w:t>
      </w:r>
      <w:r>
        <w:t>万元，其中</w:t>
      </w:r>
      <w:r>
        <w:rPr>
          <w:rFonts w:hint="eastAsia"/>
        </w:rPr>
        <w:t>县级</w:t>
      </w:r>
      <w:r>
        <w:t>资金</w:t>
      </w:r>
      <w:r>
        <w:rPr>
          <w:rFonts w:hint="eastAsia"/>
        </w:rPr>
        <w:t>214</w:t>
      </w:r>
      <w:r>
        <w:t>万元</w:t>
      </w:r>
      <w:r>
        <w:t>。</w:t>
      </w:r>
    </w:p>
    <w:p w:rsidR="005F7E2D" w:rsidRDefault="003A1171">
      <w:pPr>
        <w:ind w:firstLine="643"/>
        <w:rPr>
          <w:b/>
          <w:bCs/>
        </w:rPr>
      </w:pPr>
      <w:bookmarkStart w:id="31" w:name="_Toc10837"/>
      <w:r>
        <w:rPr>
          <w:b/>
          <w:bCs/>
        </w:rPr>
        <w:t>5.</w:t>
      </w:r>
      <w:r>
        <w:rPr>
          <w:b/>
          <w:bCs/>
        </w:rPr>
        <w:t>资金使用情况</w:t>
      </w:r>
      <w:bookmarkEnd w:id="29"/>
      <w:bookmarkEnd w:id="31"/>
    </w:p>
    <w:p w:rsidR="005F7E2D" w:rsidRDefault="003A1171">
      <w:pPr>
        <w:ind w:firstLine="640"/>
      </w:pPr>
      <w:r>
        <w:rPr>
          <w:rFonts w:hint="eastAsia"/>
        </w:rPr>
        <w:t>2024</w:t>
      </w:r>
      <w:r>
        <w:rPr>
          <w:szCs w:val="32"/>
        </w:rPr>
        <w:t>年初预算数</w:t>
      </w:r>
      <w:r>
        <w:rPr>
          <w:rFonts w:hint="eastAsia"/>
          <w:szCs w:val="32"/>
        </w:rPr>
        <w:t>214</w:t>
      </w:r>
      <w:r>
        <w:t>万元</w:t>
      </w:r>
      <w:r>
        <w:t>，</w:t>
      </w:r>
      <w:r>
        <w:t>实际到位资金</w:t>
      </w:r>
      <w:r>
        <w:rPr>
          <w:rFonts w:hint="eastAsia"/>
        </w:rPr>
        <w:t>214</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214</w:t>
      </w:r>
      <w:r>
        <w:t>万元，资金</w:t>
      </w:r>
      <w:r>
        <w:t>使用</w:t>
      </w:r>
      <w:r>
        <w:t>率达到了</w:t>
      </w:r>
      <w:r>
        <w:t>100</w:t>
      </w:r>
      <w:r>
        <w:t>%</w:t>
      </w:r>
      <w:r>
        <w:t>。</w:t>
      </w:r>
      <w:proofErr w:type="gramStart"/>
      <w:r>
        <w:t>具体资金</w:t>
      </w:r>
      <w:proofErr w:type="gramEnd"/>
      <w:r>
        <w:t>支付情况</w:t>
      </w:r>
      <w:r>
        <w:rPr>
          <w:rFonts w:hint="eastAsia"/>
        </w:rPr>
        <w:t>如下</w:t>
      </w:r>
      <w:r>
        <w:t>：</w:t>
      </w:r>
    </w:p>
    <w:p w:rsidR="005F7E2D" w:rsidRDefault="003A1171">
      <w:pPr>
        <w:ind w:firstLine="640"/>
      </w:pPr>
      <w:r>
        <w:t>202</w:t>
      </w:r>
      <w:r>
        <w:rPr>
          <w:rFonts w:hint="eastAsia"/>
        </w:rPr>
        <w:t>4</w:t>
      </w:r>
      <w:r>
        <w:t>年</w:t>
      </w:r>
      <w:r>
        <w:rPr>
          <w:rFonts w:hint="eastAsia"/>
        </w:rPr>
        <w:t>12</w:t>
      </w:r>
      <w:r>
        <w:t>月</w:t>
      </w:r>
      <w:r>
        <w:rPr>
          <w:rFonts w:hint="eastAsia"/>
        </w:rPr>
        <w:t>3</w:t>
      </w:r>
      <w:r>
        <w:t>日，支付</w:t>
      </w:r>
      <w:r>
        <w:rPr>
          <w:rFonts w:hint="eastAsia"/>
        </w:rPr>
        <w:t>尉犁县达西兴业工程建设有限责任公司</w:t>
      </w:r>
      <w:r>
        <w:rPr>
          <w:rFonts w:hint="eastAsia"/>
        </w:rPr>
        <w:t>214</w:t>
      </w:r>
      <w:r>
        <w:t>万元</w:t>
      </w:r>
      <w:r>
        <w:rPr>
          <w:rFonts w:hint="eastAsia"/>
        </w:rPr>
        <w:t>。</w:t>
      </w:r>
    </w:p>
    <w:p w:rsidR="005F7E2D" w:rsidRDefault="003A1171">
      <w:pPr>
        <w:pStyle w:val="3"/>
        <w:ind w:firstLine="643"/>
        <w:rPr>
          <w:rFonts w:eastAsia="楷体"/>
        </w:rPr>
      </w:pPr>
      <w:bookmarkStart w:id="32" w:name="_Toc31302"/>
      <w:bookmarkStart w:id="33" w:name="_Toc11967"/>
      <w:bookmarkStart w:id="34" w:name="_Toc9567"/>
      <w:bookmarkStart w:id="35" w:name="_Toc14296"/>
      <w:bookmarkStart w:id="36" w:name="_Toc26395"/>
      <w:bookmarkEnd w:id="22"/>
      <w:r>
        <w:rPr>
          <w:rFonts w:eastAsia="楷体"/>
        </w:rPr>
        <w:t>（二）项目绩效目标</w:t>
      </w:r>
      <w:bookmarkEnd w:id="32"/>
      <w:bookmarkEnd w:id="33"/>
      <w:bookmarkEnd w:id="34"/>
      <w:bookmarkEnd w:id="35"/>
      <w:bookmarkEnd w:id="36"/>
    </w:p>
    <w:p w:rsidR="005F7E2D" w:rsidRDefault="003A1171">
      <w:pPr>
        <w:ind w:firstLine="643"/>
        <w:rPr>
          <w:b/>
          <w:bCs/>
        </w:rPr>
      </w:pPr>
      <w:bookmarkStart w:id="37" w:name="_Toc18809"/>
      <w:bookmarkStart w:id="38" w:name="_Toc905"/>
      <w:bookmarkStart w:id="39" w:name="OLE_LINK15"/>
      <w:r>
        <w:rPr>
          <w:b/>
          <w:bCs/>
        </w:rPr>
        <w:t>1.</w:t>
      </w:r>
      <w:r>
        <w:rPr>
          <w:b/>
          <w:bCs/>
        </w:rPr>
        <w:t>总体目标</w:t>
      </w:r>
      <w:bookmarkEnd w:id="37"/>
      <w:bookmarkEnd w:id="38"/>
    </w:p>
    <w:p w:rsidR="005F7E2D" w:rsidRDefault="003A1171">
      <w:pPr>
        <w:ind w:firstLine="640"/>
      </w:pPr>
      <w:bookmarkStart w:id="40" w:name="_Toc11195"/>
      <w:bookmarkStart w:id="41" w:name="_Toc10045"/>
      <w:r>
        <w:rPr>
          <w:rFonts w:hint="eastAsia"/>
        </w:rPr>
        <w:t>1</w:t>
      </w:r>
      <w:r>
        <w:rPr>
          <w:rFonts w:hint="eastAsia"/>
        </w:rPr>
        <w:t>、村道安防</w:t>
      </w:r>
      <w:r>
        <w:rPr>
          <w:rFonts w:hint="eastAsia"/>
        </w:rPr>
        <w:t>18</w:t>
      </w:r>
      <w:r>
        <w:rPr>
          <w:rFonts w:hint="eastAsia"/>
        </w:rPr>
        <w:t>公里；</w:t>
      </w:r>
    </w:p>
    <w:p w:rsidR="005F7E2D" w:rsidRDefault="003A1171">
      <w:pPr>
        <w:ind w:firstLine="640"/>
      </w:pPr>
      <w:r>
        <w:rPr>
          <w:rFonts w:hint="eastAsia"/>
        </w:rPr>
        <w:lastRenderedPageBreak/>
        <w:t>2</w:t>
      </w:r>
      <w:r>
        <w:rPr>
          <w:rFonts w:hint="eastAsia"/>
        </w:rPr>
        <w:t>、各乡镇管委会事故多发路段隐患整改，如：标志标牌、标线、修补坑槽、警示护柱、减速带、爆闪灯、电子哨兵、移动式红绿灯、防撞</w:t>
      </w:r>
      <w:proofErr w:type="gramStart"/>
      <w:r>
        <w:rPr>
          <w:rFonts w:hint="eastAsia"/>
        </w:rPr>
        <w:t>桶以及</w:t>
      </w:r>
      <w:proofErr w:type="gramEnd"/>
      <w:r>
        <w:rPr>
          <w:rFonts w:hint="eastAsia"/>
        </w:rPr>
        <w:t>修复破损桥栏杆等。</w:t>
      </w:r>
    </w:p>
    <w:p w:rsidR="005F7E2D" w:rsidRDefault="003A1171">
      <w:pPr>
        <w:numPr>
          <w:ilvl w:val="0"/>
          <w:numId w:val="1"/>
        </w:numPr>
        <w:ind w:firstLine="643"/>
        <w:rPr>
          <w:b/>
          <w:bCs/>
        </w:rPr>
      </w:pPr>
      <w:r>
        <w:rPr>
          <w:b/>
          <w:bCs/>
        </w:rPr>
        <w:t>阶段性目标</w:t>
      </w:r>
      <w:bookmarkEnd w:id="40"/>
      <w:bookmarkEnd w:id="41"/>
    </w:p>
    <w:p w:rsidR="005F7E2D" w:rsidRDefault="003A1171">
      <w:pPr>
        <w:ind w:firstLine="640"/>
      </w:pPr>
      <w:r>
        <w:t>（</w:t>
      </w:r>
      <w:r>
        <w:t>1</w:t>
      </w:r>
      <w:r>
        <w:t>）养护准备与病害排查：尉犁县交通运输局对辖区农村公路进行全面排查，详细记录路面破损、路</w:t>
      </w:r>
      <w:r>
        <w:t>基坍塌、桥涵病害等情况，建立病害档案。参考昌宁县做法，科学编制预防性养护计划，</w:t>
      </w:r>
      <w:proofErr w:type="gramStart"/>
      <w:r>
        <w:t>明确需</w:t>
      </w:r>
      <w:proofErr w:type="gramEnd"/>
      <w:r>
        <w:t>养护路线、工程量及处置方法。</w:t>
      </w:r>
    </w:p>
    <w:p w:rsidR="005F7E2D" w:rsidRDefault="003A1171">
      <w:pPr>
        <w:ind w:firstLine="640"/>
      </w:pPr>
      <w:r>
        <w:t>（</w:t>
      </w:r>
      <w:r>
        <w:t>2</w:t>
      </w:r>
      <w:r>
        <w:t>）预防性养护实施：抓住春季气温回升的有利时机，开展预防性养护工作。例如组织专业养护队伍，出动养护车辆及机械设备，对路面裂缝、破碎板、沉陷等病害进行集中处治，防止病害进一步恶化。</w:t>
      </w:r>
    </w:p>
    <w:p w:rsidR="005F7E2D" w:rsidRDefault="003A1171">
      <w:pPr>
        <w:ind w:firstLine="640"/>
        <w:rPr>
          <w:b/>
          <w:bCs/>
        </w:rPr>
      </w:pPr>
      <w:r>
        <w:t>（</w:t>
      </w:r>
      <w:r>
        <w:t>3</w:t>
      </w:r>
      <w:r>
        <w:t>）路长</w:t>
      </w:r>
      <w:proofErr w:type="gramStart"/>
      <w:r>
        <w:t>制推进</w:t>
      </w:r>
      <w:proofErr w:type="gramEnd"/>
      <w:r>
        <w:t>落实：依据路长制实施方案，进一步明确各级路长职责，</w:t>
      </w:r>
      <w:proofErr w:type="gramStart"/>
      <w:r>
        <w:t>完善路长运行</w:t>
      </w:r>
      <w:proofErr w:type="gramEnd"/>
      <w:r>
        <w:t>机制。</w:t>
      </w:r>
    </w:p>
    <w:p w:rsidR="005F7E2D" w:rsidRDefault="003A1171">
      <w:pPr>
        <w:pStyle w:val="2"/>
        <w:ind w:firstLine="640"/>
      </w:pPr>
      <w:bookmarkStart w:id="42" w:name="_Toc31122"/>
      <w:bookmarkStart w:id="43" w:name="_Toc6534"/>
      <w:bookmarkStart w:id="44" w:name="_Toc25321"/>
      <w:bookmarkStart w:id="45" w:name="_Toc857"/>
      <w:bookmarkStart w:id="46" w:name="_Toc6156"/>
      <w:bookmarkEnd w:id="39"/>
      <w:r>
        <w:t>二、绩效评价工作开展情况</w:t>
      </w:r>
      <w:bookmarkEnd w:id="42"/>
      <w:bookmarkEnd w:id="43"/>
      <w:bookmarkEnd w:id="44"/>
      <w:bookmarkEnd w:id="45"/>
      <w:bookmarkEnd w:id="46"/>
    </w:p>
    <w:p w:rsidR="005F7E2D" w:rsidRDefault="003A1171">
      <w:pPr>
        <w:pStyle w:val="3"/>
        <w:ind w:firstLine="643"/>
        <w:rPr>
          <w:rFonts w:eastAsia="楷体"/>
        </w:rPr>
      </w:pPr>
      <w:bookmarkStart w:id="47" w:name="_Toc32557"/>
      <w:bookmarkStart w:id="48" w:name="_Toc10300"/>
      <w:bookmarkStart w:id="49" w:name="_Toc17516"/>
      <w:bookmarkStart w:id="50" w:name="_Toc30569"/>
      <w:bookmarkStart w:id="51" w:name="OLE_LINK16"/>
      <w:r>
        <w:rPr>
          <w:rFonts w:eastAsia="楷体"/>
        </w:rPr>
        <w:t>（一）绩效评价目的、对象和范围</w:t>
      </w:r>
      <w:bookmarkEnd w:id="47"/>
      <w:bookmarkEnd w:id="48"/>
      <w:bookmarkEnd w:id="49"/>
      <w:bookmarkEnd w:id="50"/>
    </w:p>
    <w:p w:rsidR="005F7E2D" w:rsidRDefault="003A1171">
      <w:pPr>
        <w:ind w:firstLine="643"/>
        <w:rPr>
          <w:b/>
          <w:bCs/>
        </w:rPr>
      </w:pPr>
      <w:bookmarkStart w:id="52" w:name="_Toc12440"/>
      <w:bookmarkStart w:id="53" w:name="_Toc11562"/>
      <w:r>
        <w:rPr>
          <w:b/>
          <w:bCs/>
        </w:rPr>
        <w:t>1.</w:t>
      </w:r>
      <w:r>
        <w:rPr>
          <w:b/>
          <w:bCs/>
        </w:rPr>
        <w:t>绩效评价目的</w:t>
      </w:r>
      <w:bookmarkEnd w:id="52"/>
      <w:bookmarkEnd w:id="53"/>
    </w:p>
    <w:p w:rsidR="005F7E2D" w:rsidRDefault="003A1171">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年尉犁县农村公路日常养护资金</w:t>
      </w:r>
      <w:r>
        <w:t>预算编制合理性、资金使用合</w:t>
      </w:r>
      <w:proofErr w:type="gramStart"/>
      <w:r>
        <w:t>规</w:t>
      </w:r>
      <w:proofErr w:type="gramEnd"/>
      <w:r>
        <w:t>性、项目管理的规范性、项目目标的实现情况、服务对象的满意度等，通过部门自评来总结经验，促进项目成</w:t>
      </w:r>
      <w:r>
        <w:lastRenderedPageBreak/>
        <w:t>果转化和应用，查找其存在的不足，为今后类似项目的长效管理，资金使用规范性以及加强制定相关制度、采取措施等方面提供参考，不断提高财政资金使用效益和项目管理水平。</w:t>
      </w:r>
      <w:r>
        <w:rPr>
          <w:rFonts w:hint="eastAsia"/>
        </w:rPr>
        <w:t>具体绩效评价的目的细分如下：</w:t>
      </w:r>
    </w:p>
    <w:p w:rsidR="005F7E2D" w:rsidRDefault="003A1171">
      <w:pPr>
        <w:ind w:firstLine="640"/>
      </w:pPr>
      <w:r>
        <w:rPr>
          <w:rFonts w:hint="eastAsia"/>
        </w:rPr>
        <w:t>一是：通过部门项目支出绩效评价，进一步严格落实《中华人民共和国预算法》以及党中央、国务院关于</w:t>
      </w:r>
      <w:r>
        <w:rPr>
          <w:rFonts w:hint="eastAsia"/>
        </w:rPr>
        <w:t>加强预算绩效管理的指示精神，建立健全“花钱必问效、无效必问责”的绩效预算管理机制</w:t>
      </w:r>
      <w:r>
        <w:rPr>
          <w:rFonts w:hint="eastAsia"/>
        </w:rPr>
        <w:t>，</w:t>
      </w:r>
      <w:r>
        <w:rPr>
          <w:rFonts w:hint="eastAsia"/>
        </w:rPr>
        <w:t>提升财政资金的使用效能。</w:t>
      </w:r>
    </w:p>
    <w:p w:rsidR="005F7E2D" w:rsidRDefault="003A1171">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F7E2D" w:rsidRDefault="003A1171">
      <w:pPr>
        <w:ind w:firstLine="640"/>
      </w:pPr>
      <w:r>
        <w:rPr>
          <w:rFonts w:hint="eastAsia"/>
        </w:rPr>
        <w:t>三是：通过部门项目支出绩效评价，进一步纠正对绩效管理理解上的偏差，建立更加全面科学的绩效指标体系，督促在预算编制中，将资金申请、绩效目标和具体指</w:t>
      </w:r>
      <w:r>
        <w:rPr>
          <w:rFonts w:hint="eastAsia"/>
        </w:rPr>
        <w:t>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5F7E2D" w:rsidRDefault="003A1171">
      <w:pPr>
        <w:ind w:firstLine="640"/>
      </w:pPr>
      <w:r>
        <w:rPr>
          <w:rFonts w:hint="eastAsia"/>
        </w:rPr>
        <w:t>四是：通过部门项目支出绩效评价，从绩效的角度发现</w:t>
      </w:r>
      <w:r>
        <w:rPr>
          <w:rFonts w:hint="eastAsia"/>
        </w:rPr>
        <w:lastRenderedPageBreak/>
        <w:t>本项目在决策、实施和管理过程中存在的问题，寻求解决方案，为进一步深化项目管理工作提供依据，以促进项目进一步的推进和后期项目维护和评价工作提供更深一步的理论和实际支持。</w:t>
      </w:r>
    </w:p>
    <w:p w:rsidR="005F7E2D" w:rsidRDefault="003A1171">
      <w:pPr>
        <w:ind w:firstLine="643"/>
        <w:rPr>
          <w:b/>
          <w:bCs/>
        </w:rPr>
      </w:pPr>
      <w:bookmarkStart w:id="54" w:name="_Toc8924"/>
      <w:bookmarkStart w:id="55" w:name="_Toc2159"/>
      <w:r>
        <w:rPr>
          <w:b/>
          <w:bCs/>
        </w:rPr>
        <w:t>2.</w:t>
      </w:r>
      <w:r>
        <w:rPr>
          <w:b/>
          <w:bCs/>
        </w:rPr>
        <w:t>绩效评价对象</w:t>
      </w:r>
      <w:bookmarkEnd w:id="54"/>
      <w:r>
        <w:rPr>
          <w:b/>
          <w:bCs/>
        </w:rPr>
        <w:t>和范围</w:t>
      </w:r>
      <w:bookmarkEnd w:id="55"/>
    </w:p>
    <w:p w:rsidR="005F7E2D" w:rsidRDefault="003A1171">
      <w:pPr>
        <w:ind w:firstLine="640"/>
      </w:pPr>
      <w:r>
        <w:t>根据《财政支出绩效评价管理办法》（财预〔</w:t>
      </w:r>
      <w:r>
        <w:t>2020</w:t>
      </w:r>
      <w:r>
        <w:t>〕</w:t>
      </w:r>
      <w:r>
        <w:t>10</w:t>
      </w:r>
      <w:r>
        <w:t>号）文件要求，对</w:t>
      </w:r>
      <w:r>
        <w:rPr>
          <w:rFonts w:hint="eastAsia"/>
        </w:rPr>
        <w:t>2024</w:t>
      </w:r>
      <w:r>
        <w:rPr>
          <w:rFonts w:hint="eastAsia"/>
        </w:rPr>
        <w:t>年尉犁县农村公路日常养护资金</w:t>
      </w:r>
      <w:r>
        <w:t>开展绩效评价，本次绩效评价范围主要围绕项目决策（包括项目立项、绩效目标、资金投入）、项目过程（包括资金管理、组织实施）、项目产出（包括产出数量、质量、时效、成本）和项目效益等进行评价。</w:t>
      </w:r>
    </w:p>
    <w:p w:rsidR="005F7E2D" w:rsidRDefault="003A1171">
      <w:pPr>
        <w:pStyle w:val="3"/>
        <w:ind w:firstLine="643"/>
        <w:rPr>
          <w:rFonts w:ascii="楷体" w:eastAsia="楷体" w:hAnsi="楷体" w:cs="楷体"/>
        </w:rPr>
      </w:pPr>
      <w:bookmarkStart w:id="56" w:name="_Toc19566"/>
      <w:bookmarkStart w:id="57" w:name="_Toc15409"/>
      <w:bookmarkStart w:id="58" w:name="_Toc17158"/>
      <w:bookmarkStart w:id="59" w:name="_Toc13496"/>
      <w:bookmarkStart w:id="60" w:name="OLE_LINK17"/>
      <w:bookmarkEnd w:id="51"/>
      <w:r>
        <w:rPr>
          <w:rFonts w:ascii="楷体" w:eastAsia="楷体" w:hAnsi="楷体" w:cs="楷体" w:hint="eastAsia"/>
        </w:rPr>
        <w:t>（二）绩效评价原则、评价指标体系、评价方法、评价标准</w:t>
      </w:r>
      <w:bookmarkEnd w:id="56"/>
      <w:bookmarkEnd w:id="57"/>
      <w:bookmarkEnd w:id="58"/>
      <w:bookmarkEnd w:id="59"/>
    </w:p>
    <w:p w:rsidR="005F7E2D" w:rsidRDefault="003A1171">
      <w:pPr>
        <w:ind w:firstLine="643"/>
        <w:rPr>
          <w:b/>
          <w:bCs/>
        </w:rPr>
      </w:pPr>
      <w:bookmarkStart w:id="61" w:name="_Toc18268"/>
      <w:bookmarkStart w:id="62" w:name="_Toc23487"/>
      <w:r>
        <w:rPr>
          <w:b/>
          <w:bCs/>
        </w:rPr>
        <w:t>1.</w:t>
      </w:r>
      <w:r>
        <w:rPr>
          <w:b/>
          <w:bCs/>
        </w:rPr>
        <w:t>绩效评价原则</w:t>
      </w:r>
      <w:bookmarkEnd w:id="61"/>
      <w:bookmarkEnd w:id="62"/>
    </w:p>
    <w:p w:rsidR="005F7E2D" w:rsidRDefault="003A1171">
      <w:pPr>
        <w:ind w:firstLine="640"/>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bookmarkStart w:id="63" w:name="OLE_LINK35"/>
      <w:r>
        <w:rPr>
          <w:rFonts w:hint="eastAsia"/>
        </w:rPr>
        <w:t>〔</w:t>
      </w:r>
      <w:r>
        <w:rPr>
          <w:rFonts w:hint="eastAsia"/>
        </w:rPr>
        <w:t>2020</w:t>
      </w:r>
      <w:r>
        <w:rPr>
          <w:rFonts w:hint="eastAsia"/>
        </w:rPr>
        <w:t>〕</w:t>
      </w:r>
      <w:r>
        <w:rPr>
          <w:rFonts w:hint="eastAsia"/>
        </w:rPr>
        <w:t>10</w:t>
      </w:r>
      <w:r>
        <w:rPr>
          <w:rFonts w:hint="eastAsia"/>
        </w:rPr>
        <w:t>号</w:t>
      </w:r>
      <w:bookmarkEnd w:id="63"/>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5F7E2D" w:rsidRDefault="003A1171">
      <w:pPr>
        <w:ind w:firstLine="640"/>
      </w:pPr>
      <w:bookmarkStart w:id="64" w:name="OLE_LINK2"/>
      <w:r>
        <w:t>（</w:t>
      </w:r>
      <w:r>
        <w:t>1</w:t>
      </w:r>
      <w:r>
        <w:t>）</w:t>
      </w:r>
      <w:bookmarkEnd w:id="64"/>
      <w:r>
        <w:t>科学公正。绩效评价应当运用科学合理的方法，</w:t>
      </w:r>
      <w:r>
        <w:lastRenderedPageBreak/>
        <w:t>按照规范的程序，对项目绩效进行客观、</w:t>
      </w:r>
      <w:r>
        <w:t>公正地反映</w:t>
      </w:r>
      <w:r>
        <w:t>。</w:t>
      </w:r>
    </w:p>
    <w:p w:rsidR="005F7E2D" w:rsidRDefault="003A1171">
      <w:pPr>
        <w:ind w:firstLine="640"/>
      </w:pPr>
      <w:r>
        <w:t>（</w:t>
      </w:r>
      <w:r>
        <w:t>2</w:t>
      </w:r>
      <w:r>
        <w:t>）统筹兼顾。单位自评应由项目单位自主实施，即</w:t>
      </w:r>
      <w:r>
        <w:t>“</w:t>
      </w:r>
      <w:r>
        <w:t>谁支出、谁自评</w:t>
      </w:r>
      <w:r>
        <w:t>”</w:t>
      </w:r>
      <w:r>
        <w:t>。</w:t>
      </w:r>
    </w:p>
    <w:p w:rsidR="005F7E2D" w:rsidRDefault="003A1171">
      <w:pPr>
        <w:ind w:firstLine="640"/>
      </w:pPr>
      <w:r>
        <w:t>（</w:t>
      </w:r>
      <w:r>
        <w:t>3</w:t>
      </w:r>
      <w:r>
        <w:t>）激励约束。绩效评价结果应与预算安排、政策调整、改进管理实质性挂钩，体现奖优罚劣和激励相容导向，有效要安排、低效要压减、无效要问</w:t>
      </w:r>
      <w:r>
        <w:t>责。</w:t>
      </w:r>
    </w:p>
    <w:p w:rsidR="005F7E2D" w:rsidRDefault="003A1171">
      <w:pPr>
        <w:ind w:firstLine="640"/>
      </w:pPr>
      <w:r>
        <w:t>（</w:t>
      </w:r>
      <w:r>
        <w:t>4</w:t>
      </w:r>
      <w:r>
        <w:t>）公开透明。</w:t>
      </w:r>
      <w:r>
        <w:t>本次项目支出绩效评价结果已依法依规在</w:t>
      </w:r>
      <w:r>
        <w:rPr>
          <w:rFonts w:hint="eastAsia"/>
        </w:rPr>
        <w:t>尉犁县</w:t>
      </w:r>
      <w:r>
        <w:t>人民政府网站上公开，并自觉接受社会监督</w:t>
      </w:r>
      <w:r>
        <w:t>。</w:t>
      </w:r>
    </w:p>
    <w:p w:rsidR="005F7E2D" w:rsidRDefault="003A1171">
      <w:pPr>
        <w:snapToGrid w:val="0"/>
        <w:ind w:firstLine="640"/>
      </w:pPr>
      <w:r>
        <w:rPr>
          <w:rFonts w:hint="eastAsia"/>
        </w:rPr>
        <w:t>根据以上原则</w:t>
      </w:r>
      <w:r>
        <w:rPr>
          <w:rFonts w:hint="eastAsia"/>
        </w:rPr>
        <w:t>，</w:t>
      </w:r>
      <w:r>
        <w:rPr>
          <w:rFonts w:hint="eastAsia"/>
        </w:rPr>
        <w:t>绩效评价应遵循如下要求</w:t>
      </w:r>
      <w:r>
        <w:rPr>
          <w:rFonts w:hint="eastAsia"/>
        </w:rPr>
        <w:t>:</w:t>
      </w:r>
    </w:p>
    <w:p w:rsidR="005F7E2D" w:rsidRDefault="003A1171">
      <w:pPr>
        <w:snapToGrid w:val="0"/>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5F7E2D" w:rsidRDefault="003A1171">
      <w:pPr>
        <w:snapToGrid w:val="0"/>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5F7E2D" w:rsidRDefault="003A1171">
      <w:pPr>
        <w:snapToGrid w:val="0"/>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5F7E2D" w:rsidRDefault="003A1171">
      <w:pPr>
        <w:ind w:firstLine="643"/>
        <w:rPr>
          <w:b/>
          <w:bCs/>
        </w:rPr>
      </w:pPr>
      <w:bookmarkStart w:id="65" w:name="_Toc28342"/>
      <w:bookmarkStart w:id="66" w:name="_Toc23112"/>
      <w:r>
        <w:rPr>
          <w:b/>
          <w:bCs/>
        </w:rPr>
        <w:t>2.</w:t>
      </w:r>
      <w:r>
        <w:rPr>
          <w:b/>
          <w:bCs/>
        </w:rPr>
        <w:t>评价指标体系</w:t>
      </w:r>
      <w:bookmarkEnd w:id="65"/>
      <w:bookmarkEnd w:id="66"/>
    </w:p>
    <w:p w:rsidR="005F7E2D" w:rsidRDefault="003A1171">
      <w:pPr>
        <w:ind w:firstLine="640"/>
      </w:pPr>
      <w:r>
        <w:rPr>
          <w:rFonts w:hint="eastAsia"/>
        </w:rPr>
        <w:t>2024</w:t>
      </w:r>
      <w:r>
        <w:rPr>
          <w:rFonts w:hint="eastAsia"/>
        </w:rPr>
        <w:t>年尉犁县农村公路日常养护资金</w:t>
      </w:r>
      <w:r>
        <w:t>绩效评价（部门自评）指标体系的设计，是在充分掌握项目状况的基础上，形</w:t>
      </w:r>
      <w:r>
        <w:lastRenderedPageBreak/>
        <w:t>成了</w:t>
      </w:r>
      <w:r>
        <w:rPr>
          <w:rFonts w:hint="eastAsia"/>
        </w:rPr>
        <w:t>2024</w:t>
      </w:r>
      <w:r>
        <w:rPr>
          <w:rFonts w:hint="eastAsia"/>
        </w:rPr>
        <w:t>年尉犁县农村公路日常养护资金</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5F7E2D" w:rsidRDefault="003A1171">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7" w:name="_Toc15680"/>
      <w:bookmarkStart w:id="68" w:name="_Toc10631"/>
      <w:bookmarkStart w:id="69" w:name="OLE_LINK18"/>
      <w:bookmarkEnd w:id="60"/>
      <w:r>
        <w:rPr>
          <w:rFonts w:hint="eastAsia"/>
        </w:rPr>
        <w:t>（详见：附表</w:t>
      </w:r>
      <w:r>
        <w:rPr>
          <w:rFonts w:hint="eastAsia"/>
        </w:rPr>
        <w:t>2</w:t>
      </w:r>
      <w:r>
        <w:rPr>
          <w:rFonts w:hint="eastAsia"/>
        </w:rPr>
        <w:t>）</w:t>
      </w:r>
    </w:p>
    <w:p w:rsidR="005F7E2D" w:rsidRDefault="003A1171">
      <w:pPr>
        <w:ind w:firstLine="643"/>
        <w:rPr>
          <w:b/>
          <w:bCs/>
        </w:rPr>
      </w:pPr>
      <w:r>
        <w:rPr>
          <w:b/>
          <w:bCs/>
        </w:rPr>
        <w:t>3.</w:t>
      </w:r>
      <w:r>
        <w:rPr>
          <w:b/>
          <w:bCs/>
        </w:rPr>
        <w:t>绩效评价方法</w:t>
      </w:r>
      <w:bookmarkEnd w:id="67"/>
      <w:bookmarkEnd w:id="68"/>
    </w:p>
    <w:p w:rsidR="005F7E2D" w:rsidRDefault="003A1171">
      <w:pPr>
        <w:ind w:firstLine="640"/>
      </w:pPr>
      <w:r>
        <w:t>结合</w:t>
      </w:r>
      <w:r>
        <w:t>2024</w:t>
      </w:r>
      <w:r>
        <w:rPr>
          <w:rFonts w:ascii="仿宋_GB2312" w:hAnsi="仿宋_GB2312" w:cs="仿宋_GB2312" w:hint="eastAsia"/>
        </w:rPr>
        <w:t>年尉犁县农村公路日常养护资金</w:t>
      </w:r>
      <w:r>
        <w:t>的特点，</w:t>
      </w:r>
      <w:r>
        <w:t>本项目绩效评价将项目实施情况即实际完成的</w:t>
      </w:r>
      <w:r>
        <w:rPr>
          <w:rFonts w:hint="eastAsia"/>
        </w:rPr>
        <w:t>完成村道安防里程、覆盖乡镇个数、工程验收合格率</w:t>
      </w:r>
      <w:r>
        <w:t>等指标与年初设定的目标值进行比较</w:t>
      </w:r>
      <w:r>
        <w:t>。</w:t>
      </w:r>
      <w:r>
        <w:rPr>
          <w:rFonts w:hint="eastAsia"/>
        </w:rPr>
        <w:t>并且通过公众评判。</w:t>
      </w:r>
      <w:r>
        <w:t>因此，采取的绩效评价方法是：比较法</w:t>
      </w:r>
      <w:r>
        <w:rPr>
          <w:rFonts w:hint="eastAsia"/>
        </w:rPr>
        <w:t>、</w:t>
      </w:r>
      <w:bookmarkStart w:id="70" w:name="OLE_LINK34"/>
      <w:r>
        <w:rPr>
          <w:rFonts w:hint="eastAsia"/>
        </w:rPr>
        <w:t>公众评判</w:t>
      </w:r>
      <w:bookmarkEnd w:id="70"/>
      <w:r>
        <w:rPr>
          <w:rFonts w:hint="eastAsia"/>
        </w:rPr>
        <w:t>法</w:t>
      </w:r>
      <w:r>
        <w:t>。</w:t>
      </w:r>
    </w:p>
    <w:p w:rsidR="005F7E2D" w:rsidRDefault="003A1171">
      <w:pPr>
        <w:ind w:firstLine="643"/>
        <w:rPr>
          <w:b/>
          <w:bCs/>
        </w:rPr>
      </w:pPr>
      <w:bookmarkStart w:id="71" w:name="_Toc3155"/>
      <w:bookmarkStart w:id="72" w:name="_Toc15525"/>
      <w:r>
        <w:rPr>
          <w:b/>
          <w:bCs/>
        </w:rPr>
        <w:t>4.</w:t>
      </w:r>
      <w:r>
        <w:rPr>
          <w:b/>
          <w:bCs/>
        </w:rPr>
        <w:t>绩效评价标准</w:t>
      </w:r>
      <w:bookmarkEnd w:id="71"/>
      <w:bookmarkEnd w:id="72"/>
    </w:p>
    <w:p w:rsidR="005F7E2D" w:rsidRDefault="003A1171">
      <w:pPr>
        <w:ind w:firstLine="640"/>
      </w:pPr>
      <w:r>
        <w:t>绩效评价标准通常包括计划标准、行业标准、历史标准等，用于对绩效指标完成情况进行比较。</w:t>
      </w:r>
    </w:p>
    <w:p w:rsidR="005F7E2D" w:rsidRDefault="003A1171">
      <w:pPr>
        <w:pStyle w:val="a3"/>
        <w:ind w:firstLine="640"/>
        <w:jc w:val="both"/>
      </w:pPr>
      <w:r>
        <w:t>结合</w:t>
      </w:r>
      <w:r>
        <w:rPr>
          <w:rFonts w:hint="eastAsia"/>
        </w:rPr>
        <w:t>2024</w:t>
      </w:r>
      <w:r>
        <w:rPr>
          <w:rFonts w:hint="eastAsia"/>
        </w:rPr>
        <w:t>年尉犁县农村公路日常养护资金</w:t>
      </w:r>
      <w:r>
        <w:t>的特点，</w:t>
      </w:r>
      <w:bookmarkStart w:id="73" w:name="_Toc30219"/>
      <w:bookmarkStart w:id="74" w:name="_Toc15381"/>
      <w:bookmarkStart w:id="75" w:name="_Toc17851"/>
      <w:bookmarkStart w:id="76" w:name="_Toc26411"/>
      <w:r>
        <w:rPr>
          <w:bCs/>
          <w:szCs w:val="32"/>
        </w:rPr>
        <w:t>本项目绩效评价以预先制定的</w:t>
      </w:r>
      <w:bookmarkStart w:id="77" w:name="OLE_LINK31"/>
      <w:r>
        <w:rPr>
          <w:rFonts w:hint="eastAsia"/>
          <w:bCs/>
          <w:szCs w:val="32"/>
        </w:rPr>
        <w:t>完成村道安防里程</w:t>
      </w:r>
      <w:r>
        <w:rPr>
          <w:rFonts w:hint="eastAsia"/>
          <w:bCs/>
          <w:szCs w:val="32"/>
        </w:rPr>
        <w:t>18</w:t>
      </w:r>
      <w:r>
        <w:rPr>
          <w:rFonts w:hint="eastAsia"/>
          <w:bCs/>
          <w:szCs w:val="32"/>
        </w:rPr>
        <w:t>公里、覆盖乡镇</w:t>
      </w:r>
      <w:r>
        <w:rPr>
          <w:rFonts w:hint="eastAsia"/>
          <w:bCs/>
          <w:szCs w:val="32"/>
        </w:rPr>
        <w:t>8</w:t>
      </w:r>
      <w:r>
        <w:rPr>
          <w:rFonts w:hint="eastAsia"/>
          <w:bCs/>
          <w:szCs w:val="32"/>
        </w:rPr>
        <w:t>个</w:t>
      </w:r>
      <w:bookmarkEnd w:id="77"/>
      <w:r>
        <w:rPr>
          <w:bCs/>
          <w:szCs w:val="32"/>
        </w:rPr>
        <w:t>为计划数作为评价标准；同时参照</w:t>
      </w:r>
      <w:r>
        <w:t>有关</w:t>
      </w:r>
      <w:r>
        <w:rPr>
          <w:rFonts w:hint="eastAsia"/>
        </w:rPr>
        <w:t>农村公路日常养护</w:t>
      </w:r>
      <w:r>
        <w:t>等同类项目建设的行业标准</w:t>
      </w:r>
      <w:r>
        <w:rPr>
          <w:bCs/>
          <w:szCs w:val="32"/>
        </w:rPr>
        <w:t>来制定评价标准。因此，采取的绩效评价标准为：计划标准、行业标准。</w:t>
      </w:r>
    </w:p>
    <w:bookmarkEnd w:id="69"/>
    <w:p w:rsidR="005F7E2D" w:rsidRDefault="003A1171">
      <w:pPr>
        <w:pStyle w:val="3"/>
        <w:ind w:firstLine="643"/>
        <w:rPr>
          <w:rFonts w:ascii="楷体" w:eastAsia="楷体" w:hAnsi="楷体" w:cs="楷体"/>
        </w:rPr>
      </w:pPr>
      <w:r>
        <w:rPr>
          <w:rFonts w:ascii="楷体" w:eastAsia="楷体" w:hAnsi="楷体" w:cs="楷体" w:hint="eastAsia"/>
        </w:rPr>
        <w:lastRenderedPageBreak/>
        <w:t>（三）绩效评价工作过程</w:t>
      </w:r>
      <w:bookmarkEnd w:id="73"/>
      <w:bookmarkEnd w:id="74"/>
      <w:bookmarkEnd w:id="75"/>
      <w:bookmarkEnd w:id="76"/>
    </w:p>
    <w:p w:rsidR="005F7E2D" w:rsidRDefault="003A1171">
      <w:pPr>
        <w:ind w:firstLine="643"/>
        <w:rPr>
          <w:b/>
          <w:bCs/>
        </w:rPr>
      </w:pPr>
      <w:bookmarkStart w:id="78" w:name="_Toc22987"/>
      <w:bookmarkStart w:id="79" w:name="_Toc30911"/>
      <w:bookmarkStart w:id="80" w:name="_Toc17595"/>
      <w:bookmarkStart w:id="81" w:name="_Toc27442"/>
      <w:bookmarkStart w:id="82" w:name="_Toc31054"/>
      <w:bookmarkStart w:id="83" w:name="OLE_LINK19"/>
      <w:r>
        <w:rPr>
          <w:b/>
          <w:bCs/>
        </w:rPr>
        <w:t>1.</w:t>
      </w:r>
      <w:r>
        <w:rPr>
          <w:b/>
          <w:bCs/>
        </w:rPr>
        <w:t>前期准备</w:t>
      </w:r>
      <w:bookmarkEnd w:id="78"/>
      <w:bookmarkEnd w:id="79"/>
      <w:bookmarkEnd w:id="80"/>
      <w:bookmarkEnd w:id="81"/>
      <w:bookmarkEnd w:id="82"/>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5F7E2D" w:rsidRDefault="003A1171">
      <w:pPr>
        <w:spacing w:line="600" w:lineRule="exact"/>
        <w:ind w:firstLine="640"/>
        <w:rPr>
          <w:bCs/>
          <w:szCs w:val="32"/>
        </w:rPr>
      </w:pPr>
      <w:bookmarkStart w:id="84"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bCs/>
          <w:szCs w:val="32"/>
        </w:rPr>
        <w:t>，</w:t>
      </w:r>
      <w:r>
        <w:rPr>
          <w:rFonts w:hint="eastAsia"/>
          <w:bCs/>
          <w:szCs w:val="32"/>
        </w:rPr>
        <w:t>尉犁县交通运输局</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5F7E2D" w:rsidRDefault="003A1171">
      <w:pPr>
        <w:pStyle w:val="3"/>
        <w:ind w:firstLine="640"/>
        <w:rPr>
          <w:rFonts w:eastAsia="仿宋_GB2312"/>
          <w:b w:val="0"/>
          <w:bCs/>
          <w:szCs w:val="32"/>
        </w:rPr>
      </w:pPr>
      <w:bookmarkStart w:id="85" w:name="OLE_LINK14"/>
      <w:r>
        <w:rPr>
          <w:rFonts w:eastAsia="仿宋_GB2312"/>
          <w:b w:val="0"/>
          <w:bCs/>
          <w:szCs w:val="32"/>
        </w:rPr>
        <w:t>评价小组组长：</w:t>
      </w:r>
      <w:r>
        <w:rPr>
          <w:rFonts w:eastAsia="仿宋_GB2312" w:hint="eastAsia"/>
          <w:b w:val="0"/>
          <w:bCs/>
          <w:szCs w:val="32"/>
        </w:rPr>
        <w:t>陈亚飞，</w:t>
      </w:r>
      <w:r>
        <w:rPr>
          <w:rFonts w:eastAsia="仿宋_GB2312"/>
          <w:b w:val="0"/>
          <w:bCs/>
          <w:szCs w:val="32"/>
        </w:rPr>
        <w:t>主要负责协调相关科室、部门对项目整体运行情况进行验收、评估。</w:t>
      </w:r>
    </w:p>
    <w:p w:rsidR="005F7E2D" w:rsidRDefault="003A1171">
      <w:pPr>
        <w:pStyle w:val="3"/>
        <w:ind w:firstLine="640"/>
        <w:rPr>
          <w:rFonts w:eastAsia="仿宋_GB2312"/>
          <w:b w:val="0"/>
          <w:bCs/>
          <w:szCs w:val="32"/>
        </w:rPr>
      </w:pPr>
      <w:r>
        <w:rPr>
          <w:rFonts w:eastAsia="仿宋_GB2312"/>
          <w:b w:val="0"/>
          <w:bCs/>
          <w:szCs w:val="32"/>
        </w:rPr>
        <w:t>评价小组组员：</w:t>
      </w:r>
      <w:r>
        <w:rPr>
          <w:rFonts w:eastAsia="仿宋_GB2312" w:hint="eastAsia"/>
          <w:b w:val="0"/>
          <w:bCs/>
          <w:szCs w:val="32"/>
        </w:rPr>
        <w:t>艾尼帕木·司马义</w:t>
      </w:r>
      <w:r>
        <w:rPr>
          <w:rFonts w:eastAsia="仿宋_GB2312"/>
          <w:b w:val="0"/>
          <w:bCs/>
          <w:szCs w:val="32"/>
        </w:rPr>
        <w:t>，主要负责制</w:t>
      </w:r>
      <w:proofErr w:type="gramStart"/>
      <w:r>
        <w:rPr>
          <w:rFonts w:eastAsia="仿宋_GB2312"/>
          <w:b w:val="0"/>
          <w:bCs/>
          <w:szCs w:val="32"/>
        </w:rPr>
        <w:t>定评价</w:t>
      </w:r>
      <w:proofErr w:type="gramEnd"/>
      <w:r>
        <w:rPr>
          <w:rFonts w:eastAsia="仿宋_GB2312"/>
          <w:b w:val="0"/>
          <w:bCs/>
          <w:szCs w:val="32"/>
        </w:rPr>
        <w:t>指标体系及评价标准。</w:t>
      </w:r>
    </w:p>
    <w:p w:rsidR="005F7E2D" w:rsidRDefault="003A1171">
      <w:pPr>
        <w:pStyle w:val="3"/>
        <w:ind w:firstLine="640"/>
      </w:pPr>
      <w:r>
        <w:rPr>
          <w:rFonts w:eastAsia="仿宋_GB2312"/>
          <w:b w:val="0"/>
          <w:bCs/>
          <w:szCs w:val="32"/>
        </w:rPr>
        <w:t>评价小组组员：</w:t>
      </w:r>
      <w:r>
        <w:rPr>
          <w:rFonts w:eastAsia="仿宋_GB2312" w:hint="eastAsia"/>
          <w:b w:val="0"/>
          <w:bCs/>
          <w:szCs w:val="32"/>
        </w:rPr>
        <w:t>克来木·马那甫</w:t>
      </w:r>
      <w:r>
        <w:rPr>
          <w:rFonts w:eastAsia="仿宋_GB2312"/>
          <w:b w:val="0"/>
          <w:bCs/>
          <w:szCs w:val="32"/>
        </w:rPr>
        <w:t>，主要负责</w:t>
      </w:r>
      <w:r>
        <w:rPr>
          <w:rFonts w:eastAsia="仿宋_GB2312"/>
          <w:b w:val="0"/>
          <w:bCs/>
          <w:szCs w:val="32"/>
        </w:rPr>
        <w:t>2024</w:t>
      </w:r>
      <w:r>
        <w:rPr>
          <w:rFonts w:eastAsia="仿宋_GB2312"/>
          <w:b w:val="0"/>
          <w:bCs/>
          <w:szCs w:val="32"/>
        </w:rPr>
        <w:t>年中央对地方成品油税费改革转移支付资金用于农村公路养护专项资金</w:t>
      </w:r>
      <w:proofErr w:type="gramStart"/>
      <w:r>
        <w:rPr>
          <w:rFonts w:eastAsia="仿宋_GB2312"/>
          <w:b w:val="0"/>
          <w:bCs/>
          <w:szCs w:val="32"/>
        </w:rPr>
        <w:t>项目项目</w:t>
      </w:r>
      <w:proofErr w:type="gramEnd"/>
      <w:r>
        <w:rPr>
          <w:rFonts w:eastAsia="仿宋_GB2312"/>
          <w:b w:val="0"/>
          <w:bCs/>
          <w:szCs w:val="32"/>
        </w:rPr>
        <w:t>实施、监督、评估工作。</w:t>
      </w:r>
      <w:bookmarkEnd w:id="85"/>
    </w:p>
    <w:p w:rsidR="005F7E2D" w:rsidRDefault="003A1171">
      <w:pPr>
        <w:ind w:firstLine="643"/>
        <w:rPr>
          <w:b/>
          <w:bCs/>
        </w:rPr>
      </w:pPr>
      <w:r>
        <w:rPr>
          <w:b/>
          <w:bCs/>
        </w:rPr>
        <w:t>2.</w:t>
      </w:r>
      <w:r>
        <w:rPr>
          <w:b/>
          <w:bCs/>
        </w:rPr>
        <w:t>组织实施</w:t>
      </w:r>
      <w:bookmarkEnd w:id="8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p w:rsidR="005F7E2D" w:rsidRDefault="003A1171">
      <w:pPr>
        <w:ind w:firstLine="640"/>
      </w:pPr>
      <w:r>
        <w:t>评价的具体实施根据评价指标及评价工作要求，对具体评价内容和不同环节，采用以下取得的资料与评价方式。</w:t>
      </w:r>
    </w:p>
    <w:p w:rsidR="005F7E2D" w:rsidRDefault="003A1171">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5F7E2D" w:rsidRDefault="003A1171">
      <w:pPr>
        <w:ind w:firstLine="640"/>
      </w:pPr>
      <w:r>
        <w:lastRenderedPageBreak/>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5F7E2D" w:rsidRDefault="003A117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5F7E2D" w:rsidRDefault="003A1171">
      <w:pPr>
        <w:ind w:firstLine="640"/>
      </w:pPr>
      <w:r>
        <w:t>（</w:t>
      </w:r>
      <w:r>
        <w:rPr>
          <w:rFonts w:hint="eastAsia"/>
        </w:rPr>
        <w:t>4</w:t>
      </w:r>
      <w:r>
        <w:t>）项目评价小组人员与专业技术人员相</w:t>
      </w:r>
      <w:r>
        <w:t>结合评价。对绩效评价工作专业性较强的内容，在评价工作过程中，采用以专业技术人员与有关科（股）室、其他部门专业人员进行评价相结合的方式，分别对相关专业指标进行现场问询、检验和考查。</w:t>
      </w:r>
    </w:p>
    <w:p w:rsidR="005F7E2D" w:rsidRDefault="003A1171">
      <w:pPr>
        <w:ind w:firstLine="643"/>
        <w:rPr>
          <w:b/>
          <w:bCs/>
        </w:rPr>
      </w:pPr>
      <w:bookmarkStart w:id="86" w:name="_Toc19781"/>
      <w:r>
        <w:rPr>
          <w:b/>
          <w:bCs/>
        </w:rPr>
        <w:t>3.</w:t>
      </w:r>
      <w:r>
        <w:rPr>
          <w:b/>
          <w:bCs/>
        </w:rPr>
        <w:t>数据集中分析</w:t>
      </w:r>
      <w:bookmarkEnd w:id="86"/>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p w:rsidR="005F7E2D" w:rsidRDefault="003A1171">
      <w:pPr>
        <w:ind w:firstLine="640"/>
      </w:pPr>
      <w:r>
        <w:t>对相关资料，包括资金文件、项目实施方案、相关管理办法，问卷调查等进行集中分析。在查阅大量项目资料的基础上，根据考察、考评的结果进行整理、分析。</w:t>
      </w:r>
    </w:p>
    <w:p w:rsidR="005F7E2D" w:rsidRDefault="003A1171">
      <w:pPr>
        <w:ind w:firstLine="643"/>
        <w:rPr>
          <w:b/>
          <w:bCs/>
        </w:rPr>
      </w:pPr>
      <w:bookmarkStart w:id="87" w:name="_Toc5021"/>
      <w:r>
        <w:rPr>
          <w:b/>
          <w:bCs/>
        </w:rPr>
        <w:t>4.</w:t>
      </w:r>
      <w:r>
        <w:rPr>
          <w:b/>
          <w:bCs/>
        </w:rPr>
        <w:t>分析总结</w:t>
      </w:r>
      <w:bookmarkEnd w:id="8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3</w:t>
      </w:r>
      <w:r>
        <w:rPr>
          <w:rFonts w:hint="eastAsia"/>
          <w:b/>
          <w:bCs/>
        </w:rPr>
        <w:t>日</w:t>
      </w:r>
      <w:r>
        <w:rPr>
          <w:rFonts w:hint="eastAsia"/>
          <w:b/>
          <w:bCs/>
        </w:rPr>
        <w:t>）</w:t>
      </w:r>
    </w:p>
    <w:p w:rsidR="005F7E2D" w:rsidRDefault="003A1171">
      <w:pPr>
        <w:ind w:firstLine="640"/>
      </w:pPr>
      <w:r>
        <w:t>（</w:t>
      </w:r>
      <w:r>
        <w:t>1</w:t>
      </w:r>
      <w:r>
        <w:t>）根据部门自评的意见及考察、考评的结果进行整</w:t>
      </w:r>
      <w:r>
        <w:lastRenderedPageBreak/>
        <w:t>理、分析，撰写绩效</w:t>
      </w:r>
      <w:r>
        <w:t>评价报告初稿；</w:t>
      </w:r>
    </w:p>
    <w:p w:rsidR="005F7E2D" w:rsidRDefault="003A1171">
      <w:pPr>
        <w:ind w:firstLine="640"/>
      </w:pPr>
      <w:r>
        <w:t>（</w:t>
      </w:r>
      <w:r>
        <w:t>2</w:t>
      </w:r>
      <w:r>
        <w:t>）就部门自评报告与部门具体有关股室征求意见，形成最终的绩效评价报告。</w:t>
      </w:r>
    </w:p>
    <w:p w:rsidR="005F7E2D" w:rsidRDefault="003A1171">
      <w:pPr>
        <w:ind w:firstLine="643"/>
        <w:rPr>
          <w:b/>
          <w:bCs/>
        </w:rPr>
      </w:pPr>
      <w:r>
        <w:rPr>
          <w:rFonts w:hint="eastAsia"/>
          <w:b/>
          <w:bCs/>
        </w:rPr>
        <w:t>5</w:t>
      </w:r>
      <w:r>
        <w:rPr>
          <w:rFonts w:hint="eastAsia"/>
          <w:b/>
          <w:bCs/>
        </w:rPr>
        <w:t>.</w:t>
      </w:r>
      <w:r>
        <w:rPr>
          <w:rFonts w:hint="eastAsia"/>
          <w:b/>
          <w:bCs/>
        </w:rPr>
        <w:t>问题整改</w:t>
      </w:r>
    </w:p>
    <w:p w:rsidR="005F7E2D" w:rsidRDefault="003A1171">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5F7E2D" w:rsidRDefault="003A1171">
      <w:pPr>
        <w:ind w:firstLine="643"/>
        <w:rPr>
          <w:b/>
          <w:bCs/>
        </w:rPr>
      </w:pPr>
      <w:r>
        <w:rPr>
          <w:rFonts w:hint="eastAsia"/>
          <w:b/>
          <w:bCs/>
        </w:rPr>
        <w:t>6</w:t>
      </w:r>
      <w:r>
        <w:rPr>
          <w:rFonts w:hint="eastAsia"/>
          <w:b/>
          <w:bCs/>
        </w:rPr>
        <w:t>.</w:t>
      </w:r>
      <w:r>
        <w:rPr>
          <w:rFonts w:hint="eastAsia"/>
          <w:b/>
          <w:bCs/>
        </w:rPr>
        <w:t>档案整理</w:t>
      </w:r>
    </w:p>
    <w:p w:rsidR="005F7E2D" w:rsidRDefault="003A1171">
      <w:pPr>
        <w:ind w:firstLine="640"/>
      </w:pPr>
      <w:r>
        <w:t>建立和落实档案管理制度，将项目相关资料存档，包括但不限于：评价项目基本情况和相关文件、评价实施方案、项目支付资料等相关档案。</w:t>
      </w:r>
    </w:p>
    <w:p w:rsidR="005F7E2D" w:rsidRDefault="003A1171">
      <w:pPr>
        <w:pStyle w:val="2"/>
        <w:ind w:firstLine="640"/>
        <w:rPr>
          <w:rFonts w:ascii="黑体" w:hAnsi="黑体" w:cs="黑体"/>
        </w:rPr>
      </w:pPr>
      <w:bookmarkStart w:id="88" w:name="_Toc21627"/>
      <w:bookmarkStart w:id="89" w:name="_Toc25201"/>
      <w:bookmarkStart w:id="90" w:name="_Toc31058"/>
      <w:bookmarkStart w:id="91" w:name="_Toc1808"/>
      <w:bookmarkStart w:id="92" w:name="_Toc32641"/>
      <w:bookmarkEnd w:id="83"/>
      <w:r>
        <w:rPr>
          <w:rFonts w:ascii="黑体" w:hAnsi="黑体" w:cs="黑体" w:hint="eastAsia"/>
        </w:rPr>
        <w:t>三、综合评价情况及评价结论</w:t>
      </w:r>
      <w:bookmarkEnd w:id="88"/>
      <w:bookmarkEnd w:id="89"/>
      <w:bookmarkEnd w:id="90"/>
      <w:bookmarkEnd w:id="91"/>
      <w:bookmarkEnd w:id="92"/>
    </w:p>
    <w:p w:rsidR="005F7E2D" w:rsidRDefault="003A1171">
      <w:pPr>
        <w:ind w:firstLine="640"/>
      </w:pPr>
      <w:bookmarkStart w:id="93" w:name="OLE_LINK20"/>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4A0" w:firstRow="1" w:lastRow="0" w:firstColumn="1" w:lastColumn="0" w:noHBand="0" w:noVBand="1"/>
      </w:tblPr>
      <w:tblGrid>
        <w:gridCol w:w="1094"/>
        <w:gridCol w:w="1541"/>
        <w:gridCol w:w="1520"/>
        <w:gridCol w:w="1536"/>
        <w:gridCol w:w="1504"/>
        <w:gridCol w:w="1094"/>
      </w:tblGrid>
      <w:tr w:rsidR="005F7E2D">
        <w:trPr>
          <w:trHeight w:val="375"/>
          <w:jc w:val="center"/>
        </w:trPr>
        <w:tc>
          <w:tcPr>
            <w:tcW w:w="8289" w:type="dxa"/>
            <w:gridSpan w:val="6"/>
            <w:tcBorders>
              <w:top w:val="nil"/>
              <w:left w:val="nil"/>
              <w:bottom w:val="nil"/>
              <w:right w:val="nil"/>
            </w:tcBorders>
            <w:noWrap/>
            <w:tcMar>
              <w:top w:w="15" w:type="dxa"/>
              <w:left w:w="15" w:type="dxa"/>
              <w:right w:w="15" w:type="dxa"/>
            </w:tcMar>
            <w:vAlign w:val="center"/>
          </w:tcPr>
          <w:p w:rsidR="005F7E2D" w:rsidRDefault="003A1171">
            <w:pPr>
              <w:ind w:firstLineChars="500" w:firstLine="1606"/>
            </w:pPr>
            <w:bookmarkStart w:id="94" w:name="OLE_LINK9"/>
            <w:bookmarkStart w:id="95" w:name="_Toc17356"/>
            <w:bookmarkStart w:id="96" w:name="_Toc30727"/>
            <w:r>
              <w:rPr>
                <w:rFonts w:hint="eastAsia"/>
                <w:b/>
                <w:kern w:val="44"/>
              </w:rPr>
              <w:t>2024</w:t>
            </w:r>
            <w:r>
              <w:rPr>
                <w:rFonts w:hint="eastAsia"/>
                <w:b/>
                <w:kern w:val="44"/>
              </w:rPr>
              <w:t>年尉犁县农村公路日常养护资金</w:t>
            </w:r>
            <w:bookmarkEnd w:id="94"/>
          </w:p>
          <w:p w:rsidR="005F7E2D" w:rsidRDefault="003A1171">
            <w:pPr>
              <w:pStyle w:val="a7"/>
              <w:rPr>
                <w:rFonts w:hint="default"/>
              </w:rPr>
            </w:pPr>
            <w:bookmarkStart w:id="97" w:name="_Toc3703"/>
            <w:bookmarkStart w:id="98" w:name="_Toc16086"/>
            <w:r>
              <w:rPr>
                <w:rFonts w:hint="default"/>
              </w:rPr>
              <w:t>绩效评价</w:t>
            </w:r>
            <w:r>
              <w:rPr>
                <w:rFonts w:hint="default"/>
                <w:lang w:val="zh-TW" w:eastAsia="zh-TW"/>
              </w:rPr>
              <w:t>得分表</w:t>
            </w:r>
            <w:bookmarkEnd w:id="97"/>
            <w:bookmarkEnd w:id="98"/>
          </w:p>
        </w:tc>
      </w:tr>
      <w:tr w:rsidR="005F7E2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指标类别</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w:t>
            </w:r>
            <w:r>
              <w:rPr>
                <w:rFonts w:hint="default"/>
              </w:rPr>
              <w:t>项目决策</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w:t>
            </w:r>
            <w:r>
              <w:rPr>
                <w:rFonts w:hint="default"/>
              </w:rPr>
              <w:t>过程管理</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3.</w:t>
            </w:r>
            <w:r>
              <w:rPr>
                <w:rFonts w:hint="default"/>
              </w:rPr>
              <w:t>项目产出</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4.</w:t>
            </w:r>
            <w:r>
              <w:rPr>
                <w:rFonts w:hint="default"/>
              </w:rPr>
              <w:t>项目效益</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合计</w:t>
            </w:r>
          </w:p>
        </w:tc>
      </w:tr>
      <w:tr w:rsidR="005F7E2D">
        <w:trPr>
          <w:trHeight w:val="441"/>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权重</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100</w:t>
            </w:r>
            <w:r>
              <w:t>%</w:t>
            </w:r>
          </w:p>
        </w:tc>
      </w:tr>
      <w:tr w:rsidR="005F7E2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分值</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100</w:t>
            </w:r>
          </w:p>
        </w:tc>
      </w:tr>
      <w:tr w:rsidR="005F7E2D">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得分</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5F7E2D" w:rsidRDefault="003A1171">
            <w:pPr>
              <w:pStyle w:val="a8"/>
              <w:rPr>
                <w:rFonts w:hint="default"/>
              </w:rPr>
            </w:pPr>
            <w:r>
              <w:rPr>
                <w:rFonts w:hint="default"/>
              </w:rPr>
              <w:t>100</w:t>
            </w:r>
          </w:p>
        </w:tc>
      </w:tr>
    </w:tbl>
    <w:p w:rsidR="005F7E2D" w:rsidRDefault="003A1171">
      <w:pPr>
        <w:pStyle w:val="2"/>
        <w:ind w:firstLine="640"/>
        <w:rPr>
          <w:rFonts w:ascii="黑体" w:hAnsi="黑体" w:cs="黑体"/>
        </w:rPr>
      </w:pPr>
      <w:bookmarkStart w:id="99" w:name="_Toc29439"/>
      <w:bookmarkStart w:id="100" w:name="_Toc4904"/>
      <w:bookmarkStart w:id="101" w:name="_Toc13630"/>
      <w:bookmarkEnd w:id="93"/>
      <w:r>
        <w:rPr>
          <w:rFonts w:ascii="黑体" w:hAnsi="黑体" w:cs="黑体" w:hint="eastAsia"/>
        </w:rPr>
        <w:lastRenderedPageBreak/>
        <w:t>四、绩效评价指标分析</w:t>
      </w:r>
      <w:bookmarkEnd w:id="95"/>
      <w:bookmarkEnd w:id="96"/>
      <w:bookmarkEnd w:id="99"/>
      <w:bookmarkEnd w:id="100"/>
      <w:bookmarkEnd w:id="101"/>
    </w:p>
    <w:p w:rsidR="005F7E2D" w:rsidRDefault="003A1171">
      <w:pPr>
        <w:pStyle w:val="3"/>
        <w:ind w:firstLine="643"/>
        <w:rPr>
          <w:rFonts w:ascii="楷体" w:eastAsia="楷体" w:hAnsi="楷体" w:cs="楷体"/>
        </w:rPr>
      </w:pPr>
      <w:bookmarkStart w:id="102" w:name="_Toc1968"/>
      <w:bookmarkStart w:id="103" w:name="_Toc22323"/>
      <w:bookmarkStart w:id="104" w:name="_Toc28477"/>
      <w:bookmarkStart w:id="105" w:name="_Toc2901"/>
      <w:r>
        <w:rPr>
          <w:rFonts w:ascii="楷体" w:eastAsia="楷体" w:hAnsi="楷体" w:cs="楷体" w:hint="eastAsia"/>
        </w:rPr>
        <w:t>（一）项目决策情况</w:t>
      </w:r>
      <w:bookmarkEnd w:id="102"/>
      <w:bookmarkEnd w:id="103"/>
      <w:bookmarkEnd w:id="104"/>
      <w:bookmarkEnd w:id="105"/>
    </w:p>
    <w:p w:rsidR="005F7E2D" w:rsidRDefault="003A1171">
      <w:pPr>
        <w:ind w:firstLine="643"/>
        <w:rPr>
          <w:b/>
          <w:bCs/>
        </w:rPr>
      </w:pPr>
      <w:bookmarkStart w:id="106" w:name="_Toc510"/>
      <w:bookmarkStart w:id="107" w:name="_Toc22511"/>
      <w:bookmarkStart w:id="108" w:name="OLE_LINK21"/>
      <w:r>
        <w:rPr>
          <w:b/>
          <w:bCs/>
        </w:rPr>
        <w:t>1.</w:t>
      </w:r>
      <w:r>
        <w:rPr>
          <w:b/>
          <w:bCs/>
        </w:rPr>
        <w:t>立项依据充分性</w:t>
      </w:r>
      <w:bookmarkEnd w:id="106"/>
      <w:bookmarkEnd w:id="107"/>
    </w:p>
    <w:p w:rsidR="005F7E2D" w:rsidRDefault="00314024">
      <w:pPr>
        <w:ind w:firstLine="640"/>
      </w:pPr>
      <w:r>
        <w:rPr>
          <w:rFonts w:hint="eastAsia"/>
        </w:rPr>
        <w:t>本项目实施符合国务院办公厅印</w:t>
      </w:r>
      <w:bookmarkStart w:id="109" w:name="_GoBack"/>
      <w:bookmarkEnd w:id="109"/>
      <w:r w:rsidR="003A1171">
        <w:rPr>
          <w:rFonts w:hint="eastAsia"/>
        </w:rPr>
        <w:t>发的《农村公路管理养护体制改革方案》（国办发〔</w:t>
      </w:r>
      <w:r w:rsidR="003A1171">
        <w:rPr>
          <w:rFonts w:hint="eastAsia"/>
        </w:rPr>
        <w:t>2005</w:t>
      </w:r>
      <w:r w:rsidR="003A1171">
        <w:rPr>
          <w:rFonts w:hint="eastAsia"/>
        </w:rPr>
        <w:t>〕</w:t>
      </w:r>
      <w:r w:rsidR="003A1171">
        <w:rPr>
          <w:rFonts w:hint="eastAsia"/>
        </w:rPr>
        <w:t>49</w:t>
      </w:r>
      <w:r w:rsidR="003A1171">
        <w:rPr>
          <w:rFonts w:hint="eastAsia"/>
        </w:rPr>
        <w:t>号）中，明确提出要建立稳定的农村公路养护资金渠道，其中公路养路费需确保一定比例用于农村公路养护，这为中央对地方成品油税费改革转移支付资金用于农村公路养护提供了政策源头指引。；本项目实施符合《新疆维吾尔自治区农村公路条例》规定，农村公路建设、养护、管理和运营应当建立以财政投入为主的资金保障机制，自治区、州、市（地）人民政府（行政公署）应加大对农村公路建设与养护资金的投入</w:t>
      </w:r>
      <w:r w:rsidR="003A1171">
        <w:rPr>
          <w:rFonts w:hint="eastAsia"/>
        </w:rPr>
        <w:t>，</w:t>
      </w:r>
      <w:r w:rsidR="003A1171">
        <w:rPr>
          <w:rFonts w:hint="eastAsia"/>
          <w:lang w:eastAsia="zh-Hans"/>
        </w:rPr>
        <w:t>符合行业发展规划和政策要求</w:t>
      </w:r>
      <w:r w:rsidR="003A1171">
        <w:rPr>
          <w:rFonts w:hint="eastAsia"/>
        </w:rPr>
        <w:t>。</w:t>
      </w:r>
      <w:r w:rsidR="003A1171">
        <w:rPr>
          <w:rFonts w:hint="eastAsia"/>
        </w:rPr>
        <w:t>因此，</w:t>
      </w:r>
      <w:r w:rsidR="003A1171">
        <w:t>项目</w:t>
      </w:r>
      <w:r w:rsidR="003A1171">
        <w:t>实施</w:t>
      </w:r>
      <w:r w:rsidR="003A1171">
        <w:t>符合国家法律法规、国民经济发展规划和相关政策；符合行业发展规划和政策要求；与部门职责范围相符，属于部门履职所需；属于公共财政支持范围，符合中央、地方事权支出责任划分原则；</w:t>
      </w:r>
      <w:r w:rsidR="003A1171">
        <w:t>不存在</w:t>
      </w:r>
      <w:r w:rsidR="003A1171">
        <w:t>与相关部门同类项目或部门内部相关项目重复</w:t>
      </w:r>
      <w:r w:rsidR="003A1171">
        <w:t>的现象</w:t>
      </w:r>
      <w:r w:rsidR="003A1171">
        <w:t>。</w:t>
      </w:r>
      <w:r w:rsidR="003A1171">
        <w:t>项目</w:t>
      </w:r>
      <w:r w:rsidR="003A1171">
        <w:rPr>
          <w:rFonts w:hint="eastAsia"/>
        </w:rPr>
        <w:t>立项</w:t>
      </w:r>
      <w:r w:rsidR="003A1171">
        <w:t>依据充分。</w:t>
      </w:r>
    </w:p>
    <w:p w:rsidR="005F7E2D" w:rsidRDefault="003A1171">
      <w:pPr>
        <w:ind w:firstLine="640"/>
      </w:pPr>
      <w:r>
        <w:t>本项满分</w:t>
      </w:r>
      <w:r>
        <w:t>3</w:t>
      </w:r>
      <w:r>
        <w:t>分，评估得分</w:t>
      </w:r>
      <w:r>
        <w:t>3</w:t>
      </w:r>
      <w:r>
        <w:t>分。</w:t>
      </w:r>
    </w:p>
    <w:p w:rsidR="005F7E2D" w:rsidRDefault="003A1171">
      <w:pPr>
        <w:ind w:firstLine="643"/>
        <w:rPr>
          <w:b/>
          <w:bCs/>
        </w:rPr>
      </w:pPr>
      <w:bookmarkStart w:id="110" w:name="_Toc27895"/>
      <w:bookmarkStart w:id="111" w:name="_Toc283"/>
      <w:r>
        <w:rPr>
          <w:b/>
          <w:bCs/>
        </w:rPr>
        <w:t>2.</w:t>
      </w:r>
      <w:r>
        <w:rPr>
          <w:b/>
          <w:bCs/>
        </w:rPr>
        <w:t>立项程序规范性</w:t>
      </w:r>
      <w:bookmarkEnd w:id="110"/>
      <w:bookmarkEnd w:id="111"/>
    </w:p>
    <w:p w:rsidR="005F7E2D" w:rsidRDefault="003A1171">
      <w:pPr>
        <w:ind w:firstLine="640"/>
      </w:pPr>
      <w:r>
        <w:rPr>
          <w:rFonts w:hint="eastAsia"/>
          <w:lang w:eastAsia="zh-Hans"/>
        </w:rPr>
        <w:t>本项目</w:t>
      </w:r>
      <w:r>
        <w:rPr>
          <w:rFonts w:hint="eastAsia"/>
        </w:rPr>
        <w:t>实施</w:t>
      </w:r>
      <w:r>
        <w:rPr>
          <w:rFonts w:hint="eastAsia"/>
        </w:rPr>
        <w:t>单位尉犁县交通运输局</w:t>
      </w:r>
      <w:r>
        <w:rPr>
          <w:lang w:eastAsia="zh-Hans"/>
        </w:rPr>
        <w:t>编制了</w:t>
      </w:r>
      <w:r>
        <w:rPr>
          <w:rFonts w:hint="eastAsia"/>
        </w:rPr>
        <w:t>2024</w:t>
      </w:r>
      <w:r>
        <w:rPr>
          <w:rFonts w:hint="eastAsia"/>
        </w:rPr>
        <w:t>年尉犁县农村公路日常养护资金</w:t>
      </w:r>
      <w:r>
        <w:rPr>
          <w:lang w:eastAsia="zh-Hans"/>
        </w:rPr>
        <w:t>实施方案</w:t>
      </w:r>
      <w:r>
        <w:rPr>
          <w:rFonts w:hint="eastAsia"/>
        </w:rPr>
        <w:t>，</w:t>
      </w:r>
      <w:r>
        <w:rPr>
          <w:rFonts w:hint="eastAsia"/>
        </w:rPr>
        <w:t>得到尉犁县发展和改革</w:t>
      </w:r>
      <w:r>
        <w:rPr>
          <w:rFonts w:hint="eastAsia"/>
        </w:rPr>
        <w:lastRenderedPageBreak/>
        <w:t>委员会〔</w:t>
      </w:r>
      <w:r>
        <w:rPr>
          <w:rFonts w:hint="eastAsia"/>
        </w:rPr>
        <w:t>2024</w:t>
      </w:r>
      <w:r>
        <w:rPr>
          <w:rFonts w:hint="eastAsia"/>
        </w:rPr>
        <w:t>〕</w:t>
      </w:r>
      <w:r>
        <w:rPr>
          <w:rFonts w:hint="eastAsia"/>
        </w:rPr>
        <w:t>146</w:t>
      </w:r>
      <w:r>
        <w:rPr>
          <w:rFonts w:hint="eastAsia"/>
        </w:rPr>
        <w:t>号《关于</w:t>
      </w:r>
      <w:r>
        <w:rPr>
          <w:rFonts w:hint="eastAsia"/>
        </w:rPr>
        <w:t>2024</w:t>
      </w:r>
      <w:r>
        <w:rPr>
          <w:rFonts w:hint="eastAsia"/>
        </w:rPr>
        <w:t>年</w:t>
      </w:r>
      <w:r>
        <w:rPr>
          <w:rFonts w:hint="eastAsia"/>
        </w:rPr>
        <w:t>尉犁县农村公路日常养护资金项目建议书的批复》，批复时间</w:t>
      </w:r>
      <w:r>
        <w:rPr>
          <w:rFonts w:hint="eastAsia"/>
        </w:rPr>
        <w:t>2024</w:t>
      </w:r>
      <w:r>
        <w:rPr>
          <w:rFonts w:hint="eastAsia"/>
        </w:rPr>
        <w:t>年</w:t>
      </w:r>
      <w:r>
        <w:rPr>
          <w:rFonts w:hint="eastAsia"/>
        </w:rPr>
        <w:t>7</w:t>
      </w:r>
      <w:r>
        <w:rPr>
          <w:rFonts w:hint="eastAsia"/>
        </w:rPr>
        <w:t>月</w:t>
      </w:r>
      <w:r>
        <w:rPr>
          <w:rFonts w:hint="eastAsia"/>
        </w:rPr>
        <w:t>31</w:t>
      </w:r>
      <w:r>
        <w:rPr>
          <w:rFonts w:hint="eastAsia"/>
        </w:rPr>
        <w:t>日。立项程序规范。</w:t>
      </w:r>
    </w:p>
    <w:p w:rsidR="005F7E2D" w:rsidRDefault="003A1171">
      <w:pPr>
        <w:ind w:firstLine="640"/>
      </w:pPr>
      <w:r>
        <w:t>本项满分</w:t>
      </w:r>
      <w:r>
        <w:t>3</w:t>
      </w:r>
      <w:r>
        <w:t>分，评估得分</w:t>
      </w:r>
      <w:r>
        <w:t>3</w:t>
      </w:r>
      <w:r>
        <w:t>分。</w:t>
      </w:r>
    </w:p>
    <w:p w:rsidR="005F7E2D" w:rsidRDefault="003A1171">
      <w:pPr>
        <w:ind w:firstLine="643"/>
        <w:rPr>
          <w:b/>
          <w:bCs/>
        </w:rPr>
      </w:pPr>
      <w:bookmarkStart w:id="112" w:name="_Toc20471"/>
      <w:bookmarkStart w:id="113" w:name="_Toc13368"/>
      <w:r>
        <w:rPr>
          <w:b/>
          <w:bCs/>
        </w:rPr>
        <w:t>3.</w:t>
      </w:r>
      <w:r>
        <w:rPr>
          <w:b/>
          <w:bCs/>
        </w:rPr>
        <w:t>绩效目标合理性</w:t>
      </w:r>
      <w:bookmarkEnd w:id="112"/>
      <w:bookmarkEnd w:id="113"/>
    </w:p>
    <w:p w:rsidR="005F7E2D" w:rsidRDefault="003A1171">
      <w:pPr>
        <w:ind w:firstLine="640"/>
      </w:pPr>
      <w:r>
        <w:rPr>
          <w:rFonts w:hint="eastAsia"/>
        </w:rPr>
        <w:t>尉犁县交通运输局</w:t>
      </w:r>
      <w:bookmarkStart w:id="114" w:name="OLE_LINK6"/>
      <w:r>
        <w:rPr>
          <w:rFonts w:hint="eastAsia"/>
        </w:rPr>
        <w:t>2024</w:t>
      </w:r>
      <w:r>
        <w:rPr>
          <w:rFonts w:hint="eastAsia"/>
        </w:rPr>
        <w:t>年</w:t>
      </w:r>
      <w:r>
        <w:rPr>
          <w:rFonts w:hint="eastAsia"/>
        </w:rPr>
        <w:t>农村公路日常</w:t>
      </w:r>
      <w:r>
        <w:rPr>
          <w:rFonts w:hint="eastAsia"/>
        </w:rPr>
        <w:t>养护</w:t>
      </w:r>
      <w:r>
        <w:rPr>
          <w:rFonts w:hint="eastAsia"/>
        </w:rPr>
        <w:t>资金</w:t>
      </w:r>
      <w:bookmarkEnd w:id="114"/>
      <w:r>
        <w:t>设立了项目绩效目标，绩效目标指标设置合理，项目绩效目标与实际工作内容相关性较强；项目预期产出效益和效果符合正常的业绩水平；绩效目标与预算确定的项目投资额相匹配。</w:t>
      </w:r>
    </w:p>
    <w:p w:rsidR="005F7E2D" w:rsidRDefault="003A1171">
      <w:pPr>
        <w:ind w:firstLine="640"/>
      </w:pPr>
      <w:r>
        <w:t>本项满分</w:t>
      </w:r>
      <w:r>
        <w:t>4</w:t>
      </w:r>
      <w:r>
        <w:t>分，评估得分</w:t>
      </w:r>
      <w:r>
        <w:t>4</w:t>
      </w:r>
      <w:r>
        <w:t>分。</w:t>
      </w:r>
    </w:p>
    <w:p w:rsidR="005F7E2D" w:rsidRDefault="003A1171">
      <w:pPr>
        <w:ind w:firstLine="643"/>
        <w:rPr>
          <w:b/>
          <w:bCs/>
        </w:rPr>
      </w:pPr>
      <w:bookmarkStart w:id="115" w:name="_Toc21087"/>
      <w:bookmarkStart w:id="116" w:name="_Toc15543"/>
      <w:r>
        <w:rPr>
          <w:b/>
          <w:bCs/>
        </w:rPr>
        <w:t>4.</w:t>
      </w:r>
      <w:r>
        <w:rPr>
          <w:b/>
          <w:bCs/>
        </w:rPr>
        <w:t>绩效指标明确性</w:t>
      </w:r>
      <w:bookmarkEnd w:id="115"/>
      <w:bookmarkEnd w:id="116"/>
    </w:p>
    <w:p w:rsidR="005F7E2D" w:rsidRDefault="003A1171">
      <w:pPr>
        <w:ind w:firstLine="640"/>
      </w:pPr>
      <w:r>
        <w:rPr>
          <w:rFonts w:hint="eastAsia"/>
        </w:rPr>
        <w:t>2024</w:t>
      </w:r>
      <w:r>
        <w:rPr>
          <w:rFonts w:hint="eastAsia"/>
        </w:rPr>
        <w:t>年农村公路日常养护资金</w:t>
      </w:r>
      <w:r>
        <w:t>，设置一级指标</w:t>
      </w:r>
      <w:r>
        <w:rPr>
          <w:rFonts w:hint="eastAsia"/>
        </w:rPr>
        <w:t>4</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5F7E2D" w:rsidRDefault="003A1171">
      <w:pPr>
        <w:ind w:firstLine="640"/>
      </w:pPr>
      <w:r>
        <w:t>本项满分</w:t>
      </w:r>
      <w:r>
        <w:t>4</w:t>
      </w:r>
      <w:r>
        <w:t>分，评估得分</w:t>
      </w:r>
      <w:r>
        <w:t>4</w:t>
      </w:r>
      <w:r>
        <w:t>分。</w:t>
      </w:r>
    </w:p>
    <w:p w:rsidR="005F7E2D" w:rsidRDefault="003A1171">
      <w:pPr>
        <w:ind w:firstLine="643"/>
        <w:rPr>
          <w:b/>
          <w:bCs/>
        </w:rPr>
      </w:pPr>
      <w:bookmarkStart w:id="117" w:name="_Toc25638"/>
      <w:bookmarkStart w:id="118" w:name="_Toc21476"/>
      <w:r>
        <w:rPr>
          <w:b/>
          <w:bCs/>
        </w:rPr>
        <w:t>5.</w:t>
      </w:r>
      <w:r>
        <w:rPr>
          <w:b/>
          <w:bCs/>
        </w:rPr>
        <w:t>预算编制科学性</w:t>
      </w:r>
      <w:bookmarkEnd w:id="117"/>
      <w:bookmarkEnd w:id="118"/>
    </w:p>
    <w:p w:rsidR="005F7E2D" w:rsidRDefault="003A1171">
      <w:pPr>
        <w:ind w:firstLine="640"/>
      </w:pPr>
      <w:r>
        <w:t>本项目预算资金</w:t>
      </w:r>
      <w:r>
        <w:rPr>
          <w:rFonts w:hint="eastAsia"/>
        </w:rPr>
        <w:t>214</w:t>
      </w:r>
      <w:r>
        <w:t>万元，来源为</w:t>
      </w:r>
      <w:r>
        <w:rPr>
          <w:rFonts w:hint="eastAsia"/>
        </w:rPr>
        <w:t>自治区</w:t>
      </w:r>
      <w:r>
        <w:t>资金</w:t>
      </w:r>
      <w:r>
        <w:rPr>
          <w:rFonts w:hint="eastAsia"/>
        </w:rPr>
        <w:t>214</w:t>
      </w:r>
      <w:r>
        <w:t>万元，预算编制较为科学，预算内容与项目建设内容相匹配，预算额度测算依据充分，预算确定的资金量与工程量相匹配。</w:t>
      </w:r>
    </w:p>
    <w:p w:rsidR="005F7E2D" w:rsidRDefault="003A1171">
      <w:pPr>
        <w:ind w:firstLine="640"/>
      </w:pPr>
      <w:r>
        <w:t>本项满分</w:t>
      </w:r>
      <w:r>
        <w:t>4</w:t>
      </w:r>
      <w:r>
        <w:t>分，评估得分</w:t>
      </w:r>
      <w:r>
        <w:t>4</w:t>
      </w:r>
      <w:r>
        <w:t>分。</w:t>
      </w:r>
    </w:p>
    <w:p w:rsidR="005F7E2D" w:rsidRDefault="003A1171">
      <w:pPr>
        <w:ind w:firstLine="643"/>
        <w:rPr>
          <w:b/>
          <w:bCs/>
        </w:rPr>
      </w:pPr>
      <w:bookmarkStart w:id="119" w:name="_Toc21577"/>
      <w:bookmarkStart w:id="120" w:name="_Toc30661"/>
      <w:r>
        <w:rPr>
          <w:b/>
          <w:bCs/>
        </w:rPr>
        <w:t>6.</w:t>
      </w:r>
      <w:r>
        <w:rPr>
          <w:b/>
          <w:bCs/>
        </w:rPr>
        <w:t>资金分配合理性</w:t>
      </w:r>
      <w:bookmarkEnd w:id="119"/>
      <w:bookmarkEnd w:id="120"/>
    </w:p>
    <w:p w:rsidR="005F7E2D" w:rsidRDefault="003A1171">
      <w:pPr>
        <w:ind w:firstLine="640"/>
      </w:pPr>
      <w:r>
        <w:lastRenderedPageBreak/>
        <w:t>本项目预算资金分配依据充分；资金分配额度合理，与项目单位实际相适应。</w:t>
      </w:r>
    </w:p>
    <w:p w:rsidR="005F7E2D" w:rsidRDefault="003A1171">
      <w:pPr>
        <w:ind w:firstLine="640"/>
      </w:pPr>
      <w:r>
        <w:t>本项满分</w:t>
      </w:r>
      <w:r>
        <w:t>4</w:t>
      </w:r>
      <w:r>
        <w:t>分，评估得分</w:t>
      </w:r>
      <w:r>
        <w:t>4</w:t>
      </w:r>
      <w:r>
        <w:t>分。</w:t>
      </w:r>
    </w:p>
    <w:p w:rsidR="005F7E2D" w:rsidRDefault="003A1171">
      <w:pPr>
        <w:pStyle w:val="3"/>
        <w:ind w:firstLine="643"/>
        <w:rPr>
          <w:rFonts w:ascii="黑体" w:eastAsia="黑体" w:hAnsi="黑体" w:cs="黑体"/>
        </w:rPr>
      </w:pPr>
      <w:bookmarkStart w:id="121" w:name="_Toc30992"/>
      <w:bookmarkStart w:id="122" w:name="_Toc13442"/>
      <w:bookmarkStart w:id="123" w:name="_Toc9897"/>
      <w:bookmarkStart w:id="124" w:name="_Toc27855"/>
      <w:bookmarkEnd w:id="108"/>
      <w:r>
        <w:rPr>
          <w:rFonts w:ascii="黑体" w:eastAsia="黑体" w:hAnsi="黑体" w:cs="黑体" w:hint="eastAsia"/>
        </w:rPr>
        <w:t>（二）项目过程情况</w:t>
      </w:r>
      <w:bookmarkEnd w:id="121"/>
      <w:bookmarkEnd w:id="122"/>
      <w:bookmarkEnd w:id="123"/>
      <w:bookmarkEnd w:id="124"/>
    </w:p>
    <w:p w:rsidR="005F7E2D" w:rsidRDefault="003A1171">
      <w:pPr>
        <w:ind w:firstLine="643"/>
        <w:rPr>
          <w:b/>
          <w:bCs/>
        </w:rPr>
      </w:pPr>
      <w:bookmarkStart w:id="125" w:name="_Toc19854"/>
      <w:bookmarkStart w:id="126" w:name="_Toc29417"/>
      <w:bookmarkStart w:id="127" w:name="OLE_LINK22"/>
      <w:r>
        <w:rPr>
          <w:b/>
          <w:bCs/>
        </w:rPr>
        <w:t>1.</w:t>
      </w:r>
      <w:r>
        <w:rPr>
          <w:b/>
          <w:bCs/>
        </w:rPr>
        <w:t>资金到位率</w:t>
      </w:r>
      <w:bookmarkEnd w:id="125"/>
      <w:bookmarkEnd w:id="126"/>
    </w:p>
    <w:p w:rsidR="005F7E2D" w:rsidRDefault="003A1171">
      <w:pPr>
        <w:ind w:firstLine="640"/>
      </w:pPr>
      <w:r>
        <w:t>本项目</w:t>
      </w:r>
      <w:r>
        <w:rPr>
          <w:rFonts w:hint="eastAsia"/>
        </w:rPr>
        <w:t>全年</w:t>
      </w:r>
      <w:r>
        <w:t>预算资金</w:t>
      </w:r>
      <w:r>
        <w:rPr>
          <w:rFonts w:hint="eastAsia"/>
        </w:rPr>
        <w:t>214</w:t>
      </w:r>
      <w:r>
        <w:t>万元，实际到位资金</w:t>
      </w:r>
      <w:r>
        <w:rPr>
          <w:rFonts w:hint="eastAsia"/>
        </w:rPr>
        <w:t>214</w:t>
      </w:r>
      <w:r>
        <w:t>万元，资金到位率</w:t>
      </w:r>
      <w:r>
        <w:t>100%</w:t>
      </w:r>
      <w:r>
        <w:t>。</w:t>
      </w:r>
    </w:p>
    <w:p w:rsidR="005F7E2D" w:rsidRDefault="003A1171">
      <w:pPr>
        <w:ind w:firstLine="640"/>
      </w:pPr>
      <w:r>
        <w:t>本项满分</w:t>
      </w:r>
      <w:r>
        <w:t>4</w:t>
      </w:r>
      <w:r>
        <w:t>分，评估得分</w:t>
      </w:r>
      <w:r>
        <w:t>4</w:t>
      </w:r>
      <w:r>
        <w:t>分。</w:t>
      </w:r>
    </w:p>
    <w:p w:rsidR="005F7E2D" w:rsidRDefault="003A1171">
      <w:pPr>
        <w:ind w:firstLine="643"/>
        <w:rPr>
          <w:b/>
          <w:bCs/>
        </w:rPr>
      </w:pPr>
      <w:bookmarkStart w:id="128" w:name="_Toc29889"/>
      <w:bookmarkStart w:id="129" w:name="_Toc13724"/>
      <w:r>
        <w:rPr>
          <w:b/>
          <w:bCs/>
        </w:rPr>
        <w:t>2.</w:t>
      </w:r>
      <w:r>
        <w:rPr>
          <w:b/>
          <w:bCs/>
        </w:rPr>
        <w:t>预算执行</w:t>
      </w:r>
      <w:r>
        <w:rPr>
          <w:b/>
          <w:bCs/>
        </w:rPr>
        <w:t>率</w:t>
      </w:r>
      <w:bookmarkEnd w:id="128"/>
      <w:bookmarkEnd w:id="129"/>
    </w:p>
    <w:p w:rsidR="005F7E2D" w:rsidRDefault="003A1171">
      <w:pPr>
        <w:ind w:firstLine="640"/>
      </w:pPr>
      <w:r>
        <w:t>本项目到位资金</w:t>
      </w:r>
      <w:r>
        <w:rPr>
          <w:rFonts w:hint="eastAsia"/>
        </w:rPr>
        <w:t>214</w:t>
      </w:r>
      <w:r>
        <w:t>万元，实际支付资金</w:t>
      </w:r>
      <w:r>
        <w:rPr>
          <w:rFonts w:hint="eastAsia"/>
        </w:rPr>
        <w:t>214</w:t>
      </w:r>
      <w:r>
        <w:t>万元，预算执行率为</w:t>
      </w:r>
      <w:r>
        <w:t>100</w:t>
      </w:r>
      <w:r>
        <w:t>%</w:t>
      </w:r>
      <w:r>
        <w:t>。</w:t>
      </w:r>
    </w:p>
    <w:p w:rsidR="005F7E2D" w:rsidRDefault="003A1171">
      <w:pPr>
        <w:ind w:firstLine="640"/>
      </w:pPr>
      <w:r>
        <w:t>本项满分</w:t>
      </w:r>
      <w:r>
        <w:t>4</w:t>
      </w:r>
      <w:r>
        <w:t>分，评估得分</w:t>
      </w:r>
      <w:r>
        <w:t>4</w:t>
      </w:r>
      <w:r>
        <w:t>分。</w:t>
      </w:r>
    </w:p>
    <w:p w:rsidR="005F7E2D" w:rsidRDefault="003A1171">
      <w:pPr>
        <w:ind w:firstLine="643"/>
        <w:rPr>
          <w:b/>
          <w:bCs/>
        </w:rPr>
      </w:pPr>
      <w:bookmarkStart w:id="130" w:name="_Toc8316"/>
      <w:bookmarkStart w:id="131" w:name="_Toc2484"/>
      <w:r>
        <w:rPr>
          <w:b/>
          <w:bCs/>
        </w:rPr>
        <w:t>3.</w:t>
      </w:r>
      <w:r>
        <w:rPr>
          <w:b/>
          <w:bCs/>
        </w:rPr>
        <w:t>资金使用合</w:t>
      </w:r>
      <w:proofErr w:type="gramStart"/>
      <w:r>
        <w:rPr>
          <w:b/>
          <w:bCs/>
        </w:rPr>
        <w:t>规</w:t>
      </w:r>
      <w:proofErr w:type="gramEnd"/>
      <w:r>
        <w:rPr>
          <w:b/>
          <w:bCs/>
        </w:rPr>
        <w:t>性</w:t>
      </w:r>
      <w:bookmarkEnd w:id="130"/>
      <w:bookmarkEnd w:id="131"/>
    </w:p>
    <w:p w:rsidR="005F7E2D" w:rsidRDefault="003A1171">
      <w:pPr>
        <w:ind w:firstLine="640"/>
      </w:pPr>
      <w:r>
        <w:t>本项目资金的使用符合</w:t>
      </w:r>
      <w:r>
        <w:t>《中华人民共和国预算法》《中华人民共和国会计法》《中华人民共和国招</w:t>
      </w:r>
      <w:r>
        <w:rPr>
          <w:rFonts w:hint="eastAsia"/>
        </w:rPr>
        <w:t>标</w:t>
      </w:r>
      <w:r>
        <w:t>投标法》等</w:t>
      </w:r>
      <w:r>
        <w:t>国家</w:t>
      </w:r>
      <w:r>
        <w:t>有关</w:t>
      </w:r>
      <w:r>
        <w:t>财经法规</w:t>
      </w:r>
      <w:r>
        <w:t>以及预算管理制度。</w:t>
      </w:r>
      <w:r>
        <w:t>资金的</w:t>
      </w:r>
      <w:r>
        <w:t>审批和</w:t>
      </w:r>
      <w:r>
        <w:t>拨付</w:t>
      </w:r>
      <w:r>
        <w:t>按照《</w:t>
      </w:r>
      <w:r>
        <w:rPr>
          <w:rFonts w:hint="eastAsia"/>
        </w:rPr>
        <w:t>尉犁县</w:t>
      </w:r>
      <w:r>
        <w:t>财政资金审批管理办法》执行</w:t>
      </w:r>
      <w:r>
        <w:t>。资金的拨付有完整的审批程序和手续；资金使用符合专项资金支持的范围。不存在截留、挤占、挪用、虚列支出等情况。</w:t>
      </w:r>
    </w:p>
    <w:p w:rsidR="005F7E2D" w:rsidRDefault="003A1171">
      <w:pPr>
        <w:ind w:firstLine="640"/>
      </w:pPr>
      <w:r>
        <w:t>本项满分</w:t>
      </w:r>
      <w:r>
        <w:t>4</w:t>
      </w:r>
      <w:r>
        <w:t>分，评估得分</w:t>
      </w:r>
      <w:r>
        <w:t>4</w:t>
      </w:r>
      <w:r>
        <w:t>分。</w:t>
      </w:r>
    </w:p>
    <w:p w:rsidR="005F7E2D" w:rsidRDefault="003A1171">
      <w:pPr>
        <w:ind w:firstLine="643"/>
        <w:rPr>
          <w:b/>
          <w:bCs/>
        </w:rPr>
      </w:pPr>
      <w:bookmarkStart w:id="132" w:name="_Toc20651"/>
      <w:bookmarkStart w:id="133" w:name="_Toc15332"/>
      <w:r>
        <w:rPr>
          <w:b/>
          <w:bCs/>
        </w:rPr>
        <w:t>4.</w:t>
      </w:r>
      <w:r>
        <w:rPr>
          <w:b/>
          <w:bCs/>
        </w:rPr>
        <w:t>管理制度健全性</w:t>
      </w:r>
      <w:bookmarkEnd w:id="132"/>
      <w:bookmarkEnd w:id="133"/>
    </w:p>
    <w:p w:rsidR="005F7E2D" w:rsidRDefault="003A1171">
      <w:pPr>
        <w:ind w:firstLine="640"/>
      </w:pPr>
      <w:r>
        <w:rPr>
          <w:rFonts w:hint="eastAsia"/>
        </w:rPr>
        <w:t>尉犁县交通运输局制定了《尉犁县交通运输局财务管理</w:t>
      </w:r>
      <w:r>
        <w:rPr>
          <w:rFonts w:hint="eastAsia"/>
        </w:rPr>
        <w:lastRenderedPageBreak/>
        <w:t>制度》和《尉犁县交通运输局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5F7E2D" w:rsidRDefault="003A1171">
      <w:pPr>
        <w:ind w:firstLine="640"/>
      </w:pPr>
      <w:r>
        <w:t>本项满分</w:t>
      </w:r>
      <w:r>
        <w:t>3</w:t>
      </w:r>
      <w:r>
        <w:t>分，评估得分</w:t>
      </w:r>
      <w:r>
        <w:t>3</w:t>
      </w:r>
      <w:r>
        <w:t>分。</w:t>
      </w:r>
    </w:p>
    <w:p w:rsidR="005F7E2D" w:rsidRDefault="003A1171">
      <w:pPr>
        <w:ind w:firstLine="643"/>
        <w:rPr>
          <w:b/>
          <w:bCs/>
        </w:rPr>
      </w:pPr>
      <w:bookmarkStart w:id="134" w:name="_Toc14023"/>
      <w:bookmarkStart w:id="135" w:name="_Toc14853"/>
      <w:r>
        <w:rPr>
          <w:b/>
          <w:bCs/>
        </w:rPr>
        <w:t>5.</w:t>
      </w:r>
      <w:r>
        <w:rPr>
          <w:b/>
          <w:bCs/>
        </w:rPr>
        <w:t>制度执行有效性</w:t>
      </w:r>
      <w:bookmarkEnd w:id="134"/>
      <w:bookmarkEnd w:id="135"/>
    </w:p>
    <w:p w:rsidR="005F7E2D" w:rsidRDefault="003A1171">
      <w:pPr>
        <w:ind w:firstLine="640"/>
      </w:pPr>
      <w:r>
        <w:t>本项目在实施过程中严格遵守相关法律法规和</w:t>
      </w:r>
      <w:r>
        <w:t>相关管理规定，如《中华人民共和国预算法</w:t>
      </w:r>
      <w:r>
        <w:t>》《</w:t>
      </w:r>
      <w:bookmarkStart w:id="136" w:name="OLE_LINK32"/>
      <w:r>
        <w:t>中华人民共和国</w:t>
      </w:r>
      <w:bookmarkEnd w:id="136"/>
      <w:r>
        <w:t>会计法</w:t>
      </w:r>
      <w:r>
        <w:t>》</w:t>
      </w:r>
      <w:r>
        <w:t>等，严格执行基本建设程序，执行项目法人责任制、招标投标制、工程监理制和合同管理制，项目勘察、设计、施工、</w:t>
      </w:r>
      <w:proofErr w:type="gramStart"/>
      <w:r>
        <w:t>监理均</w:t>
      </w:r>
      <w:proofErr w:type="gramEnd"/>
      <w:r>
        <w:t>符合国家和自治区有关</w:t>
      </w:r>
      <w:r>
        <w:rPr>
          <w:rFonts w:hint="eastAsia"/>
        </w:rPr>
        <w:t>规定</w:t>
      </w:r>
      <w:r>
        <w:t>和施工规范。有关资料齐全，并及时整理归档。</w:t>
      </w:r>
      <w:r>
        <w:t>本项目无项目调整及支出调整，制度执行有效性较高。</w:t>
      </w:r>
    </w:p>
    <w:p w:rsidR="005F7E2D" w:rsidRDefault="003A1171">
      <w:pPr>
        <w:ind w:firstLine="640"/>
      </w:pPr>
      <w:r>
        <w:t>本项满分</w:t>
      </w:r>
      <w:r>
        <w:t>3</w:t>
      </w:r>
      <w:r>
        <w:t>分，评估得分</w:t>
      </w:r>
      <w:r>
        <w:t>3</w:t>
      </w:r>
      <w:r>
        <w:t>分。</w:t>
      </w:r>
    </w:p>
    <w:p w:rsidR="005F7E2D" w:rsidRDefault="003A1171">
      <w:pPr>
        <w:pStyle w:val="3"/>
        <w:ind w:firstLine="643"/>
        <w:rPr>
          <w:rFonts w:ascii="楷体" w:eastAsia="楷体" w:hAnsi="楷体" w:cs="楷体"/>
        </w:rPr>
      </w:pPr>
      <w:bookmarkStart w:id="137" w:name="_Toc31545"/>
      <w:bookmarkStart w:id="138" w:name="_Toc6865"/>
      <w:bookmarkStart w:id="139" w:name="_Toc5161"/>
      <w:bookmarkStart w:id="140" w:name="_Toc22156"/>
      <w:bookmarkEnd w:id="127"/>
      <w:r>
        <w:rPr>
          <w:rFonts w:ascii="楷体" w:eastAsia="楷体" w:hAnsi="楷体" w:cs="楷体" w:hint="eastAsia"/>
        </w:rPr>
        <w:t>（三）项目产出情况</w:t>
      </w:r>
      <w:bookmarkEnd w:id="137"/>
      <w:bookmarkEnd w:id="138"/>
      <w:bookmarkEnd w:id="139"/>
      <w:bookmarkEnd w:id="140"/>
    </w:p>
    <w:p w:rsidR="005F7E2D" w:rsidRDefault="003A1171">
      <w:pPr>
        <w:ind w:firstLine="643"/>
        <w:rPr>
          <w:b/>
          <w:bCs/>
        </w:rPr>
      </w:pPr>
      <w:bookmarkStart w:id="141" w:name="_Toc31041"/>
      <w:bookmarkStart w:id="142" w:name="_Toc4184"/>
      <w:bookmarkStart w:id="143" w:name="OLE_LINK23"/>
      <w:r>
        <w:rPr>
          <w:b/>
          <w:bCs/>
        </w:rPr>
        <w:t>1.</w:t>
      </w:r>
      <w:r>
        <w:rPr>
          <w:b/>
          <w:bCs/>
        </w:rPr>
        <w:t>产出数量</w:t>
      </w:r>
      <w:bookmarkEnd w:id="141"/>
      <w:bookmarkEnd w:id="142"/>
    </w:p>
    <w:p w:rsidR="005F7E2D" w:rsidRDefault="003A1171">
      <w:pPr>
        <w:ind w:firstLine="640"/>
      </w:pPr>
      <w:r>
        <w:t>本项目数量指标：</w:t>
      </w:r>
    </w:p>
    <w:p w:rsidR="005F7E2D" w:rsidRDefault="003A1171">
      <w:pPr>
        <w:ind w:firstLine="640"/>
      </w:pPr>
      <w:r>
        <w:rPr>
          <w:bCs/>
          <w:szCs w:val="32"/>
        </w:rPr>
        <w:t>指标</w:t>
      </w:r>
      <w:r>
        <w:rPr>
          <w:bCs/>
          <w:szCs w:val="32"/>
        </w:rPr>
        <w:t>1</w:t>
      </w:r>
      <w:r>
        <w:rPr>
          <w:bCs/>
          <w:szCs w:val="32"/>
        </w:rPr>
        <w:t>：</w:t>
      </w:r>
      <w:r>
        <w:rPr>
          <w:rFonts w:hint="eastAsia"/>
        </w:rPr>
        <w:t>完成村道安防里程</w:t>
      </w:r>
      <w:r>
        <w:t>，预期指标值</w:t>
      </w:r>
      <w:bookmarkStart w:id="144" w:name="OLE_LINK33"/>
      <w:r>
        <w:rPr>
          <w:rFonts w:hint="eastAsia"/>
        </w:rPr>
        <w:t>等于</w:t>
      </w:r>
      <w:bookmarkEnd w:id="144"/>
      <w:r>
        <w:rPr>
          <w:rFonts w:hint="eastAsia"/>
        </w:rPr>
        <w:t>18</w:t>
      </w:r>
      <w:r>
        <w:rPr>
          <w:rFonts w:hint="eastAsia"/>
        </w:rPr>
        <w:t>公里</w:t>
      </w:r>
      <w:r>
        <w:t>，</w:t>
      </w:r>
      <w:r>
        <w:lastRenderedPageBreak/>
        <w:t>指标完成值：</w:t>
      </w:r>
      <w:r>
        <w:rPr>
          <w:rFonts w:hint="eastAsia"/>
        </w:rPr>
        <w:t>18</w:t>
      </w:r>
      <w:r>
        <w:rPr>
          <w:rFonts w:hint="eastAsia"/>
        </w:rPr>
        <w:t>公里</w:t>
      </w:r>
      <w:r>
        <w:t>，完成率：</w:t>
      </w:r>
      <w:r>
        <w:rPr>
          <w:rFonts w:hint="eastAsia"/>
        </w:rPr>
        <w:t>100%</w:t>
      </w:r>
      <w:r>
        <w:t>；</w:t>
      </w:r>
    </w:p>
    <w:p w:rsidR="005F7E2D" w:rsidRDefault="003A1171">
      <w:pPr>
        <w:ind w:firstLine="640"/>
      </w:pPr>
      <w:r>
        <w:rPr>
          <w:bCs/>
          <w:szCs w:val="32"/>
        </w:rPr>
        <w:t>指标</w:t>
      </w:r>
      <w:r>
        <w:rPr>
          <w:bCs/>
          <w:szCs w:val="32"/>
        </w:rPr>
        <w:t>2</w:t>
      </w:r>
      <w:r>
        <w:rPr>
          <w:bCs/>
          <w:szCs w:val="32"/>
        </w:rPr>
        <w:t>：</w:t>
      </w:r>
      <w:r>
        <w:rPr>
          <w:rFonts w:hint="eastAsia"/>
        </w:rPr>
        <w:t>覆盖乡镇个数</w:t>
      </w:r>
      <w:r>
        <w:t>，预期指标值</w:t>
      </w:r>
      <w:r>
        <w:rPr>
          <w:rFonts w:hint="eastAsia"/>
        </w:rPr>
        <w:t>等于</w:t>
      </w:r>
      <w:r>
        <w:rPr>
          <w:rFonts w:hint="eastAsia"/>
        </w:rPr>
        <w:t>8</w:t>
      </w:r>
      <w:r>
        <w:rPr>
          <w:rFonts w:hint="eastAsia"/>
        </w:rPr>
        <w:t>个</w:t>
      </w:r>
      <w:r>
        <w:t>，指标完成值：</w:t>
      </w:r>
      <w:r>
        <w:rPr>
          <w:rFonts w:hint="eastAsia"/>
        </w:rPr>
        <w:t>8</w:t>
      </w:r>
      <w:r>
        <w:rPr>
          <w:rFonts w:hint="eastAsia"/>
        </w:rPr>
        <w:t>个</w:t>
      </w:r>
      <w:r>
        <w:t>，完成率：</w:t>
      </w:r>
      <w:r>
        <w:rPr>
          <w:rFonts w:hint="eastAsia"/>
        </w:rPr>
        <w:t>100%</w:t>
      </w:r>
      <w:r>
        <w:t>；</w:t>
      </w:r>
    </w:p>
    <w:p w:rsidR="005F7E2D" w:rsidRDefault="003A1171">
      <w:pPr>
        <w:ind w:firstLine="640"/>
      </w:pPr>
      <w:r>
        <w:t>本项满分</w:t>
      </w:r>
      <w:r>
        <w:t>12</w:t>
      </w:r>
      <w:r>
        <w:t>分，评估得分</w:t>
      </w:r>
      <w:r>
        <w:t>12</w:t>
      </w:r>
      <w:r>
        <w:t>分。</w:t>
      </w:r>
    </w:p>
    <w:p w:rsidR="005F7E2D" w:rsidRDefault="003A1171">
      <w:pPr>
        <w:ind w:firstLine="643"/>
        <w:rPr>
          <w:b/>
          <w:bCs/>
        </w:rPr>
      </w:pPr>
      <w:bookmarkStart w:id="145" w:name="_Toc21607"/>
      <w:bookmarkStart w:id="146" w:name="_Toc7420"/>
      <w:r>
        <w:rPr>
          <w:b/>
          <w:bCs/>
        </w:rPr>
        <w:t>2.</w:t>
      </w:r>
      <w:r>
        <w:rPr>
          <w:b/>
          <w:bCs/>
        </w:rPr>
        <w:t>产出质量</w:t>
      </w:r>
      <w:bookmarkEnd w:id="145"/>
      <w:bookmarkEnd w:id="146"/>
    </w:p>
    <w:p w:rsidR="005F7E2D" w:rsidRDefault="003A1171">
      <w:pPr>
        <w:ind w:firstLine="640"/>
      </w:pPr>
      <w:r>
        <w:rPr>
          <w:bCs/>
          <w:szCs w:val="32"/>
        </w:rPr>
        <w:t>指标</w:t>
      </w:r>
      <w:r>
        <w:rPr>
          <w:bCs/>
          <w:szCs w:val="32"/>
        </w:rPr>
        <w:t>1</w:t>
      </w:r>
      <w:r>
        <w:rPr>
          <w:bCs/>
          <w:szCs w:val="32"/>
        </w:rPr>
        <w:t>：</w:t>
      </w:r>
      <w:r>
        <w:rPr>
          <w:rFonts w:hint="eastAsia"/>
        </w:rPr>
        <w:t>工程验收合格率</w:t>
      </w:r>
      <w:r>
        <w:t>，预期指标值</w:t>
      </w:r>
      <w:bookmarkStart w:id="147" w:name="OLE_LINK7"/>
      <w:r>
        <w:rPr>
          <w:rFonts w:hint="eastAsia"/>
        </w:rPr>
        <w:t>等于</w:t>
      </w:r>
      <w:r>
        <w:rPr>
          <w:rFonts w:hint="eastAsia"/>
        </w:rPr>
        <w:t>100%</w:t>
      </w:r>
      <w:bookmarkEnd w:id="147"/>
      <w:r>
        <w:t>，指标完成值：</w:t>
      </w:r>
      <w:r>
        <w:rPr>
          <w:rFonts w:hint="eastAsia"/>
        </w:rPr>
        <w:t>100%</w:t>
      </w:r>
      <w:r>
        <w:t>，完成率：</w:t>
      </w:r>
      <w:r>
        <w:rPr>
          <w:rFonts w:hint="eastAsia"/>
        </w:rPr>
        <w:t>100%</w:t>
      </w:r>
      <w:r>
        <w:t>；</w:t>
      </w:r>
    </w:p>
    <w:p w:rsidR="005F7E2D" w:rsidRDefault="003A1171">
      <w:pPr>
        <w:ind w:firstLine="640"/>
      </w:pPr>
      <w:r>
        <w:t>本项满分</w:t>
      </w:r>
      <w:r>
        <w:t>12</w:t>
      </w:r>
      <w:r>
        <w:t>分，评估得分</w:t>
      </w:r>
      <w:r>
        <w:t>12</w:t>
      </w:r>
      <w:r>
        <w:t>分。</w:t>
      </w:r>
    </w:p>
    <w:p w:rsidR="005F7E2D" w:rsidRDefault="003A1171">
      <w:pPr>
        <w:ind w:firstLine="643"/>
        <w:rPr>
          <w:b/>
          <w:bCs/>
        </w:rPr>
      </w:pPr>
      <w:bookmarkStart w:id="148" w:name="_Toc5394"/>
      <w:bookmarkStart w:id="149" w:name="_Toc6277"/>
      <w:r>
        <w:rPr>
          <w:b/>
          <w:bCs/>
        </w:rPr>
        <w:t>3.</w:t>
      </w:r>
      <w:r>
        <w:rPr>
          <w:b/>
          <w:bCs/>
        </w:rPr>
        <w:t>产出时效</w:t>
      </w:r>
      <w:bookmarkEnd w:id="148"/>
      <w:bookmarkEnd w:id="149"/>
    </w:p>
    <w:p w:rsidR="005F7E2D" w:rsidRDefault="003A1171">
      <w:pPr>
        <w:ind w:firstLine="640"/>
      </w:pPr>
      <w:r>
        <w:rPr>
          <w:bCs/>
          <w:szCs w:val="32"/>
        </w:rPr>
        <w:t>指标</w:t>
      </w:r>
      <w:r>
        <w:rPr>
          <w:bCs/>
          <w:szCs w:val="32"/>
        </w:rPr>
        <w:t>1</w:t>
      </w:r>
      <w:r>
        <w:rPr>
          <w:bCs/>
          <w:szCs w:val="32"/>
        </w:rPr>
        <w:t>：</w:t>
      </w:r>
      <w:r>
        <w:rPr>
          <w:rFonts w:hint="eastAsia"/>
        </w:rPr>
        <w:t>当年投资完成率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5F7E2D" w:rsidRDefault="003A1171">
      <w:pPr>
        <w:ind w:firstLine="640"/>
      </w:pPr>
      <w:r>
        <w:t>本项满分</w:t>
      </w:r>
      <w:r>
        <w:t>12</w:t>
      </w:r>
      <w:r>
        <w:t>分，评估得分</w:t>
      </w:r>
      <w:r>
        <w:t>12</w:t>
      </w:r>
      <w:r>
        <w:t>分。</w:t>
      </w:r>
    </w:p>
    <w:p w:rsidR="005F7E2D" w:rsidRDefault="003A1171">
      <w:pPr>
        <w:ind w:firstLine="643"/>
        <w:rPr>
          <w:b/>
          <w:bCs/>
        </w:rPr>
      </w:pPr>
      <w:bookmarkStart w:id="150" w:name="_Toc18558"/>
      <w:bookmarkStart w:id="151" w:name="_Toc28975"/>
      <w:r>
        <w:rPr>
          <w:b/>
          <w:bCs/>
        </w:rPr>
        <w:t>4.</w:t>
      </w:r>
      <w:r>
        <w:rPr>
          <w:b/>
          <w:bCs/>
        </w:rPr>
        <w:t>产出成本</w:t>
      </w:r>
      <w:bookmarkEnd w:id="150"/>
      <w:bookmarkEnd w:id="151"/>
    </w:p>
    <w:p w:rsidR="005F7E2D" w:rsidRDefault="003A1171">
      <w:pPr>
        <w:ind w:firstLine="640"/>
      </w:pPr>
      <w:r>
        <w:rPr>
          <w:bCs/>
          <w:szCs w:val="32"/>
        </w:rPr>
        <w:t>指标</w:t>
      </w:r>
      <w:r>
        <w:rPr>
          <w:bCs/>
          <w:szCs w:val="32"/>
        </w:rPr>
        <w:t>1</w:t>
      </w:r>
      <w:r>
        <w:rPr>
          <w:bCs/>
          <w:szCs w:val="32"/>
        </w:rPr>
        <w:t>：</w:t>
      </w:r>
      <w:r>
        <w:rPr>
          <w:rFonts w:hint="eastAsia"/>
        </w:rPr>
        <w:t>实际成本超概</w:t>
      </w:r>
      <w:r>
        <w:rPr>
          <w:rFonts w:hint="eastAsia"/>
        </w:rPr>
        <w:t xml:space="preserve"> </w:t>
      </w:r>
      <w:r>
        <w:rPr>
          <w:rFonts w:hint="eastAsia"/>
        </w:rPr>
        <w:t>（预）算比率</w:t>
      </w:r>
      <w:r>
        <w:t>，预期指标值</w:t>
      </w:r>
      <w:bookmarkStart w:id="152" w:name="OLE_LINK8"/>
      <w:r>
        <w:rPr>
          <w:rFonts w:hint="eastAsia"/>
        </w:rPr>
        <w:t>小于或等于</w:t>
      </w:r>
      <w:r>
        <w:rPr>
          <w:rFonts w:hint="eastAsia"/>
        </w:rPr>
        <w:t>5%</w:t>
      </w:r>
      <w:bookmarkEnd w:id="152"/>
      <w:r>
        <w:t>，指标完成值：</w:t>
      </w:r>
      <w:r>
        <w:rPr>
          <w:rFonts w:hint="eastAsia"/>
        </w:rPr>
        <w:t>0%</w:t>
      </w:r>
      <w:r>
        <w:t>，完成率：</w:t>
      </w:r>
      <w:r>
        <w:rPr>
          <w:rFonts w:hint="eastAsia"/>
        </w:rPr>
        <w:t>100%</w:t>
      </w:r>
      <w:r>
        <w:t>；</w:t>
      </w:r>
    </w:p>
    <w:p w:rsidR="005F7E2D" w:rsidRDefault="003A1171">
      <w:pPr>
        <w:ind w:firstLine="640"/>
      </w:pPr>
      <w:r>
        <w:t>本项满分</w:t>
      </w:r>
      <w:r>
        <w:t>4</w:t>
      </w:r>
      <w:r>
        <w:t>分，评估得分</w:t>
      </w:r>
      <w:r>
        <w:t>4</w:t>
      </w:r>
      <w:r>
        <w:t>分。</w:t>
      </w:r>
    </w:p>
    <w:p w:rsidR="005F7E2D" w:rsidRDefault="003A1171">
      <w:pPr>
        <w:pStyle w:val="3"/>
        <w:ind w:firstLine="643"/>
        <w:rPr>
          <w:rFonts w:ascii="楷体" w:eastAsia="楷体" w:hAnsi="楷体" w:cs="楷体"/>
        </w:rPr>
      </w:pPr>
      <w:bookmarkStart w:id="153" w:name="_Toc18194"/>
      <w:bookmarkStart w:id="154" w:name="_Toc27548"/>
      <w:bookmarkStart w:id="155" w:name="_Toc24492"/>
      <w:bookmarkStart w:id="156" w:name="_Toc14881"/>
      <w:bookmarkEnd w:id="143"/>
      <w:r>
        <w:rPr>
          <w:rFonts w:ascii="楷体" w:eastAsia="楷体" w:hAnsi="楷体" w:cs="楷体" w:hint="eastAsia"/>
        </w:rPr>
        <w:t>（四）项目效益情况</w:t>
      </w:r>
      <w:bookmarkEnd w:id="153"/>
      <w:bookmarkEnd w:id="154"/>
      <w:bookmarkEnd w:id="155"/>
      <w:bookmarkEnd w:id="156"/>
    </w:p>
    <w:p w:rsidR="005F7E2D" w:rsidRDefault="003A1171">
      <w:pPr>
        <w:ind w:firstLine="643"/>
        <w:rPr>
          <w:b/>
          <w:bCs/>
        </w:rPr>
      </w:pPr>
      <w:bookmarkStart w:id="157" w:name="_Toc15599"/>
      <w:bookmarkStart w:id="158" w:name="_Toc8370"/>
      <w:r>
        <w:rPr>
          <w:b/>
          <w:bCs/>
        </w:rPr>
        <w:t>1.</w:t>
      </w:r>
      <w:r>
        <w:rPr>
          <w:b/>
          <w:bCs/>
        </w:rPr>
        <w:t>实施效益</w:t>
      </w:r>
      <w:bookmarkEnd w:id="157"/>
      <w:bookmarkEnd w:id="158"/>
    </w:p>
    <w:p w:rsidR="005F7E2D" w:rsidRDefault="003A1171">
      <w:pPr>
        <w:ind w:firstLine="640"/>
      </w:pPr>
      <w:r>
        <w:t>本项目实施所产生的效益主要包括经济效益。项目的实施</w:t>
      </w:r>
      <w:r>
        <w:rPr>
          <w:rFonts w:hint="eastAsia"/>
        </w:rPr>
        <w:t>明显提升农村公路路况水平。</w:t>
      </w:r>
    </w:p>
    <w:p w:rsidR="005F7E2D" w:rsidRDefault="003A1171">
      <w:pPr>
        <w:ind w:firstLine="640"/>
      </w:pPr>
      <w:r>
        <w:t>本项满分</w:t>
      </w:r>
      <w:r>
        <w:t>10</w:t>
      </w:r>
      <w:r>
        <w:t>分，评估得分</w:t>
      </w:r>
      <w:r>
        <w:t>10</w:t>
      </w:r>
      <w:r>
        <w:t>分。</w:t>
      </w:r>
    </w:p>
    <w:p w:rsidR="005F7E2D" w:rsidRDefault="003A1171">
      <w:pPr>
        <w:ind w:firstLine="643"/>
        <w:rPr>
          <w:b/>
          <w:bCs/>
        </w:rPr>
      </w:pPr>
      <w:bookmarkStart w:id="159" w:name="_Toc31503"/>
      <w:bookmarkStart w:id="160" w:name="_Toc20772"/>
      <w:bookmarkStart w:id="161" w:name="OLE_LINK24"/>
      <w:r>
        <w:rPr>
          <w:b/>
          <w:bCs/>
        </w:rPr>
        <w:t>2.</w:t>
      </w:r>
      <w:r>
        <w:rPr>
          <w:b/>
          <w:bCs/>
        </w:rPr>
        <w:t>满意度</w:t>
      </w:r>
      <w:bookmarkEnd w:id="159"/>
      <w:bookmarkEnd w:id="160"/>
    </w:p>
    <w:p w:rsidR="005F7E2D" w:rsidRDefault="003A1171">
      <w:pPr>
        <w:ind w:firstLine="640"/>
      </w:pPr>
      <w:r>
        <w:lastRenderedPageBreak/>
        <w:t>本项目服务对象和受益群众主要是</w:t>
      </w:r>
      <w:r>
        <w:rPr>
          <w:rFonts w:hint="eastAsia"/>
        </w:rPr>
        <w:t>社会群众</w:t>
      </w:r>
      <w:r>
        <w:t>，通过问卷调查方式收集服务对象和受益群众对本项目实施的满意度。调查人群都表示很满意，都认为本项目实施后，</w:t>
      </w:r>
      <w:r>
        <w:rPr>
          <w:rFonts w:hint="eastAsia"/>
        </w:rPr>
        <w:t>改善了通行服务水平。</w:t>
      </w:r>
    </w:p>
    <w:p w:rsidR="005F7E2D" w:rsidRDefault="003A1171">
      <w:pPr>
        <w:ind w:firstLine="640"/>
      </w:pPr>
      <w:r>
        <w:t>本项满分</w:t>
      </w:r>
      <w:r>
        <w:t>10</w:t>
      </w:r>
      <w:r>
        <w:t>分，评估得分</w:t>
      </w:r>
      <w:r>
        <w:t>10</w:t>
      </w:r>
      <w:r>
        <w:t>分。</w:t>
      </w:r>
      <w:bookmarkEnd w:id="161"/>
    </w:p>
    <w:p w:rsidR="005F7E2D" w:rsidRDefault="003A1171">
      <w:pPr>
        <w:pStyle w:val="2"/>
        <w:ind w:firstLine="640"/>
        <w:rPr>
          <w:rFonts w:eastAsia="仿宋_GB2312"/>
        </w:rPr>
      </w:pPr>
      <w:bookmarkStart w:id="162" w:name="_Toc3310"/>
      <w:bookmarkStart w:id="163" w:name="_Toc24261"/>
      <w:bookmarkStart w:id="164" w:name="_Toc17413"/>
      <w:bookmarkStart w:id="165" w:name="_Toc23114"/>
      <w:bookmarkStart w:id="166" w:name="_Toc20473"/>
      <w:r>
        <w:rPr>
          <w:rFonts w:ascii="黑体" w:hAnsi="黑体" w:cs="黑体" w:hint="eastAsia"/>
        </w:rPr>
        <w:t>五、主要经验及做法、存在的问题及原因分析</w:t>
      </w:r>
      <w:bookmarkEnd w:id="162"/>
      <w:bookmarkEnd w:id="163"/>
      <w:bookmarkEnd w:id="164"/>
      <w:bookmarkEnd w:id="165"/>
      <w:bookmarkEnd w:id="166"/>
    </w:p>
    <w:p w:rsidR="005F7E2D" w:rsidRDefault="003A1171">
      <w:pPr>
        <w:pStyle w:val="3"/>
        <w:ind w:firstLine="643"/>
        <w:rPr>
          <w:rFonts w:ascii="楷体" w:eastAsia="楷体" w:hAnsi="楷体" w:cs="楷体"/>
        </w:rPr>
      </w:pPr>
      <w:bookmarkStart w:id="167" w:name="_Toc6522"/>
      <w:bookmarkStart w:id="168" w:name="_Toc14362"/>
      <w:bookmarkStart w:id="169" w:name="_Toc6741"/>
      <w:bookmarkStart w:id="170" w:name="_Toc10514"/>
      <w:bookmarkStart w:id="171" w:name="OLE_LINK25"/>
      <w:bookmarkStart w:id="172" w:name="OLE_LINK28"/>
      <w:r>
        <w:rPr>
          <w:rFonts w:ascii="楷体" w:eastAsia="楷体" w:hAnsi="楷体" w:cs="楷体" w:hint="eastAsia"/>
        </w:rPr>
        <w:t>（一）主要经验及做法</w:t>
      </w:r>
      <w:bookmarkEnd w:id="167"/>
      <w:bookmarkEnd w:id="168"/>
      <w:bookmarkEnd w:id="169"/>
      <w:bookmarkEnd w:id="170"/>
    </w:p>
    <w:p w:rsidR="005F7E2D" w:rsidRDefault="003A1171">
      <w:pPr>
        <w:ind w:firstLine="640"/>
      </w:pPr>
      <w:bookmarkStart w:id="173" w:name="OLE_LINK11"/>
      <w:bookmarkStart w:id="174" w:name="OLE_LINK10"/>
      <w:r>
        <w:rPr>
          <w:rFonts w:hint="eastAsia"/>
        </w:rPr>
        <w:t>2024</w:t>
      </w:r>
      <w:r>
        <w:rPr>
          <w:rFonts w:hint="eastAsia"/>
        </w:rPr>
        <w:t>年尉犁县农村公路日常养护资金</w:t>
      </w:r>
      <w:bookmarkEnd w:id="173"/>
      <w:r>
        <w:t>县委、县政府</w:t>
      </w:r>
      <w:r>
        <w:t>的支持下，在相关部门的配合下，全面顺利完成，绩效评价</w:t>
      </w:r>
      <w:r>
        <w:t>“</w:t>
      </w:r>
      <w:r>
        <w:t>优</w:t>
      </w:r>
      <w:r>
        <w:t>”</w:t>
      </w:r>
      <w:r>
        <w:t>，主要经验及做法如下：</w:t>
      </w:r>
    </w:p>
    <w:p w:rsidR="005F7E2D" w:rsidRDefault="003A1171">
      <w:pPr>
        <w:ind w:firstLine="640"/>
      </w:pPr>
      <w:bookmarkStart w:id="175" w:name="_Toc6359"/>
      <w:bookmarkStart w:id="176" w:name="_Toc4673"/>
      <w:bookmarkStart w:id="177" w:name="_Toc11238"/>
      <w:bookmarkStart w:id="178" w:name="_Toc27408"/>
      <w:bookmarkStart w:id="179" w:name="OLE_LINK27"/>
      <w:bookmarkStart w:id="180" w:name="_Toc5794"/>
      <w:bookmarkStart w:id="181" w:name="_Toc22823"/>
      <w:bookmarkStart w:id="182" w:name="_Toc24871"/>
      <w:bookmarkStart w:id="183" w:name="_Toc12100"/>
      <w:bookmarkStart w:id="184" w:name="_Toc21621"/>
      <w:bookmarkEnd w:id="171"/>
      <w:bookmarkEnd w:id="174"/>
      <w:r>
        <w:rPr>
          <w:rFonts w:hint="eastAsia"/>
        </w:rPr>
        <w:t>1</w:t>
      </w:r>
      <w:r>
        <w:t>.</w:t>
      </w:r>
      <w:r>
        <w:t>明确资金责任主体与分担机制</w:t>
      </w:r>
      <w:r>
        <w:rPr>
          <w:rFonts w:hint="eastAsia"/>
        </w:rPr>
        <w:t>。</w:t>
      </w:r>
      <w:r>
        <w:t>政府主导，分级负责</w:t>
      </w:r>
      <w:r>
        <w:rPr>
          <w:rFonts w:hint="eastAsia"/>
        </w:rPr>
        <w:t>，</w:t>
      </w:r>
      <w:r>
        <w:t>尉犁</w:t>
      </w:r>
      <w:proofErr w:type="gramStart"/>
      <w:r>
        <w:t>县依据</w:t>
      </w:r>
      <w:proofErr w:type="gramEnd"/>
      <w:r>
        <w:t>相关政策文件，明确了县级人民政府为农村公路管理养护的责任主体。在资金分担上，县级财政承担主要份额，积极统筹资金用于农村公路养护。同时，尉犁县结合自身经济发展水平，合理规划资金投入，确保在有限的财政资源下，最大化保障农村公路养护需求。</w:t>
      </w:r>
    </w:p>
    <w:p w:rsidR="005F7E2D" w:rsidRDefault="003A1171">
      <w:pPr>
        <w:ind w:firstLine="640"/>
      </w:pPr>
      <w:r>
        <w:rPr>
          <w:rFonts w:hint="eastAsia"/>
        </w:rPr>
        <w:t>2</w:t>
      </w:r>
      <w:r>
        <w:rPr>
          <w:rFonts w:hint="eastAsia"/>
        </w:rPr>
        <w:t>.</w:t>
      </w:r>
      <w:r>
        <w:t>稳定资金来源与强化资金管理</w:t>
      </w:r>
      <w:r>
        <w:rPr>
          <w:rFonts w:hint="eastAsia"/>
        </w:rPr>
        <w:t>。地方各级人民政府根据农村公路养护实际需要，统筹本级财政预算安排资金。近年来，尉犁县财政不断加大对农村公路养护的投入力度。除了将专项资金纳入预算外，还根据当年农村公路养护的实际需求，灵活调整财政资金支持额度。如在一些自然灾害导致农村公路受损严重的年份，尉犁县财政及时追加资金，用于</w:t>
      </w:r>
      <w:r>
        <w:rPr>
          <w:rFonts w:hint="eastAsia"/>
        </w:rPr>
        <w:lastRenderedPageBreak/>
        <w:t>公路的抢修和恢复，保障农村公路的正常通行。</w:t>
      </w:r>
    </w:p>
    <w:p w:rsidR="005F7E2D" w:rsidRDefault="003A1171">
      <w:pPr>
        <w:ind w:firstLine="643"/>
        <w:rPr>
          <w:rFonts w:ascii="楷体" w:eastAsia="楷体" w:hAnsi="楷体" w:cs="楷体"/>
          <w:b/>
        </w:rPr>
      </w:pPr>
      <w:r>
        <w:rPr>
          <w:rFonts w:ascii="楷体" w:eastAsia="楷体" w:hAnsi="楷体" w:cs="楷体" w:hint="eastAsia"/>
          <w:b/>
        </w:rPr>
        <w:t>（二）存在的问题及分析</w:t>
      </w:r>
      <w:bookmarkEnd w:id="175"/>
      <w:bookmarkEnd w:id="176"/>
      <w:bookmarkEnd w:id="177"/>
      <w:bookmarkEnd w:id="178"/>
    </w:p>
    <w:p w:rsidR="005F7E2D" w:rsidRDefault="003A1171">
      <w:pPr>
        <w:pStyle w:val="2"/>
        <w:keepNext w:val="0"/>
        <w:ind w:firstLine="640"/>
        <w:rPr>
          <w:rFonts w:eastAsia="仿宋_GB2312"/>
        </w:rPr>
      </w:pPr>
      <w:bookmarkStart w:id="185" w:name="OLE_LINK26"/>
      <w:bookmarkStart w:id="186" w:name="_Toc22271"/>
      <w:bookmarkStart w:id="187" w:name="_Toc13345"/>
      <w:bookmarkStart w:id="188" w:name="_Toc20116"/>
      <w:bookmarkStart w:id="189" w:name="_Toc13270"/>
      <w:bookmarkStart w:id="190" w:name="_Toc5702"/>
      <w:bookmarkEnd w:id="172"/>
      <w:bookmarkEnd w:id="179"/>
      <w:r>
        <w:rPr>
          <w:rFonts w:eastAsia="仿宋_GB2312" w:hint="eastAsia"/>
        </w:rPr>
        <w:t>1.</w:t>
      </w:r>
      <w:r>
        <w:rPr>
          <w:rFonts w:eastAsia="仿宋_GB2312"/>
        </w:rPr>
        <w:t>农村公路养护的信息化建设滞后，缺乏完善的路况监测系统和养护管理信息平台。无法实时掌握公路的路况信息，难以及时发现路面病害和安全隐患。在养护计划制定和资源调配方面</w:t>
      </w:r>
      <w:r>
        <w:rPr>
          <w:rFonts w:eastAsia="仿宋_GB2312"/>
        </w:rPr>
        <w:t>，也主要依靠人工经验，缺乏科学的数据支持，导致养护工作的针对性和及时性不足。</w:t>
      </w:r>
      <w:bookmarkEnd w:id="185"/>
    </w:p>
    <w:p w:rsidR="005F7E2D" w:rsidRDefault="003A1171">
      <w:pPr>
        <w:pStyle w:val="2"/>
        <w:keepNext w:val="0"/>
        <w:ind w:firstLine="640"/>
        <w:rPr>
          <w:rFonts w:eastAsia="仿宋_GB2312"/>
        </w:rPr>
      </w:pPr>
      <w:r>
        <w:rPr>
          <w:rFonts w:eastAsia="仿宋_GB2312" w:hint="eastAsia"/>
        </w:rPr>
        <w:t>2.</w:t>
      </w:r>
      <w:r>
        <w:rPr>
          <w:rFonts w:eastAsia="仿宋_GB2312" w:hint="eastAsia"/>
        </w:rPr>
        <w:t>对于农村公路养护工作的考核监督缺乏明确的指标体系和有效的监督手段。养护工作的质量好坏缺乏客观评价。同时，对于养护资金的使用情况、养护工程的实施进度和质量等方面的监督不到位。</w:t>
      </w:r>
    </w:p>
    <w:p w:rsidR="005F7E2D" w:rsidRDefault="003A1171">
      <w:pPr>
        <w:pStyle w:val="2"/>
        <w:keepNext w:val="0"/>
        <w:ind w:firstLine="640"/>
        <w:rPr>
          <w:rFonts w:ascii="黑体" w:hAnsi="黑体" w:cs="黑体"/>
        </w:rPr>
      </w:pPr>
      <w:r>
        <w:rPr>
          <w:rFonts w:ascii="黑体" w:hAnsi="黑体" w:cs="黑体" w:hint="eastAsia"/>
        </w:rPr>
        <w:t>六、有关建议</w:t>
      </w:r>
      <w:bookmarkEnd w:id="186"/>
      <w:bookmarkEnd w:id="187"/>
      <w:bookmarkEnd w:id="188"/>
      <w:bookmarkEnd w:id="189"/>
      <w:bookmarkEnd w:id="190"/>
    </w:p>
    <w:p w:rsidR="005F7E2D" w:rsidRDefault="003A1171">
      <w:pPr>
        <w:pStyle w:val="2"/>
        <w:keepNext w:val="0"/>
        <w:ind w:firstLine="640"/>
        <w:rPr>
          <w:rFonts w:eastAsia="仿宋_GB2312"/>
        </w:rPr>
      </w:pPr>
      <w:bookmarkStart w:id="191" w:name="OLE_LINK39"/>
      <w:r>
        <w:rPr>
          <w:rFonts w:eastAsia="仿宋_GB2312" w:hint="eastAsia"/>
        </w:rPr>
        <w:t>1.</w:t>
      </w:r>
      <w:r>
        <w:rPr>
          <w:rFonts w:eastAsia="仿宋_GB2312"/>
        </w:rPr>
        <w:t>建立标准化养护作业流程：由</w:t>
      </w:r>
      <w:r>
        <w:rPr>
          <w:rFonts w:eastAsia="仿宋_GB2312" w:hint="eastAsia"/>
        </w:rPr>
        <w:t>上</w:t>
      </w:r>
      <w:r>
        <w:rPr>
          <w:rFonts w:eastAsia="仿宋_GB2312"/>
        </w:rPr>
        <w:t>级交通部门制定统一的农村公路标准化养护作业流程手册，明确从日常巡查、路面清扫、病害处理</w:t>
      </w:r>
      <w:proofErr w:type="gramStart"/>
      <w:r>
        <w:rPr>
          <w:rFonts w:eastAsia="仿宋_GB2312"/>
        </w:rPr>
        <w:t>到设施</w:t>
      </w:r>
      <w:proofErr w:type="gramEnd"/>
      <w:r>
        <w:rPr>
          <w:rFonts w:eastAsia="仿宋_GB2312"/>
        </w:rPr>
        <w:t>维护等各个环节的操作规范、技术要求与质量标准。各地养护部门严格按照手册执行，确保养护工作的规范化与一致性。</w:t>
      </w:r>
    </w:p>
    <w:p w:rsidR="005F7E2D" w:rsidRDefault="003A1171">
      <w:pPr>
        <w:pStyle w:val="2"/>
        <w:keepNext w:val="0"/>
        <w:ind w:firstLine="640"/>
        <w:rPr>
          <w:rFonts w:eastAsia="仿宋_GB2312"/>
        </w:rPr>
      </w:pPr>
      <w:r>
        <w:rPr>
          <w:rFonts w:eastAsia="仿宋_GB2312" w:hint="eastAsia"/>
        </w:rPr>
        <w:t>2.</w:t>
      </w:r>
      <w:r>
        <w:rPr>
          <w:rFonts w:eastAsia="仿宋_GB2312"/>
        </w:rPr>
        <w:t>加强公众参与监督机制：开通农村公路养护公众监督热线与线上举报平台，鼓励村民对养护工作中的问题，如养护不到位、资金挪用等进行举报。对查证属实的举报给予举报人一定奖励。同时，定期邀请村民代表参与养护工作满意度调查与项目验收，充分听取公众意见，提升养护工作的透</w:t>
      </w:r>
      <w:r>
        <w:rPr>
          <w:rFonts w:eastAsia="仿宋_GB2312"/>
        </w:rPr>
        <w:lastRenderedPageBreak/>
        <w:t>明度与公信力。</w:t>
      </w:r>
    </w:p>
    <w:bookmarkEnd w:id="191"/>
    <w:p w:rsidR="005F7E2D" w:rsidRDefault="003A1171">
      <w:pPr>
        <w:pStyle w:val="2"/>
        <w:ind w:firstLine="640"/>
        <w:rPr>
          <w:rFonts w:ascii="黑体" w:hAnsi="黑体" w:cs="黑体"/>
        </w:rPr>
      </w:pPr>
      <w:r>
        <w:rPr>
          <w:rFonts w:ascii="黑体" w:hAnsi="黑体" w:cs="黑体"/>
        </w:rPr>
        <w:t>七、其他需要说明的问题</w:t>
      </w:r>
      <w:bookmarkEnd w:id="180"/>
      <w:bookmarkEnd w:id="181"/>
      <w:bookmarkEnd w:id="182"/>
      <w:bookmarkEnd w:id="183"/>
      <w:bookmarkEnd w:id="184"/>
    </w:p>
    <w:p w:rsidR="005F7E2D" w:rsidRDefault="003A1171">
      <w:pPr>
        <w:ind w:firstLine="640"/>
      </w:pPr>
      <w:bookmarkStart w:id="192" w:name="_Toc4210"/>
      <w:bookmarkStart w:id="193" w:name="_Toc30245"/>
      <w:bookmarkStart w:id="194" w:name="_Toc28493"/>
      <w:r>
        <w:t>1</w:t>
      </w:r>
      <w:r>
        <w:t>、</w:t>
      </w:r>
      <w:r>
        <w:t>本项目部分间接产生的效果无法准确在短期内衡量，因此很难认定项目产生的全部效果。通过指标来反映绩效，指标的科学性和全面性需要不断地完善和研究。</w:t>
      </w:r>
    </w:p>
    <w:p w:rsidR="005F7E2D" w:rsidRDefault="003A1171">
      <w:pPr>
        <w:ind w:firstLine="640"/>
      </w:pPr>
      <w:r>
        <w:t>2</w:t>
      </w:r>
      <w:r>
        <w:t>、</w:t>
      </w:r>
      <w:r>
        <w:t>评价结果分别编入政府决算和部门预算，报送本级人民代表大会常务委员会，</w:t>
      </w:r>
      <w:r>
        <w:t>并依法予以公开。</w:t>
      </w:r>
    </w:p>
    <w:p w:rsidR="005F7E2D" w:rsidRDefault="003A1171">
      <w:pPr>
        <w:pStyle w:val="2"/>
        <w:ind w:firstLine="640"/>
        <w:rPr>
          <w:rFonts w:ascii="黑体" w:hAnsi="黑体" w:cs="黑体"/>
        </w:rPr>
      </w:pPr>
      <w:r>
        <w:rPr>
          <w:rFonts w:ascii="黑体" w:hAnsi="黑体" w:cs="黑体"/>
        </w:rPr>
        <w:t>八、附件</w:t>
      </w:r>
      <w:bookmarkEnd w:id="192"/>
      <w:bookmarkEnd w:id="193"/>
      <w:bookmarkEnd w:id="194"/>
    </w:p>
    <w:p w:rsidR="005F7E2D" w:rsidRDefault="003A1171">
      <w:pPr>
        <w:ind w:firstLine="640"/>
      </w:pPr>
      <w:r>
        <w:t>1</w:t>
      </w:r>
      <w:r>
        <w:t>、项目支出绩效自评表</w:t>
      </w:r>
    </w:p>
    <w:p w:rsidR="005F7E2D" w:rsidRDefault="003A1171">
      <w:pPr>
        <w:ind w:firstLine="640"/>
      </w:pPr>
      <w:r>
        <w:t>2</w:t>
      </w:r>
      <w:r>
        <w:t>、项目支出绩效评价指标体系及评分</w:t>
      </w:r>
    </w:p>
    <w:p w:rsidR="005F7E2D" w:rsidRDefault="005F7E2D">
      <w:pPr>
        <w:ind w:firstLine="640"/>
      </w:pPr>
    </w:p>
    <w:p w:rsidR="005F7E2D" w:rsidRDefault="005F7E2D">
      <w:pPr>
        <w:ind w:firstLine="640"/>
      </w:pPr>
    </w:p>
    <w:p w:rsidR="005F7E2D" w:rsidRDefault="005F7E2D">
      <w:pPr>
        <w:ind w:firstLine="640"/>
      </w:pPr>
    </w:p>
    <w:p w:rsidR="005F7E2D" w:rsidRDefault="005F7E2D">
      <w:pPr>
        <w:ind w:firstLine="640"/>
        <w:sectPr w:rsidR="005F7E2D">
          <w:footerReference w:type="default" r:id="rId13"/>
          <w:pgSz w:w="11906" w:h="16838"/>
          <w:pgMar w:top="1440" w:right="1800" w:bottom="1440" w:left="1800" w:header="851" w:footer="992" w:gutter="0"/>
          <w:cols w:space="720"/>
          <w:docGrid w:type="lines" w:linePitch="312"/>
        </w:sectPr>
      </w:pPr>
    </w:p>
    <w:p w:rsidR="005F7E2D" w:rsidRDefault="003A1171">
      <w:pPr>
        <w:pStyle w:val="2"/>
        <w:ind w:firstLine="640"/>
        <w:rPr>
          <w:rFonts w:eastAsia="仿宋_GB2312"/>
        </w:rPr>
      </w:pPr>
      <w:bookmarkStart w:id="195" w:name="_Toc28598"/>
      <w:bookmarkStart w:id="196" w:name="_Toc15698"/>
      <w:r>
        <w:rPr>
          <w:rFonts w:eastAsia="仿宋_GB2312"/>
        </w:rPr>
        <w:lastRenderedPageBreak/>
        <w:t>附件</w:t>
      </w:r>
      <w:r>
        <w:rPr>
          <w:rFonts w:eastAsia="仿宋_GB2312"/>
        </w:rPr>
        <w:t>1</w:t>
      </w:r>
      <w:r>
        <w:rPr>
          <w:rFonts w:eastAsia="仿宋_GB2312"/>
        </w:rPr>
        <w:t>：</w:t>
      </w:r>
      <w:bookmarkEnd w:id="195"/>
      <w:bookmarkEnd w:id="196"/>
      <w:r>
        <w:rPr>
          <w:rFonts w:eastAsia="仿宋_GB2312"/>
        </w:rPr>
        <w:t>项目支出绩效自评表</w:t>
      </w:r>
    </w:p>
    <w:tbl>
      <w:tblPr>
        <w:tblW w:w="4999" w:type="pct"/>
        <w:tblLayout w:type="fixed"/>
        <w:tblLook w:val="04A0" w:firstRow="1" w:lastRow="0" w:firstColumn="1" w:lastColumn="0" w:noHBand="0" w:noVBand="1"/>
      </w:tblPr>
      <w:tblGrid>
        <w:gridCol w:w="1185"/>
        <w:gridCol w:w="992"/>
        <w:gridCol w:w="1122"/>
        <w:gridCol w:w="1168"/>
        <w:gridCol w:w="907"/>
        <w:gridCol w:w="845"/>
        <w:gridCol w:w="1105"/>
        <w:gridCol w:w="836"/>
        <w:gridCol w:w="901"/>
        <w:gridCol w:w="890"/>
        <w:gridCol w:w="1111"/>
        <w:gridCol w:w="1040"/>
        <w:gridCol w:w="1094"/>
        <w:gridCol w:w="975"/>
      </w:tblGrid>
      <w:tr w:rsidR="005F7E2D">
        <w:trPr>
          <w:trHeight w:val="420"/>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auto"/>
              <w:ind w:firstLineChars="0" w:firstLine="0"/>
              <w:jc w:val="center"/>
              <w:rPr>
                <w:sz w:val="21"/>
                <w:szCs w:val="21"/>
              </w:rPr>
            </w:pPr>
            <w:r>
              <w:rPr>
                <w:rFonts w:hint="eastAsia"/>
                <w:b/>
                <w:bCs/>
                <w:szCs w:val="32"/>
              </w:rPr>
              <w:t>项目支出绩效自评表</w:t>
            </w:r>
          </w:p>
        </w:tc>
      </w:tr>
      <w:tr w:rsidR="005F7E2D">
        <w:trPr>
          <w:trHeight w:val="446"/>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(2024</w:t>
            </w:r>
            <w:r>
              <w:rPr>
                <w:rFonts w:hint="eastAsia"/>
                <w:sz w:val="21"/>
                <w:szCs w:val="21"/>
              </w:rPr>
              <w:t>年度</w:t>
            </w:r>
            <w:r>
              <w:rPr>
                <w:rFonts w:hint="eastAsia"/>
                <w:sz w:val="21"/>
                <w:szCs w:val="21"/>
              </w:rPr>
              <w:t>)</w:t>
            </w:r>
          </w:p>
        </w:tc>
      </w:tr>
      <w:tr w:rsidR="005F7E2D">
        <w:trPr>
          <w:trHeight w:val="496"/>
        </w:trPr>
        <w:tc>
          <w:tcPr>
            <w:tcW w:w="76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项目名称</w:t>
            </w:r>
          </w:p>
        </w:tc>
        <w:tc>
          <w:tcPr>
            <w:tcW w:w="4231" w:type="pct"/>
            <w:gridSpan w:val="1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2024</w:t>
            </w:r>
            <w:r>
              <w:rPr>
                <w:rFonts w:hint="eastAsia"/>
                <w:sz w:val="21"/>
                <w:szCs w:val="21"/>
              </w:rPr>
              <w:t>年尉犁县农村公路日常养护资金</w:t>
            </w:r>
          </w:p>
        </w:tc>
      </w:tr>
      <w:tr w:rsidR="005F7E2D">
        <w:trPr>
          <w:trHeight w:val="600"/>
        </w:trPr>
        <w:tc>
          <w:tcPr>
            <w:tcW w:w="76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主管部门</w:t>
            </w:r>
          </w:p>
        </w:tc>
        <w:tc>
          <w:tcPr>
            <w:tcW w:w="1816" w:type="pct"/>
            <w:gridSpan w:val="5"/>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尉犁县交通运输局</w:t>
            </w:r>
          </w:p>
        </w:tc>
        <w:tc>
          <w:tcPr>
            <w:tcW w:w="61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实施单位</w:t>
            </w:r>
          </w:p>
        </w:tc>
        <w:tc>
          <w:tcPr>
            <w:tcW w:w="1802" w:type="pct"/>
            <w:gridSpan w:val="5"/>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尉犁县交通运输局</w:t>
            </w:r>
          </w:p>
        </w:tc>
      </w:tr>
      <w:tr w:rsidR="005F7E2D">
        <w:trPr>
          <w:trHeight w:val="440"/>
        </w:trPr>
        <w:tc>
          <w:tcPr>
            <w:tcW w:w="768" w:type="pct"/>
            <w:gridSpan w:val="2"/>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项目资金</w:t>
            </w:r>
            <w:r>
              <w:rPr>
                <w:rFonts w:hint="eastAsia"/>
                <w:sz w:val="21"/>
                <w:szCs w:val="21"/>
              </w:rPr>
              <w:br/>
            </w:r>
            <w:r>
              <w:rPr>
                <w:rFonts w:hint="eastAsia"/>
                <w:sz w:val="21"/>
                <w:szCs w:val="21"/>
              </w:rPr>
              <w:t>（万元）</w:t>
            </w:r>
          </w:p>
        </w:tc>
        <w:tc>
          <w:tcPr>
            <w:tcW w:w="80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资金来源</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年初预算数</w:t>
            </w:r>
          </w:p>
        </w:tc>
        <w:tc>
          <w:tcPr>
            <w:tcW w:w="687"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全年预算数</w:t>
            </w:r>
          </w:p>
        </w:tc>
        <w:tc>
          <w:tcPr>
            <w:tcW w:w="61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全年执行数</w:t>
            </w:r>
          </w:p>
        </w:tc>
        <w:tc>
          <w:tcPr>
            <w:tcW w:w="706"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分值权重</w:t>
            </w:r>
          </w:p>
        </w:tc>
        <w:tc>
          <w:tcPr>
            <w:tcW w:w="75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执行率</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得分</w:t>
            </w:r>
          </w:p>
        </w:tc>
      </w:tr>
      <w:tr w:rsidR="005F7E2D">
        <w:trPr>
          <w:trHeight w:val="440"/>
        </w:trPr>
        <w:tc>
          <w:tcPr>
            <w:tcW w:w="768" w:type="pct"/>
            <w:gridSpan w:val="2"/>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80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年度资金总额</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214.00</w:t>
            </w:r>
          </w:p>
        </w:tc>
        <w:tc>
          <w:tcPr>
            <w:tcW w:w="687"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214.00</w:t>
            </w:r>
          </w:p>
        </w:tc>
        <w:tc>
          <w:tcPr>
            <w:tcW w:w="61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214.00</w:t>
            </w:r>
          </w:p>
        </w:tc>
        <w:tc>
          <w:tcPr>
            <w:tcW w:w="706"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75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100.00%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10.00</w:t>
            </w:r>
            <w:r>
              <w:rPr>
                <w:rFonts w:hint="eastAsia"/>
                <w:sz w:val="21"/>
                <w:szCs w:val="21"/>
              </w:rPr>
              <w:t>分</w:t>
            </w:r>
          </w:p>
        </w:tc>
      </w:tr>
      <w:tr w:rsidR="005F7E2D">
        <w:trPr>
          <w:trHeight w:val="440"/>
        </w:trPr>
        <w:tc>
          <w:tcPr>
            <w:tcW w:w="768" w:type="pct"/>
            <w:gridSpan w:val="2"/>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80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其中：当年财政拨款</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w:t>
            </w:r>
          </w:p>
        </w:tc>
        <w:tc>
          <w:tcPr>
            <w:tcW w:w="687"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w:t>
            </w:r>
          </w:p>
        </w:tc>
        <w:tc>
          <w:tcPr>
            <w:tcW w:w="61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214</w:t>
            </w:r>
          </w:p>
        </w:tc>
        <w:tc>
          <w:tcPr>
            <w:tcW w:w="706"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75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r>
      <w:tr w:rsidR="005F7E2D">
        <w:trPr>
          <w:trHeight w:val="440"/>
        </w:trPr>
        <w:tc>
          <w:tcPr>
            <w:tcW w:w="768" w:type="pct"/>
            <w:gridSpan w:val="2"/>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808"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其他资金</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0</w:t>
            </w:r>
          </w:p>
        </w:tc>
        <w:tc>
          <w:tcPr>
            <w:tcW w:w="687"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0</w:t>
            </w:r>
          </w:p>
        </w:tc>
        <w:tc>
          <w:tcPr>
            <w:tcW w:w="61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0</w:t>
            </w:r>
          </w:p>
        </w:tc>
        <w:tc>
          <w:tcPr>
            <w:tcW w:w="706"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753" w:type="pct"/>
            <w:gridSpan w:val="2"/>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r>
      <w:tr w:rsidR="005F7E2D">
        <w:trPr>
          <w:trHeight w:val="600"/>
        </w:trPr>
        <w:tc>
          <w:tcPr>
            <w:tcW w:w="418"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年度总体目标</w:t>
            </w:r>
          </w:p>
        </w:tc>
        <w:tc>
          <w:tcPr>
            <w:tcW w:w="2779" w:type="pct"/>
            <w:gridSpan w:val="8"/>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总体目标</w:t>
            </w:r>
          </w:p>
        </w:tc>
        <w:tc>
          <w:tcPr>
            <w:tcW w:w="1802" w:type="pct"/>
            <w:gridSpan w:val="5"/>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总体目标完成情况</w:t>
            </w:r>
          </w:p>
        </w:tc>
      </w:tr>
      <w:tr w:rsidR="005F7E2D">
        <w:trPr>
          <w:trHeight w:val="11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2779" w:type="pct"/>
            <w:gridSpan w:val="8"/>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w:t>
            </w:r>
            <w:r>
              <w:rPr>
                <w:rFonts w:hint="eastAsia"/>
                <w:sz w:val="21"/>
                <w:szCs w:val="21"/>
              </w:rPr>
              <w:t>、村道安防</w:t>
            </w:r>
            <w:r>
              <w:rPr>
                <w:rFonts w:hint="eastAsia"/>
                <w:sz w:val="21"/>
                <w:szCs w:val="21"/>
              </w:rPr>
              <w:t>18</w:t>
            </w:r>
            <w:r>
              <w:rPr>
                <w:rFonts w:hint="eastAsia"/>
                <w:sz w:val="21"/>
                <w:szCs w:val="21"/>
              </w:rPr>
              <w:t>公里；</w:t>
            </w:r>
            <w:r>
              <w:rPr>
                <w:rFonts w:hint="eastAsia"/>
                <w:sz w:val="21"/>
                <w:szCs w:val="21"/>
              </w:rPr>
              <w:br/>
              <w:t>2</w:t>
            </w:r>
            <w:r>
              <w:rPr>
                <w:rFonts w:hint="eastAsia"/>
                <w:sz w:val="21"/>
                <w:szCs w:val="21"/>
              </w:rPr>
              <w:t>、各乡镇管委会事故多发路段隐患整改，如：标志标牌、标线、修补坑槽、警示护柱、减速带、爆闪灯、电子哨兵、移动式红绿灯、防撞</w:t>
            </w:r>
            <w:proofErr w:type="gramStart"/>
            <w:r>
              <w:rPr>
                <w:rFonts w:hint="eastAsia"/>
                <w:sz w:val="21"/>
                <w:szCs w:val="21"/>
              </w:rPr>
              <w:t>桶以及</w:t>
            </w:r>
            <w:proofErr w:type="gramEnd"/>
            <w:r>
              <w:rPr>
                <w:rFonts w:hint="eastAsia"/>
                <w:sz w:val="21"/>
                <w:szCs w:val="21"/>
              </w:rPr>
              <w:t>修复破损桥栏杆等；</w:t>
            </w:r>
          </w:p>
        </w:tc>
        <w:tc>
          <w:tcPr>
            <w:tcW w:w="1802" w:type="pct"/>
            <w:gridSpan w:val="5"/>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w:t>
            </w:r>
            <w:r>
              <w:rPr>
                <w:rFonts w:hint="eastAsia"/>
                <w:sz w:val="21"/>
                <w:szCs w:val="21"/>
              </w:rPr>
              <w:t>、已完成</w:t>
            </w:r>
            <w:r>
              <w:rPr>
                <w:rFonts w:hint="eastAsia"/>
                <w:sz w:val="21"/>
                <w:szCs w:val="21"/>
              </w:rPr>
              <w:t>18</w:t>
            </w:r>
            <w:r>
              <w:rPr>
                <w:rFonts w:hint="eastAsia"/>
                <w:sz w:val="21"/>
                <w:szCs w:val="21"/>
              </w:rPr>
              <w:t>公里村道安防建设任务；</w:t>
            </w:r>
            <w:r>
              <w:rPr>
                <w:rFonts w:hint="eastAsia"/>
                <w:sz w:val="21"/>
                <w:szCs w:val="21"/>
              </w:rPr>
              <w:br/>
            </w:r>
            <w:r>
              <w:rPr>
                <w:rFonts w:hint="eastAsia"/>
                <w:sz w:val="21"/>
                <w:szCs w:val="21"/>
              </w:rPr>
              <w:t>2</w:t>
            </w:r>
            <w:r>
              <w:rPr>
                <w:rFonts w:hint="eastAsia"/>
                <w:sz w:val="21"/>
                <w:szCs w:val="21"/>
              </w:rPr>
              <w:t>、已完成各乡镇管委会事故多发路段隐患整改，整改内容：标志标牌、标线、修补坑槽、警示护柱、减速带、爆闪灯、电子哨兵、移动式红绿灯、防撞</w:t>
            </w:r>
            <w:proofErr w:type="gramStart"/>
            <w:r>
              <w:rPr>
                <w:rFonts w:hint="eastAsia"/>
                <w:sz w:val="21"/>
                <w:szCs w:val="21"/>
              </w:rPr>
              <w:t>桶以及</w:t>
            </w:r>
            <w:proofErr w:type="gramEnd"/>
            <w:r>
              <w:rPr>
                <w:rFonts w:hint="eastAsia"/>
                <w:sz w:val="21"/>
                <w:szCs w:val="21"/>
              </w:rPr>
              <w:t>修复破损桥栏杆等。</w:t>
            </w:r>
          </w:p>
        </w:tc>
      </w:tr>
      <w:tr w:rsidR="005F7E2D">
        <w:trPr>
          <w:trHeight w:val="420"/>
        </w:trPr>
        <w:tc>
          <w:tcPr>
            <w:tcW w:w="418"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1122"/>
        </w:trPr>
        <w:tc>
          <w:tcPr>
            <w:tcW w:w="418"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一级指标</w:t>
            </w: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二级指标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三级指标</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指标值</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指标值设置依据</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上年完成值</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指标分值权重</w:t>
            </w: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proofErr w:type="gramStart"/>
            <w:r>
              <w:rPr>
                <w:rFonts w:hint="eastAsia"/>
                <w:sz w:val="21"/>
                <w:szCs w:val="21"/>
              </w:rPr>
              <w:t>指标赋分规则</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佐证资料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指标实际完成值</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完成率</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指标得分</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偏差原因分析及改进措施</w:t>
            </w:r>
          </w:p>
        </w:tc>
      </w:tr>
      <w:tr w:rsidR="005F7E2D">
        <w:trPr>
          <w:trHeight w:val="600"/>
        </w:trPr>
        <w:tc>
          <w:tcPr>
            <w:tcW w:w="418"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lastRenderedPageBreak/>
              <w:t>年度绩效指标完成情况</w:t>
            </w:r>
          </w:p>
        </w:tc>
        <w:tc>
          <w:tcPr>
            <w:tcW w:w="349"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产出指标</w:t>
            </w: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数量指标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完成村道安防里程</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=18</w:t>
            </w:r>
            <w:r>
              <w:rPr>
                <w:rFonts w:hint="eastAsia"/>
                <w:sz w:val="21"/>
                <w:szCs w:val="21"/>
              </w:rPr>
              <w:t>公里</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901" w:type="dxa"/>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按照完成</w:t>
            </w:r>
            <w:proofErr w:type="gramStart"/>
            <w:r>
              <w:rPr>
                <w:rFonts w:hint="eastAsia"/>
                <w:sz w:val="21"/>
                <w:szCs w:val="21"/>
              </w:rPr>
              <w:t>比例赋分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正式材料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=18</w:t>
            </w:r>
            <w:r>
              <w:rPr>
                <w:rFonts w:hint="eastAsia"/>
                <w:sz w:val="21"/>
                <w:szCs w:val="21"/>
              </w:rPr>
              <w:t>公里</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数量指标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覆盖乡镇个数</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=8</w:t>
            </w:r>
            <w:r>
              <w:rPr>
                <w:rFonts w:hint="eastAsia"/>
                <w:sz w:val="21"/>
                <w:szCs w:val="21"/>
              </w:rPr>
              <w:t>个</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901" w:type="dxa"/>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按照完成</w:t>
            </w:r>
            <w:proofErr w:type="gramStart"/>
            <w:r>
              <w:rPr>
                <w:rFonts w:hint="eastAsia"/>
                <w:sz w:val="21"/>
                <w:szCs w:val="21"/>
              </w:rPr>
              <w:t>比例赋分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正式材料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=8</w:t>
            </w:r>
            <w:r>
              <w:rPr>
                <w:rFonts w:hint="eastAsia"/>
                <w:sz w:val="21"/>
                <w:szCs w:val="21"/>
              </w:rPr>
              <w:t>个</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质量指标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工程验收合格率</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901" w:type="dxa"/>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按照完成</w:t>
            </w:r>
            <w:proofErr w:type="gramStart"/>
            <w:r>
              <w:rPr>
                <w:rFonts w:hint="eastAsia"/>
                <w:sz w:val="21"/>
                <w:szCs w:val="21"/>
              </w:rPr>
              <w:t>比例赋分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正式材料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时效指标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当年投资完成率</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901" w:type="dxa"/>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按照完成</w:t>
            </w:r>
            <w:proofErr w:type="gramStart"/>
            <w:r>
              <w:rPr>
                <w:rFonts w:hint="eastAsia"/>
                <w:sz w:val="21"/>
                <w:szCs w:val="21"/>
              </w:rPr>
              <w:t>比例赋分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正式材料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成本指标</w:t>
            </w: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经济成本指标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实际成本超概</w:t>
            </w:r>
            <w:r>
              <w:rPr>
                <w:rFonts w:hint="eastAsia"/>
                <w:sz w:val="21"/>
                <w:szCs w:val="21"/>
              </w:rPr>
              <w:t xml:space="preserve"> </w:t>
            </w:r>
            <w:r>
              <w:rPr>
                <w:rFonts w:hint="eastAsia"/>
                <w:sz w:val="21"/>
                <w:szCs w:val="21"/>
              </w:rPr>
              <w:t>（预）算比率</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&lt;=5%</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w:t>
            </w:r>
          </w:p>
        </w:tc>
        <w:tc>
          <w:tcPr>
            <w:tcW w:w="901" w:type="dxa"/>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按照完成</w:t>
            </w:r>
            <w:proofErr w:type="gramStart"/>
            <w:r>
              <w:rPr>
                <w:rFonts w:hint="eastAsia"/>
                <w:sz w:val="21"/>
                <w:szCs w:val="21"/>
              </w:rPr>
              <w:t>比例赋分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原始凭证</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=0%</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效益指标</w:t>
            </w: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经济效益指标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提升农村公路路况水平</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提高</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w:t>
            </w: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按评判</w:t>
            </w:r>
            <w:proofErr w:type="gramStart"/>
            <w:r>
              <w:rPr>
                <w:rFonts w:hint="eastAsia"/>
                <w:sz w:val="21"/>
                <w:szCs w:val="21"/>
              </w:rPr>
              <w:t>等级赋分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工作资料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达成目标</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20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600"/>
        </w:trPr>
        <w:tc>
          <w:tcPr>
            <w:tcW w:w="418"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4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满意度指标</w:t>
            </w:r>
          </w:p>
        </w:tc>
        <w:tc>
          <w:tcPr>
            <w:tcW w:w="396"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满意度指标</w:t>
            </w:r>
          </w:p>
        </w:tc>
        <w:tc>
          <w:tcPr>
            <w:tcW w:w="411"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改善通行服务水平群众满意度</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&gt;=90%</w:t>
            </w: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计划标准</w:t>
            </w: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w:t>
            </w: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满意</w:t>
            </w:r>
            <w:proofErr w:type="gramStart"/>
            <w:r>
              <w:rPr>
                <w:rFonts w:hint="eastAsia"/>
                <w:sz w:val="21"/>
                <w:szCs w:val="21"/>
              </w:rPr>
              <w:t>度赋分</w:t>
            </w:r>
            <w:proofErr w:type="gramEnd"/>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工作资料</w:t>
            </w: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=90%</w:t>
            </w: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r w:rsidR="005F7E2D">
        <w:trPr>
          <w:trHeight w:val="500"/>
        </w:trPr>
        <w:tc>
          <w:tcPr>
            <w:tcW w:w="1576" w:type="pct"/>
            <w:gridSpan w:val="4"/>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总分</w:t>
            </w:r>
          </w:p>
        </w:tc>
        <w:tc>
          <w:tcPr>
            <w:tcW w:w="320"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298"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89"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295"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14"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92"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67"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c>
          <w:tcPr>
            <w:tcW w:w="385" w:type="pct"/>
            <w:tcBorders>
              <w:top w:val="single" w:sz="4" w:space="0" w:color="000000"/>
              <w:left w:val="single" w:sz="4" w:space="0" w:color="000000"/>
              <w:bottom w:val="single" w:sz="4" w:space="0" w:color="000000"/>
              <w:right w:val="single" w:sz="4" w:space="0" w:color="000000"/>
            </w:tcBorders>
            <w:vAlign w:val="center"/>
          </w:tcPr>
          <w:p w:rsidR="005F7E2D" w:rsidRDefault="003A1171">
            <w:pPr>
              <w:spacing w:line="240" w:lineRule="exact"/>
              <w:ind w:firstLineChars="0" w:firstLine="0"/>
              <w:jc w:val="center"/>
              <w:rPr>
                <w:sz w:val="21"/>
                <w:szCs w:val="21"/>
              </w:rPr>
            </w:pPr>
            <w:r>
              <w:rPr>
                <w:rFonts w:hint="eastAsia"/>
                <w:sz w:val="21"/>
                <w:szCs w:val="21"/>
              </w:rPr>
              <w:t>100.00</w:t>
            </w:r>
            <w:r>
              <w:rPr>
                <w:rFonts w:hint="eastAsia"/>
                <w:sz w:val="21"/>
                <w:szCs w:val="21"/>
              </w:rPr>
              <w:t>分</w:t>
            </w:r>
          </w:p>
        </w:tc>
        <w:tc>
          <w:tcPr>
            <w:tcW w:w="341" w:type="pct"/>
            <w:tcBorders>
              <w:top w:val="single" w:sz="4" w:space="0" w:color="000000"/>
              <w:left w:val="single" w:sz="4" w:space="0" w:color="000000"/>
              <w:bottom w:val="single" w:sz="4" w:space="0" w:color="000000"/>
              <w:right w:val="single" w:sz="4" w:space="0" w:color="000000"/>
            </w:tcBorders>
            <w:vAlign w:val="center"/>
          </w:tcPr>
          <w:p w:rsidR="005F7E2D" w:rsidRDefault="005F7E2D">
            <w:pPr>
              <w:spacing w:line="240" w:lineRule="exact"/>
              <w:ind w:firstLineChars="0" w:firstLine="0"/>
              <w:jc w:val="center"/>
              <w:rPr>
                <w:sz w:val="21"/>
                <w:szCs w:val="21"/>
              </w:rPr>
            </w:pPr>
          </w:p>
        </w:tc>
      </w:tr>
    </w:tbl>
    <w:p w:rsidR="005F7E2D" w:rsidRDefault="005F7E2D">
      <w:pPr>
        <w:ind w:firstLine="640"/>
      </w:pPr>
    </w:p>
    <w:p w:rsidR="005F7E2D" w:rsidRDefault="005F7E2D">
      <w:pPr>
        <w:ind w:firstLineChars="0" w:firstLine="0"/>
        <w:rPr>
          <w:sz w:val="18"/>
          <w:szCs w:val="18"/>
        </w:rPr>
      </w:pPr>
    </w:p>
    <w:p w:rsidR="005F7E2D" w:rsidRDefault="005F7E2D">
      <w:pPr>
        <w:pStyle w:val="3"/>
        <w:ind w:firstLineChars="0" w:firstLine="0"/>
        <w:rPr>
          <w:rFonts w:eastAsia="仿宋_GB2312"/>
        </w:rPr>
        <w:sectPr w:rsidR="005F7E2D">
          <w:pgSz w:w="16838" w:h="11906" w:orient="landscape"/>
          <w:pgMar w:top="1800" w:right="1440" w:bottom="1800" w:left="1440" w:header="851" w:footer="992" w:gutter="0"/>
          <w:cols w:space="720"/>
          <w:docGrid w:type="lines" w:linePitch="312"/>
        </w:sectPr>
      </w:pPr>
      <w:bookmarkStart w:id="197" w:name="_Toc22143"/>
      <w:bookmarkStart w:id="198" w:name="_Toc28099"/>
      <w:bookmarkStart w:id="199" w:name="_Toc1641"/>
      <w:bookmarkStart w:id="200" w:name="_Toc5134"/>
    </w:p>
    <w:p w:rsidR="005F7E2D" w:rsidRDefault="003A1171">
      <w:pPr>
        <w:pStyle w:val="2"/>
        <w:ind w:firstLine="640"/>
        <w:rPr>
          <w:rFonts w:eastAsia="仿宋_GB2312"/>
        </w:rPr>
      </w:pPr>
      <w:bookmarkStart w:id="201" w:name="_Toc29757"/>
      <w:bookmarkStart w:id="202" w:name="_Toc31300"/>
      <w:r>
        <w:rPr>
          <w:rFonts w:eastAsia="仿宋_GB2312"/>
        </w:rPr>
        <w:lastRenderedPageBreak/>
        <w:t>附件</w:t>
      </w:r>
      <w:r>
        <w:rPr>
          <w:rFonts w:eastAsia="仿宋_GB2312"/>
        </w:rPr>
        <w:t>2</w:t>
      </w:r>
      <w:r>
        <w:rPr>
          <w:rFonts w:eastAsia="仿宋_GB2312"/>
        </w:rPr>
        <w:t>：</w:t>
      </w:r>
      <w:bookmarkEnd w:id="197"/>
      <w:bookmarkEnd w:id="198"/>
      <w:bookmarkEnd w:id="199"/>
      <w:bookmarkEnd w:id="200"/>
      <w:bookmarkEnd w:id="201"/>
      <w:bookmarkEnd w:id="202"/>
    </w:p>
    <w:p w:rsidR="005F7E2D" w:rsidRDefault="003A1171">
      <w:pPr>
        <w:pStyle w:val="a7"/>
        <w:rPr>
          <w:rFonts w:hint="default"/>
        </w:rPr>
      </w:pPr>
      <w:bookmarkStart w:id="203" w:name="_Toc28172"/>
      <w:bookmarkStart w:id="204" w:name="_Toc29561"/>
      <w:r>
        <w:rPr>
          <w:rFonts w:hint="default"/>
        </w:rPr>
        <w:t>项目支出绩效评价指标体系及评分</w:t>
      </w:r>
      <w:bookmarkEnd w:id="203"/>
      <w:bookmarkEnd w:id="204"/>
    </w:p>
    <w:tbl>
      <w:tblPr>
        <w:tblW w:w="5674" w:type="pct"/>
        <w:jc w:val="center"/>
        <w:tblLayout w:type="fixed"/>
        <w:tblLook w:val="04A0" w:firstRow="1" w:lastRow="0" w:firstColumn="1" w:lastColumn="0" w:noHBand="0" w:noVBand="1"/>
      </w:tblPr>
      <w:tblGrid>
        <w:gridCol w:w="593"/>
        <w:gridCol w:w="670"/>
        <w:gridCol w:w="816"/>
        <w:gridCol w:w="2172"/>
        <w:gridCol w:w="4182"/>
        <w:gridCol w:w="613"/>
        <w:gridCol w:w="625"/>
      </w:tblGrid>
      <w:tr w:rsidR="005F7E2D">
        <w:trPr>
          <w:trHeight w:val="460"/>
          <w:jc w:val="center"/>
        </w:trPr>
        <w:tc>
          <w:tcPr>
            <w:tcW w:w="306"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一级</w:t>
            </w:r>
          </w:p>
          <w:p w:rsidR="005F7E2D" w:rsidRDefault="003A1171">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三级</w:t>
            </w:r>
          </w:p>
          <w:p w:rsidR="005F7E2D" w:rsidRDefault="003A1171">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得分</w:t>
            </w:r>
          </w:p>
        </w:tc>
      </w:tr>
      <w:tr w:rsidR="005F7E2D">
        <w:trPr>
          <w:trHeight w:val="9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项目立项</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立项依据充分性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项目立项是否符合法律法规、相关政策、发展规划以及部门职责，用以反映和考核项目立项依据情况。</w:t>
            </w: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项目立项是否符合国家法律法规、国民经济发展规划和相关政策；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项目立项是否符合行业发展规划和政策要求；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项目立项是否与部门职责范围相符，属于部门履职所需；</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立项程序规范性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项目申请、设立过程是否符合相关要求，用以反映和考核项目立项的规范情况。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r>
      <w:tr w:rsidR="005F7E2D">
        <w:trPr>
          <w:trHeight w:val="10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254"/>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22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9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5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4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76"/>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08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08"/>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58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62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119"/>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23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3</w:t>
            </w:r>
          </w:p>
        </w:tc>
      </w:tr>
      <w:tr w:rsidR="005F7E2D">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33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r>
      <w:tr w:rsidR="005F7E2D">
        <w:trPr>
          <w:trHeight w:val="88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000000"/>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12</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000000"/>
              <w:left w:val="single" w:sz="4" w:space="0" w:color="000000"/>
              <w:bottom w:val="nil"/>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4</w:t>
            </w: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5F7E2D" w:rsidRDefault="005F7E2D">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5F7E2D" w:rsidRDefault="005F7E2D">
            <w:pPr>
              <w:pStyle w:val="a8"/>
              <w:spacing w:line="240" w:lineRule="exact"/>
              <w:jc w:val="both"/>
              <w:rPr>
                <w:rFonts w:hint="default"/>
                <w:sz w:val="18"/>
                <w:szCs w:val="18"/>
              </w:rPr>
            </w:pPr>
          </w:p>
        </w:tc>
      </w:tr>
      <w:tr w:rsidR="005F7E2D">
        <w:trPr>
          <w:trHeight w:val="78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实施</w:t>
            </w:r>
          </w:p>
          <w:p w:rsidR="005F7E2D" w:rsidRDefault="003A1171">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w:t>
            </w:r>
          </w:p>
        </w:tc>
      </w:tr>
      <w:tr w:rsidR="005F7E2D">
        <w:trPr>
          <w:trHeight w:val="8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5F7E2D" w:rsidRDefault="005F7E2D">
            <w:pPr>
              <w:pStyle w:val="a8"/>
              <w:spacing w:line="240" w:lineRule="exact"/>
              <w:jc w:val="both"/>
              <w:rPr>
                <w:rFonts w:hint="default"/>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000000"/>
              <w:left w:val="single" w:sz="4" w:space="0" w:color="000000"/>
              <w:bottom w:val="single" w:sz="4" w:space="0" w:color="000000"/>
              <w:right w:val="nil"/>
            </w:tcBorders>
            <w:vAlign w:val="center"/>
          </w:tcPr>
          <w:p w:rsidR="005F7E2D" w:rsidRDefault="003A1171">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000000"/>
              <w:left w:val="single" w:sz="4" w:space="0" w:color="000000"/>
              <w:bottom w:val="single" w:sz="4" w:space="0" w:color="000000"/>
              <w:right w:val="single" w:sz="4" w:space="0" w:color="000000"/>
            </w:tcBorders>
            <w:vAlign w:val="center"/>
          </w:tcPr>
          <w:p w:rsidR="005F7E2D" w:rsidRDefault="003A1171">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w:t>
            </w:r>
          </w:p>
        </w:tc>
      </w:tr>
      <w:tr w:rsidR="005F7E2D">
        <w:trPr>
          <w:trHeight w:val="460"/>
          <w:jc w:val="center"/>
        </w:trPr>
        <w:tc>
          <w:tcPr>
            <w:tcW w:w="4359" w:type="pct"/>
            <w:gridSpan w:val="5"/>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5F7E2D" w:rsidRDefault="003A1171">
            <w:pPr>
              <w:pStyle w:val="a8"/>
              <w:spacing w:line="240" w:lineRule="exact"/>
              <w:jc w:val="both"/>
              <w:rPr>
                <w:rFonts w:hint="default"/>
                <w:sz w:val="18"/>
                <w:szCs w:val="18"/>
              </w:rPr>
            </w:pPr>
            <w:r>
              <w:rPr>
                <w:rFonts w:hint="default"/>
                <w:sz w:val="18"/>
                <w:szCs w:val="18"/>
              </w:rPr>
              <w:t>100</w:t>
            </w:r>
          </w:p>
        </w:tc>
      </w:tr>
      <w:bookmarkEnd w:id="0"/>
    </w:tbl>
    <w:p w:rsidR="005F7E2D" w:rsidRDefault="005F7E2D">
      <w:pPr>
        <w:ind w:firstLine="640"/>
      </w:pPr>
    </w:p>
    <w:sectPr w:rsidR="005F7E2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171" w:rsidRDefault="003A1171">
      <w:pPr>
        <w:spacing w:line="240" w:lineRule="auto"/>
        <w:ind w:firstLine="640"/>
      </w:pPr>
      <w:r>
        <w:separator/>
      </w:r>
    </w:p>
  </w:endnote>
  <w:endnote w:type="continuationSeparator" w:id="0">
    <w:p w:rsidR="003A1171" w:rsidRDefault="003A117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CAF14294-5365-4F6C-99D7-243B41EC7751}"/>
    <w:embedBold r:id="rId2" w:subsetted="1" w:fontKey="{313530AA-93B1-4517-9DC6-1909DE675073}"/>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BFCC8620-4A39-4BCD-B4CE-E350756499E5}"/>
  </w:font>
  <w:font w:name="黑体">
    <w:altName w:val="SimHei"/>
    <w:panose1 w:val="02010600030101010101"/>
    <w:charset w:val="86"/>
    <w:family w:val="auto"/>
    <w:pitch w:val="variable"/>
    <w:sig w:usb0="800002BF" w:usb1="38CF7CFA" w:usb2="00000016" w:usb3="00000000" w:csb0="00040001" w:csb1="00000000"/>
    <w:embedRegular r:id="rId4" w:subsetted="1" w:fontKey="{CD6A3E1F-8CB1-4EB0-B9FF-CAC1852AE342}"/>
    <w:embedBold r:id="rId5" w:subsetted="1" w:fontKey="{4BD20559-5AAA-42C5-A829-71D3A9A4FCA6}"/>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6" w:subsetted="1" w:fontKey="{471F875D-6A9B-4FDE-809A-1445CDD2F3CB}"/>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E2D" w:rsidRDefault="005F7E2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171" w:rsidRDefault="003A1171">
      <w:pPr>
        <w:ind w:firstLine="640"/>
      </w:pPr>
      <w:r>
        <w:separator/>
      </w:r>
    </w:p>
  </w:footnote>
  <w:footnote w:type="continuationSeparator" w:id="0">
    <w:p w:rsidR="003A1171" w:rsidRDefault="003A1171">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024" w:rsidRDefault="00314024">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E21A4BC"/>
    <w:multiLevelType w:val="singleLevel"/>
    <w:tmpl w:val="9E21A4BC"/>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yODMxYTE0ZTc0ZGU3Y2QwODc3MzYzN2Q1YmNiM2EifQ=="/>
    <w:docVar w:name="KSO_WPS_MARK_KEY" w:val="62532d26-1542-4b08-b936-493fbebb7e1f"/>
  </w:docVars>
  <w:rsids>
    <w:rsidRoot w:val="005A0191"/>
    <w:rsid w:val="000B4A5E"/>
    <w:rsid w:val="00263361"/>
    <w:rsid w:val="00285B8D"/>
    <w:rsid w:val="00307EE9"/>
    <w:rsid w:val="00314024"/>
    <w:rsid w:val="003A1171"/>
    <w:rsid w:val="005A0191"/>
    <w:rsid w:val="005E50CC"/>
    <w:rsid w:val="005F7E2D"/>
    <w:rsid w:val="006652A9"/>
    <w:rsid w:val="006D3B86"/>
    <w:rsid w:val="00883824"/>
    <w:rsid w:val="008B6319"/>
    <w:rsid w:val="00AA58F9"/>
    <w:rsid w:val="00AF0F6E"/>
    <w:rsid w:val="00C13BF9"/>
    <w:rsid w:val="00D95D43"/>
    <w:rsid w:val="00E13486"/>
    <w:rsid w:val="00FD44D7"/>
    <w:rsid w:val="010543E8"/>
    <w:rsid w:val="012B6E6A"/>
    <w:rsid w:val="013F4951"/>
    <w:rsid w:val="01671053"/>
    <w:rsid w:val="016D421F"/>
    <w:rsid w:val="01963FB6"/>
    <w:rsid w:val="01C45237"/>
    <w:rsid w:val="01E14F30"/>
    <w:rsid w:val="01E70402"/>
    <w:rsid w:val="02322B8F"/>
    <w:rsid w:val="026E3F27"/>
    <w:rsid w:val="02846936"/>
    <w:rsid w:val="02A439B0"/>
    <w:rsid w:val="02C27C6C"/>
    <w:rsid w:val="02CA09AC"/>
    <w:rsid w:val="02D967BB"/>
    <w:rsid w:val="02E46C76"/>
    <w:rsid w:val="030D1C33"/>
    <w:rsid w:val="0314263A"/>
    <w:rsid w:val="03172250"/>
    <w:rsid w:val="03487E9F"/>
    <w:rsid w:val="039C7361"/>
    <w:rsid w:val="03A5117F"/>
    <w:rsid w:val="03B96CD5"/>
    <w:rsid w:val="03C74C2B"/>
    <w:rsid w:val="03CC6B77"/>
    <w:rsid w:val="03DB5C6E"/>
    <w:rsid w:val="03F36136"/>
    <w:rsid w:val="0434049E"/>
    <w:rsid w:val="043862A3"/>
    <w:rsid w:val="04774752"/>
    <w:rsid w:val="04977F1A"/>
    <w:rsid w:val="04AD6036"/>
    <w:rsid w:val="04B34683"/>
    <w:rsid w:val="04ED5CD1"/>
    <w:rsid w:val="056863D0"/>
    <w:rsid w:val="05BA7C49"/>
    <w:rsid w:val="063F1C46"/>
    <w:rsid w:val="067B1422"/>
    <w:rsid w:val="068115BE"/>
    <w:rsid w:val="06B9431C"/>
    <w:rsid w:val="06EA072F"/>
    <w:rsid w:val="06F71662"/>
    <w:rsid w:val="07030662"/>
    <w:rsid w:val="07195A4A"/>
    <w:rsid w:val="07224471"/>
    <w:rsid w:val="072765A5"/>
    <w:rsid w:val="077C1AE0"/>
    <w:rsid w:val="078639EC"/>
    <w:rsid w:val="07EE42E4"/>
    <w:rsid w:val="07F35B8A"/>
    <w:rsid w:val="0802067F"/>
    <w:rsid w:val="08163C04"/>
    <w:rsid w:val="081E3E76"/>
    <w:rsid w:val="084E5D95"/>
    <w:rsid w:val="0881297A"/>
    <w:rsid w:val="08A02045"/>
    <w:rsid w:val="08A553EB"/>
    <w:rsid w:val="09021C27"/>
    <w:rsid w:val="091268D2"/>
    <w:rsid w:val="091E28BF"/>
    <w:rsid w:val="093D48C5"/>
    <w:rsid w:val="099D72DD"/>
    <w:rsid w:val="09AF464C"/>
    <w:rsid w:val="09B1793B"/>
    <w:rsid w:val="0A255C82"/>
    <w:rsid w:val="0A3F75E5"/>
    <w:rsid w:val="0A95058B"/>
    <w:rsid w:val="0ABC2B75"/>
    <w:rsid w:val="0AD132FF"/>
    <w:rsid w:val="0AD53F72"/>
    <w:rsid w:val="0AFC291E"/>
    <w:rsid w:val="0AFC6FEE"/>
    <w:rsid w:val="0AFE0117"/>
    <w:rsid w:val="0B2F6AAA"/>
    <w:rsid w:val="0B3C64DE"/>
    <w:rsid w:val="0B447ABF"/>
    <w:rsid w:val="0B451D17"/>
    <w:rsid w:val="0B6F4EA9"/>
    <w:rsid w:val="0B79296B"/>
    <w:rsid w:val="0B7B2FBD"/>
    <w:rsid w:val="0BF043EB"/>
    <w:rsid w:val="0BF163BC"/>
    <w:rsid w:val="0BF40511"/>
    <w:rsid w:val="0BF513C4"/>
    <w:rsid w:val="0C0101D8"/>
    <w:rsid w:val="0C7318D2"/>
    <w:rsid w:val="0C83556D"/>
    <w:rsid w:val="0CA80B48"/>
    <w:rsid w:val="0CC6420D"/>
    <w:rsid w:val="0CCF5247"/>
    <w:rsid w:val="0D122608"/>
    <w:rsid w:val="0D1558E6"/>
    <w:rsid w:val="0D524F8D"/>
    <w:rsid w:val="0D8B1E65"/>
    <w:rsid w:val="0DB314C5"/>
    <w:rsid w:val="0DBA32B1"/>
    <w:rsid w:val="0DCD3034"/>
    <w:rsid w:val="0E224E98"/>
    <w:rsid w:val="0E390EE5"/>
    <w:rsid w:val="0E4D3CFB"/>
    <w:rsid w:val="0E572792"/>
    <w:rsid w:val="0E582F4B"/>
    <w:rsid w:val="0E5C6180"/>
    <w:rsid w:val="0E804269"/>
    <w:rsid w:val="0EB517A1"/>
    <w:rsid w:val="0EE02A66"/>
    <w:rsid w:val="0F217EB3"/>
    <w:rsid w:val="0F600192"/>
    <w:rsid w:val="0F621741"/>
    <w:rsid w:val="0F8807D1"/>
    <w:rsid w:val="0F970C9D"/>
    <w:rsid w:val="0FBA55CD"/>
    <w:rsid w:val="0FDB7A31"/>
    <w:rsid w:val="0FF56D86"/>
    <w:rsid w:val="10161FE7"/>
    <w:rsid w:val="110122D6"/>
    <w:rsid w:val="11186DE1"/>
    <w:rsid w:val="114E2105"/>
    <w:rsid w:val="115252C3"/>
    <w:rsid w:val="11982DAB"/>
    <w:rsid w:val="11983817"/>
    <w:rsid w:val="11B12658"/>
    <w:rsid w:val="11BF7F02"/>
    <w:rsid w:val="11C70BF8"/>
    <w:rsid w:val="11D95A7E"/>
    <w:rsid w:val="11F53453"/>
    <w:rsid w:val="12094FEC"/>
    <w:rsid w:val="12B468EA"/>
    <w:rsid w:val="12DD21B3"/>
    <w:rsid w:val="12F1269E"/>
    <w:rsid w:val="12F62E89"/>
    <w:rsid w:val="12FA591C"/>
    <w:rsid w:val="133072D7"/>
    <w:rsid w:val="136F71F9"/>
    <w:rsid w:val="13755298"/>
    <w:rsid w:val="1384211F"/>
    <w:rsid w:val="13A829DF"/>
    <w:rsid w:val="13D41BD8"/>
    <w:rsid w:val="13DE588B"/>
    <w:rsid w:val="14510163"/>
    <w:rsid w:val="14525DEA"/>
    <w:rsid w:val="146A107D"/>
    <w:rsid w:val="14891B80"/>
    <w:rsid w:val="14952462"/>
    <w:rsid w:val="14DD0CF7"/>
    <w:rsid w:val="14DE3B0C"/>
    <w:rsid w:val="14E43679"/>
    <w:rsid w:val="151100C6"/>
    <w:rsid w:val="15617E60"/>
    <w:rsid w:val="15697C1D"/>
    <w:rsid w:val="15AA0A18"/>
    <w:rsid w:val="15C17503"/>
    <w:rsid w:val="15D94B81"/>
    <w:rsid w:val="165512EC"/>
    <w:rsid w:val="165616AB"/>
    <w:rsid w:val="169C11A5"/>
    <w:rsid w:val="16B46F56"/>
    <w:rsid w:val="16C008D1"/>
    <w:rsid w:val="1769796A"/>
    <w:rsid w:val="17761585"/>
    <w:rsid w:val="179C3E62"/>
    <w:rsid w:val="17B614FB"/>
    <w:rsid w:val="17C074F9"/>
    <w:rsid w:val="180F1976"/>
    <w:rsid w:val="18827387"/>
    <w:rsid w:val="1890180C"/>
    <w:rsid w:val="191B17BF"/>
    <w:rsid w:val="19503780"/>
    <w:rsid w:val="1A275824"/>
    <w:rsid w:val="1A4E6747"/>
    <w:rsid w:val="1A7C4A6F"/>
    <w:rsid w:val="1B0B555F"/>
    <w:rsid w:val="1B0D1BBD"/>
    <w:rsid w:val="1B2600DE"/>
    <w:rsid w:val="1B2C40B3"/>
    <w:rsid w:val="1B63742C"/>
    <w:rsid w:val="1B78396E"/>
    <w:rsid w:val="1BBC447B"/>
    <w:rsid w:val="1C1E1445"/>
    <w:rsid w:val="1C337552"/>
    <w:rsid w:val="1C615474"/>
    <w:rsid w:val="1C652EB5"/>
    <w:rsid w:val="1CC70C15"/>
    <w:rsid w:val="1D1F1B47"/>
    <w:rsid w:val="1D206D03"/>
    <w:rsid w:val="1D2D5D73"/>
    <w:rsid w:val="1D41328F"/>
    <w:rsid w:val="1D675F5E"/>
    <w:rsid w:val="1D7E189D"/>
    <w:rsid w:val="1D8E71D8"/>
    <w:rsid w:val="1DF05F40"/>
    <w:rsid w:val="1E161167"/>
    <w:rsid w:val="1E65489C"/>
    <w:rsid w:val="1E9F6DD4"/>
    <w:rsid w:val="1EA41518"/>
    <w:rsid w:val="1EC016EA"/>
    <w:rsid w:val="1EEE244E"/>
    <w:rsid w:val="1EFB48ED"/>
    <w:rsid w:val="1EFF3DA3"/>
    <w:rsid w:val="1F1D617F"/>
    <w:rsid w:val="1F2362F2"/>
    <w:rsid w:val="1F6000DB"/>
    <w:rsid w:val="1F771DDA"/>
    <w:rsid w:val="1FB504D9"/>
    <w:rsid w:val="1FDC2D63"/>
    <w:rsid w:val="201A6F6B"/>
    <w:rsid w:val="20491078"/>
    <w:rsid w:val="214C08CD"/>
    <w:rsid w:val="214E4272"/>
    <w:rsid w:val="219D7746"/>
    <w:rsid w:val="21B44535"/>
    <w:rsid w:val="21FF5479"/>
    <w:rsid w:val="229B35E6"/>
    <w:rsid w:val="22C66D26"/>
    <w:rsid w:val="22EA5552"/>
    <w:rsid w:val="235023CF"/>
    <w:rsid w:val="237C0471"/>
    <w:rsid w:val="239F121A"/>
    <w:rsid w:val="241D59F3"/>
    <w:rsid w:val="243B7C60"/>
    <w:rsid w:val="24633AD1"/>
    <w:rsid w:val="24842D82"/>
    <w:rsid w:val="24A0584E"/>
    <w:rsid w:val="24AA20CF"/>
    <w:rsid w:val="24E11E8D"/>
    <w:rsid w:val="251777BD"/>
    <w:rsid w:val="2573074E"/>
    <w:rsid w:val="257F2ADA"/>
    <w:rsid w:val="258C0B2E"/>
    <w:rsid w:val="25B3069D"/>
    <w:rsid w:val="26051F0A"/>
    <w:rsid w:val="26192A64"/>
    <w:rsid w:val="26261634"/>
    <w:rsid w:val="26542A3C"/>
    <w:rsid w:val="2687108C"/>
    <w:rsid w:val="26947205"/>
    <w:rsid w:val="26AE1C86"/>
    <w:rsid w:val="26C45EC0"/>
    <w:rsid w:val="26C70A5B"/>
    <w:rsid w:val="26F95D4A"/>
    <w:rsid w:val="27204086"/>
    <w:rsid w:val="27675F25"/>
    <w:rsid w:val="27A51C9D"/>
    <w:rsid w:val="27F947D4"/>
    <w:rsid w:val="27FE4C79"/>
    <w:rsid w:val="283B63F3"/>
    <w:rsid w:val="28620786"/>
    <w:rsid w:val="28A558B9"/>
    <w:rsid w:val="28BE5EF4"/>
    <w:rsid w:val="28E67818"/>
    <w:rsid w:val="28FA4FC4"/>
    <w:rsid w:val="291C47AB"/>
    <w:rsid w:val="29540328"/>
    <w:rsid w:val="29546F32"/>
    <w:rsid w:val="29600B3C"/>
    <w:rsid w:val="2994097D"/>
    <w:rsid w:val="29C0559E"/>
    <w:rsid w:val="29F75B90"/>
    <w:rsid w:val="2A050E66"/>
    <w:rsid w:val="2A280C7B"/>
    <w:rsid w:val="2A430D03"/>
    <w:rsid w:val="2A4A7CD3"/>
    <w:rsid w:val="2AEE4C16"/>
    <w:rsid w:val="2AF86CB7"/>
    <w:rsid w:val="2AF93B0B"/>
    <w:rsid w:val="2B3E7E63"/>
    <w:rsid w:val="2B6F3FB5"/>
    <w:rsid w:val="2B795BE9"/>
    <w:rsid w:val="2BB22B77"/>
    <w:rsid w:val="2BBF03D1"/>
    <w:rsid w:val="2BFE1794"/>
    <w:rsid w:val="2C054F73"/>
    <w:rsid w:val="2C21614B"/>
    <w:rsid w:val="2C2C5AE6"/>
    <w:rsid w:val="2CD020DE"/>
    <w:rsid w:val="2CDE2F94"/>
    <w:rsid w:val="2CF53514"/>
    <w:rsid w:val="2D182A01"/>
    <w:rsid w:val="2D1C2B55"/>
    <w:rsid w:val="2D2101F2"/>
    <w:rsid w:val="2D2D5765"/>
    <w:rsid w:val="2D5B3076"/>
    <w:rsid w:val="2D752533"/>
    <w:rsid w:val="2DAC58E7"/>
    <w:rsid w:val="2DC76676"/>
    <w:rsid w:val="2E376114"/>
    <w:rsid w:val="2E3F5B83"/>
    <w:rsid w:val="2E531A7A"/>
    <w:rsid w:val="2E695859"/>
    <w:rsid w:val="2E725850"/>
    <w:rsid w:val="2E9632A9"/>
    <w:rsid w:val="2E9F7434"/>
    <w:rsid w:val="2EAA7541"/>
    <w:rsid w:val="2EC06CB9"/>
    <w:rsid w:val="2F012B36"/>
    <w:rsid w:val="2F0D6A95"/>
    <w:rsid w:val="2F2041F1"/>
    <w:rsid w:val="2F2E0676"/>
    <w:rsid w:val="2F2E3FBD"/>
    <w:rsid w:val="2F4C7199"/>
    <w:rsid w:val="2F8135BA"/>
    <w:rsid w:val="2FFC24A6"/>
    <w:rsid w:val="3014565E"/>
    <w:rsid w:val="307D6F1D"/>
    <w:rsid w:val="307E5259"/>
    <w:rsid w:val="30C8302E"/>
    <w:rsid w:val="30C94B14"/>
    <w:rsid w:val="30CB5B55"/>
    <w:rsid w:val="310B7F87"/>
    <w:rsid w:val="3110673E"/>
    <w:rsid w:val="311D182B"/>
    <w:rsid w:val="31322DBE"/>
    <w:rsid w:val="314B5F4F"/>
    <w:rsid w:val="316D4215"/>
    <w:rsid w:val="317938B6"/>
    <w:rsid w:val="317B51EB"/>
    <w:rsid w:val="318A0E4C"/>
    <w:rsid w:val="318F0A3B"/>
    <w:rsid w:val="31E11B89"/>
    <w:rsid w:val="31FA2D37"/>
    <w:rsid w:val="32041A3C"/>
    <w:rsid w:val="326E65CD"/>
    <w:rsid w:val="328179D3"/>
    <w:rsid w:val="328F300E"/>
    <w:rsid w:val="32A05291"/>
    <w:rsid w:val="32B02295"/>
    <w:rsid w:val="32D934EB"/>
    <w:rsid w:val="33B92170"/>
    <w:rsid w:val="33EB6C5F"/>
    <w:rsid w:val="34542FD7"/>
    <w:rsid w:val="3463264A"/>
    <w:rsid w:val="346B44B9"/>
    <w:rsid w:val="346B6434"/>
    <w:rsid w:val="34C407FF"/>
    <w:rsid w:val="34DF781A"/>
    <w:rsid w:val="34E02E6A"/>
    <w:rsid w:val="34E246D0"/>
    <w:rsid w:val="34F10CC8"/>
    <w:rsid w:val="34F72EDE"/>
    <w:rsid w:val="34FB104A"/>
    <w:rsid w:val="350D5076"/>
    <w:rsid w:val="35512394"/>
    <w:rsid w:val="356669E8"/>
    <w:rsid w:val="35A00049"/>
    <w:rsid w:val="35B62D85"/>
    <w:rsid w:val="35BD1217"/>
    <w:rsid w:val="35E65C73"/>
    <w:rsid w:val="36792E95"/>
    <w:rsid w:val="3691606C"/>
    <w:rsid w:val="36AF4A98"/>
    <w:rsid w:val="36E379B0"/>
    <w:rsid w:val="36F85FB9"/>
    <w:rsid w:val="370703D7"/>
    <w:rsid w:val="37102991"/>
    <w:rsid w:val="37487FA4"/>
    <w:rsid w:val="376110C0"/>
    <w:rsid w:val="37847899"/>
    <w:rsid w:val="37AC66C1"/>
    <w:rsid w:val="37AF022F"/>
    <w:rsid w:val="37E31F7F"/>
    <w:rsid w:val="38834B12"/>
    <w:rsid w:val="3899639C"/>
    <w:rsid w:val="392439F6"/>
    <w:rsid w:val="39371DE3"/>
    <w:rsid w:val="393A58DF"/>
    <w:rsid w:val="39417D1D"/>
    <w:rsid w:val="39495149"/>
    <w:rsid w:val="39A03105"/>
    <w:rsid w:val="39AA5EE2"/>
    <w:rsid w:val="3A0665A9"/>
    <w:rsid w:val="3A3F1505"/>
    <w:rsid w:val="3A4B4EF0"/>
    <w:rsid w:val="3AC80CDD"/>
    <w:rsid w:val="3AC82638"/>
    <w:rsid w:val="3AE42AE8"/>
    <w:rsid w:val="3B0D48C5"/>
    <w:rsid w:val="3B4D3F2F"/>
    <w:rsid w:val="3B73249E"/>
    <w:rsid w:val="3B8473C0"/>
    <w:rsid w:val="3B9F1655"/>
    <w:rsid w:val="3BA35B49"/>
    <w:rsid w:val="3BDF3899"/>
    <w:rsid w:val="3BE949C1"/>
    <w:rsid w:val="3C023721"/>
    <w:rsid w:val="3C1656D6"/>
    <w:rsid w:val="3C5910AC"/>
    <w:rsid w:val="3CA12586"/>
    <w:rsid w:val="3D510E8A"/>
    <w:rsid w:val="3D734A02"/>
    <w:rsid w:val="3D7566A5"/>
    <w:rsid w:val="3DA30BED"/>
    <w:rsid w:val="3DE06DCB"/>
    <w:rsid w:val="3E49466B"/>
    <w:rsid w:val="3E5134DA"/>
    <w:rsid w:val="3E534EE0"/>
    <w:rsid w:val="3E6A5C4C"/>
    <w:rsid w:val="3E8936E8"/>
    <w:rsid w:val="3E8A2E2B"/>
    <w:rsid w:val="3EB91201"/>
    <w:rsid w:val="3EC90E62"/>
    <w:rsid w:val="3EF449BE"/>
    <w:rsid w:val="3EF47F2F"/>
    <w:rsid w:val="3EF5310E"/>
    <w:rsid w:val="3EF7687F"/>
    <w:rsid w:val="3F1C5F95"/>
    <w:rsid w:val="3F505508"/>
    <w:rsid w:val="3F865DB9"/>
    <w:rsid w:val="3F894845"/>
    <w:rsid w:val="3F936E29"/>
    <w:rsid w:val="3FAB55DB"/>
    <w:rsid w:val="400C26A7"/>
    <w:rsid w:val="401F00C8"/>
    <w:rsid w:val="405855B9"/>
    <w:rsid w:val="407625F0"/>
    <w:rsid w:val="40A327DC"/>
    <w:rsid w:val="40C10722"/>
    <w:rsid w:val="40C34049"/>
    <w:rsid w:val="415947C9"/>
    <w:rsid w:val="419E3B58"/>
    <w:rsid w:val="41AE46B4"/>
    <w:rsid w:val="41DB35B4"/>
    <w:rsid w:val="42373989"/>
    <w:rsid w:val="4286056C"/>
    <w:rsid w:val="42873F23"/>
    <w:rsid w:val="42EE0454"/>
    <w:rsid w:val="42F425C9"/>
    <w:rsid w:val="431A6E5E"/>
    <w:rsid w:val="431E5FDB"/>
    <w:rsid w:val="43F53D2B"/>
    <w:rsid w:val="440B07D4"/>
    <w:rsid w:val="440C119F"/>
    <w:rsid w:val="441E4214"/>
    <w:rsid w:val="449B3D14"/>
    <w:rsid w:val="44CB2BF8"/>
    <w:rsid w:val="44E17FA0"/>
    <w:rsid w:val="44ED4F66"/>
    <w:rsid w:val="44EE4EEB"/>
    <w:rsid w:val="45384F8A"/>
    <w:rsid w:val="453F125D"/>
    <w:rsid w:val="45453AC9"/>
    <w:rsid w:val="45BE7804"/>
    <w:rsid w:val="45CD5E57"/>
    <w:rsid w:val="45D0650B"/>
    <w:rsid w:val="45EE3D85"/>
    <w:rsid w:val="46030076"/>
    <w:rsid w:val="46216D40"/>
    <w:rsid w:val="462540D9"/>
    <w:rsid w:val="464E1ED1"/>
    <w:rsid w:val="46FC1A4C"/>
    <w:rsid w:val="47175F64"/>
    <w:rsid w:val="475A2101"/>
    <w:rsid w:val="47604EFD"/>
    <w:rsid w:val="47EF085F"/>
    <w:rsid w:val="47F11247"/>
    <w:rsid w:val="480976AD"/>
    <w:rsid w:val="48102704"/>
    <w:rsid w:val="483B70BA"/>
    <w:rsid w:val="488B2090"/>
    <w:rsid w:val="4892065F"/>
    <w:rsid w:val="48B05E34"/>
    <w:rsid w:val="48C87682"/>
    <w:rsid w:val="48CA7638"/>
    <w:rsid w:val="48DD648B"/>
    <w:rsid w:val="4906230D"/>
    <w:rsid w:val="491B2711"/>
    <w:rsid w:val="49325B51"/>
    <w:rsid w:val="493E6EB1"/>
    <w:rsid w:val="498D5FEB"/>
    <w:rsid w:val="499C5710"/>
    <w:rsid w:val="49A73D65"/>
    <w:rsid w:val="49C25629"/>
    <w:rsid w:val="4A0844E2"/>
    <w:rsid w:val="4A130C19"/>
    <w:rsid w:val="4A2D0508"/>
    <w:rsid w:val="4A526BA3"/>
    <w:rsid w:val="4A5534F6"/>
    <w:rsid w:val="4A5E31B9"/>
    <w:rsid w:val="4A635A65"/>
    <w:rsid w:val="4A6C513B"/>
    <w:rsid w:val="4A9016F1"/>
    <w:rsid w:val="4A967431"/>
    <w:rsid w:val="4ACE0ED7"/>
    <w:rsid w:val="4AE83611"/>
    <w:rsid w:val="4AFC2875"/>
    <w:rsid w:val="4B1C707F"/>
    <w:rsid w:val="4B235AEE"/>
    <w:rsid w:val="4B31209F"/>
    <w:rsid w:val="4B3F63AB"/>
    <w:rsid w:val="4B46537C"/>
    <w:rsid w:val="4B4B11F4"/>
    <w:rsid w:val="4B643575"/>
    <w:rsid w:val="4B720E6A"/>
    <w:rsid w:val="4BA81C14"/>
    <w:rsid w:val="4BB42626"/>
    <w:rsid w:val="4BB63216"/>
    <w:rsid w:val="4BCC17BD"/>
    <w:rsid w:val="4BD66CEC"/>
    <w:rsid w:val="4BD93801"/>
    <w:rsid w:val="4C0C0410"/>
    <w:rsid w:val="4C156D1C"/>
    <w:rsid w:val="4C3752D5"/>
    <w:rsid w:val="4C4D3038"/>
    <w:rsid w:val="4C8F3363"/>
    <w:rsid w:val="4C90015F"/>
    <w:rsid w:val="4C921EE7"/>
    <w:rsid w:val="4CB7140A"/>
    <w:rsid w:val="4CE615EA"/>
    <w:rsid w:val="4D1473C4"/>
    <w:rsid w:val="4D3E5E35"/>
    <w:rsid w:val="4D5168DE"/>
    <w:rsid w:val="4DE17957"/>
    <w:rsid w:val="4DE265D4"/>
    <w:rsid w:val="4DE87FBB"/>
    <w:rsid w:val="4E2F7415"/>
    <w:rsid w:val="4E6A0AE5"/>
    <w:rsid w:val="4EB95B3F"/>
    <w:rsid w:val="4F1D5190"/>
    <w:rsid w:val="4F203DAD"/>
    <w:rsid w:val="4F407550"/>
    <w:rsid w:val="4F543FE7"/>
    <w:rsid w:val="4F5B2A95"/>
    <w:rsid w:val="4F5C1662"/>
    <w:rsid w:val="4F5F3FD2"/>
    <w:rsid w:val="4F8D166C"/>
    <w:rsid w:val="4FAC7633"/>
    <w:rsid w:val="4FD244A6"/>
    <w:rsid w:val="4FE271AE"/>
    <w:rsid w:val="500458D3"/>
    <w:rsid w:val="5009079B"/>
    <w:rsid w:val="500D5236"/>
    <w:rsid w:val="504109E5"/>
    <w:rsid w:val="505C197D"/>
    <w:rsid w:val="505E4554"/>
    <w:rsid w:val="50912AE3"/>
    <w:rsid w:val="50982BE7"/>
    <w:rsid w:val="50C22A17"/>
    <w:rsid w:val="50CA5C74"/>
    <w:rsid w:val="50DD7627"/>
    <w:rsid w:val="50E0398E"/>
    <w:rsid w:val="50E6540C"/>
    <w:rsid w:val="50EA447E"/>
    <w:rsid w:val="50F11D20"/>
    <w:rsid w:val="511B6314"/>
    <w:rsid w:val="51246A5C"/>
    <w:rsid w:val="51263658"/>
    <w:rsid w:val="516602F2"/>
    <w:rsid w:val="518D2C7E"/>
    <w:rsid w:val="51957F0A"/>
    <w:rsid w:val="521D5465"/>
    <w:rsid w:val="5228359C"/>
    <w:rsid w:val="524F1E93"/>
    <w:rsid w:val="525273F7"/>
    <w:rsid w:val="525405A3"/>
    <w:rsid w:val="52700C02"/>
    <w:rsid w:val="529A4D92"/>
    <w:rsid w:val="52D338EA"/>
    <w:rsid w:val="52F64B9D"/>
    <w:rsid w:val="53145240"/>
    <w:rsid w:val="532B4628"/>
    <w:rsid w:val="53420030"/>
    <w:rsid w:val="535675C4"/>
    <w:rsid w:val="539A297D"/>
    <w:rsid w:val="53B841D5"/>
    <w:rsid w:val="53C827BC"/>
    <w:rsid w:val="54056E17"/>
    <w:rsid w:val="546D096A"/>
    <w:rsid w:val="54760D44"/>
    <w:rsid w:val="550D0FF7"/>
    <w:rsid w:val="551D7B1F"/>
    <w:rsid w:val="555647FC"/>
    <w:rsid w:val="558A5081"/>
    <w:rsid w:val="55C57B49"/>
    <w:rsid w:val="55CA7705"/>
    <w:rsid w:val="562C635E"/>
    <w:rsid w:val="565F5D87"/>
    <w:rsid w:val="569D78F6"/>
    <w:rsid w:val="56B74FAE"/>
    <w:rsid w:val="56C47107"/>
    <w:rsid w:val="56E81AF9"/>
    <w:rsid w:val="56EA453C"/>
    <w:rsid w:val="573B2BB0"/>
    <w:rsid w:val="579F26C0"/>
    <w:rsid w:val="579F3880"/>
    <w:rsid w:val="57CA730B"/>
    <w:rsid w:val="57D775C6"/>
    <w:rsid w:val="58112494"/>
    <w:rsid w:val="584A50B0"/>
    <w:rsid w:val="58552324"/>
    <w:rsid w:val="585D58F9"/>
    <w:rsid w:val="58A041F5"/>
    <w:rsid w:val="58BA16F7"/>
    <w:rsid w:val="58FE4E68"/>
    <w:rsid w:val="59212A21"/>
    <w:rsid w:val="59260085"/>
    <w:rsid w:val="594162E9"/>
    <w:rsid w:val="595B0568"/>
    <w:rsid w:val="5A1A5A23"/>
    <w:rsid w:val="5A1B518E"/>
    <w:rsid w:val="5A20384C"/>
    <w:rsid w:val="5A6C5773"/>
    <w:rsid w:val="5A81078E"/>
    <w:rsid w:val="5AB70E5C"/>
    <w:rsid w:val="5AD9077B"/>
    <w:rsid w:val="5B0A3DFE"/>
    <w:rsid w:val="5B432E39"/>
    <w:rsid w:val="5B6D4858"/>
    <w:rsid w:val="5B9B74C9"/>
    <w:rsid w:val="5BC4270F"/>
    <w:rsid w:val="5C182C1A"/>
    <w:rsid w:val="5C2D6ACE"/>
    <w:rsid w:val="5C361C7B"/>
    <w:rsid w:val="5C8D2DEB"/>
    <w:rsid w:val="5C937D59"/>
    <w:rsid w:val="5CB72A40"/>
    <w:rsid w:val="5CCD12AB"/>
    <w:rsid w:val="5CCD6BAE"/>
    <w:rsid w:val="5CFC0A75"/>
    <w:rsid w:val="5D0273FA"/>
    <w:rsid w:val="5D3643FE"/>
    <w:rsid w:val="5D64485C"/>
    <w:rsid w:val="5DA564AC"/>
    <w:rsid w:val="5DC2755F"/>
    <w:rsid w:val="5DC6599B"/>
    <w:rsid w:val="5E1557FC"/>
    <w:rsid w:val="5E293DE4"/>
    <w:rsid w:val="5E4C536C"/>
    <w:rsid w:val="5E7D32B8"/>
    <w:rsid w:val="5E7F6429"/>
    <w:rsid w:val="5E9F5E91"/>
    <w:rsid w:val="5EA03A5B"/>
    <w:rsid w:val="5EAC67A3"/>
    <w:rsid w:val="5ECC5F65"/>
    <w:rsid w:val="5F303EAD"/>
    <w:rsid w:val="5F454647"/>
    <w:rsid w:val="5FDD2ECA"/>
    <w:rsid w:val="60084723"/>
    <w:rsid w:val="6010361D"/>
    <w:rsid w:val="6010698F"/>
    <w:rsid w:val="60610FBC"/>
    <w:rsid w:val="60671263"/>
    <w:rsid w:val="608F5287"/>
    <w:rsid w:val="60C90176"/>
    <w:rsid w:val="60F6186E"/>
    <w:rsid w:val="610C2C6F"/>
    <w:rsid w:val="614055AD"/>
    <w:rsid w:val="61496C5A"/>
    <w:rsid w:val="614C50B3"/>
    <w:rsid w:val="615B402F"/>
    <w:rsid w:val="617243CD"/>
    <w:rsid w:val="61B63126"/>
    <w:rsid w:val="61BA5426"/>
    <w:rsid w:val="61DE2F20"/>
    <w:rsid w:val="61E85E08"/>
    <w:rsid w:val="621C156E"/>
    <w:rsid w:val="62243F9A"/>
    <w:rsid w:val="62896173"/>
    <w:rsid w:val="62995C96"/>
    <w:rsid w:val="62A045A6"/>
    <w:rsid w:val="62C4208E"/>
    <w:rsid w:val="62D1277F"/>
    <w:rsid w:val="62EE6294"/>
    <w:rsid w:val="62F539B4"/>
    <w:rsid w:val="63362F9E"/>
    <w:rsid w:val="635357E1"/>
    <w:rsid w:val="637969CD"/>
    <w:rsid w:val="63797077"/>
    <w:rsid w:val="6381422B"/>
    <w:rsid w:val="63E761EC"/>
    <w:rsid w:val="642D7BC3"/>
    <w:rsid w:val="64385ED0"/>
    <w:rsid w:val="64447207"/>
    <w:rsid w:val="64940BB4"/>
    <w:rsid w:val="64947F5C"/>
    <w:rsid w:val="64955B92"/>
    <w:rsid w:val="64C11604"/>
    <w:rsid w:val="64C24447"/>
    <w:rsid w:val="64DB6CED"/>
    <w:rsid w:val="65054DD3"/>
    <w:rsid w:val="652B7B81"/>
    <w:rsid w:val="65362351"/>
    <w:rsid w:val="65395F25"/>
    <w:rsid w:val="656547E3"/>
    <w:rsid w:val="656C6AE4"/>
    <w:rsid w:val="65AD04A8"/>
    <w:rsid w:val="6613751A"/>
    <w:rsid w:val="66365DEA"/>
    <w:rsid w:val="66526996"/>
    <w:rsid w:val="66527D7E"/>
    <w:rsid w:val="66965874"/>
    <w:rsid w:val="6698661C"/>
    <w:rsid w:val="66A00268"/>
    <w:rsid w:val="66CC6D05"/>
    <w:rsid w:val="66E140C1"/>
    <w:rsid w:val="67521C47"/>
    <w:rsid w:val="675B4115"/>
    <w:rsid w:val="676668CC"/>
    <w:rsid w:val="67A87596"/>
    <w:rsid w:val="6803042D"/>
    <w:rsid w:val="680A741E"/>
    <w:rsid w:val="681919C1"/>
    <w:rsid w:val="687C635B"/>
    <w:rsid w:val="687E3D36"/>
    <w:rsid w:val="68AB188F"/>
    <w:rsid w:val="68DA42E7"/>
    <w:rsid w:val="68E14B96"/>
    <w:rsid w:val="68FB13E3"/>
    <w:rsid w:val="6936735D"/>
    <w:rsid w:val="698A3431"/>
    <w:rsid w:val="69C23E91"/>
    <w:rsid w:val="69DF1AB9"/>
    <w:rsid w:val="6A3E36AA"/>
    <w:rsid w:val="6A775FCB"/>
    <w:rsid w:val="6A837D34"/>
    <w:rsid w:val="6A8C3F1C"/>
    <w:rsid w:val="6AD33C5F"/>
    <w:rsid w:val="6AF2794B"/>
    <w:rsid w:val="6B286A04"/>
    <w:rsid w:val="6B2E60EB"/>
    <w:rsid w:val="6B3A1015"/>
    <w:rsid w:val="6B51718A"/>
    <w:rsid w:val="6B58549F"/>
    <w:rsid w:val="6B607510"/>
    <w:rsid w:val="6B7045E5"/>
    <w:rsid w:val="6B956269"/>
    <w:rsid w:val="6BDF7A7C"/>
    <w:rsid w:val="6BF55641"/>
    <w:rsid w:val="6BFC0794"/>
    <w:rsid w:val="6C1A208F"/>
    <w:rsid w:val="6C473D89"/>
    <w:rsid w:val="6C5E76B7"/>
    <w:rsid w:val="6C877163"/>
    <w:rsid w:val="6D0B1189"/>
    <w:rsid w:val="6D21440A"/>
    <w:rsid w:val="6D2F4D6C"/>
    <w:rsid w:val="6D3A0188"/>
    <w:rsid w:val="6D564A4D"/>
    <w:rsid w:val="6DA81AC4"/>
    <w:rsid w:val="6DB9769A"/>
    <w:rsid w:val="6DD67D8E"/>
    <w:rsid w:val="6E9955E9"/>
    <w:rsid w:val="6E9F1966"/>
    <w:rsid w:val="6ECD1FF4"/>
    <w:rsid w:val="6ED35BED"/>
    <w:rsid w:val="6ED833BB"/>
    <w:rsid w:val="6EFC3E16"/>
    <w:rsid w:val="6F0845E5"/>
    <w:rsid w:val="6F0D55E2"/>
    <w:rsid w:val="6F6D1C12"/>
    <w:rsid w:val="6FB92329"/>
    <w:rsid w:val="700E0976"/>
    <w:rsid w:val="70103A11"/>
    <w:rsid w:val="704332CF"/>
    <w:rsid w:val="705D7B9C"/>
    <w:rsid w:val="706C2295"/>
    <w:rsid w:val="706D4BBB"/>
    <w:rsid w:val="70C516E1"/>
    <w:rsid w:val="70C840E7"/>
    <w:rsid w:val="70E816FE"/>
    <w:rsid w:val="713B2ABA"/>
    <w:rsid w:val="7156629E"/>
    <w:rsid w:val="718F76DC"/>
    <w:rsid w:val="71AC77C4"/>
    <w:rsid w:val="71BF70A5"/>
    <w:rsid w:val="720F341D"/>
    <w:rsid w:val="723B6900"/>
    <w:rsid w:val="72570BF6"/>
    <w:rsid w:val="729B5FF5"/>
    <w:rsid w:val="729C55E9"/>
    <w:rsid w:val="72B2118E"/>
    <w:rsid w:val="72F1346B"/>
    <w:rsid w:val="72FA15BE"/>
    <w:rsid w:val="72FD09F1"/>
    <w:rsid w:val="730F5CDE"/>
    <w:rsid w:val="7318549A"/>
    <w:rsid w:val="732F314B"/>
    <w:rsid w:val="737E69AC"/>
    <w:rsid w:val="739F77B7"/>
    <w:rsid w:val="73C44387"/>
    <w:rsid w:val="74047FEC"/>
    <w:rsid w:val="7407086A"/>
    <w:rsid w:val="740A5ED3"/>
    <w:rsid w:val="74340958"/>
    <w:rsid w:val="743B19F9"/>
    <w:rsid w:val="749042F6"/>
    <w:rsid w:val="74B301C7"/>
    <w:rsid w:val="74C171F1"/>
    <w:rsid w:val="74CC6C8D"/>
    <w:rsid w:val="75390CCA"/>
    <w:rsid w:val="754564DC"/>
    <w:rsid w:val="756423A4"/>
    <w:rsid w:val="756B6277"/>
    <w:rsid w:val="759E262B"/>
    <w:rsid w:val="75BD4EC4"/>
    <w:rsid w:val="75E07B88"/>
    <w:rsid w:val="76040533"/>
    <w:rsid w:val="76213917"/>
    <w:rsid w:val="76591FC7"/>
    <w:rsid w:val="76781F92"/>
    <w:rsid w:val="767E397C"/>
    <w:rsid w:val="7681677C"/>
    <w:rsid w:val="76E93FB8"/>
    <w:rsid w:val="76F51CA2"/>
    <w:rsid w:val="770D6121"/>
    <w:rsid w:val="774239F2"/>
    <w:rsid w:val="77536B1C"/>
    <w:rsid w:val="77672C30"/>
    <w:rsid w:val="77A847D7"/>
    <w:rsid w:val="77BB1F41"/>
    <w:rsid w:val="77D432E5"/>
    <w:rsid w:val="77E54859"/>
    <w:rsid w:val="77EA569C"/>
    <w:rsid w:val="78254FB9"/>
    <w:rsid w:val="782E4A59"/>
    <w:rsid w:val="78384639"/>
    <w:rsid w:val="784E67C5"/>
    <w:rsid w:val="78615304"/>
    <w:rsid w:val="788E7005"/>
    <w:rsid w:val="78E42C8C"/>
    <w:rsid w:val="78F8044C"/>
    <w:rsid w:val="79093E87"/>
    <w:rsid w:val="790E53F3"/>
    <w:rsid w:val="795705AE"/>
    <w:rsid w:val="795E4B17"/>
    <w:rsid w:val="79740690"/>
    <w:rsid w:val="797D5CB1"/>
    <w:rsid w:val="79CA2F5D"/>
    <w:rsid w:val="7A8377B3"/>
    <w:rsid w:val="7A8F3AF6"/>
    <w:rsid w:val="7AAB70A3"/>
    <w:rsid w:val="7AB3716B"/>
    <w:rsid w:val="7AB45744"/>
    <w:rsid w:val="7AD832CC"/>
    <w:rsid w:val="7AEA1AB0"/>
    <w:rsid w:val="7B0651AC"/>
    <w:rsid w:val="7B09552C"/>
    <w:rsid w:val="7B1D5EED"/>
    <w:rsid w:val="7B257F37"/>
    <w:rsid w:val="7B5B3E61"/>
    <w:rsid w:val="7B5D1904"/>
    <w:rsid w:val="7B5E4A5F"/>
    <w:rsid w:val="7B6704D0"/>
    <w:rsid w:val="7B6906CD"/>
    <w:rsid w:val="7B716743"/>
    <w:rsid w:val="7B9938A4"/>
    <w:rsid w:val="7BA77CB7"/>
    <w:rsid w:val="7BAE0A36"/>
    <w:rsid w:val="7BC96E8D"/>
    <w:rsid w:val="7BD12207"/>
    <w:rsid w:val="7BD82F6E"/>
    <w:rsid w:val="7BEF6AA3"/>
    <w:rsid w:val="7C40549B"/>
    <w:rsid w:val="7C4C28D6"/>
    <w:rsid w:val="7C7C340D"/>
    <w:rsid w:val="7CF37EBC"/>
    <w:rsid w:val="7D107432"/>
    <w:rsid w:val="7D1D2706"/>
    <w:rsid w:val="7D47489B"/>
    <w:rsid w:val="7D515C28"/>
    <w:rsid w:val="7DC530B0"/>
    <w:rsid w:val="7DEE1845"/>
    <w:rsid w:val="7DFE7A9A"/>
    <w:rsid w:val="7E393CD7"/>
    <w:rsid w:val="7E501E3C"/>
    <w:rsid w:val="7E564F54"/>
    <w:rsid w:val="7E812BEB"/>
    <w:rsid w:val="7EB612B7"/>
    <w:rsid w:val="7EC918BC"/>
    <w:rsid w:val="7ED24E70"/>
    <w:rsid w:val="7EDF394B"/>
    <w:rsid w:val="7EE64B43"/>
    <w:rsid w:val="7EEA095F"/>
    <w:rsid w:val="7EEC4C52"/>
    <w:rsid w:val="7EFE2678"/>
    <w:rsid w:val="7F2C410A"/>
    <w:rsid w:val="7F3A0783"/>
    <w:rsid w:val="7F53390C"/>
    <w:rsid w:val="7F61735F"/>
    <w:rsid w:val="7FC97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932F629-4C2E-4D8A-8099-AB83B55F6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0">
    <w:name w:val="toc 3"/>
    <w:basedOn w:val="a"/>
    <w:next w:val="a"/>
    <w:uiPriority w:val="39"/>
    <w:qFormat/>
    <w:pPr>
      <w:ind w:leftChars="400" w:left="840"/>
    </w:pPr>
  </w:style>
  <w:style w:type="paragraph" w:styleId="a4">
    <w:name w:val="footer"/>
    <w:basedOn w:val="a"/>
    <w:link w:val="Char"/>
    <w:uiPriority w:val="99"/>
    <w:unhideWhenUsed/>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rPr>
      <w:rFonts w:ascii="Times New Roman" w:hAnsi="Times New Roman" w:cs="Times New Roman" w:hint="default"/>
      <w:color w:val="000000"/>
      <w:sz w:val="18"/>
      <w:szCs w:val="18"/>
      <w:u w:val="none"/>
    </w:rPr>
  </w:style>
  <w:style w:type="character" w:customStyle="1" w:styleId="Char">
    <w:name w:val="页脚 Char"/>
    <w:link w:val="a4"/>
    <w:uiPriority w:val="99"/>
    <w:rPr>
      <w:rFonts w:eastAsia="仿宋_GB2312" w:cs="Times New Roman"/>
      <w:kern w:val="2"/>
      <w:sz w:val="18"/>
      <w:szCs w:val="22"/>
    </w:rPr>
  </w:style>
  <w:style w:type="character" w:customStyle="1" w:styleId="font41">
    <w:name w:val="font41"/>
    <w:rPr>
      <w:rFonts w:ascii="宋体" w:eastAsia="宋体" w:hAnsi="宋体" w:cs="宋体" w:hint="eastAsia"/>
      <w:color w:val="000000"/>
      <w:sz w:val="22"/>
      <w:szCs w:val="22"/>
      <w:u w:val="none"/>
    </w:rPr>
  </w:style>
  <w:style w:type="character" w:customStyle="1" w:styleId="font81">
    <w:name w:val="font81"/>
    <w:rPr>
      <w:rFonts w:ascii="宋体" w:eastAsia="宋体" w:hAnsi="宋体" w:cs="宋体" w:hint="eastAsia"/>
      <w:color w:val="000000"/>
      <w:sz w:val="22"/>
      <w:szCs w:val="22"/>
      <w:u w:val="none"/>
    </w:rPr>
  </w:style>
  <w:style w:type="character" w:customStyle="1" w:styleId="font131">
    <w:name w:val="font131"/>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font101">
    <w:name w:val="font101"/>
    <w:rPr>
      <w:rFonts w:ascii="宋体" w:eastAsia="宋体" w:hAnsi="宋体" w:cs="宋体" w:hint="eastAsia"/>
      <w:color w:val="000000"/>
      <w:sz w:val="18"/>
      <w:szCs w:val="18"/>
      <w:u w:val="none"/>
    </w:rPr>
  </w:style>
  <w:style w:type="character" w:customStyle="1" w:styleId="font21">
    <w:name w:val="font21"/>
    <w:rPr>
      <w:rFonts w:ascii="Times New Roman" w:hAnsi="Times New Roman" w:cs="Times New Roman" w:hint="default"/>
      <w:color w:val="000000"/>
      <w:sz w:val="22"/>
      <w:szCs w:val="22"/>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71">
    <w:name w:val="font71"/>
    <w:rPr>
      <w:rFonts w:ascii="宋体" w:eastAsia="宋体" w:hAnsi="宋体" w:cs="宋体" w:hint="eastAsia"/>
      <w:color w:val="000000"/>
      <w:sz w:val="22"/>
      <w:szCs w:val="22"/>
      <w:u w:val="none"/>
    </w:rPr>
  </w:style>
  <w:style w:type="character" w:customStyle="1" w:styleId="font112">
    <w:name w:val="font112"/>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paragraph" w:customStyle="1" w:styleId="a7">
    <w:name w:val="表格标题"/>
    <w:basedOn w:val="a"/>
    <w:next w:val="a"/>
    <w:pPr>
      <w:keepNext/>
      <w:keepLines/>
      <w:ind w:firstLineChars="0" w:firstLine="0"/>
      <w:jc w:val="center"/>
      <w:outlineLvl w:val="0"/>
    </w:pPr>
    <w:rPr>
      <w:rFonts w:hint="eastAsia"/>
      <w:b/>
      <w:kern w:val="44"/>
    </w:rPr>
  </w:style>
  <w:style w:type="paragraph" w:customStyle="1" w:styleId="a8">
    <w:name w:val="表格内容"/>
    <w:basedOn w:val="a"/>
    <w:next w:val="a"/>
    <w:pPr>
      <w:keepLines/>
      <w:spacing w:line="240" w:lineRule="auto"/>
      <w:ind w:firstLineChars="0" w:firstLine="0"/>
      <w:jc w:val="center"/>
    </w:pPr>
    <w:rPr>
      <w:rFonts w:hint="eastAsia"/>
      <w:kern w:val="44"/>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25</Pages>
  <Words>2075</Words>
  <Characters>11834</Characters>
  <Application>Microsoft Office Word</Application>
  <DocSecurity>0</DocSecurity>
  <Lines>98</Lines>
  <Paragraphs>27</Paragraphs>
  <ScaleCrop>false</ScaleCrop>
  <Company>Microsoft</Company>
  <LinksUpToDate>false</LinksUpToDate>
  <CharactersWithSpaces>13882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2025-09-16T03:59:00Z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8839B988A83F493A80034ADFDFA66F8F_13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