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DAD" w:rsidRDefault="000F6DAD">
      <w:pPr>
        <w:ind w:firstLine="640"/>
        <w:rPr>
          <w:rFonts w:eastAsia="宋体"/>
        </w:rPr>
      </w:pPr>
      <w:bookmarkStart w:id="0" w:name="OLE_LINK56"/>
    </w:p>
    <w:p w:rsidR="000F6DAD" w:rsidRDefault="000F6DAD">
      <w:pPr>
        <w:ind w:firstLine="640"/>
        <w:rPr>
          <w:rFonts w:eastAsia="宋体"/>
        </w:rPr>
      </w:pPr>
    </w:p>
    <w:p w:rsidR="000F6DAD" w:rsidRDefault="000F6DAD">
      <w:pPr>
        <w:ind w:firstLine="640"/>
        <w:rPr>
          <w:rFonts w:eastAsia="宋体"/>
        </w:rPr>
      </w:pPr>
    </w:p>
    <w:p w:rsidR="000F6DAD" w:rsidRDefault="00F97CD5">
      <w:pPr>
        <w:pStyle w:val="1"/>
        <w:rPr>
          <w:sz w:val="44"/>
          <w:szCs w:val="44"/>
        </w:rPr>
      </w:pPr>
      <w:bookmarkStart w:id="1" w:name="_Toc28201"/>
      <w:bookmarkStart w:id="2" w:name="_Toc24054"/>
      <w:r>
        <w:rPr>
          <w:sz w:val="44"/>
          <w:szCs w:val="44"/>
        </w:rPr>
        <w:t>项目支出绩效评价报告</w:t>
      </w:r>
      <w:bookmarkEnd w:id="1"/>
      <w:bookmarkEnd w:id="2"/>
    </w:p>
    <w:p w:rsidR="000F6DAD" w:rsidRDefault="000F6DAD">
      <w:pPr>
        <w:ind w:firstLine="883"/>
        <w:rPr>
          <w:rFonts w:eastAsia="宋体"/>
          <w:b/>
          <w:bCs/>
          <w:sz w:val="44"/>
          <w:szCs w:val="44"/>
        </w:rPr>
      </w:pPr>
    </w:p>
    <w:p w:rsidR="000F6DAD" w:rsidRDefault="000F6DAD">
      <w:pPr>
        <w:ind w:firstLine="640"/>
        <w:rPr>
          <w:rFonts w:eastAsia="宋体"/>
        </w:rPr>
      </w:pPr>
    </w:p>
    <w:p w:rsidR="000F6DAD" w:rsidRDefault="00F97CD5">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0F6DAD" w:rsidRDefault="000F6DAD">
      <w:pPr>
        <w:ind w:firstLine="640"/>
        <w:rPr>
          <w:rFonts w:eastAsia="宋体"/>
        </w:rPr>
      </w:pPr>
    </w:p>
    <w:p w:rsidR="000F6DAD" w:rsidRDefault="000F6DAD">
      <w:pPr>
        <w:ind w:firstLine="640"/>
        <w:rPr>
          <w:rFonts w:eastAsia="宋体"/>
        </w:rPr>
      </w:pPr>
    </w:p>
    <w:p w:rsidR="000F6DAD" w:rsidRDefault="000F6DAD">
      <w:pPr>
        <w:ind w:firstLine="640"/>
        <w:rPr>
          <w:rFonts w:eastAsia="宋体"/>
        </w:rPr>
      </w:pPr>
    </w:p>
    <w:p w:rsidR="000F6DAD" w:rsidRDefault="000F6DAD">
      <w:pPr>
        <w:ind w:firstLine="640"/>
        <w:rPr>
          <w:rFonts w:eastAsia="宋体"/>
        </w:rPr>
      </w:pPr>
    </w:p>
    <w:p w:rsidR="000F6DAD" w:rsidRDefault="000F6DAD">
      <w:pPr>
        <w:ind w:firstLine="643"/>
        <w:rPr>
          <w:rFonts w:eastAsia="宋体"/>
          <w:b/>
          <w:bCs/>
        </w:rPr>
      </w:pPr>
    </w:p>
    <w:p w:rsidR="000F6DAD" w:rsidRDefault="00F97CD5">
      <w:pPr>
        <w:ind w:firstLine="640"/>
        <w:rPr>
          <w:rFonts w:ascii="仿宋_GB2312" w:hAnsi="仿宋_GB2312" w:cs="仿宋_GB2312"/>
        </w:rPr>
      </w:pPr>
      <w:bookmarkStart w:id="3" w:name="OLE_LINK19"/>
      <w:r>
        <w:rPr>
          <w:rFonts w:ascii="仿宋_GB2312" w:hAnsi="仿宋_GB2312" w:cs="仿宋_GB2312" w:hint="eastAsia"/>
        </w:rPr>
        <w:t>项目名称：</w:t>
      </w:r>
      <w:bookmarkStart w:id="4" w:name="OLE_LINK5"/>
      <w:bookmarkStart w:id="5" w:name="OLE_LINK3"/>
      <w:r>
        <w:rPr>
          <w:rFonts w:ascii="仿宋_GB2312" w:hAnsi="仿宋_GB2312" w:cs="仿宋_GB2312" w:hint="eastAsia"/>
        </w:rPr>
        <w:t>2024</w:t>
      </w:r>
      <w:r>
        <w:rPr>
          <w:rFonts w:ascii="仿宋_GB2312" w:hAnsi="仿宋_GB2312" w:cs="仿宋_GB2312" w:hint="eastAsia"/>
        </w:rPr>
        <w:t>年中央对地方成品油税费改革转移支付资金用于</w:t>
      </w:r>
      <w:bookmarkStart w:id="6" w:name="OLE_LINK2"/>
      <w:bookmarkStart w:id="7" w:name="OLE_LINK7"/>
      <w:r>
        <w:rPr>
          <w:rFonts w:ascii="仿宋_GB2312" w:hAnsi="仿宋_GB2312" w:cs="仿宋_GB2312" w:hint="eastAsia"/>
        </w:rPr>
        <w:t>农村公路养护专项资金项目</w:t>
      </w:r>
      <w:bookmarkEnd w:id="4"/>
      <w:bookmarkEnd w:id="6"/>
    </w:p>
    <w:bookmarkEnd w:id="5"/>
    <w:bookmarkEnd w:id="7"/>
    <w:p w:rsidR="000F6DAD" w:rsidRDefault="00F97CD5">
      <w:pPr>
        <w:ind w:firstLine="640"/>
        <w:rPr>
          <w:rFonts w:ascii="仿宋_GB2312" w:hAnsi="仿宋_GB2312" w:cs="仿宋_GB2312"/>
        </w:rPr>
      </w:pPr>
      <w:r>
        <w:rPr>
          <w:rFonts w:ascii="仿宋_GB2312" w:hAnsi="仿宋_GB2312" w:cs="仿宋_GB2312" w:hint="eastAsia"/>
        </w:rPr>
        <w:t>实施单位（公章）：</w:t>
      </w:r>
      <w:bookmarkStart w:id="8" w:name="OLE_LINK21"/>
      <w:r>
        <w:rPr>
          <w:rFonts w:ascii="仿宋_GB2312" w:hAnsi="仿宋_GB2312" w:cs="仿宋_GB2312" w:hint="eastAsia"/>
        </w:rPr>
        <w:t>尉犁县交通运输局</w:t>
      </w:r>
    </w:p>
    <w:bookmarkEnd w:id="8"/>
    <w:p w:rsidR="000F6DAD" w:rsidRDefault="00F97CD5">
      <w:pPr>
        <w:ind w:firstLine="640"/>
        <w:rPr>
          <w:rFonts w:ascii="仿宋_GB2312" w:hAnsi="仿宋_GB2312" w:cs="仿宋_GB2312"/>
        </w:rPr>
      </w:pPr>
      <w:r>
        <w:rPr>
          <w:rFonts w:ascii="仿宋_GB2312" w:hAnsi="仿宋_GB2312" w:cs="仿宋_GB2312" w:hint="eastAsia"/>
        </w:rPr>
        <w:t>主管部门（公章）：</w:t>
      </w:r>
      <w:bookmarkStart w:id="9" w:name="OLE_LINK1"/>
      <w:r>
        <w:rPr>
          <w:rFonts w:ascii="仿宋_GB2312" w:hAnsi="仿宋_GB2312" w:cs="仿宋_GB2312" w:hint="eastAsia"/>
        </w:rPr>
        <w:t>尉犁县交通运输局</w:t>
      </w:r>
      <w:bookmarkEnd w:id="9"/>
    </w:p>
    <w:p w:rsidR="000F6DAD" w:rsidRDefault="00F97CD5">
      <w:pPr>
        <w:ind w:firstLine="640"/>
        <w:rPr>
          <w:rFonts w:ascii="仿宋_GB2312" w:hAnsi="仿宋_GB2312" w:cs="仿宋_GB2312"/>
        </w:rPr>
      </w:pPr>
      <w:r>
        <w:rPr>
          <w:rFonts w:ascii="仿宋_GB2312" w:hAnsi="仿宋_GB2312" w:cs="仿宋_GB2312" w:hint="eastAsia"/>
        </w:rPr>
        <w:t>项目负责人（签章）：</w:t>
      </w:r>
      <w:bookmarkStart w:id="10" w:name="OLE_LINK23"/>
      <w:r>
        <w:rPr>
          <w:rFonts w:ascii="仿宋_GB2312" w:hAnsi="仿宋_GB2312" w:cs="仿宋_GB2312" w:hint="eastAsia"/>
        </w:rPr>
        <w:t>克来木</w:t>
      </w:r>
      <w:r>
        <w:rPr>
          <w:rFonts w:ascii="仿宋_GB2312" w:hAnsi="仿宋_GB2312" w:cs="仿宋_GB2312" w:hint="eastAsia"/>
        </w:rPr>
        <w:t>·马那甫</w:t>
      </w:r>
    </w:p>
    <w:bookmarkEnd w:id="10"/>
    <w:p w:rsidR="000F6DAD" w:rsidRDefault="00F97CD5">
      <w:pPr>
        <w:ind w:firstLine="640"/>
        <w:rPr>
          <w:rFonts w:ascii="仿宋_GB2312" w:hAnsi="仿宋_GB2312" w:cs="仿宋_GB2312"/>
        </w:rPr>
      </w:pPr>
      <w:r>
        <w:rPr>
          <w:rFonts w:ascii="仿宋_GB2312" w:hAnsi="仿宋_GB2312" w:cs="仿宋_GB2312" w:hint="eastAsia"/>
        </w:rPr>
        <w:t>填报时间：</w:t>
      </w:r>
      <w:r>
        <w:rPr>
          <w:rFonts w:ascii="仿宋_GB2312" w:hAnsi="仿宋_GB2312" w:cs="仿宋_GB2312" w:hint="eastAsia"/>
        </w:rPr>
        <w:t>2025</w:t>
      </w:r>
      <w:r>
        <w:rPr>
          <w:rFonts w:ascii="仿宋_GB2312" w:hAnsi="仿宋_GB2312" w:cs="仿宋_GB2312" w:hint="eastAsia"/>
        </w:rPr>
        <w:t>年</w:t>
      </w:r>
      <w:r>
        <w:rPr>
          <w:rFonts w:ascii="仿宋_GB2312" w:hAnsi="仿宋_GB2312" w:cs="仿宋_GB2312" w:hint="eastAsia"/>
        </w:rPr>
        <w:t>4</w:t>
      </w:r>
      <w:r>
        <w:rPr>
          <w:rFonts w:ascii="仿宋_GB2312" w:hAnsi="仿宋_GB2312" w:cs="仿宋_GB2312" w:hint="eastAsia"/>
        </w:rPr>
        <w:t>月</w:t>
      </w:r>
      <w:r>
        <w:rPr>
          <w:rFonts w:ascii="仿宋_GB2312" w:hAnsi="仿宋_GB2312" w:cs="仿宋_GB2312" w:hint="eastAsia"/>
        </w:rPr>
        <w:t>3</w:t>
      </w:r>
      <w:r>
        <w:rPr>
          <w:rFonts w:ascii="仿宋_GB2312" w:hAnsi="仿宋_GB2312" w:cs="仿宋_GB2312" w:hint="eastAsia"/>
        </w:rPr>
        <w:t>日</w:t>
      </w:r>
    </w:p>
    <w:bookmarkEnd w:id="3"/>
    <w:p w:rsidR="000F6DAD" w:rsidRDefault="000F6DAD">
      <w:pPr>
        <w:ind w:firstLine="640"/>
        <w:rPr>
          <w:rFonts w:eastAsia="宋体"/>
        </w:rPr>
      </w:pPr>
    </w:p>
    <w:p w:rsidR="000F6DAD" w:rsidRDefault="000F6DAD">
      <w:pPr>
        <w:ind w:firstLine="640"/>
        <w:rPr>
          <w:rFonts w:eastAsia="宋体"/>
        </w:rPr>
        <w:sectPr w:rsidR="000F6DAD">
          <w:pgSz w:w="11906" w:h="16838"/>
          <w:pgMar w:top="1440" w:right="1800" w:bottom="1440" w:left="1800" w:header="851" w:footer="992" w:gutter="0"/>
          <w:pgNumType w:start="1"/>
          <w:cols w:space="720"/>
          <w:docGrid w:type="lines" w:linePitch="312"/>
        </w:sectPr>
      </w:pPr>
    </w:p>
    <w:p w:rsidR="000F6DAD" w:rsidRDefault="00F97CD5">
      <w:pPr>
        <w:spacing w:line="500" w:lineRule="exact"/>
        <w:ind w:firstLine="640"/>
        <w:outlineLvl w:val="1"/>
        <w:rPr>
          <w:rFonts w:eastAsia="黑体"/>
          <w:bCs/>
          <w:iCs/>
          <w:szCs w:val="21"/>
        </w:rPr>
      </w:pPr>
      <w:bookmarkStart w:id="11" w:name="_Toc11827"/>
      <w:bookmarkStart w:id="12" w:name="_Toc5473"/>
      <w:bookmarkStart w:id="13" w:name="_Toc14721"/>
      <w:bookmarkStart w:id="14" w:name="_Toc15542"/>
      <w:bookmarkStart w:id="15" w:name="_Toc1891"/>
      <w:bookmarkStart w:id="16" w:name="_Toc18707"/>
      <w:r>
        <w:rPr>
          <w:rFonts w:eastAsia="黑体"/>
          <w:bCs/>
          <w:iCs/>
          <w:szCs w:val="21"/>
        </w:rPr>
        <w:lastRenderedPageBreak/>
        <w:t>一、基本情况</w:t>
      </w:r>
      <w:bookmarkStart w:id="17" w:name="_Toc27593"/>
      <w:bookmarkEnd w:id="11"/>
      <w:bookmarkEnd w:id="12"/>
      <w:bookmarkEnd w:id="13"/>
      <w:bookmarkEnd w:id="14"/>
      <w:bookmarkEnd w:id="15"/>
      <w:bookmarkEnd w:id="16"/>
    </w:p>
    <w:p w:rsidR="000F6DAD" w:rsidRDefault="00F97CD5">
      <w:pPr>
        <w:pStyle w:val="3"/>
        <w:ind w:firstLine="643"/>
        <w:rPr>
          <w:rFonts w:eastAsia="楷体"/>
        </w:rPr>
      </w:pPr>
      <w:bookmarkStart w:id="18" w:name="_Toc24048"/>
      <w:bookmarkStart w:id="19" w:name="_Toc24706"/>
      <w:bookmarkStart w:id="20" w:name="_Toc26183"/>
      <w:bookmarkStart w:id="21" w:name="_Toc9236"/>
      <w:r>
        <w:rPr>
          <w:rFonts w:eastAsia="楷体"/>
        </w:rPr>
        <w:t>（一）项目概况</w:t>
      </w:r>
      <w:bookmarkEnd w:id="17"/>
      <w:bookmarkEnd w:id="18"/>
      <w:bookmarkEnd w:id="19"/>
      <w:bookmarkEnd w:id="20"/>
      <w:bookmarkEnd w:id="21"/>
    </w:p>
    <w:p w:rsidR="000F6DAD" w:rsidRDefault="00F97CD5">
      <w:pPr>
        <w:ind w:firstLine="643"/>
        <w:rPr>
          <w:b/>
          <w:bCs/>
        </w:rPr>
      </w:pPr>
      <w:bookmarkStart w:id="22" w:name="_Toc11427"/>
      <w:bookmarkStart w:id="23" w:name="_Toc19984"/>
      <w:r>
        <w:rPr>
          <w:b/>
          <w:bCs/>
        </w:rPr>
        <w:t>1.</w:t>
      </w:r>
      <w:r>
        <w:rPr>
          <w:b/>
          <w:bCs/>
        </w:rPr>
        <w:t>项目背景</w:t>
      </w:r>
      <w:bookmarkEnd w:id="22"/>
      <w:bookmarkEnd w:id="23"/>
    </w:p>
    <w:p w:rsidR="000F6DAD" w:rsidRDefault="00F97CD5">
      <w:pPr>
        <w:ind w:firstLine="640"/>
      </w:pPr>
      <w:bookmarkStart w:id="24" w:name="_Toc22216"/>
      <w:bookmarkStart w:id="25" w:name="_Toc22079"/>
      <w:r>
        <w:rPr>
          <w:rFonts w:hint="eastAsia"/>
        </w:rPr>
        <w:t>深化农村公路管理养护体制改革是贯彻落</w:t>
      </w:r>
      <w:proofErr w:type="gramStart"/>
      <w:r>
        <w:rPr>
          <w:rFonts w:hint="eastAsia"/>
        </w:rPr>
        <w:t>实习近</w:t>
      </w:r>
      <w:proofErr w:type="gramEnd"/>
      <w:r>
        <w:rPr>
          <w:rFonts w:hint="eastAsia"/>
        </w:rPr>
        <w:t>平总书记等中央领导同志关于“四好农村路”建设重要指示批示精神的重要举措。旨在进一步管好、护好农村公路，推动“四好农村路”高质量发展，加快建设交通强国。新疆维吾尔自治区为落实国家政策，结合自身实际情况出台相关政策。建立自治区、地（州、市）、县（市、区）财政资金用于农村公路日常养护的制度，明确了县道、乡道、村道每年每公里的养护资金标准。同时，推行农村公路“路长制”，压实各县（市）人民政府主体责任，建立覆盖县（市）、乡（镇）、村道的“路长制”组织管理体系。</w:t>
      </w:r>
    </w:p>
    <w:p w:rsidR="000F6DAD" w:rsidRDefault="00F97CD5">
      <w:pPr>
        <w:ind w:firstLine="640"/>
        <w:rPr>
          <w:b/>
          <w:bCs/>
        </w:rPr>
      </w:pPr>
      <w:r>
        <w:rPr>
          <w:rFonts w:hint="eastAsia"/>
        </w:rPr>
        <w:t>农村公路是全国</w:t>
      </w:r>
      <w:r>
        <w:rPr>
          <w:rFonts w:hint="eastAsia"/>
        </w:rPr>
        <w:t>公路网的有机组成部分，是农村重要的公益性基础设施。它不仅关乎农民群众的日常出行，还对农村经济发展、物资运输、农产品流通、农村旅游开发等起着关键的支撑作用，是实现乡村振兴战略的重要基础。随着农村经济社会的不断发展，农民生活水平日益提高，农村交通流量不断增加，对农村公路的通行能力和服务质量提出了更高的要求。同时，建设“四好农村路”，实现农村公路“建好、管好、护好、运营好”的目标，也需要有稳定的资金支持来保障农村公路养护工作的顺利开展。</w:t>
      </w:r>
    </w:p>
    <w:p w:rsidR="000F6DAD" w:rsidRDefault="00F97CD5">
      <w:pPr>
        <w:ind w:firstLine="640"/>
        <w:rPr>
          <w:spacing w:val="-11"/>
        </w:rPr>
      </w:pPr>
      <w:r>
        <w:rPr>
          <w:rFonts w:hint="eastAsia"/>
        </w:rPr>
        <w:lastRenderedPageBreak/>
        <w:t>根据自治区财政厅《关于提前下达</w:t>
      </w:r>
      <w:r>
        <w:rPr>
          <w:rFonts w:hint="eastAsia"/>
        </w:rPr>
        <w:t>2024</w:t>
      </w:r>
      <w:r>
        <w:rPr>
          <w:rFonts w:hint="eastAsia"/>
        </w:rPr>
        <w:t>年中央对地方成品油税费改革转移支付资金</w:t>
      </w:r>
      <w:r>
        <w:rPr>
          <w:rFonts w:hint="eastAsia"/>
        </w:rPr>
        <w:t>用于农村公路养护支出预算的通知》</w:t>
      </w:r>
      <w:r>
        <w:rPr>
          <w:rFonts w:hint="eastAsia"/>
        </w:rPr>
        <w:t>(</w:t>
      </w:r>
      <w:proofErr w:type="gramStart"/>
      <w:r>
        <w:rPr>
          <w:rFonts w:hint="eastAsia"/>
        </w:rPr>
        <w:t>新财建〔</w:t>
      </w:r>
      <w:r>
        <w:rPr>
          <w:rFonts w:hint="eastAsia"/>
        </w:rPr>
        <w:t>2023</w:t>
      </w:r>
      <w:r>
        <w:rPr>
          <w:rFonts w:hint="eastAsia"/>
        </w:rPr>
        <w:t>〕</w:t>
      </w:r>
      <w:proofErr w:type="gramEnd"/>
      <w:r>
        <w:rPr>
          <w:rFonts w:hint="eastAsia"/>
        </w:rPr>
        <w:t>236</w:t>
      </w:r>
      <w:r>
        <w:rPr>
          <w:rFonts w:hint="eastAsia"/>
        </w:rPr>
        <w:t>号</w:t>
      </w:r>
      <w:r>
        <w:rPr>
          <w:rFonts w:hint="eastAsia"/>
        </w:rPr>
        <w:t>)</w:t>
      </w:r>
      <w:r>
        <w:rPr>
          <w:rFonts w:hint="eastAsia"/>
        </w:rPr>
        <w:t>文件，经研究，下达</w:t>
      </w:r>
      <w:r>
        <w:rPr>
          <w:rFonts w:hint="eastAsia"/>
        </w:rPr>
        <w:t>2024</w:t>
      </w:r>
      <w:r>
        <w:rPr>
          <w:rFonts w:hint="eastAsia"/>
          <w:spacing w:val="-11"/>
        </w:rPr>
        <w:t>年成品</w:t>
      </w:r>
      <w:proofErr w:type="gramStart"/>
      <w:r>
        <w:rPr>
          <w:rFonts w:hint="eastAsia"/>
          <w:spacing w:val="-11"/>
        </w:rPr>
        <w:t>油转移</w:t>
      </w:r>
      <w:proofErr w:type="gramEnd"/>
      <w:r>
        <w:rPr>
          <w:rFonts w:hint="eastAsia"/>
          <w:spacing w:val="-11"/>
        </w:rPr>
        <w:t>支付资金预算，专项用于农村公路日常养护支出。</w:t>
      </w:r>
    </w:p>
    <w:p w:rsidR="000F6DAD" w:rsidRDefault="00F97CD5">
      <w:pPr>
        <w:ind w:firstLine="643"/>
        <w:rPr>
          <w:b/>
          <w:bCs/>
        </w:rPr>
      </w:pPr>
      <w:r>
        <w:rPr>
          <w:b/>
          <w:bCs/>
        </w:rPr>
        <w:t>2.</w:t>
      </w:r>
      <w:r>
        <w:rPr>
          <w:b/>
          <w:bCs/>
        </w:rPr>
        <w:t>项目主要内容</w:t>
      </w:r>
      <w:bookmarkEnd w:id="24"/>
      <w:bookmarkEnd w:id="25"/>
    </w:p>
    <w:p w:rsidR="000F6DAD" w:rsidRDefault="00F97CD5">
      <w:pPr>
        <w:ind w:firstLine="640"/>
      </w:pPr>
      <w:bookmarkStart w:id="26" w:name="_Toc31519"/>
      <w:bookmarkStart w:id="27" w:name="_Toc21529"/>
      <w:r>
        <w:rPr>
          <w:rFonts w:hint="eastAsia"/>
        </w:rPr>
        <w:t>我局对全县农村公路</w:t>
      </w:r>
      <w:r>
        <w:rPr>
          <w:rFonts w:hint="eastAsia"/>
        </w:rPr>
        <w:t>1300.591</w:t>
      </w:r>
      <w:r>
        <w:rPr>
          <w:rFonts w:hint="eastAsia"/>
        </w:rPr>
        <w:t>公里开展技术状况评定工作，计划对</w:t>
      </w:r>
      <w:r>
        <w:rPr>
          <w:rFonts w:hint="eastAsia"/>
        </w:rPr>
        <w:t>182.426</w:t>
      </w:r>
      <w:r>
        <w:rPr>
          <w:rFonts w:hint="eastAsia"/>
        </w:rPr>
        <w:t>公里县道进行日常养护。提高农村公路管养水平，确保实现“有路必养、养必到位”的管养目标，推动“四好农村路”建设高质量发展。</w:t>
      </w:r>
    </w:p>
    <w:p w:rsidR="000F6DAD" w:rsidRDefault="00F97CD5">
      <w:pPr>
        <w:ind w:firstLine="643"/>
        <w:rPr>
          <w:b/>
          <w:bCs/>
        </w:rPr>
      </w:pPr>
      <w:r>
        <w:rPr>
          <w:b/>
          <w:bCs/>
        </w:rPr>
        <w:t>3.</w:t>
      </w:r>
      <w:r>
        <w:rPr>
          <w:b/>
          <w:bCs/>
        </w:rPr>
        <w:t>项目实施情况</w:t>
      </w:r>
      <w:bookmarkStart w:id="28" w:name="_Toc20138"/>
      <w:bookmarkEnd w:id="26"/>
      <w:bookmarkEnd w:id="27"/>
    </w:p>
    <w:p w:rsidR="000F6DAD" w:rsidRDefault="00F97CD5">
      <w:pPr>
        <w:ind w:firstLine="640"/>
      </w:pPr>
      <w:bookmarkStart w:id="29" w:name="_Toc1111"/>
      <w:r>
        <w:rPr>
          <w:rFonts w:hint="eastAsia"/>
        </w:rPr>
        <w:t>深化农村公路管理养护体制改革，对全县农村公路</w:t>
      </w:r>
      <w:r>
        <w:rPr>
          <w:rFonts w:hint="eastAsia"/>
        </w:rPr>
        <w:t>1300.591</w:t>
      </w:r>
      <w:r>
        <w:rPr>
          <w:rFonts w:hint="eastAsia"/>
        </w:rPr>
        <w:t>公里开展技术状况评定工作，完成对</w:t>
      </w:r>
      <w:r>
        <w:rPr>
          <w:rFonts w:hint="eastAsia"/>
        </w:rPr>
        <w:t>182.426</w:t>
      </w:r>
      <w:r>
        <w:rPr>
          <w:rFonts w:hint="eastAsia"/>
        </w:rPr>
        <w:t>公里县道进行日常养护。路面养护：每日安排清扫车对路面进行巡回清扫，已累计完成路面清扫</w:t>
      </w:r>
      <w:r>
        <w:rPr>
          <w:rFonts w:hint="eastAsia"/>
        </w:rPr>
        <w:t>560</w:t>
      </w:r>
      <w:r>
        <w:rPr>
          <w:rFonts w:hint="eastAsia"/>
        </w:rPr>
        <w:t>公里，确保路面无杂物，每周进行一次全面洒水降尘作业，有效减少扬尘污染。对于路面出现的坑槽、裂缝等病害，及时进行修补。完成道路隐患排查，修补沥青路面，</w:t>
      </w:r>
      <w:proofErr w:type="gramStart"/>
      <w:r>
        <w:rPr>
          <w:rFonts w:hint="eastAsia"/>
        </w:rPr>
        <w:t>完善路标志</w:t>
      </w:r>
      <w:proofErr w:type="gramEnd"/>
      <w:r>
        <w:rPr>
          <w:rFonts w:hint="eastAsia"/>
        </w:rPr>
        <w:t>牌等设施。提高农村公路管养水平，达成了“有路必养、养必到位”的管养目标，推动“四好农村路”建设高质量发展。</w:t>
      </w:r>
    </w:p>
    <w:p w:rsidR="000F6DAD" w:rsidRDefault="00F97CD5">
      <w:pPr>
        <w:ind w:firstLine="643"/>
        <w:rPr>
          <w:b/>
          <w:bCs/>
        </w:rPr>
      </w:pPr>
      <w:r>
        <w:rPr>
          <w:rFonts w:hint="eastAsia"/>
          <w:b/>
          <w:bCs/>
        </w:rPr>
        <w:t>4.</w:t>
      </w:r>
      <w:r>
        <w:rPr>
          <w:b/>
          <w:bCs/>
        </w:rPr>
        <w:t>资金投入情况</w:t>
      </w:r>
      <w:bookmarkStart w:id="30" w:name="OLE_LINK4"/>
      <w:bookmarkStart w:id="31" w:name="_Toc7324"/>
      <w:bookmarkEnd w:id="28"/>
      <w:bookmarkEnd w:id="29"/>
    </w:p>
    <w:p w:rsidR="000F6DAD" w:rsidRDefault="00F97CD5">
      <w:pPr>
        <w:keepNext/>
        <w:keepLines/>
        <w:ind w:firstLine="640"/>
      </w:pPr>
      <w:r>
        <w:lastRenderedPageBreak/>
        <w:t>根据《</w:t>
      </w:r>
      <w:r>
        <w:rPr>
          <w:rFonts w:hint="eastAsia"/>
        </w:rPr>
        <w:t>关于提前下达</w:t>
      </w:r>
      <w:bookmarkStart w:id="32" w:name="OLE_LINK6"/>
      <w:bookmarkStart w:id="33" w:name="OLE_LINK40"/>
      <w:r>
        <w:rPr>
          <w:rFonts w:hint="eastAsia"/>
        </w:rPr>
        <w:t>2024</w:t>
      </w:r>
      <w:r>
        <w:rPr>
          <w:rFonts w:hint="eastAsia"/>
        </w:rPr>
        <w:t>年</w:t>
      </w:r>
      <w:bookmarkStart w:id="34" w:name="OLE_LINK52"/>
      <w:r>
        <w:rPr>
          <w:rFonts w:hint="eastAsia"/>
        </w:rPr>
        <w:t>中央</w:t>
      </w:r>
      <w:r>
        <w:rPr>
          <w:rFonts w:hint="eastAsia"/>
        </w:rPr>
        <w:t>对地方成品油税费改革转移支付资金</w:t>
      </w:r>
      <w:bookmarkEnd w:id="32"/>
      <w:r>
        <w:rPr>
          <w:rFonts w:hint="eastAsia"/>
        </w:rPr>
        <w:t>用于农村公路养护</w:t>
      </w:r>
      <w:bookmarkEnd w:id="33"/>
      <w:r>
        <w:rPr>
          <w:rFonts w:hint="eastAsia"/>
        </w:rPr>
        <w:t>支出预算</w:t>
      </w:r>
      <w:bookmarkEnd w:id="34"/>
      <w:r>
        <w:rPr>
          <w:rFonts w:hint="eastAsia"/>
        </w:rPr>
        <w:t>的通知</w:t>
      </w:r>
      <w:r>
        <w:t>》（</w:t>
      </w:r>
      <w:proofErr w:type="gramStart"/>
      <w:r>
        <w:rPr>
          <w:rFonts w:hint="eastAsia"/>
        </w:rPr>
        <w:t>巴财建</w:t>
      </w:r>
      <w:bookmarkStart w:id="35" w:name="OLE_LINK51"/>
      <w:proofErr w:type="gramEnd"/>
      <w:r>
        <w:t>〔</w:t>
      </w:r>
      <w:r>
        <w:rPr>
          <w:rFonts w:hint="eastAsia"/>
        </w:rPr>
        <w:t>2023</w:t>
      </w:r>
      <w:r>
        <w:t>〕</w:t>
      </w:r>
      <w:r>
        <w:rPr>
          <w:rFonts w:hint="eastAsia"/>
        </w:rPr>
        <w:t>113</w:t>
      </w:r>
      <w:r>
        <w:t>号</w:t>
      </w:r>
      <w:bookmarkEnd w:id="30"/>
      <w:bookmarkEnd w:id="35"/>
      <w:r>
        <w:rPr>
          <w:rFonts w:hint="eastAsia"/>
        </w:rPr>
        <w:t>），</w:t>
      </w:r>
      <w:r>
        <w:t>下达</w:t>
      </w:r>
      <w:r>
        <w:rPr>
          <w:rFonts w:hint="eastAsia"/>
        </w:rPr>
        <w:t>农村公路养护</w:t>
      </w:r>
      <w:r>
        <w:t>资金</w:t>
      </w:r>
      <w:r>
        <w:rPr>
          <w:rFonts w:hint="eastAsia"/>
        </w:rPr>
        <w:t>107</w:t>
      </w:r>
      <w:r>
        <w:t>万元。</w:t>
      </w:r>
      <w:bookmarkStart w:id="36" w:name="OLE_LINK54"/>
      <w:r>
        <w:rPr>
          <w:rFonts w:hint="eastAsia"/>
        </w:rPr>
        <w:t>尉犁县交通运输局</w:t>
      </w:r>
      <w:r>
        <w:rPr>
          <w:rFonts w:hint="eastAsia"/>
        </w:rPr>
        <w:t>2024</w:t>
      </w:r>
      <w:r>
        <w:rPr>
          <w:rFonts w:hint="eastAsia"/>
        </w:rPr>
        <w:t>年中央对地方成品油税费改革转移支付资金用于农村公路养护</w:t>
      </w:r>
      <w:r>
        <w:rPr>
          <w:rFonts w:hint="eastAsia"/>
        </w:rPr>
        <w:t>专项资金项目调整绩效目标的申请</w:t>
      </w:r>
      <w:r>
        <w:rPr>
          <w:rFonts w:hint="eastAsia"/>
        </w:rPr>
        <w:t>，</w:t>
      </w:r>
      <w:bookmarkStart w:id="37" w:name="_Toc10837"/>
      <w:bookmarkEnd w:id="36"/>
      <w:r>
        <w:rPr>
          <w:rFonts w:hint="eastAsia"/>
        </w:rPr>
        <w:t>实施</w:t>
      </w:r>
      <w:r>
        <w:rPr>
          <w:rFonts w:hint="eastAsia"/>
        </w:rPr>
        <w:t>2024</w:t>
      </w:r>
      <w:r>
        <w:rPr>
          <w:rFonts w:hint="eastAsia"/>
        </w:rPr>
        <w:t>年中央对地方成品油税费改革转移支付资金用于农村公路养护专项资金项目投入资金</w:t>
      </w:r>
      <w:r>
        <w:rPr>
          <w:rFonts w:hint="eastAsia"/>
        </w:rPr>
        <w:t>96.99</w:t>
      </w:r>
      <w:r>
        <w:rPr>
          <w:rFonts w:hint="eastAsia"/>
        </w:rPr>
        <w:t>万元，资金来源为中央资金</w:t>
      </w:r>
      <w:r>
        <w:rPr>
          <w:rFonts w:hint="eastAsia"/>
        </w:rPr>
        <w:t>96.99</w:t>
      </w:r>
      <w:r>
        <w:rPr>
          <w:rFonts w:hint="eastAsia"/>
        </w:rPr>
        <w:t>万元。</w:t>
      </w:r>
      <w:r>
        <w:t>其中用于</w:t>
      </w:r>
      <w:r>
        <w:rPr>
          <w:rFonts w:hint="eastAsia"/>
        </w:rPr>
        <w:t>：对全县农村公路</w:t>
      </w:r>
      <w:r>
        <w:rPr>
          <w:rFonts w:hint="eastAsia"/>
        </w:rPr>
        <w:t>1300.591</w:t>
      </w:r>
      <w:r>
        <w:rPr>
          <w:rFonts w:hint="eastAsia"/>
        </w:rPr>
        <w:t>公里开展农村公路技术状况评定工作。</w:t>
      </w:r>
      <w:r>
        <w:rPr>
          <w:rFonts w:hint="eastAsia"/>
        </w:rPr>
        <w:t>2024</w:t>
      </w:r>
      <w:r>
        <w:rPr>
          <w:rFonts w:hint="eastAsia"/>
        </w:rPr>
        <w:t>年日常养护</w:t>
      </w:r>
      <w:proofErr w:type="gramStart"/>
      <w:r>
        <w:rPr>
          <w:rFonts w:hint="eastAsia"/>
        </w:rPr>
        <w:t>县道总</w:t>
      </w:r>
      <w:proofErr w:type="gramEnd"/>
      <w:r>
        <w:rPr>
          <w:rFonts w:hint="eastAsia"/>
        </w:rPr>
        <w:t>里程</w:t>
      </w:r>
      <w:r>
        <w:rPr>
          <w:rFonts w:hint="eastAsia"/>
        </w:rPr>
        <w:t>182</w:t>
      </w:r>
      <w:r>
        <w:rPr>
          <w:rFonts w:hint="eastAsia"/>
        </w:rPr>
        <w:t>公里。县道路肩补料</w:t>
      </w:r>
      <w:r>
        <w:rPr>
          <w:rFonts w:hint="eastAsia"/>
        </w:rPr>
        <w:t>50</w:t>
      </w:r>
      <w:r>
        <w:rPr>
          <w:rFonts w:hint="eastAsia"/>
        </w:rPr>
        <w:t>公里（</w:t>
      </w:r>
      <w:r>
        <w:rPr>
          <w:rFonts w:hint="eastAsia"/>
        </w:rPr>
        <w:t>X245</w:t>
      </w:r>
      <w:r>
        <w:rPr>
          <w:rFonts w:hint="eastAsia"/>
        </w:rPr>
        <w:t>线、</w:t>
      </w:r>
      <w:r>
        <w:rPr>
          <w:rFonts w:hint="eastAsia"/>
        </w:rPr>
        <w:t>246</w:t>
      </w:r>
      <w:r>
        <w:rPr>
          <w:rFonts w:hint="eastAsia"/>
        </w:rPr>
        <w:t>线、</w:t>
      </w:r>
      <w:r>
        <w:rPr>
          <w:rFonts w:hint="eastAsia"/>
        </w:rPr>
        <w:t>247</w:t>
      </w:r>
      <w:r>
        <w:rPr>
          <w:rFonts w:hint="eastAsia"/>
        </w:rPr>
        <w:t>线、</w:t>
      </w:r>
      <w:r>
        <w:rPr>
          <w:rFonts w:hint="eastAsia"/>
        </w:rPr>
        <w:t>248</w:t>
      </w:r>
      <w:r>
        <w:rPr>
          <w:rFonts w:hint="eastAsia"/>
        </w:rPr>
        <w:t>线）。</w:t>
      </w:r>
    </w:p>
    <w:p w:rsidR="000F6DAD" w:rsidRDefault="00F97CD5">
      <w:pPr>
        <w:ind w:firstLine="643"/>
        <w:rPr>
          <w:b/>
          <w:bCs/>
        </w:rPr>
      </w:pPr>
      <w:r>
        <w:rPr>
          <w:b/>
          <w:bCs/>
        </w:rPr>
        <w:t>5.</w:t>
      </w:r>
      <w:r>
        <w:rPr>
          <w:b/>
          <w:bCs/>
        </w:rPr>
        <w:t>资金使用情况</w:t>
      </w:r>
      <w:bookmarkEnd w:id="31"/>
      <w:bookmarkEnd w:id="37"/>
    </w:p>
    <w:p w:rsidR="000F6DAD" w:rsidRDefault="00F97CD5">
      <w:pPr>
        <w:ind w:firstLine="640"/>
      </w:pPr>
      <w:r>
        <w:rPr>
          <w:rFonts w:hint="eastAsia"/>
        </w:rPr>
        <w:t>2024</w:t>
      </w:r>
      <w:r>
        <w:t>年初预算数</w:t>
      </w:r>
      <w:r>
        <w:rPr>
          <w:rFonts w:hint="eastAsia"/>
        </w:rPr>
        <w:t>107</w:t>
      </w:r>
      <w:r>
        <w:t>万元，</w:t>
      </w:r>
      <w:r>
        <w:rPr>
          <w:rFonts w:hint="eastAsia"/>
        </w:rPr>
        <w:t>全年预算数</w:t>
      </w:r>
      <w:r>
        <w:rPr>
          <w:rFonts w:hint="eastAsia"/>
        </w:rPr>
        <w:t>96.99</w:t>
      </w:r>
      <w:r>
        <w:rPr>
          <w:rFonts w:hint="eastAsia"/>
        </w:rPr>
        <w:t>万元，</w:t>
      </w:r>
      <w:r>
        <w:t>实际到位资金</w:t>
      </w:r>
      <w:r>
        <w:rPr>
          <w:rFonts w:hint="eastAsia"/>
        </w:rPr>
        <w:t>96.99</w:t>
      </w:r>
      <w:r>
        <w:t>万元。截</w:t>
      </w:r>
      <w:r>
        <w:rPr>
          <w:rFonts w:hint="eastAsia"/>
        </w:rPr>
        <w:t>至</w:t>
      </w:r>
      <w:r>
        <w:t>202</w:t>
      </w:r>
      <w:r>
        <w:rPr>
          <w:rFonts w:hint="eastAsia"/>
        </w:rPr>
        <w:t>4</w:t>
      </w:r>
      <w:r>
        <w:t>年</w:t>
      </w:r>
      <w:r>
        <w:t>12</w:t>
      </w:r>
      <w:r>
        <w:t>月</w:t>
      </w:r>
      <w:r>
        <w:t>31</w:t>
      </w:r>
      <w:r>
        <w:t>日，项目实际使用资金</w:t>
      </w:r>
      <w:r>
        <w:rPr>
          <w:rFonts w:hint="eastAsia"/>
        </w:rPr>
        <w:t>96.99</w:t>
      </w:r>
      <w:r>
        <w:t>万元，资金使用率达到了</w:t>
      </w:r>
      <w:r>
        <w:rPr>
          <w:rFonts w:hint="eastAsia"/>
        </w:rPr>
        <w:t>100</w:t>
      </w:r>
      <w:r>
        <w:t>%</w:t>
      </w:r>
      <w:r>
        <w:t>。</w:t>
      </w:r>
      <w:proofErr w:type="gramStart"/>
      <w:r>
        <w:t>具体资金</w:t>
      </w:r>
      <w:proofErr w:type="gramEnd"/>
      <w:r>
        <w:t>支付情况</w:t>
      </w:r>
      <w:r>
        <w:rPr>
          <w:rFonts w:hint="eastAsia"/>
        </w:rPr>
        <w:t>如下</w:t>
      </w:r>
      <w:r>
        <w:t>：</w:t>
      </w:r>
    </w:p>
    <w:p w:rsidR="000F6DAD" w:rsidRDefault="00F97CD5">
      <w:pPr>
        <w:ind w:firstLine="640"/>
      </w:pPr>
      <w:bookmarkStart w:id="38" w:name="OLE_LINK41"/>
      <w:r>
        <w:t>202</w:t>
      </w:r>
      <w:r>
        <w:rPr>
          <w:rFonts w:hint="eastAsia"/>
        </w:rPr>
        <w:t>4</w:t>
      </w:r>
      <w:r>
        <w:t>年</w:t>
      </w:r>
      <w:r>
        <w:rPr>
          <w:rFonts w:hint="eastAsia"/>
        </w:rPr>
        <w:t>6</w:t>
      </w:r>
      <w:r>
        <w:t>月</w:t>
      </w:r>
      <w:r>
        <w:rPr>
          <w:rFonts w:hint="eastAsia"/>
        </w:rPr>
        <w:t>27</w:t>
      </w:r>
      <w:r>
        <w:t>日，</w:t>
      </w:r>
      <w:bookmarkEnd w:id="38"/>
      <w:r>
        <w:t>支付</w:t>
      </w:r>
      <w:r>
        <w:rPr>
          <w:rFonts w:hint="eastAsia"/>
        </w:rPr>
        <w:t>新疆通力建设集团股份有限公司</w:t>
      </w:r>
      <w:r>
        <w:rPr>
          <w:rFonts w:hint="eastAsia"/>
        </w:rPr>
        <w:t>18.19</w:t>
      </w:r>
      <w:r>
        <w:t>万元</w:t>
      </w:r>
      <w:r>
        <w:rPr>
          <w:rFonts w:hint="eastAsia"/>
        </w:rPr>
        <w:t>和</w:t>
      </w:r>
      <w:proofErr w:type="gramStart"/>
      <w:r>
        <w:rPr>
          <w:rFonts w:hint="eastAsia"/>
        </w:rPr>
        <w:t>新疆瑞鸿建筑材料</w:t>
      </w:r>
      <w:proofErr w:type="gramEnd"/>
      <w:r>
        <w:rPr>
          <w:rFonts w:hint="eastAsia"/>
        </w:rPr>
        <w:t>检测责任有限公司</w:t>
      </w:r>
      <w:r>
        <w:rPr>
          <w:rFonts w:hint="eastAsia"/>
        </w:rPr>
        <w:t>13.65</w:t>
      </w:r>
      <w:r>
        <w:rPr>
          <w:rFonts w:hint="eastAsia"/>
        </w:rPr>
        <w:t>万元。</w:t>
      </w:r>
    </w:p>
    <w:p w:rsidR="000F6DAD" w:rsidRDefault="00F97CD5">
      <w:pPr>
        <w:ind w:firstLine="640"/>
      </w:pPr>
      <w:r>
        <w:t>202</w:t>
      </w:r>
      <w:r>
        <w:rPr>
          <w:rFonts w:hint="eastAsia"/>
        </w:rPr>
        <w:t>4</w:t>
      </w:r>
      <w:r>
        <w:t>年</w:t>
      </w:r>
      <w:r>
        <w:rPr>
          <w:rFonts w:hint="eastAsia"/>
        </w:rPr>
        <w:t>11</w:t>
      </w:r>
      <w:r>
        <w:t>月</w:t>
      </w:r>
      <w:r>
        <w:rPr>
          <w:rFonts w:hint="eastAsia"/>
        </w:rPr>
        <w:t>21</w:t>
      </w:r>
      <w:r>
        <w:t>日，支付</w:t>
      </w:r>
      <w:bookmarkStart w:id="39" w:name="OLE_LINK50"/>
      <w:r>
        <w:rPr>
          <w:rFonts w:hint="eastAsia"/>
        </w:rPr>
        <w:t>新疆通力建设集团股份有限公司</w:t>
      </w:r>
      <w:bookmarkEnd w:id="39"/>
      <w:r>
        <w:rPr>
          <w:rFonts w:hint="eastAsia"/>
        </w:rPr>
        <w:t>65.15</w:t>
      </w:r>
      <w:r>
        <w:t>万元</w:t>
      </w:r>
      <w:r>
        <w:rPr>
          <w:rFonts w:hint="eastAsia"/>
        </w:rPr>
        <w:t>。</w:t>
      </w:r>
      <w:bookmarkStart w:id="40" w:name="_Toc11967"/>
      <w:bookmarkStart w:id="41" w:name="_Toc9567"/>
      <w:bookmarkStart w:id="42" w:name="_Toc14296"/>
      <w:bookmarkStart w:id="43" w:name="_Toc26395"/>
      <w:bookmarkStart w:id="44" w:name="_Toc31302"/>
    </w:p>
    <w:p w:rsidR="000F6DAD" w:rsidRDefault="00F97CD5">
      <w:pPr>
        <w:pStyle w:val="3"/>
        <w:ind w:firstLine="643"/>
        <w:rPr>
          <w:rFonts w:eastAsia="楷体"/>
        </w:rPr>
      </w:pPr>
      <w:r>
        <w:rPr>
          <w:rFonts w:eastAsia="楷体"/>
        </w:rPr>
        <w:lastRenderedPageBreak/>
        <w:t>（二）项目绩效目标</w:t>
      </w:r>
      <w:bookmarkEnd w:id="40"/>
      <w:bookmarkEnd w:id="41"/>
      <w:bookmarkEnd w:id="42"/>
      <w:bookmarkEnd w:id="43"/>
      <w:bookmarkEnd w:id="44"/>
    </w:p>
    <w:p w:rsidR="000F6DAD" w:rsidRDefault="00F97CD5">
      <w:pPr>
        <w:ind w:firstLine="643"/>
        <w:rPr>
          <w:b/>
          <w:bCs/>
        </w:rPr>
      </w:pPr>
      <w:bookmarkStart w:id="45" w:name="_Toc905"/>
      <w:bookmarkStart w:id="46" w:name="_Toc18809"/>
      <w:bookmarkStart w:id="47" w:name="OLE_LINK28"/>
      <w:r>
        <w:rPr>
          <w:b/>
          <w:bCs/>
        </w:rPr>
        <w:t>1.</w:t>
      </w:r>
      <w:r>
        <w:rPr>
          <w:b/>
          <w:bCs/>
        </w:rPr>
        <w:t>总体目标</w:t>
      </w:r>
      <w:bookmarkEnd w:id="45"/>
      <w:bookmarkEnd w:id="46"/>
    </w:p>
    <w:p w:rsidR="000F6DAD" w:rsidRDefault="00F97CD5">
      <w:pPr>
        <w:ind w:firstLine="640"/>
      </w:pPr>
      <w:bookmarkStart w:id="48" w:name="_Toc11195"/>
      <w:bookmarkStart w:id="49" w:name="_Toc10045"/>
      <w:r>
        <w:rPr>
          <w:rFonts w:hint="eastAsia"/>
        </w:rPr>
        <w:t>深化农村公路管理养护体制改革，对全县农村公路</w:t>
      </w:r>
      <w:r>
        <w:rPr>
          <w:rFonts w:hint="eastAsia"/>
        </w:rPr>
        <w:t>1300.591</w:t>
      </w:r>
      <w:r>
        <w:rPr>
          <w:rFonts w:hint="eastAsia"/>
        </w:rPr>
        <w:t>公里开展技术状况评定工作，计划对</w:t>
      </w:r>
      <w:r>
        <w:rPr>
          <w:rFonts w:hint="eastAsia"/>
        </w:rPr>
        <w:t>182.426</w:t>
      </w:r>
      <w:r>
        <w:rPr>
          <w:rFonts w:hint="eastAsia"/>
        </w:rPr>
        <w:t>公里县道进行日常养护。提高农村公路管养水平，确保实现“有路必养、养必到位”的管养目标，推动“四好农村路”建设高质量发展。</w:t>
      </w:r>
    </w:p>
    <w:p w:rsidR="000F6DAD" w:rsidRDefault="00F97CD5">
      <w:pPr>
        <w:ind w:firstLine="643"/>
        <w:rPr>
          <w:b/>
          <w:bCs/>
        </w:rPr>
      </w:pPr>
      <w:r>
        <w:rPr>
          <w:b/>
          <w:bCs/>
        </w:rPr>
        <w:t>2.</w:t>
      </w:r>
      <w:r>
        <w:rPr>
          <w:b/>
          <w:bCs/>
        </w:rPr>
        <w:t>阶段性目标</w:t>
      </w:r>
      <w:bookmarkEnd w:id="48"/>
      <w:bookmarkEnd w:id="49"/>
    </w:p>
    <w:p w:rsidR="000F6DAD" w:rsidRDefault="00F97CD5">
      <w:pPr>
        <w:ind w:firstLine="640"/>
      </w:pPr>
      <w:bookmarkStart w:id="50" w:name="_Toc857"/>
      <w:bookmarkStart w:id="51" w:name="_Toc25321"/>
      <w:bookmarkStart w:id="52" w:name="_Toc6534"/>
      <w:bookmarkStart w:id="53" w:name="_Toc6156"/>
      <w:bookmarkStart w:id="54" w:name="_Toc31122"/>
      <w:r>
        <w:rPr>
          <w:rFonts w:hint="eastAsia"/>
        </w:rPr>
        <w:t>1.</w:t>
      </w:r>
      <w:r>
        <w:rPr>
          <w:rFonts w:hint="eastAsia"/>
        </w:rPr>
        <w:t>全面排查农村公路状况：组织专业人员对辖区内农村公路</w:t>
      </w:r>
      <w:r>
        <w:rPr>
          <w:rFonts w:hint="eastAsia"/>
        </w:rPr>
        <w:t>1300.591</w:t>
      </w:r>
      <w:r>
        <w:rPr>
          <w:rFonts w:hint="eastAsia"/>
        </w:rPr>
        <w:t>公里进行地毯式排查，详细记录路面破损、路基坍塌、桥梁病害等情况，并建立农村公路养护档案，为后续精准养护提供数据支持。</w:t>
      </w:r>
    </w:p>
    <w:p w:rsidR="000F6DAD" w:rsidRDefault="00F97CD5">
      <w:pPr>
        <w:ind w:firstLine="640"/>
      </w:pPr>
      <w:r>
        <w:rPr>
          <w:rFonts w:hint="eastAsia"/>
        </w:rPr>
        <w:t>2.</w:t>
      </w:r>
      <w:r>
        <w:rPr>
          <w:rFonts w:hint="eastAsia"/>
        </w:rPr>
        <w:t>对</w:t>
      </w:r>
      <w:r>
        <w:rPr>
          <w:rFonts w:hint="eastAsia"/>
        </w:rPr>
        <w:t>182.426</w:t>
      </w:r>
      <w:r>
        <w:rPr>
          <w:rFonts w:hint="eastAsia"/>
        </w:rPr>
        <w:t>公里县道进行日常养护：对排查中发现的严重影响通行安全的路段进行优先修复</w:t>
      </w:r>
      <w:r>
        <w:rPr>
          <w:rFonts w:hint="eastAsia"/>
        </w:rPr>
        <w:t>，</w:t>
      </w:r>
      <w:r>
        <w:rPr>
          <w:rFonts w:hint="eastAsia"/>
        </w:rPr>
        <w:t>包括填补坑洼、修复破损路面、清理塌方等，确保农村公路的基本通行能力，降低交通安全隐患。</w:t>
      </w:r>
    </w:p>
    <w:bookmarkEnd w:id="47"/>
    <w:p w:rsidR="000F6DAD" w:rsidRDefault="00F97CD5">
      <w:pPr>
        <w:pStyle w:val="2"/>
        <w:ind w:firstLine="640"/>
      </w:pPr>
      <w:r>
        <w:t>二、绩效评价工作开展情况</w:t>
      </w:r>
      <w:bookmarkEnd w:id="50"/>
      <w:bookmarkEnd w:id="51"/>
      <w:bookmarkEnd w:id="52"/>
      <w:bookmarkEnd w:id="53"/>
      <w:bookmarkEnd w:id="54"/>
    </w:p>
    <w:p w:rsidR="000F6DAD" w:rsidRDefault="00F97CD5">
      <w:pPr>
        <w:pStyle w:val="3"/>
        <w:ind w:firstLine="643"/>
        <w:rPr>
          <w:rFonts w:eastAsia="楷体"/>
        </w:rPr>
      </w:pPr>
      <w:bookmarkStart w:id="55" w:name="_Toc32557"/>
      <w:bookmarkStart w:id="56" w:name="_Toc30569"/>
      <w:bookmarkStart w:id="57" w:name="_Toc10300"/>
      <w:bookmarkStart w:id="58" w:name="_Toc17516"/>
      <w:r>
        <w:rPr>
          <w:rFonts w:eastAsia="楷体"/>
        </w:rPr>
        <w:t>（一）绩效评价目的、对象和范围</w:t>
      </w:r>
      <w:bookmarkEnd w:id="55"/>
      <w:bookmarkEnd w:id="56"/>
      <w:bookmarkEnd w:id="57"/>
      <w:bookmarkEnd w:id="58"/>
    </w:p>
    <w:p w:rsidR="000F6DAD" w:rsidRDefault="00F97CD5">
      <w:pPr>
        <w:ind w:firstLine="643"/>
        <w:rPr>
          <w:b/>
          <w:bCs/>
        </w:rPr>
      </w:pPr>
      <w:bookmarkStart w:id="59" w:name="_Toc11562"/>
      <w:bookmarkStart w:id="60" w:name="_Toc12440"/>
      <w:bookmarkStart w:id="61" w:name="OLE_LINK29"/>
      <w:r>
        <w:rPr>
          <w:b/>
          <w:bCs/>
        </w:rPr>
        <w:t>1.</w:t>
      </w:r>
      <w:r>
        <w:rPr>
          <w:b/>
          <w:bCs/>
        </w:rPr>
        <w:t>绩效评价目的</w:t>
      </w:r>
      <w:bookmarkEnd w:id="59"/>
      <w:bookmarkEnd w:id="60"/>
    </w:p>
    <w:p w:rsidR="000F6DAD" w:rsidRDefault="00F97CD5">
      <w:pPr>
        <w:ind w:firstLine="640"/>
      </w:pPr>
      <w:r>
        <w:t>本次绩效评价遵循财政部《关于印发</w:t>
      </w:r>
      <w:r>
        <w:t>〈</w:t>
      </w:r>
      <w:r>
        <w:t>项目支出绩效评价管理办法</w:t>
      </w:r>
      <w:r>
        <w:t>〉</w:t>
      </w:r>
      <w:r>
        <w:t>的通知》（财预〔</w:t>
      </w:r>
      <w:r>
        <w:t>2020</w:t>
      </w:r>
      <w:r>
        <w:t>〕</w:t>
      </w:r>
      <w:r>
        <w:t>10</w:t>
      </w:r>
      <w:r>
        <w:t>号）文件精神，对</w:t>
      </w:r>
      <w:r>
        <w:rPr>
          <w:rFonts w:hint="eastAsia"/>
        </w:rPr>
        <w:t>2024</w:t>
      </w:r>
      <w:r>
        <w:rPr>
          <w:rFonts w:hint="eastAsia"/>
        </w:rPr>
        <w:t>年中央对地方成品油税费改革转移支付资金用于农村</w:t>
      </w:r>
      <w:r>
        <w:rPr>
          <w:rFonts w:hint="eastAsia"/>
        </w:rPr>
        <w:lastRenderedPageBreak/>
        <w:t>公路养护专项资金项目</w:t>
      </w:r>
      <w:r>
        <w:t>预算编制合理性、资金使用合</w:t>
      </w:r>
      <w:proofErr w:type="gramStart"/>
      <w:r>
        <w:t>规</w:t>
      </w:r>
      <w:proofErr w:type="gramEnd"/>
      <w: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62" w:name="OLE_LINK47"/>
      <w:r>
        <w:rPr>
          <w:rFonts w:hint="eastAsia"/>
        </w:rPr>
        <w:t>具体绩效评价的目的细分如下：</w:t>
      </w:r>
    </w:p>
    <w:p w:rsidR="000F6DAD" w:rsidRDefault="00F97CD5">
      <w:pPr>
        <w:ind w:firstLine="640"/>
      </w:pPr>
      <w:r>
        <w:rPr>
          <w:rFonts w:hint="eastAsia"/>
        </w:rPr>
        <w:t>一是：通过部门项目支出绩效评价，进一步严格落实《中华人民共和国预算法》以及党中央</w:t>
      </w:r>
      <w:r>
        <w:rPr>
          <w:rFonts w:hint="eastAsia"/>
        </w:rPr>
        <w:t>、国务院关于加强预算绩效管理的指示精神，建立健全“花钱必问效、无效必问责”的绩效预算管理机制</w:t>
      </w:r>
      <w:r>
        <w:rPr>
          <w:rFonts w:hint="eastAsia"/>
        </w:rPr>
        <w:t>，</w:t>
      </w:r>
      <w:r>
        <w:rPr>
          <w:rFonts w:hint="eastAsia"/>
        </w:rPr>
        <w:t>提升财政资金的使用效能。</w:t>
      </w:r>
    </w:p>
    <w:p w:rsidR="000F6DAD" w:rsidRDefault="00F97CD5">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0F6DAD" w:rsidRDefault="00F97CD5">
      <w:pPr>
        <w:ind w:firstLine="640"/>
      </w:pPr>
      <w:r>
        <w:rPr>
          <w:rFonts w:hint="eastAsia"/>
        </w:rPr>
        <w:t>三是：通过部门项目支出绩效评价，进一步纠正对绩效管理理解上的偏差，建立更加全面科学的绩效指标体系，督促在预算编制中，将资金申请、绩效</w:t>
      </w:r>
      <w:r>
        <w:rPr>
          <w:rFonts w:hint="eastAsia"/>
        </w:rPr>
        <w:t>目标和具体指标统筹考虑，形成“花钱问效”的责任契约机制，进一步强化预算绩效管理的严肃性和约束力，推动绩效管理向全方位的绩效预算转变，逐步建立“以绩效目标为导向，以绩效评价为手段，</w:t>
      </w:r>
      <w:r>
        <w:rPr>
          <w:rFonts w:hint="eastAsia"/>
        </w:rPr>
        <w:lastRenderedPageBreak/>
        <w:t>以评价结果应用为保障，全方位、全覆盖、全过程”的绩效预算管理新体制。</w:t>
      </w:r>
    </w:p>
    <w:p w:rsidR="000F6DAD" w:rsidRDefault="00F97CD5">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0F6DAD" w:rsidRDefault="00F97CD5">
      <w:pPr>
        <w:ind w:firstLine="643"/>
        <w:rPr>
          <w:b/>
          <w:bCs/>
        </w:rPr>
      </w:pPr>
      <w:bookmarkStart w:id="63" w:name="_Toc8924"/>
      <w:bookmarkStart w:id="64" w:name="_Toc2159"/>
      <w:bookmarkEnd w:id="62"/>
      <w:r>
        <w:rPr>
          <w:b/>
          <w:bCs/>
        </w:rPr>
        <w:t>2.</w:t>
      </w:r>
      <w:r>
        <w:rPr>
          <w:b/>
          <w:bCs/>
        </w:rPr>
        <w:t>绩效评价对象</w:t>
      </w:r>
      <w:bookmarkEnd w:id="63"/>
      <w:r>
        <w:rPr>
          <w:b/>
          <w:bCs/>
        </w:rPr>
        <w:t>和范围</w:t>
      </w:r>
      <w:bookmarkEnd w:id="64"/>
    </w:p>
    <w:p w:rsidR="000F6DAD" w:rsidRDefault="00F97CD5">
      <w:pPr>
        <w:ind w:firstLine="640"/>
      </w:pPr>
      <w:r>
        <w:t>根据《财政支出绩效评价管</w:t>
      </w:r>
      <w:r>
        <w:t>理办法》（财预〔</w:t>
      </w:r>
      <w:r>
        <w:t>2020</w:t>
      </w:r>
      <w:r>
        <w:t>〕</w:t>
      </w:r>
      <w:r>
        <w:t>10</w:t>
      </w:r>
      <w:r>
        <w:t>号）文件要求，对</w:t>
      </w:r>
      <w:r>
        <w:rPr>
          <w:rFonts w:hint="eastAsia"/>
        </w:rPr>
        <w:t>2024</w:t>
      </w:r>
      <w:r>
        <w:rPr>
          <w:rFonts w:hint="eastAsia"/>
        </w:rPr>
        <w:t>年中央对地方成品油税费改革转移支付资金用于农村公路养护专项资金项目</w:t>
      </w:r>
      <w:r>
        <w:t>开展绩效评价，本次绩效评价范围主要围绕项目决策（包括项目立项、绩效目标、资金投入）、项目过程（包括资金管理、组织实施）、项目产出（包括产出数量、质量、时效、成本）和项目效益等进行评价。</w:t>
      </w:r>
    </w:p>
    <w:p w:rsidR="000F6DAD" w:rsidRDefault="00F97CD5">
      <w:pPr>
        <w:pStyle w:val="3"/>
        <w:ind w:firstLine="643"/>
        <w:rPr>
          <w:rFonts w:ascii="楷体" w:eastAsia="楷体" w:hAnsi="楷体" w:cs="楷体"/>
        </w:rPr>
      </w:pPr>
      <w:bookmarkStart w:id="65" w:name="_Toc19566"/>
      <w:bookmarkStart w:id="66" w:name="_Toc15409"/>
      <w:bookmarkStart w:id="67" w:name="_Toc17158"/>
      <w:bookmarkStart w:id="68" w:name="_Toc13496"/>
      <w:bookmarkEnd w:id="61"/>
      <w:r>
        <w:rPr>
          <w:rFonts w:ascii="楷体" w:eastAsia="楷体" w:hAnsi="楷体" w:cs="楷体" w:hint="eastAsia"/>
        </w:rPr>
        <w:t>（二）绩效评价原则、评价指标体系、评价方法、评价标准</w:t>
      </w:r>
      <w:bookmarkEnd w:id="65"/>
      <w:bookmarkEnd w:id="66"/>
      <w:bookmarkEnd w:id="67"/>
      <w:bookmarkEnd w:id="68"/>
    </w:p>
    <w:p w:rsidR="000F6DAD" w:rsidRDefault="00F97CD5">
      <w:pPr>
        <w:ind w:firstLine="643"/>
        <w:rPr>
          <w:b/>
          <w:bCs/>
        </w:rPr>
      </w:pPr>
      <w:bookmarkStart w:id="69" w:name="_Toc18268"/>
      <w:bookmarkStart w:id="70" w:name="_Toc23487"/>
      <w:bookmarkStart w:id="71" w:name="OLE_LINK30"/>
      <w:r>
        <w:rPr>
          <w:b/>
          <w:bCs/>
        </w:rPr>
        <w:t>1.</w:t>
      </w:r>
      <w:r>
        <w:rPr>
          <w:b/>
          <w:bCs/>
        </w:rPr>
        <w:t>绩效评价原则</w:t>
      </w:r>
      <w:bookmarkEnd w:id="69"/>
      <w:bookmarkEnd w:id="70"/>
    </w:p>
    <w:p w:rsidR="000F6DAD" w:rsidRDefault="00F97CD5">
      <w:pPr>
        <w:ind w:firstLine="640"/>
      </w:pPr>
      <w:bookmarkStart w:id="72" w:name="OLE_LINK48"/>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w:t>
      </w:r>
      <w:r>
        <w:rPr>
          <w:rFonts w:hint="eastAsia"/>
        </w:rPr>
        <w:lastRenderedPageBreak/>
        <w:t>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p>
    <w:bookmarkEnd w:id="72"/>
    <w:p w:rsidR="000F6DAD" w:rsidRDefault="00F97CD5">
      <w:pPr>
        <w:ind w:firstLine="640"/>
      </w:pPr>
      <w:r>
        <w:t>（</w:t>
      </w:r>
      <w:r>
        <w:t>1</w:t>
      </w:r>
      <w:r>
        <w:t>）科学公正。绩效评价应当运用科学合理的方法，按照规范的程序，对项目绩效进行客观、</w:t>
      </w:r>
      <w:r>
        <w:t>公正地反映</w:t>
      </w:r>
      <w:r>
        <w:t>。</w:t>
      </w:r>
    </w:p>
    <w:p w:rsidR="000F6DAD" w:rsidRDefault="00F97CD5">
      <w:pPr>
        <w:ind w:firstLine="640"/>
      </w:pPr>
      <w:r>
        <w:t>（</w:t>
      </w:r>
      <w:r>
        <w:t>2</w:t>
      </w:r>
      <w:r>
        <w:t>）统筹兼顾。单位自评应由项目单位自主实施，即</w:t>
      </w:r>
      <w:r>
        <w:t>“</w:t>
      </w:r>
      <w:r>
        <w:t>谁支出、谁自评</w:t>
      </w:r>
      <w:r>
        <w:t>”</w:t>
      </w:r>
      <w:r>
        <w:t>。</w:t>
      </w:r>
    </w:p>
    <w:p w:rsidR="000F6DAD" w:rsidRDefault="00F97CD5">
      <w:pPr>
        <w:ind w:firstLine="640"/>
      </w:pPr>
      <w:r>
        <w:t>（</w:t>
      </w:r>
      <w:r>
        <w:t>3</w:t>
      </w:r>
      <w:r>
        <w:t>）激励约束。绩效评价结果应与预算安排、政策调整、改进管理实质性挂钩，体现奖优罚劣和激励相容导向，有效要安排、低效要压减、无效要问责。</w:t>
      </w:r>
    </w:p>
    <w:p w:rsidR="000F6DAD" w:rsidRDefault="00F97CD5">
      <w:pPr>
        <w:ind w:firstLine="640"/>
      </w:pPr>
      <w:r>
        <w:t>（</w:t>
      </w:r>
      <w:r>
        <w:t>4</w:t>
      </w:r>
      <w:r>
        <w:t>）公开透明。</w:t>
      </w:r>
      <w:r>
        <w:t>本次项目支出绩效评价结果已依法依规在</w:t>
      </w:r>
      <w:r>
        <w:rPr>
          <w:rFonts w:hint="eastAsia"/>
        </w:rPr>
        <w:t>尉犁县</w:t>
      </w:r>
      <w:r>
        <w:t>人民政府网站上公开，并自觉接受社会监督</w:t>
      </w:r>
      <w:r>
        <w:t>。</w:t>
      </w:r>
    </w:p>
    <w:p w:rsidR="000F6DAD" w:rsidRDefault="00F97CD5">
      <w:pPr>
        <w:snapToGrid w:val="0"/>
        <w:ind w:firstLine="640"/>
      </w:pPr>
      <w:bookmarkStart w:id="73" w:name="_Toc28342"/>
      <w:bookmarkStart w:id="74" w:name="_Toc23112"/>
      <w:r>
        <w:rPr>
          <w:rFonts w:hint="eastAsia"/>
        </w:rPr>
        <w:t>根据以上原则</w:t>
      </w:r>
      <w:r>
        <w:rPr>
          <w:rFonts w:hint="eastAsia"/>
        </w:rPr>
        <w:t>，</w:t>
      </w:r>
      <w:r>
        <w:rPr>
          <w:rFonts w:hint="eastAsia"/>
        </w:rPr>
        <w:t>绩效评价应遵循如下要求</w:t>
      </w:r>
      <w:r>
        <w:rPr>
          <w:rFonts w:hint="eastAsia"/>
        </w:rPr>
        <w:t>:</w:t>
      </w:r>
    </w:p>
    <w:p w:rsidR="000F6DAD" w:rsidRDefault="00F97CD5">
      <w:pPr>
        <w:snapToGrid w:val="0"/>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0F6DAD" w:rsidRDefault="00F97CD5">
      <w:pPr>
        <w:snapToGrid w:val="0"/>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0F6DAD" w:rsidRDefault="00F97CD5">
      <w:pPr>
        <w:snapToGrid w:val="0"/>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w:t>
      </w:r>
      <w:r>
        <w:rPr>
          <w:rFonts w:hint="eastAsia"/>
        </w:rPr>
        <w:lastRenderedPageBreak/>
        <w:t>结合的方式进行评价。</w:t>
      </w:r>
    </w:p>
    <w:p w:rsidR="000F6DAD" w:rsidRDefault="00F97CD5">
      <w:pPr>
        <w:ind w:firstLine="643"/>
        <w:rPr>
          <w:b/>
          <w:bCs/>
        </w:rPr>
      </w:pPr>
      <w:r>
        <w:rPr>
          <w:b/>
          <w:bCs/>
        </w:rPr>
        <w:t>2.</w:t>
      </w:r>
      <w:r>
        <w:rPr>
          <w:b/>
          <w:bCs/>
        </w:rPr>
        <w:t>评价指标体系</w:t>
      </w:r>
      <w:bookmarkEnd w:id="73"/>
      <w:bookmarkEnd w:id="74"/>
    </w:p>
    <w:p w:rsidR="000F6DAD" w:rsidRDefault="00F97CD5">
      <w:pPr>
        <w:ind w:firstLine="640"/>
      </w:pPr>
      <w:r>
        <w:rPr>
          <w:rFonts w:hint="eastAsia"/>
        </w:rPr>
        <w:t>2024</w:t>
      </w:r>
      <w:r>
        <w:rPr>
          <w:rFonts w:hint="eastAsia"/>
        </w:rPr>
        <w:t>年中央对地方成品油税费改革转移支付资金用于农村公路养护专项资金项目</w:t>
      </w:r>
      <w:r>
        <w:t>绩效评价（部门自评）指标体系的设计，是在充分掌握项目状况的基础上，形成了</w:t>
      </w:r>
      <w:r>
        <w:rPr>
          <w:rFonts w:hint="eastAsia"/>
        </w:rPr>
        <w:t>2024</w:t>
      </w:r>
      <w:r>
        <w:rPr>
          <w:rFonts w:hint="eastAsia"/>
        </w:rPr>
        <w:t>年中央对地方成品油税费改革转移支付资金用于农村公路养护专项资金项目</w:t>
      </w:r>
      <w:r>
        <w:t>的项目支出绩效评价指标体系（部门自评）。本项目设计绩效评价指标体系满分</w:t>
      </w:r>
      <w:r>
        <w:t>100</w:t>
      </w:r>
      <w:r>
        <w:t>分。</w:t>
      </w:r>
      <w:r>
        <w:t>四个级别分别是：优、良、中、差，</w:t>
      </w:r>
      <w:r>
        <w:t>90</w:t>
      </w:r>
      <w:r>
        <w:t>（含）</w:t>
      </w:r>
      <w:r>
        <w:t>-100</w:t>
      </w:r>
      <w:r>
        <w:t>分为优、</w:t>
      </w:r>
      <w:r>
        <w:t>80</w:t>
      </w:r>
      <w:r>
        <w:t>（含）</w:t>
      </w:r>
      <w:r>
        <w:t>-90</w:t>
      </w:r>
      <w:r>
        <w:t>分为良、</w:t>
      </w:r>
      <w:r>
        <w:t>60</w:t>
      </w:r>
      <w:r>
        <w:t>（含）</w:t>
      </w:r>
      <w:r>
        <w:t>-80</w:t>
      </w:r>
      <w:r>
        <w:t>分为中、</w:t>
      </w:r>
      <w:r>
        <w:t>60</w:t>
      </w:r>
      <w:r>
        <w:t>分以下为差。</w:t>
      </w:r>
    </w:p>
    <w:p w:rsidR="000F6DAD" w:rsidRDefault="00F97CD5">
      <w:pPr>
        <w:keepNext/>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bookmarkStart w:id="75" w:name="_Toc15680"/>
      <w:bookmarkStart w:id="76" w:name="_Toc10631"/>
      <w:bookmarkStart w:id="77" w:name="OLE_LINK31"/>
      <w:bookmarkEnd w:id="71"/>
      <w:r>
        <w:t>（详见：附表</w:t>
      </w:r>
      <w:r>
        <w:t>2</w:t>
      </w:r>
      <w:r>
        <w:t>）</w:t>
      </w:r>
    </w:p>
    <w:p w:rsidR="000F6DAD" w:rsidRDefault="00F97CD5">
      <w:pPr>
        <w:keepNext/>
        <w:ind w:firstLine="643"/>
        <w:rPr>
          <w:b/>
          <w:bCs/>
        </w:rPr>
      </w:pPr>
      <w:r>
        <w:rPr>
          <w:b/>
          <w:bCs/>
        </w:rPr>
        <w:t>3.</w:t>
      </w:r>
      <w:r>
        <w:rPr>
          <w:b/>
          <w:bCs/>
        </w:rPr>
        <w:t>绩效评价方法</w:t>
      </w:r>
      <w:bookmarkEnd w:id="75"/>
      <w:bookmarkEnd w:id="76"/>
    </w:p>
    <w:p w:rsidR="000F6DAD" w:rsidRDefault="00F97CD5">
      <w:pPr>
        <w:ind w:firstLine="640"/>
      </w:pPr>
      <w:r>
        <w:t>结</w:t>
      </w:r>
      <w:r>
        <w:t>合</w:t>
      </w:r>
      <w:r>
        <w:rPr>
          <w:rFonts w:hint="eastAsia"/>
        </w:rPr>
        <w:t>2024</w:t>
      </w:r>
      <w:r>
        <w:rPr>
          <w:rFonts w:hint="eastAsia"/>
        </w:rPr>
        <w:t>年中央对地方成品油税费改革转移支付资金用于农村公路养护专项资金项目</w:t>
      </w:r>
      <w:r>
        <w:t>的特点，本项目绩效评价将项目实施情况即实际完成的</w:t>
      </w:r>
      <w:r>
        <w:rPr>
          <w:rFonts w:hint="eastAsia"/>
          <w:bCs/>
          <w:szCs w:val="32"/>
        </w:rPr>
        <w:t>农村公路技术状况评定里程</w:t>
      </w:r>
      <w:r>
        <w:rPr>
          <w:bCs/>
          <w:szCs w:val="32"/>
        </w:rPr>
        <w:t>、</w:t>
      </w:r>
      <w:r>
        <w:rPr>
          <w:rFonts w:hint="eastAsia"/>
          <w:bCs/>
          <w:szCs w:val="32"/>
        </w:rPr>
        <w:t>农村公路日常养护里程</w:t>
      </w:r>
      <w:r>
        <w:t>等指标与年初设定的目标值进行比较</w:t>
      </w:r>
      <w:bookmarkStart w:id="78" w:name="OLE_LINK46"/>
      <w:r>
        <w:rPr>
          <w:rFonts w:hint="eastAsia"/>
        </w:rPr>
        <w:t>，并且通过公众评判。</w:t>
      </w:r>
      <w:r>
        <w:t>因此，采取的绩效评价方法是：比较法</w:t>
      </w:r>
      <w:r>
        <w:rPr>
          <w:rFonts w:hint="eastAsia"/>
        </w:rPr>
        <w:t>、</w:t>
      </w:r>
      <w:bookmarkStart w:id="79" w:name="OLE_LINK53"/>
      <w:r>
        <w:rPr>
          <w:rFonts w:hint="eastAsia"/>
        </w:rPr>
        <w:t>公众评判</w:t>
      </w:r>
      <w:bookmarkEnd w:id="79"/>
      <w:r>
        <w:rPr>
          <w:rFonts w:hint="eastAsia"/>
        </w:rPr>
        <w:t>法</w:t>
      </w:r>
      <w:r>
        <w:t>。</w:t>
      </w:r>
    </w:p>
    <w:p w:rsidR="000F6DAD" w:rsidRDefault="00F97CD5">
      <w:pPr>
        <w:ind w:firstLine="643"/>
        <w:rPr>
          <w:b/>
          <w:bCs/>
        </w:rPr>
      </w:pPr>
      <w:bookmarkStart w:id="80" w:name="_Toc3155"/>
      <w:bookmarkStart w:id="81" w:name="_Toc15525"/>
      <w:bookmarkEnd w:id="78"/>
      <w:r>
        <w:rPr>
          <w:b/>
          <w:bCs/>
        </w:rPr>
        <w:t>4.</w:t>
      </w:r>
      <w:r>
        <w:rPr>
          <w:b/>
          <w:bCs/>
        </w:rPr>
        <w:t>绩效评价标准</w:t>
      </w:r>
      <w:bookmarkEnd w:id="80"/>
      <w:bookmarkEnd w:id="81"/>
    </w:p>
    <w:p w:rsidR="000F6DAD" w:rsidRDefault="00F97CD5">
      <w:pPr>
        <w:ind w:firstLine="640"/>
      </w:pPr>
      <w:r>
        <w:t>绩效评价标准通常包括计划标准、行业标准、历史标准</w:t>
      </w:r>
      <w:r>
        <w:lastRenderedPageBreak/>
        <w:t>等，用于对绩效指标完成情况进行比较。</w:t>
      </w:r>
    </w:p>
    <w:p w:rsidR="000F6DAD" w:rsidRDefault="00F97CD5">
      <w:pPr>
        <w:pStyle w:val="a3"/>
        <w:ind w:firstLine="640"/>
        <w:jc w:val="both"/>
        <w:rPr>
          <w:bCs/>
          <w:szCs w:val="32"/>
        </w:rPr>
      </w:pPr>
      <w:r>
        <w:t>结</w:t>
      </w:r>
      <w:r>
        <w:rPr>
          <w:bCs/>
          <w:szCs w:val="32"/>
        </w:rPr>
        <w:t>合</w:t>
      </w:r>
      <w:bookmarkStart w:id="82" w:name="OLE_LINK10"/>
      <w:r>
        <w:rPr>
          <w:rFonts w:hint="eastAsia"/>
          <w:bCs/>
          <w:szCs w:val="32"/>
        </w:rPr>
        <w:t>2024</w:t>
      </w:r>
      <w:r>
        <w:rPr>
          <w:rFonts w:hint="eastAsia"/>
          <w:bCs/>
          <w:szCs w:val="32"/>
        </w:rPr>
        <w:t>年中央对地方成品油税费改革转移支付资金用于农村公路养护专项资金项目</w:t>
      </w:r>
      <w:bookmarkEnd w:id="82"/>
      <w:r>
        <w:rPr>
          <w:bCs/>
          <w:szCs w:val="32"/>
        </w:rPr>
        <w:t>的特点，</w:t>
      </w:r>
      <w:bookmarkStart w:id="83" w:name="_Toc15381"/>
      <w:bookmarkStart w:id="84" w:name="_Toc30219"/>
      <w:bookmarkStart w:id="85" w:name="_Toc26411"/>
      <w:bookmarkStart w:id="86" w:name="_Toc17851"/>
      <w:r>
        <w:rPr>
          <w:bCs/>
          <w:szCs w:val="32"/>
        </w:rPr>
        <w:t>本项目绩效评价以预先制定的</w:t>
      </w:r>
      <w:bookmarkStart w:id="87" w:name="OLE_LINK42"/>
      <w:r>
        <w:rPr>
          <w:rFonts w:hint="eastAsia"/>
          <w:bCs/>
          <w:szCs w:val="32"/>
        </w:rPr>
        <w:t>农村公路技术状况评定里程</w:t>
      </w:r>
      <w:r>
        <w:rPr>
          <w:rFonts w:hint="eastAsia"/>
          <w:bCs/>
          <w:szCs w:val="32"/>
        </w:rPr>
        <w:t>1300.59</w:t>
      </w:r>
      <w:r>
        <w:rPr>
          <w:rFonts w:hint="eastAsia"/>
          <w:bCs/>
          <w:szCs w:val="32"/>
        </w:rPr>
        <w:t>公里</w:t>
      </w:r>
      <w:r>
        <w:rPr>
          <w:bCs/>
          <w:szCs w:val="32"/>
        </w:rPr>
        <w:t>、</w:t>
      </w:r>
      <w:r>
        <w:rPr>
          <w:rFonts w:hint="eastAsia"/>
          <w:bCs/>
          <w:szCs w:val="32"/>
        </w:rPr>
        <w:t>农村公路日常养护里程</w:t>
      </w:r>
      <w:bookmarkEnd w:id="87"/>
      <w:r>
        <w:rPr>
          <w:rFonts w:hint="eastAsia"/>
          <w:bCs/>
          <w:szCs w:val="32"/>
        </w:rPr>
        <w:t>182.426</w:t>
      </w:r>
      <w:r>
        <w:rPr>
          <w:rFonts w:hint="eastAsia"/>
          <w:bCs/>
          <w:szCs w:val="32"/>
        </w:rPr>
        <w:t>公里</w:t>
      </w:r>
      <w:r>
        <w:rPr>
          <w:bCs/>
          <w:szCs w:val="32"/>
        </w:rPr>
        <w:t>为计划数作为评价标准；同时参照有关</w:t>
      </w:r>
      <w:bookmarkStart w:id="88" w:name="OLE_LINK25"/>
      <w:r>
        <w:rPr>
          <w:rFonts w:hint="eastAsia"/>
          <w:bCs/>
          <w:szCs w:val="32"/>
        </w:rPr>
        <w:t>农村公路日常养护</w:t>
      </w:r>
      <w:bookmarkEnd w:id="88"/>
      <w:r>
        <w:rPr>
          <w:bCs/>
          <w:szCs w:val="32"/>
        </w:rPr>
        <w:t>等同类项目建设的行业标准来制定评价标准。因此，采取的绩效评价标准为：计划标准、行业标准。</w:t>
      </w:r>
    </w:p>
    <w:bookmarkEnd w:id="77"/>
    <w:p w:rsidR="000F6DAD" w:rsidRDefault="00F97CD5">
      <w:pPr>
        <w:pStyle w:val="3"/>
        <w:ind w:firstLine="643"/>
        <w:rPr>
          <w:rFonts w:ascii="楷体" w:eastAsia="楷体" w:hAnsi="楷体" w:cs="楷体"/>
        </w:rPr>
      </w:pPr>
      <w:r>
        <w:rPr>
          <w:rFonts w:ascii="楷体" w:eastAsia="楷体" w:hAnsi="楷体" w:cs="楷体" w:hint="eastAsia"/>
        </w:rPr>
        <w:t>（三）绩效评价工作过程</w:t>
      </w:r>
      <w:bookmarkEnd w:id="83"/>
      <w:bookmarkEnd w:id="84"/>
      <w:bookmarkEnd w:id="85"/>
      <w:bookmarkEnd w:id="86"/>
    </w:p>
    <w:p w:rsidR="000F6DAD" w:rsidRDefault="00F97CD5">
      <w:pPr>
        <w:ind w:firstLine="643"/>
        <w:rPr>
          <w:b/>
          <w:bCs/>
        </w:rPr>
      </w:pPr>
      <w:bookmarkStart w:id="89" w:name="_Toc27442"/>
      <w:bookmarkStart w:id="90" w:name="_Toc22987"/>
      <w:bookmarkStart w:id="91" w:name="_Toc17595"/>
      <w:bookmarkStart w:id="92" w:name="_Toc31054"/>
      <w:bookmarkStart w:id="93" w:name="_Toc30911"/>
      <w:bookmarkStart w:id="94" w:name="OLE_LINK32"/>
      <w:r>
        <w:rPr>
          <w:b/>
          <w:bCs/>
        </w:rPr>
        <w:t>1.</w:t>
      </w:r>
      <w:r>
        <w:rPr>
          <w:b/>
          <w:bCs/>
        </w:rPr>
        <w:t>前期准备</w:t>
      </w:r>
      <w:bookmarkEnd w:id="89"/>
      <w:bookmarkEnd w:id="90"/>
      <w:bookmarkEnd w:id="91"/>
      <w:bookmarkEnd w:id="92"/>
      <w:bookmarkEnd w:id="93"/>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0F6DAD" w:rsidRDefault="00F97CD5">
      <w:pPr>
        <w:spacing w:line="600" w:lineRule="exact"/>
        <w:ind w:firstLine="640"/>
      </w:pPr>
      <w:bookmarkStart w:id="95" w:name="_Toc2579"/>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bCs/>
          <w:szCs w:val="32"/>
        </w:rPr>
        <w:t>，</w:t>
      </w:r>
      <w:r>
        <w:rPr>
          <w:rFonts w:hint="eastAsia"/>
          <w:bCs/>
          <w:szCs w:val="32"/>
        </w:rPr>
        <w:t>尉犁县交通运输局</w:t>
      </w:r>
      <w:r>
        <w:rPr>
          <w:bCs/>
          <w:szCs w:val="32"/>
        </w:rPr>
        <w:t>成立了绩效评价小组，对项目实施的全过程，收集、整理项目实施的相关资料，了解项目实施情况和资金支付情况。从项目内容出发，结合项目预期目标，制定绩效评价的指标体系。</w:t>
      </w:r>
      <w:r>
        <w:t>绩效评价工作小组人员名单及分工如下：</w:t>
      </w:r>
    </w:p>
    <w:p w:rsidR="000F6DAD" w:rsidRDefault="00F97CD5">
      <w:pPr>
        <w:ind w:firstLine="640"/>
        <w:rPr>
          <w:bCs/>
          <w:szCs w:val="32"/>
        </w:rPr>
      </w:pPr>
      <w:bookmarkStart w:id="96" w:name="OLE_LINK14"/>
      <w:r>
        <w:rPr>
          <w:bCs/>
          <w:szCs w:val="32"/>
        </w:rPr>
        <w:t>评价小组组长：</w:t>
      </w:r>
      <w:r>
        <w:rPr>
          <w:rFonts w:hint="eastAsia"/>
          <w:bCs/>
          <w:szCs w:val="32"/>
        </w:rPr>
        <w:t>陈亚飞，</w:t>
      </w:r>
      <w:r>
        <w:rPr>
          <w:bCs/>
          <w:szCs w:val="32"/>
        </w:rPr>
        <w:t>主要负责协调相关科室、部门对项目整体运行情况进行验收、评估。</w:t>
      </w:r>
    </w:p>
    <w:p w:rsidR="000F6DAD" w:rsidRDefault="00F97CD5">
      <w:pPr>
        <w:ind w:firstLine="640"/>
        <w:rPr>
          <w:bCs/>
          <w:szCs w:val="32"/>
        </w:rPr>
      </w:pPr>
      <w:r>
        <w:rPr>
          <w:bCs/>
          <w:szCs w:val="32"/>
        </w:rPr>
        <w:t>评价小组组员：</w:t>
      </w:r>
      <w:proofErr w:type="gramStart"/>
      <w:r>
        <w:rPr>
          <w:rFonts w:hint="eastAsia"/>
          <w:bCs/>
          <w:szCs w:val="32"/>
        </w:rPr>
        <w:t>艾尼帕</w:t>
      </w:r>
      <w:proofErr w:type="gramEnd"/>
      <w:r>
        <w:rPr>
          <w:rFonts w:hint="eastAsia"/>
          <w:bCs/>
          <w:szCs w:val="32"/>
        </w:rPr>
        <w:t>木·司马义</w:t>
      </w:r>
      <w:r>
        <w:rPr>
          <w:bCs/>
          <w:szCs w:val="32"/>
        </w:rPr>
        <w:t>，主要负责制</w:t>
      </w:r>
      <w:proofErr w:type="gramStart"/>
      <w:r>
        <w:rPr>
          <w:bCs/>
          <w:szCs w:val="32"/>
        </w:rPr>
        <w:t>定评价</w:t>
      </w:r>
      <w:proofErr w:type="gramEnd"/>
      <w:r>
        <w:rPr>
          <w:bCs/>
          <w:szCs w:val="32"/>
        </w:rPr>
        <w:t>指标体系及评价标准。</w:t>
      </w:r>
    </w:p>
    <w:p w:rsidR="000F6DAD" w:rsidRDefault="00F97CD5">
      <w:pPr>
        <w:ind w:firstLine="640"/>
        <w:rPr>
          <w:bCs/>
          <w:szCs w:val="32"/>
        </w:rPr>
      </w:pPr>
      <w:r>
        <w:rPr>
          <w:bCs/>
          <w:szCs w:val="32"/>
        </w:rPr>
        <w:t>评价小组组员：</w:t>
      </w:r>
      <w:r>
        <w:rPr>
          <w:rFonts w:hint="eastAsia"/>
          <w:bCs/>
          <w:szCs w:val="32"/>
        </w:rPr>
        <w:t>克来木·马那甫</w:t>
      </w:r>
      <w:r>
        <w:rPr>
          <w:bCs/>
          <w:szCs w:val="32"/>
        </w:rPr>
        <w:t>，主要负责</w:t>
      </w:r>
      <w:r>
        <w:rPr>
          <w:bCs/>
          <w:szCs w:val="32"/>
        </w:rPr>
        <w:t>2024</w:t>
      </w:r>
      <w:r>
        <w:rPr>
          <w:bCs/>
          <w:szCs w:val="32"/>
        </w:rPr>
        <w:t>年中央对地方成品油税费改革转移支付资金用于农村公路养护</w:t>
      </w:r>
      <w:r>
        <w:rPr>
          <w:bCs/>
          <w:szCs w:val="32"/>
        </w:rPr>
        <w:lastRenderedPageBreak/>
        <w:t>专项资金</w:t>
      </w:r>
      <w:proofErr w:type="gramStart"/>
      <w:r>
        <w:rPr>
          <w:bCs/>
          <w:szCs w:val="32"/>
        </w:rPr>
        <w:t>项目项目</w:t>
      </w:r>
      <w:proofErr w:type="gramEnd"/>
      <w:r>
        <w:rPr>
          <w:bCs/>
          <w:szCs w:val="32"/>
        </w:rPr>
        <w:t>实施、监督、评估工作。</w:t>
      </w:r>
    </w:p>
    <w:bookmarkEnd w:id="96"/>
    <w:p w:rsidR="000F6DAD" w:rsidRDefault="00F97CD5">
      <w:pPr>
        <w:ind w:firstLine="643"/>
        <w:rPr>
          <w:b/>
          <w:bCs/>
        </w:rPr>
      </w:pPr>
      <w:r>
        <w:rPr>
          <w:b/>
          <w:bCs/>
        </w:rPr>
        <w:t>2.</w:t>
      </w:r>
      <w:r>
        <w:rPr>
          <w:b/>
          <w:bCs/>
        </w:rPr>
        <w:t>组织实施</w:t>
      </w:r>
      <w:bookmarkStart w:id="97" w:name="OLE_LINK49"/>
      <w:bookmarkEnd w:id="95"/>
      <w:r>
        <w:rPr>
          <w:b/>
          <w:bCs/>
        </w:rPr>
        <w:t>（</w:t>
      </w:r>
      <w:r>
        <w:rPr>
          <w:b/>
          <w:bCs/>
        </w:rPr>
        <w:t>2025</w:t>
      </w:r>
      <w:r>
        <w:rPr>
          <w:b/>
          <w:bCs/>
        </w:rPr>
        <w:t>年</w:t>
      </w:r>
      <w:r>
        <w:rPr>
          <w:b/>
          <w:bCs/>
        </w:rPr>
        <w:t>3</w:t>
      </w:r>
      <w:r>
        <w:rPr>
          <w:b/>
          <w:bCs/>
        </w:rPr>
        <w:t>月</w:t>
      </w:r>
      <w:r>
        <w:rPr>
          <w:b/>
          <w:bCs/>
        </w:rPr>
        <w:t>1</w:t>
      </w:r>
      <w:r>
        <w:rPr>
          <w:b/>
          <w:bCs/>
        </w:rPr>
        <w:t>日</w:t>
      </w:r>
      <w:r>
        <w:rPr>
          <w:b/>
          <w:bCs/>
        </w:rPr>
        <w:t>-2025</w:t>
      </w:r>
      <w:r>
        <w:rPr>
          <w:b/>
          <w:bCs/>
        </w:rPr>
        <w:t>年</w:t>
      </w:r>
      <w:r>
        <w:rPr>
          <w:b/>
          <w:bCs/>
        </w:rPr>
        <w:t>3</w:t>
      </w:r>
      <w:r>
        <w:rPr>
          <w:b/>
          <w:bCs/>
        </w:rPr>
        <w:t>月</w:t>
      </w:r>
      <w:r>
        <w:rPr>
          <w:b/>
          <w:bCs/>
        </w:rPr>
        <w:t>10</w:t>
      </w:r>
      <w:r>
        <w:rPr>
          <w:b/>
          <w:bCs/>
        </w:rPr>
        <w:t>日）</w:t>
      </w:r>
    </w:p>
    <w:bookmarkEnd w:id="97"/>
    <w:p w:rsidR="000F6DAD" w:rsidRDefault="00F97CD5">
      <w:pPr>
        <w:ind w:firstLine="640"/>
      </w:pPr>
      <w:r>
        <w:t>评价的具体实施根据评价指标及评价工作要求，对具体评价内容和不同环节，采用以下取得的资料与评价方式。</w:t>
      </w:r>
    </w:p>
    <w:p w:rsidR="000F6DAD" w:rsidRDefault="00F97CD5">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0F6DAD" w:rsidRDefault="00F97CD5">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w:t>
      </w:r>
      <w:r>
        <w:rPr>
          <w:spacing w:val="-6"/>
        </w:rPr>
        <w:t>采用相关方法进行分类、整理和分析，根据评价标准进行打分。</w:t>
      </w:r>
    </w:p>
    <w:p w:rsidR="000F6DAD" w:rsidRDefault="00F97CD5">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0F6DAD" w:rsidRDefault="00F97CD5">
      <w:pPr>
        <w:ind w:firstLine="640"/>
      </w:pPr>
      <w:r>
        <w:t>（</w:t>
      </w:r>
      <w:r>
        <w:rPr>
          <w:rFonts w:hint="eastAsia"/>
        </w:rPr>
        <w:t>4</w:t>
      </w:r>
      <w:r>
        <w:t>）项目评价小组人员与专业技术人员相</w:t>
      </w:r>
      <w:r>
        <w:t>结合评价。对绩效评价工作专业性较强的内容，在评价工作过程中，采用以专业技术人员与有关科（股）室、其他部门专业人员进行评价相结合的方式，分别对相关专业指标进行现场问询、</w:t>
      </w:r>
      <w:r>
        <w:lastRenderedPageBreak/>
        <w:t>检验和考查。</w:t>
      </w:r>
    </w:p>
    <w:p w:rsidR="000F6DAD" w:rsidRDefault="00F97CD5">
      <w:pPr>
        <w:ind w:firstLine="643"/>
        <w:rPr>
          <w:b/>
          <w:bCs/>
        </w:rPr>
      </w:pPr>
      <w:bookmarkStart w:id="98" w:name="_Toc19781"/>
      <w:r>
        <w:rPr>
          <w:b/>
          <w:bCs/>
        </w:rPr>
        <w:t>3.</w:t>
      </w:r>
      <w:r>
        <w:rPr>
          <w:b/>
          <w:bCs/>
        </w:rPr>
        <w:t>数据集中分析</w:t>
      </w:r>
      <w:bookmarkEnd w:id="98"/>
      <w:r>
        <w:rPr>
          <w:b/>
          <w:bCs/>
        </w:rPr>
        <w:t>（</w:t>
      </w:r>
      <w:r>
        <w:rPr>
          <w:b/>
          <w:bCs/>
        </w:rPr>
        <w:t>2025</w:t>
      </w:r>
      <w:r>
        <w:rPr>
          <w:b/>
          <w:bCs/>
        </w:rPr>
        <w:t>年</w:t>
      </w:r>
      <w:r>
        <w:rPr>
          <w:b/>
          <w:bCs/>
        </w:rPr>
        <w:t>3</w:t>
      </w:r>
      <w:r>
        <w:rPr>
          <w:b/>
          <w:bCs/>
        </w:rPr>
        <w:t>月</w:t>
      </w:r>
      <w:r>
        <w:rPr>
          <w:b/>
          <w:bCs/>
        </w:rPr>
        <w:t>11</w:t>
      </w:r>
      <w:r>
        <w:rPr>
          <w:b/>
          <w:bCs/>
        </w:rPr>
        <w:t>日</w:t>
      </w:r>
      <w:r>
        <w:rPr>
          <w:b/>
          <w:bCs/>
        </w:rPr>
        <w:t>-2025</w:t>
      </w:r>
      <w:r>
        <w:rPr>
          <w:b/>
          <w:bCs/>
        </w:rPr>
        <w:t>年</w:t>
      </w:r>
      <w:r>
        <w:rPr>
          <w:b/>
          <w:bCs/>
        </w:rPr>
        <w:t>3</w:t>
      </w:r>
      <w:r>
        <w:rPr>
          <w:b/>
          <w:bCs/>
        </w:rPr>
        <w:t>月</w:t>
      </w:r>
      <w:r>
        <w:rPr>
          <w:b/>
          <w:bCs/>
        </w:rPr>
        <w:t>20</w:t>
      </w:r>
      <w:r>
        <w:rPr>
          <w:b/>
          <w:bCs/>
        </w:rPr>
        <w:t>日）</w:t>
      </w:r>
    </w:p>
    <w:p w:rsidR="000F6DAD" w:rsidRDefault="00F97CD5">
      <w:pPr>
        <w:ind w:firstLine="640"/>
      </w:pPr>
      <w:r>
        <w:t>对相关资料，包括资金文件、项目实施方案、相关管理办法，问卷调查等进行集中分析。在查阅大量项目资料的基础上，根据考察、考评的结果进行整理、分析。</w:t>
      </w:r>
    </w:p>
    <w:p w:rsidR="000F6DAD" w:rsidRDefault="00F97CD5">
      <w:pPr>
        <w:ind w:firstLine="643"/>
        <w:rPr>
          <w:b/>
          <w:bCs/>
        </w:rPr>
      </w:pPr>
      <w:bookmarkStart w:id="99" w:name="_Toc5021"/>
      <w:r>
        <w:rPr>
          <w:b/>
          <w:bCs/>
        </w:rPr>
        <w:t>4.</w:t>
      </w:r>
      <w:r>
        <w:rPr>
          <w:b/>
          <w:bCs/>
        </w:rPr>
        <w:t>分析总结</w:t>
      </w:r>
      <w:bookmarkEnd w:id="99"/>
      <w:r>
        <w:rPr>
          <w:b/>
          <w:bCs/>
        </w:rPr>
        <w:t>（</w:t>
      </w:r>
      <w:r>
        <w:rPr>
          <w:b/>
          <w:bCs/>
        </w:rPr>
        <w:t>2025</w:t>
      </w:r>
      <w:r>
        <w:rPr>
          <w:b/>
          <w:bCs/>
        </w:rPr>
        <w:t>年</w:t>
      </w:r>
      <w:r>
        <w:rPr>
          <w:b/>
          <w:bCs/>
        </w:rPr>
        <w:t>3</w:t>
      </w:r>
      <w:r>
        <w:rPr>
          <w:b/>
          <w:bCs/>
        </w:rPr>
        <w:t>月</w:t>
      </w:r>
      <w:r>
        <w:rPr>
          <w:b/>
          <w:bCs/>
        </w:rPr>
        <w:t>21</w:t>
      </w:r>
      <w:r>
        <w:rPr>
          <w:b/>
          <w:bCs/>
        </w:rPr>
        <w:t>日</w:t>
      </w:r>
      <w:r>
        <w:rPr>
          <w:b/>
          <w:bCs/>
        </w:rPr>
        <w:t>-2025</w:t>
      </w:r>
      <w:r>
        <w:rPr>
          <w:b/>
          <w:bCs/>
        </w:rPr>
        <w:t>年</w:t>
      </w:r>
      <w:r>
        <w:rPr>
          <w:rFonts w:hint="eastAsia"/>
          <w:b/>
          <w:bCs/>
        </w:rPr>
        <w:t>4</w:t>
      </w:r>
      <w:r>
        <w:rPr>
          <w:b/>
          <w:bCs/>
        </w:rPr>
        <w:t>月</w:t>
      </w:r>
      <w:r>
        <w:rPr>
          <w:b/>
          <w:bCs/>
        </w:rPr>
        <w:t>3</w:t>
      </w:r>
      <w:r>
        <w:rPr>
          <w:b/>
          <w:bCs/>
        </w:rPr>
        <w:t>日）</w:t>
      </w:r>
    </w:p>
    <w:p w:rsidR="000F6DAD" w:rsidRDefault="00F97CD5">
      <w:pPr>
        <w:ind w:firstLine="640"/>
      </w:pPr>
      <w:r>
        <w:t>（</w:t>
      </w:r>
      <w:r>
        <w:t>1</w:t>
      </w:r>
      <w:r>
        <w:t>）根据部门自评的意见及考察、考评的结果进行整理、分析，撰写绩效评价报告初稿；</w:t>
      </w:r>
    </w:p>
    <w:p w:rsidR="000F6DAD" w:rsidRDefault="00F97CD5">
      <w:pPr>
        <w:ind w:firstLine="640"/>
      </w:pPr>
      <w:r>
        <w:t>（</w:t>
      </w:r>
      <w:r>
        <w:t>2</w:t>
      </w:r>
      <w:r>
        <w:t>）就部门自评报告与部门具体有关股室征求意见，形成最终的绩效评价报告。</w:t>
      </w:r>
    </w:p>
    <w:p w:rsidR="000F6DAD" w:rsidRDefault="00F97CD5">
      <w:pPr>
        <w:ind w:firstLine="643"/>
        <w:rPr>
          <w:b/>
          <w:bCs/>
        </w:rPr>
      </w:pPr>
      <w:r>
        <w:rPr>
          <w:rFonts w:hint="eastAsia"/>
          <w:b/>
          <w:bCs/>
        </w:rPr>
        <w:t>5</w:t>
      </w:r>
      <w:r>
        <w:rPr>
          <w:rFonts w:hint="eastAsia"/>
          <w:b/>
          <w:bCs/>
        </w:rPr>
        <w:t>.</w:t>
      </w:r>
      <w:r>
        <w:rPr>
          <w:rFonts w:hint="eastAsia"/>
          <w:b/>
          <w:bCs/>
        </w:rPr>
        <w:t>问题整改</w:t>
      </w:r>
    </w:p>
    <w:p w:rsidR="000F6DAD" w:rsidRDefault="00F97CD5">
      <w:pPr>
        <w:ind w:firstLine="640"/>
      </w:pPr>
      <w:r>
        <w:rPr>
          <w:rFonts w:hint="eastAsia"/>
        </w:rPr>
        <w:t>经审核通过后，</w:t>
      </w:r>
      <w:proofErr w:type="gramStart"/>
      <w:r>
        <w:rPr>
          <w:rFonts w:hint="eastAsia"/>
        </w:rPr>
        <w:t>由评价</w:t>
      </w:r>
      <w:proofErr w:type="gramEnd"/>
      <w:r>
        <w:rPr>
          <w:rFonts w:hint="eastAsia"/>
        </w:rPr>
        <w:t>小组将报告推送至项目实施人员，由项目实施人员根据报告评价结论、存在的问题以及改进建议落实问题整改，并形成整改报告，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0F6DAD" w:rsidRDefault="00F97CD5">
      <w:pPr>
        <w:ind w:firstLine="643"/>
        <w:rPr>
          <w:b/>
          <w:bCs/>
        </w:rPr>
      </w:pPr>
      <w:r>
        <w:rPr>
          <w:rFonts w:hint="eastAsia"/>
          <w:b/>
          <w:bCs/>
        </w:rPr>
        <w:t>6</w:t>
      </w:r>
      <w:r>
        <w:rPr>
          <w:rFonts w:hint="eastAsia"/>
          <w:b/>
          <w:bCs/>
        </w:rPr>
        <w:t>.</w:t>
      </w:r>
      <w:r>
        <w:rPr>
          <w:rFonts w:hint="eastAsia"/>
          <w:b/>
          <w:bCs/>
        </w:rPr>
        <w:t>档案整理</w:t>
      </w:r>
    </w:p>
    <w:p w:rsidR="000F6DAD" w:rsidRDefault="00F97CD5">
      <w:pPr>
        <w:ind w:firstLine="640"/>
      </w:pPr>
      <w:r>
        <w:t>建立和落实档案管理制度，将项目相关资料存档，包括但不限于：评价项目基本情况和相关文件、评价实施方案、项目支付资料等相关档案。</w:t>
      </w:r>
    </w:p>
    <w:p w:rsidR="000F6DAD" w:rsidRDefault="00F97CD5">
      <w:pPr>
        <w:pStyle w:val="2"/>
        <w:ind w:firstLine="640"/>
        <w:rPr>
          <w:rFonts w:ascii="黑体" w:hAnsi="黑体" w:cs="黑体"/>
        </w:rPr>
      </w:pPr>
      <w:bookmarkStart w:id="100" w:name="_Toc31058"/>
      <w:bookmarkStart w:id="101" w:name="_Toc1808"/>
      <w:bookmarkStart w:id="102" w:name="_Toc21627"/>
      <w:bookmarkStart w:id="103" w:name="_Toc32641"/>
      <w:bookmarkStart w:id="104" w:name="_Toc25201"/>
      <w:bookmarkEnd w:id="94"/>
      <w:r>
        <w:rPr>
          <w:rFonts w:ascii="黑体" w:hAnsi="黑体" w:cs="黑体" w:hint="eastAsia"/>
        </w:rPr>
        <w:t>三、综</w:t>
      </w:r>
      <w:r>
        <w:rPr>
          <w:rFonts w:ascii="黑体" w:hAnsi="黑体" w:cs="黑体" w:hint="eastAsia"/>
        </w:rPr>
        <w:t>合评价情况及评价结论</w:t>
      </w:r>
      <w:bookmarkEnd w:id="100"/>
      <w:bookmarkEnd w:id="101"/>
      <w:bookmarkEnd w:id="102"/>
      <w:bookmarkEnd w:id="103"/>
      <w:bookmarkEnd w:id="104"/>
    </w:p>
    <w:p w:rsidR="000F6DAD" w:rsidRDefault="00F97CD5">
      <w:pPr>
        <w:ind w:firstLine="640"/>
      </w:pPr>
      <w:bookmarkStart w:id="105" w:name="OLE_LINK33"/>
      <w:r>
        <w:t>本项目的绩效评价结果为</w:t>
      </w:r>
      <w:r>
        <w:t>“</w:t>
      </w:r>
      <w:r>
        <w:t>优</w:t>
      </w:r>
      <w:r>
        <w:t>”</w:t>
      </w:r>
      <w:r>
        <w:t>，综合评分</w:t>
      </w:r>
      <w:r>
        <w:t>100</w:t>
      </w:r>
      <w:r>
        <w:t>分。其中项目决策</w:t>
      </w:r>
      <w:r>
        <w:t>22</w:t>
      </w:r>
      <w:r>
        <w:t>分，项目过程</w:t>
      </w:r>
      <w:r>
        <w:t>1</w:t>
      </w:r>
      <w:r>
        <w:t>8</w:t>
      </w:r>
      <w:r>
        <w:t>分，项目产出管理得分</w:t>
      </w:r>
      <w:r>
        <w:t>40</w:t>
      </w:r>
      <w:r>
        <w:t>分，</w:t>
      </w:r>
      <w:r>
        <w:lastRenderedPageBreak/>
        <w:t>项目效益</w:t>
      </w:r>
      <w:r>
        <w:t>20</w:t>
      </w:r>
      <w:r>
        <w:t>分</w:t>
      </w:r>
      <w:r>
        <w:t>。各部分权重和绩效汇总分值如下表所示：</w:t>
      </w:r>
    </w:p>
    <w:tbl>
      <w:tblPr>
        <w:tblW w:w="8289" w:type="dxa"/>
        <w:jc w:val="center"/>
        <w:tblLayout w:type="fixed"/>
        <w:tblCellMar>
          <w:left w:w="0" w:type="dxa"/>
          <w:right w:w="0" w:type="dxa"/>
        </w:tblCellMar>
        <w:tblLook w:val="04A0" w:firstRow="1" w:lastRow="0" w:firstColumn="1" w:lastColumn="0" w:noHBand="0" w:noVBand="1"/>
      </w:tblPr>
      <w:tblGrid>
        <w:gridCol w:w="1094"/>
        <w:gridCol w:w="1541"/>
        <w:gridCol w:w="1520"/>
        <w:gridCol w:w="1536"/>
        <w:gridCol w:w="1504"/>
        <w:gridCol w:w="1094"/>
      </w:tblGrid>
      <w:tr w:rsidR="000F6DAD">
        <w:trPr>
          <w:trHeight w:val="375"/>
          <w:jc w:val="center"/>
        </w:trPr>
        <w:tc>
          <w:tcPr>
            <w:tcW w:w="8289" w:type="dxa"/>
            <w:gridSpan w:val="6"/>
            <w:tcBorders>
              <w:top w:val="nil"/>
              <w:left w:val="nil"/>
              <w:bottom w:val="nil"/>
              <w:right w:val="nil"/>
            </w:tcBorders>
            <w:noWrap/>
            <w:tcMar>
              <w:top w:w="15" w:type="dxa"/>
              <w:left w:w="15" w:type="dxa"/>
              <w:right w:w="15" w:type="dxa"/>
            </w:tcMar>
            <w:vAlign w:val="center"/>
          </w:tcPr>
          <w:p w:rsidR="000F6DAD" w:rsidRDefault="00F97CD5">
            <w:pPr>
              <w:pStyle w:val="a7"/>
              <w:rPr>
                <w:rFonts w:hint="default"/>
              </w:rPr>
            </w:pPr>
            <w:bookmarkStart w:id="106" w:name="OLE_LINK11"/>
            <w:bookmarkStart w:id="107" w:name="_Toc17356"/>
            <w:bookmarkStart w:id="108" w:name="_Toc30727"/>
            <w:r>
              <w:rPr>
                <w:bCs/>
                <w:kern w:val="2"/>
                <w:szCs w:val="32"/>
              </w:rPr>
              <w:t>2024</w:t>
            </w:r>
            <w:r>
              <w:rPr>
                <w:bCs/>
                <w:kern w:val="2"/>
                <w:szCs w:val="32"/>
              </w:rPr>
              <w:t>年中央对地方成品油税费改革转移支付资金用于农村公路养护专项资金项目</w:t>
            </w:r>
            <w:bookmarkStart w:id="109" w:name="_Toc3703"/>
            <w:bookmarkStart w:id="110" w:name="_Toc16086"/>
            <w:bookmarkEnd w:id="106"/>
            <w:r>
              <w:rPr>
                <w:rFonts w:hint="default"/>
              </w:rPr>
              <w:t>绩效评价</w:t>
            </w:r>
            <w:r>
              <w:rPr>
                <w:rFonts w:hint="default"/>
                <w:lang w:val="zh-TW" w:eastAsia="zh-TW"/>
              </w:rPr>
              <w:t>得分表</w:t>
            </w:r>
            <w:bookmarkEnd w:id="109"/>
            <w:bookmarkEnd w:id="110"/>
          </w:p>
        </w:tc>
      </w:tr>
      <w:tr w:rsidR="000F6DAD">
        <w:trPr>
          <w:trHeight w:val="375"/>
          <w:jc w:val="center"/>
        </w:trPr>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指标类别</w:t>
            </w:r>
          </w:p>
        </w:tc>
        <w:tc>
          <w:tcPr>
            <w:tcW w:w="154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1.</w:t>
            </w:r>
            <w:r>
              <w:rPr>
                <w:rFonts w:hint="default"/>
              </w:rPr>
              <w:t>项目决策</w:t>
            </w:r>
          </w:p>
        </w:tc>
        <w:tc>
          <w:tcPr>
            <w:tcW w:w="15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2.</w:t>
            </w:r>
            <w:r>
              <w:rPr>
                <w:rFonts w:hint="default"/>
              </w:rPr>
              <w:t>过程管理</w:t>
            </w:r>
          </w:p>
        </w:tc>
        <w:tc>
          <w:tcPr>
            <w:tcW w:w="153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3.</w:t>
            </w:r>
            <w:r>
              <w:rPr>
                <w:rFonts w:hint="default"/>
              </w:rPr>
              <w:t>项目产出</w:t>
            </w:r>
          </w:p>
        </w:tc>
        <w:tc>
          <w:tcPr>
            <w:tcW w:w="1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4.</w:t>
            </w:r>
            <w:r>
              <w:rPr>
                <w:rFonts w:hint="default"/>
              </w:rPr>
              <w:t>项目效益</w:t>
            </w:r>
          </w:p>
        </w:tc>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合计</w:t>
            </w:r>
          </w:p>
        </w:tc>
      </w:tr>
      <w:tr w:rsidR="000F6DAD">
        <w:trPr>
          <w:trHeight w:val="441"/>
          <w:jc w:val="center"/>
        </w:trPr>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权重</w:t>
            </w:r>
          </w:p>
        </w:tc>
        <w:tc>
          <w:tcPr>
            <w:tcW w:w="154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22%</w:t>
            </w:r>
          </w:p>
        </w:tc>
        <w:tc>
          <w:tcPr>
            <w:tcW w:w="15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18%</w:t>
            </w:r>
          </w:p>
        </w:tc>
        <w:tc>
          <w:tcPr>
            <w:tcW w:w="153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40%</w:t>
            </w:r>
          </w:p>
        </w:tc>
        <w:tc>
          <w:tcPr>
            <w:tcW w:w="1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20%</w:t>
            </w:r>
          </w:p>
        </w:tc>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100</w:t>
            </w:r>
            <w:r>
              <w:t>%</w:t>
            </w:r>
          </w:p>
        </w:tc>
      </w:tr>
      <w:tr w:rsidR="000F6DAD">
        <w:trPr>
          <w:trHeight w:val="375"/>
          <w:jc w:val="center"/>
        </w:trPr>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分值</w:t>
            </w:r>
          </w:p>
        </w:tc>
        <w:tc>
          <w:tcPr>
            <w:tcW w:w="154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22</w:t>
            </w:r>
          </w:p>
        </w:tc>
        <w:tc>
          <w:tcPr>
            <w:tcW w:w="15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18</w:t>
            </w:r>
          </w:p>
        </w:tc>
        <w:tc>
          <w:tcPr>
            <w:tcW w:w="153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40</w:t>
            </w:r>
          </w:p>
        </w:tc>
        <w:tc>
          <w:tcPr>
            <w:tcW w:w="1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20</w:t>
            </w:r>
          </w:p>
        </w:tc>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100</w:t>
            </w:r>
          </w:p>
        </w:tc>
      </w:tr>
      <w:tr w:rsidR="000F6DAD">
        <w:trPr>
          <w:trHeight w:val="375"/>
          <w:jc w:val="center"/>
        </w:trPr>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得分</w:t>
            </w:r>
          </w:p>
        </w:tc>
        <w:tc>
          <w:tcPr>
            <w:tcW w:w="154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22</w:t>
            </w:r>
          </w:p>
        </w:tc>
        <w:tc>
          <w:tcPr>
            <w:tcW w:w="15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18</w:t>
            </w:r>
          </w:p>
        </w:tc>
        <w:tc>
          <w:tcPr>
            <w:tcW w:w="153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40</w:t>
            </w:r>
          </w:p>
        </w:tc>
        <w:tc>
          <w:tcPr>
            <w:tcW w:w="1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20</w:t>
            </w:r>
          </w:p>
        </w:tc>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0F6DAD" w:rsidRDefault="00F97CD5">
            <w:pPr>
              <w:pStyle w:val="a8"/>
              <w:rPr>
                <w:rFonts w:hint="default"/>
              </w:rPr>
            </w:pPr>
            <w:r>
              <w:rPr>
                <w:rFonts w:hint="default"/>
              </w:rPr>
              <w:t>100</w:t>
            </w:r>
          </w:p>
        </w:tc>
      </w:tr>
    </w:tbl>
    <w:p w:rsidR="000F6DAD" w:rsidRDefault="00F97CD5">
      <w:pPr>
        <w:pStyle w:val="2"/>
        <w:ind w:firstLine="640"/>
        <w:rPr>
          <w:rFonts w:ascii="黑体" w:hAnsi="黑体" w:cs="黑体"/>
        </w:rPr>
      </w:pPr>
      <w:bookmarkStart w:id="111" w:name="_Toc13630"/>
      <w:bookmarkStart w:id="112" w:name="_Toc29439"/>
      <w:bookmarkStart w:id="113" w:name="_Toc4904"/>
      <w:bookmarkEnd w:id="105"/>
      <w:r>
        <w:rPr>
          <w:rFonts w:ascii="黑体" w:hAnsi="黑体" w:cs="黑体" w:hint="eastAsia"/>
        </w:rPr>
        <w:t>四、绩效评价指标分析</w:t>
      </w:r>
      <w:bookmarkEnd w:id="107"/>
      <w:bookmarkEnd w:id="108"/>
      <w:bookmarkEnd w:id="111"/>
      <w:bookmarkEnd w:id="112"/>
      <w:bookmarkEnd w:id="113"/>
    </w:p>
    <w:p w:rsidR="000F6DAD" w:rsidRDefault="00F97CD5">
      <w:pPr>
        <w:pStyle w:val="3"/>
        <w:ind w:firstLine="643"/>
        <w:rPr>
          <w:rFonts w:ascii="楷体" w:eastAsia="楷体" w:hAnsi="楷体" w:cs="楷体"/>
        </w:rPr>
      </w:pPr>
      <w:bookmarkStart w:id="114" w:name="_Toc22323"/>
      <w:bookmarkStart w:id="115" w:name="_Toc1968"/>
      <w:bookmarkStart w:id="116" w:name="_Toc28477"/>
      <w:bookmarkStart w:id="117" w:name="_Toc2901"/>
      <w:r>
        <w:rPr>
          <w:rFonts w:ascii="楷体" w:eastAsia="楷体" w:hAnsi="楷体" w:cs="楷体" w:hint="eastAsia"/>
        </w:rPr>
        <w:t>（一）项目决策情况</w:t>
      </w:r>
      <w:bookmarkEnd w:id="114"/>
      <w:bookmarkEnd w:id="115"/>
      <w:bookmarkEnd w:id="116"/>
      <w:bookmarkEnd w:id="117"/>
    </w:p>
    <w:p w:rsidR="000F6DAD" w:rsidRDefault="00F97CD5">
      <w:pPr>
        <w:ind w:firstLine="643"/>
        <w:rPr>
          <w:b/>
          <w:bCs/>
        </w:rPr>
      </w:pPr>
      <w:bookmarkStart w:id="118" w:name="_Toc22511"/>
      <w:bookmarkStart w:id="119" w:name="_Toc510"/>
      <w:bookmarkStart w:id="120" w:name="OLE_LINK55"/>
      <w:bookmarkStart w:id="121" w:name="OLE_LINK34"/>
      <w:r>
        <w:rPr>
          <w:b/>
          <w:bCs/>
        </w:rPr>
        <w:t>1.</w:t>
      </w:r>
      <w:r>
        <w:rPr>
          <w:b/>
          <w:bCs/>
        </w:rPr>
        <w:t>立项依据充分性</w:t>
      </w:r>
      <w:bookmarkEnd w:id="118"/>
      <w:bookmarkEnd w:id="119"/>
    </w:p>
    <w:p w:rsidR="000F6DAD" w:rsidRDefault="00F97CD5">
      <w:pPr>
        <w:ind w:firstLine="640"/>
      </w:pPr>
      <w:bookmarkStart w:id="122" w:name="OLE_LINK60"/>
      <w:r>
        <w:rPr>
          <w:rFonts w:hint="eastAsia"/>
        </w:rPr>
        <w:t>本</w:t>
      </w:r>
      <w:r>
        <w:rPr>
          <w:rFonts w:hint="eastAsia"/>
          <w:lang w:eastAsia="zh-Hans"/>
        </w:rPr>
        <w:t>项目</w:t>
      </w:r>
      <w:r>
        <w:rPr>
          <w:rFonts w:hint="eastAsia"/>
        </w:rPr>
        <w:t>实施</w:t>
      </w:r>
      <w:r>
        <w:rPr>
          <w:rFonts w:hint="eastAsia"/>
          <w:lang w:eastAsia="zh-Hans"/>
        </w:rPr>
        <w:t>符合</w:t>
      </w:r>
      <w:r>
        <w:rPr>
          <w:rFonts w:hint="eastAsia"/>
        </w:rPr>
        <w:t>国务院办公厅</w:t>
      </w:r>
      <w:r w:rsidR="009508B9">
        <w:rPr>
          <w:rFonts w:hint="eastAsia"/>
          <w:lang w:eastAsia="zh-Hans"/>
        </w:rPr>
        <w:t>印</w:t>
      </w:r>
      <w:bookmarkStart w:id="123" w:name="_GoBack"/>
      <w:bookmarkEnd w:id="123"/>
      <w:r>
        <w:rPr>
          <w:rFonts w:hint="eastAsia"/>
          <w:lang w:eastAsia="zh-Hans"/>
        </w:rPr>
        <w:t>发的《农村公路管理养护体制改革方案》（国办发〔</w:t>
      </w:r>
      <w:r>
        <w:rPr>
          <w:rFonts w:hint="eastAsia"/>
          <w:lang w:eastAsia="zh-Hans"/>
        </w:rPr>
        <w:t>2005</w:t>
      </w:r>
      <w:r>
        <w:rPr>
          <w:rFonts w:hint="eastAsia"/>
          <w:lang w:eastAsia="zh-Hans"/>
        </w:rPr>
        <w:t>〕</w:t>
      </w:r>
      <w:r>
        <w:rPr>
          <w:rFonts w:hint="eastAsia"/>
          <w:lang w:eastAsia="zh-Hans"/>
        </w:rPr>
        <w:t>49</w:t>
      </w:r>
      <w:r>
        <w:rPr>
          <w:rFonts w:hint="eastAsia"/>
          <w:lang w:eastAsia="zh-Hans"/>
        </w:rPr>
        <w:t>号）</w:t>
      </w:r>
      <w:r>
        <w:rPr>
          <w:rFonts w:hint="eastAsia"/>
          <w:lang w:eastAsia="zh-Hans" w:bidi="ar"/>
        </w:rPr>
        <w:t>中</w:t>
      </w:r>
      <w:r>
        <w:rPr>
          <w:rFonts w:hint="eastAsia"/>
          <w:lang w:bidi="ar"/>
        </w:rPr>
        <w:t>，</w:t>
      </w:r>
      <w:r>
        <w:rPr>
          <w:rFonts w:hint="eastAsia"/>
          <w:lang w:bidi="ar"/>
        </w:rPr>
        <w:t>明确提出要建立稳定的农村公路养护资金渠道，其中公路养路费需确保一定比例用于农村公路养护，这为中央对地方成品油税费改革转移支付资金用于农村公路养护提供了政策源头指引</w:t>
      </w:r>
      <w:r>
        <w:rPr>
          <w:rFonts w:hint="eastAsia"/>
          <w:lang w:bidi="ar"/>
        </w:rPr>
        <w:t>，</w:t>
      </w:r>
      <w:r>
        <w:rPr>
          <w:rFonts w:hint="eastAsia"/>
        </w:rPr>
        <w:t>本项目</w:t>
      </w:r>
      <w:r>
        <w:rPr>
          <w:rFonts w:hint="eastAsia"/>
        </w:rPr>
        <w:t>实施</w:t>
      </w:r>
      <w:r>
        <w:rPr>
          <w:rFonts w:hint="eastAsia"/>
          <w:lang w:eastAsia="zh-Hans"/>
        </w:rPr>
        <w:t>符合《新疆维吾尔自治区农村公路条例》规定</w:t>
      </w:r>
      <w:r>
        <w:rPr>
          <w:rFonts w:hint="eastAsia"/>
        </w:rPr>
        <w:t>，</w:t>
      </w:r>
      <w:r>
        <w:rPr>
          <w:rFonts w:hint="eastAsia"/>
        </w:rPr>
        <w:t>农村公路建设、养护、管理和运营应当建立以财政投入为主的资金保障机制，自治区、州、市（地）人民政府（行政公署）应加大对农村公路建设与养护资金的投入</w:t>
      </w:r>
      <w:bookmarkEnd w:id="122"/>
      <w:r>
        <w:rPr>
          <w:rFonts w:hint="eastAsia"/>
        </w:rPr>
        <w:t>，</w:t>
      </w:r>
      <w:r>
        <w:rPr>
          <w:rFonts w:hint="eastAsia"/>
          <w:lang w:eastAsia="zh-Hans"/>
        </w:rPr>
        <w:t>符合行业发展规</w:t>
      </w:r>
      <w:r>
        <w:rPr>
          <w:rFonts w:hint="eastAsia"/>
          <w:lang w:eastAsia="zh-Hans"/>
        </w:rPr>
        <w:t>划和政策要求</w:t>
      </w:r>
      <w:r>
        <w:rPr>
          <w:rFonts w:hint="eastAsia"/>
        </w:rPr>
        <w:t>。</w:t>
      </w:r>
      <w:r>
        <w:rPr>
          <w:rFonts w:hint="eastAsia"/>
        </w:rPr>
        <w:t>因此，</w:t>
      </w:r>
      <w:r>
        <w:t>项目</w:t>
      </w:r>
      <w:r>
        <w:t>实施</w:t>
      </w:r>
      <w:r>
        <w:t>符合国家法律法规、国民经济发展规划和相关政策；符合行业发展规划和政策要求；与部门职责范围相符，属于部门履职所需；属于公共财政支持范围，符合中央、地方事权支出责任划分原则；</w:t>
      </w:r>
      <w:r>
        <w:t>不存在</w:t>
      </w:r>
      <w:r>
        <w:t>与相</w:t>
      </w:r>
      <w:r>
        <w:lastRenderedPageBreak/>
        <w:t>关部门同类项目或部门内部相关项目重复</w:t>
      </w:r>
      <w:r>
        <w:t>的现象</w:t>
      </w:r>
      <w:r>
        <w:t>。</w:t>
      </w:r>
      <w:r>
        <w:t>项目</w:t>
      </w:r>
      <w:r>
        <w:rPr>
          <w:rFonts w:hint="eastAsia"/>
        </w:rPr>
        <w:t>立项</w:t>
      </w:r>
      <w:r>
        <w:t>依据充分</w:t>
      </w:r>
      <w:r>
        <w:rPr>
          <w:rFonts w:hint="eastAsia"/>
        </w:rPr>
        <w:t>。</w:t>
      </w:r>
    </w:p>
    <w:bookmarkEnd w:id="120"/>
    <w:p w:rsidR="000F6DAD" w:rsidRDefault="00F97CD5">
      <w:pPr>
        <w:ind w:firstLine="640"/>
      </w:pPr>
      <w:r>
        <w:t>本项满分</w:t>
      </w:r>
      <w:r>
        <w:t>3</w:t>
      </w:r>
      <w:r>
        <w:t>分，评估得分</w:t>
      </w:r>
      <w:r>
        <w:t>3</w:t>
      </w:r>
      <w:r>
        <w:t>分。</w:t>
      </w:r>
    </w:p>
    <w:p w:rsidR="000F6DAD" w:rsidRDefault="00F97CD5">
      <w:pPr>
        <w:ind w:firstLine="643"/>
        <w:rPr>
          <w:b/>
          <w:bCs/>
        </w:rPr>
      </w:pPr>
      <w:bookmarkStart w:id="124" w:name="_Toc27895"/>
      <w:bookmarkStart w:id="125" w:name="_Toc283"/>
      <w:r>
        <w:rPr>
          <w:b/>
          <w:bCs/>
        </w:rPr>
        <w:t>2.</w:t>
      </w:r>
      <w:r>
        <w:rPr>
          <w:b/>
          <w:bCs/>
        </w:rPr>
        <w:t>立项程序规范性</w:t>
      </w:r>
      <w:bookmarkEnd w:id="124"/>
      <w:bookmarkEnd w:id="125"/>
    </w:p>
    <w:p w:rsidR="000F6DAD" w:rsidRDefault="00F97CD5">
      <w:pPr>
        <w:ind w:firstLine="640"/>
      </w:pPr>
      <w:r>
        <w:rPr>
          <w:rFonts w:hint="eastAsia"/>
          <w:lang w:eastAsia="zh-Hans"/>
        </w:rPr>
        <w:t>本项目</w:t>
      </w:r>
      <w:r>
        <w:rPr>
          <w:rFonts w:hint="eastAsia"/>
        </w:rPr>
        <w:t>实施</w:t>
      </w:r>
      <w:r>
        <w:rPr>
          <w:rFonts w:hint="eastAsia"/>
        </w:rPr>
        <w:t>单位尉犁县交通运输局</w:t>
      </w:r>
      <w:r>
        <w:rPr>
          <w:lang w:eastAsia="zh-Hans"/>
        </w:rPr>
        <w:t>编制了</w:t>
      </w:r>
      <w:r>
        <w:rPr>
          <w:rFonts w:hint="eastAsia"/>
        </w:rPr>
        <w:t>《</w:t>
      </w:r>
      <w:r>
        <w:rPr>
          <w:lang w:eastAsia="zh-Hans"/>
        </w:rPr>
        <w:t>2024</w:t>
      </w:r>
      <w:r>
        <w:rPr>
          <w:lang w:eastAsia="zh-Hans"/>
        </w:rPr>
        <w:t>年中央对地方成品油税费改革转移支付资金用于农村公路养护专项资金项目</w:t>
      </w:r>
      <w:r>
        <w:rPr>
          <w:rFonts w:hint="eastAsia"/>
        </w:rPr>
        <w:t>实施方案》，</w:t>
      </w:r>
      <w:bookmarkStart w:id="126" w:name="OLE_LINK61"/>
      <w:r>
        <w:rPr>
          <w:rFonts w:hint="eastAsia"/>
        </w:rPr>
        <w:t>得到尉犁县发展和改革委员会</w:t>
      </w:r>
      <w:r>
        <w:t>〔</w:t>
      </w:r>
      <w:r>
        <w:rPr>
          <w:rFonts w:hint="eastAsia"/>
        </w:rPr>
        <w:t>2024</w:t>
      </w:r>
      <w:r>
        <w:t>〕</w:t>
      </w:r>
      <w:r>
        <w:rPr>
          <w:rFonts w:hint="eastAsia"/>
        </w:rPr>
        <w:t>26</w:t>
      </w:r>
      <w:r>
        <w:t>号</w:t>
      </w:r>
      <w:r>
        <w:rPr>
          <w:rFonts w:hint="eastAsia"/>
        </w:rPr>
        <w:t>《关于尉犁县中央对地方成品油税费改革转移支付资金用于农村公路养护专项资金项目建议书的批复》</w:t>
      </w:r>
      <w:r>
        <w:rPr>
          <w:rFonts w:hint="eastAsia"/>
        </w:rPr>
        <w:t>，批复时间</w:t>
      </w:r>
      <w:r>
        <w:rPr>
          <w:rFonts w:hint="eastAsia"/>
        </w:rPr>
        <w:t>2024</w:t>
      </w:r>
      <w:r>
        <w:rPr>
          <w:rFonts w:hint="eastAsia"/>
        </w:rPr>
        <w:t>年</w:t>
      </w:r>
      <w:r>
        <w:rPr>
          <w:rFonts w:hint="eastAsia"/>
        </w:rPr>
        <w:t>1</w:t>
      </w:r>
      <w:r>
        <w:rPr>
          <w:rFonts w:hint="eastAsia"/>
        </w:rPr>
        <w:t>月</w:t>
      </w:r>
      <w:r>
        <w:rPr>
          <w:rFonts w:hint="eastAsia"/>
        </w:rPr>
        <w:t>29</w:t>
      </w:r>
      <w:r>
        <w:rPr>
          <w:rFonts w:hint="eastAsia"/>
        </w:rPr>
        <w:t>日。立项</w:t>
      </w:r>
      <w:r>
        <w:t>程序规范。</w:t>
      </w:r>
    </w:p>
    <w:bookmarkEnd w:id="126"/>
    <w:p w:rsidR="000F6DAD" w:rsidRDefault="00F97CD5">
      <w:pPr>
        <w:ind w:firstLine="640"/>
      </w:pPr>
      <w:r>
        <w:t>本项满分</w:t>
      </w:r>
      <w:r>
        <w:t>3</w:t>
      </w:r>
      <w:r>
        <w:t>分，评估得分</w:t>
      </w:r>
      <w:r>
        <w:t>3</w:t>
      </w:r>
      <w:r>
        <w:t>分。</w:t>
      </w:r>
    </w:p>
    <w:p w:rsidR="000F6DAD" w:rsidRDefault="00F97CD5">
      <w:pPr>
        <w:ind w:firstLine="643"/>
        <w:rPr>
          <w:b/>
          <w:bCs/>
        </w:rPr>
      </w:pPr>
      <w:bookmarkStart w:id="127" w:name="_Toc13368"/>
      <w:bookmarkStart w:id="128" w:name="_Toc20471"/>
      <w:r>
        <w:rPr>
          <w:b/>
          <w:bCs/>
        </w:rPr>
        <w:t>3.</w:t>
      </w:r>
      <w:r>
        <w:rPr>
          <w:b/>
          <w:bCs/>
        </w:rPr>
        <w:t>绩效目标合理性</w:t>
      </w:r>
      <w:bookmarkEnd w:id="127"/>
      <w:bookmarkEnd w:id="128"/>
    </w:p>
    <w:p w:rsidR="000F6DAD" w:rsidRDefault="00F97CD5">
      <w:pPr>
        <w:ind w:firstLine="640"/>
      </w:pPr>
      <w:r>
        <w:rPr>
          <w:rFonts w:hint="eastAsia"/>
        </w:rPr>
        <w:t>尉犁县交通运输局</w:t>
      </w:r>
      <w:bookmarkStart w:id="129" w:name="OLE_LINK13"/>
      <w:r>
        <w:rPr>
          <w:rFonts w:hint="eastAsia"/>
        </w:rPr>
        <w:t>2024</w:t>
      </w:r>
      <w:r>
        <w:rPr>
          <w:rFonts w:hint="eastAsia"/>
        </w:rPr>
        <w:t>年中央对地方成品油税费改革转移支付资金用于农村公路养护专项资金项目</w:t>
      </w:r>
      <w:bookmarkEnd w:id="129"/>
      <w:r>
        <w:t>设立了项目绩效目标，绩效目标指标设置合理，项目绩效目标与实际工作内容相关性较强；项目预期产出效益和效果符合正常的业绩水平；绩效目标与预算确定的项目投资额相匹配。</w:t>
      </w:r>
    </w:p>
    <w:p w:rsidR="000F6DAD" w:rsidRDefault="00F97CD5">
      <w:pPr>
        <w:ind w:firstLine="640"/>
      </w:pPr>
      <w:r>
        <w:t>本项满分</w:t>
      </w:r>
      <w:r>
        <w:t>4</w:t>
      </w:r>
      <w:r>
        <w:t>分，评估得分</w:t>
      </w:r>
      <w:r>
        <w:t>4</w:t>
      </w:r>
      <w:r>
        <w:t>分。</w:t>
      </w:r>
    </w:p>
    <w:p w:rsidR="000F6DAD" w:rsidRDefault="00F97CD5">
      <w:pPr>
        <w:ind w:firstLine="643"/>
        <w:rPr>
          <w:b/>
          <w:bCs/>
        </w:rPr>
      </w:pPr>
      <w:bookmarkStart w:id="130" w:name="_Toc15543"/>
      <w:bookmarkStart w:id="131" w:name="_Toc21087"/>
      <w:r>
        <w:rPr>
          <w:b/>
          <w:bCs/>
        </w:rPr>
        <w:t>4.</w:t>
      </w:r>
      <w:r>
        <w:rPr>
          <w:b/>
          <w:bCs/>
        </w:rPr>
        <w:t>绩效指标明确性</w:t>
      </w:r>
      <w:bookmarkEnd w:id="130"/>
      <w:bookmarkEnd w:id="131"/>
    </w:p>
    <w:p w:rsidR="000F6DAD" w:rsidRDefault="00F97CD5">
      <w:pPr>
        <w:ind w:firstLine="640"/>
      </w:pPr>
      <w:r>
        <w:rPr>
          <w:rFonts w:hint="eastAsia"/>
        </w:rPr>
        <w:t>2024</w:t>
      </w:r>
      <w:r>
        <w:rPr>
          <w:rFonts w:hint="eastAsia"/>
        </w:rPr>
        <w:t>年中央对地方成品油税费改革转移支付资金用于农村公路养护专项资金项目</w:t>
      </w:r>
      <w:r>
        <w:t>，设置一级指标</w:t>
      </w:r>
      <w:r>
        <w:rPr>
          <w:rFonts w:hint="eastAsia"/>
        </w:rPr>
        <w:t>4</w:t>
      </w:r>
      <w:r>
        <w:t>条，二级指标</w:t>
      </w:r>
      <w:r>
        <w:rPr>
          <w:rFonts w:hint="eastAsia"/>
        </w:rPr>
        <w:t>6</w:t>
      </w:r>
      <w:r>
        <w:t>条，三级指标</w:t>
      </w:r>
      <w:r>
        <w:rPr>
          <w:rFonts w:hint="eastAsia"/>
        </w:rPr>
        <w:t>8</w:t>
      </w:r>
      <w:r>
        <w:t>条，其中量化指标</w:t>
      </w:r>
      <w:r>
        <w:rPr>
          <w:rFonts w:hint="eastAsia"/>
        </w:rPr>
        <w:t>7</w:t>
      </w:r>
      <w:r>
        <w:t>条，绩效目标指标设</w:t>
      </w:r>
      <w:r>
        <w:lastRenderedPageBreak/>
        <w:t>定清晰、可衡量性较强，与项目目标任务计划数对应性较强。</w:t>
      </w:r>
    </w:p>
    <w:p w:rsidR="000F6DAD" w:rsidRDefault="00F97CD5">
      <w:pPr>
        <w:ind w:firstLine="640"/>
      </w:pPr>
      <w:r>
        <w:t>本项满分</w:t>
      </w:r>
      <w:r>
        <w:t>4</w:t>
      </w:r>
      <w:r>
        <w:t>分，评估得分</w:t>
      </w:r>
      <w:r>
        <w:t>4</w:t>
      </w:r>
      <w:r>
        <w:t>分。</w:t>
      </w:r>
    </w:p>
    <w:p w:rsidR="000F6DAD" w:rsidRDefault="00F97CD5">
      <w:pPr>
        <w:ind w:firstLine="643"/>
        <w:rPr>
          <w:b/>
          <w:bCs/>
        </w:rPr>
      </w:pPr>
      <w:bookmarkStart w:id="132" w:name="_Toc25638"/>
      <w:bookmarkStart w:id="133" w:name="_Toc21476"/>
      <w:r>
        <w:rPr>
          <w:b/>
          <w:bCs/>
        </w:rPr>
        <w:t>5.</w:t>
      </w:r>
      <w:r>
        <w:rPr>
          <w:b/>
          <w:bCs/>
        </w:rPr>
        <w:t>预算编制科学性</w:t>
      </w:r>
      <w:bookmarkEnd w:id="132"/>
      <w:bookmarkEnd w:id="133"/>
    </w:p>
    <w:p w:rsidR="000F6DAD" w:rsidRDefault="00F97CD5">
      <w:pPr>
        <w:ind w:firstLine="640"/>
      </w:pPr>
      <w:r>
        <w:t>本项目</w:t>
      </w:r>
      <w:r>
        <w:rPr>
          <w:rFonts w:hint="eastAsia"/>
        </w:rPr>
        <w:t>全年</w:t>
      </w:r>
      <w:r>
        <w:t>预算资金</w:t>
      </w:r>
      <w:r>
        <w:rPr>
          <w:rFonts w:hint="eastAsia"/>
        </w:rPr>
        <w:t>96.99</w:t>
      </w:r>
      <w:r>
        <w:t>万元，来源为</w:t>
      </w:r>
      <w:r>
        <w:rPr>
          <w:rFonts w:hint="eastAsia"/>
        </w:rPr>
        <w:t>中央资金</w:t>
      </w:r>
      <w:r>
        <w:rPr>
          <w:rFonts w:hint="eastAsia"/>
        </w:rPr>
        <w:t>96.99</w:t>
      </w:r>
      <w:r>
        <w:t>万元，预算编制较为科学，预算内容与项目建设内容相匹配，预算额度测算依据充分，预算确定的资金量与工程量相匹配。</w:t>
      </w:r>
    </w:p>
    <w:p w:rsidR="000F6DAD" w:rsidRDefault="00F97CD5">
      <w:pPr>
        <w:ind w:firstLine="640"/>
      </w:pPr>
      <w:r>
        <w:t>本项满分</w:t>
      </w:r>
      <w:r>
        <w:t>4</w:t>
      </w:r>
      <w:r>
        <w:t>分，评估得分</w:t>
      </w:r>
      <w:r>
        <w:t>4</w:t>
      </w:r>
      <w:r>
        <w:t>分。</w:t>
      </w:r>
    </w:p>
    <w:p w:rsidR="000F6DAD" w:rsidRDefault="00F97CD5">
      <w:pPr>
        <w:ind w:firstLine="643"/>
        <w:rPr>
          <w:b/>
          <w:bCs/>
        </w:rPr>
      </w:pPr>
      <w:bookmarkStart w:id="134" w:name="_Toc30661"/>
      <w:bookmarkStart w:id="135" w:name="_Toc21577"/>
      <w:r>
        <w:rPr>
          <w:b/>
          <w:bCs/>
        </w:rPr>
        <w:t>6.</w:t>
      </w:r>
      <w:r>
        <w:rPr>
          <w:b/>
          <w:bCs/>
        </w:rPr>
        <w:t>资金分配合理性</w:t>
      </w:r>
      <w:bookmarkEnd w:id="134"/>
      <w:bookmarkEnd w:id="135"/>
    </w:p>
    <w:p w:rsidR="000F6DAD" w:rsidRDefault="00F97CD5">
      <w:pPr>
        <w:ind w:firstLine="640"/>
      </w:pPr>
      <w:r>
        <w:t>本项目预算资金分配依据充分；资金分配额度合理，与项目单位实际相适应。</w:t>
      </w:r>
    </w:p>
    <w:p w:rsidR="000F6DAD" w:rsidRDefault="00F97CD5">
      <w:pPr>
        <w:ind w:firstLine="640"/>
      </w:pPr>
      <w:r>
        <w:t>本项满分</w:t>
      </w:r>
      <w:r>
        <w:t>4</w:t>
      </w:r>
      <w:r>
        <w:t>分，评估得分</w:t>
      </w:r>
      <w:r>
        <w:t>4</w:t>
      </w:r>
      <w:r>
        <w:t>分。</w:t>
      </w:r>
    </w:p>
    <w:p w:rsidR="000F6DAD" w:rsidRDefault="00F97CD5">
      <w:pPr>
        <w:pStyle w:val="3"/>
        <w:ind w:firstLine="643"/>
        <w:rPr>
          <w:rFonts w:ascii="黑体" w:eastAsia="黑体" w:hAnsi="黑体" w:cs="黑体"/>
        </w:rPr>
      </w:pPr>
      <w:bookmarkStart w:id="136" w:name="_Toc9897"/>
      <w:bookmarkStart w:id="137" w:name="_Toc13442"/>
      <w:bookmarkStart w:id="138" w:name="_Toc27855"/>
      <w:bookmarkStart w:id="139" w:name="_Toc30992"/>
      <w:bookmarkEnd w:id="121"/>
      <w:r>
        <w:rPr>
          <w:rFonts w:ascii="黑体" w:eastAsia="黑体" w:hAnsi="黑体" w:cs="黑体" w:hint="eastAsia"/>
        </w:rPr>
        <w:t>（二）项目过程情况</w:t>
      </w:r>
      <w:bookmarkEnd w:id="136"/>
      <w:bookmarkEnd w:id="137"/>
      <w:bookmarkEnd w:id="138"/>
      <w:bookmarkEnd w:id="139"/>
    </w:p>
    <w:p w:rsidR="000F6DAD" w:rsidRDefault="00F97CD5">
      <w:pPr>
        <w:ind w:firstLine="643"/>
        <w:rPr>
          <w:b/>
          <w:bCs/>
        </w:rPr>
      </w:pPr>
      <w:bookmarkStart w:id="140" w:name="_Toc19854"/>
      <w:bookmarkStart w:id="141" w:name="_Toc29417"/>
      <w:bookmarkStart w:id="142" w:name="OLE_LINK35"/>
      <w:r>
        <w:rPr>
          <w:b/>
          <w:bCs/>
        </w:rPr>
        <w:t>1.</w:t>
      </w:r>
      <w:r>
        <w:rPr>
          <w:b/>
          <w:bCs/>
        </w:rPr>
        <w:t>资金到位率</w:t>
      </w:r>
      <w:bookmarkEnd w:id="140"/>
      <w:bookmarkEnd w:id="141"/>
    </w:p>
    <w:p w:rsidR="000F6DAD" w:rsidRDefault="00F97CD5">
      <w:pPr>
        <w:ind w:firstLine="640"/>
      </w:pPr>
      <w:r>
        <w:rPr>
          <w:rFonts w:hint="eastAsia"/>
        </w:rPr>
        <w:t>本项目</w:t>
      </w:r>
      <w:r>
        <w:rPr>
          <w:szCs w:val="32"/>
        </w:rPr>
        <w:t>年初预算数</w:t>
      </w:r>
      <w:r>
        <w:rPr>
          <w:rFonts w:hint="eastAsia"/>
          <w:szCs w:val="32"/>
        </w:rPr>
        <w:t>107</w:t>
      </w:r>
      <w:r>
        <w:t>万元</w:t>
      </w:r>
      <w:r>
        <w:t>，全年预算</w:t>
      </w:r>
      <w:r>
        <w:t>资金</w:t>
      </w:r>
      <w:r>
        <w:t>96.99</w:t>
      </w:r>
      <w:r>
        <w:rPr>
          <w:rFonts w:hint="eastAsia"/>
        </w:rPr>
        <w:t>万元，</w:t>
      </w:r>
      <w:r>
        <w:t>实际到位资金</w:t>
      </w:r>
      <w:r>
        <w:rPr>
          <w:rFonts w:hint="eastAsia"/>
        </w:rPr>
        <w:t>96.99</w:t>
      </w:r>
      <w:r>
        <w:t>万元，资金到位率</w:t>
      </w:r>
      <w:r>
        <w:t>100%</w:t>
      </w:r>
      <w:r>
        <w:t>。</w:t>
      </w:r>
    </w:p>
    <w:p w:rsidR="000F6DAD" w:rsidRDefault="00F97CD5">
      <w:pPr>
        <w:ind w:firstLine="640"/>
      </w:pPr>
      <w:r>
        <w:t>本项满分</w:t>
      </w:r>
      <w:r>
        <w:t>4</w:t>
      </w:r>
      <w:r>
        <w:t>分，评估得分</w:t>
      </w:r>
      <w:r>
        <w:t>4</w:t>
      </w:r>
      <w:r>
        <w:t>分。</w:t>
      </w:r>
    </w:p>
    <w:p w:rsidR="000F6DAD" w:rsidRDefault="00F97CD5">
      <w:pPr>
        <w:ind w:firstLine="643"/>
        <w:rPr>
          <w:b/>
          <w:bCs/>
        </w:rPr>
      </w:pPr>
      <w:bookmarkStart w:id="143" w:name="_Toc13724"/>
      <w:bookmarkStart w:id="144" w:name="_Toc29889"/>
      <w:r>
        <w:rPr>
          <w:b/>
          <w:bCs/>
        </w:rPr>
        <w:t>2.</w:t>
      </w:r>
      <w:r>
        <w:rPr>
          <w:b/>
          <w:bCs/>
        </w:rPr>
        <w:t>预算执行率</w:t>
      </w:r>
      <w:bookmarkEnd w:id="143"/>
      <w:bookmarkEnd w:id="144"/>
    </w:p>
    <w:p w:rsidR="000F6DAD" w:rsidRDefault="00F97CD5">
      <w:pPr>
        <w:ind w:firstLine="640"/>
      </w:pPr>
      <w:bookmarkStart w:id="145" w:name="OLE_LINK22"/>
      <w:bookmarkStart w:id="146" w:name="OLE_LINK20"/>
      <w:r>
        <w:t>本项目到位资金</w:t>
      </w:r>
      <w:r>
        <w:rPr>
          <w:rFonts w:hint="eastAsia"/>
        </w:rPr>
        <w:t>96.99</w:t>
      </w:r>
      <w:r>
        <w:t>万元，</w:t>
      </w:r>
      <w:r>
        <w:t>全年预算</w:t>
      </w:r>
      <w:r>
        <w:t>资金</w:t>
      </w:r>
      <w:bookmarkStart w:id="147" w:name="OLE_LINK24"/>
      <w:r>
        <w:rPr>
          <w:rFonts w:hint="eastAsia"/>
        </w:rPr>
        <w:t>96.99</w:t>
      </w:r>
      <w:bookmarkEnd w:id="147"/>
      <w:r>
        <w:rPr>
          <w:rFonts w:hint="eastAsia"/>
        </w:rPr>
        <w:t>万元，</w:t>
      </w:r>
      <w:r>
        <w:t>实际支付资金</w:t>
      </w:r>
      <w:r>
        <w:rPr>
          <w:rFonts w:hint="eastAsia"/>
        </w:rPr>
        <w:t>96.99</w:t>
      </w:r>
      <w:r>
        <w:t>万元，预算执行率为</w:t>
      </w:r>
      <w:r>
        <w:t>100</w:t>
      </w:r>
      <w:r>
        <w:t>%</w:t>
      </w:r>
      <w:r>
        <w:t>。</w:t>
      </w:r>
      <w:bookmarkEnd w:id="145"/>
    </w:p>
    <w:bookmarkEnd w:id="146"/>
    <w:p w:rsidR="000F6DAD" w:rsidRDefault="00F97CD5">
      <w:pPr>
        <w:ind w:firstLine="640"/>
      </w:pPr>
      <w:r>
        <w:t>本项满分</w:t>
      </w:r>
      <w:r>
        <w:t>4</w:t>
      </w:r>
      <w:r>
        <w:t>分，评估得分</w:t>
      </w:r>
      <w:r>
        <w:t>4</w:t>
      </w:r>
      <w:r>
        <w:t>分。</w:t>
      </w:r>
    </w:p>
    <w:p w:rsidR="000F6DAD" w:rsidRDefault="00F97CD5">
      <w:pPr>
        <w:ind w:firstLine="643"/>
        <w:rPr>
          <w:b/>
          <w:bCs/>
        </w:rPr>
      </w:pPr>
      <w:bookmarkStart w:id="148" w:name="_Toc8316"/>
      <w:bookmarkStart w:id="149" w:name="_Toc2484"/>
      <w:r>
        <w:rPr>
          <w:b/>
          <w:bCs/>
        </w:rPr>
        <w:t>3.</w:t>
      </w:r>
      <w:r>
        <w:rPr>
          <w:b/>
          <w:bCs/>
        </w:rPr>
        <w:t>资金使用合</w:t>
      </w:r>
      <w:proofErr w:type="gramStart"/>
      <w:r>
        <w:rPr>
          <w:b/>
          <w:bCs/>
        </w:rPr>
        <w:t>规</w:t>
      </w:r>
      <w:proofErr w:type="gramEnd"/>
      <w:r>
        <w:rPr>
          <w:b/>
          <w:bCs/>
        </w:rPr>
        <w:t>性</w:t>
      </w:r>
      <w:bookmarkEnd w:id="148"/>
      <w:bookmarkEnd w:id="149"/>
    </w:p>
    <w:p w:rsidR="000F6DAD" w:rsidRDefault="00F97CD5">
      <w:pPr>
        <w:ind w:firstLine="640"/>
      </w:pPr>
      <w:r>
        <w:lastRenderedPageBreak/>
        <w:t>本项目资金的使用符合</w:t>
      </w:r>
      <w:r>
        <w:t>《中华人民共和国预算法》《中华人民共和国会计法》《中华人民共和国招</w:t>
      </w:r>
      <w:r>
        <w:rPr>
          <w:rFonts w:hint="eastAsia"/>
        </w:rPr>
        <w:t>标</w:t>
      </w:r>
      <w:r>
        <w:t>投标法》等</w:t>
      </w:r>
      <w:r>
        <w:t>国家</w:t>
      </w:r>
      <w:r>
        <w:t>有关</w:t>
      </w:r>
      <w:r>
        <w:t>财经法规</w:t>
      </w:r>
      <w:r>
        <w:t>以及预算管理制度。</w:t>
      </w:r>
      <w:r>
        <w:t>资金的</w:t>
      </w:r>
      <w:r>
        <w:t>审批和</w:t>
      </w:r>
      <w:r>
        <w:t>拨付</w:t>
      </w:r>
      <w:r>
        <w:t>按照《</w:t>
      </w:r>
      <w:r>
        <w:rPr>
          <w:rFonts w:hint="eastAsia"/>
        </w:rPr>
        <w:t>尉犁</w:t>
      </w:r>
      <w:r>
        <w:t>县财政资金审批管理办法》执行</w:t>
      </w:r>
      <w:r>
        <w:t>。资金的拨付有完整的审批程序和手续；资金使用符合专项资金支持的范围。不存在截留、挤占、挪用、虚列支出等情况。</w:t>
      </w:r>
    </w:p>
    <w:p w:rsidR="000F6DAD" w:rsidRDefault="00F97CD5">
      <w:pPr>
        <w:ind w:firstLine="640"/>
      </w:pPr>
      <w:r>
        <w:t>本项满分</w:t>
      </w:r>
      <w:r>
        <w:t>4</w:t>
      </w:r>
      <w:r>
        <w:t>分，评估得分</w:t>
      </w:r>
      <w:r>
        <w:t>4</w:t>
      </w:r>
      <w:r>
        <w:t>分。</w:t>
      </w:r>
    </w:p>
    <w:p w:rsidR="000F6DAD" w:rsidRDefault="00F97CD5">
      <w:pPr>
        <w:ind w:firstLine="643"/>
        <w:rPr>
          <w:b/>
          <w:bCs/>
        </w:rPr>
      </w:pPr>
      <w:bookmarkStart w:id="150" w:name="_Toc20651"/>
      <w:bookmarkStart w:id="151" w:name="_Toc15332"/>
      <w:r>
        <w:rPr>
          <w:b/>
          <w:bCs/>
        </w:rPr>
        <w:t>4.</w:t>
      </w:r>
      <w:r>
        <w:rPr>
          <w:b/>
          <w:bCs/>
        </w:rPr>
        <w:t>管理制度健全性</w:t>
      </w:r>
      <w:bookmarkEnd w:id="150"/>
      <w:bookmarkEnd w:id="151"/>
    </w:p>
    <w:p w:rsidR="000F6DAD" w:rsidRDefault="00F97CD5">
      <w:pPr>
        <w:ind w:firstLine="640"/>
      </w:pPr>
      <w:bookmarkStart w:id="152" w:name="OLE_LINK12"/>
      <w:r>
        <w:rPr>
          <w:rFonts w:hint="eastAsia"/>
        </w:rPr>
        <w:t>尉犁</w:t>
      </w:r>
      <w:r>
        <w:t>县</w:t>
      </w:r>
      <w:r>
        <w:rPr>
          <w:rFonts w:hint="eastAsia"/>
        </w:rPr>
        <w:t>交通运输局</w:t>
      </w:r>
      <w:r>
        <w:t>制定了</w:t>
      </w:r>
      <w:r>
        <w:t>《</w:t>
      </w:r>
      <w:r>
        <w:rPr>
          <w:rFonts w:hint="eastAsia"/>
        </w:rPr>
        <w:t>尉犁</w:t>
      </w:r>
      <w:r>
        <w:t>县</w:t>
      </w:r>
      <w:r>
        <w:rPr>
          <w:rFonts w:hint="eastAsia"/>
        </w:rPr>
        <w:t>交通运输局</w:t>
      </w:r>
      <w:r>
        <w:t>财务管理制度》和《</w:t>
      </w:r>
      <w:r>
        <w:rPr>
          <w:rFonts w:hint="eastAsia"/>
        </w:rPr>
        <w:t>尉犁</w:t>
      </w:r>
      <w:r>
        <w:t>县</w:t>
      </w:r>
      <w:r>
        <w:rPr>
          <w:rFonts w:hint="eastAsia"/>
        </w:rPr>
        <w:t>交通运输局</w:t>
      </w:r>
      <w: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中华人民共和国招</w:t>
      </w:r>
      <w:r>
        <w:rPr>
          <w:rFonts w:hint="eastAsia"/>
        </w:rPr>
        <w:t>标</w:t>
      </w:r>
      <w:r>
        <w:t>投标法》《政府投资条例》等法律法规、财经制度的要求，</w:t>
      </w:r>
      <w:r>
        <w:t>资金管理等方面都做出明确的规范的要求</w:t>
      </w:r>
      <w:r>
        <w:t>，</w:t>
      </w:r>
      <w:r>
        <w:t>财务制度和业务管理制度</w:t>
      </w:r>
      <w:r>
        <w:t>健全</w:t>
      </w:r>
      <w:r>
        <w:t>。</w:t>
      </w:r>
    </w:p>
    <w:bookmarkEnd w:id="152"/>
    <w:p w:rsidR="000F6DAD" w:rsidRDefault="00F97CD5">
      <w:pPr>
        <w:ind w:firstLine="640"/>
      </w:pPr>
      <w:r>
        <w:t>本项满分</w:t>
      </w:r>
      <w:r>
        <w:t>3</w:t>
      </w:r>
      <w:r>
        <w:t>分，评估得分</w:t>
      </w:r>
      <w:r>
        <w:t>3</w:t>
      </w:r>
      <w:r>
        <w:t>分。</w:t>
      </w:r>
    </w:p>
    <w:p w:rsidR="000F6DAD" w:rsidRDefault="00F97CD5">
      <w:pPr>
        <w:ind w:firstLine="643"/>
        <w:rPr>
          <w:b/>
          <w:bCs/>
        </w:rPr>
      </w:pPr>
      <w:bookmarkStart w:id="153" w:name="_Toc14023"/>
      <w:bookmarkStart w:id="154" w:name="_Toc14853"/>
      <w:r>
        <w:rPr>
          <w:b/>
          <w:bCs/>
        </w:rPr>
        <w:t>5.</w:t>
      </w:r>
      <w:r>
        <w:rPr>
          <w:b/>
          <w:bCs/>
        </w:rPr>
        <w:t>制度执行有效性</w:t>
      </w:r>
      <w:bookmarkEnd w:id="153"/>
      <w:bookmarkEnd w:id="154"/>
    </w:p>
    <w:p w:rsidR="000F6DAD" w:rsidRDefault="00F97CD5">
      <w:pPr>
        <w:ind w:firstLine="640"/>
      </w:pPr>
      <w:r>
        <w:t>本项目在实施过程中严格遵守相关法律法规和相关管理规定，如《</w:t>
      </w:r>
      <w:bookmarkStart w:id="155" w:name="OLE_LINK43"/>
      <w:r>
        <w:t>中华人民共和国</w:t>
      </w:r>
      <w:bookmarkEnd w:id="155"/>
      <w:r>
        <w:t>预算法</w:t>
      </w:r>
      <w:r>
        <w:t>》《</w:t>
      </w:r>
      <w:r>
        <w:t>中华人民共和国会计法</w:t>
      </w:r>
      <w:r>
        <w:t>》《</w:t>
      </w:r>
      <w:r>
        <w:t>中华人民</w:t>
      </w:r>
      <w:r>
        <w:t>共和国</w:t>
      </w:r>
      <w:r>
        <w:rPr>
          <w:rFonts w:hint="eastAsia"/>
        </w:rPr>
        <w:t>政府</w:t>
      </w:r>
      <w:r>
        <w:t>采购法》等，严格执行基本建</w:t>
      </w:r>
      <w:r>
        <w:lastRenderedPageBreak/>
        <w:t>设程序，执行项目法人责任制、招标投标制、工程监理制和合同管理制，项目勘察、设计、施工、</w:t>
      </w:r>
      <w:proofErr w:type="gramStart"/>
      <w:r>
        <w:t>监理均</w:t>
      </w:r>
      <w:proofErr w:type="gramEnd"/>
      <w:r>
        <w:t>符合国家和自治区有关</w:t>
      </w:r>
      <w:r>
        <w:rPr>
          <w:rFonts w:hint="eastAsia"/>
        </w:rPr>
        <w:t>规定</w:t>
      </w:r>
      <w:r>
        <w:t>和施工规范。有关资料齐全，并及时整理归档。</w:t>
      </w:r>
      <w:r>
        <w:t>本项目无项目调整及支出调整，制度执行有效性较高。</w:t>
      </w:r>
    </w:p>
    <w:p w:rsidR="000F6DAD" w:rsidRDefault="00F97CD5">
      <w:pPr>
        <w:ind w:firstLine="640"/>
      </w:pPr>
      <w:r>
        <w:t>本项满分</w:t>
      </w:r>
      <w:r>
        <w:t>3</w:t>
      </w:r>
      <w:r>
        <w:t>分，评估得分</w:t>
      </w:r>
      <w:r>
        <w:t>3</w:t>
      </w:r>
      <w:r>
        <w:t>分。</w:t>
      </w:r>
    </w:p>
    <w:p w:rsidR="000F6DAD" w:rsidRDefault="00F97CD5">
      <w:pPr>
        <w:pStyle w:val="3"/>
        <w:ind w:firstLine="643"/>
        <w:rPr>
          <w:rFonts w:ascii="楷体" w:eastAsia="楷体" w:hAnsi="楷体" w:cs="楷体"/>
        </w:rPr>
      </w:pPr>
      <w:bookmarkStart w:id="156" w:name="_Toc5161"/>
      <w:bookmarkStart w:id="157" w:name="_Toc6865"/>
      <w:bookmarkStart w:id="158" w:name="_Toc31545"/>
      <w:bookmarkStart w:id="159" w:name="_Toc22156"/>
      <w:bookmarkEnd w:id="142"/>
      <w:r>
        <w:rPr>
          <w:rFonts w:ascii="楷体" w:eastAsia="楷体" w:hAnsi="楷体" w:cs="楷体" w:hint="eastAsia"/>
        </w:rPr>
        <w:t>（三）项目产出情况</w:t>
      </w:r>
      <w:bookmarkEnd w:id="156"/>
      <w:bookmarkEnd w:id="157"/>
      <w:bookmarkEnd w:id="158"/>
      <w:bookmarkEnd w:id="159"/>
    </w:p>
    <w:p w:rsidR="000F6DAD" w:rsidRDefault="00F97CD5">
      <w:pPr>
        <w:ind w:firstLine="643"/>
        <w:rPr>
          <w:b/>
          <w:bCs/>
        </w:rPr>
      </w:pPr>
      <w:bookmarkStart w:id="160" w:name="_Toc31041"/>
      <w:bookmarkStart w:id="161" w:name="_Toc4184"/>
      <w:bookmarkStart w:id="162" w:name="OLE_LINK36"/>
      <w:r>
        <w:rPr>
          <w:b/>
          <w:bCs/>
        </w:rPr>
        <w:t>1.</w:t>
      </w:r>
      <w:r>
        <w:rPr>
          <w:b/>
          <w:bCs/>
        </w:rPr>
        <w:t>产出数量</w:t>
      </w:r>
      <w:bookmarkEnd w:id="160"/>
      <w:bookmarkEnd w:id="161"/>
    </w:p>
    <w:p w:rsidR="000F6DAD" w:rsidRDefault="00F97CD5">
      <w:pPr>
        <w:ind w:firstLine="640"/>
      </w:pPr>
      <w:r>
        <w:t>本项目数量指标：</w:t>
      </w:r>
    </w:p>
    <w:p w:rsidR="000F6DAD" w:rsidRDefault="00F97CD5">
      <w:pPr>
        <w:ind w:firstLine="640"/>
      </w:pPr>
      <w:r>
        <w:rPr>
          <w:bCs/>
          <w:szCs w:val="32"/>
        </w:rPr>
        <w:t>指标</w:t>
      </w:r>
      <w:r>
        <w:rPr>
          <w:bCs/>
          <w:szCs w:val="32"/>
        </w:rPr>
        <w:t>1</w:t>
      </w:r>
      <w:r>
        <w:rPr>
          <w:bCs/>
          <w:szCs w:val="32"/>
        </w:rPr>
        <w:t>：</w:t>
      </w:r>
      <w:r>
        <w:rPr>
          <w:rFonts w:hint="eastAsia"/>
        </w:rPr>
        <w:t>农村公路技术状况评定里程</w:t>
      </w:r>
      <w:r>
        <w:t>，预期指标值</w:t>
      </w:r>
      <w:bookmarkStart w:id="163" w:name="OLE_LINK8"/>
      <w:r>
        <w:rPr>
          <w:rFonts w:hint="eastAsia"/>
        </w:rPr>
        <w:t>大于或等于</w:t>
      </w:r>
      <w:bookmarkEnd w:id="163"/>
      <w:r>
        <w:rPr>
          <w:rFonts w:hint="eastAsia"/>
        </w:rPr>
        <w:t>1300.59</w:t>
      </w:r>
      <w:r>
        <w:rPr>
          <w:rFonts w:hint="eastAsia"/>
        </w:rPr>
        <w:t>公里</w:t>
      </w:r>
      <w:r>
        <w:t>，指标完成值：</w:t>
      </w:r>
      <w:r>
        <w:rPr>
          <w:rFonts w:hint="eastAsia"/>
        </w:rPr>
        <w:t>1300.59</w:t>
      </w:r>
      <w:r>
        <w:rPr>
          <w:rFonts w:hint="eastAsia"/>
        </w:rPr>
        <w:t>公里</w:t>
      </w:r>
      <w:r>
        <w:t>，完成率：</w:t>
      </w:r>
      <w:r>
        <w:rPr>
          <w:rFonts w:hint="eastAsia"/>
        </w:rPr>
        <w:t>100%</w:t>
      </w:r>
      <w:r>
        <w:t>；</w:t>
      </w:r>
    </w:p>
    <w:p w:rsidR="000F6DAD" w:rsidRDefault="00F97CD5">
      <w:pPr>
        <w:ind w:firstLine="640"/>
      </w:pPr>
      <w:r>
        <w:rPr>
          <w:bCs/>
          <w:szCs w:val="32"/>
        </w:rPr>
        <w:t>指标</w:t>
      </w:r>
      <w:r>
        <w:rPr>
          <w:bCs/>
          <w:szCs w:val="32"/>
        </w:rPr>
        <w:t>2</w:t>
      </w:r>
      <w:r>
        <w:rPr>
          <w:bCs/>
          <w:szCs w:val="32"/>
        </w:rPr>
        <w:t>：</w:t>
      </w:r>
      <w:r>
        <w:rPr>
          <w:rFonts w:hint="eastAsia"/>
        </w:rPr>
        <w:t>农村公路日常养护里程</w:t>
      </w:r>
      <w:r>
        <w:t>，预期指标值大于或等于</w:t>
      </w:r>
      <w:r>
        <w:rPr>
          <w:rFonts w:hint="eastAsia"/>
        </w:rPr>
        <w:t>182.426</w:t>
      </w:r>
      <w:r>
        <w:rPr>
          <w:rFonts w:hint="eastAsia"/>
        </w:rPr>
        <w:t>公里</w:t>
      </w:r>
      <w:r>
        <w:t>，指标完成值：</w:t>
      </w:r>
      <w:r>
        <w:rPr>
          <w:rFonts w:hint="eastAsia"/>
        </w:rPr>
        <w:t>182.426</w:t>
      </w:r>
      <w:r>
        <w:rPr>
          <w:rFonts w:hint="eastAsia"/>
        </w:rPr>
        <w:t>公里</w:t>
      </w:r>
      <w:r>
        <w:t>，完成率：</w:t>
      </w:r>
      <w:r>
        <w:rPr>
          <w:rFonts w:hint="eastAsia"/>
        </w:rPr>
        <w:t>100%</w:t>
      </w:r>
      <w:r>
        <w:t>；</w:t>
      </w:r>
    </w:p>
    <w:p w:rsidR="000F6DAD" w:rsidRDefault="00F97CD5">
      <w:pPr>
        <w:ind w:firstLine="640"/>
      </w:pPr>
      <w:r>
        <w:t>本项满分</w:t>
      </w:r>
      <w:r>
        <w:t>12</w:t>
      </w:r>
      <w:r>
        <w:t>分，评估得分</w:t>
      </w:r>
      <w:r>
        <w:t>12</w:t>
      </w:r>
      <w:r>
        <w:t>分。</w:t>
      </w:r>
    </w:p>
    <w:p w:rsidR="000F6DAD" w:rsidRDefault="00F97CD5">
      <w:pPr>
        <w:ind w:firstLine="643"/>
        <w:rPr>
          <w:b/>
          <w:bCs/>
        </w:rPr>
      </w:pPr>
      <w:bookmarkStart w:id="164" w:name="_Toc7420"/>
      <w:bookmarkStart w:id="165" w:name="_Toc21607"/>
      <w:r>
        <w:rPr>
          <w:b/>
          <w:bCs/>
        </w:rPr>
        <w:t>2.</w:t>
      </w:r>
      <w:r>
        <w:rPr>
          <w:b/>
          <w:bCs/>
        </w:rPr>
        <w:t>产出质量</w:t>
      </w:r>
      <w:bookmarkEnd w:id="164"/>
      <w:bookmarkEnd w:id="165"/>
    </w:p>
    <w:p w:rsidR="000F6DAD" w:rsidRDefault="00F97CD5">
      <w:pPr>
        <w:ind w:firstLine="640"/>
      </w:pPr>
      <w:r>
        <w:rPr>
          <w:bCs/>
          <w:szCs w:val="32"/>
        </w:rPr>
        <w:t>指标</w:t>
      </w:r>
      <w:r>
        <w:rPr>
          <w:bCs/>
          <w:szCs w:val="32"/>
        </w:rPr>
        <w:t>1</w:t>
      </w:r>
      <w:r>
        <w:rPr>
          <w:bCs/>
          <w:szCs w:val="32"/>
        </w:rPr>
        <w:t>：</w:t>
      </w:r>
      <w:r>
        <w:rPr>
          <w:rFonts w:hint="eastAsia"/>
        </w:rPr>
        <w:t>农村公路日常养护项目质量达标率</w:t>
      </w:r>
      <w:r>
        <w:t>，预期指标值大于或等于</w:t>
      </w:r>
      <w:r>
        <w:rPr>
          <w:rFonts w:hint="eastAsia"/>
        </w:rPr>
        <w:t>90%</w:t>
      </w:r>
      <w:r>
        <w:t>，指标完成值</w:t>
      </w:r>
      <w:r>
        <w:rPr>
          <w:rFonts w:hint="eastAsia"/>
        </w:rPr>
        <w:t>：</w:t>
      </w:r>
      <w:r>
        <w:rPr>
          <w:rFonts w:hint="eastAsia"/>
        </w:rPr>
        <w:t>90%</w:t>
      </w:r>
      <w:r>
        <w:t>，完成率：</w:t>
      </w:r>
      <w:r>
        <w:rPr>
          <w:rFonts w:hint="eastAsia"/>
        </w:rPr>
        <w:t>100%</w:t>
      </w:r>
      <w:r>
        <w:t>；</w:t>
      </w:r>
    </w:p>
    <w:p w:rsidR="000F6DAD" w:rsidRDefault="00F97CD5">
      <w:pPr>
        <w:ind w:firstLine="640"/>
      </w:pPr>
      <w:r>
        <w:t>本项满分</w:t>
      </w:r>
      <w:r>
        <w:t>12</w:t>
      </w:r>
      <w:r>
        <w:t>分，评估得分</w:t>
      </w:r>
      <w:r>
        <w:t>12</w:t>
      </w:r>
      <w:r>
        <w:t>分。</w:t>
      </w:r>
    </w:p>
    <w:p w:rsidR="000F6DAD" w:rsidRDefault="00F97CD5">
      <w:pPr>
        <w:ind w:firstLine="643"/>
        <w:rPr>
          <w:b/>
          <w:bCs/>
        </w:rPr>
      </w:pPr>
      <w:bookmarkStart w:id="166" w:name="_Toc5394"/>
      <w:bookmarkStart w:id="167" w:name="_Toc6277"/>
      <w:r>
        <w:rPr>
          <w:b/>
          <w:bCs/>
        </w:rPr>
        <w:t>3.</w:t>
      </w:r>
      <w:r>
        <w:rPr>
          <w:b/>
          <w:bCs/>
        </w:rPr>
        <w:t>产出时效</w:t>
      </w:r>
      <w:bookmarkEnd w:id="166"/>
      <w:bookmarkEnd w:id="167"/>
    </w:p>
    <w:p w:rsidR="000F6DAD" w:rsidRDefault="00F97CD5">
      <w:pPr>
        <w:ind w:firstLine="640"/>
      </w:pPr>
      <w:r>
        <w:rPr>
          <w:bCs/>
          <w:szCs w:val="32"/>
        </w:rPr>
        <w:t>指标</w:t>
      </w:r>
      <w:r>
        <w:rPr>
          <w:bCs/>
          <w:szCs w:val="32"/>
        </w:rPr>
        <w:t>1</w:t>
      </w:r>
      <w:r>
        <w:rPr>
          <w:bCs/>
          <w:szCs w:val="32"/>
        </w:rPr>
        <w:t>：</w:t>
      </w:r>
      <w:r>
        <w:rPr>
          <w:rFonts w:hint="eastAsia"/>
        </w:rPr>
        <w:t>农村公路日常养护及时率</w:t>
      </w:r>
      <w:r>
        <w:t>，预期指标值</w:t>
      </w:r>
      <w:r>
        <w:rPr>
          <w:rFonts w:hint="eastAsia"/>
        </w:rPr>
        <w:t>大于或等于</w:t>
      </w:r>
      <w:r>
        <w:rPr>
          <w:rFonts w:hint="eastAsia"/>
        </w:rPr>
        <w:t>95%</w:t>
      </w:r>
      <w:r>
        <w:t>，指标完成值：</w:t>
      </w:r>
      <w:r>
        <w:rPr>
          <w:rFonts w:hint="eastAsia"/>
        </w:rPr>
        <w:t>95%</w:t>
      </w:r>
      <w:r>
        <w:t>，完成率：</w:t>
      </w:r>
      <w:r>
        <w:rPr>
          <w:rFonts w:hint="eastAsia"/>
        </w:rPr>
        <w:t>100%</w:t>
      </w:r>
      <w:r>
        <w:t>；</w:t>
      </w:r>
    </w:p>
    <w:p w:rsidR="000F6DAD" w:rsidRDefault="00F97CD5">
      <w:pPr>
        <w:ind w:firstLine="640"/>
      </w:pPr>
      <w:r>
        <w:t>本项满分</w:t>
      </w:r>
      <w:r>
        <w:t>12</w:t>
      </w:r>
      <w:r>
        <w:t>分，评估得分</w:t>
      </w:r>
      <w:r>
        <w:t>12</w:t>
      </w:r>
      <w:r>
        <w:t>分。</w:t>
      </w:r>
    </w:p>
    <w:p w:rsidR="000F6DAD" w:rsidRDefault="00F97CD5">
      <w:pPr>
        <w:ind w:firstLine="643"/>
        <w:rPr>
          <w:b/>
          <w:bCs/>
        </w:rPr>
      </w:pPr>
      <w:bookmarkStart w:id="168" w:name="_Toc28975"/>
      <w:bookmarkStart w:id="169" w:name="_Toc18558"/>
      <w:r>
        <w:rPr>
          <w:b/>
          <w:bCs/>
        </w:rPr>
        <w:lastRenderedPageBreak/>
        <w:t>4.</w:t>
      </w:r>
      <w:r>
        <w:rPr>
          <w:b/>
          <w:bCs/>
        </w:rPr>
        <w:t>产出成本</w:t>
      </w:r>
      <w:bookmarkEnd w:id="168"/>
      <w:bookmarkEnd w:id="169"/>
    </w:p>
    <w:p w:rsidR="000F6DAD" w:rsidRDefault="00F97CD5">
      <w:pPr>
        <w:ind w:firstLine="640"/>
      </w:pPr>
      <w:bookmarkStart w:id="170" w:name="OLE_LINK15"/>
      <w:r>
        <w:t>指标</w:t>
      </w:r>
      <w:r>
        <w:t>1</w:t>
      </w:r>
      <w:r>
        <w:t>：</w:t>
      </w:r>
      <w:r>
        <w:rPr>
          <w:rFonts w:hint="eastAsia"/>
        </w:rPr>
        <w:t>农村公路技术状况评定成本</w:t>
      </w:r>
      <w:r>
        <w:t>，预期指标值</w:t>
      </w:r>
      <w:bookmarkStart w:id="171" w:name="OLE_LINK16"/>
      <w:r>
        <w:rPr>
          <w:rFonts w:hint="eastAsia"/>
        </w:rPr>
        <w:t>小于或等于</w:t>
      </w:r>
      <w:r>
        <w:rPr>
          <w:rFonts w:hint="eastAsia"/>
        </w:rPr>
        <w:t>330</w:t>
      </w:r>
      <w:r>
        <w:rPr>
          <w:rFonts w:hint="eastAsia"/>
        </w:rPr>
        <w:t>元</w:t>
      </w:r>
      <w:r>
        <w:rPr>
          <w:rFonts w:hint="eastAsia"/>
        </w:rPr>
        <w:t>/</w:t>
      </w:r>
      <w:r>
        <w:rPr>
          <w:rFonts w:hint="eastAsia"/>
        </w:rPr>
        <w:t>公里</w:t>
      </w:r>
      <w:bookmarkEnd w:id="171"/>
      <w:r>
        <w:t>，指标完成值：</w:t>
      </w:r>
      <w:r>
        <w:t>330</w:t>
      </w:r>
      <w:r>
        <w:t>元</w:t>
      </w:r>
      <w:r>
        <w:t>/</w:t>
      </w:r>
      <w:r>
        <w:t>公里，完成率：</w:t>
      </w:r>
      <w:r>
        <w:rPr>
          <w:rFonts w:hint="eastAsia"/>
        </w:rPr>
        <w:t>100%</w:t>
      </w:r>
      <w:r>
        <w:t>；</w:t>
      </w:r>
      <w:bookmarkEnd w:id="170"/>
    </w:p>
    <w:p w:rsidR="000F6DAD" w:rsidRDefault="00F97CD5">
      <w:pPr>
        <w:ind w:firstLine="640"/>
      </w:pPr>
      <w:r>
        <w:t>指标</w:t>
      </w:r>
      <w:r>
        <w:rPr>
          <w:rFonts w:hint="eastAsia"/>
        </w:rPr>
        <w:t>2</w:t>
      </w:r>
      <w:r>
        <w:t>：</w:t>
      </w:r>
      <w:r>
        <w:rPr>
          <w:rFonts w:hint="eastAsia"/>
        </w:rPr>
        <w:t>农村公路日常养护成本</w:t>
      </w:r>
      <w:r>
        <w:t>，预期指标值</w:t>
      </w:r>
      <w:bookmarkStart w:id="172" w:name="OLE_LINK17"/>
      <w:r>
        <w:rPr>
          <w:rFonts w:hint="eastAsia"/>
        </w:rPr>
        <w:t>小于或等于</w:t>
      </w:r>
      <w:r>
        <w:rPr>
          <w:rFonts w:hint="eastAsia"/>
        </w:rPr>
        <w:t>3500</w:t>
      </w:r>
      <w:r>
        <w:rPr>
          <w:rFonts w:hint="eastAsia"/>
        </w:rPr>
        <w:t>元</w:t>
      </w:r>
      <w:r>
        <w:rPr>
          <w:rFonts w:hint="eastAsia"/>
        </w:rPr>
        <w:t>/</w:t>
      </w:r>
      <w:r>
        <w:rPr>
          <w:rFonts w:hint="eastAsia"/>
        </w:rPr>
        <w:t>公里</w:t>
      </w:r>
      <w:bookmarkEnd w:id="172"/>
      <w:r>
        <w:t>，指标完成值：</w:t>
      </w:r>
      <w:r>
        <w:rPr>
          <w:rFonts w:hint="eastAsia"/>
        </w:rPr>
        <w:t>3500</w:t>
      </w:r>
      <w:r>
        <w:rPr>
          <w:rFonts w:hint="eastAsia"/>
        </w:rPr>
        <w:t>元</w:t>
      </w:r>
      <w:r>
        <w:rPr>
          <w:rFonts w:hint="eastAsia"/>
        </w:rPr>
        <w:t>/</w:t>
      </w:r>
      <w:r>
        <w:rPr>
          <w:rFonts w:hint="eastAsia"/>
        </w:rPr>
        <w:t>公里</w:t>
      </w:r>
      <w:r>
        <w:t>，完成率：</w:t>
      </w:r>
      <w:r>
        <w:rPr>
          <w:rFonts w:hint="eastAsia"/>
        </w:rPr>
        <w:t>100%</w:t>
      </w:r>
      <w:r>
        <w:t>；</w:t>
      </w:r>
    </w:p>
    <w:p w:rsidR="000F6DAD" w:rsidRDefault="00F97CD5">
      <w:pPr>
        <w:ind w:firstLine="640"/>
      </w:pPr>
      <w:r>
        <w:t>本项满分</w:t>
      </w:r>
      <w:r>
        <w:t>4</w:t>
      </w:r>
      <w:r>
        <w:t>分，评估得分</w:t>
      </w:r>
      <w:r>
        <w:t>4</w:t>
      </w:r>
      <w:r>
        <w:t>分。</w:t>
      </w:r>
    </w:p>
    <w:p w:rsidR="000F6DAD" w:rsidRDefault="00F97CD5">
      <w:pPr>
        <w:pStyle w:val="3"/>
        <w:ind w:firstLine="643"/>
        <w:rPr>
          <w:rFonts w:ascii="楷体" w:eastAsia="楷体" w:hAnsi="楷体" w:cs="楷体"/>
        </w:rPr>
      </w:pPr>
      <w:bookmarkStart w:id="173" w:name="_Toc18194"/>
      <w:bookmarkStart w:id="174" w:name="_Toc24492"/>
      <w:bookmarkStart w:id="175" w:name="_Toc14881"/>
      <w:bookmarkStart w:id="176" w:name="_Toc27548"/>
      <w:bookmarkEnd w:id="162"/>
      <w:r>
        <w:rPr>
          <w:rFonts w:ascii="楷体" w:eastAsia="楷体" w:hAnsi="楷体" w:cs="楷体" w:hint="eastAsia"/>
        </w:rPr>
        <w:t>（四）项目效益情况</w:t>
      </w:r>
      <w:bookmarkEnd w:id="173"/>
      <w:bookmarkEnd w:id="174"/>
      <w:bookmarkEnd w:id="175"/>
      <w:bookmarkEnd w:id="176"/>
    </w:p>
    <w:p w:rsidR="000F6DAD" w:rsidRDefault="00F97CD5">
      <w:pPr>
        <w:ind w:firstLine="643"/>
        <w:rPr>
          <w:b/>
          <w:bCs/>
        </w:rPr>
      </w:pPr>
      <w:bookmarkStart w:id="177" w:name="_Toc8370"/>
      <w:bookmarkStart w:id="178" w:name="_Toc15599"/>
      <w:r>
        <w:rPr>
          <w:b/>
          <w:bCs/>
        </w:rPr>
        <w:t>1.</w:t>
      </w:r>
      <w:r>
        <w:rPr>
          <w:b/>
          <w:bCs/>
        </w:rPr>
        <w:t>实施效益</w:t>
      </w:r>
      <w:bookmarkEnd w:id="177"/>
      <w:bookmarkEnd w:id="178"/>
    </w:p>
    <w:p w:rsidR="000F6DAD" w:rsidRDefault="00F97CD5">
      <w:pPr>
        <w:ind w:firstLine="640"/>
      </w:pPr>
      <w:r>
        <w:t>本项目实施所产生的效益主要包括社会效益。</w:t>
      </w:r>
    </w:p>
    <w:p w:rsidR="000F6DAD" w:rsidRDefault="00F97CD5">
      <w:pPr>
        <w:ind w:firstLine="640"/>
      </w:pPr>
      <w:bookmarkStart w:id="179" w:name="OLE_LINK59"/>
      <w:r>
        <w:rPr>
          <w:rFonts w:hint="eastAsia"/>
        </w:rPr>
        <w:t>该项目的顺利推进，全方位夯实了县域道路基础设施建设，显著改善居民出行条件。同时，</w:t>
      </w:r>
      <w:r>
        <w:t>项目的实施</w:t>
      </w:r>
      <w:r>
        <w:rPr>
          <w:rFonts w:hint="eastAsia"/>
        </w:rPr>
        <w:t>完善了县域道路基础设施，通过创新管理模式与加大养护投入，农村公路管养水平实现质的飞跃</w:t>
      </w:r>
      <w:r>
        <w:rPr>
          <w:rFonts w:hint="eastAsia"/>
        </w:rPr>
        <w:t xml:space="preserve"> </w:t>
      </w:r>
      <w:r>
        <w:rPr>
          <w:rFonts w:hint="eastAsia"/>
        </w:rPr>
        <w:t>。</w:t>
      </w:r>
    </w:p>
    <w:bookmarkEnd w:id="179"/>
    <w:p w:rsidR="000F6DAD" w:rsidRDefault="00F97CD5">
      <w:pPr>
        <w:ind w:firstLine="640"/>
      </w:pPr>
      <w:r>
        <w:t>本项满分</w:t>
      </w:r>
      <w:r>
        <w:t>10</w:t>
      </w:r>
      <w:r>
        <w:t>分，评估得分</w:t>
      </w:r>
      <w:r>
        <w:t>10</w:t>
      </w:r>
      <w:r>
        <w:t>分。</w:t>
      </w:r>
    </w:p>
    <w:p w:rsidR="000F6DAD" w:rsidRDefault="00F97CD5">
      <w:pPr>
        <w:ind w:firstLine="643"/>
        <w:rPr>
          <w:b/>
          <w:bCs/>
        </w:rPr>
      </w:pPr>
      <w:bookmarkStart w:id="180" w:name="_Toc20772"/>
      <w:bookmarkStart w:id="181" w:name="_Toc31503"/>
      <w:bookmarkStart w:id="182" w:name="OLE_LINK37"/>
      <w:r>
        <w:rPr>
          <w:b/>
          <w:bCs/>
        </w:rPr>
        <w:t>2.</w:t>
      </w:r>
      <w:r>
        <w:rPr>
          <w:b/>
          <w:bCs/>
        </w:rPr>
        <w:t>满意度</w:t>
      </w:r>
      <w:bookmarkEnd w:id="180"/>
      <w:bookmarkEnd w:id="181"/>
    </w:p>
    <w:p w:rsidR="000F6DAD" w:rsidRDefault="00F97CD5">
      <w:pPr>
        <w:ind w:firstLine="640"/>
      </w:pPr>
      <w:r>
        <w:t>本项目服务对</w:t>
      </w:r>
      <w:r>
        <w:t>象和受益</w:t>
      </w:r>
      <w:r>
        <w:t>群众主要</w:t>
      </w:r>
      <w:r>
        <w:t>是</w:t>
      </w:r>
      <w:r>
        <w:rPr>
          <w:rFonts w:hint="eastAsia"/>
        </w:rPr>
        <w:t>通行群众</w:t>
      </w:r>
      <w:r>
        <w:t>，通</w:t>
      </w:r>
      <w:r>
        <w:t>过问卷调查方式收集服务对象和受益群众对本项目实施的满意度。调查人群都表示很满意，</w:t>
      </w:r>
      <w:r>
        <w:rPr>
          <w:rFonts w:hint="eastAsia"/>
        </w:rPr>
        <w:t>满意度</w:t>
      </w:r>
      <w:r>
        <w:rPr>
          <w:rFonts w:hint="eastAsia"/>
        </w:rPr>
        <w:t>90%</w:t>
      </w:r>
      <w:r>
        <w:rPr>
          <w:rFonts w:hint="eastAsia"/>
        </w:rPr>
        <w:t>，大部分群众</w:t>
      </w:r>
      <w:r>
        <w:t>都认为本项目实施后，</w:t>
      </w:r>
      <w:r>
        <w:rPr>
          <w:rFonts w:hint="eastAsia"/>
        </w:rPr>
        <w:t>提高了农村公路管养水平；改善了群众出行条件。</w:t>
      </w:r>
    </w:p>
    <w:p w:rsidR="000F6DAD" w:rsidRDefault="00F97CD5">
      <w:pPr>
        <w:ind w:firstLine="640"/>
      </w:pPr>
      <w:r>
        <w:t>本项满分</w:t>
      </w:r>
      <w:r>
        <w:t>10</w:t>
      </w:r>
      <w:r>
        <w:t>分，评估得分</w:t>
      </w:r>
      <w:r>
        <w:t>10</w:t>
      </w:r>
      <w:r>
        <w:t>分。</w:t>
      </w:r>
    </w:p>
    <w:p w:rsidR="000F6DAD" w:rsidRDefault="00F97CD5">
      <w:pPr>
        <w:pStyle w:val="2"/>
        <w:ind w:firstLine="640"/>
        <w:rPr>
          <w:rFonts w:eastAsia="仿宋_GB2312"/>
        </w:rPr>
      </w:pPr>
      <w:bookmarkStart w:id="183" w:name="_Toc23114"/>
      <w:bookmarkStart w:id="184" w:name="_Toc17413"/>
      <w:bookmarkStart w:id="185" w:name="_Toc20473"/>
      <w:bookmarkStart w:id="186" w:name="_Toc24261"/>
      <w:bookmarkStart w:id="187" w:name="_Toc3310"/>
      <w:bookmarkEnd w:id="182"/>
      <w:r>
        <w:rPr>
          <w:rFonts w:ascii="黑体" w:hAnsi="黑体" w:cs="黑体" w:hint="eastAsia"/>
        </w:rPr>
        <w:lastRenderedPageBreak/>
        <w:t>五、主要经验及做法、存在的问题及原因分析</w:t>
      </w:r>
      <w:bookmarkEnd w:id="183"/>
      <w:bookmarkEnd w:id="184"/>
      <w:bookmarkEnd w:id="185"/>
      <w:bookmarkEnd w:id="186"/>
      <w:bookmarkEnd w:id="187"/>
    </w:p>
    <w:p w:rsidR="000F6DAD" w:rsidRDefault="00F97CD5">
      <w:pPr>
        <w:pStyle w:val="3"/>
        <w:ind w:firstLine="643"/>
        <w:rPr>
          <w:rFonts w:ascii="楷体" w:eastAsia="楷体" w:hAnsi="楷体" w:cs="楷体"/>
        </w:rPr>
      </w:pPr>
      <w:bookmarkStart w:id="188" w:name="_Toc10514"/>
      <w:bookmarkStart w:id="189" w:name="_Toc14362"/>
      <w:bookmarkStart w:id="190" w:name="_Toc6741"/>
      <w:bookmarkStart w:id="191" w:name="_Toc6522"/>
      <w:bookmarkStart w:id="192" w:name="OLE_LINK38"/>
      <w:r>
        <w:rPr>
          <w:rFonts w:ascii="楷体" w:eastAsia="楷体" w:hAnsi="楷体" w:cs="楷体" w:hint="eastAsia"/>
        </w:rPr>
        <w:t>（一）主要经验及做法</w:t>
      </w:r>
      <w:bookmarkEnd w:id="188"/>
      <w:bookmarkEnd w:id="189"/>
      <w:bookmarkEnd w:id="190"/>
      <w:bookmarkEnd w:id="191"/>
    </w:p>
    <w:p w:rsidR="000F6DAD" w:rsidRDefault="00F97CD5">
      <w:pPr>
        <w:ind w:firstLine="640"/>
      </w:pPr>
      <w:bookmarkStart w:id="193" w:name="OLE_LINK18"/>
      <w:r>
        <w:rPr>
          <w:rFonts w:hint="eastAsia"/>
        </w:rPr>
        <w:t>2024</w:t>
      </w:r>
      <w:r>
        <w:rPr>
          <w:rFonts w:hint="eastAsia"/>
        </w:rPr>
        <w:t>年中央对地方成品油税费改革转移支付资金用于</w:t>
      </w:r>
      <w:bookmarkStart w:id="194" w:name="OLE_LINK9"/>
      <w:r>
        <w:rPr>
          <w:rFonts w:hint="eastAsia"/>
        </w:rPr>
        <w:t>农村公路养护专项资金项目</w:t>
      </w:r>
      <w:bookmarkEnd w:id="193"/>
      <w:bookmarkEnd w:id="194"/>
      <w:r>
        <w:t>在</w:t>
      </w:r>
      <w:r>
        <w:rPr>
          <w:rFonts w:hint="eastAsia"/>
        </w:rPr>
        <w:t>尉犁</w:t>
      </w:r>
      <w:r>
        <w:t>县委、县政府</w:t>
      </w:r>
      <w:r>
        <w:t>的支持下，在相关部门的配合下，全面顺利完成，绩效评价</w:t>
      </w:r>
      <w:r>
        <w:t>“</w:t>
      </w:r>
      <w:r>
        <w:t>优</w:t>
      </w:r>
      <w:r>
        <w:t>”</w:t>
      </w:r>
      <w:r>
        <w:t>，主要经验及做法如下：</w:t>
      </w:r>
    </w:p>
    <w:p w:rsidR="000F6DAD" w:rsidRDefault="00F97CD5">
      <w:pPr>
        <w:ind w:firstLine="640"/>
      </w:pPr>
      <w:bookmarkStart w:id="195" w:name="OLE_LINK27"/>
      <w:r>
        <w:rPr>
          <w:rFonts w:hint="eastAsia"/>
        </w:rPr>
        <w:t>1.</w:t>
      </w:r>
      <w:r>
        <w:t>健全养护管理体制</w:t>
      </w:r>
      <w:r>
        <w:rPr>
          <w:rFonts w:hint="eastAsia"/>
        </w:rPr>
        <w:t>。</w:t>
      </w:r>
      <w:r>
        <w:t>高度重视</w:t>
      </w:r>
      <w:r>
        <w:rPr>
          <w:rFonts w:hint="eastAsia"/>
        </w:rPr>
        <w:t>2024</w:t>
      </w:r>
      <w:r>
        <w:rPr>
          <w:rFonts w:hint="eastAsia"/>
        </w:rPr>
        <w:t>年</w:t>
      </w:r>
      <w:r>
        <w:rPr>
          <w:rFonts w:hint="eastAsia"/>
        </w:rPr>
        <w:t>中央对地方成品油税费改革转移支付资金用于农村公路养护专项资金项目</w:t>
      </w:r>
      <w:r>
        <w:t>，明确各部门在农村公路养护管理中的职责，建立高效的协调沟通机制</w:t>
      </w:r>
      <w:r>
        <w:rPr>
          <w:rFonts w:hint="eastAsia"/>
        </w:rPr>
        <w:t>。</w:t>
      </w:r>
      <w:r>
        <w:rPr>
          <w:rFonts w:hint="eastAsia"/>
        </w:rPr>
        <w:t>尉犁县制定</w:t>
      </w:r>
      <w:r>
        <w:t>了详细的部门职责分工文件，交通部门负责技术指导与质量监督，财政部门确保资金及时足额拨付，乡镇政府负责组织实施日常养护工作</w:t>
      </w:r>
      <w:r>
        <w:rPr>
          <w:rFonts w:hint="eastAsia"/>
        </w:rPr>
        <w:t>。</w:t>
      </w:r>
    </w:p>
    <w:p w:rsidR="000F6DAD" w:rsidRDefault="00F97CD5">
      <w:pPr>
        <w:ind w:firstLine="640"/>
      </w:pPr>
      <w:bookmarkStart w:id="196" w:name="OLE_LINK57"/>
      <w:r>
        <w:t>2.</w:t>
      </w:r>
      <w:r>
        <w:t>明确资金责任主体与分担机制</w:t>
      </w:r>
      <w:r>
        <w:rPr>
          <w:rFonts w:hint="eastAsia"/>
        </w:rPr>
        <w:t>。</w:t>
      </w:r>
      <w:r>
        <w:t>政府主导，分级负责</w:t>
      </w:r>
      <w:r>
        <w:rPr>
          <w:rFonts w:hint="eastAsia"/>
        </w:rPr>
        <w:t>，</w:t>
      </w:r>
      <w:r>
        <w:t>尉犁</w:t>
      </w:r>
      <w:proofErr w:type="gramStart"/>
      <w:r>
        <w:t>县依据</w:t>
      </w:r>
      <w:proofErr w:type="gramEnd"/>
      <w:r>
        <w:t>相关政策文件，明确了县级人民政府为农村公路管理养护的责任主体。在资金分担上，县级财政承担主要份额，积极统筹资金用于农村公路养护。同时，尉犁县结合自身经济发展水平，合理规划资金投入，确保在有限的财政资源下，最大化保障农村公路养护需求。</w:t>
      </w:r>
    </w:p>
    <w:p w:rsidR="000F6DAD" w:rsidRDefault="00F97CD5">
      <w:pPr>
        <w:ind w:firstLine="640"/>
      </w:pPr>
      <w:r>
        <w:rPr>
          <w:rFonts w:hint="eastAsia"/>
        </w:rPr>
        <w:t>3.</w:t>
      </w:r>
      <w:r>
        <w:t>稳定资金来源与强化资金管理</w:t>
      </w:r>
      <w:r>
        <w:rPr>
          <w:rFonts w:hint="eastAsia"/>
        </w:rPr>
        <w:t>。地方各级人民政府根据农村公路养护实际需要，统筹本级财政预算安排资金。近年来，尉犁县财政不断加大对农村公路养护的投入力度。除了将专项资金纳入预算外，还根据当年农村公路养护的实际</w:t>
      </w:r>
      <w:r>
        <w:rPr>
          <w:rFonts w:hint="eastAsia"/>
        </w:rPr>
        <w:lastRenderedPageBreak/>
        <w:t>需求，灵活调整财政资金支持额度。如在一些自然灾害导致农村公路受</w:t>
      </w:r>
      <w:r>
        <w:rPr>
          <w:rFonts w:hint="eastAsia"/>
        </w:rPr>
        <w:t>损严重的年份，尉犁县财政及时追加资金，用于公路的抢修和恢复，保障农村公路的正常通行。</w:t>
      </w:r>
    </w:p>
    <w:p w:rsidR="000F6DAD" w:rsidRDefault="00F97CD5">
      <w:pPr>
        <w:ind w:firstLine="643"/>
        <w:rPr>
          <w:rFonts w:ascii="楷体" w:eastAsia="楷体" w:hAnsi="楷体" w:cs="楷体"/>
          <w:b/>
          <w:bCs/>
        </w:rPr>
      </w:pPr>
      <w:bookmarkStart w:id="197" w:name="_Toc27408"/>
      <w:bookmarkStart w:id="198" w:name="_Toc6359"/>
      <w:bookmarkStart w:id="199" w:name="_Toc4673"/>
      <w:bookmarkStart w:id="200" w:name="_Toc11238"/>
      <w:bookmarkEnd w:id="196"/>
      <w:r>
        <w:rPr>
          <w:rFonts w:ascii="楷体" w:eastAsia="楷体" w:hAnsi="楷体" w:cs="楷体" w:hint="eastAsia"/>
          <w:b/>
          <w:bCs/>
        </w:rPr>
        <w:t>（二）存在的问题及分析</w:t>
      </w:r>
      <w:bookmarkEnd w:id="197"/>
      <w:bookmarkEnd w:id="198"/>
      <w:bookmarkEnd w:id="199"/>
      <w:bookmarkEnd w:id="200"/>
    </w:p>
    <w:p w:rsidR="000F6DAD" w:rsidRDefault="00F97CD5">
      <w:pPr>
        <w:ind w:firstLine="640"/>
      </w:pPr>
      <w:bookmarkStart w:id="201" w:name="OLE_LINK26"/>
      <w:bookmarkStart w:id="202" w:name="_Toc20116"/>
      <w:bookmarkStart w:id="203" w:name="_Toc5702"/>
      <w:bookmarkStart w:id="204" w:name="_Toc13345"/>
      <w:bookmarkStart w:id="205" w:name="_Toc22271"/>
      <w:bookmarkStart w:id="206" w:name="_Toc13270"/>
      <w:bookmarkStart w:id="207" w:name="OLE_LINK58"/>
      <w:r>
        <w:rPr>
          <w:rFonts w:hint="eastAsia"/>
        </w:rPr>
        <w:t>1.</w:t>
      </w:r>
      <w:r>
        <w:t>农村公路养护的信息化建设滞后，缺乏完善的路况监测系统和养护管理信息平台。无法实时掌握公路的路况信息，难以及时发现路面病害和安全隐患。在养护计划制定和资源调配方面，也主要依靠人工经验，缺乏科学的数据支持，导致养护工作的针对性和及时性不足。</w:t>
      </w:r>
      <w:bookmarkEnd w:id="201"/>
    </w:p>
    <w:p w:rsidR="000F6DAD" w:rsidRDefault="00F97CD5">
      <w:pPr>
        <w:ind w:firstLine="640"/>
      </w:pPr>
      <w:r>
        <w:rPr>
          <w:rFonts w:hint="eastAsia"/>
        </w:rPr>
        <w:t>2.</w:t>
      </w:r>
      <w:r>
        <w:rPr>
          <w:rFonts w:hint="eastAsia"/>
        </w:rPr>
        <w:t>对于农村公路养护工作的考核监督缺乏明确的指标体系和有效的监督手段。养护工作的质量好坏缺乏客观评价。同时，对于养护资金的使用情况、养护工程的实施进度和质量等方面的监督不到位。</w:t>
      </w:r>
    </w:p>
    <w:bookmarkEnd w:id="192"/>
    <w:p w:rsidR="000F6DAD" w:rsidRDefault="00F97CD5">
      <w:pPr>
        <w:pStyle w:val="2"/>
        <w:keepNext w:val="0"/>
        <w:ind w:firstLine="640"/>
        <w:rPr>
          <w:rFonts w:ascii="黑体" w:hAnsi="黑体" w:cs="黑体"/>
        </w:rPr>
      </w:pPr>
      <w:r>
        <w:rPr>
          <w:rFonts w:ascii="黑体" w:hAnsi="黑体" w:cs="黑体" w:hint="eastAsia"/>
        </w:rPr>
        <w:t>六、有关建议</w:t>
      </w:r>
      <w:bookmarkEnd w:id="202"/>
      <w:bookmarkEnd w:id="203"/>
      <w:bookmarkEnd w:id="204"/>
      <w:bookmarkEnd w:id="205"/>
      <w:bookmarkEnd w:id="206"/>
    </w:p>
    <w:p w:rsidR="000F6DAD" w:rsidRDefault="00F97CD5">
      <w:pPr>
        <w:ind w:firstLine="640"/>
      </w:pPr>
      <w:bookmarkStart w:id="208" w:name="OLE_LINK39"/>
      <w:bookmarkStart w:id="209" w:name="_Toc22823"/>
      <w:bookmarkStart w:id="210" w:name="_Toc21621"/>
      <w:bookmarkStart w:id="211" w:name="_Toc24871"/>
      <w:bookmarkStart w:id="212" w:name="_Toc5794"/>
      <w:bookmarkStart w:id="213" w:name="_Toc12100"/>
      <w:r>
        <w:rPr>
          <w:rFonts w:hint="eastAsia"/>
        </w:rPr>
        <w:t>1.</w:t>
      </w:r>
      <w:r>
        <w:t>建立标准化养护作业流程：由</w:t>
      </w:r>
      <w:r>
        <w:rPr>
          <w:rFonts w:hint="eastAsia"/>
        </w:rPr>
        <w:t>上</w:t>
      </w:r>
      <w:r>
        <w:t>级交通部门制定统一的农村公路标准化养护作业流程手册，明确从日常巡查、路面清扫、病害处理</w:t>
      </w:r>
      <w:proofErr w:type="gramStart"/>
      <w:r>
        <w:t>到设施</w:t>
      </w:r>
      <w:proofErr w:type="gramEnd"/>
      <w:r>
        <w:t>维护等各个环节的操作规范、技术要求与质量标准。各地养护部门严格按照手册执行，确保养护工作的规范化与一致性。</w:t>
      </w:r>
    </w:p>
    <w:p w:rsidR="000F6DAD" w:rsidRDefault="00F97CD5">
      <w:pPr>
        <w:ind w:firstLine="640"/>
      </w:pPr>
      <w:r>
        <w:rPr>
          <w:rFonts w:hint="eastAsia"/>
        </w:rPr>
        <w:t>2.</w:t>
      </w:r>
      <w:r>
        <w:t>加强公众参与监督机制：开通农村公路养护公众监督热线与线上举报平台，鼓励村民对养护工作</w:t>
      </w:r>
      <w:r>
        <w:t>中的问题，如养护不到位、资金挪用等进行举报。对查证属实的举报给予举</w:t>
      </w:r>
      <w:r>
        <w:lastRenderedPageBreak/>
        <w:t>报人一定奖励。同时，定期邀请村民代表参与养护工作满意度调查与项目验收，充分听取公众意见，提升养护工作的透明度与公信力。</w:t>
      </w:r>
    </w:p>
    <w:bookmarkEnd w:id="195"/>
    <w:bookmarkEnd w:id="207"/>
    <w:bookmarkEnd w:id="208"/>
    <w:p w:rsidR="000F6DAD" w:rsidRDefault="00F97CD5">
      <w:pPr>
        <w:pStyle w:val="2"/>
        <w:keepNext w:val="0"/>
        <w:ind w:firstLine="640"/>
        <w:rPr>
          <w:rFonts w:ascii="黑体" w:hAnsi="黑体" w:cs="黑体"/>
        </w:rPr>
      </w:pPr>
      <w:r>
        <w:rPr>
          <w:rFonts w:ascii="黑体" w:hAnsi="黑体" w:cs="黑体"/>
        </w:rPr>
        <w:t>七、其他需要说明的问题</w:t>
      </w:r>
      <w:bookmarkEnd w:id="209"/>
      <w:bookmarkEnd w:id="210"/>
      <w:bookmarkEnd w:id="211"/>
      <w:bookmarkEnd w:id="212"/>
      <w:bookmarkEnd w:id="213"/>
    </w:p>
    <w:p w:rsidR="000F6DAD" w:rsidRDefault="00F97CD5">
      <w:pPr>
        <w:ind w:firstLine="640"/>
      </w:pPr>
      <w:r>
        <w:rPr>
          <w:rFonts w:hint="eastAsia"/>
        </w:rPr>
        <w:t>1</w:t>
      </w:r>
      <w:r>
        <w:rPr>
          <w:rFonts w:hint="eastAsia"/>
        </w:rPr>
        <w:t>、</w:t>
      </w:r>
      <w:r>
        <w:t>本项目部分间接产生的效果无法准确在短期内衡量，因此很难认定项目产生的全部效果。通过指标来反映绩效，指标的科学性和全面性需要不断地完善和研究。</w:t>
      </w:r>
    </w:p>
    <w:p w:rsidR="000F6DAD" w:rsidRDefault="00F97CD5">
      <w:pPr>
        <w:ind w:firstLine="640"/>
      </w:pPr>
      <w:r>
        <w:rPr>
          <w:rFonts w:hint="eastAsia"/>
        </w:rPr>
        <w:t>2</w:t>
      </w:r>
      <w:r>
        <w:rPr>
          <w:rFonts w:hint="eastAsia"/>
        </w:rPr>
        <w:t>、</w:t>
      </w:r>
      <w:r>
        <w:t>评价结果分别编入政府决算和部门预算，报送本级人民代表大会常务委员会，并依法予以公开。</w:t>
      </w:r>
    </w:p>
    <w:p w:rsidR="000F6DAD" w:rsidRDefault="00F97CD5">
      <w:pPr>
        <w:pStyle w:val="2"/>
        <w:keepNext w:val="0"/>
        <w:ind w:firstLine="640"/>
        <w:rPr>
          <w:rFonts w:ascii="黑体" w:hAnsi="黑体" w:cs="黑体"/>
        </w:rPr>
      </w:pPr>
      <w:bookmarkStart w:id="214" w:name="_Toc30245"/>
      <w:bookmarkStart w:id="215" w:name="_Toc28493"/>
      <w:bookmarkStart w:id="216" w:name="_Toc4210"/>
      <w:r>
        <w:rPr>
          <w:rFonts w:ascii="黑体" w:hAnsi="黑体" w:cs="黑体"/>
        </w:rPr>
        <w:t>八、附件</w:t>
      </w:r>
      <w:bookmarkEnd w:id="214"/>
      <w:bookmarkEnd w:id="215"/>
      <w:bookmarkEnd w:id="216"/>
    </w:p>
    <w:p w:rsidR="000F6DAD" w:rsidRDefault="00F97CD5">
      <w:pPr>
        <w:ind w:firstLine="640"/>
      </w:pPr>
      <w:r>
        <w:t>1</w:t>
      </w:r>
      <w:r>
        <w:t>、项目支出绩效自评表</w:t>
      </w:r>
    </w:p>
    <w:p w:rsidR="000F6DAD" w:rsidRDefault="00F97CD5">
      <w:pPr>
        <w:ind w:firstLine="640"/>
      </w:pPr>
      <w:r>
        <w:t>2</w:t>
      </w:r>
      <w:r>
        <w:t>、项目支出绩效评价指标体系及评</w:t>
      </w:r>
      <w:r>
        <w:t>分</w:t>
      </w:r>
    </w:p>
    <w:p w:rsidR="000F6DAD" w:rsidRDefault="000F6DAD">
      <w:pPr>
        <w:ind w:firstLine="640"/>
      </w:pPr>
    </w:p>
    <w:p w:rsidR="000F6DAD" w:rsidRDefault="000F6DAD">
      <w:pPr>
        <w:ind w:firstLine="640"/>
      </w:pPr>
    </w:p>
    <w:p w:rsidR="000F6DAD" w:rsidRDefault="000F6DAD">
      <w:pPr>
        <w:ind w:firstLine="640"/>
      </w:pPr>
    </w:p>
    <w:p w:rsidR="000F6DAD" w:rsidRDefault="000F6DAD">
      <w:pPr>
        <w:ind w:firstLine="640"/>
      </w:pPr>
    </w:p>
    <w:p w:rsidR="000F6DAD" w:rsidRDefault="000F6DAD">
      <w:pPr>
        <w:pStyle w:val="2"/>
        <w:ind w:firstLine="640"/>
        <w:rPr>
          <w:rFonts w:eastAsia="仿宋_GB2312"/>
        </w:rPr>
        <w:sectPr w:rsidR="000F6DAD">
          <w:footerReference w:type="default" r:id="rId6"/>
          <w:pgSz w:w="11906" w:h="16838"/>
          <w:pgMar w:top="1440" w:right="1800" w:bottom="1440" w:left="1800" w:header="851" w:footer="992" w:gutter="0"/>
          <w:cols w:space="720"/>
          <w:docGrid w:type="lines" w:linePitch="312"/>
        </w:sectPr>
      </w:pPr>
      <w:bookmarkStart w:id="217" w:name="_Toc15698"/>
      <w:bookmarkStart w:id="218" w:name="_Toc28598"/>
    </w:p>
    <w:p w:rsidR="000F6DAD" w:rsidRDefault="00F97CD5">
      <w:pPr>
        <w:pStyle w:val="2"/>
        <w:ind w:firstLine="643"/>
        <w:rPr>
          <w:rFonts w:eastAsia="仿宋_GB2312"/>
          <w:b/>
          <w:bCs w:val="0"/>
        </w:rPr>
      </w:pPr>
      <w:r>
        <w:rPr>
          <w:rFonts w:eastAsia="仿宋_GB2312"/>
          <w:b/>
          <w:bCs w:val="0"/>
        </w:rPr>
        <w:lastRenderedPageBreak/>
        <w:t>附件</w:t>
      </w:r>
      <w:r>
        <w:rPr>
          <w:rFonts w:eastAsia="仿宋_GB2312"/>
          <w:b/>
          <w:bCs w:val="0"/>
        </w:rPr>
        <w:t>1</w:t>
      </w:r>
      <w:r>
        <w:rPr>
          <w:rFonts w:eastAsia="仿宋_GB2312"/>
          <w:b/>
          <w:bCs w:val="0"/>
        </w:rPr>
        <w:t>：</w:t>
      </w:r>
      <w:bookmarkEnd w:id="217"/>
      <w:bookmarkEnd w:id="218"/>
      <w:r>
        <w:rPr>
          <w:rFonts w:eastAsia="仿宋_GB2312"/>
          <w:b/>
          <w:bCs w:val="0"/>
        </w:rPr>
        <w:t>项目支出绩效自评表</w:t>
      </w:r>
    </w:p>
    <w:p w:rsidR="000F6DAD" w:rsidRDefault="00F97CD5">
      <w:pPr>
        <w:ind w:firstLineChars="0" w:firstLine="0"/>
        <w:jc w:val="center"/>
        <w:rPr>
          <w:b/>
          <w:bCs/>
        </w:rPr>
      </w:pPr>
      <w:r>
        <w:rPr>
          <w:b/>
          <w:bCs/>
        </w:rPr>
        <w:t>项目支出绩效自评表</w:t>
      </w:r>
    </w:p>
    <w:tbl>
      <w:tblPr>
        <w:tblW w:w="5000" w:type="pct"/>
        <w:tblLook w:val="04A0" w:firstRow="1" w:lastRow="0" w:firstColumn="1" w:lastColumn="0" w:noHBand="0" w:noVBand="1"/>
      </w:tblPr>
      <w:tblGrid>
        <w:gridCol w:w="892"/>
        <w:gridCol w:w="921"/>
        <w:gridCol w:w="916"/>
        <w:gridCol w:w="1162"/>
        <w:gridCol w:w="1140"/>
        <w:gridCol w:w="916"/>
        <w:gridCol w:w="916"/>
        <w:gridCol w:w="899"/>
        <w:gridCol w:w="935"/>
        <w:gridCol w:w="916"/>
        <w:gridCol w:w="1267"/>
        <w:gridCol w:w="1381"/>
        <w:gridCol w:w="853"/>
        <w:gridCol w:w="1060"/>
      </w:tblGrid>
      <w:tr w:rsidR="000F6DAD">
        <w:trPr>
          <w:trHeight w:val="800"/>
        </w:trPr>
        <w:tc>
          <w:tcPr>
            <w:tcW w:w="5000" w:type="pct"/>
            <w:gridSpan w:val="14"/>
            <w:tcBorders>
              <w:top w:val="single" w:sz="4" w:space="0" w:color="000000"/>
              <w:left w:val="single" w:sz="4" w:space="0" w:color="000000"/>
              <w:bottom w:val="single" w:sz="4" w:space="0" w:color="000000"/>
              <w:right w:val="single" w:sz="4" w:space="0" w:color="000000"/>
            </w:tcBorders>
            <w:vAlign w:val="center"/>
          </w:tcPr>
          <w:p w:rsidR="000F6DAD" w:rsidRDefault="00F97CD5">
            <w:pPr>
              <w:widowControl/>
              <w:ind w:firstLine="442"/>
              <w:jc w:val="center"/>
              <w:textAlignment w:val="center"/>
              <w:rPr>
                <w:rFonts w:ascii="宋体" w:hAnsi="宋体" w:cs="宋体"/>
                <w:b/>
                <w:bCs/>
                <w:sz w:val="22"/>
              </w:rPr>
            </w:pPr>
            <w:r>
              <w:rPr>
                <w:rFonts w:ascii="宋体" w:hAnsi="宋体" w:cs="宋体" w:hint="eastAsia"/>
                <w:b/>
                <w:bCs/>
                <w:kern w:val="0"/>
                <w:sz w:val="22"/>
                <w:lang w:bidi="ar"/>
              </w:rPr>
              <w:t>(2024</w:t>
            </w:r>
            <w:r>
              <w:rPr>
                <w:rFonts w:ascii="宋体" w:hAnsi="宋体" w:cs="宋体" w:hint="eastAsia"/>
                <w:b/>
                <w:bCs/>
                <w:kern w:val="0"/>
                <w:sz w:val="22"/>
                <w:lang w:bidi="ar"/>
              </w:rPr>
              <w:t>年度</w:t>
            </w:r>
            <w:r>
              <w:rPr>
                <w:rFonts w:ascii="宋体" w:hAnsi="宋体" w:cs="宋体" w:hint="eastAsia"/>
                <w:b/>
                <w:bCs/>
                <w:kern w:val="0"/>
                <w:sz w:val="22"/>
                <w:lang w:bidi="ar"/>
              </w:rPr>
              <w:t>)</w:t>
            </w:r>
          </w:p>
        </w:tc>
      </w:tr>
      <w:tr w:rsidR="000F6DAD">
        <w:trPr>
          <w:trHeight w:val="270"/>
        </w:trPr>
        <w:tc>
          <w:tcPr>
            <w:tcW w:w="640"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项目名称</w:t>
            </w:r>
          </w:p>
        </w:tc>
        <w:tc>
          <w:tcPr>
            <w:tcW w:w="4359" w:type="pct"/>
            <w:gridSpan w:val="1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2024</w:t>
            </w:r>
            <w:r>
              <w:rPr>
                <w:rFonts w:cs="宋体" w:hint="eastAsia"/>
                <w:kern w:val="0"/>
                <w:sz w:val="18"/>
                <w:szCs w:val="18"/>
                <w:lang w:bidi="ar"/>
              </w:rPr>
              <w:t>年中央对地方成品油税费改革转移支付资金用于农村公路养护专项资金项目</w:t>
            </w:r>
          </w:p>
        </w:tc>
      </w:tr>
      <w:tr w:rsidR="000F6DAD">
        <w:trPr>
          <w:trHeight w:val="600"/>
        </w:trPr>
        <w:tc>
          <w:tcPr>
            <w:tcW w:w="640"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主管部门</w:t>
            </w:r>
          </w:p>
        </w:tc>
        <w:tc>
          <w:tcPr>
            <w:tcW w:w="1781" w:type="pct"/>
            <w:gridSpan w:val="5"/>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尉犁县交通运输局</w:t>
            </w:r>
          </w:p>
        </w:tc>
        <w:tc>
          <w:tcPr>
            <w:tcW w:w="646"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实施单位</w:t>
            </w:r>
          </w:p>
        </w:tc>
        <w:tc>
          <w:tcPr>
            <w:tcW w:w="1931" w:type="pct"/>
            <w:gridSpan w:val="5"/>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尉犁县交通运输局</w:t>
            </w:r>
          </w:p>
        </w:tc>
      </w:tr>
      <w:tr w:rsidR="000F6DAD">
        <w:trPr>
          <w:trHeight w:val="440"/>
        </w:trPr>
        <w:tc>
          <w:tcPr>
            <w:tcW w:w="640" w:type="pct"/>
            <w:gridSpan w:val="2"/>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项目资金</w:t>
            </w:r>
            <w:r>
              <w:rPr>
                <w:rFonts w:cs="宋体" w:hint="eastAsia"/>
                <w:kern w:val="0"/>
                <w:sz w:val="18"/>
                <w:szCs w:val="18"/>
                <w:lang w:bidi="ar"/>
              </w:rPr>
              <w:br/>
            </w:r>
            <w:r>
              <w:rPr>
                <w:rFonts w:cs="宋体" w:hint="eastAsia"/>
                <w:kern w:val="0"/>
                <w:sz w:val="18"/>
                <w:szCs w:val="18"/>
                <w:lang w:bidi="ar"/>
              </w:rPr>
              <w:t>（万元）</w:t>
            </w:r>
          </w:p>
        </w:tc>
        <w:tc>
          <w:tcPr>
            <w:tcW w:w="733"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资金来源</w:t>
            </w:r>
          </w:p>
        </w:tc>
        <w:tc>
          <w:tcPr>
            <w:tcW w:w="402"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年初预算数</w:t>
            </w:r>
          </w:p>
        </w:tc>
        <w:tc>
          <w:tcPr>
            <w:tcW w:w="646"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全年预算数</w:t>
            </w:r>
          </w:p>
        </w:tc>
        <w:tc>
          <w:tcPr>
            <w:tcW w:w="646"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全年执行数</w:t>
            </w:r>
          </w:p>
        </w:tc>
        <w:tc>
          <w:tcPr>
            <w:tcW w:w="770"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分值权重</w:t>
            </w:r>
          </w:p>
        </w:tc>
        <w:tc>
          <w:tcPr>
            <w:tcW w:w="788"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执行率</w:t>
            </w:r>
          </w:p>
        </w:tc>
        <w:tc>
          <w:tcPr>
            <w:tcW w:w="372"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得分</w:t>
            </w:r>
          </w:p>
        </w:tc>
      </w:tr>
      <w:tr w:rsidR="000F6DAD">
        <w:trPr>
          <w:trHeight w:val="440"/>
        </w:trPr>
        <w:tc>
          <w:tcPr>
            <w:tcW w:w="640" w:type="pct"/>
            <w:gridSpan w:val="2"/>
            <w:vMerge/>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18"/>
                <w:szCs w:val="18"/>
              </w:rPr>
            </w:pPr>
          </w:p>
        </w:tc>
        <w:tc>
          <w:tcPr>
            <w:tcW w:w="733"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年度资金总额</w:t>
            </w:r>
          </w:p>
        </w:tc>
        <w:tc>
          <w:tcPr>
            <w:tcW w:w="402"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107.00</w:t>
            </w:r>
          </w:p>
        </w:tc>
        <w:tc>
          <w:tcPr>
            <w:tcW w:w="646"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96.99</w:t>
            </w:r>
          </w:p>
        </w:tc>
        <w:tc>
          <w:tcPr>
            <w:tcW w:w="646"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96.99</w:t>
            </w:r>
          </w:p>
        </w:tc>
        <w:tc>
          <w:tcPr>
            <w:tcW w:w="770"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10</w:t>
            </w:r>
          </w:p>
        </w:tc>
        <w:tc>
          <w:tcPr>
            <w:tcW w:w="788"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100.00%</w:t>
            </w:r>
          </w:p>
        </w:tc>
        <w:tc>
          <w:tcPr>
            <w:tcW w:w="372"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textAlignment w:val="center"/>
              <w:rPr>
                <w:rFonts w:cs="宋体"/>
                <w:sz w:val="18"/>
                <w:szCs w:val="18"/>
              </w:rPr>
            </w:pPr>
            <w:r>
              <w:rPr>
                <w:rFonts w:cs="宋体" w:hint="eastAsia"/>
                <w:kern w:val="0"/>
                <w:sz w:val="18"/>
                <w:szCs w:val="18"/>
                <w:lang w:bidi="ar"/>
              </w:rPr>
              <w:t>10.00</w:t>
            </w:r>
            <w:r>
              <w:rPr>
                <w:rFonts w:cs="宋体" w:hint="eastAsia"/>
                <w:kern w:val="0"/>
                <w:sz w:val="18"/>
                <w:szCs w:val="18"/>
                <w:lang w:bidi="ar"/>
              </w:rPr>
              <w:t>分</w:t>
            </w:r>
          </w:p>
        </w:tc>
      </w:tr>
      <w:tr w:rsidR="000F6DAD">
        <w:trPr>
          <w:trHeight w:val="440"/>
        </w:trPr>
        <w:tc>
          <w:tcPr>
            <w:tcW w:w="640" w:type="pct"/>
            <w:gridSpan w:val="2"/>
            <w:vMerge/>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18"/>
                <w:szCs w:val="18"/>
              </w:rPr>
            </w:pPr>
          </w:p>
        </w:tc>
        <w:tc>
          <w:tcPr>
            <w:tcW w:w="733"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其中：当年财政拨款</w:t>
            </w:r>
          </w:p>
        </w:tc>
        <w:tc>
          <w:tcPr>
            <w:tcW w:w="402"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107</w:t>
            </w:r>
            <w:r>
              <w:rPr>
                <w:rFonts w:cs="宋体" w:hint="eastAsia"/>
                <w:kern w:val="0"/>
                <w:sz w:val="18"/>
                <w:szCs w:val="18"/>
                <w:lang w:bidi="ar"/>
              </w:rPr>
              <w:t>.00</w:t>
            </w:r>
          </w:p>
        </w:tc>
        <w:tc>
          <w:tcPr>
            <w:tcW w:w="646"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96.99</w:t>
            </w:r>
          </w:p>
        </w:tc>
        <w:tc>
          <w:tcPr>
            <w:tcW w:w="646"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96.99</w:t>
            </w:r>
          </w:p>
        </w:tc>
        <w:tc>
          <w:tcPr>
            <w:tcW w:w="770"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w:t>
            </w:r>
          </w:p>
        </w:tc>
        <w:tc>
          <w:tcPr>
            <w:tcW w:w="788"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w:t>
            </w:r>
          </w:p>
        </w:tc>
        <w:tc>
          <w:tcPr>
            <w:tcW w:w="372"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w:t>
            </w:r>
          </w:p>
        </w:tc>
      </w:tr>
      <w:tr w:rsidR="000F6DAD">
        <w:trPr>
          <w:trHeight w:val="440"/>
        </w:trPr>
        <w:tc>
          <w:tcPr>
            <w:tcW w:w="640" w:type="pct"/>
            <w:gridSpan w:val="2"/>
            <w:vMerge/>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18"/>
                <w:szCs w:val="18"/>
              </w:rPr>
            </w:pPr>
          </w:p>
        </w:tc>
        <w:tc>
          <w:tcPr>
            <w:tcW w:w="733"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其他资金</w:t>
            </w:r>
          </w:p>
        </w:tc>
        <w:tc>
          <w:tcPr>
            <w:tcW w:w="402"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0</w:t>
            </w:r>
          </w:p>
        </w:tc>
        <w:tc>
          <w:tcPr>
            <w:tcW w:w="646"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bookmarkStart w:id="219" w:name="OLE_LINK44"/>
            <w:r>
              <w:rPr>
                <w:rFonts w:cs="宋体" w:hint="eastAsia"/>
                <w:kern w:val="0"/>
                <w:sz w:val="18"/>
                <w:szCs w:val="18"/>
                <w:lang w:bidi="ar"/>
              </w:rPr>
              <w:t>0</w:t>
            </w:r>
            <w:bookmarkEnd w:id="219"/>
          </w:p>
        </w:tc>
        <w:tc>
          <w:tcPr>
            <w:tcW w:w="646"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rPr>
                <w:rFonts w:cs="宋体"/>
                <w:sz w:val="18"/>
                <w:szCs w:val="18"/>
              </w:rPr>
            </w:pPr>
            <w:r>
              <w:rPr>
                <w:rFonts w:cs="宋体" w:hint="eastAsia"/>
                <w:kern w:val="0"/>
                <w:sz w:val="18"/>
                <w:szCs w:val="18"/>
                <w:lang w:bidi="ar"/>
              </w:rPr>
              <w:t>0</w:t>
            </w:r>
          </w:p>
        </w:tc>
        <w:tc>
          <w:tcPr>
            <w:tcW w:w="770"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w:t>
            </w:r>
          </w:p>
        </w:tc>
        <w:tc>
          <w:tcPr>
            <w:tcW w:w="788" w:type="pct"/>
            <w:gridSpan w:val="2"/>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w:t>
            </w:r>
          </w:p>
        </w:tc>
        <w:tc>
          <w:tcPr>
            <w:tcW w:w="372"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w:t>
            </w:r>
          </w:p>
        </w:tc>
      </w:tr>
      <w:tr w:rsidR="000F6DAD">
        <w:trPr>
          <w:trHeight w:val="600"/>
        </w:trPr>
        <w:tc>
          <w:tcPr>
            <w:tcW w:w="315"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年度总体目标</w:t>
            </w:r>
          </w:p>
        </w:tc>
        <w:tc>
          <w:tcPr>
            <w:tcW w:w="2753" w:type="pct"/>
            <w:gridSpan w:val="8"/>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总体目标</w:t>
            </w:r>
          </w:p>
        </w:tc>
        <w:tc>
          <w:tcPr>
            <w:tcW w:w="1931" w:type="pct"/>
            <w:gridSpan w:val="5"/>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总体目标完成情况</w:t>
            </w:r>
          </w:p>
        </w:tc>
      </w:tr>
      <w:tr w:rsidR="000F6DAD">
        <w:trPr>
          <w:trHeight w:val="600"/>
        </w:trPr>
        <w:tc>
          <w:tcPr>
            <w:tcW w:w="315"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18"/>
                <w:szCs w:val="18"/>
              </w:rPr>
            </w:pPr>
          </w:p>
        </w:tc>
        <w:tc>
          <w:tcPr>
            <w:tcW w:w="2753" w:type="pct"/>
            <w:gridSpan w:val="8"/>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深化农村公路管理养护体制改革，对全县农村公路</w:t>
            </w:r>
            <w:r>
              <w:rPr>
                <w:rFonts w:cs="宋体" w:hint="eastAsia"/>
                <w:kern w:val="0"/>
                <w:sz w:val="18"/>
                <w:szCs w:val="18"/>
                <w:lang w:bidi="ar"/>
              </w:rPr>
              <w:t>1300.591</w:t>
            </w:r>
            <w:r>
              <w:rPr>
                <w:rFonts w:cs="宋体" w:hint="eastAsia"/>
                <w:kern w:val="0"/>
                <w:sz w:val="18"/>
                <w:szCs w:val="18"/>
                <w:lang w:bidi="ar"/>
              </w:rPr>
              <w:t>公里开展技术状况评定工作，计划对</w:t>
            </w:r>
            <w:r>
              <w:rPr>
                <w:rFonts w:cs="宋体" w:hint="eastAsia"/>
                <w:kern w:val="0"/>
                <w:sz w:val="18"/>
                <w:szCs w:val="18"/>
                <w:lang w:bidi="ar"/>
              </w:rPr>
              <w:t>182.426</w:t>
            </w:r>
            <w:r>
              <w:rPr>
                <w:rFonts w:cs="宋体" w:hint="eastAsia"/>
                <w:kern w:val="0"/>
                <w:sz w:val="18"/>
                <w:szCs w:val="18"/>
                <w:lang w:bidi="ar"/>
              </w:rPr>
              <w:t>公里县道进行日常养护。提高农村公路管养水平，确保实现“有路必养、养必到位”的管养目标，推动“四好农村路”建设高质量发展。</w:t>
            </w:r>
          </w:p>
        </w:tc>
        <w:tc>
          <w:tcPr>
            <w:tcW w:w="1931" w:type="pct"/>
            <w:gridSpan w:val="5"/>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我局对全县农村公路</w:t>
            </w:r>
            <w:r>
              <w:rPr>
                <w:rFonts w:cs="宋体" w:hint="eastAsia"/>
                <w:kern w:val="0"/>
                <w:sz w:val="18"/>
                <w:szCs w:val="18"/>
                <w:lang w:bidi="ar"/>
              </w:rPr>
              <w:t>1300.591</w:t>
            </w:r>
            <w:r>
              <w:rPr>
                <w:rFonts w:cs="宋体" w:hint="eastAsia"/>
                <w:kern w:val="0"/>
                <w:sz w:val="18"/>
                <w:szCs w:val="18"/>
                <w:lang w:bidi="ar"/>
              </w:rPr>
              <w:t>公里开展技术状况评定工作，完成对</w:t>
            </w:r>
            <w:r>
              <w:rPr>
                <w:rFonts w:cs="宋体" w:hint="eastAsia"/>
                <w:kern w:val="0"/>
                <w:sz w:val="18"/>
                <w:szCs w:val="18"/>
                <w:lang w:bidi="ar"/>
              </w:rPr>
              <w:t>182.426</w:t>
            </w:r>
            <w:r>
              <w:rPr>
                <w:rFonts w:cs="宋体" w:hint="eastAsia"/>
                <w:kern w:val="0"/>
                <w:sz w:val="18"/>
                <w:szCs w:val="18"/>
                <w:lang w:bidi="ar"/>
              </w:rPr>
              <w:t>公里县道进行日常养护，养护费用共计</w:t>
            </w:r>
            <w:r>
              <w:rPr>
                <w:rFonts w:cs="宋体" w:hint="eastAsia"/>
                <w:kern w:val="0"/>
                <w:sz w:val="18"/>
                <w:szCs w:val="18"/>
                <w:lang w:bidi="ar"/>
              </w:rPr>
              <w:t>96.99</w:t>
            </w:r>
            <w:r>
              <w:rPr>
                <w:rFonts w:cs="宋体" w:hint="eastAsia"/>
                <w:kern w:val="0"/>
                <w:sz w:val="18"/>
                <w:szCs w:val="18"/>
                <w:lang w:bidi="ar"/>
              </w:rPr>
              <w:t>万元。提高农村公路管养水平，达成了“有路必养、养必到位”的管养目标，推动“四好农村路”建设高质量发展。</w:t>
            </w:r>
          </w:p>
        </w:tc>
      </w:tr>
      <w:tr w:rsidR="000F6DAD">
        <w:trPr>
          <w:trHeight w:val="1104"/>
        </w:trPr>
        <w:tc>
          <w:tcPr>
            <w:tcW w:w="315" w:type="pct"/>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18"/>
                <w:szCs w:val="18"/>
              </w:rPr>
            </w:pPr>
          </w:p>
        </w:tc>
        <w:tc>
          <w:tcPr>
            <w:tcW w:w="324"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一级指标</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二级指标</w:t>
            </w:r>
          </w:p>
        </w:tc>
        <w:tc>
          <w:tcPr>
            <w:tcW w:w="409"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三级指标</w:t>
            </w:r>
          </w:p>
        </w:tc>
        <w:tc>
          <w:tcPr>
            <w:tcW w:w="402"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指标值</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指标值设置依据</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上年完成值</w:t>
            </w:r>
          </w:p>
        </w:tc>
        <w:tc>
          <w:tcPr>
            <w:tcW w:w="317"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指标分值权重</w:t>
            </w:r>
          </w:p>
        </w:tc>
        <w:tc>
          <w:tcPr>
            <w:tcW w:w="329"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proofErr w:type="gramStart"/>
            <w:r>
              <w:rPr>
                <w:rFonts w:cs="宋体" w:hint="eastAsia"/>
                <w:kern w:val="0"/>
                <w:sz w:val="18"/>
                <w:szCs w:val="18"/>
                <w:lang w:bidi="ar"/>
              </w:rPr>
              <w:t>指标赋分规则</w:t>
            </w:r>
            <w:proofErr w:type="gramEnd"/>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佐证资料</w:t>
            </w:r>
          </w:p>
        </w:tc>
        <w:tc>
          <w:tcPr>
            <w:tcW w:w="446"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指标实际完成值</w:t>
            </w:r>
          </w:p>
        </w:tc>
        <w:tc>
          <w:tcPr>
            <w:tcW w:w="487"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完成率</w:t>
            </w:r>
          </w:p>
        </w:tc>
        <w:tc>
          <w:tcPr>
            <w:tcW w:w="300"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指标得分</w:t>
            </w:r>
          </w:p>
        </w:tc>
        <w:tc>
          <w:tcPr>
            <w:tcW w:w="372"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偏差原因分析及改进措施</w:t>
            </w:r>
          </w:p>
        </w:tc>
      </w:tr>
      <w:tr w:rsidR="000F6DAD">
        <w:trPr>
          <w:trHeight w:val="600"/>
        </w:trPr>
        <w:tc>
          <w:tcPr>
            <w:tcW w:w="315"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textAlignment w:val="center"/>
              <w:rPr>
                <w:rFonts w:cs="宋体"/>
                <w:sz w:val="20"/>
                <w:szCs w:val="20"/>
              </w:rPr>
            </w:pPr>
            <w:r>
              <w:rPr>
                <w:rFonts w:cs="宋体" w:hint="eastAsia"/>
                <w:kern w:val="0"/>
                <w:sz w:val="20"/>
                <w:szCs w:val="20"/>
                <w:lang w:bidi="ar"/>
              </w:rPr>
              <w:t>年度绩效指标完成情</w:t>
            </w:r>
            <w:r>
              <w:rPr>
                <w:rFonts w:cs="宋体" w:hint="eastAsia"/>
                <w:kern w:val="0"/>
                <w:sz w:val="20"/>
                <w:szCs w:val="20"/>
                <w:lang w:bidi="ar"/>
              </w:rPr>
              <w:lastRenderedPageBreak/>
              <w:t>况</w:t>
            </w:r>
          </w:p>
        </w:tc>
        <w:tc>
          <w:tcPr>
            <w:tcW w:w="324"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lastRenderedPageBreak/>
              <w:t>产出指标</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数量指标</w:t>
            </w:r>
          </w:p>
        </w:tc>
        <w:tc>
          <w:tcPr>
            <w:tcW w:w="409"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农村公路技术状况评定里程</w:t>
            </w:r>
          </w:p>
        </w:tc>
        <w:tc>
          <w:tcPr>
            <w:tcW w:w="402"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&gt;=1300.59</w:t>
            </w:r>
            <w:r>
              <w:rPr>
                <w:rFonts w:cs="宋体" w:hint="eastAsia"/>
                <w:kern w:val="0"/>
                <w:sz w:val="20"/>
                <w:szCs w:val="20"/>
                <w:lang w:bidi="ar"/>
              </w:rPr>
              <w:t>公里</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计划标准</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w:t>
            </w:r>
          </w:p>
        </w:tc>
        <w:tc>
          <w:tcPr>
            <w:tcW w:w="317"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10</w:t>
            </w:r>
          </w:p>
        </w:tc>
        <w:tc>
          <w:tcPr>
            <w:tcW w:w="329"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bookmarkStart w:id="220" w:name="OLE_LINK45"/>
            <w:r>
              <w:rPr>
                <w:rFonts w:cs="宋体" w:hint="eastAsia"/>
                <w:kern w:val="0"/>
                <w:sz w:val="20"/>
                <w:szCs w:val="20"/>
                <w:lang w:bidi="ar"/>
              </w:rPr>
              <w:t>按照</w:t>
            </w:r>
            <w:r>
              <w:rPr>
                <w:rFonts w:cs="宋体" w:hint="eastAsia"/>
                <w:kern w:val="0"/>
                <w:sz w:val="20"/>
                <w:szCs w:val="20"/>
                <w:lang w:bidi="ar"/>
              </w:rPr>
              <w:t>完成</w:t>
            </w:r>
            <w:proofErr w:type="gramStart"/>
            <w:r>
              <w:rPr>
                <w:rFonts w:cs="宋体" w:hint="eastAsia"/>
                <w:kern w:val="0"/>
                <w:sz w:val="20"/>
                <w:szCs w:val="20"/>
                <w:lang w:bidi="ar"/>
              </w:rPr>
              <w:t>比例赋分</w:t>
            </w:r>
            <w:bookmarkEnd w:id="220"/>
            <w:proofErr w:type="gramEnd"/>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工作资料</w:t>
            </w:r>
          </w:p>
        </w:tc>
        <w:tc>
          <w:tcPr>
            <w:tcW w:w="446"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=1300.59</w:t>
            </w:r>
            <w:r>
              <w:rPr>
                <w:rFonts w:cs="宋体" w:hint="eastAsia"/>
                <w:kern w:val="0"/>
                <w:sz w:val="18"/>
                <w:szCs w:val="18"/>
                <w:lang w:bidi="ar"/>
              </w:rPr>
              <w:t>公里</w:t>
            </w:r>
          </w:p>
        </w:tc>
        <w:tc>
          <w:tcPr>
            <w:tcW w:w="487"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100%</w:t>
            </w:r>
          </w:p>
        </w:tc>
        <w:tc>
          <w:tcPr>
            <w:tcW w:w="300"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10</w:t>
            </w:r>
          </w:p>
        </w:tc>
        <w:tc>
          <w:tcPr>
            <w:tcW w:w="372" w:type="pct"/>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18"/>
                <w:szCs w:val="18"/>
              </w:rPr>
            </w:pPr>
          </w:p>
        </w:tc>
      </w:tr>
      <w:tr w:rsidR="000F6DAD">
        <w:trPr>
          <w:trHeight w:val="600"/>
        </w:trPr>
        <w:tc>
          <w:tcPr>
            <w:tcW w:w="315"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20"/>
                <w:szCs w:val="20"/>
              </w:rPr>
            </w:pPr>
          </w:p>
        </w:tc>
        <w:tc>
          <w:tcPr>
            <w:tcW w:w="324"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20"/>
                <w:szCs w:val="20"/>
              </w:rPr>
            </w:pP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数量指标</w:t>
            </w:r>
          </w:p>
        </w:tc>
        <w:tc>
          <w:tcPr>
            <w:tcW w:w="409"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农村公路日常养护里程</w:t>
            </w:r>
          </w:p>
        </w:tc>
        <w:tc>
          <w:tcPr>
            <w:tcW w:w="402"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&gt;=182.426</w:t>
            </w:r>
            <w:r>
              <w:rPr>
                <w:rFonts w:cs="宋体" w:hint="eastAsia"/>
                <w:kern w:val="0"/>
                <w:sz w:val="20"/>
                <w:szCs w:val="20"/>
                <w:lang w:bidi="ar"/>
              </w:rPr>
              <w:t>公里</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计划标准</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w:t>
            </w:r>
          </w:p>
        </w:tc>
        <w:tc>
          <w:tcPr>
            <w:tcW w:w="317"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10</w:t>
            </w:r>
          </w:p>
        </w:tc>
        <w:tc>
          <w:tcPr>
            <w:tcW w:w="329"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按照</w:t>
            </w:r>
            <w:r>
              <w:rPr>
                <w:rFonts w:cs="宋体" w:hint="eastAsia"/>
                <w:kern w:val="0"/>
                <w:sz w:val="20"/>
                <w:szCs w:val="20"/>
                <w:lang w:bidi="ar"/>
              </w:rPr>
              <w:t>完成</w:t>
            </w:r>
            <w:proofErr w:type="gramStart"/>
            <w:r>
              <w:rPr>
                <w:rFonts w:cs="宋体" w:hint="eastAsia"/>
                <w:kern w:val="0"/>
                <w:sz w:val="20"/>
                <w:szCs w:val="20"/>
                <w:lang w:bidi="ar"/>
              </w:rPr>
              <w:t>比例赋分</w:t>
            </w:r>
            <w:proofErr w:type="gramEnd"/>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工作资料</w:t>
            </w:r>
          </w:p>
        </w:tc>
        <w:tc>
          <w:tcPr>
            <w:tcW w:w="446"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=182.426</w:t>
            </w:r>
            <w:r>
              <w:rPr>
                <w:rFonts w:cs="宋体" w:hint="eastAsia"/>
                <w:kern w:val="0"/>
                <w:sz w:val="18"/>
                <w:szCs w:val="18"/>
                <w:lang w:bidi="ar"/>
              </w:rPr>
              <w:t>公里</w:t>
            </w:r>
          </w:p>
        </w:tc>
        <w:tc>
          <w:tcPr>
            <w:tcW w:w="487"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100%</w:t>
            </w:r>
          </w:p>
        </w:tc>
        <w:tc>
          <w:tcPr>
            <w:tcW w:w="300"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10</w:t>
            </w:r>
          </w:p>
        </w:tc>
        <w:tc>
          <w:tcPr>
            <w:tcW w:w="372" w:type="pct"/>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18"/>
                <w:szCs w:val="18"/>
              </w:rPr>
            </w:pPr>
          </w:p>
        </w:tc>
      </w:tr>
      <w:tr w:rsidR="000F6DAD">
        <w:trPr>
          <w:trHeight w:val="600"/>
        </w:trPr>
        <w:tc>
          <w:tcPr>
            <w:tcW w:w="315"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20"/>
                <w:szCs w:val="20"/>
              </w:rPr>
            </w:pPr>
          </w:p>
        </w:tc>
        <w:tc>
          <w:tcPr>
            <w:tcW w:w="324"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20"/>
                <w:szCs w:val="20"/>
              </w:rPr>
            </w:pP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质量指标</w:t>
            </w:r>
          </w:p>
        </w:tc>
        <w:tc>
          <w:tcPr>
            <w:tcW w:w="409"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农村公路日常养护项目质量达标率</w:t>
            </w:r>
          </w:p>
        </w:tc>
        <w:tc>
          <w:tcPr>
            <w:tcW w:w="402"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&gt;=90%</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行业标准</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w:t>
            </w:r>
          </w:p>
        </w:tc>
        <w:tc>
          <w:tcPr>
            <w:tcW w:w="317"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10</w:t>
            </w:r>
          </w:p>
        </w:tc>
        <w:tc>
          <w:tcPr>
            <w:tcW w:w="329"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按照</w:t>
            </w:r>
            <w:r>
              <w:rPr>
                <w:rFonts w:cs="宋体" w:hint="eastAsia"/>
                <w:kern w:val="0"/>
                <w:sz w:val="20"/>
                <w:szCs w:val="20"/>
                <w:lang w:bidi="ar"/>
              </w:rPr>
              <w:t>完成</w:t>
            </w:r>
            <w:proofErr w:type="gramStart"/>
            <w:r>
              <w:rPr>
                <w:rFonts w:cs="宋体" w:hint="eastAsia"/>
                <w:kern w:val="0"/>
                <w:sz w:val="20"/>
                <w:szCs w:val="20"/>
                <w:lang w:bidi="ar"/>
              </w:rPr>
              <w:t>比例赋分</w:t>
            </w:r>
            <w:proofErr w:type="gramEnd"/>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工作资料</w:t>
            </w:r>
          </w:p>
        </w:tc>
        <w:tc>
          <w:tcPr>
            <w:tcW w:w="446"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=90%</w:t>
            </w:r>
          </w:p>
        </w:tc>
        <w:tc>
          <w:tcPr>
            <w:tcW w:w="487"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100%</w:t>
            </w:r>
          </w:p>
        </w:tc>
        <w:tc>
          <w:tcPr>
            <w:tcW w:w="300"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10</w:t>
            </w:r>
          </w:p>
        </w:tc>
        <w:tc>
          <w:tcPr>
            <w:tcW w:w="372" w:type="pct"/>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18"/>
                <w:szCs w:val="18"/>
              </w:rPr>
            </w:pPr>
          </w:p>
        </w:tc>
      </w:tr>
      <w:tr w:rsidR="000F6DAD">
        <w:trPr>
          <w:trHeight w:val="600"/>
        </w:trPr>
        <w:tc>
          <w:tcPr>
            <w:tcW w:w="315"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20"/>
                <w:szCs w:val="20"/>
              </w:rPr>
            </w:pPr>
          </w:p>
        </w:tc>
        <w:tc>
          <w:tcPr>
            <w:tcW w:w="324"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20"/>
                <w:szCs w:val="20"/>
              </w:rPr>
            </w:pP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时效指标</w:t>
            </w:r>
          </w:p>
        </w:tc>
        <w:tc>
          <w:tcPr>
            <w:tcW w:w="409"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农村公路日常养护及时率</w:t>
            </w:r>
          </w:p>
        </w:tc>
        <w:tc>
          <w:tcPr>
            <w:tcW w:w="402"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&gt;=95%</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计划标准</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w:t>
            </w:r>
          </w:p>
        </w:tc>
        <w:tc>
          <w:tcPr>
            <w:tcW w:w="317"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10</w:t>
            </w:r>
          </w:p>
        </w:tc>
        <w:tc>
          <w:tcPr>
            <w:tcW w:w="329"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按照</w:t>
            </w:r>
            <w:r>
              <w:rPr>
                <w:rFonts w:cs="宋体" w:hint="eastAsia"/>
                <w:kern w:val="0"/>
                <w:sz w:val="20"/>
                <w:szCs w:val="20"/>
                <w:lang w:bidi="ar"/>
              </w:rPr>
              <w:t>完成</w:t>
            </w:r>
            <w:proofErr w:type="gramStart"/>
            <w:r>
              <w:rPr>
                <w:rFonts w:cs="宋体" w:hint="eastAsia"/>
                <w:kern w:val="0"/>
                <w:sz w:val="20"/>
                <w:szCs w:val="20"/>
                <w:lang w:bidi="ar"/>
              </w:rPr>
              <w:t>比例赋分</w:t>
            </w:r>
            <w:proofErr w:type="gramEnd"/>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工作资料</w:t>
            </w:r>
          </w:p>
        </w:tc>
        <w:tc>
          <w:tcPr>
            <w:tcW w:w="446"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=95%</w:t>
            </w:r>
          </w:p>
        </w:tc>
        <w:tc>
          <w:tcPr>
            <w:tcW w:w="487"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100%</w:t>
            </w:r>
          </w:p>
        </w:tc>
        <w:tc>
          <w:tcPr>
            <w:tcW w:w="300"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10</w:t>
            </w:r>
          </w:p>
        </w:tc>
        <w:tc>
          <w:tcPr>
            <w:tcW w:w="372" w:type="pct"/>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18"/>
                <w:szCs w:val="18"/>
              </w:rPr>
            </w:pPr>
          </w:p>
        </w:tc>
      </w:tr>
      <w:tr w:rsidR="000F6DAD">
        <w:trPr>
          <w:trHeight w:val="600"/>
        </w:trPr>
        <w:tc>
          <w:tcPr>
            <w:tcW w:w="315"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20"/>
                <w:szCs w:val="20"/>
              </w:rPr>
            </w:pPr>
          </w:p>
        </w:tc>
        <w:tc>
          <w:tcPr>
            <w:tcW w:w="324"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成本指标</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经济成本指标</w:t>
            </w:r>
          </w:p>
        </w:tc>
        <w:tc>
          <w:tcPr>
            <w:tcW w:w="409"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农村公路技术状况评定成本</w:t>
            </w:r>
          </w:p>
        </w:tc>
        <w:tc>
          <w:tcPr>
            <w:tcW w:w="402"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&lt;=330</w:t>
            </w:r>
            <w:r>
              <w:rPr>
                <w:rFonts w:cs="宋体" w:hint="eastAsia"/>
                <w:kern w:val="0"/>
                <w:sz w:val="20"/>
                <w:szCs w:val="20"/>
                <w:lang w:bidi="ar"/>
              </w:rPr>
              <w:t>元</w:t>
            </w:r>
            <w:r>
              <w:rPr>
                <w:rFonts w:cs="宋体" w:hint="eastAsia"/>
                <w:kern w:val="0"/>
                <w:sz w:val="20"/>
                <w:szCs w:val="20"/>
                <w:lang w:bidi="ar"/>
              </w:rPr>
              <w:t>/</w:t>
            </w:r>
            <w:r>
              <w:rPr>
                <w:rFonts w:cs="宋体" w:hint="eastAsia"/>
                <w:kern w:val="0"/>
                <w:sz w:val="20"/>
                <w:szCs w:val="20"/>
                <w:lang w:bidi="ar"/>
              </w:rPr>
              <w:t>公里</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行业标准</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w:t>
            </w:r>
          </w:p>
        </w:tc>
        <w:tc>
          <w:tcPr>
            <w:tcW w:w="317"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10</w:t>
            </w:r>
          </w:p>
        </w:tc>
        <w:tc>
          <w:tcPr>
            <w:tcW w:w="329"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按照</w:t>
            </w:r>
            <w:r>
              <w:rPr>
                <w:rFonts w:cs="宋体" w:hint="eastAsia"/>
                <w:kern w:val="0"/>
                <w:sz w:val="20"/>
                <w:szCs w:val="20"/>
                <w:lang w:bidi="ar"/>
              </w:rPr>
              <w:t>完成</w:t>
            </w:r>
            <w:proofErr w:type="gramStart"/>
            <w:r>
              <w:rPr>
                <w:rFonts w:cs="宋体" w:hint="eastAsia"/>
                <w:kern w:val="0"/>
                <w:sz w:val="20"/>
                <w:szCs w:val="20"/>
                <w:lang w:bidi="ar"/>
              </w:rPr>
              <w:t>比例赋分</w:t>
            </w:r>
            <w:proofErr w:type="gramEnd"/>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原始凭证</w:t>
            </w:r>
          </w:p>
        </w:tc>
        <w:tc>
          <w:tcPr>
            <w:tcW w:w="446"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=330</w:t>
            </w:r>
            <w:r>
              <w:rPr>
                <w:rFonts w:cs="宋体" w:hint="eastAsia"/>
                <w:kern w:val="0"/>
                <w:sz w:val="18"/>
                <w:szCs w:val="18"/>
                <w:lang w:bidi="ar"/>
              </w:rPr>
              <w:t>元</w:t>
            </w:r>
            <w:r>
              <w:rPr>
                <w:rFonts w:cs="宋体" w:hint="eastAsia"/>
                <w:kern w:val="0"/>
                <w:sz w:val="18"/>
                <w:szCs w:val="18"/>
                <w:lang w:bidi="ar"/>
              </w:rPr>
              <w:t>/</w:t>
            </w:r>
            <w:r>
              <w:rPr>
                <w:rFonts w:cs="宋体" w:hint="eastAsia"/>
                <w:kern w:val="0"/>
                <w:sz w:val="18"/>
                <w:szCs w:val="18"/>
                <w:lang w:bidi="ar"/>
              </w:rPr>
              <w:t>公里</w:t>
            </w:r>
          </w:p>
        </w:tc>
        <w:tc>
          <w:tcPr>
            <w:tcW w:w="487"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100%</w:t>
            </w:r>
          </w:p>
        </w:tc>
        <w:tc>
          <w:tcPr>
            <w:tcW w:w="300"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10</w:t>
            </w:r>
          </w:p>
        </w:tc>
        <w:tc>
          <w:tcPr>
            <w:tcW w:w="372" w:type="pct"/>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18"/>
                <w:szCs w:val="18"/>
              </w:rPr>
            </w:pPr>
          </w:p>
        </w:tc>
      </w:tr>
      <w:tr w:rsidR="000F6DAD">
        <w:trPr>
          <w:trHeight w:val="600"/>
        </w:trPr>
        <w:tc>
          <w:tcPr>
            <w:tcW w:w="315"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20"/>
                <w:szCs w:val="20"/>
              </w:rPr>
            </w:pPr>
          </w:p>
        </w:tc>
        <w:tc>
          <w:tcPr>
            <w:tcW w:w="324"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20"/>
                <w:szCs w:val="20"/>
              </w:rPr>
            </w:pP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经济成本指标</w:t>
            </w:r>
          </w:p>
        </w:tc>
        <w:tc>
          <w:tcPr>
            <w:tcW w:w="409"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农村公路日常养护成本</w:t>
            </w:r>
          </w:p>
        </w:tc>
        <w:tc>
          <w:tcPr>
            <w:tcW w:w="402"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&lt;=3500</w:t>
            </w:r>
            <w:r>
              <w:rPr>
                <w:rFonts w:cs="宋体" w:hint="eastAsia"/>
                <w:kern w:val="0"/>
                <w:sz w:val="20"/>
                <w:szCs w:val="20"/>
                <w:lang w:bidi="ar"/>
              </w:rPr>
              <w:t>元</w:t>
            </w:r>
            <w:r>
              <w:rPr>
                <w:rFonts w:cs="宋体" w:hint="eastAsia"/>
                <w:kern w:val="0"/>
                <w:sz w:val="20"/>
                <w:szCs w:val="20"/>
                <w:lang w:bidi="ar"/>
              </w:rPr>
              <w:t>/</w:t>
            </w:r>
            <w:r>
              <w:rPr>
                <w:rFonts w:cs="宋体" w:hint="eastAsia"/>
                <w:kern w:val="0"/>
                <w:sz w:val="20"/>
                <w:szCs w:val="20"/>
                <w:lang w:bidi="ar"/>
              </w:rPr>
              <w:t>公里</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行业标准</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w:t>
            </w:r>
          </w:p>
        </w:tc>
        <w:tc>
          <w:tcPr>
            <w:tcW w:w="317"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10</w:t>
            </w:r>
          </w:p>
        </w:tc>
        <w:tc>
          <w:tcPr>
            <w:tcW w:w="329"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按照</w:t>
            </w:r>
            <w:r>
              <w:rPr>
                <w:rFonts w:cs="宋体" w:hint="eastAsia"/>
                <w:kern w:val="0"/>
                <w:sz w:val="20"/>
                <w:szCs w:val="20"/>
                <w:lang w:bidi="ar"/>
              </w:rPr>
              <w:t>完成</w:t>
            </w:r>
            <w:proofErr w:type="gramStart"/>
            <w:r>
              <w:rPr>
                <w:rFonts w:cs="宋体" w:hint="eastAsia"/>
                <w:kern w:val="0"/>
                <w:sz w:val="20"/>
                <w:szCs w:val="20"/>
                <w:lang w:bidi="ar"/>
              </w:rPr>
              <w:t>比例赋分</w:t>
            </w:r>
            <w:proofErr w:type="gramEnd"/>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原始凭证</w:t>
            </w:r>
          </w:p>
        </w:tc>
        <w:tc>
          <w:tcPr>
            <w:tcW w:w="446"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=3500</w:t>
            </w:r>
            <w:r>
              <w:rPr>
                <w:rFonts w:cs="宋体" w:hint="eastAsia"/>
                <w:kern w:val="0"/>
                <w:sz w:val="18"/>
                <w:szCs w:val="18"/>
                <w:lang w:bidi="ar"/>
              </w:rPr>
              <w:t>元</w:t>
            </w:r>
            <w:r>
              <w:rPr>
                <w:rFonts w:cs="宋体" w:hint="eastAsia"/>
                <w:kern w:val="0"/>
                <w:sz w:val="18"/>
                <w:szCs w:val="18"/>
                <w:lang w:bidi="ar"/>
              </w:rPr>
              <w:t>/</w:t>
            </w:r>
            <w:r>
              <w:rPr>
                <w:rFonts w:cs="宋体" w:hint="eastAsia"/>
                <w:kern w:val="0"/>
                <w:sz w:val="18"/>
                <w:szCs w:val="18"/>
                <w:lang w:bidi="ar"/>
              </w:rPr>
              <w:t>公里</w:t>
            </w:r>
          </w:p>
        </w:tc>
        <w:tc>
          <w:tcPr>
            <w:tcW w:w="487"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100%</w:t>
            </w:r>
          </w:p>
        </w:tc>
        <w:tc>
          <w:tcPr>
            <w:tcW w:w="300"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10</w:t>
            </w:r>
          </w:p>
        </w:tc>
        <w:tc>
          <w:tcPr>
            <w:tcW w:w="372" w:type="pct"/>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18"/>
                <w:szCs w:val="18"/>
              </w:rPr>
            </w:pPr>
          </w:p>
        </w:tc>
      </w:tr>
      <w:tr w:rsidR="000F6DAD">
        <w:trPr>
          <w:trHeight w:val="600"/>
        </w:trPr>
        <w:tc>
          <w:tcPr>
            <w:tcW w:w="315"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20"/>
                <w:szCs w:val="20"/>
              </w:rPr>
            </w:pPr>
          </w:p>
        </w:tc>
        <w:tc>
          <w:tcPr>
            <w:tcW w:w="324"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效益指标</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社会效益指标</w:t>
            </w:r>
          </w:p>
        </w:tc>
        <w:tc>
          <w:tcPr>
            <w:tcW w:w="409"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农村公路管养水平</w:t>
            </w:r>
          </w:p>
        </w:tc>
        <w:tc>
          <w:tcPr>
            <w:tcW w:w="402"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提高</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计划标准</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w:t>
            </w:r>
          </w:p>
        </w:tc>
        <w:tc>
          <w:tcPr>
            <w:tcW w:w="317"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20</w:t>
            </w:r>
          </w:p>
        </w:tc>
        <w:tc>
          <w:tcPr>
            <w:tcW w:w="329"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按评判</w:t>
            </w:r>
            <w:proofErr w:type="gramStart"/>
            <w:r>
              <w:rPr>
                <w:rFonts w:cs="宋体" w:hint="eastAsia"/>
                <w:kern w:val="0"/>
                <w:sz w:val="20"/>
                <w:szCs w:val="20"/>
                <w:lang w:bidi="ar"/>
              </w:rPr>
              <w:t>等级赋分</w:t>
            </w:r>
            <w:proofErr w:type="gramEnd"/>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工作资料</w:t>
            </w:r>
          </w:p>
        </w:tc>
        <w:tc>
          <w:tcPr>
            <w:tcW w:w="446"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达成目标</w:t>
            </w:r>
          </w:p>
        </w:tc>
        <w:tc>
          <w:tcPr>
            <w:tcW w:w="487"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100%</w:t>
            </w:r>
          </w:p>
        </w:tc>
        <w:tc>
          <w:tcPr>
            <w:tcW w:w="300"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20</w:t>
            </w:r>
          </w:p>
        </w:tc>
        <w:tc>
          <w:tcPr>
            <w:tcW w:w="372" w:type="pct"/>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18"/>
                <w:szCs w:val="18"/>
              </w:rPr>
            </w:pPr>
          </w:p>
        </w:tc>
      </w:tr>
      <w:tr w:rsidR="000F6DAD">
        <w:trPr>
          <w:trHeight w:val="600"/>
        </w:trPr>
        <w:tc>
          <w:tcPr>
            <w:tcW w:w="315"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20"/>
                <w:szCs w:val="20"/>
              </w:rPr>
            </w:pPr>
          </w:p>
        </w:tc>
        <w:tc>
          <w:tcPr>
            <w:tcW w:w="324"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满意度指标</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满意度指标</w:t>
            </w:r>
          </w:p>
        </w:tc>
        <w:tc>
          <w:tcPr>
            <w:tcW w:w="409"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通行群众满意度</w:t>
            </w:r>
          </w:p>
        </w:tc>
        <w:tc>
          <w:tcPr>
            <w:tcW w:w="402"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&gt;=90%</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其他标准</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w:t>
            </w:r>
          </w:p>
        </w:tc>
        <w:tc>
          <w:tcPr>
            <w:tcW w:w="317"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10</w:t>
            </w:r>
          </w:p>
        </w:tc>
        <w:tc>
          <w:tcPr>
            <w:tcW w:w="329"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满意</w:t>
            </w:r>
            <w:proofErr w:type="gramStart"/>
            <w:r>
              <w:rPr>
                <w:rFonts w:cs="宋体" w:hint="eastAsia"/>
                <w:kern w:val="0"/>
                <w:sz w:val="20"/>
                <w:szCs w:val="20"/>
                <w:lang w:bidi="ar"/>
              </w:rPr>
              <w:t>度赋分</w:t>
            </w:r>
            <w:proofErr w:type="gramEnd"/>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工作资料</w:t>
            </w:r>
          </w:p>
        </w:tc>
        <w:tc>
          <w:tcPr>
            <w:tcW w:w="446"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=90%</w:t>
            </w:r>
          </w:p>
        </w:tc>
        <w:tc>
          <w:tcPr>
            <w:tcW w:w="487"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20"/>
                <w:szCs w:val="20"/>
              </w:rPr>
            </w:pPr>
            <w:r>
              <w:rPr>
                <w:rFonts w:cs="宋体" w:hint="eastAsia"/>
                <w:kern w:val="0"/>
                <w:sz w:val="20"/>
                <w:szCs w:val="20"/>
                <w:lang w:bidi="ar"/>
              </w:rPr>
              <w:t>100%</w:t>
            </w:r>
          </w:p>
        </w:tc>
        <w:tc>
          <w:tcPr>
            <w:tcW w:w="300"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10</w:t>
            </w:r>
          </w:p>
        </w:tc>
        <w:tc>
          <w:tcPr>
            <w:tcW w:w="372" w:type="pct"/>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18"/>
                <w:szCs w:val="18"/>
              </w:rPr>
            </w:pPr>
          </w:p>
        </w:tc>
      </w:tr>
      <w:tr w:rsidR="000F6DAD">
        <w:trPr>
          <w:trHeight w:val="500"/>
        </w:trPr>
        <w:tc>
          <w:tcPr>
            <w:tcW w:w="1373" w:type="pct"/>
            <w:gridSpan w:val="4"/>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总分</w:t>
            </w:r>
          </w:p>
        </w:tc>
        <w:tc>
          <w:tcPr>
            <w:tcW w:w="402" w:type="pct"/>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18"/>
                <w:szCs w:val="18"/>
              </w:rPr>
            </w:pP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b/>
                <w:bCs/>
                <w:sz w:val="18"/>
                <w:szCs w:val="18"/>
              </w:rPr>
            </w:pP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18"/>
                <w:szCs w:val="18"/>
              </w:rPr>
            </w:pPr>
          </w:p>
        </w:tc>
        <w:tc>
          <w:tcPr>
            <w:tcW w:w="317" w:type="pct"/>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18"/>
                <w:szCs w:val="18"/>
              </w:rPr>
            </w:pPr>
          </w:p>
        </w:tc>
        <w:tc>
          <w:tcPr>
            <w:tcW w:w="329" w:type="pct"/>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18"/>
                <w:szCs w:val="18"/>
              </w:rPr>
            </w:pP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18"/>
                <w:szCs w:val="18"/>
              </w:rPr>
            </w:pPr>
          </w:p>
        </w:tc>
        <w:tc>
          <w:tcPr>
            <w:tcW w:w="446" w:type="pct"/>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18"/>
                <w:szCs w:val="18"/>
              </w:rPr>
            </w:pPr>
          </w:p>
        </w:tc>
        <w:tc>
          <w:tcPr>
            <w:tcW w:w="487" w:type="pct"/>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18"/>
                <w:szCs w:val="18"/>
              </w:rPr>
            </w:pPr>
          </w:p>
        </w:tc>
        <w:tc>
          <w:tcPr>
            <w:tcW w:w="300" w:type="pct"/>
            <w:tcBorders>
              <w:top w:val="single" w:sz="4" w:space="0" w:color="000000"/>
              <w:left w:val="single" w:sz="4" w:space="0" w:color="000000"/>
              <w:bottom w:val="single" w:sz="4" w:space="0" w:color="000000"/>
              <w:right w:val="single" w:sz="4" w:space="0" w:color="000000"/>
            </w:tcBorders>
            <w:vAlign w:val="center"/>
          </w:tcPr>
          <w:p w:rsidR="000F6DAD" w:rsidRDefault="00F97CD5">
            <w:pPr>
              <w:spacing w:line="240" w:lineRule="exact"/>
              <w:ind w:firstLineChars="0" w:firstLine="0"/>
              <w:jc w:val="center"/>
              <w:textAlignment w:val="center"/>
              <w:rPr>
                <w:rFonts w:cs="宋体"/>
                <w:sz w:val="18"/>
                <w:szCs w:val="18"/>
              </w:rPr>
            </w:pPr>
            <w:r>
              <w:rPr>
                <w:rFonts w:cs="宋体" w:hint="eastAsia"/>
                <w:kern w:val="0"/>
                <w:sz w:val="18"/>
                <w:szCs w:val="18"/>
                <w:lang w:bidi="ar"/>
              </w:rPr>
              <w:t>100.00</w:t>
            </w:r>
            <w:r>
              <w:rPr>
                <w:rFonts w:cs="宋体" w:hint="eastAsia"/>
                <w:kern w:val="0"/>
                <w:sz w:val="18"/>
                <w:szCs w:val="18"/>
                <w:lang w:bidi="ar"/>
              </w:rPr>
              <w:t>分</w:t>
            </w:r>
          </w:p>
        </w:tc>
        <w:tc>
          <w:tcPr>
            <w:tcW w:w="372" w:type="pct"/>
            <w:tcBorders>
              <w:top w:val="single" w:sz="4" w:space="0" w:color="000000"/>
              <w:left w:val="single" w:sz="4" w:space="0" w:color="000000"/>
              <w:bottom w:val="single" w:sz="4" w:space="0" w:color="000000"/>
              <w:right w:val="single" w:sz="4" w:space="0" w:color="000000"/>
            </w:tcBorders>
            <w:vAlign w:val="center"/>
          </w:tcPr>
          <w:p w:rsidR="000F6DAD" w:rsidRDefault="000F6DAD">
            <w:pPr>
              <w:spacing w:line="240" w:lineRule="exact"/>
              <w:ind w:firstLineChars="0" w:firstLine="0"/>
              <w:jc w:val="center"/>
              <w:rPr>
                <w:rFonts w:cs="宋体"/>
                <w:sz w:val="18"/>
                <w:szCs w:val="18"/>
              </w:rPr>
            </w:pPr>
          </w:p>
        </w:tc>
      </w:tr>
    </w:tbl>
    <w:p w:rsidR="000F6DAD" w:rsidRDefault="000F6DAD">
      <w:pPr>
        <w:ind w:firstLine="640"/>
      </w:pPr>
    </w:p>
    <w:p w:rsidR="000F6DAD" w:rsidRDefault="000F6DAD">
      <w:pPr>
        <w:ind w:firstLineChars="0" w:firstLine="0"/>
        <w:rPr>
          <w:sz w:val="18"/>
          <w:szCs w:val="18"/>
        </w:rPr>
      </w:pPr>
    </w:p>
    <w:p w:rsidR="000F6DAD" w:rsidRDefault="000F6DAD">
      <w:pPr>
        <w:pStyle w:val="3"/>
        <w:ind w:firstLineChars="0" w:firstLine="0"/>
        <w:rPr>
          <w:rFonts w:eastAsia="仿宋_GB2312"/>
        </w:rPr>
        <w:sectPr w:rsidR="000F6DAD">
          <w:pgSz w:w="16838" w:h="11906" w:orient="landscape"/>
          <w:pgMar w:top="1800" w:right="1440" w:bottom="1800" w:left="1440" w:header="851" w:footer="992" w:gutter="0"/>
          <w:cols w:space="720"/>
          <w:docGrid w:type="lines" w:linePitch="312"/>
        </w:sectPr>
      </w:pPr>
      <w:bookmarkStart w:id="221" w:name="_Toc22143"/>
      <w:bookmarkStart w:id="222" w:name="_Toc28099"/>
      <w:bookmarkStart w:id="223" w:name="_Toc5134"/>
      <w:bookmarkStart w:id="224" w:name="_Toc1641"/>
    </w:p>
    <w:p w:rsidR="000F6DAD" w:rsidRDefault="00F97CD5">
      <w:pPr>
        <w:pStyle w:val="a7"/>
        <w:jc w:val="both"/>
        <w:outlineLvl w:val="1"/>
        <w:rPr>
          <w:rFonts w:hint="default"/>
        </w:rPr>
      </w:pPr>
      <w:bookmarkStart w:id="225" w:name="_Toc29757"/>
      <w:bookmarkStart w:id="226" w:name="_Toc31300"/>
      <w:r>
        <w:rPr>
          <w:rFonts w:hint="default"/>
        </w:rPr>
        <w:lastRenderedPageBreak/>
        <w:t>附件</w:t>
      </w:r>
      <w:r>
        <w:rPr>
          <w:rFonts w:hint="default"/>
        </w:rPr>
        <w:t>2</w:t>
      </w:r>
      <w:r>
        <w:rPr>
          <w:rFonts w:hint="default"/>
        </w:rPr>
        <w:t>：</w:t>
      </w:r>
      <w:bookmarkEnd w:id="221"/>
      <w:bookmarkEnd w:id="222"/>
      <w:bookmarkEnd w:id="223"/>
      <w:bookmarkEnd w:id="224"/>
      <w:bookmarkEnd w:id="225"/>
      <w:bookmarkEnd w:id="226"/>
      <w:r>
        <w:rPr>
          <w:rFonts w:hint="default"/>
        </w:rPr>
        <w:t>项目支出绩效评价指标体系及评分</w:t>
      </w:r>
      <w:r>
        <w:t>表</w:t>
      </w:r>
    </w:p>
    <w:p w:rsidR="000F6DAD" w:rsidRDefault="00F97CD5">
      <w:pPr>
        <w:pStyle w:val="a7"/>
        <w:outlineLvl w:val="9"/>
        <w:rPr>
          <w:rFonts w:hint="default"/>
        </w:rPr>
      </w:pPr>
      <w:bookmarkStart w:id="227" w:name="_Toc28172"/>
      <w:bookmarkStart w:id="228" w:name="_Toc29561"/>
      <w:r>
        <w:rPr>
          <w:rFonts w:hint="default"/>
        </w:rPr>
        <w:t>项目支出绩效评价指标体系及评分</w:t>
      </w:r>
      <w:bookmarkEnd w:id="227"/>
      <w:bookmarkEnd w:id="228"/>
      <w:r>
        <w:t>表</w:t>
      </w:r>
    </w:p>
    <w:tbl>
      <w:tblPr>
        <w:tblW w:w="5674" w:type="pct"/>
        <w:jc w:val="center"/>
        <w:tblLayout w:type="fixed"/>
        <w:tblLook w:val="04A0" w:firstRow="1" w:lastRow="0" w:firstColumn="1" w:lastColumn="0" w:noHBand="0" w:noVBand="1"/>
      </w:tblPr>
      <w:tblGrid>
        <w:gridCol w:w="593"/>
        <w:gridCol w:w="670"/>
        <w:gridCol w:w="816"/>
        <w:gridCol w:w="2172"/>
        <w:gridCol w:w="4182"/>
        <w:gridCol w:w="613"/>
        <w:gridCol w:w="625"/>
      </w:tblGrid>
      <w:tr w:rsidR="000F6DAD">
        <w:trPr>
          <w:trHeight w:val="460"/>
          <w:jc w:val="center"/>
        </w:trPr>
        <w:tc>
          <w:tcPr>
            <w:tcW w:w="306" w:type="pc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一级</w:t>
            </w:r>
          </w:p>
          <w:p w:rsidR="000F6DAD" w:rsidRDefault="00F97CD5">
            <w:pPr>
              <w:pStyle w:val="a8"/>
              <w:spacing w:line="240" w:lineRule="exact"/>
              <w:jc w:val="both"/>
              <w:rPr>
                <w:rFonts w:hint="default"/>
                <w:sz w:val="18"/>
                <w:szCs w:val="18"/>
              </w:rPr>
            </w:pPr>
            <w:r>
              <w:rPr>
                <w:rFonts w:hint="default"/>
                <w:sz w:val="18"/>
                <w:szCs w:val="18"/>
              </w:rPr>
              <w:t>指标</w:t>
            </w:r>
          </w:p>
        </w:tc>
        <w:tc>
          <w:tcPr>
            <w:tcW w:w="346" w:type="pc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二级指标</w:t>
            </w:r>
          </w:p>
        </w:tc>
        <w:tc>
          <w:tcPr>
            <w:tcW w:w="422" w:type="pc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三级</w:t>
            </w:r>
          </w:p>
          <w:p w:rsidR="000F6DAD" w:rsidRDefault="00F97CD5">
            <w:pPr>
              <w:pStyle w:val="a8"/>
              <w:spacing w:line="240" w:lineRule="exact"/>
              <w:jc w:val="both"/>
              <w:rPr>
                <w:rFonts w:hint="default"/>
                <w:sz w:val="18"/>
                <w:szCs w:val="18"/>
              </w:rPr>
            </w:pPr>
            <w:r>
              <w:rPr>
                <w:rFonts w:hint="default"/>
                <w:sz w:val="18"/>
                <w:szCs w:val="18"/>
              </w:rPr>
              <w:t>指标</w:t>
            </w:r>
          </w:p>
        </w:tc>
        <w:tc>
          <w:tcPr>
            <w:tcW w:w="1123" w:type="pct"/>
            <w:tcBorders>
              <w:top w:val="single" w:sz="4" w:space="0" w:color="000000"/>
              <w:left w:val="single" w:sz="4" w:space="0" w:color="000000"/>
              <w:bottom w:val="single" w:sz="4" w:space="0" w:color="000000"/>
              <w:right w:val="nil"/>
            </w:tcBorders>
            <w:vAlign w:val="center"/>
          </w:tcPr>
          <w:p w:rsidR="000F6DAD" w:rsidRDefault="00F97CD5">
            <w:pPr>
              <w:pStyle w:val="a8"/>
              <w:spacing w:line="240" w:lineRule="exact"/>
              <w:jc w:val="both"/>
              <w:rPr>
                <w:rFonts w:hint="default"/>
                <w:sz w:val="18"/>
                <w:szCs w:val="18"/>
              </w:rPr>
            </w:pPr>
            <w:r>
              <w:rPr>
                <w:rFonts w:hint="default"/>
                <w:sz w:val="18"/>
                <w:szCs w:val="18"/>
              </w:rPr>
              <w:t>指标解释</w:t>
            </w:r>
          </w:p>
        </w:tc>
        <w:tc>
          <w:tcPr>
            <w:tcW w:w="2160" w:type="pc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指标说明</w:t>
            </w:r>
          </w:p>
        </w:tc>
        <w:tc>
          <w:tcPr>
            <w:tcW w:w="317" w:type="pc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分值</w:t>
            </w:r>
          </w:p>
        </w:tc>
        <w:tc>
          <w:tcPr>
            <w:tcW w:w="323" w:type="pc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得分</w:t>
            </w:r>
          </w:p>
        </w:tc>
      </w:tr>
      <w:tr w:rsidR="000F6DAD">
        <w:trPr>
          <w:trHeight w:val="90"/>
          <w:jc w:val="center"/>
        </w:trPr>
        <w:tc>
          <w:tcPr>
            <w:tcW w:w="306"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项目立项</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立项依据充分性</w:t>
            </w:r>
          </w:p>
        </w:tc>
        <w:tc>
          <w:tcPr>
            <w:tcW w:w="1123" w:type="pct"/>
            <w:vMerge w:val="restart"/>
            <w:tcBorders>
              <w:top w:val="single" w:sz="4" w:space="0" w:color="000000"/>
              <w:left w:val="single" w:sz="4" w:space="0" w:color="000000"/>
              <w:bottom w:val="single" w:sz="4" w:space="0" w:color="000000"/>
              <w:right w:val="nil"/>
            </w:tcBorders>
            <w:vAlign w:val="center"/>
          </w:tcPr>
          <w:p w:rsidR="000F6DAD" w:rsidRDefault="00F97CD5">
            <w:pPr>
              <w:pStyle w:val="a8"/>
              <w:spacing w:line="240" w:lineRule="exact"/>
              <w:jc w:val="both"/>
              <w:rPr>
                <w:rFonts w:hint="default"/>
                <w:sz w:val="18"/>
                <w:szCs w:val="18"/>
              </w:rPr>
            </w:pPr>
            <w:r>
              <w:rPr>
                <w:rFonts w:hint="default"/>
                <w:sz w:val="18"/>
                <w:szCs w:val="18"/>
              </w:rPr>
              <w:t>项目立项是否符合法律法规、相关政策、发展规划以及部门职责，用以反映和考核项目立项依据情况。</w:t>
            </w: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3</w:t>
            </w: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①</w:t>
            </w:r>
            <w:r>
              <w:rPr>
                <w:rFonts w:hint="default"/>
                <w:sz w:val="18"/>
                <w:szCs w:val="18"/>
              </w:rPr>
              <w:t>项目立项是否符合国家法律法规、国民经济发展规划和相关政策；</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②</w:t>
            </w:r>
            <w:r>
              <w:rPr>
                <w:rFonts w:hint="default"/>
                <w:sz w:val="18"/>
                <w:szCs w:val="18"/>
              </w:rPr>
              <w:t>项目立项是否符合行业发展规划和政策要求；</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③</w:t>
            </w:r>
            <w:r>
              <w:rPr>
                <w:rFonts w:hint="default"/>
                <w:sz w:val="18"/>
                <w:szCs w:val="18"/>
              </w:rPr>
              <w:t>项目立项是否与部门职责范围相符，属于部门履职所需；</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131"/>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立项程序规范性</w:t>
            </w:r>
          </w:p>
        </w:tc>
        <w:tc>
          <w:tcPr>
            <w:tcW w:w="1123" w:type="pct"/>
            <w:vMerge w:val="restart"/>
            <w:tcBorders>
              <w:top w:val="single" w:sz="4" w:space="0" w:color="000000"/>
              <w:left w:val="single" w:sz="4" w:space="0" w:color="000000"/>
              <w:bottom w:val="single" w:sz="4" w:space="0" w:color="000000"/>
              <w:right w:val="nil"/>
            </w:tcBorders>
            <w:vAlign w:val="center"/>
          </w:tcPr>
          <w:p w:rsidR="000F6DAD" w:rsidRDefault="00F97CD5">
            <w:pPr>
              <w:pStyle w:val="a8"/>
              <w:spacing w:line="240" w:lineRule="exact"/>
              <w:jc w:val="both"/>
              <w:rPr>
                <w:rFonts w:hint="default"/>
                <w:sz w:val="18"/>
                <w:szCs w:val="18"/>
              </w:rPr>
            </w:pPr>
            <w:r>
              <w:rPr>
                <w:rFonts w:hint="default"/>
                <w:sz w:val="18"/>
                <w:szCs w:val="18"/>
              </w:rPr>
              <w:t>项目申请、设立过程是否符合相关要求，用以反映和考核项目立项的规范情况。</w:t>
            </w:r>
          </w:p>
        </w:tc>
        <w:tc>
          <w:tcPr>
            <w:tcW w:w="2160" w:type="pct"/>
            <w:tcBorders>
              <w:top w:val="single" w:sz="4" w:space="0" w:color="000000"/>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3</w:t>
            </w:r>
          </w:p>
        </w:tc>
      </w:tr>
      <w:tr w:rsidR="000F6DAD">
        <w:trPr>
          <w:trHeight w:val="107"/>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254"/>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221"/>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000000"/>
              <w:left w:val="single" w:sz="4" w:space="0" w:color="000000"/>
              <w:bottom w:val="single" w:sz="4" w:space="0" w:color="000000"/>
              <w:right w:val="nil"/>
            </w:tcBorders>
            <w:vAlign w:val="center"/>
          </w:tcPr>
          <w:p w:rsidR="000F6DAD" w:rsidRDefault="00F97CD5">
            <w:pPr>
              <w:pStyle w:val="a8"/>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000000"/>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4</w:t>
            </w:r>
          </w:p>
        </w:tc>
      </w:tr>
      <w:tr w:rsidR="000F6DAD">
        <w:trPr>
          <w:trHeight w:val="152"/>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198"/>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153"/>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000000"/>
              <w:left w:val="single" w:sz="4" w:space="0" w:color="000000"/>
              <w:bottom w:val="single" w:sz="4" w:space="0" w:color="000000"/>
              <w:right w:val="nil"/>
            </w:tcBorders>
            <w:vAlign w:val="center"/>
          </w:tcPr>
          <w:p w:rsidR="000F6DAD" w:rsidRDefault="00F97CD5">
            <w:pPr>
              <w:pStyle w:val="a8"/>
              <w:spacing w:line="240" w:lineRule="exact"/>
              <w:jc w:val="both"/>
              <w:rPr>
                <w:rFonts w:hint="default"/>
                <w:sz w:val="18"/>
                <w:szCs w:val="18"/>
              </w:rPr>
            </w:pPr>
            <w:r>
              <w:rPr>
                <w:rFonts w:hint="default"/>
                <w:sz w:val="18"/>
                <w:szCs w:val="18"/>
              </w:rPr>
              <w:t>依据绩效目标设定的绩效指标是否清晰、细化、可衡量等，用以反映和考核项目绩效目标的</w:t>
            </w:r>
            <w:proofErr w:type="gramStart"/>
            <w:r>
              <w:rPr>
                <w:rFonts w:hint="default"/>
                <w:sz w:val="18"/>
                <w:szCs w:val="18"/>
              </w:rPr>
              <w:t>明细化</w:t>
            </w:r>
            <w:proofErr w:type="gramEnd"/>
            <w:r>
              <w:rPr>
                <w:rFonts w:hint="default"/>
                <w:sz w:val="18"/>
                <w:szCs w:val="18"/>
              </w:rPr>
              <w:t>情况。</w:t>
            </w:r>
          </w:p>
        </w:tc>
        <w:tc>
          <w:tcPr>
            <w:tcW w:w="2160" w:type="pct"/>
            <w:tcBorders>
              <w:top w:val="single" w:sz="4" w:space="0" w:color="000000"/>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4</w:t>
            </w: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14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②</w:t>
            </w:r>
            <w:r>
              <w:rPr>
                <w:rFonts w:hint="default"/>
                <w:sz w:val="18"/>
                <w:szCs w:val="18"/>
              </w:rPr>
              <w:t>是否通过清晰、可衡量的指标</w:t>
            </w:r>
            <w:proofErr w:type="gramStart"/>
            <w:r>
              <w:rPr>
                <w:rFonts w:hint="default"/>
                <w:sz w:val="18"/>
                <w:szCs w:val="18"/>
              </w:rPr>
              <w:t>值予以</w:t>
            </w:r>
            <w:proofErr w:type="gramEnd"/>
            <w:r>
              <w:rPr>
                <w:rFonts w:hint="default"/>
                <w:sz w:val="18"/>
                <w:szCs w:val="18"/>
              </w:rPr>
              <w:t>体现；</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131"/>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97"/>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000000"/>
              <w:left w:val="single" w:sz="4" w:space="0" w:color="000000"/>
              <w:bottom w:val="single" w:sz="4" w:space="0" w:color="000000"/>
              <w:right w:val="nil"/>
            </w:tcBorders>
            <w:vAlign w:val="center"/>
          </w:tcPr>
          <w:p w:rsidR="000F6DAD" w:rsidRDefault="00F97CD5">
            <w:pPr>
              <w:pStyle w:val="a8"/>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000000"/>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4</w:t>
            </w:r>
          </w:p>
        </w:tc>
      </w:tr>
      <w:tr w:rsidR="000F6DAD">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176"/>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000000"/>
              <w:left w:val="single" w:sz="4" w:space="0" w:color="000000"/>
              <w:bottom w:val="single" w:sz="4" w:space="0" w:color="000000"/>
              <w:right w:val="nil"/>
            </w:tcBorders>
            <w:vAlign w:val="center"/>
          </w:tcPr>
          <w:p w:rsidR="000F6DAD" w:rsidRDefault="00F97CD5">
            <w:pPr>
              <w:pStyle w:val="a8"/>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000000"/>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4</w:t>
            </w:r>
          </w:p>
        </w:tc>
      </w:tr>
      <w:tr w:rsidR="000F6DAD">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1088"/>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tcPr>
          <w:p w:rsidR="000F6DAD" w:rsidRDefault="00F97CD5">
            <w:pPr>
              <w:pStyle w:val="a8"/>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108"/>
          <w:jc w:val="center"/>
        </w:trPr>
        <w:tc>
          <w:tcPr>
            <w:tcW w:w="306"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000000"/>
              <w:left w:val="single" w:sz="4" w:space="0" w:color="000000"/>
              <w:bottom w:val="single" w:sz="4" w:space="0" w:color="000000"/>
              <w:right w:val="nil"/>
            </w:tcBorders>
            <w:vAlign w:val="center"/>
          </w:tcPr>
          <w:p w:rsidR="000F6DAD" w:rsidRDefault="00F97CD5">
            <w:pPr>
              <w:pStyle w:val="a8"/>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000000"/>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4</w:t>
            </w: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582"/>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预算资金：一定时期（本年度或项目期）</w:t>
            </w:r>
            <w:proofErr w:type="gramStart"/>
            <w:r>
              <w:rPr>
                <w:rFonts w:hint="default"/>
                <w:sz w:val="18"/>
                <w:szCs w:val="18"/>
              </w:rPr>
              <w:t>内预算</w:t>
            </w:r>
            <w:proofErr w:type="gramEnd"/>
            <w:r>
              <w:rPr>
                <w:rFonts w:hint="default"/>
                <w:sz w:val="18"/>
                <w:szCs w:val="18"/>
              </w:rPr>
              <w:t>安排到具体项目的资金。</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000000"/>
              <w:left w:val="single" w:sz="4" w:space="0" w:color="000000"/>
              <w:bottom w:val="single" w:sz="4" w:space="0" w:color="000000"/>
              <w:right w:val="nil"/>
            </w:tcBorders>
            <w:vAlign w:val="center"/>
          </w:tcPr>
          <w:p w:rsidR="000F6DAD" w:rsidRDefault="00F97CD5">
            <w:pPr>
              <w:pStyle w:val="a8"/>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000000"/>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4</w:t>
            </w:r>
          </w:p>
        </w:tc>
      </w:tr>
      <w:tr w:rsidR="000F6DAD">
        <w:trPr>
          <w:trHeight w:val="628"/>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资金使用合</w:t>
            </w:r>
            <w:proofErr w:type="gramStart"/>
            <w:r>
              <w:rPr>
                <w:rFonts w:hint="default"/>
                <w:sz w:val="18"/>
                <w:szCs w:val="18"/>
              </w:rPr>
              <w:t>规</w:t>
            </w:r>
            <w:proofErr w:type="gramEnd"/>
            <w:r>
              <w:rPr>
                <w:rFonts w:hint="default"/>
                <w:sz w:val="18"/>
                <w:szCs w:val="18"/>
              </w:rPr>
              <w:t>性</w:t>
            </w:r>
          </w:p>
        </w:tc>
        <w:tc>
          <w:tcPr>
            <w:tcW w:w="1123" w:type="pct"/>
            <w:vMerge w:val="restart"/>
            <w:tcBorders>
              <w:top w:val="single" w:sz="4" w:space="0" w:color="000000"/>
              <w:left w:val="single" w:sz="4" w:space="0" w:color="000000"/>
              <w:bottom w:val="single" w:sz="4" w:space="0" w:color="000000"/>
              <w:right w:val="nil"/>
            </w:tcBorders>
            <w:vAlign w:val="center"/>
          </w:tcPr>
          <w:p w:rsidR="000F6DAD" w:rsidRDefault="00F97CD5">
            <w:pPr>
              <w:pStyle w:val="a8"/>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000000"/>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4</w:t>
            </w: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119"/>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000000"/>
              <w:left w:val="single" w:sz="4" w:space="0" w:color="000000"/>
              <w:bottom w:val="single" w:sz="4" w:space="0" w:color="000000"/>
              <w:right w:val="nil"/>
            </w:tcBorders>
            <w:vAlign w:val="center"/>
          </w:tcPr>
          <w:p w:rsidR="000F6DAD" w:rsidRDefault="00F97CD5">
            <w:pPr>
              <w:pStyle w:val="a8"/>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000000"/>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3</w:t>
            </w: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②</w:t>
            </w:r>
            <w:r>
              <w:rPr>
                <w:rFonts w:hint="default"/>
                <w:sz w:val="18"/>
                <w:szCs w:val="18"/>
              </w:rPr>
              <w:t>财务和业务管理制度是否合法、合</w:t>
            </w:r>
            <w:proofErr w:type="gramStart"/>
            <w:r>
              <w:rPr>
                <w:rFonts w:hint="default"/>
                <w:sz w:val="18"/>
                <w:szCs w:val="18"/>
              </w:rPr>
              <w:t>规</w:t>
            </w:r>
            <w:proofErr w:type="gramEnd"/>
            <w:r>
              <w:rPr>
                <w:rFonts w:hint="default"/>
                <w:sz w:val="18"/>
                <w:szCs w:val="18"/>
              </w:rPr>
              <w:t>、完整。</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233"/>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000000"/>
              <w:left w:val="single" w:sz="4" w:space="0" w:color="000000"/>
              <w:bottom w:val="single" w:sz="4" w:space="0" w:color="000000"/>
              <w:right w:val="nil"/>
            </w:tcBorders>
            <w:vAlign w:val="center"/>
          </w:tcPr>
          <w:p w:rsidR="000F6DAD" w:rsidRDefault="00F97CD5">
            <w:pPr>
              <w:pStyle w:val="a8"/>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000000"/>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3</w:t>
            </w:r>
          </w:p>
        </w:tc>
      </w:tr>
      <w:tr w:rsidR="000F6DAD">
        <w:trPr>
          <w:trHeight w:val="152"/>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460"/>
          <w:jc w:val="center"/>
        </w:trPr>
        <w:tc>
          <w:tcPr>
            <w:tcW w:w="306"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000000"/>
              <w:left w:val="single" w:sz="4" w:space="0" w:color="000000"/>
              <w:bottom w:val="single" w:sz="4" w:space="0" w:color="000000"/>
              <w:right w:val="nil"/>
            </w:tcBorders>
            <w:vAlign w:val="center"/>
          </w:tcPr>
          <w:p w:rsidR="000F6DAD" w:rsidRDefault="00F97CD5">
            <w:pPr>
              <w:pStyle w:val="a8"/>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000000"/>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12</w:t>
            </w: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337"/>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000000"/>
              <w:left w:val="single" w:sz="4" w:space="0" w:color="000000"/>
              <w:bottom w:val="single" w:sz="4" w:space="0" w:color="000000"/>
              <w:right w:val="nil"/>
            </w:tcBorders>
            <w:vAlign w:val="center"/>
          </w:tcPr>
          <w:p w:rsidR="000F6DAD" w:rsidRDefault="00F97CD5">
            <w:pPr>
              <w:pStyle w:val="a8"/>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000000"/>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12</w:t>
            </w:r>
          </w:p>
        </w:tc>
      </w:tr>
      <w:tr w:rsidR="000F6DAD">
        <w:trPr>
          <w:trHeight w:val="88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000000"/>
              <w:left w:val="single" w:sz="4" w:space="0" w:color="000000"/>
              <w:bottom w:val="single" w:sz="4" w:space="0" w:color="000000"/>
              <w:right w:val="nil"/>
            </w:tcBorders>
            <w:vAlign w:val="center"/>
          </w:tcPr>
          <w:p w:rsidR="000F6DAD" w:rsidRDefault="00F97CD5">
            <w:pPr>
              <w:pStyle w:val="a8"/>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000000"/>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12</w:t>
            </w: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000000"/>
              <w:left w:val="single" w:sz="4" w:space="0" w:color="000000"/>
              <w:bottom w:val="single" w:sz="4" w:space="0" w:color="000000"/>
              <w:right w:val="nil"/>
            </w:tcBorders>
            <w:vAlign w:val="center"/>
          </w:tcPr>
          <w:p w:rsidR="000F6DAD" w:rsidRDefault="00F97CD5">
            <w:pPr>
              <w:pStyle w:val="a8"/>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000000"/>
              <w:left w:val="single" w:sz="4" w:space="0" w:color="000000"/>
              <w:bottom w:val="nil"/>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4</w:t>
            </w: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0F6DAD" w:rsidRDefault="000F6DA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0F6DAD" w:rsidRDefault="000F6DAD">
            <w:pPr>
              <w:pStyle w:val="a8"/>
              <w:spacing w:line="240" w:lineRule="exact"/>
              <w:jc w:val="both"/>
              <w:rPr>
                <w:rFonts w:hint="default"/>
                <w:sz w:val="18"/>
                <w:szCs w:val="18"/>
              </w:rPr>
            </w:pPr>
          </w:p>
        </w:tc>
      </w:tr>
      <w:tr w:rsidR="000F6DAD">
        <w:trPr>
          <w:trHeight w:val="780"/>
          <w:jc w:val="center"/>
        </w:trPr>
        <w:tc>
          <w:tcPr>
            <w:tcW w:w="306"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项目效益</w:t>
            </w:r>
          </w:p>
        </w:tc>
        <w:tc>
          <w:tcPr>
            <w:tcW w:w="422" w:type="pc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实施</w:t>
            </w:r>
          </w:p>
          <w:p w:rsidR="000F6DAD" w:rsidRDefault="00F97CD5">
            <w:pPr>
              <w:pStyle w:val="a8"/>
              <w:spacing w:line="240" w:lineRule="exact"/>
              <w:jc w:val="both"/>
              <w:rPr>
                <w:rFonts w:hint="default"/>
                <w:sz w:val="18"/>
                <w:szCs w:val="18"/>
              </w:rPr>
            </w:pPr>
            <w:r>
              <w:rPr>
                <w:rFonts w:hint="default"/>
                <w:sz w:val="18"/>
                <w:szCs w:val="18"/>
              </w:rPr>
              <w:t>效益</w:t>
            </w:r>
          </w:p>
        </w:tc>
        <w:tc>
          <w:tcPr>
            <w:tcW w:w="1123" w:type="pct"/>
            <w:tcBorders>
              <w:top w:val="single" w:sz="4" w:space="0" w:color="000000"/>
              <w:left w:val="single" w:sz="4" w:space="0" w:color="000000"/>
              <w:bottom w:val="single" w:sz="4" w:space="0" w:color="000000"/>
              <w:right w:val="nil"/>
            </w:tcBorders>
            <w:vAlign w:val="center"/>
          </w:tcPr>
          <w:p w:rsidR="000F6DAD" w:rsidRDefault="00F97CD5">
            <w:pPr>
              <w:pStyle w:val="a8"/>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10</w:t>
            </w:r>
          </w:p>
        </w:tc>
        <w:tc>
          <w:tcPr>
            <w:tcW w:w="323" w:type="pc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10</w:t>
            </w:r>
          </w:p>
        </w:tc>
      </w:tr>
      <w:tr w:rsidR="000F6DAD">
        <w:trPr>
          <w:trHeight w:val="8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0F6DAD" w:rsidRDefault="000F6DAD">
            <w:pPr>
              <w:pStyle w:val="a8"/>
              <w:spacing w:line="240" w:lineRule="exact"/>
              <w:jc w:val="both"/>
              <w:rPr>
                <w:rFonts w:hint="default"/>
                <w:sz w:val="18"/>
                <w:szCs w:val="18"/>
              </w:rPr>
            </w:pPr>
          </w:p>
        </w:tc>
        <w:tc>
          <w:tcPr>
            <w:tcW w:w="422" w:type="pc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满意度</w:t>
            </w:r>
          </w:p>
        </w:tc>
        <w:tc>
          <w:tcPr>
            <w:tcW w:w="1123" w:type="pct"/>
            <w:tcBorders>
              <w:top w:val="single" w:sz="4" w:space="0" w:color="000000"/>
              <w:left w:val="single" w:sz="4" w:space="0" w:color="000000"/>
              <w:bottom w:val="single" w:sz="4" w:space="0" w:color="000000"/>
              <w:right w:val="nil"/>
            </w:tcBorders>
            <w:vAlign w:val="center"/>
          </w:tcPr>
          <w:p w:rsidR="000F6DAD" w:rsidRDefault="00F97CD5">
            <w:pPr>
              <w:pStyle w:val="a8"/>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000000"/>
              <w:left w:val="single" w:sz="4" w:space="0" w:color="000000"/>
              <w:bottom w:val="single" w:sz="4" w:space="0" w:color="000000"/>
              <w:right w:val="single" w:sz="4" w:space="0" w:color="000000"/>
            </w:tcBorders>
            <w:vAlign w:val="center"/>
          </w:tcPr>
          <w:p w:rsidR="000F6DAD" w:rsidRDefault="00F97CD5">
            <w:pPr>
              <w:pStyle w:val="a8"/>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10</w:t>
            </w:r>
          </w:p>
        </w:tc>
        <w:tc>
          <w:tcPr>
            <w:tcW w:w="323" w:type="pc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10</w:t>
            </w:r>
          </w:p>
        </w:tc>
      </w:tr>
      <w:tr w:rsidR="000F6DAD">
        <w:trPr>
          <w:trHeight w:val="460"/>
          <w:jc w:val="center"/>
        </w:trPr>
        <w:tc>
          <w:tcPr>
            <w:tcW w:w="4359" w:type="pct"/>
            <w:gridSpan w:val="5"/>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合计</w:t>
            </w:r>
          </w:p>
        </w:tc>
        <w:tc>
          <w:tcPr>
            <w:tcW w:w="317" w:type="pc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100</w:t>
            </w:r>
          </w:p>
        </w:tc>
        <w:tc>
          <w:tcPr>
            <w:tcW w:w="323" w:type="pct"/>
            <w:tcBorders>
              <w:top w:val="single" w:sz="4" w:space="0" w:color="000000"/>
              <w:left w:val="single" w:sz="4" w:space="0" w:color="000000"/>
              <w:bottom w:val="single" w:sz="4" w:space="0" w:color="000000"/>
              <w:right w:val="single" w:sz="4" w:space="0" w:color="000000"/>
            </w:tcBorders>
            <w:noWrap/>
            <w:vAlign w:val="center"/>
          </w:tcPr>
          <w:p w:rsidR="000F6DAD" w:rsidRDefault="00F97CD5">
            <w:pPr>
              <w:pStyle w:val="a8"/>
              <w:spacing w:line="240" w:lineRule="exact"/>
              <w:jc w:val="both"/>
              <w:rPr>
                <w:rFonts w:hint="default"/>
                <w:sz w:val="18"/>
                <w:szCs w:val="18"/>
              </w:rPr>
            </w:pPr>
            <w:r>
              <w:rPr>
                <w:rFonts w:hint="default"/>
                <w:sz w:val="18"/>
                <w:szCs w:val="18"/>
              </w:rPr>
              <w:t>100</w:t>
            </w:r>
          </w:p>
        </w:tc>
      </w:tr>
      <w:bookmarkEnd w:id="0"/>
    </w:tbl>
    <w:p w:rsidR="000F6DAD" w:rsidRDefault="000F6DAD">
      <w:pPr>
        <w:ind w:firstLine="640"/>
      </w:pPr>
    </w:p>
    <w:sectPr w:rsidR="000F6DA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CD5" w:rsidRDefault="00F97CD5">
      <w:pPr>
        <w:spacing w:line="240" w:lineRule="auto"/>
        <w:ind w:firstLine="640"/>
      </w:pPr>
      <w:r>
        <w:separator/>
      </w:r>
    </w:p>
  </w:endnote>
  <w:endnote w:type="continuationSeparator" w:id="0">
    <w:p w:rsidR="00F97CD5" w:rsidRDefault="00F97CD5">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00716A66-1DF6-402C-A613-6EBEBCD1B53D}"/>
    <w:embedBold r:id="rId2" w:subsetted="1" w:fontKey="{E580FC97-D27E-4FB9-BE9F-2F5B74DF1C59}"/>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6BD418B4-12B5-4778-9C39-5D2CACB8C02E}"/>
  </w:font>
  <w:font w:name="黑体">
    <w:altName w:val="SimHei"/>
    <w:panose1 w:val="02010600030101010101"/>
    <w:charset w:val="86"/>
    <w:family w:val="auto"/>
    <w:pitch w:val="variable"/>
    <w:sig w:usb0="800002BF" w:usb1="38CF7CFA" w:usb2="00000016" w:usb3="00000000" w:csb0="00040001" w:csb1="00000000"/>
    <w:embedRegular r:id="rId4" w:subsetted="1" w:fontKey="{D9684FC8-A5EE-495D-A36F-2B8A8B96BAD3}"/>
    <w:embedBold r:id="rId5" w:subsetted="1" w:fontKey="{81BDF015-712F-4F84-AEB7-3A4DCD9EA0D8}"/>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Bold r:id="rId6" w:subsetted="1" w:fontKey="{4D6B39AD-3A12-4F71-BF27-FB2067B3262D}"/>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DAD" w:rsidRDefault="000F6DAD">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CD5" w:rsidRDefault="00F97CD5">
      <w:pPr>
        <w:ind w:firstLine="640"/>
      </w:pPr>
      <w:r>
        <w:separator/>
      </w:r>
    </w:p>
  </w:footnote>
  <w:footnote w:type="continuationSeparator" w:id="0">
    <w:p w:rsidR="00F97CD5" w:rsidRDefault="00F97CD5">
      <w:pPr>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oNotTrackMove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cyODMxYTE0ZTc0ZGU3Y2QwODc3MzYzN2Q1YmNiM2EifQ=="/>
    <w:docVar w:name="KSO_WPS_MARK_KEY" w:val="62532d26-1542-4b08-b936-493fbebb7e1f"/>
  </w:docVars>
  <w:rsids>
    <w:rsidRoot w:val="005A0191"/>
    <w:rsid w:val="000B4A5E"/>
    <w:rsid w:val="000F6DAD"/>
    <w:rsid w:val="00263361"/>
    <w:rsid w:val="00285B8D"/>
    <w:rsid w:val="00307EE9"/>
    <w:rsid w:val="005A0191"/>
    <w:rsid w:val="005E50CC"/>
    <w:rsid w:val="006652A9"/>
    <w:rsid w:val="006D3B86"/>
    <w:rsid w:val="00883824"/>
    <w:rsid w:val="008B6319"/>
    <w:rsid w:val="009508B9"/>
    <w:rsid w:val="00AA58F9"/>
    <w:rsid w:val="00AF0F6E"/>
    <w:rsid w:val="00C13BF9"/>
    <w:rsid w:val="00D95D43"/>
    <w:rsid w:val="00F97CD5"/>
    <w:rsid w:val="00FD44D7"/>
    <w:rsid w:val="010543E8"/>
    <w:rsid w:val="012B6E6A"/>
    <w:rsid w:val="013F4951"/>
    <w:rsid w:val="01671053"/>
    <w:rsid w:val="016D421F"/>
    <w:rsid w:val="01963FB6"/>
    <w:rsid w:val="01A71FD9"/>
    <w:rsid w:val="01BA14BB"/>
    <w:rsid w:val="01C45237"/>
    <w:rsid w:val="01DF79C5"/>
    <w:rsid w:val="01E14F30"/>
    <w:rsid w:val="01E70402"/>
    <w:rsid w:val="02322B8F"/>
    <w:rsid w:val="026E3F27"/>
    <w:rsid w:val="02846936"/>
    <w:rsid w:val="02A439B0"/>
    <w:rsid w:val="02C27C6C"/>
    <w:rsid w:val="02CA09AC"/>
    <w:rsid w:val="02D967BB"/>
    <w:rsid w:val="02E46C76"/>
    <w:rsid w:val="030D1C33"/>
    <w:rsid w:val="0314263A"/>
    <w:rsid w:val="03172250"/>
    <w:rsid w:val="03487E9F"/>
    <w:rsid w:val="039C7361"/>
    <w:rsid w:val="03A5117F"/>
    <w:rsid w:val="03B96CD5"/>
    <w:rsid w:val="03C74C2B"/>
    <w:rsid w:val="03CC6B77"/>
    <w:rsid w:val="03DB5C6E"/>
    <w:rsid w:val="03F36136"/>
    <w:rsid w:val="03F43C39"/>
    <w:rsid w:val="0434049E"/>
    <w:rsid w:val="043862A3"/>
    <w:rsid w:val="04563223"/>
    <w:rsid w:val="04774752"/>
    <w:rsid w:val="04977F1A"/>
    <w:rsid w:val="04AD6036"/>
    <w:rsid w:val="04B34683"/>
    <w:rsid w:val="04ED5CD1"/>
    <w:rsid w:val="051554AC"/>
    <w:rsid w:val="056863D0"/>
    <w:rsid w:val="05BA7C49"/>
    <w:rsid w:val="06113EC5"/>
    <w:rsid w:val="063F1C46"/>
    <w:rsid w:val="067B1422"/>
    <w:rsid w:val="068115BE"/>
    <w:rsid w:val="06B9431C"/>
    <w:rsid w:val="06EA072F"/>
    <w:rsid w:val="06F71662"/>
    <w:rsid w:val="07030662"/>
    <w:rsid w:val="07195A4A"/>
    <w:rsid w:val="07487DBA"/>
    <w:rsid w:val="077C1AE0"/>
    <w:rsid w:val="078639EC"/>
    <w:rsid w:val="07EE42E4"/>
    <w:rsid w:val="07F35B8A"/>
    <w:rsid w:val="0802067F"/>
    <w:rsid w:val="08163C04"/>
    <w:rsid w:val="081E3E76"/>
    <w:rsid w:val="081E4FBF"/>
    <w:rsid w:val="084E5D95"/>
    <w:rsid w:val="0881297A"/>
    <w:rsid w:val="08A02045"/>
    <w:rsid w:val="08A553EB"/>
    <w:rsid w:val="09021C27"/>
    <w:rsid w:val="091268D2"/>
    <w:rsid w:val="091E28BF"/>
    <w:rsid w:val="093D48C5"/>
    <w:rsid w:val="099D72DD"/>
    <w:rsid w:val="09AF464C"/>
    <w:rsid w:val="09B1793B"/>
    <w:rsid w:val="09F50BAF"/>
    <w:rsid w:val="0A255C82"/>
    <w:rsid w:val="0A3F75E5"/>
    <w:rsid w:val="0A95058B"/>
    <w:rsid w:val="0AD132FF"/>
    <w:rsid w:val="0AD53F72"/>
    <w:rsid w:val="0AFC291E"/>
    <w:rsid w:val="0AFC6FEE"/>
    <w:rsid w:val="0B2F6AAA"/>
    <w:rsid w:val="0B3C64DE"/>
    <w:rsid w:val="0B447ABF"/>
    <w:rsid w:val="0B451D17"/>
    <w:rsid w:val="0B6F4EA9"/>
    <w:rsid w:val="0B79296B"/>
    <w:rsid w:val="0B7B2FBD"/>
    <w:rsid w:val="0BC63F2D"/>
    <w:rsid w:val="0BF043EB"/>
    <w:rsid w:val="0BF163BC"/>
    <w:rsid w:val="0BF513C4"/>
    <w:rsid w:val="0C0101D8"/>
    <w:rsid w:val="0C7318D2"/>
    <w:rsid w:val="0C741652"/>
    <w:rsid w:val="0C83556D"/>
    <w:rsid w:val="0CA80B48"/>
    <w:rsid w:val="0CC6420D"/>
    <w:rsid w:val="0CCF5247"/>
    <w:rsid w:val="0CF82F5F"/>
    <w:rsid w:val="0D122608"/>
    <w:rsid w:val="0D1558E6"/>
    <w:rsid w:val="0D524F8D"/>
    <w:rsid w:val="0D8B1E65"/>
    <w:rsid w:val="0D935B07"/>
    <w:rsid w:val="0DB314C5"/>
    <w:rsid w:val="0DBA32B1"/>
    <w:rsid w:val="0DCD3034"/>
    <w:rsid w:val="0E224E98"/>
    <w:rsid w:val="0E390EE5"/>
    <w:rsid w:val="0E572792"/>
    <w:rsid w:val="0E582F4B"/>
    <w:rsid w:val="0E5B4FD9"/>
    <w:rsid w:val="0E5C6180"/>
    <w:rsid w:val="0E804269"/>
    <w:rsid w:val="0EB517A1"/>
    <w:rsid w:val="0EE02A66"/>
    <w:rsid w:val="0F217EB3"/>
    <w:rsid w:val="0F3330FE"/>
    <w:rsid w:val="0F600192"/>
    <w:rsid w:val="0F621741"/>
    <w:rsid w:val="0F8807D1"/>
    <w:rsid w:val="0F970C9D"/>
    <w:rsid w:val="0FDB7A31"/>
    <w:rsid w:val="10161FE7"/>
    <w:rsid w:val="10E943BC"/>
    <w:rsid w:val="110122D6"/>
    <w:rsid w:val="11186DE1"/>
    <w:rsid w:val="114E2105"/>
    <w:rsid w:val="115252C3"/>
    <w:rsid w:val="11982DAB"/>
    <w:rsid w:val="11983817"/>
    <w:rsid w:val="11B12658"/>
    <w:rsid w:val="11BF7F02"/>
    <w:rsid w:val="11F53453"/>
    <w:rsid w:val="1206584D"/>
    <w:rsid w:val="12094FEC"/>
    <w:rsid w:val="12B468EA"/>
    <w:rsid w:val="12DD21B3"/>
    <w:rsid w:val="12F1269E"/>
    <w:rsid w:val="12F62E89"/>
    <w:rsid w:val="12FA591C"/>
    <w:rsid w:val="133072D7"/>
    <w:rsid w:val="13693592"/>
    <w:rsid w:val="136F71F9"/>
    <w:rsid w:val="13755298"/>
    <w:rsid w:val="1384211F"/>
    <w:rsid w:val="13A46379"/>
    <w:rsid w:val="13A829DF"/>
    <w:rsid w:val="13BA3DEE"/>
    <w:rsid w:val="13D41BD8"/>
    <w:rsid w:val="13DE588B"/>
    <w:rsid w:val="14510163"/>
    <w:rsid w:val="14525DEA"/>
    <w:rsid w:val="146A107D"/>
    <w:rsid w:val="147D40D8"/>
    <w:rsid w:val="14952462"/>
    <w:rsid w:val="14DD0CF7"/>
    <w:rsid w:val="151100C6"/>
    <w:rsid w:val="15617E60"/>
    <w:rsid w:val="15697C1D"/>
    <w:rsid w:val="156D6C3E"/>
    <w:rsid w:val="15915022"/>
    <w:rsid w:val="15C17503"/>
    <w:rsid w:val="15D94B81"/>
    <w:rsid w:val="165512EC"/>
    <w:rsid w:val="165616AB"/>
    <w:rsid w:val="169C11A5"/>
    <w:rsid w:val="16B46F56"/>
    <w:rsid w:val="16C008D1"/>
    <w:rsid w:val="1769796A"/>
    <w:rsid w:val="17761585"/>
    <w:rsid w:val="179C3E62"/>
    <w:rsid w:val="17B614FB"/>
    <w:rsid w:val="17C074F9"/>
    <w:rsid w:val="180F1976"/>
    <w:rsid w:val="18827387"/>
    <w:rsid w:val="1890180C"/>
    <w:rsid w:val="18FB3121"/>
    <w:rsid w:val="191B17BF"/>
    <w:rsid w:val="19503780"/>
    <w:rsid w:val="19BA2CBF"/>
    <w:rsid w:val="1A275824"/>
    <w:rsid w:val="1A4E6747"/>
    <w:rsid w:val="1A7C4A6F"/>
    <w:rsid w:val="1B0B555F"/>
    <w:rsid w:val="1B0D1BBD"/>
    <w:rsid w:val="1B2600DE"/>
    <w:rsid w:val="1B2C40B3"/>
    <w:rsid w:val="1B63742C"/>
    <w:rsid w:val="1B710164"/>
    <w:rsid w:val="1B78396E"/>
    <w:rsid w:val="1BF56DE5"/>
    <w:rsid w:val="1C1E1445"/>
    <w:rsid w:val="1C337552"/>
    <w:rsid w:val="1C615474"/>
    <w:rsid w:val="1C652EB5"/>
    <w:rsid w:val="1CC70C15"/>
    <w:rsid w:val="1D206D03"/>
    <w:rsid w:val="1D2D5D73"/>
    <w:rsid w:val="1D41328F"/>
    <w:rsid w:val="1D675F5E"/>
    <w:rsid w:val="1D7E189D"/>
    <w:rsid w:val="1D8E71D8"/>
    <w:rsid w:val="1DF05F40"/>
    <w:rsid w:val="1E161167"/>
    <w:rsid w:val="1E65489C"/>
    <w:rsid w:val="1E9F6DD4"/>
    <w:rsid w:val="1EA41518"/>
    <w:rsid w:val="1EEE244E"/>
    <w:rsid w:val="1EFB48ED"/>
    <w:rsid w:val="1EFF3DA3"/>
    <w:rsid w:val="1F1D617F"/>
    <w:rsid w:val="1F2362F2"/>
    <w:rsid w:val="1F6000DB"/>
    <w:rsid w:val="1F66307C"/>
    <w:rsid w:val="1F896D6A"/>
    <w:rsid w:val="1FB504D9"/>
    <w:rsid w:val="1FDC2D63"/>
    <w:rsid w:val="201A6F6B"/>
    <w:rsid w:val="20491078"/>
    <w:rsid w:val="213B4094"/>
    <w:rsid w:val="214C08CD"/>
    <w:rsid w:val="214E4272"/>
    <w:rsid w:val="216815D3"/>
    <w:rsid w:val="219D7746"/>
    <w:rsid w:val="21B44535"/>
    <w:rsid w:val="21FF5479"/>
    <w:rsid w:val="229B35E6"/>
    <w:rsid w:val="22C66D26"/>
    <w:rsid w:val="22EA5552"/>
    <w:rsid w:val="235023CF"/>
    <w:rsid w:val="237C0471"/>
    <w:rsid w:val="239F121A"/>
    <w:rsid w:val="241D59F3"/>
    <w:rsid w:val="243B7C60"/>
    <w:rsid w:val="24633AD1"/>
    <w:rsid w:val="24842D82"/>
    <w:rsid w:val="24A0584E"/>
    <w:rsid w:val="24AA20CF"/>
    <w:rsid w:val="24E11E8D"/>
    <w:rsid w:val="25173EC2"/>
    <w:rsid w:val="251777BD"/>
    <w:rsid w:val="2573074E"/>
    <w:rsid w:val="257F2ADA"/>
    <w:rsid w:val="258C0B2E"/>
    <w:rsid w:val="25B3069D"/>
    <w:rsid w:val="26051F0A"/>
    <w:rsid w:val="26192A64"/>
    <w:rsid w:val="26261634"/>
    <w:rsid w:val="26542A3C"/>
    <w:rsid w:val="2687108C"/>
    <w:rsid w:val="26947205"/>
    <w:rsid w:val="26AE1C86"/>
    <w:rsid w:val="26C45EC0"/>
    <w:rsid w:val="26C70A5B"/>
    <w:rsid w:val="26F95D4A"/>
    <w:rsid w:val="27204086"/>
    <w:rsid w:val="27675F25"/>
    <w:rsid w:val="27A51C9D"/>
    <w:rsid w:val="27E56B08"/>
    <w:rsid w:val="27F947D4"/>
    <w:rsid w:val="27FE4C79"/>
    <w:rsid w:val="283B63F3"/>
    <w:rsid w:val="28620786"/>
    <w:rsid w:val="287865BB"/>
    <w:rsid w:val="28A558B9"/>
    <w:rsid w:val="28BE5EF4"/>
    <w:rsid w:val="28FA4FC4"/>
    <w:rsid w:val="29540328"/>
    <w:rsid w:val="29546F32"/>
    <w:rsid w:val="29600B3C"/>
    <w:rsid w:val="2994097D"/>
    <w:rsid w:val="29C0559E"/>
    <w:rsid w:val="29F75B90"/>
    <w:rsid w:val="2A050E66"/>
    <w:rsid w:val="2A280C7B"/>
    <w:rsid w:val="2A430D03"/>
    <w:rsid w:val="2A4A7CD3"/>
    <w:rsid w:val="2AEE4C16"/>
    <w:rsid w:val="2AF86CB7"/>
    <w:rsid w:val="2AF93B0B"/>
    <w:rsid w:val="2B1209AE"/>
    <w:rsid w:val="2B3E7E63"/>
    <w:rsid w:val="2B543D37"/>
    <w:rsid w:val="2B6F3FB5"/>
    <w:rsid w:val="2B795BE9"/>
    <w:rsid w:val="2BB22B77"/>
    <w:rsid w:val="2BBF03D1"/>
    <w:rsid w:val="2BFE1794"/>
    <w:rsid w:val="2C054F73"/>
    <w:rsid w:val="2C071743"/>
    <w:rsid w:val="2C21614B"/>
    <w:rsid w:val="2C2C5AE6"/>
    <w:rsid w:val="2CD020DE"/>
    <w:rsid w:val="2CDE2F94"/>
    <w:rsid w:val="2CF53514"/>
    <w:rsid w:val="2D182A01"/>
    <w:rsid w:val="2D1C2B55"/>
    <w:rsid w:val="2D2101F2"/>
    <w:rsid w:val="2D2D5765"/>
    <w:rsid w:val="2D5B3076"/>
    <w:rsid w:val="2D752533"/>
    <w:rsid w:val="2DAC58E7"/>
    <w:rsid w:val="2DC76676"/>
    <w:rsid w:val="2E2222F3"/>
    <w:rsid w:val="2E376114"/>
    <w:rsid w:val="2E3F5B83"/>
    <w:rsid w:val="2E531A7A"/>
    <w:rsid w:val="2E695859"/>
    <w:rsid w:val="2E725850"/>
    <w:rsid w:val="2E9632A9"/>
    <w:rsid w:val="2E9F7434"/>
    <w:rsid w:val="2EAA7541"/>
    <w:rsid w:val="2EC06CB9"/>
    <w:rsid w:val="2F012B36"/>
    <w:rsid w:val="2F2041F1"/>
    <w:rsid w:val="2F2E0676"/>
    <w:rsid w:val="2F2E3FBD"/>
    <w:rsid w:val="2F4C7199"/>
    <w:rsid w:val="2FFC24A6"/>
    <w:rsid w:val="3014565E"/>
    <w:rsid w:val="307D6F1D"/>
    <w:rsid w:val="307E5259"/>
    <w:rsid w:val="30AA08EF"/>
    <w:rsid w:val="30BC0D4E"/>
    <w:rsid w:val="30C8302E"/>
    <w:rsid w:val="30C94B14"/>
    <w:rsid w:val="30CB5B55"/>
    <w:rsid w:val="3110673E"/>
    <w:rsid w:val="311D182B"/>
    <w:rsid w:val="31322DBE"/>
    <w:rsid w:val="314B5F4F"/>
    <w:rsid w:val="316D4215"/>
    <w:rsid w:val="317938B6"/>
    <w:rsid w:val="317B51EB"/>
    <w:rsid w:val="318A0E4C"/>
    <w:rsid w:val="318F0A3B"/>
    <w:rsid w:val="31E11B89"/>
    <w:rsid w:val="31FA2D37"/>
    <w:rsid w:val="32041A3C"/>
    <w:rsid w:val="328179D3"/>
    <w:rsid w:val="328F300E"/>
    <w:rsid w:val="32A05291"/>
    <w:rsid w:val="32B02295"/>
    <w:rsid w:val="32D934EB"/>
    <w:rsid w:val="33B92170"/>
    <w:rsid w:val="33EB6C5F"/>
    <w:rsid w:val="342310E4"/>
    <w:rsid w:val="34542FD7"/>
    <w:rsid w:val="3463264A"/>
    <w:rsid w:val="346B44B9"/>
    <w:rsid w:val="346B6434"/>
    <w:rsid w:val="34A02734"/>
    <w:rsid w:val="34C407FF"/>
    <w:rsid w:val="34DF781A"/>
    <w:rsid w:val="34E02E6A"/>
    <w:rsid w:val="34E246D0"/>
    <w:rsid w:val="34F10CC8"/>
    <w:rsid w:val="34F72EDE"/>
    <w:rsid w:val="34FB104A"/>
    <w:rsid w:val="350D5076"/>
    <w:rsid w:val="35512394"/>
    <w:rsid w:val="356669E8"/>
    <w:rsid w:val="35A00049"/>
    <w:rsid w:val="35B62D85"/>
    <w:rsid w:val="35BD1217"/>
    <w:rsid w:val="35E65C73"/>
    <w:rsid w:val="36453593"/>
    <w:rsid w:val="365C268B"/>
    <w:rsid w:val="366D4A16"/>
    <w:rsid w:val="36792E95"/>
    <w:rsid w:val="3691606C"/>
    <w:rsid w:val="36AF4A98"/>
    <w:rsid w:val="36E379B0"/>
    <w:rsid w:val="36F85FB9"/>
    <w:rsid w:val="370703D7"/>
    <w:rsid w:val="37102991"/>
    <w:rsid w:val="37487FA4"/>
    <w:rsid w:val="376110C0"/>
    <w:rsid w:val="37AC66C1"/>
    <w:rsid w:val="37AF022F"/>
    <w:rsid w:val="37E31F7F"/>
    <w:rsid w:val="38597047"/>
    <w:rsid w:val="38834B12"/>
    <w:rsid w:val="3899639C"/>
    <w:rsid w:val="392439F6"/>
    <w:rsid w:val="39371DE3"/>
    <w:rsid w:val="393A58DF"/>
    <w:rsid w:val="39417D1D"/>
    <w:rsid w:val="39495149"/>
    <w:rsid w:val="394D48E5"/>
    <w:rsid w:val="39A03105"/>
    <w:rsid w:val="39AA5EE2"/>
    <w:rsid w:val="3A0665A9"/>
    <w:rsid w:val="3A3F1505"/>
    <w:rsid w:val="3AAF07EF"/>
    <w:rsid w:val="3AC80CDD"/>
    <w:rsid w:val="3AC82638"/>
    <w:rsid w:val="3AE42AE8"/>
    <w:rsid w:val="3AF31810"/>
    <w:rsid w:val="3B0D48C5"/>
    <w:rsid w:val="3B2A0FAA"/>
    <w:rsid w:val="3B4D3F2F"/>
    <w:rsid w:val="3B73249E"/>
    <w:rsid w:val="3B8473C0"/>
    <w:rsid w:val="3B9F1655"/>
    <w:rsid w:val="3BA35B49"/>
    <w:rsid w:val="3BDF3899"/>
    <w:rsid w:val="3C1656D6"/>
    <w:rsid w:val="3C317F80"/>
    <w:rsid w:val="3C5910AC"/>
    <w:rsid w:val="3C672949"/>
    <w:rsid w:val="3C812E76"/>
    <w:rsid w:val="3CA12586"/>
    <w:rsid w:val="3CD91D1C"/>
    <w:rsid w:val="3D510E8A"/>
    <w:rsid w:val="3D734A02"/>
    <w:rsid w:val="3D7566A5"/>
    <w:rsid w:val="3DA30BED"/>
    <w:rsid w:val="3DE06DCB"/>
    <w:rsid w:val="3E49466B"/>
    <w:rsid w:val="3E5134DA"/>
    <w:rsid w:val="3E534EE0"/>
    <w:rsid w:val="3E6A5C4C"/>
    <w:rsid w:val="3E8936E8"/>
    <w:rsid w:val="3E8A2E2B"/>
    <w:rsid w:val="3EB91201"/>
    <w:rsid w:val="3EC90E62"/>
    <w:rsid w:val="3EF449BE"/>
    <w:rsid w:val="3EF47F2F"/>
    <w:rsid w:val="3EF5310E"/>
    <w:rsid w:val="3EF7687F"/>
    <w:rsid w:val="3F1C5F95"/>
    <w:rsid w:val="3F505508"/>
    <w:rsid w:val="3F865DB9"/>
    <w:rsid w:val="3F894845"/>
    <w:rsid w:val="3F936E29"/>
    <w:rsid w:val="3FAB55DB"/>
    <w:rsid w:val="400C26A7"/>
    <w:rsid w:val="401F00C8"/>
    <w:rsid w:val="405855B9"/>
    <w:rsid w:val="407625F0"/>
    <w:rsid w:val="407C4056"/>
    <w:rsid w:val="40A327DC"/>
    <w:rsid w:val="40C10722"/>
    <w:rsid w:val="40C34049"/>
    <w:rsid w:val="415947C9"/>
    <w:rsid w:val="419E3B58"/>
    <w:rsid w:val="41AE46B4"/>
    <w:rsid w:val="41DB35B4"/>
    <w:rsid w:val="42373989"/>
    <w:rsid w:val="427309EF"/>
    <w:rsid w:val="4286056C"/>
    <w:rsid w:val="42873F23"/>
    <w:rsid w:val="42EE0454"/>
    <w:rsid w:val="42F425C9"/>
    <w:rsid w:val="431A6E5E"/>
    <w:rsid w:val="431E5FDB"/>
    <w:rsid w:val="43F53D2B"/>
    <w:rsid w:val="440B07D4"/>
    <w:rsid w:val="440C119F"/>
    <w:rsid w:val="441E4214"/>
    <w:rsid w:val="44265678"/>
    <w:rsid w:val="4449096A"/>
    <w:rsid w:val="449B3D14"/>
    <w:rsid w:val="44CB2BF8"/>
    <w:rsid w:val="44DF1057"/>
    <w:rsid w:val="44EE4EEB"/>
    <w:rsid w:val="45384F8A"/>
    <w:rsid w:val="453F125D"/>
    <w:rsid w:val="45453AC9"/>
    <w:rsid w:val="45BE7804"/>
    <w:rsid w:val="45D0650B"/>
    <w:rsid w:val="45E34802"/>
    <w:rsid w:val="45EE3D85"/>
    <w:rsid w:val="46030076"/>
    <w:rsid w:val="46216D40"/>
    <w:rsid w:val="462540D9"/>
    <w:rsid w:val="464E1ED1"/>
    <w:rsid w:val="46B67868"/>
    <w:rsid w:val="47175F64"/>
    <w:rsid w:val="475A2101"/>
    <w:rsid w:val="47604EFD"/>
    <w:rsid w:val="47F11247"/>
    <w:rsid w:val="480976AD"/>
    <w:rsid w:val="48102704"/>
    <w:rsid w:val="488B2090"/>
    <w:rsid w:val="488E4926"/>
    <w:rsid w:val="4892065F"/>
    <w:rsid w:val="48B05E34"/>
    <w:rsid w:val="48C87682"/>
    <w:rsid w:val="48CA7638"/>
    <w:rsid w:val="48DD648B"/>
    <w:rsid w:val="491B2711"/>
    <w:rsid w:val="49325B51"/>
    <w:rsid w:val="493E6EB1"/>
    <w:rsid w:val="498D5FEB"/>
    <w:rsid w:val="499C5710"/>
    <w:rsid w:val="49A73D65"/>
    <w:rsid w:val="49C25629"/>
    <w:rsid w:val="49DE18DD"/>
    <w:rsid w:val="4A0844E2"/>
    <w:rsid w:val="4A130C19"/>
    <w:rsid w:val="4A2D0508"/>
    <w:rsid w:val="4A2F2139"/>
    <w:rsid w:val="4A526BA3"/>
    <w:rsid w:val="4A5E31B9"/>
    <w:rsid w:val="4A635A65"/>
    <w:rsid w:val="4A9016F1"/>
    <w:rsid w:val="4A967431"/>
    <w:rsid w:val="4AB35B75"/>
    <w:rsid w:val="4ACE0ED7"/>
    <w:rsid w:val="4AD54A8E"/>
    <w:rsid w:val="4AE83611"/>
    <w:rsid w:val="4AFC2875"/>
    <w:rsid w:val="4B1C707F"/>
    <w:rsid w:val="4B235AEE"/>
    <w:rsid w:val="4B3F63AB"/>
    <w:rsid w:val="4B46537C"/>
    <w:rsid w:val="4B4B11F4"/>
    <w:rsid w:val="4B643575"/>
    <w:rsid w:val="4B720E6A"/>
    <w:rsid w:val="4BA81C14"/>
    <w:rsid w:val="4BB42626"/>
    <w:rsid w:val="4BB63216"/>
    <w:rsid w:val="4BCC17BD"/>
    <w:rsid w:val="4BD66CEC"/>
    <w:rsid w:val="4BD93801"/>
    <w:rsid w:val="4C156D1C"/>
    <w:rsid w:val="4C251A45"/>
    <w:rsid w:val="4C4D3038"/>
    <w:rsid w:val="4C8F3363"/>
    <w:rsid w:val="4C90015F"/>
    <w:rsid w:val="4C921EE7"/>
    <w:rsid w:val="4CB7140A"/>
    <w:rsid w:val="4CE2073C"/>
    <w:rsid w:val="4CE615EA"/>
    <w:rsid w:val="4D1473C4"/>
    <w:rsid w:val="4D3E5E35"/>
    <w:rsid w:val="4D5168DE"/>
    <w:rsid w:val="4DE17957"/>
    <w:rsid w:val="4DE265D4"/>
    <w:rsid w:val="4DE87FBB"/>
    <w:rsid w:val="4E2F7415"/>
    <w:rsid w:val="4E6A0AE5"/>
    <w:rsid w:val="4E724CEA"/>
    <w:rsid w:val="4EB95B3F"/>
    <w:rsid w:val="4F1D5190"/>
    <w:rsid w:val="4F203DAD"/>
    <w:rsid w:val="4F407550"/>
    <w:rsid w:val="4F4421E2"/>
    <w:rsid w:val="4F543FE7"/>
    <w:rsid w:val="4F5B2A95"/>
    <w:rsid w:val="4F5C1662"/>
    <w:rsid w:val="4F5F3FD2"/>
    <w:rsid w:val="4F8D166C"/>
    <w:rsid w:val="4FAC7633"/>
    <w:rsid w:val="4FD244A6"/>
    <w:rsid w:val="4FE271AE"/>
    <w:rsid w:val="500458D3"/>
    <w:rsid w:val="5009079B"/>
    <w:rsid w:val="500D5236"/>
    <w:rsid w:val="504109E5"/>
    <w:rsid w:val="505C197D"/>
    <w:rsid w:val="505E4554"/>
    <w:rsid w:val="50912AE3"/>
    <w:rsid w:val="50982BE7"/>
    <w:rsid w:val="50C22A17"/>
    <w:rsid w:val="50CA5C74"/>
    <w:rsid w:val="50DD7627"/>
    <w:rsid w:val="50E0398E"/>
    <w:rsid w:val="50E6540C"/>
    <w:rsid w:val="50EA447E"/>
    <w:rsid w:val="50F11D20"/>
    <w:rsid w:val="511B6314"/>
    <w:rsid w:val="51246A5C"/>
    <w:rsid w:val="51263658"/>
    <w:rsid w:val="516602F2"/>
    <w:rsid w:val="518D2C7E"/>
    <w:rsid w:val="51957F0A"/>
    <w:rsid w:val="51F872B4"/>
    <w:rsid w:val="5228359C"/>
    <w:rsid w:val="524F1E93"/>
    <w:rsid w:val="525273F7"/>
    <w:rsid w:val="525405A3"/>
    <w:rsid w:val="52614E59"/>
    <w:rsid w:val="529A4D92"/>
    <w:rsid w:val="52D338EA"/>
    <w:rsid w:val="52F64B9D"/>
    <w:rsid w:val="53145240"/>
    <w:rsid w:val="532B4628"/>
    <w:rsid w:val="53420030"/>
    <w:rsid w:val="535675C4"/>
    <w:rsid w:val="539A297D"/>
    <w:rsid w:val="53B841D5"/>
    <w:rsid w:val="53C827BC"/>
    <w:rsid w:val="53F87A3F"/>
    <w:rsid w:val="54056E17"/>
    <w:rsid w:val="546D096A"/>
    <w:rsid w:val="54760D44"/>
    <w:rsid w:val="550D0FF7"/>
    <w:rsid w:val="551D7B1F"/>
    <w:rsid w:val="552503C0"/>
    <w:rsid w:val="555647FC"/>
    <w:rsid w:val="558A5081"/>
    <w:rsid w:val="55C57B49"/>
    <w:rsid w:val="55CA7705"/>
    <w:rsid w:val="55FF3307"/>
    <w:rsid w:val="562C635E"/>
    <w:rsid w:val="569D78F6"/>
    <w:rsid w:val="56B74FAE"/>
    <w:rsid w:val="56C47107"/>
    <w:rsid w:val="56E81AF9"/>
    <w:rsid w:val="56EA453C"/>
    <w:rsid w:val="573B2BB0"/>
    <w:rsid w:val="579F26C0"/>
    <w:rsid w:val="579F3880"/>
    <w:rsid w:val="57CA730B"/>
    <w:rsid w:val="57D775C6"/>
    <w:rsid w:val="58112494"/>
    <w:rsid w:val="584A50B0"/>
    <w:rsid w:val="58552324"/>
    <w:rsid w:val="585D58F9"/>
    <w:rsid w:val="58A041F5"/>
    <w:rsid w:val="58BA16F7"/>
    <w:rsid w:val="58FE4E68"/>
    <w:rsid w:val="59260085"/>
    <w:rsid w:val="594162E9"/>
    <w:rsid w:val="595B0568"/>
    <w:rsid w:val="5A1A5A23"/>
    <w:rsid w:val="5A1B518E"/>
    <w:rsid w:val="5A6C5773"/>
    <w:rsid w:val="5A81078E"/>
    <w:rsid w:val="5AB70E5C"/>
    <w:rsid w:val="5AD9077B"/>
    <w:rsid w:val="5B0A3DFE"/>
    <w:rsid w:val="5B432E39"/>
    <w:rsid w:val="5B6D4858"/>
    <w:rsid w:val="5B9B74C9"/>
    <w:rsid w:val="5BC4270F"/>
    <w:rsid w:val="5BFE5E0F"/>
    <w:rsid w:val="5C182C1A"/>
    <w:rsid w:val="5C2D6ACE"/>
    <w:rsid w:val="5C361C7B"/>
    <w:rsid w:val="5C5C7BE5"/>
    <w:rsid w:val="5C8D2DEB"/>
    <w:rsid w:val="5C937D59"/>
    <w:rsid w:val="5CB72A40"/>
    <w:rsid w:val="5CCD12AB"/>
    <w:rsid w:val="5CCD6BAE"/>
    <w:rsid w:val="5CFC0A75"/>
    <w:rsid w:val="5D0273FA"/>
    <w:rsid w:val="5D0F4EC6"/>
    <w:rsid w:val="5D3643FE"/>
    <w:rsid w:val="5D64485C"/>
    <w:rsid w:val="5DA564AC"/>
    <w:rsid w:val="5DC2755F"/>
    <w:rsid w:val="5DC310BE"/>
    <w:rsid w:val="5DC6599B"/>
    <w:rsid w:val="5E071C9B"/>
    <w:rsid w:val="5E1557FC"/>
    <w:rsid w:val="5E293DE4"/>
    <w:rsid w:val="5E4C536C"/>
    <w:rsid w:val="5E7D32B8"/>
    <w:rsid w:val="5E7F24C6"/>
    <w:rsid w:val="5E7F6429"/>
    <w:rsid w:val="5E9F5E91"/>
    <w:rsid w:val="5EA03A5B"/>
    <w:rsid w:val="5EAC67A3"/>
    <w:rsid w:val="5ECC5F65"/>
    <w:rsid w:val="5F2E07B9"/>
    <w:rsid w:val="5F303EAD"/>
    <w:rsid w:val="5FB40CBE"/>
    <w:rsid w:val="5FDD2ECA"/>
    <w:rsid w:val="60084723"/>
    <w:rsid w:val="6010361D"/>
    <w:rsid w:val="6010698F"/>
    <w:rsid w:val="60610FBC"/>
    <w:rsid w:val="60671263"/>
    <w:rsid w:val="60C90176"/>
    <w:rsid w:val="60F6186E"/>
    <w:rsid w:val="610C2C6F"/>
    <w:rsid w:val="614055AD"/>
    <w:rsid w:val="61496C5A"/>
    <w:rsid w:val="614C50B3"/>
    <w:rsid w:val="615B402F"/>
    <w:rsid w:val="617243CD"/>
    <w:rsid w:val="61A84853"/>
    <w:rsid w:val="61B63126"/>
    <w:rsid w:val="61BA5426"/>
    <w:rsid w:val="61DE2F20"/>
    <w:rsid w:val="61E85E08"/>
    <w:rsid w:val="621C156E"/>
    <w:rsid w:val="62243F9A"/>
    <w:rsid w:val="62896173"/>
    <w:rsid w:val="62995C96"/>
    <w:rsid w:val="62A045A6"/>
    <w:rsid w:val="62C4208E"/>
    <w:rsid w:val="62D1277F"/>
    <w:rsid w:val="62EE6294"/>
    <w:rsid w:val="62F539B4"/>
    <w:rsid w:val="63362F9E"/>
    <w:rsid w:val="634C3904"/>
    <w:rsid w:val="637969CD"/>
    <w:rsid w:val="63797077"/>
    <w:rsid w:val="6381422B"/>
    <w:rsid w:val="63E761EC"/>
    <w:rsid w:val="642D7BC3"/>
    <w:rsid w:val="6437073B"/>
    <w:rsid w:val="64385ED0"/>
    <w:rsid w:val="64447207"/>
    <w:rsid w:val="64940BB4"/>
    <w:rsid w:val="64947F5C"/>
    <w:rsid w:val="64955B92"/>
    <w:rsid w:val="64C11604"/>
    <w:rsid w:val="64C24447"/>
    <w:rsid w:val="65054DD3"/>
    <w:rsid w:val="652B7B81"/>
    <w:rsid w:val="65362351"/>
    <w:rsid w:val="65395F25"/>
    <w:rsid w:val="656547E3"/>
    <w:rsid w:val="656C6AE4"/>
    <w:rsid w:val="658253BB"/>
    <w:rsid w:val="65AD04A8"/>
    <w:rsid w:val="6613751A"/>
    <w:rsid w:val="66365DEA"/>
    <w:rsid w:val="66526996"/>
    <w:rsid w:val="66527D7E"/>
    <w:rsid w:val="66965874"/>
    <w:rsid w:val="6698661C"/>
    <w:rsid w:val="66A00268"/>
    <w:rsid w:val="66CC6D05"/>
    <w:rsid w:val="66E140C1"/>
    <w:rsid w:val="67521C47"/>
    <w:rsid w:val="675B4115"/>
    <w:rsid w:val="676668CC"/>
    <w:rsid w:val="67A87596"/>
    <w:rsid w:val="67F40653"/>
    <w:rsid w:val="6803042D"/>
    <w:rsid w:val="680A741E"/>
    <w:rsid w:val="681919C1"/>
    <w:rsid w:val="687C635B"/>
    <w:rsid w:val="687E3D36"/>
    <w:rsid w:val="68AB188F"/>
    <w:rsid w:val="68DA42E7"/>
    <w:rsid w:val="68E14B96"/>
    <w:rsid w:val="68FB13E3"/>
    <w:rsid w:val="692073C4"/>
    <w:rsid w:val="698A3431"/>
    <w:rsid w:val="69C23E91"/>
    <w:rsid w:val="69DF1AB9"/>
    <w:rsid w:val="69F84472"/>
    <w:rsid w:val="6A775FCB"/>
    <w:rsid w:val="6A837D34"/>
    <w:rsid w:val="6A8C3F1C"/>
    <w:rsid w:val="6AD33C5F"/>
    <w:rsid w:val="6AF2794B"/>
    <w:rsid w:val="6B286A04"/>
    <w:rsid w:val="6B2E60EB"/>
    <w:rsid w:val="6B3A1015"/>
    <w:rsid w:val="6B461BDB"/>
    <w:rsid w:val="6B51718A"/>
    <w:rsid w:val="6B58549F"/>
    <w:rsid w:val="6B607510"/>
    <w:rsid w:val="6B7045E5"/>
    <w:rsid w:val="6B956269"/>
    <w:rsid w:val="6B99345E"/>
    <w:rsid w:val="6BDF7A7C"/>
    <w:rsid w:val="6BF55641"/>
    <w:rsid w:val="6BFC0794"/>
    <w:rsid w:val="6C1A208F"/>
    <w:rsid w:val="6C473D89"/>
    <w:rsid w:val="6C5E76B7"/>
    <w:rsid w:val="6D0B1189"/>
    <w:rsid w:val="6D21440A"/>
    <w:rsid w:val="6D2F4D6C"/>
    <w:rsid w:val="6D3A0188"/>
    <w:rsid w:val="6D564A4D"/>
    <w:rsid w:val="6DA81AC4"/>
    <w:rsid w:val="6DB9769A"/>
    <w:rsid w:val="6DCD775D"/>
    <w:rsid w:val="6E9955E9"/>
    <w:rsid w:val="6E9F1966"/>
    <w:rsid w:val="6ECD1FF4"/>
    <w:rsid w:val="6ED35BED"/>
    <w:rsid w:val="6ED833BB"/>
    <w:rsid w:val="6EFC3E16"/>
    <w:rsid w:val="6F0845E5"/>
    <w:rsid w:val="6F0D55E2"/>
    <w:rsid w:val="6F0F2A22"/>
    <w:rsid w:val="6F213E96"/>
    <w:rsid w:val="6F345978"/>
    <w:rsid w:val="6F6D1C12"/>
    <w:rsid w:val="6FB92329"/>
    <w:rsid w:val="700E0976"/>
    <w:rsid w:val="70103A11"/>
    <w:rsid w:val="704332CF"/>
    <w:rsid w:val="705D7B9C"/>
    <w:rsid w:val="706C2295"/>
    <w:rsid w:val="706D4BBB"/>
    <w:rsid w:val="70737B97"/>
    <w:rsid w:val="709F5073"/>
    <w:rsid w:val="70C516E1"/>
    <w:rsid w:val="70C840E7"/>
    <w:rsid w:val="70E816FE"/>
    <w:rsid w:val="713B2ABA"/>
    <w:rsid w:val="7156629E"/>
    <w:rsid w:val="718F76DC"/>
    <w:rsid w:val="71AC77C4"/>
    <w:rsid w:val="71BF70A5"/>
    <w:rsid w:val="723B6900"/>
    <w:rsid w:val="72570BF6"/>
    <w:rsid w:val="729B5FF5"/>
    <w:rsid w:val="729C55E9"/>
    <w:rsid w:val="72B2118E"/>
    <w:rsid w:val="72F1346B"/>
    <w:rsid w:val="72FA15BE"/>
    <w:rsid w:val="72FD09F1"/>
    <w:rsid w:val="730F5CDE"/>
    <w:rsid w:val="7318549A"/>
    <w:rsid w:val="732F314B"/>
    <w:rsid w:val="737E69AC"/>
    <w:rsid w:val="739F77B7"/>
    <w:rsid w:val="73C44387"/>
    <w:rsid w:val="7407086A"/>
    <w:rsid w:val="740A5ED3"/>
    <w:rsid w:val="74340958"/>
    <w:rsid w:val="743B19F9"/>
    <w:rsid w:val="749042F6"/>
    <w:rsid w:val="74B301C7"/>
    <w:rsid w:val="74C171F1"/>
    <w:rsid w:val="74CC6C8D"/>
    <w:rsid w:val="75390CCA"/>
    <w:rsid w:val="754564DC"/>
    <w:rsid w:val="756423A4"/>
    <w:rsid w:val="756B6277"/>
    <w:rsid w:val="759E262B"/>
    <w:rsid w:val="75BD4EC4"/>
    <w:rsid w:val="75E07B88"/>
    <w:rsid w:val="76040533"/>
    <w:rsid w:val="760F4A49"/>
    <w:rsid w:val="76213917"/>
    <w:rsid w:val="76257DC8"/>
    <w:rsid w:val="76591FC7"/>
    <w:rsid w:val="76665798"/>
    <w:rsid w:val="766E316E"/>
    <w:rsid w:val="76781F92"/>
    <w:rsid w:val="76E93FB8"/>
    <w:rsid w:val="76F51CA2"/>
    <w:rsid w:val="770D6121"/>
    <w:rsid w:val="774239F2"/>
    <w:rsid w:val="77536B1C"/>
    <w:rsid w:val="77672C30"/>
    <w:rsid w:val="77A847D7"/>
    <w:rsid w:val="77BB1F41"/>
    <w:rsid w:val="77D432E5"/>
    <w:rsid w:val="77E54859"/>
    <w:rsid w:val="77EA569C"/>
    <w:rsid w:val="782E4A59"/>
    <w:rsid w:val="78384639"/>
    <w:rsid w:val="784E67C5"/>
    <w:rsid w:val="78527E98"/>
    <w:rsid w:val="78615304"/>
    <w:rsid w:val="788E7005"/>
    <w:rsid w:val="78E42C8C"/>
    <w:rsid w:val="78F8044C"/>
    <w:rsid w:val="79093E87"/>
    <w:rsid w:val="790E53F3"/>
    <w:rsid w:val="795705AE"/>
    <w:rsid w:val="795E4B17"/>
    <w:rsid w:val="797D5CB1"/>
    <w:rsid w:val="79CA2F5D"/>
    <w:rsid w:val="7A8F3AF6"/>
    <w:rsid w:val="7AAB70A3"/>
    <w:rsid w:val="7AB45744"/>
    <w:rsid w:val="7AD832CC"/>
    <w:rsid w:val="7AEA1AB0"/>
    <w:rsid w:val="7B0651AC"/>
    <w:rsid w:val="7B09552C"/>
    <w:rsid w:val="7B1D5EED"/>
    <w:rsid w:val="7B1F3AEB"/>
    <w:rsid w:val="7B257F37"/>
    <w:rsid w:val="7B4334A9"/>
    <w:rsid w:val="7B5B3E61"/>
    <w:rsid w:val="7B5D1904"/>
    <w:rsid w:val="7B5E4A5F"/>
    <w:rsid w:val="7B6704D0"/>
    <w:rsid w:val="7B6906CD"/>
    <w:rsid w:val="7B716743"/>
    <w:rsid w:val="7BA77CB7"/>
    <w:rsid w:val="7BAE0A36"/>
    <w:rsid w:val="7BC96E8D"/>
    <w:rsid w:val="7BD82F6E"/>
    <w:rsid w:val="7BEF6AA3"/>
    <w:rsid w:val="7C357413"/>
    <w:rsid w:val="7C40549B"/>
    <w:rsid w:val="7C4C28D6"/>
    <w:rsid w:val="7C7C340D"/>
    <w:rsid w:val="7CF37EBC"/>
    <w:rsid w:val="7D107432"/>
    <w:rsid w:val="7D1D2706"/>
    <w:rsid w:val="7D47489B"/>
    <w:rsid w:val="7D515C28"/>
    <w:rsid w:val="7DC530B0"/>
    <w:rsid w:val="7DEE1845"/>
    <w:rsid w:val="7DFE7A9A"/>
    <w:rsid w:val="7E393CD7"/>
    <w:rsid w:val="7E501E3C"/>
    <w:rsid w:val="7E564F54"/>
    <w:rsid w:val="7E812BEB"/>
    <w:rsid w:val="7EB612B7"/>
    <w:rsid w:val="7EC918BC"/>
    <w:rsid w:val="7ED24E70"/>
    <w:rsid w:val="7EDF394B"/>
    <w:rsid w:val="7EE64B43"/>
    <w:rsid w:val="7EEA095F"/>
    <w:rsid w:val="7EFE2678"/>
    <w:rsid w:val="7F2C410A"/>
    <w:rsid w:val="7F3A0783"/>
    <w:rsid w:val="7F53390C"/>
    <w:rsid w:val="7F61735F"/>
    <w:rsid w:val="7FF51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FEAC74B-C4C5-4F4E-88C0-0CB8AD500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30">
    <w:name w:val="toc 3"/>
    <w:basedOn w:val="a"/>
    <w:next w:val="a"/>
    <w:uiPriority w:val="39"/>
    <w:qFormat/>
    <w:pPr>
      <w:ind w:leftChars="400" w:left="840"/>
    </w:pPr>
  </w:style>
  <w:style w:type="paragraph" w:styleId="a4">
    <w:name w:val="footer"/>
    <w:basedOn w:val="a"/>
    <w:link w:val="Char"/>
    <w:uiPriority w:val="99"/>
    <w:unhideWhenUsed/>
    <w:pPr>
      <w:tabs>
        <w:tab w:val="center" w:pos="4153"/>
        <w:tab w:val="right" w:pos="8306"/>
      </w:tabs>
      <w:snapToGrid w:val="0"/>
      <w:jc w:val="left"/>
    </w:pPr>
    <w:rPr>
      <w:sz w:val="18"/>
    </w:rPr>
  </w:style>
  <w:style w:type="paragraph" w:styleId="a5">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21">
    <w:name w:val="font21"/>
    <w:rPr>
      <w:rFonts w:ascii="Times New Roman" w:hAnsi="Times New Roman" w:cs="Times New Roman" w:hint="default"/>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71">
    <w:name w:val="font71"/>
    <w:rPr>
      <w:rFonts w:ascii="宋体" w:eastAsia="宋体" w:hAnsi="宋体" w:cs="宋体" w:hint="eastAsia"/>
      <w:color w:val="000000"/>
      <w:sz w:val="22"/>
      <w:szCs w:val="22"/>
      <w:u w:val="none"/>
    </w:rPr>
  </w:style>
  <w:style w:type="character" w:customStyle="1" w:styleId="Char">
    <w:name w:val="页脚 Char"/>
    <w:link w:val="a4"/>
    <w:uiPriority w:val="99"/>
    <w:rPr>
      <w:rFonts w:eastAsia="仿宋_GB2312" w:cs="Times New Roman"/>
      <w:kern w:val="2"/>
      <w:sz w:val="18"/>
      <w:szCs w:val="22"/>
    </w:rPr>
  </w:style>
  <w:style w:type="character" w:customStyle="1" w:styleId="font112">
    <w:name w:val="font112"/>
    <w:rPr>
      <w:rFonts w:ascii="宋体" w:eastAsia="宋体" w:hAnsi="宋体" w:cs="宋体" w:hint="eastAsia"/>
      <w:color w:val="000000"/>
      <w:sz w:val="22"/>
      <w:szCs w:val="22"/>
      <w:u w:val="none"/>
    </w:rPr>
  </w:style>
  <w:style w:type="character" w:customStyle="1" w:styleId="Char0">
    <w:name w:val="页眉 Char"/>
    <w:link w:val="a5"/>
    <w:uiPriority w:val="99"/>
    <w:rPr>
      <w:rFonts w:eastAsia="仿宋_GB2312" w:cs="Times New Roman"/>
      <w:kern w:val="2"/>
      <w:sz w:val="18"/>
      <w:szCs w:val="22"/>
    </w:rPr>
  </w:style>
  <w:style w:type="character" w:customStyle="1" w:styleId="font81">
    <w:name w:val="font81"/>
    <w:rPr>
      <w:rFonts w:ascii="宋体" w:eastAsia="宋体" w:hAnsi="宋体" w:cs="宋体" w:hint="eastAsia"/>
      <w:color w:val="000000"/>
      <w:sz w:val="22"/>
      <w:szCs w:val="22"/>
      <w:u w:val="none"/>
    </w:rPr>
  </w:style>
  <w:style w:type="character" w:customStyle="1" w:styleId="font41">
    <w:name w:val="font41"/>
    <w:rPr>
      <w:rFonts w:ascii="宋体" w:eastAsia="宋体" w:hAnsi="宋体" w:cs="宋体" w:hint="eastAsia"/>
      <w:color w:val="000000"/>
      <w:sz w:val="22"/>
      <w:szCs w:val="22"/>
      <w:u w:val="none"/>
    </w:rPr>
  </w:style>
  <w:style w:type="character" w:customStyle="1" w:styleId="font101">
    <w:name w:val="font101"/>
    <w:rPr>
      <w:rFonts w:ascii="宋体" w:eastAsia="宋体" w:hAnsi="宋体" w:cs="宋体" w:hint="eastAsia"/>
      <w:color w:val="000000"/>
      <w:sz w:val="18"/>
      <w:szCs w:val="18"/>
      <w:u w:val="none"/>
    </w:rPr>
  </w:style>
  <w:style w:type="character" w:customStyle="1" w:styleId="font131">
    <w:name w:val="font131"/>
    <w:rPr>
      <w:rFonts w:ascii="宋体" w:eastAsia="宋体" w:hAnsi="宋体" w:cs="宋体" w:hint="eastAsia"/>
      <w:color w:val="000000"/>
      <w:sz w:val="18"/>
      <w:szCs w:val="18"/>
      <w:u w:val="none"/>
    </w:rPr>
  </w:style>
  <w:style w:type="character" w:customStyle="1" w:styleId="font91">
    <w:name w:val="font91"/>
    <w:rPr>
      <w:rFonts w:ascii="Times New Roman" w:hAnsi="Times New Roman" w:cs="Times New Roman" w:hint="default"/>
      <w:color w:val="000000"/>
      <w:sz w:val="18"/>
      <w:szCs w:val="18"/>
      <w:u w:val="none"/>
    </w:rPr>
  </w:style>
  <w:style w:type="paragraph" w:customStyle="1" w:styleId="a7">
    <w:name w:val="表格标题"/>
    <w:basedOn w:val="a"/>
    <w:next w:val="a"/>
    <w:pPr>
      <w:keepNext/>
      <w:keepLines/>
      <w:ind w:firstLineChars="0" w:firstLine="0"/>
      <w:jc w:val="center"/>
      <w:outlineLvl w:val="0"/>
    </w:pPr>
    <w:rPr>
      <w:rFonts w:hint="eastAsia"/>
      <w:b/>
      <w:kern w:val="44"/>
    </w:rPr>
  </w:style>
  <w:style w:type="paragraph" w:customStyle="1" w:styleId="a8">
    <w:name w:val="表格内容"/>
    <w:basedOn w:val="a"/>
    <w:next w:val="a"/>
    <w:pPr>
      <w:keepLines/>
      <w:spacing w:line="240" w:lineRule="auto"/>
      <w:ind w:firstLineChars="0" w:firstLine="0"/>
      <w:jc w:val="center"/>
    </w:pPr>
    <w:rPr>
      <w:rFonts w:hint="eastAsia"/>
      <w:kern w:val="44"/>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25</Pages>
  <Words>2015</Words>
  <Characters>11486</Characters>
  <Application>Microsoft Office Word</Application>
  <DocSecurity>0</DocSecurity>
  <Lines>95</Lines>
  <Paragraphs>26</Paragraphs>
  <ScaleCrop>false</ScaleCrop>
  <Company>Microsoft</Company>
  <LinksUpToDate>false</LinksUpToDate>
  <CharactersWithSpaces>13475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cp:lastPrinted>2025-04-10T02:24:00Z</cp:lastPrinted>
  <dcterms:created xsi:type="dcterms:W3CDTF">2019-11-25T12:51:00Z</dcterms:created>
  <dcterms:modified xsi:type="dcterms:W3CDTF">2025-09-16T04:00:00Z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F049C29ACF72423C836A4206F9DE817E_13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