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负责处理县委日常事务；承担县委重要文稿的起草、修改、校核、印发：负责县委日常公文处理工作；负责县委各种会议的会务工作和县委领导参加重大活动的组织安排；承担县委对内协调、对外联络工作，做好上级领导和外地来宾的接待服务；负责县委重大决策、重要工作部署贯彻落实的督促检查；负责县委领导同志指示、批示的催办落实。</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中共尉犁县委员会办公室2024年度，实有人数46人，其中：在职人员25人，减少5人；离休人员0人，增加0人；退休人员21人,增加1人。</w:t>
      </w:r>
    </w:p>
    <w:p>
      <w:pPr>
        <w:spacing w:line="580" w:lineRule="exact"/>
        <w:ind w:firstLine="640"/>
        <w:jc w:val="both"/>
      </w:pPr>
      <w:r>
        <w:rPr>
          <w:rFonts w:ascii="仿宋_GB2312" w:hAnsi="仿宋_GB2312" w:eastAsia="仿宋_GB2312"/>
          <w:sz w:val="32"/>
        </w:rPr>
        <w:t>中共尉犁县委员会办公室无下属预算单位，下设6个科室，分别是：文秘室、文书档案室、信息督查室、综合室、县委全面深化改革委员会办公室、县委财经委员会办公室。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2024年度收入总计714.78万元，</w:t>
      </w:r>
      <w:r>
        <w:rPr>
          <w:rFonts w:ascii="仿宋_GB2312" w:hAnsi="仿宋_GB2312" w:eastAsia="仿宋_GB2312"/>
          <w:b w:val="0"/>
          <w:sz w:val="32"/>
        </w:rPr>
        <w:t>其中：本年收入合计714.78万元，使用非财政拨款结余（含专用结余）0.00万元，年初结转和结余0.00万元。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2024年度支出总计714.78万元，</w:t>
      </w:r>
      <w:r>
        <w:rPr>
          <w:rFonts w:ascii="仿宋_GB2312" w:hAnsi="仿宋_GB2312" w:eastAsia="仿宋_GB2312"/>
          <w:b w:val="0"/>
          <w:sz w:val="32"/>
        </w:rPr>
        <w:t>其中：本年支出合计714.77万元，结余分配0.00万元，年末结转和结余0.01万元。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减少35.40万元，下降4.72%，主要原因是：本年减少档案馆工作经费、年鉴工作经费等，导致相关经费减少。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本年收入714.78万元，</w:t>
      </w:r>
      <w:r>
        <w:rPr>
          <w:rFonts w:ascii="仿宋_GB2312" w:hAnsi="仿宋_GB2312" w:eastAsia="仿宋_GB2312"/>
          <w:b w:val="0"/>
          <w:sz w:val="32"/>
        </w:rPr>
        <w:t>其中：财政拨款收入702.04万元，占98.22%；上级补助收入0.00万元，占0.00%；事业收入0.00万元，占0.00%；经营收入0.00万元，占0.00%；附属单位上缴收入0.00万元，占0.00%；其他收入12.73万元，占1.78%。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本年支出714.77万元，</w:t>
      </w:r>
      <w:r>
        <w:rPr>
          <w:rFonts w:ascii="仿宋_GB2312" w:hAnsi="仿宋_GB2312" w:eastAsia="仿宋_GB2312"/>
          <w:b w:val="0"/>
          <w:sz w:val="32"/>
        </w:rPr>
        <w:t>其中：基本支出677.98万元，占94.85%；项目支出36.79万元，占5.15%；上缴上级支出0.00万元，占0.00%；经营支出0.00万元，占0.00%；对附属单位补助支出0.00万元，占0.00%。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2024年度财政拨款收入总计702.04万元，</w:t>
      </w:r>
      <w:r>
        <w:rPr>
          <w:rFonts w:ascii="仿宋_GB2312" w:hAnsi="仿宋_GB2312" w:eastAsia="仿宋_GB2312"/>
          <w:b w:val="0"/>
          <w:sz w:val="32"/>
        </w:rPr>
        <w:t>其中：年初财政拨款结转和结余0.00万元，本年财政拨款收入702.04万元。</w:t>
      </w:r>
      <w:r>
        <w:rPr>
          <w:rFonts w:ascii="仿宋_GB2312" w:hAnsi="仿宋_GB2312" w:eastAsia="仿宋_GB2312"/>
          <w:b/>
          <w:sz w:val="32"/>
        </w:rPr>
        <w:t>财政拨款支出总计702.04万元，</w:t>
      </w:r>
      <w:r>
        <w:rPr>
          <w:rFonts w:ascii="仿宋_GB2312" w:hAnsi="仿宋_GB2312" w:eastAsia="仿宋_GB2312"/>
          <w:b w:val="0"/>
          <w:sz w:val="32"/>
        </w:rPr>
        <w:t>其中：年末财政拨款结转和结余0.00万元，本年财政拨款支出702.04万元。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增加45.14万元，增长6.87%，主要原因是：本年增加工作经费、档案数字化工作经费等项目经费，导致相关经费增加。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年初预算数621.31万元，决算数702.04万元，预决算差异率12.99%，主要原因是：年中追加档案数字化工作经费、工作队经费等项目，导致预决算存在差异。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2024年度一般公共预算财政拨款支出702.04万元，</w:t>
      </w:r>
      <w:r>
        <w:rPr>
          <w:rFonts w:ascii="仿宋_GB2312" w:hAnsi="仿宋_GB2312" w:eastAsia="仿宋_GB2312"/>
          <w:b w:val="0"/>
          <w:sz w:val="32"/>
        </w:rPr>
        <w:t>占本年支出合计的98.22%。</w:t>
      </w:r>
      <w:r>
        <w:rPr>
          <w:rFonts w:ascii="仿宋_GB2312" w:hAnsi="仿宋_GB2312" w:eastAsia="仿宋_GB2312"/>
          <w:b/>
          <w:sz w:val="32"/>
        </w:rPr>
        <w:t>与上年相比，</w:t>
      </w:r>
      <w:r>
        <w:rPr>
          <w:rFonts w:ascii="仿宋_GB2312" w:hAnsi="仿宋_GB2312" w:eastAsia="仿宋_GB2312"/>
          <w:b w:val="0"/>
          <w:sz w:val="32"/>
        </w:rPr>
        <w:t>增加45.14万元，增长6.87%，主要原因是：本年增加工作经费、档案数字化工作经费等项目经费，导致相关经费增加。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年初预算数621.31万元，决算数702.04万元，预决算差异率12.99%，主要原因是：年中追加档案数字化工作经费、工作队经费等项目，导致预决算存在差异。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1.一般公共服务支出(类)495.97万元,占70.65%。</w:t>
      </w:r>
    </w:p>
    <w:p>
      <w:pPr>
        <w:spacing w:line="580" w:lineRule="exact"/>
        <w:ind w:firstLine="640"/>
        <w:jc w:val="both"/>
      </w:pPr>
      <w:r>
        <w:rPr>
          <w:rFonts w:ascii="仿宋_GB2312" w:hAnsi="仿宋_GB2312" w:eastAsia="仿宋_GB2312"/>
          <w:b w:val="0"/>
          <w:sz w:val="32"/>
        </w:rPr>
        <w:t>2.教育支出(类)5.01万元,占0.71%。</w:t>
      </w:r>
    </w:p>
    <w:p>
      <w:pPr>
        <w:spacing w:line="580" w:lineRule="exact"/>
        <w:ind w:firstLine="640"/>
        <w:jc w:val="both"/>
      </w:pPr>
      <w:r>
        <w:rPr>
          <w:rFonts w:ascii="仿宋_GB2312" w:hAnsi="仿宋_GB2312" w:eastAsia="仿宋_GB2312"/>
          <w:b w:val="0"/>
          <w:sz w:val="32"/>
        </w:rPr>
        <w:t>3.科学技术支出(类)24.00万元,占3.42%。</w:t>
      </w:r>
    </w:p>
    <w:p>
      <w:pPr>
        <w:spacing w:line="580" w:lineRule="exact"/>
        <w:ind w:firstLine="640"/>
        <w:jc w:val="both"/>
      </w:pPr>
      <w:r>
        <w:rPr>
          <w:rFonts w:ascii="仿宋_GB2312" w:hAnsi="仿宋_GB2312" w:eastAsia="仿宋_GB2312"/>
          <w:b w:val="0"/>
          <w:sz w:val="32"/>
        </w:rPr>
        <w:t>4.社会保障和就业支出(类)110.77万元,占15.78%。</w:t>
      </w:r>
    </w:p>
    <w:p>
      <w:pPr>
        <w:spacing w:line="580" w:lineRule="exact"/>
        <w:ind w:firstLine="640"/>
        <w:jc w:val="both"/>
      </w:pPr>
      <w:r>
        <w:rPr>
          <w:rFonts w:ascii="仿宋_GB2312" w:hAnsi="仿宋_GB2312" w:eastAsia="仿宋_GB2312"/>
          <w:b w:val="0"/>
          <w:sz w:val="32"/>
        </w:rPr>
        <w:t>5.卫生健康支出(类)27.87万元,占3.97%。</w:t>
      </w:r>
    </w:p>
    <w:p>
      <w:pPr>
        <w:spacing w:line="580" w:lineRule="exact"/>
        <w:ind w:firstLine="640"/>
        <w:jc w:val="both"/>
      </w:pPr>
      <w:r>
        <w:rPr>
          <w:rFonts w:ascii="仿宋_GB2312" w:hAnsi="仿宋_GB2312" w:eastAsia="仿宋_GB2312"/>
          <w:b w:val="0"/>
          <w:sz w:val="32"/>
        </w:rPr>
        <w:t>6.住房保障支出(类)38.42万元,占5.47%。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1.一般公共服务支出(类)党委办公厅（室）及相关机构事务(款)行政运行(项):支出决算数为376.49万元，比上年决算减少48.86万元，下降11.49%,主要原因是：本年在职人员减少，相应人员经费较上年减少。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2.一般公共服务支出(类)党委办公厅（室）及相关机构事务(款)事业运行(项):支出决算数为110.29万元，比上年决算增加28.02万元，增长34.06%,主要原因是：本年在职人员工资调增，导致相关人员经费较上年有所增加。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3.一般公共服务支出(类)组织事务(款)其他组织事务支出(项):支出决算数为9.19万元，比上年决算减少0.81万元，下降8.10%,主要原因是：本年减少工作队经费，导致相关经费减少。</w:t>
      </w:r>
    </w:p>
    <w:p>
      <w:pPr>
        <w:spacing w:line="580" w:lineRule="exact"/>
        <w:ind w:firstLine="640"/>
        <w:jc w:val="both"/>
      </w:pPr>
      <w:r>
        <w:rPr>
          <w:rFonts w:ascii="仿宋_GB2312" w:hAnsi="仿宋_GB2312" w:eastAsia="仿宋_GB2312"/>
          <w:b w:val="0"/>
          <w:sz w:val="32"/>
        </w:rPr>
        <w:t>4.教育支出(类)进修及培训(款)培训支出(项):支出决算数为1.01万元，比上年决算增加0.28万元，增长38.36%,主要原因是：本年外出培训次数增加，培训费增加，导致相关经费增加。</w:t>
      </w:r>
    </w:p>
    <w:p>
      <w:pPr>
        <w:spacing w:line="580" w:lineRule="exact"/>
        <w:ind w:firstLine="640"/>
        <w:jc w:val="both"/>
      </w:pPr>
      <w:r>
        <w:rPr>
          <w:rFonts w:ascii="仿宋_GB2312" w:hAnsi="仿宋_GB2312" w:eastAsia="仿宋_GB2312"/>
          <w:b w:val="0"/>
          <w:sz w:val="32"/>
        </w:rPr>
        <w:t>5.教育支出(类)其他教育支出(款)其他教育支出(项):支出决算数为4.00万元，比上年决算增加4.00万元，增长100.00%,主要原因是：本年增加工作经费项目经费，导致相关经费增加。</w:t>
      </w:r>
    </w:p>
    <w:p>
      <w:pPr>
        <w:spacing w:line="580" w:lineRule="exact"/>
        <w:ind w:firstLine="640"/>
        <w:jc w:val="both"/>
      </w:pPr>
      <w:r>
        <w:rPr>
          <w:rFonts w:ascii="仿宋_GB2312" w:hAnsi="仿宋_GB2312" w:eastAsia="仿宋_GB2312"/>
          <w:b w:val="0"/>
          <w:sz w:val="32"/>
        </w:rPr>
        <w:t>6.科学技术支出(类)技术研究与开发(款)科技成果转化与扩散(项):支出决算数为24.00万元，比上年决算增加24.00万元，增长100.00%,主要原因是：本年增加档案数字化工作经费项目经费，导致相关经费增加。</w:t>
      </w:r>
    </w:p>
    <w:p>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7.社会保障和就业支出(类)行政事业单位养老支出(款)行政单位离退休(项):支出决算数为16.72万元，比上年决算增加5.07万元，增长43.52%,主要原因是：本年增加退休人员基础绩效奖，退休费支出增加。</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49.69万元，比上年决算增加0.85万元，增长1.74%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44.36万元，比上年决算增加31.86万元，增长254.88%,主要原因是：本年新增调出人员、退休人员较上年增加，职业年金缴费支出增加。</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21.75万元，比上年决算减少1.15万元，下降5.02%,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11.卫生健康支出(类)行政事业单位医疗(款)公务员医疗补助(项):支出决算数为6.12万元，比上年决算减少0.01万元，下降0.16%,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12.住房保障支出(类)住房改革支出(款)住房公积金(项):支出决算数为38.42万元，比上年决算增加1.89万元，增长5.17%,主要原因是：本年在职人员工资基数调增，公积金缴费基数上涨，相应支出增加。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2024年度一般公共预算财政拨款基本支出665.26万元，其中：</w:t>
      </w:r>
      <w:r>
        <w:rPr>
          <w:rFonts w:ascii="仿宋_GB2312" w:hAnsi="仿宋_GB2312" w:eastAsia="仿宋_GB2312"/>
          <w:b/>
          <w:sz w:val="32"/>
        </w:rPr>
        <w:t>人员经费543.27万元，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抚恤金、生活补助、奖励金。</w:t>
      </w:r>
    </w:p>
    <w:p>
      <w:pPr>
        <w:spacing w:line="580" w:lineRule="exact"/>
        <w:ind w:firstLine="640"/>
        <w:jc w:val="both"/>
      </w:pPr>
      <w:r>
        <w:rPr>
          <w:rFonts w:ascii="仿宋_GB2312" w:hAnsi="仿宋_GB2312" w:eastAsia="仿宋_GB2312"/>
          <w:b/>
          <w:sz w:val="32"/>
        </w:rPr>
        <w:t>公用经费121.99万元，</w:t>
      </w:r>
      <w:r>
        <w:rPr>
          <w:rFonts w:ascii="仿宋_GB2312" w:hAnsi="仿宋_GB2312" w:eastAsia="仿宋_GB2312"/>
          <w:b w:val="0"/>
          <w:sz w:val="32"/>
        </w:rPr>
        <w:t>包括：办公费、水费、电费、邮电费、取暖费、物业管理费、差旅费、维修（护）费、租赁费、会议费、培训费、工会经费、福利费、公务用车运行维护费、其他交通费用、其他商品和服务支出。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2024年度财政拨款“三公”经费支出34.00万元，</w:t>
      </w:r>
      <w:r>
        <w:rPr>
          <w:rFonts w:ascii="仿宋_GB2312" w:hAnsi="仿宋_GB2312" w:eastAsia="仿宋_GB2312"/>
          <w:b w:val="0"/>
          <w:sz w:val="32"/>
        </w:rPr>
        <w:t>比上年增加3.74万元，增长12.36%，主要原因是：本年因业务需求，用车次数增加，燃油费增加，导致公务用车运行维护费较上年增加。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公务用车购置及运行维护费支出34.00万元，占100.00%，比上年增加3.74万元，增长12.36%，主要原因是：本年因业务需求，用车次数增加，燃油费增加，导致公务用车运行维护费较上年增加。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34.00万元，其中：公务用车购置费0.00万元，公务用车运行维护费34.00万元。公务用车运行维护费开支内容包括车辆加油费、维修费、保险费、审车费、过路费等。公务用车购置数0辆，公务用车保有量10辆。国有资产占用情况中固定资产车辆10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34.00万元，决算数34.00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34.00万元，决算数34.00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2024年度中共尉犁县委员会办公室（行政单位和参照公务员法管理事业单位）机关运行经费支出121.99万元，比上年增加2.24万元，增长1.87%，主要原因是：本年业务量增加，机关运行经费增加。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2024年度政府采购支出总额39.63万元，其中：政府采购货物支出11.38万元、政府采购工程支出0.00万元、政府采购服务支出28.25万元。</w:t>
      </w:r>
    </w:p>
    <w:p>
      <w:pPr>
        <w:spacing w:line="580" w:lineRule="exact"/>
        <w:ind w:firstLine="640"/>
        <w:jc w:val="both"/>
      </w:pPr>
      <w:r>
        <w:rPr>
          <w:rFonts w:ascii="仿宋_GB2312" w:hAnsi="仿宋_GB2312" w:eastAsia="仿宋_GB2312"/>
          <w:b w:val="0"/>
          <w:sz w:val="32"/>
        </w:rPr>
        <w:t>授予中小企业合同金额39.63万元，占政府采购支出总额的100.00%，其中：授予小微企业合同金额39.63万元，占政府采购支出总额的100.00%。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4,623.00平方米，价值602.00万元。车辆10辆，价值175.18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5个，全年预算数81.98万元，全年执行数80.97万元。预算绩效管理取得的成效：一是我单位全面开展了项目绩效目标监控工作。本年有2个项目进行了项目绩效目标的申报及每个监控节点对项目进行绩效目标的监控。根据项目绩效目标设定保质保量如期完成绩效目标项目，项目完成良好；二是本单位根据绩效项目期初目标设定，针对绩效目标合理性，绩效目标细化量化程度和预期效益实现程度支付项目资金。发现的问题及原因：一是绩效评价管理制度机制有待强化；二是随着项目绩效评估工作逐年开展，项目绩效评估对合理、规范使用财政专项资金所带来的好处显而易见。但相关工作人员经验不足，对指标的编制不够完善，在绩效考评指标的设置上有待完善。下一步改进措施：一是加强和完善预算绩效管理制度体系，力求将预算绩效管理工作变成一项规范性、标准化、常态化的制度性较强的工作；二是合理设置指标，引导项目节支、杜绝浪费。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2024年驻村工作队工作经费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该项目用于开展为民办实事、工作队日常工作，通过为村民购买米面油等慰问品120件、鼓励村民发展庭院经济购买鸡鸭鹅等家禽幼雏苗1000只，采购工作队工作用品3批，持续提升了群众的获得感幸福感。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本年为村民购买米面油等慰问品120件，为鼓励村民发展庭院经济购买鸡苗1000只，采购工作队工作用品3批，有效提升了群众的获得感幸福感。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购买米面油数量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&gt;=120件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采购工作队工作用品数量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购买鸡苗数量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&gt;=1000只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2024年12月20日前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2024年10月30日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购买米面油成本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购买鸡苗成本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采购工作队工作用品成本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提升群众的获得感幸福感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2024年驻村工作队为民办实事经费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该项目用于开展为民办实事工作，通过为村民购买米面油等慰问品1批、修缮村委会阵地1栋、采购活动用品1批，持续提升了群众的获得感幸福感。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本年度为村民购买了1批米面油慰问品、修缮1栋村委会阵地、采购1批活动用品，持续提升了群众的获得感幸福感。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修缮办公楼数量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购买大米、面粉慰问品数量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购买食用油慰问品数量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采购活动用品数量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2024年12月20日前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2024年12月2日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购买米面油成本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购买活动用品成本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修缮村委会阵地、周转房成本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提升群众的获得感幸福感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97.91分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档案数字化工作经费项目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档案数字化工作有利于确保数字化档案永久保持和安全保管，数字化工作涉及85个全宗，共计7407卷，有效提升档案查询和利用的工作效率，确保实物档案的安全，也为群众查阅档案提供更高效、便捷的服务。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群众查阅档案提供更高效、便捷的服务。档案数字化工作有利于确保数字化档案永久保持和安全保管，有效提升了档案查询和利用的工作效率，本年购买服务器1套4.98万元，扫描全宗卷7407卷档案数字化加工经费19.02万元，确保了实物档案的安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扫描全宗卷数量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&gt;=7407卷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=7407卷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采购服务器数量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数字化后档案查全率和查准率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年初目标值设置较低，导致偏差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采购服务器成本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档案数字化加工成本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&lt;=19.02万元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=19.02万元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提升档案查询和利用的工作效率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工作经费项目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98.37%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租用网络线路10条，确保网络运行畅通，保障各级会议正常开展。2、采购办公设备、办公用品、耗材等6批，用于喀什地区审计组开展经济责任审计工作及日常工作，保障县委办工作正常运转。3、为大学生志愿者租赁公租房31平方米。4、编撰及印刷习近平复信十周年专题资料、《尉犁年鉴》。</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保障10条网络线路运行畅通，保障各级会议正常开展。2、完成采购办公设备、办公用品、耗材等6批，用于喀什地区审计组开展经济责任审计工作及日常工作，保障县委办工作正常运转。3、为大学生志愿者租赁公租房31.57平方米；编撰《尉犁年鉴》、习近平复信十周年专题资料，发挥了年鉴存史、育人、资政的重要功能。</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购置办公用品数量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印刷《尉犁年鉴》数量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&gt;=200本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租用网络线路条数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房屋租赁面积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&gt;=31平方米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=31.57平方米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年初目标值设置偏低，导致偏</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办公设备质量合格率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设备采购完成时限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2024年12月20日前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2024年11月20日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采购优惠率结余资金导致偏差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租用网络线路成本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=13.68万元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其他业务经费成本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编撰、印刷专题资料及年鉴成本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97.54%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采购优惠率结余资金导致偏差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房屋租赁成本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县委办办公及维修经费项目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98.21%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1、档案安全是档案工作的重中之重，为保证档案实体的绝对安全，对档案馆消防设施进行维修保养。</w:t>
              <w:br/>
              <w:t>2、计划采购8台办公家具和2扇防盗门窗，保障县委办工作的正常运转。</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对档案馆开展了维保及消防设施维修工作，维修保养合格率100%，维保按计划完成及时率100%。为确保财务档案的安全、完整，为财务室安装防盗窗、防盗门，采购办公家具合格率100%，保证了日常工作的正常运转。</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购置办公家具数量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购置防盗门窗数量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办公设备质量合格率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维修保养合格率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维保按计划完成及时率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档案馆维保及消防设施维修成本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采购优惠率导致资金结余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采购办公家具费用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采购防盗门窗费用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提升档案馆服务能力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98.77分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