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中共尉犁县委员会机构编制委员会办公室2024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（一）贯彻执行中央、自治区、自治州党委关于行政管理体制改革、机构改革和机构编制管理的方针政策、法律法规。</w:t>
      </w:r>
    </w:p>
    <w:p>
      <w:pPr>
        <w:spacing w:line="580" w:lineRule="exact"/>
        <w:ind w:firstLine="640"/>
        <w:jc w:val="both"/>
      </w:pPr>
      <w:r>
        <w:rPr>
          <w:rFonts w:ascii="仿宋_GB2312" w:hAnsi="仿宋_GB2312" w:eastAsia="仿宋_GB2312"/>
          <w:sz w:val="32"/>
        </w:rPr>
        <w:t>（二）负责全县各级党政机关，人大、政协、法院、检察机关，各民主党派、人民团体机关及事业单位的机构编制工作。</w:t>
      </w:r>
    </w:p>
    <w:p>
      <w:pPr>
        <w:spacing w:line="580" w:lineRule="exact"/>
        <w:ind w:firstLine="640"/>
        <w:jc w:val="both"/>
      </w:pPr>
      <w:r>
        <w:rPr>
          <w:rFonts w:ascii="仿宋_GB2312" w:hAnsi="仿宋_GB2312" w:eastAsia="仿宋_GB2312"/>
          <w:sz w:val="32"/>
        </w:rPr>
        <w:t>（三）拟定全县行政管理体制与机构改革的总体方案，并组织实施。审核尉犁县党政机关，人大、政协、法院、检察机关，各民主党派、人民团体机关的机构改革方案。负责乡镇行政管理体制改革、机构改革和机构编制管理工作。</w:t>
      </w:r>
    </w:p>
    <w:p>
      <w:pPr>
        <w:spacing w:line="580" w:lineRule="exact"/>
        <w:ind w:firstLine="640"/>
        <w:jc w:val="both"/>
      </w:pPr>
      <w:r>
        <w:rPr>
          <w:rFonts w:ascii="仿宋_GB2312" w:hAnsi="仿宋_GB2312" w:eastAsia="仿宋_GB2312"/>
          <w:sz w:val="32"/>
        </w:rPr>
        <w:t>（四）负责尉犁县党政机关职能配置和调整工作；拟定尉犁县机关、机关与乡镇之间的有关事权划分和职能分工的意见。</w:t>
      </w:r>
    </w:p>
    <w:p>
      <w:pPr>
        <w:spacing w:line="580" w:lineRule="exact"/>
        <w:ind w:firstLine="640"/>
        <w:jc w:val="both"/>
      </w:pPr>
      <w:r>
        <w:rPr>
          <w:rFonts w:ascii="仿宋_GB2312" w:hAnsi="仿宋_GB2312" w:eastAsia="仿宋_GB2312"/>
          <w:sz w:val="32"/>
        </w:rPr>
        <w:t>（五）贯彻执行《事业单位登记管理暂行条例》及其《实施细则》；监督管理全县各类事业单位登记管理工作；负责加强中文域名管理工作；负责全县党政群机关统一社会信用代码赋码工作。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中共尉犁县委员会机构编制委员会办公室2024年度，实有人数10人，其中：在职人员10人，增加0人；离休人员0人，增加0人；退休人员0人,增加0人。</w:t>
      </w:r>
    </w:p>
    <w:p>
      <w:pPr>
        <w:spacing w:line="580" w:lineRule="exact"/>
        <w:ind w:firstLine="640"/>
        <w:jc w:val="both"/>
      </w:pPr>
      <w:r>
        <w:rPr>
          <w:rFonts w:ascii="仿宋_GB2312" w:hAnsi="仿宋_GB2312" w:eastAsia="仿宋_GB2312"/>
          <w:sz w:val="32"/>
        </w:rPr>
        <w:t>中共尉犁县委员会机构编制委员会办公室无下属预算单位，下设2个科室，分别是：综合股、业务股。</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2024年度收入总计187.98万元，</w:t>
      </w:r>
      <w:r>
        <w:rPr>
          <w:rFonts w:ascii="仿宋_GB2312" w:hAnsi="仿宋_GB2312" w:eastAsia="仿宋_GB2312"/>
          <w:b w:val="0"/>
          <w:sz w:val="32"/>
        </w:rPr>
        <w:t>其中：本年收入合计187.98万元，使用非财政拨款结余（含专用结余）0.00万元，年初结转和结余0.00万元。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2024年度支出总计187.98万元，</w:t>
      </w:r>
      <w:r>
        <w:rPr>
          <w:rFonts w:ascii="仿宋_GB2312" w:hAnsi="仿宋_GB2312" w:eastAsia="仿宋_GB2312"/>
          <w:b w:val="0"/>
          <w:sz w:val="32"/>
        </w:rPr>
        <w:t>其中：本年支出合计187.98万元，结余分配0.00万元，年末结转和结余0.00万元。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减少13.17万元，下降6.55%，主要原因是：本年减少工作队经费支出，导致其他收入减少，导致相关经费减少。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本年收入187.98万元，</w:t>
      </w:r>
      <w:r>
        <w:rPr>
          <w:rFonts w:ascii="仿宋_GB2312" w:hAnsi="仿宋_GB2312" w:eastAsia="仿宋_GB2312"/>
          <w:b w:val="0"/>
          <w:sz w:val="32"/>
        </w:rPr>
        <w:t>其中：财政拨款收入187.98万元，占100.00%；上级补助收入0.00万元，占0.00%；事业收入0.00万元，占0.00%；经营收入0.00万元，占0.00%；附属单位上缴收入0.00万元，占0.00%；其他收入0.00万元，占0.00%。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本年支出187.98万元，</w:t>
      </w:r>
      <w:r>
        <w:rPr>
          <w:rFonts w:ascii="仿宋_GB2312" w:hAnsi="仿宋_GB2312" w:eastAsia="仿宋_GB2312"/>
          <w:b w:val="0"/>
          <w:sz w:val="32"/>
        </w:rPr>
        <w:t>其中：基本支出178.00万元，占94.69%；项目支出9.98万元，占5.31%；上缴上级支出0.00万元，占0.00%；经营支出0.00万元，占0.00%；对附属单位补助支出0.00万元，占0.00%。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2024年度财政拨款收入总计187.98万元，</w:t>
      </w:r>
      <w:r>
        <w:rPr>
          <w:rFonts w:ascii="仿宋_GB2312" w:hAnsi="仿宋_GB2312" w:eastAsia="仿宋_GB2312"/>
          <w:b w:val="0"/>
          <w:sz w:val="32"/>
        </w:rPr>
        <w:t>其中：年初财政拨款结转和结余0.00万元，本年财政拨款收入187.98万元。</w:t>
      </w:r>
      <w:r>
        <w:rPr>
          <w:rFonts w:ascii="仿宋_GB2312" w:hAnsi="仿宋_GB2312" w:eastAsia="仿宋_GB2312"/>
          <w:b/>
          <w:sz w:val="32"/>
        </w:rPr>
        <w:t>财政拨款支出总计187.98万元，</w:t>
      </w:r>
      <w:r>
        <w:rPr>
          <w:rFonts w:ascii="仿宋_GB2312" w:hAnsi="仿宋_GB2312" w:eastAsia="仿宋_GB2312"/>
          <w:b w:val="0"/>
          <w:sz w:val="32"/>
        </w:rPr>
        <w:t>其中：年末财政拨款结转和结余0.00万元，本年财政拨款支出187.98万元。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增加13.32万元，增长7.63%，主要原因是：本年在职人员工资调增，社保、公积金基数调增，人员经费增加、县镇两级履职事项清单工作经费。</w:t>
      </w:r>
      <w:r>
        <w:rPr>
          <w:rFonts w:ascii="仿宋_GB2312" w:hAnsi="仿宋_GB2312" w:eastAsia="仿宋_GB2312"/>
          <w:b/>
          <w:sz w:val="32"/>
        </w:rPr>
        <w:t>与年初预算相比，</w:t>
      </w:r>
      <w:r>
        <w:rPr>
          <w:rFonts w:ascii="仿宋_GB2312" w:hAnsi="仿宋_GB2312" w:eastAsia="仿宋_GB2312"/>
          <w:b w:val="0"/>
          <w:sz w:val="32"/>
        </w:rPr>
        <w:t>年初预算数180.76万元，决算数187.98万元，预决算差异率3.99%，主要原因是：年中追加人员工资、社保、公积金基数调增部分资金、追加项目款县镇两级履职事项清单工作经费支出。</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2024年度一般公共预算财政拨款支出187.98万元，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增加13.32万元，增长7.63%，主要原因是：本年在职人员工资调增，社保、公积金基数调增，人员经费增加、县镇两级履职事项清单工作经费。</w:t>
      </w:r>
      <w:r>
        <w:rPr>
          <w:rFonts w:ascii="仿宋_GB2312" w:hAnsi="仿宋_GB2312" w:eastAsia="仿宋_GB2312"/>
          <w:b/>
          <w:sz w:val="32"/>
        </w:rPr>
        <w:t>与年初预算相比,</w:t>
      </w:r>
      <w:r>
        <w:rPr>
          <w:rFonts w:ascii="仿宋_GB2312" w:hAnsi="仿宋_GB2312" w:eastAsia="仿宋_GB2312"/>
          <w:b w:val="0"/>
          <w:sz w:val="32"/>
        </w:rPr>
        <w:t>年初预算数180.76万元，决算数187.98万元，预决算差异率3.99%，主要原因是：年中追加人员工资、社保、公积金基数调增部分资金、追加项目款县镇两级履职事项清单工作经费支出。</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1.一般公共服务支出(类)142.78万元,占75.95%。</w:t>
      </w:r>
    </w:p>
    <w:p>
      <w:pPr>
        <w:spacing w:line="580" w:lineRule="exact"/>
        <w:ind w:firstLine="640"/>
        <w:jc w:val="both"/>
      </w:pPr>
      <w:r>
        <w:rPr>
          <w:rFonts w:ascii="仿宋_GB2312" w:hAnsi="仿宋_GB2312" w:eastAsia="仿宋_GB2312"/>
          <w:b w:val="0"/>
          <w:sz w:val="32"/>
        </w:rPr>
        <w:t>2.教育支出(类)0.10万元,占0.05%。</w:t>
      </w:r>
    </w:p>
    <w:p>
      <w:pPr>
        <w:spacing w:line="580" w:lineRule="exact"/>
        <w:ind w:firstLine="640"/>
        <w:jc w:val="both"/>
      </w:pPr>
      <w:r>
        <w:rPr>
          <w:rFonts w:ascii="仿宋_GB2312" w:hAnsi="仿宋_GB2312" w:eastAsia="仿宋_GB2312"/>
          <w:b w:val="0"/>
          <w:sz w:val="32"/>
        </w:rPr>
        <w:t>3.社会保障和就业支出(类)18.96万元,占10.09%。</w:t>
      </w:r>
    </w:p>
    <w:p>
      <w:pPr>
        <w:spacing w:line="580" w:lineRule="exact"/>
        <w:ind w:firstLine="640"/>
        <w:jc w:val="both"/>
      </w:pPr>
      <w:r>
        <w:rPr>
          <w:rFonts w:ascii="仿宋_GB2312" w:hAnsi="仿宋_GB2312" w:eastAsia="仿宋_GB2312"/>
          <w:b w:val="0"/>
          <w:sz w:val="32"/>
        </w:rPr>
        <w:t>4.卫生健康支出(类)11.46万元,占6.10%。</w:t>
      </w:r>
    </w:p>
    <w:p>
      <w:pPr>
        <w:spacing w:line="580" w:lineRule="exact"/>
        <w:ind w:firstLine="640"/>
        <w:jc w:val="both"/>
      </w:pPr>
      <w:r>
        <w:rPr>
          <w:rFonts w:ascii="仿宋_GB2312" w:hAnsi="仿宋_GB2312" w:eastAsia="仿宋_GB2312"/>
          <w:b w:val="0"/>
          <w:sz w:val="32"/>
        </w:rPr>
        <w:t>5.住房保障支出(类)14.68万元,占7.81%。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1.一般公共服务支出(类)组织事务(款)行政运行(项):支出决算数为132.80万元，比上年决算减少2.91万元，下降2.14%,主要原因是：上年补发之前年度绩效奖金，本年无此项支出，导致相关经费减少。</w:t>
      </w:r>
    </w:p>
    <w:p>
      <w:pPr>
        <w:spacing w:line="580" w:lineRule="exact"/>
        <w:ind w:firstLine="640"/>
        <w:jc w:val="both"/>
      </w:pPr>
      <w:r>
        <w:rPr>
          <w:rFonts w:ascii="仿宋_GB2312" w:hAnsi="仿宋_GB2312" w:eastAsia="仿宋_GB2312"/>
          <w:b w:val="0"/>
          <w:sz w:val="32"/>
        </w:rPr>
        <w:t>2.一般公共服务支出(类)组织事务(款)其他组织事务支出(项):支出决算数为9.98万元，比上年决算增加9.98万元，增长100.00%,主要原因是：本年增加县镇两级履职事项清单工作经费，导致相关经费增加。</w:t>
      </w:r>
    </w:p>
    <w:p>
      <w:pPr>
        <w:spacing w:line="580" w:lineRule="exact"/>
        <w:ind w:firstLine="640"/>
        <w:jc w:val="both"/>
      </w:pPr>
      <w:r>
        <w:rPr>
          <w:rFonts w:ascii="仿宋_GB2312" w:hAnsi="仿宋_GB2312" w:eastAsia="仿宋_GB2312"/>
          <w:b w:val="0"/>
          <w:sz w:val="32"/>
        </w:rPr>
        <w:t>3.教育支出(类)进修及培训(款)培训支出(项):支出决算数为0.10万元，比上年决算增加0.10万元，增长100.00%,主要原因是：本年增加培训费，导致相关经费增加。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18.96万元，比上年决算增加2.49万元，增长15.12%,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5.卫生健康支出(类)行政事业单位医疗(款)行政单位医疗(项):支出决算数为8.57万元，比上年决算增加1.11万元，增长14.88%,主要原因是：本年在职人员工资基数调增，医疗缴费基数上涨，相应支出增加。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6.卫生健康支出(类)行政事业单位医疗(款)公务员医疗补助(项):支出决算数为2.89万元，比上年决算增加0.36万元，增长14.23%,主要原因是：本年在职人员工资基数调增，医疗缴费基数上涨，相应支出增加。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7.住房保障支出(类)住房改革支出(款)住房公积金(项):支出决算数为14.68万元，比上年决算增加2.19万元，增长17.53%,主要原因是：本年在职人员工资基数调增，公积金缴费基数上涨，相应支出增加。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2024年度一般公共预算财政拨款基本支出178.00万元，其中：</w:t>
      </w:r>
      <w:r>
        <w:rPr>
          <w:rFonts w:ascii="仿宋_GB2312" w:hAnsi="仿宋_GB2312" w:eastAsia="仿宋_GB2312"/>
          <w:b/>
          <w:sz w:val="32"/>
        </w:rPr>
        <w:t>人员经费173.32万元，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包括：基本工资、津贴补贴、奖金、机关事业单位基本养老保险缴费、职工基本医疗保险缴费、公务员医疗补助缴费、其他社会保障缴费、住房公积金、医疗费、奖励金。</w:t>
      </w:r>
    </w:p>
    <w:p>
      <w:pPr>
        <w:spacing w:line="580" w:lineRule="exact"/>
        <w:ind w:firstLine="640"/>
        <w:jc w:val="both"/>
      </w:pPr>
      <w:r>
        <w:rPr>
          <w:rFonts w:ascii="仿宋_GB2312" w:hAnsi="仿宋_GB2312" w:eastAsia="仿宋_GB2312"/>
          <w:b/>
          <w:sz w:val="32"/>
        </w:rPr>
        <w:t>公用经费4.68万元，</w:t>
      </w:r>
      <w:r>
        <w:rPr>
          <w:rFonts w:ascii="仿宋_GB2312" w:hAnsi="仿宋_GB2312" w:eastAsia="仿宋_GB2312"/>
          <w:b w:val="0"/>
          <w:sz w:val="32"/>
        </w:rPr>
        <w:t>包括：办公费、邮电费、差旅费、培训费、工会经费、福利费。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尉犁县委员会机构编制委员会办公室（行政单位和参照公务员法管理事业单位）机关运行经费支出4.68万元，比上年减少2.94万元，下降38.58%，主要原因是：2024年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2024年度政府采购支出总额2.43万元，其中：政府采购货物支出1.25万元、政府采购工程支出0.00万元、政府采购服务支出1.18万元。</w:t>
      </w:r>
    </w:p>
    <w:p>
      <w:pPr>
        <w:spacing w:line="580" w:lineRule="exact"/>
        <w:ind w:firstLine="640"/>
        <w:jc w:val="both"/>
      </w:pPr>
      <w:r>
        <w:rPr>
          <w:rFonts w:ascii="仿宋_GB2312" w:hAnsi="仿宋_GB2312" w:eastAsia="仿宋_GB2312"/>
          <w:b w:val="0"/>
          <w:sz w:val="32"/>
        </w:rPr>
        <w:t>授予中小企业合同金额2.43万元，占政府采购支出总额的100.00%，其中：授予小微企业合同金额1.18万元，占政府采购支出总额的48.56%。</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187.98万元，实际执行总额187.98万元；预算绩效评价项目0个，全年预算数0.00万元，全年执行数0.00万元。预算绩效管理取得的成效：一是每个项目都能严格按照资金请示批复来拨款使用；二是年初编制计划，严格按照资金请示批复来拨款，保证资金使用的方向正确，从经济性、效率性、有效性、可持续性等方面大大提高资金的使用效率，总体预算绩效执行效果较好。发现的问题及原因：一是预算编制工作有待细化。预算编制不够明确和细化，预算编制的合理性需要提高，预算执行力度还要进一步加强；二是单位管理制度仍需完善，对财务制度执行力有待加强，资金使用流程有待细化；单位领导对财务重视不够，有些工作不能做到落实到具体的人和事，财务制度管理不到位；单位财务人员业务水平有待提高。下一步改进措施：一是继续加强项目实时监控，严格按照相关要求对相关项目的资金进行使用，确保资金使用及时有效；二是继续加强项目开展进度的跟踪，提前做好预算及资金的支付计划，保证项目顺利开展的同时资金使用规范合理。具体附整体支出绩效自评表。</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中共尉犁县委员会机构编制委员会办公室</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180.76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187.98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187.98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180.76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187.98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187.98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尉犁县党委编办认真贯彻落实《中国共产党机构编制工作条例》,为适应新时代机构编制管理工作新要求，完善党的机构职能体系、深化机构改革、优化机构编制资源配置上持续发力，积极发挥机构编制对全县各领域工作的协同促进作用，推动尉犁县机构编制工作的科学化、规范化和制度化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按照上级部署，在做好机构改革涉及的事业单位调整的基础上，全面做好全县事业单位改革工作，确保事业单位改革取得实效。具体如下：</w:t>
              <w:br/>
              <w:br/>
              <w:t>不断优化重点领域机构设置和职能配置，社会工作、数据管理、老龄等重点领域体制机制更加健全，保障全县各级机构持续有效运转；完善实名制登记规范化建设。建立《机构增减台账》、《编制增减台账》、《人员增减台账》，便于全县各部门单位机构、编制、人员增减核查。开展事业单位法人年检数量90个，完成事业单位登记年度报告90个，；事业单位年度审核覆盖率达到100%。持续加强机构编制核查管理工作，完善机构编制实名制管理，加大机构编制保障力度、推进机构编制数字化建设。</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事业单位法人年检数量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事业单位登记管理暂行条例、2024年县委编办工作要点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事业单位法人年度报告公示数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2024年尉犁县委编办工作要点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事业单位法人年检完成率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2024年尉犁县委编办工作要点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全县机构编制核查率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2024年机构编制工作要点</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本年本单位SM项目1个，全年预算数10万元，全年执行数9.98万元。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