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中共尉犁县委员会社会工作部2024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（1）贯彻执行党中央、自治区、自治州党委相关法律、法规、规章及政策，研究相关理论、政策和规划，拟订相关政策文件并组织实施。指导各乡镇党委社会工作部门开展工作。</w:t>
      </w:r>
    </w:p>
    <w:p>
      <w:pPr>
        <w:spacing w:line="580" w:lineRule="exact"/>
        <w:ind w:firstLine="640"/>
        <w:jc w:val="both"/>
      </w:pPr>
      <w:r>
        <w:rPr>
          <w:rFonts w:ascii="仿宋_GB2312" w:hAnsi="仿宋_GB2312" w:eastAsia="仿宋_GB2312"/>
          <w:sz w:val="32"/>
        </w:rPr>
        <w:t>（2）统筹指导群众利益协调、诉求表达、矛盾调处、权益保障等人民信访工作，协调解决人民群众急难愁盼的重大问题。指导人民建议征集工作，负责征集、办理公民、法人和其他组织提出的意见建议，向县委、县人民政府及时反映公民、法人和其他组织对全县各项事业发展提出的重要意见建议。</w:t>
      </w:r>
    </w:p>
    <w:p>
      <w:pPr>
        <w:spacing w:line="580" w:lineRule="exact"/>
        <w:ind w:firstLine="640"/>
        <w:jc w:val="both"/>
      </w:pPr>
      <w:r>
        <w:rPr>
          <w:rFonts w:ascii="仿宋_GB2312" w:hAnsi="仿宋_GB2312" w:eastAsia="仿宋_GB2312"/>
          <w:sz w:val="32"/>
        </w:rPr>
        <w:t>（3）统筹推进党建引领基层治理和基层政权建设，协调推进城乡社区治理体系和治理能力建设，推进基层民主政治建设，指导监督基层群众自治制度的有效实施，健全基层群众自治机制。</w:t>
      </w:r>
    </w:p>
    <w:p>
      <w:pPr>
        <w:spacing w:line="580" w:lineRule="exact"/>
        <w:ind w:firstLine="640"/>
        <w:jc w:val="both"/>
      </w:pPr>
      <w:r>
        <w:rPr>
          <w:rFonts w:ascii="仿宋_GB2312" w:hAnsi="仿宋_GB2312" w:eastAsia="仿宋_GB2312"/>
          <w:sz w:val="32"/>
        </w:rPr>
        <w:t>（4）指导全县社会组织党建工作，统一领导全县行业协会商会党的工作，协调推动行业协会商会深化改革和转型发展。</w:t>
      </w:r>
    </w:p>
    <w:p>
      <w:pPr>
        <w:spacing w:line="580" w:lineRule="exact"/>
        <w:ind w:firstLine="640"/>
        <w:jc w:val="both"/>
      </w:pPr>
      <w:r>
        <w:rPr>
          <w:rFonts w:ascii="仿宋_GB2312" w:hAnsi="仿宋_GB2312" w:eastAsia="仿宋_GB2312"/>
          <w:sz w:val="32"/>
        </w:rPr>
        <w:t>（5）指导全县混合所有制企业、非公有制企业和新经济组织、新社会组织、新就业群体党建工作，指导协调相关企业单位、社会组织、就业群体中党员的教育、管理、监督和服务工作，研究完善相关领域群众利益协调机制。</w:t>
      </w:r>
    </w:p>
    <w:p>
      <w:pPr>
        <w:spacing w:line="580" w:lineRule="exact"/>
        <w:ind w:firstLine="640"/>
        <w:jc w:val="both"/>
      </w:pPr>
      <w:r>
        <w:rPr>
          <w:rFonts w:ascii="仿宋_GB2312" w:hAnsi="仿宋_GB2312" w:eastAsia="仿宋_GB2312"/>
          <w:sz w:val="32"/>
        </w:rPr>
        <w:t>（6）负责全县志愿服务工作的统筹规划、协调指导、督促检查。指导社会工作人才队伍建设。</w:t>
      </w:r>
    </w:p>
    <w:p>
      <w:pPr>
        <w:spacing w:line="580" w:lineRule="exact"/>
        <w:ind w:firstLine="640"/>
        <w:jc w:val="both"/>
      </w:pPr>
      <w:r>
        <w:rPr>
          <w:rFonts w:ascii="仿宋_GB2312" w:hAnsi="仿宋_GB2312" w:eastAsia="仿宋_GB2312"/>
          <w:sz w:val="32"/>
        </w:rPr>
        <w:t>(7)完成县委、县人民政府交办的其他任务。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中共尉犁县委员会社会工作部2024年度，实有人数15人，其中：在职人员8人，增加8人；离休人员0人，增加0人；退休人员7人,增加7人。</w:t>
      </w:r>
    </w:p>
    <w:p>
      <w:pPr>
        <w:spacing w:line="580" w:lineRule="exact"/>
        <w:ind w:firstLine="640"/>
        <w:jc w:val="both"/>
      </w:pPr>
      <w:r>
        <w:rPr>
          <w:rFonts w:ascii="仿宋_GB2312" w:hAnsi="仿宋_GB2312" w:eastAsia="仿宋_GB2312"/>
          <w:sz w:val="32"/>
        </w:rPr>
        <w:t>中共尉犁县委员会社会工作部无下属预算单位，下设2个科室，分别是：办公室、综合业务室。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2024年度收入总计63.81万元，</w:t>
      </w:r>
      <w:r>
        <w:rPr>
          <w:rFonts w:ascii="仿宋_GB2312" w:hAnsi="仿宋_GB2312" w:eastAsia="仿宋_GB2312"/>
          <w:b w:val="0"/>
          <w:sz w:val="32"/>
        </w:rPr>
        <w:t>其中：本年收入合计63.81万元，使用非财政拨款结余（含专用结余）0.00万元，年初结转和结余0.00万元。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2024年度支出总计63.81万元，</w:t>
      </w:r>
      <w:r>
        <w:rPr>
          <w:rFonts w:ascii="仿宋_GB2312" w:hAnsi="仿宋_GB2312" w:eastAsia="仿宋_GB2312"/>
          <w:b w:val="0"/>
          <w:sz w:val="32"/>
        </w:rPr>
        <w:t>其中：本年支出合计63.81万元，结余分配0.00万元，年末结转和结余0.00万元。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增加63.81万元，增长100.00%，主要原因是：2024年5月新成立单位，无上年对比数据。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本年收入63.81万元，</w:t>
      </w:r>
      <w:r>
        <w:rPr>
          <w:rFonts w:ascii="仿宋_GB2312" w:hAnsi="仿宋_GB2312" w:eastAsia="仿宋_GB2312"/>
          <w:b w:val="0"/>
          <w:sz w:val="32"/>
        </w:rPr>
        <w:t>其中：财政拨款收入60.19万元，占94.33%；上级补助收入0.00万元，占0.00%；事业收入0.00万元，占0.00%；经营收入0.00万元，占0.00%；附属单位上缴收入0.00万元，占0.00%；其他收入3.62万元，占5.67%。</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本年支出63.81万元，</w:t>
      </w:r>
      <w:r>
        <w:rPr>
          <w:rFonts w:ascii="仿宋_GB2312" w:hAnsi="仿宋_GB2312" w:eastAsia="仿宋_GB2312"/>
          <w:b w:val="0"/>
          <w:sz w:val="32"/>
        </w:rPr>
        <w:t>其中：基本支出51.85万元，占81.26%；项目支出11.96万元，占18.74%；上缴上级支出0.00万元，占0.00%；经营支出0.00万元，占0.00%；对附属单位补助支出0.00万元，占0.00%。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2024年度财政拨款收入总计60.19万元，</w:t>
      </w:r>
      <w:r>
        <w:rPr>
          <w:rFonts w:ascii="仿宋_GB2312" w:hAnsi="仿宋_GB2312" w:eastAsia="仿宋_GB2312"/>
          <w:b w:val="0"/>
          <w:sz w:val="32"/>
        </w:rPr>
        <w:t>其中：年初财政拨款结转和结余0.00万元，本年财政拨款收入60.19万元。</w:t>
      </w:r>
      <w:r>
        <w:rPr>
          <w:rFonts w:ascii="仿宋_GB2312" w:hAnsi="仿宋_GB2312" w:eastAsia="仿宋_GB2312"/>
          <w:b/>
          <w:sz w:val="32"/>
        </w:rPr>
        <w:t>财政拨款支出总计60.19万元，</w:t>
      </w:r>
      <w:r>
        <w:rPr>
          <w:rFonts w:ascii="仿宋_GB2312" w:hAnsi="仿宋_GB2312" w:eastAsia="仿宋_GB2312"/>
          <w:b w:val="0"/>
          <w:sz w:val="32"/>
        </w:rPr>
        <w:t>其中：年末财政拨款结转和结余0.00万元，本年财政拨款支出60.19万元。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增加60.19万元，增长100.00%，主要原因是：2024年5月新成立单位，无上年对比数据。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年初预算数0.00万元，决算数60.19万元，预决算差异率100.00%，主要原因是：2024年5月新成立单位，年初未安排预算，年中追加经费，导致预决算存在差异。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2024年度一般公共预算财政拨款支出60.19万元，</w:t>
      </w:r>
      <w:r>
        <w:rPr>
          <w:rFonts w:ascii="仿宋_GB2312" w:hAnsi="仿宋_GB2312" w:eastAsia="仿宋_GB2312"/>
          <w:b w:val="0"/>
          <w:sz w:val="32"/>
        </w:rPr>
        <w:t>占本年支出合计的94.33%。</w:t>
      </w:r>
      <w:r>
        <w:rPr>
          <w:rFonts w:ascii="仿宋_GB2312" w:hAnsi="仿宋_GB2312" w:eastAsia="仿宋_GB2312"/>
          <w:b/>
          <w:sz w:val="32"/>
        </w:rPr>
        <w:t>与上年相比，</w:t>
      </w:r>
      <w:r>
        <w:rPr>
          <w:rFonts w:ascii="仿宋_GB2312" w:hAnsi="仿宋_GB2312" w:eastAsia="仿宋_GB2312"/>
          <w:b w:val="0"/>
          <w:sz w:val="32"/>
        </w:rPr>
        <w:t>增加60.19万元，增长100.00%，主要原因是：2024年5月新成立单位，无上年对比数据。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年初预算数0.00万元，决算数60.19万元，预决算差异率100.00%，主要原因是：2024年5月新成立单位，年初未安排预算，年中追加经费，导致预决算存在差异。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1.一般公共服务支出(类)45.03万元,占74.81%。</w:t>
      </w:r>
    </w:p>
    <w:p>
      <w:pPr>
        <w:spacing w:line="580" w:lineRule="exact"/>
        <w:ind w:firstLine="640"/>
        <w:jc w:val="both"/>
      </w:pPr>
      <w:r>
        <w:rPr>
          <w:rFonts w:ascii="仿宋_GB2312" w:hAnsi="仿宋_GB2312" w:eastAsia="仿宋_GB2312"/>
          <w:b w:val="0"/>
          <w:sz w:val="32"/>
        </w:rPr>
        <w:t>2.社会保障和就业支出(类)6.71万元,占11.15%。</w:t>
      </w:r>
    </w:p>
    <w:p>
      <w:pPr>
        <w:spacing w:line="580" w:lineRule="exact"/>
        <w:ind w:firstLine="640"/>
        <w:jc w:val="both"/>
      </w:pPr>
      <w:r>
        <w:rPr>
          <w:rFonts w:ascii="仿宋_GB2312" w:hAnsi="仿宋_GB2312" w:eastAsia="仿宋_GB2312"/>
          <w:b w:val="0"/>
          <w:sz w:val="32"/>
        </w:rPr>
        <w:t>3.卫生健康支出(类)3.77万元,占6.26%。</w:t>
      </w:r>
    </w:p>
    <w:p>
      <w:pPr>
        <w:spacing w:line="580" w:lineRule="exact"/>
        <w:ind w:firstLine="640"/>
        <w:jc w:val="both"/>
      </w:pPr>
      <w:r>
        <w:rPr>
          <w:rFonts w:ascii="仿宋_GB2312" w:hAnsi="仿宋_GB2312" w:eastAsia="仿宋_GB2312"/>
          <w:b w:val="0"/>
          <w:sz w:val="32"/>
        </w:rPr>
        <w:t>4.住房保障支出(类)4.68万元,占7.78%。</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1.一般公共服务支出(类)组织事务(款)其他组织事务支出(项):支出决算数为8.34万元，比上年决算增加8.34万元，增长100.00%,主要原因是：2024年5月新成立单位，无上年对比数据。</w:t>
      </w:r>
    </w:p>
    <w:p>
      <w:pPr>
        <w:spacing w:line="580" w:lineRule="exact"/>
        <w:ind w:firstLine="640"/>
        <w:jc w:val="both"/>
      </w:pPr>
      <w:r>
        <w:rPr>
          <w:rFonts w:ascii="仿宋_GB2312" w:hAnsi="仿宋_GB2312" w:eastAsia="仿宋_GB2312"/>
          <w:b w:val="0"/>
          <w:sz w:val="32"/>
        </w:rPr>
        <w:t>2.一般公共服务支出(类)社会工作事务(款)行政运行(项):支出决算数为36.69万元，比上年决算增加36.69万元，增长100.00%,主要原因是：2024年5月新成立单位，无上年对比数据。</w:t>
      </w:r>
    </w:p>
    <w:p>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3.社会保障和就业支出(类)行政事业单位养老支出(款)行政单位离退休(项):支出决算数为0.83万元，比上年决算增加0.83万元，增长100.00%,主要原因是：2024年5月新成立单位，无上年对比数据。</w:t>
      </w:r>
    </w:p>
    <w:p>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4.社会保障和就业支出(类)行政事业单位养老支出(款)机关事业单位基本养老保险缴费支出(项):支出决算数为5.88万元，比上年决算增加5.88万元，增长100.00%,主要原因是：2024年5月新成立单位，无上年对比数据。</w:t>
      </w:r>
    </w:p>
    <w:p>
      <w:pPr>
        <w:spacing w:line="580" w:lineRule="exact"/>
        <w:ind w:firstLine="640"/>
        <w:jc w:val="both"/>
      </w:pPr>
      <w:r>
        <w:rPr>
          <w:rFonts w:ascii="仿宋_GB2312" w:hAnsi="仿宋_GB2312" w:eastAsia="仿宋_GB2312"/>
          <w:b w:val="0"/>
          <w:sz w:val="32"/>
        </w:rPr>
        <w:t>5.卫生健康支出(类)行政事业单位医疗(款)行政单位医疗(项):支出决算数为2.66万元，比上年决算增加2.66万元，增长100.00%,主要原因是：2024年5月新成立单位，无上年对比数据。</w:t>
      </w:r>
    </w:p>
    <w:p>
      <w:pPr>
        <w:spacing w:line="580" w:lineRule="exact"/>
        <w:ind w:firstLine="640"/>
        <w:jc w:val="both"/>
      </w:pPr>
      <w:r>
        <w:rPr>
          <w:rFonts w:ascii="仿宋_GB2312" w:hAnsi="仿宋_GB2312" w:eastAsia="仿宋_GB2312"/>
          <w:b w:val="0"/>
          <w:sz w:val="32"/>
        </w:rPr>
        <w:t>6.卫生健康支出(类)行政事业单位医疗(款)公务员医疗补助(项):支出决算数为1.10万元，比上年决算增加1.10万元，增长100.00%,主要原因是：2024年5月新成立单位，无上年对比数据。</w:t>
      </w:r>
    </w:p>
    <w:p>
      <w:pPr>
        <w:spacing w:line="580" w:lineRule="exact"/>
        <w:ind w:firstLine="640"/>
        <w:jc w:val="both"/>
      </w:pPr>
      <w:r>
        <w:rPr>
          <w:rFonts w:ascii="仿宋_GB2312" w:hAnsi="仿宋_GB2312" w:eastAsia="仿宋_GB2312"/>
          <w:b w:val="0"/>
          <w:sz w:val="32"/>
        </w:rPr>
        <w:t>7.住房保障支出(类)住房改革支出(款)住房公积金(项):支出决算数为4.68万元，比上年决算增加4.68万元，增长100.00%,主要原因是：2024年5月新成立单位，无上年对比数据。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2024年度一般公共预算财政拨款基本支出51.85万元，其中：</w:t>
      </w:r>
      <w:r>
        <w:rPr>
          <w:rFonts w:ascii="仿宋_GB2312" w:hAnsi="仿宋_GB2312" w:eastAsia="仿宋_GB2312"/>
          <w:b/>
          <w:sz w:val="32"/>
        </w:rPr>
        <w:t>人员经费50.03万元，</w:t>
      </w:r>
      <w:r>
        <w:rPr>
          <w:rFonts w:ascii="仿宋_GB2312" w:hAnsi="仿宋_GB2312" w:eastAsia="仿宋_GB2312"/>
          <w:b w:val="0"/>
          <w:sz w:val="32"/>
        </w:rPr>
        <w:t>包括：基本工资、津贴补贴、机关事业单位基本养老保险缴费、职工基本医疗保险缴费、公务员医疗补助缴费、其他社会保障缴费、住房公积金、医疗费、退休费、奖励金。</w:t>
      </w:r>
    </w:p>
    <w:p>
      <w:pPr>
        <w:spacing w:line="580" w:lineRule="exact"/>
        <w:ind w:firstLine="640"/>
        <w:jc w:val="both"/>
      </w:pPr>
      <w:r>
        <w:rPr>
          <w:rFonts w:ascii="仿宋_GB2312" w:hAnsi="仿宋_GB2312" w:eastAsia="仿宋_GB2312"/>
          <w:b/>
          <w:sz w:val="32"/>
        </w:rPr>
        <w:t>公用经费1.82万元，</w:t>
      </w:r>
      <w:r>
        <w:rPr>
          <w:rFonts w:ascii="仿宋_GB2312" w:hAnsi="仿宋_GB2312" w:eastAsia="仿宋_GB2312"/>
          <w:b w:val="0"/>
          <w:sz w:val="32"/>
        </w:rPr>
        <w:t>包括：办公费、维修（护）费、培训费、工会经费、福利费。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2024年度中共尉犁县委员会社会工作部（事业单位）公用经费支出1.82万元，比上年增加1.82万元，增长100.00%，主要原因是：2024年5月新成立单位，无上年对比数据。</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2024年度政府采购支出总额4.35万元，其中：政府采购货物支出4.35万元、政府采购工程支出0.00万元、政府采购服务支出0.00万元。</w:t>
      </w:r>
    </w:p>
    <w:p>
      <w:pPr>
        <w:spacing w:line="580" w:lineRule="exact"/>
        <w:ind w:firstLine="640"/>
        <w:jc w:val="both"/>
      </w:pPr>
      <w:r>
        <w:rPr>
          <w:rFonts w:ascii="仿宋_GB2312" w:hAnsi="仿宋_GB2312" w:eastAsia="仿宋_GB2312"/>
          <w:b w:val="0"/>
          <w:sz w:val="32"/>
        </w:rPr>
        <w:t>授予中小企业合同金额4.35万元，占政府采购支出总额的100.00%，其中：授予小微企业合同金额4.35万元，占政府采购支出总额的100.00%。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63.81万元，实际执行总额63.81万元；预算绩效评价项目0个，全年预算数0.00万元，全年执行数0.00万元。预算绩效管理取得的成效：2024年度我单位无预算项目绩效。发现的问题及原因：2024年度我单位无预算项目绩效。下一步改进措施：2024年度我单位无预算项目绩效。具体附整体支出绩效自评表。</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中共尉犁县委员会社会工作部</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部门资金（万元）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其中:上级安排（万元）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本级安排（万元）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以习近平新时代中国特色社会主义思想为指导，深入推进党建引领基层治理、新兴领域党建、凝聚服务群众等各项工作，具体目标如下：</w:t>
              <w:br/>
              <w:br/>
              <w:t>1、做好人民信访和人民建议征集工作，打造信访工作“五个法治化”示范点8个，及时接待信访群众，案件按期办结率达95%以上。征集群众建议不少于10条，优化部门公共服务效能。</w:t>
              <w:br/>
              <w:br/>
              <w:t>2、推进“三新”领域有形覆盖，增强政治功能和组织功能，新经济组织党组织覆盖率提升至65%以上。</w:t>
              <w:br/>
              <w:br/>
              <w:t>3、建强“三支队伍”，开展培训班4期。</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1、为做好人民信访和人民建议征集工作，完成打造信访工作“五个法治化”示范点8个，及时接待信访群众，案件按期办结率达95%。征集群众建议12条，有效提升了部门公共服务效能。</w:t>
              <w:br/>
              <w:br/>
              <w:t>2、新经济组织党组织覆盖率提升至68.53%。推进了“三新”领域有形覆盖，增强政治功能和组织功能。</w:t>
              <w:br/>
              <w:br/>
              <w:t>3、开展培训班4期，推进“三支队伍”建强。</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打造信访工作“五个法治化”示范点个数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征集人民建议数量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&gt;=10条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12条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开展培训班期数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4期</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受理信访事项按期办结率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新经济组织党组织覆盖率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&gt;=65%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68.53%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