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OLE_LINK3"/>
      <w:bookmarkStart w:id="1" w:name="_GoBack"/>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尉犁县城乡居民基本养老保险补助</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val="en-US" w:eastAsia="zh-CN"/>
        </w:rPr>
        <w:t xml:space="preserve">尉犁县社会保险中心</w:t>
      </w:r>
    </w:p>
    <w:p>
      <w:pPr>
        <w:bidi w:val="0"/>
        <w:rPr>
          <w:rFonts w:ascii="仿宋" w:eastAsia="仿宋" w:hAnsi="仿宋" w:cs="仿宋" w:hint="eastAsia"/>
          <w:color w:val="auto"/>
          <w:highlight w:val="none"/>
          <w:lang w:val="en-US"/>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val="en-US" w:eastAsia="zh-CN"/>
        </w:rPr>
        <w:t xml:space="preserve">县人力资源和社会保障局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李先明</w:t>
      </w:r>
      <w:r>
        <w:rPr>
          <w:rFonts w:ascii="仿宋" w:eastAsia="仿宋" w:hAnsi="仿宋" w:cs="仿宋" w:hint="eastAsia"/>
          <w:color w:val="auto"/>
          <w:highlight w:val="none"/>
        </w:rPr>
        <w:t xml:space="preserve"> </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日</w:t>
      </w:r>
    </w:p>
    <w:p>
      <w:pPr>
        <w:ind w:firstLine="620"/>
        <w:rPr>
          <w:rFonts w:ascii="仿宋" w:eastAsia="仿宋" w:hAnsi="仿宋" w:cs="仿宋" w:hint="eastAsia"/>
          <w:color w:val="auto"/>
          <w:sz w:val="31"/>
          <w:szCs w:val="31"/>
          <w:highlight w:val="none"/>
        </w:rPr>
      </w:pPr>
      <w:r>
        <w:br w:type="page"/>
      </w:r>
    </w:p>
    <w:p>
      <w:pPr>
        <w:ind w:firstLine="883"/>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22</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24</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2" w:name="_Toc25620"/>
      <w:r>
        <w:rPr>
          <w:rFonts w:ascii="仿宋" w:eastAsia="仿宋" w:hAnsi="仿宋" w:cs="仿宋" w:hint="eastAsia"/>
          <w:color w:val="auto"/>
          <w:highlight w:val="none"/>
        </w:rPr>
        <w:t xml:space="preserve">一、基本情况</w:t>
      </w:r>
      <w:bookmarkEnd w:id="2"/>
    </w:p>
    <w:p>
      <w:pPr>
        <w:pStyle w:val="Heading3"/>
        <w:bidi w:val="0"/>
        <w:rPr>
          <w:rFonts w:ascii="仿宋" w:eastAsia="仿宋" w:hAnsi="仿宋" w:cs="仿宋" w:hint="eastAsia"/>
          <w:color w:val="auto"/>
          <w:highlight w:val="none"/>
        </w:rPr>
      </w:pPr>
      <w:bookmarkStart w:id="3" w:name="_Toc8971"/>
      <w:r>
        <w:rPr>
          <w:rFonts w:ascii="仿宋" w:eastAsia="仿宋" w:hAnsi="仿宋" w:cs="仿宋" w:hint="eastAsia"/>
          <w:color w:val="auto"/>
          <w:highlight w:val="none"/>
        </w:rPr>
        <w:t xml:space="preserve">（一）项目概况</w:t>
      </w:r>
      <w:bookmarkEnd w:id="3"/>
    </w:p>
    <w:p>
      <w:pPr>
        <w:bidi w:val="0"/>
        <w:rPr>
          <w:rFonts w:ascii="仿宋" w:eastAsia="仿宋" w:hAnsi="仿宋" w:cs="仿宋" w:hint="eastAsia"/>
          <w:color w:val="auto"/>
          <w:highlight w:val="none"/>
        </w:rPr>
      </w:pPr>
      <w:r>
        <w:rPr>
          <w:rFonts w:ascii="仿宋" w:eastAsia="仿宋" w:hAnsi="仿宋" w:cs="仿宋" w:hint="eastAsia"/>
          <w:b/>
          <w:bCs/>
          <w:color w:val="auto"/>
          <w:highlight w:val="none"/>
        </w:rPr>
        <w:t xml:space="preserve">1、项目背景</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国家高度重视社会保障体系建设，出台一系列政策推动城乡居民养老保险制度的建立和完善。尉犁县响应国家政策号召，积极落实城乡居民养老保险项目，以实现让全体人民“老有所养”的目标，构建覆盖城乡居民的养老保障体系。尉犁县在推进城乡一体化进程中，需要缩小城乡之间在社会保障方面的差距。通过实施城乡居民养老保险项目，将农村居民和城镇居民纳入统一的养老保险制度，实现城乡居民在养老保障方面的公平和均等化，促进城乡统筹发展。</w:t>
      </w:r>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关于提前下达2024年中央财政城乡居民基本养老保险补助资金预算的通知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巴财社〔2023〕69号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第三批）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200</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实施本项目。预计享受领取待遇补助人数17000人，参保缴费补助人数4781人，中央财政对城乡基础养老金补助103元每人每月，自治区财政对城乡基础养老金补助22.32元每人每月，自治区财政对城乡缴费补助30元每人每年。安排</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尉犁县城乡居民基本养老保险补助</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开展社保相关工作</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w:t>
      </w:r>
      <w:r>
        <w:rPr>
          <w:rFonts w:ascii="仿宋" w:eastAsia="仿宋" w:hAnsi="仿宋" w:cs="仿宋" w:hint="eastAsia"/>
          <w:color w:val="auto"/>
          <w:highlight w:val="none"/>
          <w:lang w:val="en-US" w:eastAsia="zh-CN"/>
        </w:rPr>
        <w:t xml:space="preserve">确保城乡居民基本养老保险领取待遇人数超17000人及参保缴费人数超4781人，推动城乡居民参保率逐年提升。确保财政补助资金100%按时足额拨付到位，实现符合条件的参保居民应补尽补，保障政策红利有效释放，</w:t>
      </w:r>
      <w:r>
        <w:rPr>
          <w:rFonts w:ascii="仿宋" w:eastAsia="仿宋" w:hAnsi="仿宋" w:cs="仿宋" w:hint="eastAsia"/>
          <w:color w:val="auto"/>
          <w:highlight w:val="none"/>
        </w:rPr>
        <w:t xml:space="preserve">保障老年参保居民的基本生活，实现“老有所养”，不断提高城乡参保居民的获得感、幸福感和安全感。</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尉犁县积极推进城乡居民养老保险补助项目，在政策落实、服务优化等方面取得了显著成效。</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 补助政策全面落实：尉犁县严格依照自治区、州相关政策，明确补助标准。针对普通参保居民，缴费档次设为12档，从200元到5500元不等，自治区、县人民政府给予每人每年60元补贴，且每提高一档，县政府再额外补贴，如200元缴费档次补贴70元，5500元档次补贴325元 。对于低保对象、特困人员和一二级残疾人员，由县级人民政府按100元缴费档次代缴；三四级残疾人员，县人民政府代缴最低标准（100元/年）养老保险费的50%；建档立卡已脱贫人员保留100元最低缴费档次。这些特殊群体也能自愿选择更高档次缴费，个人缴费按实际记入个人账户。</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集体补助与个人资助有序开展：尉犁县积极参与巴州开展的城乡居民养老保险集体补助试点工作，作为7个试点县市之一，通过“四议两公开”民主决策方式，确定补助标准、资金来源、补助对象和工作流程。2024年，全县有部分村开展集体补助工作，增加了参保群众补贴，促进群众“早参保、多缴费”。</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 项目实施成效显著：城乡居民养老保险补助项目实施后，尉犁县参保人数稳步增长，居民养老保障水平显著提高。基础养老金标准为每人每月225元，中央及县财政均拨付资金补助参保居民，对70岁及以上参保城乡老年居民予以倾斜，70 - 79周岁每人每月增加5元，80周岁及以上每人每月增加10元 。丧葬补助金按参保人死亡当月当地4个月基础养老金标准发放。项目实施增强了居民安全感与幸福感，减轻家庭养老负担，促进社会和谐稳定，为乡村振兴战略实施筑牢社会保障基础。</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根据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关于提前下达2024年中央财政城乡居民基本养老保险补助资金预算的通知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巴财社〔2023〕69号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下达中央财政对城乡居民基本养老保险的补助为524万元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，下达自治区财政对城乡居民基本养老保险的补助为176万元；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下达中央财政对城乡居民基本养老保险第二批补助为61万元；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第三批）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下达中央财政对城乡居民基本养老保险第三批补助为62万元；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200</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下达自治区财政对城乡居民基本养老保险第二批补助为11万元。共计下达834万元，用于城乡居民基本养老保险补助834万元。</w:t>
      </w:r>
    </w:p>
    <w:p>
      <w:pPr>
        <w:bidi w:val="0"/>
        <w:rPr>
          <w:rFonts w:ascii="仿宋" w:eastAsia="仿宋" w:hAnsi="仿宋" w:cs="仿宋" w:hint="eastAsia"/>
          <w:b w:val="0"/>
          <w:color w:val="auto"/>
          <w:kern w:val="2"/>
          <w:szCs w:val="22"/>
          <w:highlight w:val="none"/>
          <w:lang w:val="en-US" w:eastAsia="zh-CN" w:bidi="ar-SA"/>
        </w:rPr>
      </w:pPr>
      <w:r>
        <w:rPr>
          <w:rFonts w:ascii="仿宋" w:eastAsia="仿宋" w:hAnsi="仿宋" w:cs="仿宋" w:hint="eastAsia"/>
          <w:color w:val="auto"/>
          <w:highlight w:val="none"/>
          <w:lang w:val="en-US" w:eastAsia="zh-CN"/>
        </w:rPr>
        <w:t xml:space="preserve">实施2024年尉犁县城乡居民基本养老保险补助，其中中央专项资金647万元、自治区专项资金187万元。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sz w:val="32"/>
          <w:szCs w:val="32"/>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。截至20</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lang w:eastAsia="zh-CN"/>
        </w:rPr>
        <w:t xml:space="preserve">年</w:t>
      </w:r>
      <w:r>
        <w:rPr>
          <w:rFonts w:ascii="仿宋" w:eastAsia="仿宋" w:hAnsi="仿宋" w:cs="仿宋" w:hint="eastAsia"/>
          <w:color w:val="auto"/>
          <w:highlight w:val="none"/>
        </w:rPr>
        <w:t xml:space="preserve">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支付</w:t>
      </w:r>
      <w:r>
        <w:rPr>
          <w:rFonts w:ascii="仿宋" w:eastAsia="仿宋" w:hAnsi="仿宋" w:cs="仿宋" w:hint="eastAsia"/>
          <w:color w:val="auto"/>
          <w:highlight w:val="none"/>
        </w:rPr>
        <w:t xml:space="preserve">情况如下：</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月21日，支付</w:t>
      </w:r>
      <w:r>
        <w:rPr>
          <w:rFonts w:ascii="仿宋" w:eastAsia="仿宋" w:hAnsi="仿宋" w:cs="仿宋" w:hint="eastAsia"/>
          <w:color w:val="auto"/>
          <w:highlight w:val="none"/>
          <w:lang w:val="en-US" w:eastAsia="zh-CN"/>
        </w:rPr>
        <w:t xml:space="preserve">29</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147</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87.5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02</w:t>
      </w:r>
      <w:r>
        <w:rPr>
          <w:rFonts w:ascii="仿宋" w:eastAsia="仿宋" w:hAnsi="仿宋" w:cs="仿宋" w:hint="eastAsia"/>
          <w:color w:val="auto"/>
          <w:highlight w:val="none"/>
        </w:rPr>
        <w:t xml:space="preserve">月2</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436.5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61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w:t>
      </w:r>
      <w:r>
        <w:rPr>
          <w:rFonts w:ascii="仿宋" w:eastAsia="仿宋" w:hAnsi="仿宋" w:cs="仿宋" w:hint="eastAsia"/>
          <w:color w:val="auto"/>
          <w:highlight w:val="none"/>
          <w:lang w:val="en-US" w:eastAsia="zh-CN"/>
        </w:rPr>
        <w:t xml:space="preserve">0</w:t>
      </w:r>
      <w:r>
        <w:rPr>
          <w:rFonts w:ascii="仿宋" w:eastAsia="仿宋" w:hAnsi="仿宋" w:cs="仿宋" w:hint="eastAsia"/>
          <w:color w:val="auto"/>
          <w:highlight w:val="none"/>
        </w:rPr>
        <w:t xml:space="preserve">月30日，支付</w:t>
      </w:r>
      <w:r>
        <w:rPr>
          <w:rFonts w:ascii="仿宋" w:eastAsia="仿宋" w:hAnsi="仿宋" w:cs="仿宋" w:hint="eastAsia"/>
          <w:color w:val="auto"/>
          <w:highlight w:val="none"/>
          <w:lang w:val="en-US" w:eastAsia="zh-CN"/>
        </w:rPr>
        <w:t xml:space="preserve">62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rPr>
          <w:rFonts w:ascii="仿宋" w:eastAsia="仿宋" w:hAnsi="仿宋" w:cs="仿宋" w:hint="eastAsia"/>
          <w:color w:val="auto"/>
          <w:highlight w:val="none"/>
        </w:rPr>
      </w:pPr>
      <w:bookmarkStart w:id="4" w:name="_Toc25187"/>
      <w:r>
        <w:rPr>
          <w:rFonts w:ascii="仿宋" w:eastAsia="仿宋" w:hAnsi="仿宋" w:cs="仿宋" w:hint="eastAsia"/>
          <w:color w:val="auto"/>
          <w:highlight w:val="none"/>
        </w:rPr>
        <w:t xml:space="preserve">（二）项目绩效目标</w:t>
      </w:r>
      <w:bookmarkEnd w:id="4"/>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保障老年参保居民的基本生活，实现“老有所养”，不断提高城乡参保居民的获得感、幸福感和安全感。</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rPr>
          <w:rFonts w:ascii="仿宋" w:eastAsia="仿宋" w:hAnsi="仿宋" w:cs="仿宋" w:hint="eastAsia"/>
          <w:bCs w:val="0"/>
          <w:iCs w:val="0"/>
          <w:color w:val="auto"/>
          <w:kern w:val="2"/>
          <w:sz w:val="32"/>
          <w:szCs w:val="22"/>
          <w:highlight w:val="none"/>
          <w:lang w:val="en-US" w:eastAsia="zh-CN" w:bidi="ar-SA"/>
        </w:rPr>
      </w:pPr>
      <w:bookmarkStart w:id="5" w:name="_Toc28824"/>
      <w:r>
        <w:rPr>
          <w:rFonts w:ascii="仿宋" w:eastAsia="仿宋" w:hAnsi="仿宋" w:cs="仿宋" w:hint="eastAsia"/>
          <w:bCs w:val="0"/>
          <w:iCs w:val="0"/>
          <w:color w:val="auto"/>
          <w:kern w:val="2"/>
          <w:sz w:val="32"/>
          <w:szCs w:val="22"/>
          <w:highlight w:val="none"/>
          <w:lang w:val="en-US" w:eastAsia="zh-CN" w:bidi="ar-SA"/>
        </w:rPr>
        <w:t xml:space="preserve">计划2024年第三季度</w:t>
      </w:r>
      <w:r>
        <w:rPr>
          <w:rFonts w:ascii="仿宋" w:eastAsia="仿宋" w:hAnsi="仿宋" w:cs="仿宋" w:hint="eastAsia"/>
          <w:bCs w:val="0"/>
          <w:iCs w:val="0"/>
          <w:color w:val="auto"/>
          <w:kern w:val="2"/>
          <w:sz w:val="32"/>
          <w:szCs w:val="22"/>
          <w:highlight w:val="none"/>
          <w:lang w:val="en-US" w:eastAsia="zh-CN" w:bidi="ar-SA"/>
        </w:rPr>
        <w:t xml:space="preserve">完成特殊群体代缴</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全面落实对低保对象、特困人员、残疾人等特殊困难群体的养老保险费代缴政策，确保100%的特殊困难群体应保尽保，及时享受政府代缴补贴，减轻其参保经济压力。规范补助资金发放</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建立健全补助资金发放流程和监督机制，加强与财政、银行等部门的协作，确保补助资金每月按时、足额发放到参保居民手中，发放准确率达到100% ，杜绝错发、漏发现象。</w:t>
      </w:r>
    </w:p>
    <w:p>
      <w:pPr>
        <w:pStyle w:val="Heading2"/>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5"/>
    </w:p>
    <w:p>
      <w:pPr>
        <w:pStyle w:val="Heading3"/>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bookmarkStart w:id="6" w:name="_Toc24175"/>
      <w:r>
        <w:rPr>
          <w:rFonts w:ascii="仿宋" w:eastAsia="仿宋" w:hAnsi="仿宋" w:cs="仿宋" w:hint="eastAsia"/>
          <w:color w:val="auto"/>
          <w:highlight w:val="none"/>
        </w:rPr>
        <w:t xml:space="preserve">（一）绩效评价目的、对象和范围</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color w:val="auto"/>
          <w:highlight w:val="none"/>
        </w:rPr>
      </w:pPr>
      <w:bookmarkStart w:id="7" w:name="_Toc4156"/>
      <w:bookmarkStart w:id="8" w:name="_Toc15680"/>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jc w:val="both"/>
        <w:rPr>
          <w:rFonts w:ascii="仿宋" w:eastAsia="仿宋" w:hAnsi="仿宋" w:cs="仿宋" w:hint="eastAsia"/>
          <w:color w:val="auto"/>
          <w:highlight w:val="none"/>
        </w:rPr>
      </w:pPr>
      <w:bookmarkStart w:id="9" w:name="OLE_LINK7"/>
      <w:bookmarkStart w:id="10" w:name="OLE_LINK1"/>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9"/>
      <w:bookmarkEnd w:id="10"/>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11" w:name="_Toc5109"/>
      <w:r>
        <w:rPr>
          <w:rFonts w:ascii="仿宋" w:eastAsia="仿宋" w:hAnsi="仿宋" w:cs="仿宋" w:hint="eastAsia"/>
          <w:color w:val="auto"/>
          <w:highlight w:val="none"/>
        </w:rPr>
        <w:t xml:space="preserve">（二）绩效评价原则、评价指标体系、评价方法、评价标准</w:t>
      </w:r>
      <w:bookmarkEnd w:id="1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ind w:firstLine="560"/>
        <w:rPr>
          <w:rFonts w:ascii="仿宋" w:eastAsia="仿宋" w:hAnsi="仿宋" w:cs="仿宋" w:hint="eastAsia"/>
          <w:color w:val="auto"/>
          <w:highlight w:val="none"/>
        </w:rPr>
      </w:pPr>
      <w:bookmarkStart w:id="12" w:name="OLE_LINK8"/>
      <w:bookmarkStart w:id="13" w:name="OLE_LINK2"/>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2"/>
      <w:bookmarkEnd w:id="1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谁支出、谁自评</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14" w:name="_Toc30993"/>
      <w:bookmarkStart w:id="15" w:name="_Toc23112"/>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14"/>
      <w:bookmarkEnd w:id="15"/>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详见：附表2</w:t>
      </w:r>
      <w:r>
        <w:rPr>
          <w:rFonts w:ascii="仿宋" w:eastAsia="仿宋" w:hAnsi="仿宋" w:cs="仿宋" w:hint="eastAsia"/>
          <w:color w:val="auto"/>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7"/>
      <w:bookmarkEnd w:id="8"/>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3、绩效评价方法</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w:t>
      </w:r>
      <w:r>
        <w:rPr>
          <w:rFonts w:ascii="仿宋" w:eastAsia="仿宋" w:hAnsi="仿宋" w:cs="仿宋" w:hint="eastAsia"/>
          <w:color w:val="auto"/>
          <w:highlight w:val="none"/>
          <w:lang w:val="en-US" w:eastAsia="zh-CN"/>
        </w:rPr>
        <w:t xml:space="preserve">缴费补贴人数</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领取待遇保障人数、基础养老金发放次数</w:t>
      </w:r>
      <w:r>
        <w:rPr>
          <w:rFonts w:ascii="仿宋" w:eastAsia="仿宋" w:hAnsi="仿宋" w:cs="仿宋" w:hint="eastAsia"/>
          <w:color w:val="auto"/>
          <w:highlight w:val="none"/>
        </w:rPr>
        <w:t xml:space="preserve">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公众评判法：通过对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的特点，本次项目支出绩效自评采用了</w:t>
      </w:r>
      <w:r>
        <w:rPr>
          <w:rFonts w:ascii="仿宋" w:eastAsia="仿宋" w:hAnsi="仿宋" w:cs="仿宋" w:hint="eastAsia"/>
          <w:color w:val="auto"/>
          <w:highlight w:val="none"/>
          <w:lang w:val="en-US" w:eastAsia="zh-CN"/>
        </w:rPr>
        <w:t xml:space="preserve">以下标准：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计划标准，原因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w:t>
      </w:r>
      <w:r>
        <w:rPr>
          <w:rFonts w:ascii="仿宋" w:eastAsia="仿宋" w:hAnsi="仿宋" w:cs="仿宋" w:hint="eastAsia"/>
          <w:color w:val="auto"/>
          <w:highlight w:val="none"/>
          <w:lang w:val="en-US" w:eastAsia="zh-CN"/>
        </w:rPr>
        <w:t xml:space="preserve">缴费补贴人数17000人</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领取待遇保障人数4781人、基础养老金发放次数12次等作为计划数</w:t>
      </w:r>
      <w:r>
        <w:rPr>
          <w:rFonts w:ascii="仿宋" w:eastAsia="仿宋" w:hAnsi="仿宋" w:cs="仿宋" w:hint="eastAsia"/>
          <w:color w:val="auto"/>
          <w:highlight w:val="none"/>
        </w:rPr>
        <w:t xml:space="preserve">作为评价的标准。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历史标准，原因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：参照本单位同类单位绩效评价指标的历史数据作为样本，运用一定的统计学方法计算出各类指标的平均历史水平作为评价标准。</w:t>
      </w:r>
    </w:p>
    <w:p>
      <w:pPr>
        <w:pStyle w:val="Heading3"/>
        <w:bidi w:val="0"/>
        <w:rPr>
          <w:rFonts w:ascii="仿宋" w:eastAsia="仿宋" w:hAnsi="仿宋" w:cs="仿宋" w:hint="eastAsia"/>
          <w:color w:val="auto"/>
          <w:highlight w:val="none"/>
        </w:rPr>
      </w:pPr>
      <w:bookmarkStart w:id="16" w:name="_Toc23796"/>
      <w:r>
        <w:rPr>
          <w:rFonts w:ascii="仿宋" w:eastAsia="仿宋" w:hAnsi="仿宋" w:cs="仿宋" w:hint="eastAsia"/>
          <w:color w:val="auto"/>
          <w:highlight w:val="none"/>
        </w:rPr>
        <w:t xml:space="preserve">（三）绩效评价工作过程</w:t>
      </w:r>
      <w:bookmarkEnd w:id="16"/>
      <w:bookmarkStart w:id="17" w:name="_Toc22987"/>
      <w:bookmarkStart w:id="18" w:name="_Toc17595"/>
      <w:bookmarkStart w:id="19" w:name="_Toc27442"/>
      <w:bookmarkStart w:id="20" w:name="_Toc3091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1、前期准备（2025年2月10日-2025年2月28日）</w:t>
      </w:r>
    </w:p>
    <w:p>
      <w:pPr>
        <w:bidi w:val="0"/>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color w:val="auto"/>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评价小组组长：李先明，主要负责协调相关科室、部门对项目整体运行情况进行验收、评估。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评价小组组员：邹冉，主要负责制定评价指标体系及评价标准。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评价小组组员：赛来江·肉孜，主要负责2024年尉犁县城乡居民基本养老保险补助项目实施、监督、评估工作。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2、组织实施（2025年3月1日-2025年3月10日）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17"/>
      <w:bookmarkEnd w:id="18"/>
      <w:bookmarkEnd w:id="19"/>
      <w:bookmarkEnd w:id="20"/>
      <w:r>
        <w:rPr>
          <w:rFonts w:ascii="仿宋" w:eastAsia="仿宋" w:hAnsi="仿宋" w:cs="仿宋" w:hint="eastAsia"/>
          <w:b/>
          <w:bCs/>
          <w:color w:val="auto"/>
          <w:highlight w:val="none"/>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1"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21"/>
      <w:r>
        <w:rPr>
          <w:rFonts w:ascii="仿宋" w:eastAsia="仿宋" w:hAnsi="仿宋" w:cs="仿宋" w:hint="eastAsia"/>
          <w:b/>
          <w:bCs/>
          <w:color w:val="auto"/>
          <w:highlight w:val="none"/>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rPr>
          <w:rFonts w:ascii="仿宋" w:eastAsia="仿宋" w:hAnsi="仿宋" w:cs="仿宋" w:hint="eastAsia"/>
          <w:b/>
          <w:bCs/>
          <w:color w:val="auto"/>
          <w:highlight w:val="none"/>
        </w:rPr>
      </w:pPr>
      <w:bookmarkStart w:id="22" w:name="OLE_LINK11"/>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22"/>
    </w:p>
    <w:p>
      <w:pPr>
        <w:pStyle w:val="Heading2"/>
        <w:bidi w:val="0"/>
        <w:rPr>
          <w:rFonts w:ascii="仿宋" w:eastAsia="仿宋" w:hAnsi="仿宋" w:cs="仿宋" w:hint="eastAsia"/>
          <w:color w:val="auto"/>
          <w:highlight w:val="none"/>
        </w:rPr>
      </w:pPr>
      <w:bookmarkStart w:id="23" w:name="_Toc20784"/>
      <w:r>
        <w:rPr>
          <w:rFonts w:ascii="仿宋" w:eastAsia="仿宋" w:hAnsi="仿宋" w:cs="仿宋" w:hint="eastAsia"/>
          <w:color w:val="auto"/>
          <w:highlight w:val="none"/>
        </w:rPr>
        <w:t xml:space="preserve">三、综合评价情况及评价结论</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24" w:name="_Toc8960"/>
      <w:r>
        <w:rPr>
          <w:rFonts w:ascii="仿宋" w:eastAsia="仿宋" w:hAnsi="仿宋" w:cs="仿宋" w:hint="eastAsia"/>
          <w:color w:val="auto"/>
          <w:highlight w:val="none"/>
        </w:rPr>
        <w:t xml:space="preserve">四、绩效评价指标分析</w:t>
      </w:r>
      <w:bookmarkEnd w:id="24"/>
    </w:p>
    <w:p>
      <w:pPr>
        <w:pStyle w:val="Heading3"/>
        <w:bidi w:val="0"/>
        <w:rPr>
          <w:rFonts w:ascii="仿宋" w:eastAsia="仿宋" w:hAnsi="仿宋" w:cs="仿宋" w:hint="eastAsia"/>
          <w:color w:val="auto"/>
          <w:highlight w:val="none"/>
        </w:rPr>
      </w:pPr>
      <w:bookmarkStart w:id="25" w:name="_Toc3445"/>
      <w:r>
        <w:rPr>
          <w:rFonts w:ascii="仿宋" w:eastAsia="仿宋" w:hAnsi="仿宋" w:cs="仿宋" w:hint="eastAsia"/>
          <w:color w:val="auto"/>
          <w:highlight w:val="none"/>
        </w:rPr>
        <w:t xml:space="preserve">（一）项目决策情况</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eastAsia="zh-CN"/>
        </w:rPr>
        <w:t xml:space="preserve">人力资源和社会保障</w:t>
      </w:r>
      <w:r>
        <w:rPr>
          <w:rFonts w:ascii="仿宋" w:eastAsia="仿宋" w:hAnsi="仿宋" w:cs="仿宋" w:hint="eastAsia"/>
          <w:color w:val="auto"/>
          <w:highlight w:val="none"/>
          <w:lang w:eastAsia="zh-CN"/>
        </w:rPr>
        <w:t xml:space="preserve">部关于印发</w:t>
      </w:r>
      <w:r>
        <w:rPr>
          <w:rFonts w:ascii="仿宋" w:eastAsia="仿宋" w:hAnsi="仿宋" w:cs="仿宋" w:hint="eastAsia"/>
          <w:color w:val="auto"/>
          <w:highlight w:val="none"/>
          <w:lang w:val="en-US" w:eastAsia="zh-CN"/>
        </w:rPr>
        <w:t xml:space="preserve">&lt;</w:t>
      </w:r>
      <w:r>
        <w:rPr>
          <w:rFonts w:ascii="仿宋" w:eastAsia="仿宋" w:hAnsi="仿宋" w:cs="仿宋" w:hint="eastAsia"/>
          <w:color w:val="auto"/>
          <w:highlight w:val="none"/>
          <w:lang w:eastAsia="zh-CN"/>
        </w:rPr>
        <w:t xml:space="preserve">城乡居民基本养老保险经办规程</w:t>
      </w:r>
      <w:r>
        <w:rPr>
          <w:rFonts w:ascii="仿宋" w:eastAsia="仿宋" w:hAnsi="仿宋" w:cs="仿宋" w:hint="eastAsia"/>
          <w:color w:val="auto"/>
          <w:highlight w:val="none"/>
          <w:lang w:val="en-US" w:eastAsia="zh-CN"/>
        </w:rPr>
        <w:t xml:space="preserve">&gt;</w:t>
      </w:r>
      <w:r>
        <w:rPr>
          <w:rFonts w:ascii="仿宋" w:eastAsia="仿宋" w:hAnsi="仿宋" w:cs="仿宋" w:hint="eastAsia"/>
          <w:color w:val="auto"/>
          <w:highlight w:val="none"/>
          <w:lang w:eastAsia="zh-CN"/>
        </w:rPr>
        <w:t xml:space="preserve">的通知》（人社部发〔2019〕84号）</w:t>
      </w:r>
      <w:r>
        <w:rPr>
          <w:rFonts w:ascii="仿宋" w:eastAsia="仿宋" w:hAnsi="仿宋" w:cs="仿宋" w:hint="eastAsia"/>
          <w:color w:val="auto"/>
          <w:highlight w:val="none"/>
          <w:lang w:val="en-US" w:eastAsia="zh-CN"/>
        </w:rPr>
        <w:t xml:space="preserve">规定，</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关于提前下达</w:t>
      </w:r>
      <w:r>
        <w:rPr>
          <w:rFonts w:ascii="仿宋" w:eastAsia="仿宋" w:hAnsi="仿宋" w:cs="仿宋" w:hint="eastAsia"/>
          <w:color w:val="auto"/>
          <w:highlight w:val="none"/>
          <w:lang w:val="en-US" w:eastAsia="zh-CN"/>
        </w:rPr>
        <w:t xml:space="preserve">2024年中央财政城乡居民基本养老保险补助资金预算的通知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巴财社</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69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关于提前下达</w:t>
      </w:r>
      <w:r>
        <w:rPr>
          <w:rFonts w:ascii="仿宋" w:eastAsia="仿宋" w:hAnsi="仿宋" w:cs="仿宋" w:hint="eastAsia"/>
          <w:color w:val="auto"/>
          <w:highlight w:val="none"/>
          <w:lang w:val="en-US" w:eastAsia="zh-CN"/>
        </w:rPr>
        <w:t xml:space="preserve">2024年自治区财政城乡居民基本养老保险补助资金预算的通知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巴财社</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城乡居民基本养老保险缴费补助为</w:t>
      </w:r>
      <w:r>
        <w:rPr>
          <w:rFonts w:ascii="仿宋" w:eastAsia="仿宋" w:hAnsi="仿宋" w:cs="仿宋" w:hint="eastAsia"/>
          <w:color w:val="auto"/>
          <w:highlight w:val="none"/>
          <w:lang w:val="en-US" w:eastAsia="zh-CN"/>
        </w:rPr>
        <w:t xml:space="preserve">53万元，基础养老金补助为781万元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w:t>
      </w:r>
      <w:r>
        <w:rPr>
          <w:rFonts w:ascii="仿宋" w:eastAsia="仿宋" w:hAnsi="仿宋" w:cs="仿宋" w:hint="eastAsia"/>
          <w:bCs w:val="0"/>
          <w:iCs w:val="0"/>
          <w:color w:val="auto"/>
          <w:kern w:val="2"/>
          <w:sz w:val="32"/>
          <w:szCs w:val="22"/>
          <w:highlight w:val="none"/>
          <w:lang w:val="en-US" w:bidi="ar-SA"/>
        </w:rPr>
        <w:t xml:space="preserve">编制了</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color w:val="auto"/>
          <w:highlight w:val="none"/>
          <w:lang w:val="en-US" w:eastAsia="zh-CN"/>
        </w:rPr>
        <w:t xml:space="preserve">2024年尉犁县城乡居民基本养老保险补助使用方案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w:t>
      </w:r>
      <w:r>
        <w:rPr>
          <w:rFonts w:ascii="仿宋" w:eastAsia="仿宋" w:hAnsi="仿宋" w:cs="仿宋" w:hint="eastAsia"/>
          <w:bCs w:val="0"/>
          <w:iCs w:val="0"/>
          <w:color w:val="auto"/>
          <w:kern w:val="2"/>
          <w:sz w:val="32"/>
          <w:szCs w:val="22"/>
          <w:highlight w:val="none"/>
          <w:lang w:val="en-US" w:eastAsia="zh-CN" w:bidi="ar-SA"/>
        </w:rPr>
        <w:t xml:space="preserve">尉犁县财经委员会</w:t>
      </w:r>
      <w:r>
        <w:rPr>
          <w:rFonts w:ascii="仿宋" w:eastAsia="仿宋" w:hAnsi="仿宋" w:cs="仿宋" w:hint="eastAsia"/>
          <w:bCs w:val="0"/>
          <w:iCs w:val="0"/>
          <w:color w:val="auto"/>
          <w:kern w:val="2"/>
          <w:sz w:val="32"/>
          <w:szCs w:val="22"/>
          <w:highlight w:val="none"/>
          <w:lang w:val="en-US" w:eastAsia="zh-CN" w:bidi="ar-SA"/>
        </w:rPr>
        <w:t xml:space="preserve">会议同意审批实施该项目。因此</w:t>
      </w:r>
      <w:r>
        <w:rPr>
          <w:rFonts w:ascii="仿宋" w:eastAsia="仿宋" w:hAnsi="仿宋" w:cs="仿宋" w:hint="eastAsia"/>
          <w:bCs/>
          <w:color w:val="auto"/>
          <w:szCs w:val="32"/>
          <w:highlight w:val="none"/>
        </w:rPr>
        <w:t xml:space="preserve">，</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四</w:t>
      </w:r>
      <w:r>
        <w:rPr>
          <w:rFonts w:ascii="仿宋" w:eastAsia="仿宋" w:hAnsi="仿宋" w:cs="仿宋" w:hint="eastAsia"/>
          <w:color w:val="auto"/>
          <w:highlight w:val="none"/>
        </w:rPr>
        <w:t xml:space="preserve">条，二级指标六条，三级指标十一条，其中量化指标</w:t>
      </w:r>
      <w:r>
        <w:rPr>
          <w:rFonts w:ascii="仿宋" w:eastAsia="仿宋" w:hAnsi="仿宋" w:cs="仿宋" w:hint="eastAsia"/>
          <w:color w:val="auto"/>
          <w:highlight w:val="none"/>
          <w:lang w:val="en-US" w:eastAsia="zh-CN"/>
        </w:rPr>
        <w:t xml:space="preserve">十</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年初</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全年预算数834万元，际到位资金834万元，</w:t>
      </w:r>
      <w:r>
        <w:rPr>
          <w:rFonts w:ascii="仿宋" w:eastAsia="仿宋" w:hAnsi="仿宋" w:cs="仿宋" w:hint="eastAsia"/>
          <w:color w:val="auto"/>
          <w:highlight w:val="none"/>
        </w:rPr>
        <w:t xml:space="preserve">来源为</w:t>
      </w:r>
      <w:r>
        <w:rPr>
          <w:rFonts w:ascii="仿宋" w:eastAsia="仿宋" w:hAnsi="仿宋" w:cs="仿宋" w:hint="eastAsia"/>
          <w:b w:val="0"/>
          <w:color w:val="auto"/>
          <w:kern w:val="2"/>
          <w:sz w:val="32"/>
          <w:szCs w:val="22"/>
          <w:highlight w:val="none"/>
          <w:lang w:val="en-US" w:eastAsia="zh-CN" w:bidi="ar-SA"/>
        </w:rPr>
        <w:t xml:space="preserve">中央专项资金647万元、自治区专项资金187万元</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预算编制较为科学，预算内容与</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6" w:name="_Toc11290"/>
      <w:r>
        <w:rPr>
          <w:rFonts w:ascii="仿宋" w:eastAsia="仿宋" w:hAnsi="仿宋" w:cs="仿宋" w:hint="eastAsia"/>
          <w:color w:val="auto"/>
          <w:highlight w:val="none"/>
        </w:rPr>
        <w:t xml:space="preserve">（二）项目过程情况</w:t>
      </w:r>
      <w:bookmarkEnd w:id="26"/>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年初</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全年预算数834万元，</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全年预算</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中华人民共和国会计法》等国家有关财经法规以及预算管理制度；符合《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lang w:val="en-US" w:eastAsia="zh-CN"/>
        </w:rPr>
        <w:t xml:space="preserve">专项资金管理办法》要求。资金的审批和拨付按照《</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val="en-US" w:eastAsia="zh-CN"/>
        </w:rPr>
        <w:t xml:space="preserve">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val="en-US" w:eastAsia="zh-CN"/>
        </w:rPr>
        <w:t xml:space="preserve">尉犁县社会保险中心</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财务管理办法》和</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7"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7"/>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缴费补贴人数，指标值</w:t>
      </w:r>
      <w:r>
        <w:rPr>
          <w:rFonts w:ascii="仿宋" w:eastAsia="仿宋" w:hAnsi="仿宋" w:cs="仿宋" w:hint="eastAsia"/>
          <w:color w:val="auto"/>
          <w:highlight w:val="none"/>
          <w:lang w:val="en-US" w:eastAsia="zh-CN"/>
        </w:rPr>
        <w:t xml:space="preserve">大于或等于17000人</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15633人</w:t>
      </w:r>
      <w:r>
        <w:rPr>
          <w:rFonts w:ascii="仿宋" w:eastAsia="仿宋" w:hAnsi="仿宋" w:cs="仿宋" w:hint="eastAsia"/>
          <w:color w:val="auto"/>
          <w:highlight w:val="none"/>
        </w:rPr>
        <w:t xml:space="preserve">，指标完成率</w:t>
      </w:r>
      <w:r>
        <w:rPr>
          <w:rFonts w:ascii="仿宋" w:eastAsia="仿宋" w:hAnsi="仿宋" w:cs="仿宋" w:hint="eastAsia"/>
          <w:color w:val="auto"/>
          <w:highlight w:val="none"/>
          <w:lang w:val="en-US" w:eastAsia="zh-CN"/>
        </w:rPr>
        <w:t xml:space="preserve">91.96</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指标2：</w:t>
      </w:r>
      <w:r>
        <w:rPr>
          <w:rFonts w:ascii="仿宋" w:eastAsia="仿宋" w:hAnsi="仿宋" w:cs="仿宋" w:hint="eastAsia"/>
          <w:color w:val="auto"/>
          <w:highlight w:val="none"/>
        </w:rPr>
        <w:t xml:space="preserve">领取待遇保障人数，指标值</w:t>
      </w:r>
      <w:r>
        <w:rPr>
          <w:rFonts w:ascii="仿宋" w:eastAsia="仿宋" w:hAnsi="仿宋" w:cs="仿宋" w:hint="eastAsia"/>
          <w:color w:val="auto"/>
          <w:highlight w:val="none"/>
          <w:lang w:val="en-US" w:eastAsia="zh-CN"/>
        </w:rPr>
        <w:t xml:space="preserve">大于或等于4781人</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5297人</w:t>
      </w:r>
      <w:r>
        <w:rPr>
          <w:rFonts w:ascii="仿宋" w:eastAsia="仿宋" w:hAnsi="仿宋" w:cs="仿宋" w:hint="eastAsia"/>
          <w:color w:val="auto"/>
          <w:highlight w:val="none"/>
        </w:rPr>
        <w:t xml:space="preserve">，指标完成率</w:t>
      </w:r>
      <w:r>
        <w:rPr>
          <w:rFonts w:ascii="仿宋" w:eastAsia="仿宋" w:hAnsi="仿宋" w:cs="仿宋" w:hint="eastAsia"/>
          <w:color w:val="auto"/>
          <w:highlight w:val="none"/>
          <w:lang w:val="en-US" w:eastAsia="zh-CN"/>
        </w:rPr>
        <w:t xml:space="preserve">110.79</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1</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符合条件的城乡老年居民足额发放率，指标值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2</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缴费补贴到位率，指标值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3</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基础养老金年发放次数，指标值</w:t>
      </w:r>
      <w:r>
        <w:rPr>
          <w:rFonts w:ascii="仿宋" w:eastAsia="仿宋" w:hAnsi="仿宋" w:cs="仿宋" w:hint="eastAsia"/>
          <w:color w:val="auto"/>
          <w:highlight w:val="none"/>
          <w:lang w:val="en-US" w:eastAsia="zh-CN"/>
        </w:rPr>
        <w:t xml:space="preserve">12次</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12次</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4</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基础养老金发放准确率，指标值100%，指标完成值100%，指标完成率100%；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符合条件的城乡老年居民按时发放率，指标值100%，指标完成值100.0%，指标完成率100%。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指标1：缴费补助成本，指标值小于或等于53万元，指标完成值53万元，指标完成率100%</w:t>
      </w:r>
    </w:p>
    <w:p>
      <w:pPr>
        <w:pStyle w:val="Heading3"/>
        <w:rPr>
          <w:rFonts w:ascii="仿宋" w:eastAsia="仿宋" w:hAnsi="仿宋" w:cs="仿宋" w:hint="eastAsia"/>
          <w:color w:val="auto"/>
          <w:highlight w:val="none"/>
          <w:lang w:val="en-US" w:eastAsia="zh-CN"/>
        </w:rPr>
      </w:pPr>
      <w:r>
        <w:rPr>
          <w:rFonts w:ascii="仿宋" w:eastAsia="仿宋" w:hAnsi="仿宋" w:cs="仿宋" w:hint="eastAsia"/>
          <w:b w:val="0"/>
          <w:color w:val="auto"/>
          <w:kern w:val="2"/>
          <w:sz w:val="32"/>
          <w:szCs w:val="22"/>
          <w:highlight w:val="none"/>
          <w:lang w:val="en-US" w:eastAsia="zh-CN" w:bidi="ar-SA"/>
        </w:rPr>
        <w:t xml:space="preserve">指标</w:t>
      </w:r>
      <w:r>
        <w:rPr>
          <w:rFonts w:ascii="仿宋" w:eastAsia="仿宋" w:hAnsi="仿宋" w:cs="仿宋" w:hint="eastAsia"/>
          <w:b w:val="0"/>
          <w:color w:val="auto"/>
          <w:kern w:val="2"/>
          <w:sz w:val="32"/>
          <w:szCs w:val="22"/>
          <w:highlight w:val="none"/>
          <w:lang w:val="en-US" w:eastAsia="zh-CN" w:bidi="ar-SA"/>
        </w:rPr>
        <w:t xml:space="preserve">2</w:t>
      </w:r>
      <w:r>
        <w:rPr>
          <w:rFonts w:ascii="仿宋" w:eastAsia="仿宋" w:hAnsi="仿宋" w:cs="仿宋" w:hint="eastAsia"/>
          <w:b w:val="0"/>
          <w:color w:val="auto"/>
          <w:kern w:val="2"/>
          <w:sz w:val="32"/>
          <w:szCs w:val="22"/>
          <w:highlight w:val="none"/>
          <w:lang w:val="en-US" w:eastAsia="zh-CN" w:bidi="ar-SA"/>
        </w:rPr>
        <w:t xml:space="preserve">：基础养老金补助成本，指标值小于或等于</w:t>
      </w:r>
      <w:r>
        <w:rPr>
          <w:rFonts w:ascii="仿宋" w:eastAsia="仿宋" w:hAnsi="仿宋" w:cs="仿宋" w:hint="eastAsia"/>
          <w:b w:val="0"/>
          <w:color w:val="auto"/>
          <w:kern w:val="2"/>
          <w:sz w:val="32"/>
          <w:szCs w:val="22"/>
          <w:highlight w:val="none"/>
          <w:lang w:val="en-US" w:eastAsia="zh-CN" w:bidi="ar-SA"/>
        </w:rPr>
        <w:t xml:space="preserve">781</w:t>
      </w:r>
      <w:r>
        <w:rPr>
          <w:rFonts w:ascii="仿宋" w:eastAsia="仿宋" w:hAnsi="仿宋" w:cs="仿宋" w:hint="eastAsia"/>
          <w:b w:val="0"/>
          <w:color w:val="auto"/>
          <w:kern w:val="2"/>
          <w:sz w:val="32"/>
          <w:szCs w:val="22"/>
          <w:highlight w:val="none"/>
          <w:lang w:val="en-US" w:eastAsia="zh-CN" w:bidi="ar-SA"/>
        </w:rPr>
        <w:t xml:space="preserve">万元，指标完成值</w:t>
      </w:r>
      <w:r>
        <w:rPr>
          <w:rFonts w:ascii="仿宋" w:eastAsia="仿宋" w:hAnsi="仿宋" w:cs="仿宋" w:hint="eastAsia"/>
          <w:b w:val="0"/>
          <w:color w:val="auto"/>
          <w:kern w:val="2"/>
          <w:sz w:val="32"/>
          <w:szCs w:val="22"/>
          <w:highlight w:val="none"/>
          <w:lang w:val="en-US" w:eastAsia="zh-CN" w:bidi="ar-SA"/>
        </w:rPr>
        <w:t xml:space="preserve">781</w:t>
      </w:r>
      <w:r>
        <w:rPr>
          <w:rFonts w:ascii="仿宋" w:eastAsia="仿宋" w:hAnsi="仿宋" w:cs="仿宋" w:hint="eastAsia"/>
          <w:b w:val="0"/>
          <w:color w:val="auto"/>
          <w:kern w:val="2"/>
          <w:sz w:val="32"/>
          <w:szCs w:val="22"/>
          <w:highlight w:val="none"/>
          <w:lang w:val="en-US" w:eastAsia="zh-CN" w:bidi="ar-SA"/>
        </w:rPr>
        <w:t xml:space="preserve">万元，指标完成率100%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bookmarkStart w:id="28" w:name="_Toc28354"/>
      <w:r>
        <w:rPr>
          <w:rFonts w:ascii="仿宋" w:eastAsia="仿宋" w:hAnsi="仿宋" w:cs="仿宋" w:hint="eastAsia"/>
          <w:color w:val="auto"/>
          <w:highlight w:val="none"/>
        </w:rPr>
        <w:t xml:space="preserve">（四）项目效益情况</w:t>
      </w:r>
      <w:bookmarkEnd w:id="2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城乡居民基本养老保险制度长期可持续</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领取待遇人员</w:t>
      </w:r>
      <w:r>
        <w:rPr>
          <w:rFonts w:ascii="仿宋" w:eastAsia="仿宋" w:hAnsi="仿宋" w:cs="仿宋" w:hint="eastAsia"/>
          <w:color w:val="auto"/>
          <w:highlight w:val="none"/>
        </w:rPr>
        <w:t xml:space="preserve">，通过问卷调查方式收集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对本项目实施的满意度。服务群众满意度</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w:t>
      </w:r>
    </w:p>
    <w:p>
      <w:pPr>
        <w:pStyle w:val="Heading2"/>
        <w:bidi w:val="0"/>
        <w:rPr>
          <w:rFonts w:ascii="仿宋" w:eastAsia="仿宋" w:hAnsi="仿宋" w:cs="仿宋" w:hint="eastAsia"/>
          <w:color w:val="auto"/>
          <w:highlight w:val="none"/>
        </w:rPr>
      </w:pPr>
      <w:bookmarkStart w:id="29" w:name="_Toc27244"/>
      <w:r>
        <w:rPr>
          <w:rFonts w:ascii="仿宋" w:eastAsia="仿宋" w:hAnsi="仿宋" w:cs="仿宋" w:hint="eastAsia"/>
          <w:color w:val="auto"/>
          <w:highlight w:val="none"/>
        </w:rPr>
        <w:t xml:space="preserve">五、主要经验及做法、存在的问题及原因分析</w:t>
      </w:r>
      <w:bookmarkEnd w:id="29"/>
    </w:p>
    <w:p>
      <w:pPr>
        <w:pStyle w:val="Heading3"/>
        <w:bidi w:val="0"/>
        <w:rPr>
          <w:rFonts w:ascii="仿宋" w:eastAsia="仿宋" w:hAnsi="仿宋" w:cs="仿宋" w:hint="eastAsia"/>
          <w:color w:val="auto"/>
          <w:highlight w:val="none"/>
        </w:rPr>
      </w:pPr>
      <w:bookmarkStart w:id="30" w:name="_Toc18880"/>
      <w:r>
        <w:rPr>
          <w:rFonts w:ascii="仿宋" w:eastAsia="仿宋" w:hAnsi="仿宋" w:cs="仿宋" w:hint="eastAsia"/>
          <w:color w:val="auto"/>
          <w:highlight w:val="none"/>
        </w:rPr>
        <w:t xml:space="preserve">（一）主要经验及做法</w:t>
      </w:r>
      <w:bookmarkEnd w:id="30"/>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深入调研，精准定位需求 </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今年以来，尉犁县社会保险中心积极响应上级号召，深入各乡镇村落开展细致的调研摸底工作。工作人员通过实地走访、问卷调查、与居民面对面交流等形式，全面了解城乡居民对养老保险的认知程度、参保意愿以及在参保过程中遇到的困难和问题 。在调研中发现，部分居民对养老保险政策了解不足，存在误解；一些经济困难家庭虽有参保意愿，但因缴费压力而犹豫不决。基于这些调研结果，为后续政策的制定和宣传工作提供了有力依据，确保各项措施能够精准对接居民需求。 </w:t>
      </w:r>
    </w:p>
    <w:p>
      <w:pPr>
        <w:ind w:left="0" w:firstLine="640" w:leftChars="0" w:firstLineChars="20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广泛宣传，提高政策知晓率</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多渠道宣传：利用线上线下相结合的方式，全方位宣传城乡居民养老保险补助政策。线上通过政府官网、微信公众号、短视频平台等发布政策解读文章、动画视频，以通俗易懂的形式向居民介绍政策内容、补助标准、参保流程等信息。线下组织工作人员深入社区、乡村，通过举办政策宣讲会、发放宣传手册、设立咨询点等方式，面对面向居民讲解政策，解答疑问。</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针对性宣传：针对不同群体的特点和需求，开展有针对性的宣传。例如，针对老年群体，采用上门宣传的方式，耐心讲解政策，帮助他们理解养老保险的重要性；针对外出务工人员，通过电话、短信等方式进行宣传，确保他们及时了解家乡的养老保险政策。</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典型案例宣传：收集和整理参保居民受益的典型案例，通过社区宣传栏、媒体报道等形式进行宣传，让居民切实感受到养老保险补助政策带来的实惠，激发他们的参保积极性。如尉犁镇孔雀社区干部在宣传中，通过分享社区中领取养老金老年人生活的事例，让居民深刻认识到参加养老保险的重要性 。</w:t>
      </w:r>
    </w:p>
    <w:p>
      <w:pPr>
        <w:pStyle w:val="Heading3"/>
        <w:bidi w:val="0"/>
        <w:rPr>
          <w:rFonts w:ascii="仿宋" w:eastAsia="仿宋" w:hAnsi="仿宋" w:cs="仿宋" w:hint="eastAsia"/>
          <w:color w:val="auto"/>
          <w:highlight w:val="none"/>
        </w:rPr>
      </w:pPr>
      <w:bookmarkStart w:id="31" w:name="_Toc9914"/>
      <w:r>
        <w:rPr>
          <w:rFonts w:ascii="仿宋" w:eastAsia="仿宋" w:hAnsi="仿宋" w:cs="仿宋" w:hint="eastAsia"/>
          <w:color w:val="auto"/>
          <w:highlight w:val="none"/>
        </w:rPr>
        <w:t xml:space="preserve">（二）存在问题及原因分析</w:t>
      </w:r>
      <w:bookmarkEnd w:id="31"/>
    </w:p>
    <w:p>
      <w:pPr>
        <w:rPr>
          <w:rFonts w:ascii="仿宋" w:eastAsia="仿宋" w:hAnsi="仿宋" w:cs="仿宋" w:hint="eastAsia"/>
          <w:color w:val="auto"/>
          <w:highlight w:val="none"/>
        </w:rPr>
      </w:pPr>
      <w:bookmarkStart w:id="32" w:name="_Toc2334"/>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政策宣传与居民认知</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存在问题：部分居民对城乡居民基本养老保险补助项目的政策细节了解不深入，仅停留在知晓表面，对于缴费档次提升的优势、补助资金的具体计算方式以及养老金待遇的构成等关键信息模糊不清。在宣传过程中，虽然采用了多种渠道，但不同年龄段和文化程度的居民接受程度差异大，老年群体和文化水平较低者对线上宣传内容理解困难，线下宣传的覆盖面和精准度仍有待提高。</w:t>
      </w:r>
    </w:p>
    <w:p>
      <w:pPr>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bCs w:val="0"/>
          <w:iCs w:val="0"/>
          <w:color w:val="auto"/>
          <w:kern w:val="2"/>
          <w:sz w:val="32"/>
          <w:szCs w:val="22"/>
          <w:highlight w:val="none"/>
          <w:lang w:val="en-US" w:eastAsia="zh-CN" w:bidi="ar-SA"/>
        </w:rPr>
        <w:t xml:space="preserve">原因分析：宣传内容在语言表达和呈现形式上，未能充分考虑不同群体的理解能力和接受习惯。线上宣传侧重于文字和视频，对于老年群体而言，阅读文字和观看视频存在一定障碍；线下宣传活动虽然深入社区乡村，但在宣传时间、地点的选择上不够合理，未能充分覆盖到所有潜在参保人群。此外，宣传工作缺乏系统性和持续性，阶段性宣传活动结束后，后续跟进和强化宣传不足，导致居民对政策的遗忘和误解。</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参保缴费与补助落实</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存在问题：部分居民存在缴费不及时、断缴现象，尤其是外出务工人员，由于工作流动性大、对缴费时间和方式关注度不够，导致错过缴费时间。在集体补助和个人资助方面，虽然政策已经推行，但部分集体经济组织和个人参与积极性不高，集体补助资金筹集困难，个人资助的相关配套机制不够完善。 </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原因分析：一方面，居民的参保意识和养老规划意识不足，对养老保险的重要性和长远利益认识不够深刻，缺乏主动缴费的积极性。另一方面，缴费服务在便利性和提醒机制上存在缺陷，线上缴费平台的操作对于部分居民来说较为复杂，线下缴费网点的分布不够广泛，且缺乏有效的缴费提醒服务。此外，对于集体补助和个人资助的激励措施不够有力，政策解读和引导工作不到位，导致相关主体对参与补助存在顾虑和疑惑。</w:t>
      </w:r>
    </w:p>
    <w:p>
      <w:pPr>
        <w:pStyle w:val="Heading2"/>
        <w:numPr>
          <w:ilvl w:val="0"/>
          <w:numId w:val="0"/>
        </w:numPr>
        <w:bidi w:val="0"/>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六、有关建议</w:t>
      </w:r>
      <w:bookmarkEnd w:id="32"/>
    </w:p>
    <w:p>
      <w:pPr>
        <w:rPr>
          <w:rFonts w:ascii="仿宋" w:eastAsia="仿宋" w:hAnsi="仿宋" w:cs="仿宋" w:hint="eastAsia"/>
          <w:color w:val="auto"/>
          <w:highlight w:val="none"/>
        </w:rPr>
      </w:pPr>
      <w:bookmarkStart w:id="33" w:name="_Toc30571"/>
      <w:r>
        <w:rPr>
          <w:rFonts w:ascii="仿宋" w:eastAsia="仿宋" w:hAnsi="仿宋" w:cs="仿宋" w:hint="eastAsia"/>
          <w:color w:val="auto"/>
          <w:highlight w:val="none"/>
        </w:rPr>
        <w:t xml:space="preserve">1. 加强资金管理与监督：建立资金定期审计机制，除常规年度审计外，每季度开展内部自查，重点审查资金收支明细、补助发放记录等，确保资金安全、合规使用。同时，设立群众监督举报渠道，如开通热线电话、设立网络举报平台，对违规操作及时查处并公示结果。</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2. 优化绩效指标设定与评估：根据尉犁县实际人口结构、经济发展趋势等因素，科学合理地设定参保人数、缴费人数等绩效目标。在评估时，充分考虑人口自然变动、政策调整等客观因素对指标完成情况的影响，使评估结果更客观、准确地反映项目实施成效。</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3. 提升政策宣传效果：创新宣传形式，利用短视频平台制作生动有趣的政策解读视频，以动画、案例故事等形式，详细介绍补助标准、参保流程等内容。针对不同群体开展精准宣传，对老年群体，组织工作人员上门讲解；对中青年群体，通过社交媒体、社区活动等方式进行宣传，提高政策知晓率和群众参保积极性。</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4. 完善基层服务平台建设：加大对基层服务平台的投入，为村（社区）配备专业、稳定的经办人员，定期组织业务培训，提升其政策理解和业务操作能力。同时，完善城居保信息系统，确保办公设备齐全、网络畅通，实现居民参保缴费、待遇资格认证、查询等业务的便捷办理。</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5. 增强制度可持续性：密切关注尉犁县经济发展、物价水平、人口老龄化进程等因素，建立城乡居民养老保险补助标准动态调整机制。根据实际情况，适时调整缴费档次和补贴标准，确保制度长期可持续运行，保障居民养老权益。</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3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无其他需要说明的问题。</w:t>
      </w:r>
    </w:p>
    <w:p>
      <w:pPr>
        <w:pStyle w:val="Heading2"/>
        <w:bidi w:val="0"/>
        <w:rPr>
          <w:rFonts w:ascii="仿宋" w:eastAsia="仿宋" w:hAnsi="仿宋" w:cs="仿宋" w:hint="eastAsia"/>
          <w:color w:val="auto"/>
          <w:highlight w:val="none"/>
        </w:rPr>
      </w:pPr>
      <w:bookmarkStart w:id="34" w:name="_Toc10180"/>
      <w:r>
        <w:rPr>
          <w:rFonts w:ascii="仿宋" w:eastAsia="仿宋" w:hAnsi="仿宋" w:cs="仿宋" w:hint="eastAsia"/>
          <w:color w:val="auto"/>
          <w:highlight w:val="none"/>
        </w:rPr>
        <w:t xml:space="preserve">八、相关附件</w:t>
      </w:r>
      <w:bookmarkEnd w:id="3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35" w:name="_Toc6652"/>
      <w:bookmarkStart w:id="36" w:name="_Toc12781"/>
      <w:bookmarkStart w:id="37" w:name="_Toc18004"/>
      <w:r>
        <w:rPr>
          <w:rFonts w:ascii="仿宋" w:eastAsia="仿宋" w:hAnsi="仿宋" w:cs="仿宋" w:hint="eastAsia"/>
          <w:color w:val="auto"/>
          <w:highlight w:val="none"/>
        </w:rPr>
        <w:t xml:space="preserve">附件1：项目支出绩效自评表</w:t>
      </w:r>
      <w:bookmarkEnd w:id="35"/>
      <w:bookmarkEnd w:id="36"/>
      <w:bookmarkEnd w:id="37"/>
    </w:p>
    <w:tbl>
      <w:tblPr>
        <w:tblStyle w:val="NormalTable"/>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Look w:firstRow="0" w:lastRow="0" w:firstColumn="0" w:lastColumn="0" w:noHBand="1" w:noVBand="1"/>
      </w:tblPr>
      <w:tblGrid>
        <w:gridCol w:w="480"/>
        <w:gridCol w:w="485"/>
        <w:gridCol w:w="484"/>
        <w:gridCol w:w="1338"/>
        <w:gridCol w:w="1069"/>
        <w:gridCol w:w="484"/>
        <w:gridCol w:w="492"/>
        <w:gridCol w:w="484"/>
        <w:gridCol w:w="499"/>
        <w:gridCol w:w="484"/>
        <w:gridCol w:w="485"/>
        <w:gridCol w:w="556"/>
        <w:gridCol w:w="487"/>
        <w:gridCol w:w="839"/>
      </w:tblGrid>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bidi w:val="0"/>
              <w:rPr>
                <w:rFonts w:ascii="仿宋" w:eastAsia="仿宋" w:hAnsi="仿宋" w:cs="仿宋" w:hint="eastAsia"/>
                <w:color w:val="auto"/>
                <w:sz w:val="15"/>
                <w:szCs w:val="15"/>
                <w:highlight w:val="none"/>
              </w:rPr>
            </w:pPr>
            <w:bookmarkStart w:id="38" w:name="_Toc5134"/>
            <w:bookmarkStart w:id="39" w:name="_Toc28099"/>
            <w:bookmarkStart w:id="40" w:name="_Toc1641"/>
            <w:r>
              <w:rPr>
                <w:rFonts w:ascii="仿宋" w:eastAsia="仿宋" w:hAnsi="仿宋" w:cs="仿宋" w:hint="eastAsia"/>
                <w:b/>
                <w:bCs/>
                <w:color w:val="auto"/>
                <w:sz w:val="32"/>
                <w:szCs w:val="32"/>
                <w:highlight w:val="none"/>
                <w:lang w:val="en-US" w:eastAsia="zh-CN"/>
              </w:rPr>
              <w:t xml:space="preserve">项目支出绩效自评表</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(2024年度)</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70"/>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项目名称</w:t>
            </w:r>
          </w:p>
        </w:tc>
        <w:tc>
          <w:tcPr>
            <w:tcW w:w="4442" w:type="pct"/>
            <w:gridSpan w:val="1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2024年尉犁县城乡居民基本养老保险补助</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主管部门</w:t>
            </w:r>
          </w:p>
        </w:tc>
        <w:tc>
          <w:tcPr>
            <w:tcW w:w="2231"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尉犁县社会保险中心</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实施单位</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尉犁县社会保险中心</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96"/>
        </w:trPr>
        <w:tc>
          <w:tcPr>
            <w:tcW w:w="557"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项目资金</w:t>
            </w:r>
            <w:r>
              <w:rPr>
                <w:rFonts w:ascii="仿宋" w:eastAsia="仿宋" w:hAnsi="仿宋" w:cs="仿宋" w:hint="eastAsia"/>
                <w:color w:val="auto"/>
                <w:sz w:val="15"/>
                <w:szCs w:val="15"/>
                <w:highlight w:val="none"/>
                <w:lang w:val="en-US" w:eastAsia="zh-CN"/>
              </w:rPr>
              <w:br/>
            </w:r>
            <w:r>
              <w:rPr>
                <w:rFonts w:ascii="仿宋" w:eastAsia="仿宋" w:hAnsi="仿宋" w:cs="仿宋" w:hint="eastAsia"/>
                <w:color w:val="auto"/>
                <w:sz w:val="15"/>
                <w:szCs w:val="15"/>
                <w:highlight w:val="none"/>
                <w:lang w:val="en-US" w:eastAsia="zh-CN"/>
              </w:rPr>
              <w:t xml:space="preserve">（万元）</w:t>
            </w: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资金来源</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年初预算数</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全年预算数</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全年执行数</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分值权重</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执行率</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得分</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95"/>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年度资金总额</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700.00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834.00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834.00</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100.00%</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10.00分</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50"/>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其中：当年财政拨款</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84"/>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其他资金</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年度总体目标</w:t>
            </w: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总体目标完成情况</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12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保障老年参保居民的基本生活，实现“老有所养”，不断提高城乡参保居民的获得感、幸福感和安全感。</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截至2024年底，中央及自治区财政下达我县2024年城乡居民基本养老保险补助834万元已拨付到位，确保了城乡参保缴费居民能够100%及时足额享受缴费补贴，到龄符合待遇领取人员的城乡参保居民能够100%及时足额领取到城乡居民养老保险待遇。保障老年参保居民的基本生活，有效提高了城乡参保居民的获得感、幸福感和安全感。</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720"/>
        </w:trPr>
        <w:tc>
          <w:tcPr>
            <w:tcW w:w="27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一级指标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二级指标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三级指标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指标值设置依据</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上年完成值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指标分值权重</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指标赋分规则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佐证资料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指标实际完成值</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完成率</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指标得分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偏差原因分析及改进措施</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年度绩效指标完成情况</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产出指标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缴费补贴人数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&gt;=17000人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=15633人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91.96%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7.99</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原因是预算人数小于实际人数，措施：提高预算编制准确率。</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领取待遇保障人数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&gt;=4781人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=5297人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110.79%</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rPr>
            </w:pPr>
            <w:r>
              <w:rPr>
                <w:rFonts w:ascii="仿宋" w:eastAsia="仿宋" w:hAnsi="仿宋" w:cs="仿宋" w:hint="eastAsia"/>
                <w:color w:val="auto"/>
                <w:sz w:val="15"/>
                <w:szCs w:val="15"/>
                <w:highlight w:val="none"/>
                <w:lang w:val="en-US" w:eastAsia="zh-CN"/>
              </w:rPr>
              <w:t xml:space="preserve">7.14</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原因是预算人数小于实际人数，措施：提高预算编制准确率。</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符合条件的城乡老年居民足额发放率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缴费补贴到位率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基础养老金年发放次数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=12次</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按评判等级赋分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=12次</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基础养老金发放准确率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105.26%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7.58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年初设置预期指标值较低，全年按照工作要求及时完成补助资金的发放。</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时效指标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符合条件的城乡老年居民按时发放率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成本指标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&lt;=53万元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=53万元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&lt;=781万元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=781万元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效益指标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社会效益指标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城乡居民基本养老保险制度长期可持续</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长期</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按评判等级赋分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达成目标</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领取待遇人员满意度</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=95%</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500"/>
        </w:trPr>
        <w:tc>
          <w:tcPr>
            <w:tcW w:w="1608" w:type="pct"/>
            <w:gridSpan w:val="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总分</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96.71分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bl>
    <w:p>
      <w:pPr>
        <w:ind w:firstLine="600"/>
        <w:rPr>
          <w:rFonts w:ascii="仿宋" w:eastAsia="仿宋" w:hAnsi="仿宋" w:cs="仿宋" w:hint="eastAsia"/>
          <w:color w:val="auto"/>
          <w:sz w:val="30"/>
          <w:szCs w:val="30"/>
          <w:highlight w:val="none"/>
        </w:rPr>
      </w:pPr>
      <w:r>
        <w:br w:type="page"/>
      </w:r>
    </w:p>
    <w:p>
      <w:pPr>
        <w:pStyle w:val="Heading2"/>
        <w:bidi w:val="0"/>
        <w:rPr>
          <w:rFonts w:ascii="仿宋" w:eastAsia="仿宋" w:hAnsi="仿宋" w:cs="仿宋" w:hint="eastAsia"/>
          <w:color w:val="auto"/>
          <w:highlight w:val="none"/>
        </w:rPr>
      </w:pPr>
      <w:bookmarkStart w:id="41"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38"/>
      <w:bookmarkEnd w:id="39"/>
      <w:bookmarkEnd w:id="40"/>
      <w:bookmarkEnd w:id="41"/>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92"/>
        <w:gridCol w:w="767"/>
        <w:gridCol w:w="911"/>
        <w:gridCol w:w="1674"/>
        <w:gridCol w:w="3399"/>
        <w:gridCol w:w="530"/>
        <w:gridCol w:w="530"/>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w:t>
            </w:r>
            <w:r>
              <w:rPr>
                <w:rFonts w:ascii="仿宋" w:eastAsia="仿宋" w:hAnsi="仿宋" w:cs="仿宋" w:hint="eastAsia"/>
                <w:color w:val="auto"/>
                <w:sz w:val="18"/>
                <w:szCs w:val="18"/>
                <w:highlight w:val="none"/>
              </w:rPr>
              <w:t xml:space="preserve">补助</w:t>
            </w:r>
            <w:r>
              <w:rPr>
                <w:rFonts w:ascii="仿宋" w:eastAsia="仿宋" w:hAnsi="仿宋" w:cs="仿宋" w:hint="eastAsia"/>
                <w:color w:val="auto"/>
                <w:sz w:val="18"/>
                <w:szCs w:val="18"/>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bookmarkEnd w:id="0"/>
          </w:p>
        </w:tc>
      </w:tr>
    </w:tbl>
    <w:p>
      <w:pPr>
        <w:ind w:firstLine="640"/>
        <w:rPr>
          <w:rFonts w:ascii="仿宋" w:eastAsia="仿宋" w:hAnsi="仿宋" w:cs="仿宋" w:hint="eastAsia"/>
          <w:color w:val="auto"/>
          <w:highlight w:val="none"/>
        </w:rPr>
      </w:pPr>
      <w:bookmarkEnd w:id="1"/>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428A9D85-E9CB-47AE-AF4E-A66BD577002B}"/>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6</TotalTime>
  <Pages>31</Pages>
  <Words>10630</Words>
  <Characters>11205</Characters>
  <Application>WPS Office_11.8.2.9022_F1E327BC-269C-435d-A152-05C5408002CA</Application>
  <DocSecurity>0</DocSecurity>
  <Lines>98</Lines>
  <Paragraphs>27</Paragraphs>
  <Company>Microsoft</Company>
  <CharactersWithSpaces>11245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2025-07-31T04:14:47Z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