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cx="http://schemas.microsoft.com/office/drawing/2014/chartex">
  <w:body>
    <w:p>
      <w:pPr/>
      <w:r/>
    </w:p>
    <w:p>
      <w:pPr>
        <w:bidi w:val="0"/>
        <w:jc w:val="both"/>
        <w:rPr>
          <w:rFonts w:ascii="Times New Roman" w:eastAsia="宋体" w:hAnsi="Times New Roman" w:cs="Times New Roman" w:hint="default"/>
          <w:color w:val="auto"/>
          <w:highlight w:val="none"/>
        </w:rPr>
      </w:pPr>
      <w:bookmarkStart w:id="0" w:name="OLE_LINK5"/>
      <w:bookmarkStart w:id="1" w:name="_GoBack"/>
      <w:bookmarkEnd w:id="1"/>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bidi w:val="0"/>
        <w:ind w:firstLine="1320" w:firstLineChars="300"/>
        <w:rPr>
          <w:rFonts w:hint="default"/>
          <w:b/>
          <w:bCs/>
          <w:color w:val="auto"/>
          <w:sz w:val="44"/>
          <w:szCs w:val="44"/>
          <w:highlight w:val="none"/>
        </w:rPr>
      </w:pPr>
      <w:bookmarkStart w:id="2" w:name="_Toc24383"/>
      <w:bookmarkStart w:id="3" w:name="_Toc28201"/>
      <w:bookmarkStart w:id="4" w:name="_Toc24054"/>
      <w:r>
        <w:rPr>
          <w:rFonts w:hint="default"/>
          <w:b/>
          <w:bCs/>
          <w:color w:val="auto"/>
          <w:sz w:val="44"/>
          <w:szCs w:val="44"/>
          <w:highlight w:val="none"/>
        </w:rPr>
        <w:t xml:space="preserve">项目支出绩效评价报告</w:t>
      </w:r>
      <w:bookmarkEnd w:id="2"/>
      <w:bookmarkEnd w:id="3"/>
      <w:bookmarkEnd w:id="4"/>
    </w:p>
    <w:p>
      <w:pPr>
        <w:ind w:firstLine="883"/>
        <w:jc w:val="both"/>
        <w:rPr>
          <w:rFonts w:ascii="Times New Roman" w:eastAsia="宋体" w:hAnsi="Times New Roman" w:cs="Times New Roman" w:hint="default"/>
          <w:b/>
          <w:bCs/>
          <w:color w:val="auto"/>
          <w:sz w:val="44"/>
          <w:szCs w:val="44"/>
          <w:highlight w:val="none"/>
        </w:rPr>
      </w:pPr>
    </w:p>
    <w:p>
      <w:pPr>
        <w:bidi w:val="0"/>
        <w:jc w:val="both"/>
        <w:rPr>
          <w:rFonts w:ascii="Times New Roman" w:eastAsia="宋体" w:hAnsi="Times New Roman" w:cs="Times New Roman" w:hint="default"/>
          <w:color w:val="auto"/>
          <w:highlight w:val="none"/>
        </w:rPr>
      </w:pPr>
    </w:p>
    <w:p>
      <w:pPr>
        <w:bidi w:val="0"/>
        <w:ind w:left="0" w:firstLine="0" w:leftChars="0" w:firstLineChars="0"/>
        <w:jc w:val="center"/>
        <w:rPr>
          <w:rFonts w:ascii="Times New Roman" w:eastAsia="宋体" w:hAnsi="Times New Roman" w:cs="Times New Roman" w:hint="default"/>
          <w:color w:val="auto"/>
          <w:highlight w:val="none"/>
        </w:rPr>
      </w:pPr>
      <w:r>
        <w:rPr>
          <w:color w:val="auto"/>
          <w:sz w:val="28"/>
          <w:szCs w:val="28"/>
          <w:highlight w:val="none"/>
        </w:rPr>
        <w:t xml:space="preserve">（202</w:t>
      </w:r>
      <w:r>
        <w:rPr>
          <w:rFonts w:hint="eastAsia"/>
          <w:color w:val="auto"/>
          <w:sz w:val="28"/>
          <w:szCs w:val="28"/>
          <w:highlight w:val="none"/>
          <w:lang w:val="en-US" w:eastAsia="zh-CN"/>
        </w:rPr>
        <w:t xml:space="preserve">4</w:t>
      </w:r>
      <w:r>
        <w:rPr>
          <w:color w:val="auto"/>
          <w:sz w:val="28"/>
          <w:szCs w:val="28"/>
          <w:highlight w:val="none"/>
        </w:rPr>
        <w:t xml:space="preserve">年度）</w:t>
      </w: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b/>
          <w:bCs/>
          <w:color w:val="auto"/>
          <w:highlight w:val="none"/>
        </w:rPr>
      </w:pPr>
    </w:p>
    <w:p>
      <w:pPr>
        <w:bidi w:val="0"/>
        <w:ind w:left="640" w:firstLine="0" w:leftChars="200" w:firstLineChars="0"/>
        <w:jc w:val="both"/>
        <w:rPr>
          <w:rFonts w:ascii="仿宋_GB2312" w:hAnsi="仿宋_GB2312" w:cs="仿宋_GB2312" w:hint="eastAsia"/>
          <w:b w:val="0"/>
          <w:bCs w:val="0"/>
          <w:color w:val="auto"/>
          <w:highlight w:val="none"/>
          <w:lang w:val="en-US" w:eastAsia="zh-CN"/>
        </w:rPr>
      </w:pPr>
      <w:r>
        <w:rPr>
          <w:rFonts w:ascii="仿宋_GB2312" w:eastAsia="仿宋_GB2312" w:hAnsi="仿宋_GB2312" w:cs="仿宋_GB2312" w:hint="eastAsia"/>
          <w:b w:val="0"/>
          <w:bCs w:val="0"/>
          <w:color w:val="auto"/>
          <w:highlight w:val="none"/>
        </w:rPr>
        <w:t xml:space="preserve">项目名称：</w:t>
      </w:r>
      <w:r>
        <w:rPr>
          <w:rFonts w:ascii="Times New Roman" w:hAnsi="Times New Roman" w:cs="Times New Roman" w:hint="eastAsia"/>
          <w:color w:val="auto"/>
          <w:highlight w:val="none"/>
          <w:lang w:eastAsia="zh-CN"/>
        </w:rPr>
        <w:t xml:space="preserve">2024年中央医疗服务与保障能力提升（公立医院综合改革）补助</w:t>
      </w:r>
    </w:p>
    <w:p>
      <w:pPr>
        <w:bidi w:val="0"/>
        <w:jc w:val="both"/>
        <w:rPr>
          <w:rFonts w:ascii="仿宋_GB2312" w:hAnsi="仿宋_GB2312" w:cs="仿宋_GB2312" w:hint="eastAsia"/>
          <w:b w:val="0"/>
          <w:bCs w:val="0"/>
          <w:color w:val="auto"/>
          <w:highlight w:val="none"/>
          <w:lang w:val="en-US" w:eastAsia="zh-CN"/>
        </w:rPr>
      </w:pPr>
      <w:r>
        <w:rPr>
          <w:rFonts w:ascii="仿宋_GB2312" w:eastAsia="仿宋_GB2312" w:hAnsi="仿宋_GB2312" w:cs="仿宋_GB2312" w:hint="eastAsia"/>
          <w:b w:val="0"/>
          <w:bCs w:val="0"/>
          <w:color w:val="auto"/>
          <w:highlight w:val="none"/>
        </w:rPr>
        <w:t xml:space="preserve">实施单位（公章）：</w:t>
      </w:r>
      <w:r>
        <w:rPr>
          <w:rFonts w:ascii="仿宋_GB2312" w:hAnsi="仿宋_GB2312" w:cs="仿宋_GB2312" w:hint="eastAsia"/>
          <w:b w:val="0"/>
          <w:bCs w:val="0"/>
          <w:color w:val="auto"/>
          <w:highlight w:val="none"/>
          <w:lang w:val="en-US" w:eastAsia="zh-CN"/>
        </w:rPr>
        <w:t xml:space="preserve">尉犁县人民医院</w:t>
      </w:r>
    </w:p>
    <w:p>
      <w:pPr>
        <w:bidi w:val="0"/>
        <w:ind w:left="0" w:firstLine="640" w:leftChars="0" w:firstLineChars="200"/>
        <w:jc w:val="both"/>
        <w:rPr>
          <w:rFonts w:ascii="仿宋_GB2312" w:eastAsia="仿宋_GB2312" w:hAnsi="仿宋_GB2312" w:cs="仿宋_GB2312" w:hint="default"/>
          <w:b w:val="0"/>
          <w:bCs w:val="0"/>
          <w:color w:val="auto"/>
          <w:highlight w:val="none"/>
          <w:lang w:val="en-US" w:eastAsia="zh-CN"/>
        </w:rPr>
      </w:pPr>
      <w:r>
        <w:rPr>
          <w:rFonts w:ascii="仿宋_GB2312" w:eastAsia="仿宋_GB2312" w:hAnsi="仿宋_GB2312" w:cs="仿宋_GB2312" w:hint="eastAsia"/>
          <w:b w:val="0"/>
          <w:bCs w:val="0"/>
          <w:color w:val="auto"/>
          <w:highlight w:val="none"/>
        </w:rPr>
        <w:t xml:space="preserve">主管部门（公章）：</w:t>
      </w:r>
      <w:r>
        <w:rPr>
          <w:rFonts w:ascii="仿宋_GB2312" w:hAnsi="仿宋_GB2312" w:cs="仿宋_GB2312" w:hint="eastAsia"/>
          <w:b w:val="0"/>
          <w:bCs w:val="0"/>
          <w:color w:val="auto"/>
          <w:highlight w:val="none"/>
          <w:lang w:val="en-US" w:eastAsia="zh-CN"/>
        </w:rPr>
        <w:t xml:space="preserve">尉犁县卫生健康委员会</w:t>
      </w:r>
    </w:p>
    <w:p>
      <w:pPr>
        <w:bidi w:val="0"/>
        <w:jc w:val="both"/>
        <w:rPr>
          <w:rFonts w:ascii="仿宋_GB2312" w:eastAsia="仿宋_GB2312" w:hAnsi="仿宋_GB2312" w:cs="仿宋_GB2312" w:hint="eastAsia"/>
          <w:b w:val="0"/>
          <w:bCs w:val="0"/>
          <w:color w:val="auto"/>
          <w:highlight w:val="none"/>
          <w:lang w:val="en-US" w:eastAsia="zh-CN"/>
        </w:rPr>
      </w:pPr>
      <w:r>
        <w:rPr>
          <w:rFonts w:ascii="仿宋_GB2312" w:eastAsia="仿宋_GB2312" w:hAnsi="仿宋_GB2312" w:cs="仿宋_GB2312" w:hint="eastAsia"/>
          <w:b w:val="0"/>
          <w:bCs w:val="0"/>
          <w:color w:val="auto"/>
          <w:highlight w:val="none"/>
        </w:rPr>
        <w:t xml:space="preserve">项目负责人（签章）：</w:t>
      </w:r>
      <w:r>
        <w:rPr>
          <w:rFonts w:ascii="仿宋_GB2312" w:hAnsi="仿宋_GB2312" w:cs="仿宋_GB2312" w:hint="eastAsia"/>
          <w:b w:val="0"/>
          <w:bCs w:val="0"/>
          <w:color w:val="auto"/>
          <w:highlight w:val="none"/>
          <w:lang w:val="en-US" w:eastAsia="zh-CN"/>
        </w:rPr>
        <w:t xml:space="preserve">王超东</w:t>
      </w:r>
    </w:p>
    <w:p>
      <w:pPr>
        <w:bidi w:val="0"/>
        <w:jc w:val="both"/>
        <w:rPr>
          <w:rFonts w:ascii="仿宋_GB2312" w:eastAsia="仿宋_GB2312" w:hAnsi="仿宋_GB2312" w:cs="仿宋_GB2312" w:hint="eastAsia"/>
          <w:b w:val="0"/>
          <w:bCs w:val="0"/>
          <w:color w:val="auto"/>
          <w:highlight w:val="none"/>
        </w:rPr>
      </w:pPr>
      <w:r>
        <w:rPr>
          <w:rFonts w:ascii="仿宋_GB2312" w:eastAsia="仿宋_GB2312" w:hAnsi="仿宋_GB2312" w:cs="仿宋_GB2312" w:hint="eastAsia"/>
          <w:b w:val="0"/>
          <w:bCs w:val="0"/>
          <w:color w:val="auto"/>
          <w:highlight w:val="none"/>
        </w:rPr>
        <w:t xml:space="preserve">填报时间</w:t>
      </w:r>
      <w:r>
        <w:rPr>
          <w:rFonts w:ascii="仿宋_GB2312" w:hAnsi="仿宋_GB2312" w:cs="仿宋_GB2312" w:hint="eastAsia"/>
          <w:b w:val="0"/>
          <w:bCs w:val="0"/>
          <w:color w:val="auto"/>
          <w:highlight w:val="none"/>
          <w:lang w:eastAsia="zh-CN"/>
        </w:rPr>
        <w:t xml:space="preserve">：</w:t>
      </w:r>
      <w:r>
        <w:rPr>
          <w:rFonts w:ascii="仿宋_GB2312" w:hAnsi="仿宋_GB2312" w:cs="仿宋_GB2312" w:hint="eastAsia"/>
          <w:b w:val="0"/>
          <w:bCs w:val="0"/>
          <w:color w:val="auto"/>
          <w:highlight w:val="none"/>
          <w:lang w:val="en-US" w:eastAsia="zh-CN"/>
        </w:rPr>
        <w:t xml:space="preserve">2025</w:t>
      </w:r>
      <w:r>
        <w:rPr>
          <w:rFonts w:ascii="仿宋_GB2312" w:eastAsia="仿宋_GB2312" w:hAnsi="仿宋_GB2312" w:cs="仿宋_GB2312" w:hint="eastAsia"/>
          <w:b w:val="0"/>
          <w:bCs w:val="0"/>
          <w:color w:val="auto"/>
          <w:highlight w:val="none"/>
        </w:rPr>
        <w:t xml:space="preserve">年</w:t>
      </w:r>
      <w:r>
        <w:rPr>
          <w:rFonts w:ascii="仿宋_GB2312" w:hAnsi="仿宋_GB2312" w:cs="仿宋_GB2312" w:hint="eastAsia"/>
          <w:b w:val="0"/>
          <w:bCs w:val="0"/>
          <w:color w:val="auto"/>
          <w:highlight w:val="none"/>
          <w:lang w:val="en-US" w:eastAsia="zh-CN"/>
        </w:rPr>
        <w:t xml:space="preserve">3</w:t>
      </w:r>
      <w:r>
        <w:rPr>
          <w:rFonts w:ascii="仿宋_GB2312" w:eastAsia="仿宋_GB2312" w:hAnsi="仿宋_GB2312" w:cs="仿宋_GB2312" w:hint="eastAsia"/>
          <w:b w:val="0"/>
          <w:bCs w:val="0"/>
          <w:color w:val="auto"/>
          <w:highlight w:val="none"/>
        </w:rPr>
        <w:t xml:space="preserve">月</w:t>
      </w:r>
      <w:r>
        <w:rPr>
          <w:rFonts w:ascii="仿宋_GB2312" w:hAnsi="仿宋_GB2312" w:cs="仿宋_GB2312" w:hint="eastAsia"/>
          <w:b w:val="0"/>
          <w:bCs w:val="0"/>
          <w:color w:val="auto"/>
          <w:highlight w:val="none"/>
          <w:lang w:val="en-US" w:eastAsia="zh-CN"/>
        </w:rPr>
        <w:t xml:space="preserve">31</w:t>
      </w:r>
      <w:r>
        <w:rPr>
          <w:rFonts w:ascii="仿宋_GB2312" w:eastAsia="仿宋_GB2312" w:hAnsi="仿宋_GB2312" w:cs="仿宋_GB2312" w:hint="eastAsia"/>
          <w:b w:val="0"/>
          <w:bCs w:val="0"/>
          <w:color w:val="auto"/>
          <w:highlight w:val="none"/>
        </w:rPr>
        <w:t xml:space="preserve">日</w:t>
      </w:r>
    </w:p>
    <w:p>
      <w:pPr>
        <w:bidi w:val="0"/>
        <w:jc w:val="both"/>
        <w:rPr>
          <w:rFonts w:ascii="Times New Roman" w:eastAsia="宋体" w:hAnsi="Times New Roman" w:cs="Times New Roman" w:hint="default"/>
          <w:b w:val="0"/>
          <w:bCs w:val="0"/>
          <w:color w:val="auto"/>
          <w:highlight w:val="none"/>
        </w:rPr>
      </w:pPr>
    </w:p>
    <w:p>
      <w:pPr>
        <w:bidi w:val="0"/>
        <w:jc w:val="both"/>
        <w:rPr>
          <w:rFonts w:ascii="Times New Roman" w:eastAsia="宋体" w:hAnsi="Times New Roman" w:cs="Times New Roman" w:hint="default"/>
          <w:b w:val="0"/>
          <w:bCs w:val="0"/>
          <w:color w:val="auto"/>
          <w:highlight w:val="none"/>
        </w:rPr>
        <w:sectPr>
          <w:pgSz w:w="11906" w:h="16838" w:orient="portrait"/>
          <w:pgMar w:top="1440" w:right="1800" w:bottom="1440" w:left="1800" w:header="851" w:footer="992" w:gutter="0"/>
          <w:pgBorders/>
          <w:pgNumType w:start="1"/>
          <w:cols w:num="1" w:space="720">
            <w:col w:w="8306" w:space="720"/>
          </w:cols>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00" w:lineRule="exact"/>
        <w:ind w:left="0" w:firstLine="0" w:leftChars="0" w:firstLineChars="0"/>
        <w:jc w:val="center"/>
        <w:textAlignment w:val="auto"/>
        <w:outlineLvl w:val="0"/>
        <w:rPr>
          <w:rFonts w:ascii="Times New Roman" w:eastAsia="宋体" w:hAnsi="Times New Roman" w:cs="Times New Roman" w:hint="default"/>
          <w:b/>
          <w:bCs w:val="0"/>
          <w:iCs/>
          <w:color w:val="auto"/>
          <w:kern w:val="2"/>
          <w:sz w:val="32"/>
          <w:szCs w:val="21"/>
          <w:highlight w:val="none"/>
          <w:lang w:val="en-US" w:eastAsia="zh-CN" w:bidi="ar-SA"/>
        </w:rPr>
      </w:pPr>
      <w:bookmarkStart w:id="5" w:name="_Toc3111"/>
      <w:bookmarkStart w:id="6" w:name="_Toc5473"/>
      <w:bookmarkStart w:id="7" w:name="_Toc15542"/>
      <w:bookmarkStart w:id="8" w:name="_Toc14721"/>
      <w:bookmarkStart w:id="9" w:name="_Toc18707"/>
      <w:bookmarkStart w:id="10" w:name="_Toc1891"/>
      <w:bookmarkStart w:id="11" w:name="_Toc11827"/>
      <w:r>
        <w:rPr>
          <w:rFonts w:ascii="Times New Roman" w:eastAsia="宋体" w:hAnsi="Times New Roman" w:cs="Times New Roman" w:hint="default"/>
          <w:b/>
          <w:bCs w:val="0"/>
          <w:iCs/>
          <w:color w:val="auto"/>
          <w:kern w:val="2"/>
          <w:sz w:val="32"/>
          <w:szCs w:val="21"/>
          <w:highlight w:val="none"/>
          <w:lang w:val="en-US" w:eastAsia="zh-CN" w:bidi="ar-SA"/>
        </w:rPr>
        <w:t xml:space="preserve">目  录</w:t>
      </w:r>
      <w:bookmarkEnd w:id="5"/>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ascii="Times New Roman" w:eastAsia="宋体" w:hAnsi="Times New Roman" w:cs="Times New Roman" w:hint="default"/>
          <w:b/>
          <w:bCs w:val="0"/>
          <w:iCs/>
          <w:color w:val="auto"/>
          <w:kern w:val="2"/>
          <w:sz w:val="32"/>
          <w:szCs w:val="21"/>
          <w:highlight w:val="none"/>
          <w:lang w:val="en-US" w:eastAsia="zh-CN" w:bidi="ar-SA"/>
        </w:rPr>
      </w:pPr>
    </w:p>
    <w:p>
      <w:pPr>
        <w:pStyle w:val="WPSOffice手动目录1"/>
        <w:tabs>
          <w:tab w:val="right" w:leader="dot" w:pos="8306"/>
        </w:tabs>
        <w:rPr>
          <w:b/>
          <w:color w:val="auto"/>
          <w:sz w:val="32"/>
          <w:szCs w:val="32"/>
          <w:highlight w:val="none"/>
        </w:rPr>
      </w:pPr>
      <w:r>
        <w:rPr>
          <w:color w:val="auto"/>
          <w:highlight w:val="none"/>
        </w:rPr>
        <w:fldChar w:fldCharType="begin"/>
      </w:r>
      <w:r>
        <w:rPr>
          <w:color w:val="auto"/>
          <w:highlight w:val="none"/>
        </w:rPr>
        <w:instrText xml:space="preserve">TOC \o "1-2" \h \u</w:instrText>
      </w:r>
      <w:r>
        <w:rPr>
          <w:color w:val="auto"/>
          <w:highlight w:val="none"/>
        </w:rPr>
        <w:fldChar w:fldCharType="separate"/>
      </w:r>
      <w:hyperlink w:anchor="_Toc9224" w:history="1">
        <w:r>
          <w:rPr>
            <w:rFonts w:ascii="Times New Roman" w:eastAsia="黑体" w:hAnsi="Times New Roman" w:cs="Times New Roman" w:hint="default"/>
            <w:b/>
            <w:bCs/>
            <w:iCs/>
            <w:color w:val="auto"/>
            <w:kern w:val="2"/>
            <w:sz w:val="32"/>
            <w:szCs w:val="32"/>
            <w:highlight w:val="none"/>
            <w:lang w:val="en-US" w:eastAsia="zh-CN" w:bidi="ar-SA"/>
          </w:rPr>
          <w:t xml:space="preserve">一、基本情况</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_Toc9224 \h </w:instrText>
        </w:r>
        <w:r>
          <w:rPr>
            <w:b/>
            <w:color w:val="auto"/>
            <w:sz w:val="32"/>
            <w:szCs w:val="32"/>
            <w:highlight w:val="none"/>
          </w:rPr>
          <w:fldChar w:fldCharType="separate"/>
        </w:r>
        <w:r>
          <w:rPr>
            <w:b/>
            <w:color w:val="auto"/>
            <w:sz w:val="32"/>
            <w:szCs w:val="32"/>
            <w:highlight w:val="none"/>
          </w:rPr>
          <w:t xml:space="preserve">1</w:t>
        </w:r>
        <w:r>
          <w:rPr>
            <w:b/>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20046" w:history="1">
        <w:r>
          <w:rPr>
            <w:rFonts w:ascii="Times New Roman" w:eastAsia="楷体" w:hAnsi="Times New Roman" w:cs="Times New Roman" w:hint="default"/>
            <w:color w:val="auto"/>
            <w:sz w:val="32"/>
            <w:szCs w:val="32"/>
            <w:highlight w:val="none"/>
          </w:rPr>
          <w:t xml:space="preserve">（一）项目概况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_Toc20046 \h </w:instrText>
        </w:r>
        <w:r>
          <w:rPr>
            <w:color w:val="auto"/>
            <w:sz w:val="32"/>
            <w:szCs w:val="32"/>
            <w:highlight w:val="none"/>
          </w:rPr>
          <w:fldChar w:fldCharType="separate"/>
        </w:r>
        <w:r>
          <w:rPr>
            <w:color w:val="auto"/>
            <w:sz w:val="32"/>
            <w:szCs w:val="32"/>
            <w:highlight w:val="none"/>
          </w:rPr>
          <w:t xml:space="preserve">1</w:t>
        </w:r>
        <w:r>
          <w:rPr>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279" w:history="1">
        <w:r>
          <w:rPr>
            <w:rFonts w:ascii="Times New Roman" w:eastAsia="楷体" w:hAnsi="Times New Roman" w:cs="Times New Roman" w:hint="default"/>
            <w:color w:val="auto"/>
            <w:sz w:val="32"/>
            <w:szCs w:val="32"/>
            <w:highlight w:val="none"/>
          </w:rPr>
          <w:t xml:space="preserve">（二）项目绩效目标</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_Toc279 \h </w:instrText>
        </w:r>
        <w:r>
          <w:rPr>
            <w:color w:val="auto"/>
            <w:sz w:val="32"/>
            <w:szCs w:val="32"/>
            <w:highlight w:val="none"/>
          </w:rPr>
          <w:fldChar w:fldCharType="separate"/>
        </w:r>
        <w:r>
          <w:rPr>
            <w:color w:val="auto"/>
            <w:sz w:val="32"/>
            <w:szCs w:val="32"/>
            <w:highlight w:val="none"/>
          </w:rPr>
          <w:t xml:space="preserve">3</w:t>
        </w:r>
        <w:r>
          <w:rPr>
            <w:color w:val="auto"/>
            <w:sz w:val="32"/>
            <w:szCs w:val="32"/>
            <w:highlight w:val="none"/>
          </w:rPr>
          <w:fldChar w:fldCharType="end"/>
        </w:r>
      </w:hyperlink>
    </w:p>
    <w:p>
      <w:pPr>
        <w:pStyle w:val="WPSOffice手动目录1"/>
        <w:tabs>
          <w:tab w:val="right" w:leader="dot" w:pos="8306"/>
        </w:tabs>
        <w:rPr>
          <w:b/>
          <w:color w:val="auto"/>
          <w:sz w:val="32"/>
          <w:szCs w:val="32"/>
          <w:highlight w:val="none"/>
        </w:rPr>
      </w:pPr>
      <w:hyperlink w:anchor="_Toc22434" w:history="1">
        <w:r>
          <w:rPr>
            <w:rFonts w:ascii="Times New Roman" w:eastAsia="黑体" w:hAnsi="Times New Roman" w:cs="Times New Roman" w:hint="default"/>
            <w:b/>
            <w:color w:val="auto"/>
            <w:sz w:val="32"/>
            <w:szCs w:val="32"/>
            <w:highlight w:val="none"/>
          </w:rPr>
          <w:t xml:space="preserve">二、绩效评价工作开展情况</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_Toc22434 \h </w:instrText>
        </w:r>
        <w:r>
          <w:rPr>
            <w:b/>
            <w:color w:val="auto"/>
            <w:sz w:val="32"/>
            <w:szCs w:val="32"/>
            <w:highlight w:val="none"/>
          </w:rPr>
          <w:fldChar w:fldCharType="separate"/>
        </w:r>
        <w:r>
          <w:rPr>
            <w:b/>
            <w:color w:val="auto"/>
            <w:sz w:val="32"/>
            <w:szCs w:val="32"/>
            <w:highlight w:val="none"/>
          </w:rPr>
          <w:t xml:space="preserve">4</w:t>
        </w:r>
        <w:r>
          <w:rPr>
            <w:b/>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12665" w:history="1">
        <w:r>
          <w:rPr>
            <w:rFonts w:ascii="Times New Roman" w:eastAsia="楷体" w:hAnsi="Times New Roman" w:cs="Times New Roman" w:hint="default"/>
            <w:color w:val="auto"/>
            <w:sz w:val="32"/>
            <w:szCs w:val="32"/>
            <w:highlight w:val="none"/>
          </w:rPr>
          <w:t xml:space="preserve">（一）绩效评价目的、对象和范围</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_Toc12665 \h </w:instrText>
        </w:r>
        <w:r>
          <w:rPr>
            <w:color w:val="auto"/>
            <w:sz w:val="32"/>
            <w:szCs w:val="32"/>
            <w:highlight w:val="none"/>
          </w:rPr>
          <w:fldChar w:fldCharType="separate"/>
        </w:r>
        <w:r>
          <w:rPr>
            <w:color w:val="auto"/>
            <w:sz w:val="32"/>
            <w:szCs w:val="32"/>
            <w:highlight w:val="none"/>
          </w:rPr>
          <w:t xml:space="preserve">4</w:t>
        </w:r>
        <w:r>
          <w:rPr>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3454" w:history="1">
        <w:r>
          <w:rPr>
            <w:rFonts w:ascii="楷体" w:eastAsia="楷体" w:hAnsi="楷体" w:cs="楷体" w:hint="eastAsia"/>
            <w:color w:val="auto"/>
            <w:sz w:val="32"/>
            <w:szCs w:val="32"/>
            <w:highlight w:val="none"/>
          </w:rPr>
          <w:t xml:space="preserve">（二）绩效评价原则、评价指标体系、评价方法、评价标准</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_Toc3454 \h </w:instrText>
        </w:r>
        <w:r>
          <w:rPr>
            <w:color w:val="auto"/>
            <w:sz w:val="32"/>
            <w:szCs w:val="32"/>
            <w:highlight w:val="none"/>
          </w:rPr>
          <w:fldChar w:fldCharType="separate"/>
        </w:r>
        <w:r>
          <w:rPr>
            <w:color w:val="auto"/>
            <w:sz w:val="32"/>
            <w:szCs w:val="32"/>
            <w:highlight w:val="none"/>
          </w:rPr>
          <w:t xml:space="preserve">6</w:t>
        </w:r>
        <w:r>
          <w:rPr>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30467" w:history="1">
        <w:r>
          <w:rPr>
            <w:rFonts w:ascii="楷体" w:eastAsia="楷体" w:hAnsi="楷体" w:cs="楷体" w:hint="eastAsia"/>
            <w:color w:val="auto"/>
            <w:sz w:val="32"/>
            <w:szCs w:val="32"/>
            <w:highlight w:val="none"/>
          </w:rPr>
          <w:t xml:space="preserve">（三）绩效评价工作过程</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_Toc30467 \h </w:instrText>
        </w:r>
        <w:r>
          <w:rPr>
            <w:color w:val="auto"/>
            <w:sz w:val="32"/>
            <w:szCs w:val="32"/>
            <w:highlight w:val="none"/>
          </w:rPr>
          <w:fldChar w:fldCharType="separate"/>
        </w:r>
        <w:r>
          <w:rPr>
            <w:color w:val="auto"/>
            <w:sz w:val="32"/>
            <w:szCs w:val="32"/>
            <w:highlight w:val="none"/>
          </w:rPr>
          <w:t xml:space="preserve">8</w:t>
        </w:r>
        <w:r>
          <w:rPr>
            <w:color w:val="auto"/>
            <w:sz w:val="32"/>
            <w:szCs w:val="32"/>
            <w:highlight w:val="none"/>
          </w:rPr>
          <w:fldChar w:fldCharType="end"/>
        </w:r>
      </w:hyperlink>
    </w:p>
    <w:p>
      <w:pPr>
        <w:pStyle w:val="WPSOffice手动目录1"/>
        <w:tabs>
          <w:tab w:val="right" w:leader="dot" w:pos="8306"/>
        </w:tabs>
        <w:rPr>
          <w:b/>
          <w:color w:val="auto"/>
          <w:sz w:val="32"/>
          <w:szCs w:val="32"/>
          <w:highlight w:val="none"/>
        </w:rPr>
      </w:pPr>
      <w:hyperlink w:anchor="_Toc21285" w:history="1">
        <w:r>
          <w:rPr>
            <w:rFonts w:ascii="黑体" w:eastAsia="黑体" w:hAnsi="黑体" w:cs="黑体" w:hint="eastAsia"/>
            <w:b/>
            <w:color w:val="auto"/>
            <w:sz w:val="32"/>
            <w:szCs w:val="32"/>
            <w:highlight w:val="none"/>
          </w:rPr>
          <w:t xml:space="preserve">三、综合评价情况及评价结论</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_Toc21285 \h </w:instrText>
        </w:r>
        <w:r>
          <w:rPr>
            <w:b/>
            <w:color w:val="auto"/>
            <w:sz w:val="32"/>
            <w:szCs w:val="32"/>
            <w:highlight w:val="none"/>
          </w:rPr>
          <w:fldChar w:fldCharType="separate"/>
        </w:r>
        <w:r>
          <w:rPr>
            <w:b/>
            <w:color w:val="auto"/>
            <w:sz w:val="32"/>
            <w:szCs w:val="32"/>
            <w:highlight w:val="none"/>
          </w:rPr>
          <w:t xml:space="preserve">10</w:t>
        </w:r>
        <w:r>
          <w:rPr>
            <w:b/>
            <w:color w:val="auto"/>
            <w:sz w:val="32"/>
            <w:szCs w:val="32"/>
            <w:highlight w:val="none"/>
          </w:rPr>
          <w:fldChar w:fldCharType="end"/>
        </w:r>
      </w:hyperlink>
    </w:p>
    <w:p>
      <w:pPr>
        <w:pStyle w:val="WPSOffice手动目录1"/>
        <w:tabs>
          <w:tab w:val="right" w:leader="dot" w:pos="8306"/>
        </w:tabs>
        <w:rPr>
          <w:b/>
          <w:color w:val="auto"/>
          <w:sz w:val="32"/>
          <w:szCs w:val="32"/>
          <w:highlight w:val="none"/>
        </w:rPr>
      </w:pPr>
      <w:hyperlink w:anchor="_Toc20665" w:history="1">
        <w:r>
          <w:rPr>
            <w:rFonts w:ascii="黑体" w:eastAsia="黑体" w:hAnsi="黑体" w:cs="黑体" w:hint="eastAsia"/>
            <w:b/>
            <w:color w:val="auto"/>
            <w:sz w:val="32"/>
            <w:szCs w:val="32"/>
            <w:highlight w:val="none"/>
          </w:rPr>
          <w:t xml:space="preserve">四、绩效评价指标分析</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_Toc20665 \h </w:instrText>
        </w:r>
        <w:r>
          <w:rPr>
            <w:b/>
            <w:color w:val="auto"/>
            <w:sz w:val="32"/>
            <w:szCs w:val="32"/>
            <w:highlight w:val="none"/>
          </w:rPr>
          <w:fldChar w:fldCharType="separate"/>
        </w:r>
        <w:r>
          <w:rPr>
            <w:b/>
            <w:color w:val="auto"/>
            <w:sz w:val="32"/>
            <w:szCs w:val="32"/>
            <w:highlight w:val="none"/>
          </w:rPr>
          <w:t xml:space="preserve">11</w:t>
        </w:r>
        <w:r>
          <w:rPr>
            <w:b/>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16580" w:history="1">
        <w:r>
          <w:rPr>
            <w:rFonts w:ascii="楷体" w:eastAsia="楷体" w:hAnsi="楷体" w:cs="楷体" w:hint="eastAsia"/>
            <w:color w:val="auto"/>
            <w:sz w:val="32"/>
            <w:szCs w:val="32"/>
            <w:highlight w:val="none"/>
          </w:rPr>
          <w:t xml:space="preserve">（一）项目决策情况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_Toc16580 \h </w:instrText>
        </w:r>
        <w:r>
          <w:rPr>
            <w:color w:val="auto"/>
            <w:sz w:val="32"/>
            <w:szCs w:val="32"/>
            <w:highlight w:val="none"/>
          </w:rPr>
          <w:fldChar w:fldCharType="separate"/>
        </w:r>
        <w:r>
          <w:rPr>
            <w:color w:val="auto"/>
            <w:sz w:val="32"/>
            <w:szCs w:val="32"/>
            <w:highlight w:val="none"/>
          </w:rPr>
          <w:t xml:space="preserve">11</w:t>
        </w:r>
        <w:r>
          <w:rPr>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20945" w:history="1">
        <w:r>
          <w:rPr>
            <w:rFonts w:ascii="楷体" w:eastAsia="楷体" w:hAnsi="楷体" w:cs="楷体" w:hint="eastAsia"/>
            <w:color w:val="auto"/>
            <w:sz w:val="32"/>
            <w:szCs w:val="32"/>
            <w:highlight w:val="none"/>
          </w:rPr>
          <w:t xml:space="preserve">（二）项目过程情况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_Toc20945 \h </w:instrText>
        </w:r>
        <w:r>
          <w:rPr>
            <w:color w:val="auto"/>
            <w:sz w:val="32"/>
            <w:szCs w:val="32"/>
            <w:highlight w:val="none"/>
          </w:rPr>
          <w:fldChar w:fldCharType="separate"/>
        </w:r>
        <w:r>
          <w:rPr>
            <w:color w:val="auto"/>
            <w:sz w:val="32"/>
            <w:szCs w:val="32"/>
            <w:highlight w:val="none"/>
          </w:rPr>
          <w:t xml:space="preserve">13</w:t>
        </w:r>
        <w:r>
          <w:rPr>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11731" w:history="1">
        <w:r>
          <w:rPr>
            <w:rFonts w:ascii="楷体" w:eastAsia="楷体" w:hAnsi="楷体" w:cs="楷体" w:hint="eastAsia"/>
            <w:color w:val="auto"/>
            <w:sz w:val="32"/>
            <w:szCs w:val="32"/>
            <w:highlight w:val="none"/>
          </w:rPr>
          <w:t xml:space="preserve">（三）项目产出情况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_Toc11731 \h </w:instrText>
        </w:r>
        <w:r>
          <w:rPr>
            <w:color w:val="auto"/>
            <w:sz w:val="32"/>
            <w:szCs w:val="32"/>
            <w:highlight w:val="none"/>
          </w:rPr>
          <w:fldChar w:fldCharType="separate"/>
        </w:r>
        <w:r>
          <w:rPr>
            <w:color w:val="auto"/>
            <w:sz w:val="32"/>
            <w:szCs w:val="32"/>
            <w:highlight w:val="none"/>
          </w:rPr>
          <w:t xml:space="preserve">15</w:t>
        </w:r>
        <w:r>
          <w:rPr>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5184" w:history="1">
        <w:r>
          <w:rPr>
            <w:rFonts w:ascii="楷体" w:eastAsia="楷体" w:hAnsi="楷体" w:cs="楷体" w:hint="eastAsia"/>
            <w:color w:val="auto"/>
            <w:sz w:val="32"/>
            <w:szCs w:val="32"/>
            <w:highlight w:val="none"/>
          </w:rPr>
          <w:t xml:space="preserve">（四）项目效益情况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_Toc5184 \h </w:instrText>
        </w:r>
        <w:r>
          <w:rPr>
            <w:color w:val="auto"/>
            <w:sz w:val="32"/>
            <w:szCs w:val="32"/>
            <w:highlight w:val="none"/>
          </w:rPr>
          <w:fldChar w:fldCharType="separate"/>
        </w:r>
        <w:r>
          <w:rPr>
            <w:color w:val="auto"/>
            <w:sz w:val="32"/>
            <w:szCs w:val="32"/>
            <w:highlight w:val="none"/>
          </w:rPr>
          <w:t xml:space="preserve">16</w:t>
        </w:r>
        <w:r>
          <w:rPr>
            <w:color w:val="auto"/>
            <w:sz w:val="32"/>
            <w:szCs w:val="32"/>
            <w:highlight w:val="none"/>
          </w:rPr>
          <w:fldChar w:fldCharType="end"/>
        </w:r>
      </w:hyperlink>
    </w:p>
    <w:p>
      <w:pPr>
        <w:pStyle w:val="WPSOffice手动目录1"/>
        <w:tabs>
          <w:tab w:val="right" w:leader="dot" w:pos="8306"/>
        </w:tabs>
        <w:rPr>
          <w:b/>
          <w:color w:val="auto"/>
          <w:sz w:val="32"/>
          <w:szCs w:val="32"/>
          <w:highlight w:val="none"/>
        </w:rPr>
      </w:pPr>
      <w:hyperlink w:anchor="_Toc14797" w:history="1">
        <w:r>
          <w:rPr>
            <w:rFonts w:ascii="黑体" w:eastAsia="黑体" w:hAnsi="黑体" w:cs="黑体" w:hint="eastAsia"/>
            <w:b/>
            <w:color w:val="auto"/>
            <w:sz w:val="32"/>
            <w:szCs w:val="32"/>
            <w:highlight w:val="none"/>
          </w:rPr>
          <w:t xml:space="preserve">五、主要经验及做法、存在的问题及原因分析</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_Toc14797 \h </w:instrText>
        </w:r>
        <w:r>
          <w:rPr>
            <w:b/>
            <w:color w:val="auto"/>
            <w:sz w:val="32"/>
            <w:szCs w:val="32"/>
            <w:highlight w:val="none"/>
          </w:rPr>
          <w:fldChar w:fldCharType="separate"/>
        </w:r>
        <w:r>
          <w:rPr>
            <w:b/>
            <w:color w:val="auto"/>
            <w:sz w:val="32"/>
            <w:szCs w:val="32"/>
            <w:highlight w:val="none"/>
          </w:rPr>
          <w:t xml:space="preserve">16</w:t>
        </w:r>
        <w:r>
          <w:rPr>
            <w:b/>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9755" w:history="1">
        <w:r>
          <w:rPr>
            <w:rFonts w:ascii="楷体" w:eastAsia="楷体" w:hAnsi="楷体" w:cs="楷体" w:hint="eastAsia"/>
            <w:color w:val="auto"/>
            <w:sz w:val="32"/>
            <w:szCs w:val="32"/>
            <w:highlight w:val="none"/>
          </w:rPr>
          <w:t xml:space="preserve">（一）主要经验及做法</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_Toc9755 \h </w:instrText>
        </w:r>
        <w:r>
          <w:rPr>
            <w:color w:val="auto"/>
            <w:sz w:val="32"/>
            <w:szCs w:val="32"/>
            <w:highlight w:val="none"/>
          </w:rPr>
          <w:fldChar w:fldCharType="separate"/>
        </w:r>
        <w:r>
          <w:rPr>
            <w:color w:val="auto"/>
            <w:sz w:val="32"/>
            <w:szCs w:val="32"/>
            <w:highlight w:val="none"/>
          </w:rPr>
          <w:t xml:space="preserve">16</w:t>
        </w:r>
        <w:r>
          <w:rPr>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21501" w:history="1">
        <w:r>
          <w:rPr>
            <w:rFonts w:ascii="楷体" w:eastAsia="楷体" w:hAnsi="楷体" w:cs="楷体" w:hint="eastAsia"/>
            <w:color w:val="auto"/>
            <w:sz w:val="32"/>
            <w:szCs w:val="32"/>
            <w:highlight w:val="none"/>
          </w:rPr>
          <w:t xml:space="preserve">（二）存在的问题及分析</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_Toc21501 \h </w:instrText>
        </w:r>
        <w:r>
          <w:rPr>
            <w:color w:val="auto"/>
            <w:sz w:val="32"/>
            <w:szCs w:val="32"/>
            <w:highlight w:val="none"/>
          </w:rPr>
          <w:fldChar w:fldCharType="separate"/>
        </w:r>
        <w:r>
          <w:rPr>
            <w:color w:val="auto"/>
            <w:sz w:val="32"/>
            <w:szCs w:val="32"/>
            <w:highlight w:val="none"/>
          </w:rPr>
          <w:t xml:space="preserve">18</w:t>
        </w:r>
        <w:r>
          <w:rPr>
            <w:color w:val="auto"/>
            <w:sz w:val="32"/>
            <w:szCs w:val="32"/>
            <w:highlight w:val="none"/>
          </w:rPr>
          <w:fldChar w:fldCharType="end"/>
        </w:r>
      </w:hyperlink>
    </w:p>
    <w:p>
      <w:pPr>
        <w:pStyle w:val="WPSOffice手动目录1"/>
        <w:tabs>
          <w:tab w:val="right" w:leader="dot" w:pos="8306"/>
        </w:tabs>
        <w:rPr>
          <w:b/>
          <w:color w:val="auto"/>
          <w:sz w:val="32"/>
          <w:szCs w:val="32"/>
          <w:highlight w:val="none"/>
        </w:rPr>
      </w:pPr>
      <w:hyperlink w:anchor="_Toc5347" w:history="1">
        <w:r>
          <w:rPr>
            <w:rFonts w:ascii="黑体" w:hAnsi="黑体" w:cs="黑体" w:hint="eastAsia"/>
            <w:b/>
            <w:bCs/>
            <w:iCs/>
            <w:color w:val="auto"/>
            <w:sz w:val="32"/>
            <w:szCs w:val="32"/>
            <w:highlight w:val="none"/>
            <w:lang w:eastAsia="zh-CN"/>
          </w:rPr>
          <w:t xml:space="preserve">六、</w:t>
        </w:r>
        <w:r>
          <w:rPr>
            <w:rFonts w:ascii="黑体" w:eastAsia="黑体" w:hAnsi="黑体" w:cs="黑体" w:hint="eastAsia"/>
            <w:b/>
            <w:bCs/>
            <w:iCs/>
            <w:color w:val="auto"/>
            <w:sz w:val="32"/>
            <w:szCs w:val="32"/>
            <w:highlight w:val="none"/>
          </w:rPr>
          <w:t xml:space="preserve">有关建议</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_Toc5347 \h </w:instrText>
        </w:r>
        <w:r>
          <w:rPr>
            <w:b/>
            <w:color w:val="auto"/>
            <w:sz w:val="32"/>
            <w:szCs w:val="32"/>
            <w:highlight w:val="none"/>
          </w:rPr>
          <w:fldChar w:fldCharType="separate"/>
        </w:r>
        <w:r>
          <w:rPr>
            <w:b/>
            <w:color w:val="auto"/>
            <w:sz w:val="32"/>
            <w:szCs w:val="32"/>
            <w:highlight w:val="none"/>
          </w:rPr>
          <w:t xml:space="preserve">18</w:t>
        </w:r>
        <w:r>
          <w:rPr>
            <w:b/>
            <w:color w:val="auto"/>
            <w:sz w:val="32"/>
            <w:szCs w:val="32"/>
            <w:highlight w:val="none"/>
          </w:rPr>
          <w:fldChar w:fldCharType="end"/>
        </w:r>
      </w:hyperlink>
    </w:p>
    <w:p>
      <w:pPr>
        <w:pStyle w:val="WPSOffice手动目录1"/>
        <w:tabs>
          <w:tab w:val="right" w:leader="dot" w:pos="8306"/>
        </w:tabs>
        <w:rPr>
          <w:b/>
          <w:color w:val="auto"/>
          <w:sz w:val="32"/>
          <w:szCs w:val="32"/>
          <w:highlight w:val="none"/>
        </w:rPr>
      </w:pPr>
      <w:hyperlink w:anchor="_Toc18879" w:history="1">
        <w:r>
          <w:rPr>
            <w:rFonts w:ascii="黑体" w:eastAsia="黑体" w:hAnsi="黑体" w:cs="黑体" w:hint="default"/>
            <w:b/>
            <w:bCs/>
            <w:iCs/>
            <w:color w:val="auto"/>
            <w:sz w:val="32"/>
            <w:szCs w:val="32"/>
            <w:highlight w:val="none"/>
          </w:rPr>
          <w:t xml:space="preserve">七、其他需要说明的问题</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_Toc18879 \h </w:instrText>
        </w:r>
        <w:r>
          <w:rPr>
            <w:b/>
            <w:color w:val="auto"/>
            <w:sz w:val="32"/>
            <w:szCs w:val="32"/>
            <w:highlight w:val="none"/>
          </w:rPr>
          <w:fldChar w:fldCharType="separate"/>
        </w:r>
        <w:r>
          <w:rPr>
            <w:b/>
            <w:color w:val="auto"/>
            <w:sz w:val="32"/>
            <w:szCs w:val="32"/>
            <w:highlight w:val="none"/>
          </w:rPr>
          <w:t xml:space="preserve">19</w:t>
        </w:r>
        <w:r>
          <w:rPr>
            <w:b/>
            <w:color w:val="auto"/>
            <w:sz w:val="32"/>
            <w:szCs w:val="32"/>
            <w:highlight w:val="none"/>
          </w:rPr>
          <w:fldChar w:fldCharType="end"/>
        </w:r>
      </w:hyperlink>
    </w:p>
    <w:p>
      <w:pPr>
        <w:pStyle w:val="WPSOffice手动目录1"/>
        <w:tabs>
          <w:tab w:val="right" w:leader="dot" w:pos="8306"/>
        </w:tabs>
        <w:rPr>
          <w:b/>
          <w:color w:val="auto"/>
          <w:highlight w:val="none"/>
        </w:rPr>
      </w:pPr>
      <w:hyperlink w:anchor="_Toc32504" w:history="1">
        <w:r>
          <w:rPr>
            <w:rFonts w:ascii="黑体" w:eastAsia="黑体" w:hAnsi="黑体" w:cs="黑体" w:hint="default"/>
            <w:b/>
            <w:bCs/>
            <w:iCs/>
            <w:color w:val="auto"/>
            <w:sz w:val="32"/>
            <w:szCs w:val="32"/>
            <w:highlight w:val="none"/>
          </w:rPr>
          <w:t xml:space="preserve">八、附件</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_Toc32504 \h </w:instrText>
        </w:r>
        <w:r>
          <w:rPr>
            <w:b/>
            <w:color w:val="auto"/>
            <w:sz w:val="32"/>
            <w:szCs w:val="32"/>
            <w:highlight w:val="none"/>
          </w:rPr>
          <w:fldChar w:fldCharType="separate"/>
        </w:r>
        <w:r>
          <w:rPr>
            <w:b/>
            <w:color w:val="auto"/>
            <w:sz w:val="32"/>
            <w:szCs w:val="32"/>
            <w:highlight w:val="none"/>
          </w:rPr>
          <w:t xml:space="preserve">19</w:t>
        </w:r>
        <w:r>
          <w:rPr>
            <w:b/>
            <w:color w:val="auto"/>
            <w:sz w:val="32"/>
            <w:szCs w:val="32"/>
            <w:highlight w:val="none"/>
          </w:rPr>
          <w:fldChar w:fldCharType="end"/>
        </w:r>
      </w:hyperlink>
    </w:p>
    <w:p>
      <w:pPr>
        <w:rPr>
          <w:rFonts w:ascii="Times New Roman" w:eastAsia="黑体" w:hAnsi="Times New Roman" w:cs="Times New Roman" w:hint="default"/>
          <w:bCs/>
          <w:iCs/>
          <w:color w:val="auto"/>
          <w:kern w:val="2"/>
          <w:sz w:val="32"/>
          <w:szCs w:val="21"/>
          <w:highlight w:val="none"/>
          <w:lang w:val="en-US" w:eastAsia="zh-CN" w:bidi="ar-SA"/>
        </w:rPr>
        <w:sectPr>
          <w:footerReference w:type="default" r:id="rId3"/>
          <w:pgSz w:w="11906" w:h="16838" w:orient="portrait"/>
          <w:pgMar w:top="1440" w:right="1800" w:bottom="1440" w:left="1800" w:header="851" w:footer="992" w:gutter="0"/>
          <w:pgBorders/>
          <w:pgNumType w:fmt="decimal"/>
          <w:cols w:num="1" w:space="720">
            <w:col w:w="8306" w:space="720"/>
          </w:cols>
          <w:docGrid w:type="lines" w:linePitch="312" w:charSpace="0"/>
        </w:sectPr>
      </w:pPr>
      <w:r>
        <w:rPr>
          <w:b/>
          <w:color w:val="auto"/>
          <w:highlight w:val="none"/>
        </w:rPr>
        <w:fldChar w:fldCharType="end"/>
      </w:r>
      <w:bookmarkStart w:id="12" w:name="_Toc9224"/>
    </w:p>
    <w:p>
      <w:pPr>
        <w:pStyle w:val="Heading2"/>
        <w:bidi w:val="0"/>
        <w:ind w:left="0" w:firstLine="640" w:leftChars="0" w:firstLineChars="200"/>
        <w:jc w:val="both"/>
        <w:outlineLvl w:val="0"/>
        <w:rPr>
          <w:rFonts w:ascii="Times New Roman" w:eastAsia="黑体" w:hAnsi="Times New Roman" w:cs="Times New Roman" w:hint="default"/>
          <w:bCs/>
          <w:iCs/>
          <w:color w:val="auto"/>
          <w:highlight w:val="none"/>
          <w:lang w:val="en-US" w:eastAsia="zh-CN"/>
        </w:rPr>
      </w:pPr>
      <w:r>
        <w:rPr>
          <w:rFonts w:ascii="Times New Roman" w:eastAsia="黑体" w:hAnsi="Times New Roman" w:cs="Times New Roman" w:hint="default"/>
          <w:bCs/>
          <w:iCs/>
          <w:color w:val="auto"/>
          <w:highlight w:val="none"/>
          <w:lang w:val="en-US" w:eastAsia="zh-CN"/>
        </w:rPr>
        <w:t xml:space="preserve">一、基本情况</w:t>
      </w:r>
      <w:bookmarkEnd w:id="6"/>
      <w:bookmarkEnd w:id="7"/>
      <w:bookmarkEnd w:id="8"/>
      <w:bookmarkEnd w:id="9"/>
      <w:bookmarkEnd w:id="10"/>
      <w:bookmarkEnd w:id="11"/>
      <w:bookmarkEnd w:id="12"/>
      <w:bookmarkStart w:id="13" w:name="_Toc27593"/>
    </w:p>
    <w:p>
      <w:pPr>
        <w:pStyle w:val="Heading3"/>
        <w:bidi w:val="0"/>
        <w:jc w:val="both"/>
        <w:outlineLvl w:val="1"/>
        <w:rPr>
          <w:rFonts w:ascii="Times New Roman" w:eastAsia="楷体" w:hAnsi="Times New Roman" w:cs="Times New Roman" w:hint="default"/>
          <w:color w:val="auto"/>
          <w:highlight w:val="none"/>
        </w:rPr>
      </w:pPr>
      <w:bookmarkStart w:id="14" w:name="_Toc24706"/>
      <w:bookmarkStart w:id="15" w:name="_Toc20046"/>
      <w:bookmarkStart w:id="16" w:name="_Toc26183"/>
      <w:bookmarkStart w:id="17" w:name="_Toc24048"/>
      <w:bookmarkStart w:id="18" w:name="_Toc9236"/>
      <w:r>
        <w:rPr>
          <w:rFonts w:ascii="Times New Roman" w:eastAsia="楷体" w:hAnsi="Times New Roman" w:cs="Times New Roman" w:hint="default"/>
          <w:color w:val="auto"/>
          <w:highlight w:val="none"/>
        </w:rPr>
        <w:t xml:space="preserve">（一）项目概况</w:t>
      </w:r>
      <w:bookmarkEnd w:id="13"/>
      <w:bookmarkEnd w:id="14"/>
      <w:bookmarkEnd w:id="15"/>
      <w:bookmarkEnd w:id="16"/>
      <w:bookmarkEnd w:id="17"/>
      <w:bookmarkEnd w:id="18"/>
    </w:p>
    <w:p>
      <w:pPr>
        <w:bidi w:val="0"/>
        <w:jc w:val="both"/>
        <w:rPr>
          <w:rFonts w:ascii="Times New Roman" w:eastAsia="仿宋_GB2312" w:hAnsi="Times New Roman" w:cs="Times New Roman" w:hint="default"/>
          <w:b/>
          <w:bCs/>
          <w:color w:val="auto"/>
          <w:highlight w:val="none"/>
        </w:rPr>
      </w:pPr>
      <w:bookmarkStart w:id="19" w:name="_Toc11427"/>
      <w:bookmarkStart w:id="20" w:name="_Toc19984"/>
      <w:r>
        <w:rPr>
          <w:rFonts w:ascii="Times New Roman" w:eastAsia="仿宋_GB2312" w:hAnsi="Times New Roman" w:cs="Times New Roman" w:hint="default"/>
          <w:b/>
          <w:bCs/>
          <w:color w:val="auto"/>
          <w:highlight w:val="none"/>
        </w:rPr>
        <w:t xml:space="preserve">1.项目背景</w:t>
      </w:r>
      <w:bookmarkEnd w:id="19"/>
      <w:bookmarkEnd w:id="20"/>
    </w:p>
    <w:p>
      <w:pPr>
        <w:bidi w:val="0"/>
        <w:ind w:left="0" w:firstLine="640" w:leftChars="0" w:firstLineChars="200"/>
        <w:jc w:val="both"/>
        <w:rPr>
          <w:rFonts w:ascii="Times New Roman" w:eastAsia="仿宋_GB2312" w:hAnsi="Times New Roman" w:cs="Times New Roman" w:hint="default"/>
          <w:b w:val="0"/>
          <w:color w:val="auto"/>
          <w:kern w:val="2"/>
          <w:sz w:val="32"/>
          <w:szCs w:val="40"/>
          <w:highlight w:val="none"/>
          <w:shd w:val="clear" w:color="auto" w:fill="auto"/>
          <w:lang w:val="en-US" w:eastAsia="zh-CN" w:bidi="ar-SA"/>
        </w:rPr>
      </w:pPr>
      <w:bookmarkStart w:id="21" w:name="_Toc22216"/>
      <w:bookmarkStart w:id="22" w:name="_Toc22079"/>
      <w:r>
        <w:rPr>
          <w:rFonts w:ascii="Times New Roman" w:eastAsia="仿宋_GB2312" w:hAnsi="Times New Roman" w:cs="Times New Roman" w:hint="default"/>
          <w:color w:val="auto"/>
          <w:sz w:val="32"/>
          <w:szCs w:val="40"/>
          <w:highlight w:val="none"/>
          <w:shd w:val="clear" w:color="auto" w:fill="auto"/>
          <w:lang w:val="en-US" w:eastAsia="zh-CN"/>
        </w:rPr>
        <w:t xml:space="preserve">根据</w:t>
      </w:r>
      <w:r>
        <w:rPr>
          <w:rFonts w:ascii="Times New Roman" w:eastAsia="仿宋_GB2312" w:hAnsi="Times New Roman" w:cs="Times New Roman" w:hint="eastAsia"/>
          <w:color w:val="auto"/>
          <w:sz w:val="32"/>
          <w:szCs w:val="40"/>
          <w:highlight w:val="none"/>
          <w:shd w:val="clear" w:color="auto" w:fill="auto"/>
          <w:lang w:val="en-US" w:eastAsia="zh-CN"/>
        </w:rPr>
        <w:t xml:space="preserve">《提前</w:t>
      </w:r>
      <w:r>
        <w:rPr>
          <w:rFonts w:ascii="Times New Roman" w:eastAsia="仿宋_GB2312" w:hAnsi="Times New Roman" w:cs="Times New Roman" w:hint="default"/>
          <w:color w:val="auto"/>
          <w:sz w:val="32"/>
          <w:szCs w:val="40"/>
          <w:highlight w:val="none"/>
          <w:shd w:val="clear" w:color="auto" w:fill="auto"/>
          <w:lang w:val="en-US" w:eastAsia="zh-CN"/>
        </w:rPr>
        <w:t xml:space="preserve">下达</w:t>
      </w:r>
      <w:r>
        <w:rPr>
          <w:rFonts w:ascii="Times New Roman" w:eastAsia="仿宋_GB2312" w:hAnsi="Times New Roman" w:cs="Times New Roman" w:hint="eastAsia"/>
          <w:color w:val="auto"/>
          <w:sz w:val="32"/>
          <w:szCs w:val="40"/>
          <w:highlight w:val="none"/>
          <w:shd w:val="clear" w:color="auto" w:fill="auto"/>
          <w:lang w:val="en-US" w:eastAsia="zh-CN"/>
        </w:rPr>
        <w:t xml:space="preserve">2024年中央医疗服务与保障能力提升（公立医院综合改革）补助</w:t>
      </w:r>
      <w:r>
        <w:rPr>
          <w:rFonts w:ascii="Times New Roman" w:eastAsia="仿宋_GB2312" w:hAnsi="Times New Roman" w:cs="Times New Roman" w:hint="default"/>
          <w:color w:val="auto"/>
          <w:sz w:val="32"/>
          <w:szCs w:val="40"/>
          <w:highlight w:val="none"/>
          <w:shd w:val="clear" w:color="auto" w:fill="auto"/>
          <w:lang w:val="en-US" w:eastAsia="zh-CN"/>
        </w:rPr>
        <w:t xml:space="preserve">资金</w:t>
      </w:r>
      <w:r>
        <w:rPr>
          <w:rFonts w:ascii="Times New Roman" w:eastAsia="仿宋_GB2312" w:hAnsi="Times New Roman" w:cs="Times New Roman" w:hint="eastAsia"/>
          <w:color w:val="auto"/>
          <w:sz w:val="32"/>
          <w:szCs w:val="40"/>
          <w:highlight w:val="none"/>
          <w:shd w:val="clear" w:color="auto" w:fill="auto"/>
          <w:lang w:val="en-US" w:eastAsia="zh-CN"/>
        </w:rPr>
        <w:t xml:space="preserve">》（新财社〔2023〕214号）</w:t>
      </w:r>
      <w:r>
        <w:rPr>
          <w:rFonts w:ascii="Times New Roman" w:hAnsi="Times New Roman" w:cs="Times New Roman" w:hint="eastAsia"/>
          <w:color w:val="auto"/>
          <w:sz w:val="32"/>
          <w:szCs w:val="40"/>
          <w:highlight w:val="none"/>
          <w:shd w:val="clear" w:color="auto" w:fill="auto"/>
          <w:lang w:val="en-US" w:eastAsia="zh-CN"/>
        </w:rPr>
        <w:t xml:space="preserve">文件精神，深化公立医院综合改革，推动公立医院高质量发展，重点支持公立医院体制机制创新、服务能力提升和医保支付方式改革，优化医院资源配置、提高医疗服务效率，更好的满足人民群众健康需求。</w:t>
      </w:r>
      <w:r>
        <w:rPr>
          <w:rFonts w:ascii="Times New Roman" w:eastAsia="仿宋_GB2312" w:hAnsi="Times New Roman" w:cs="Times New Roman" w:hint="eastAsia"/>
          <w:b w:val="0"/>
          <w:color w:val="auto"/>
          <w:kern w:val="2"/>
          <w:sz w:val="32"/>
          <w:szCs w:val="40"/>
          <w:highlight w:val="none"/>
          <w:shd w:val="clear" w:color="auto" w:fill="auto"/>
          <w:lang w:val="en-US" w:eastAsia="zh-CN" w:bidi="ar-SA"/>
        </w:rPr>
        <w:t xml:space="preserve">现加强我院胸痛中心、卒中中心建设，不断提升胸痛患者和卒中患者的救治能力和服务水平，更好的服务于尉犁县各族群众我院拟购买一台数字减影血管造影机（DSA），优化县域医疗资源，服务基层患者，成立介入诊疗中心，促进多学科协作，提高医院综合救治能力。</w:t>
      </w:r>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2.项目主要内容</w:t>
      </w:r>
      <w:bookmarkEnd w:id="21"/>
      <w:bookmarkEnd w:id="22"/>
    </w:p>
    <w:p>
      <w:pPr>
        <w:bidi w:val="0"/>
        <w:ind w:left="0" w:firstLine="640" w:leftChars="0" w:firstLineChars="200"/>
        <w:jc w:val="both"/>
        <w:rPr>
          <w:rFonts w:ascii="Times New Roman" w:eastAsia="仿宋_GB2312" w:hAnsi="Times New Roman" w:cs="Times New Roman" w:hint="default"/>
          <w:b w:val="0"/>
          <w:color w:val="auto"/>
          <w:kern w:val="2"/>
          <w:sz w:val="32"/>
          <w:szCs w:val="40"/>
          <w:highlight w:val="none"/>
          <w:shd w:val="clear" w:color="auto" w:fill="auto"/>
          <w:lang w:val="en-US" w:eastAsia="zh-CN" w:bidi="ar-SA"/>
        </w:rPr>
      </w:pPr>
      <w:bookmarkStart w:id="23" w:name="_Toc21529"/>
      <w:bookmarkStart w:id="24" w:name="_Toc31519"/>
      <w:r>
        <w:rPr>
          <w:rFonts w:ascii="Times New Roman" w:eastAsia="仿宋_GB2312" w:hAnsi="Times New Roman" w:cs="Times New Roman" w:hint="default"/>
          <w:b w:val="0"/>
          <w:color w:val="auto"/>
          <w:kern w:val="2"/>
          <w:sz w:val="32"/>
          <w:szCs w:val="40"/>
          <w:highlight w:val="none"/>
          <w:shd w:val="clear" w:color="auto" w:fill="auto"/>
          <w:lang w:val="en-US" w:eastAsia="zh-CN" w:bidi="ar-SA"/>
        </w:rPr>
        <w:t xml:space="preserve">深化公立医院综合改革，建立健全现代医院管理制度，加快构建有序的就医和诊疗新格局。购置</w:t>
      </w:r>
      <w:r>
        <w:rPr>
          <w:rFonts w:ascii="Times New Roman" w:eastAsia="仿宋_GB2312" w:hAnsi="Times New Roman" w:cs="Times New Roman" w:hint="eastAsia"/>
          <w:b w:val="0"/>
          <w:color w:val="auto"/>
          <w:kern w:val="2"/>
          <w:sz w:val="32"/>
          <w:szCs w:val="40"/>
          <w:highlight w:val="none"/>
          <w:shd w:val="clear" w:color="auto" w:fill="auto"/>
          <w:lang w:val="en-US" w:eastAsia="zh-CN" w:bidi="ar-SA"/>
        </w:rPr>
        <w:t xml:space="preserve">一台数字减影血管造影机。优化医疗资源不均衡问题。</w:t>
      </w:r>
    </w:p>
    <w:p>
      <w:pPr>
        <w:numPr>
          <w:ilvl w:val="0"/>
          <w:numId w:val="0"/>
        </w:numPr>
        <w:bidi w:val="0"/>
        <w:ind w:firstLine="640" w:firstLineChars="20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kern w:val="2"/>
          <w:sz w:val="32"/>
          <w:szCs w:val="22"/>
          <w:highlight w:val="none"/>
          <w:lang w:val="en-US" w:eastAsia="zh-CN" w:bidi="ar-SA"/>
        </w:rPr>
        <w:t xml:space="preserve">3.</w:t>
      </w:r>
      <w:r>
        <w:rPr>
          <w:rFonts w:ascii="Times New Roman" w:eastAsia="仿宋_GB2312" w:hAnsi="Times New Roman" w:cs="Times New Roman" w:hint="default"/>
          <w:b/>
          <w:bCs/>
          <w:color w:val="auto"/>
          <w:highlight w:val="none"/>
        </w:rPr>
        <w:t xml:space="preserve">项目实施情况</w:t>
      </w:r>
      <w:bookmarkEnd w:id="23"/>
      <w:bookmarkEnd w:id="24"/>
      <w:bookmarkStart w:id="25" w:name="_Toc20138"/>
    </w:p>
    <w:p>
      <w:pPr>
        <w:bidi w:val="0"/>
        <w:rPr>
          <w:rFonts w:hint="eastAsia"/>
          <w:color w:val="auto"/>
          <w:highlight w:val="none"/>
          <w:lang w:val="en-US" w:eastAsia="zh-CN"/>
        </w:rPr>
      </w:pPr>
      <w:r>
        <w:rPr>
          <w:rFonts w:hint="eastAsia"/>
          <w:color w:val="auto"/>
          <w:highlight w:val="none"/>
          <w:lang w:val="en-US" w:eastAsia="zh-CN"/>
        </w:rPr>
        <w:t xml:space="preserve">2023年12月资金下达到我单位，我单位立即召开院务会，制定了资金使用计划：</w:t>
      </w:r>
      <w:r>
        <w:rPr>
          <w:rFonts w:hint="default"/>
          <w:color w:val="auto"/>
          <w:highlight w:val="none"/>
          <w:lang w:val="en-US" w:eastAsia="zh-CN"/>
        </w:rPr>
        <w:t xml:space="preserve">购置</w:t>
      </w:r>
      <w:r>
        <w:rPr>
          <w:rFonts w:hint="eastAsia"/>
          <w:color w:val="auto"/>
          <w:highlight w:val="none"/>
          <w:lang w:val="en-US" w:eastAsia="zh-CN"/>
        </w:rPr>
        <w:t xml:space="preserve">一台数字减影血管造影机。</w:t>
      </w:r>
    </w:p>
    <w:p>
      <w:pPr>
        <w:bidi w:val="0"/>
        <w:rPr>
          <w:rFonts w:hint="default"/>
          <w:color w:val="auto"/>
          <w:highlight w:val="none"/>
          <w:lang w:val="en-US" w:eastAsia="zh-CN"/>
        </w:rPr>
      </w:pPr>
      <w:r>
        <w:rPr>
          <w:rFonts w:hint="eastAsia"/>
          <w:color w:val="auto"/>
          <w:highlight w:val="none"/>
          <w:lang w:val="en-US" w:eastAsia="zh-CN"/>
        </w:rPr>
        <w:t xml:space="preserve">2023年12月14日发布项目意向公开，采购方式公开招标，委托给新疆招标有限公司进行采购。开标日期2024年2月29日，中标单位国药集团新疆医学器材有限公司。2024年3月25日签订医疗设备购销合同。2024年3月27日，日对介入导管室进行装修施工，2024年7月1日施工完成，通过环评验收。2024年7月20日数字减影血管造影机完成安装调试，2024年8月1日进入试用阶段，2024年10月完成验收，正式投入使用。</w:t>
      </w:r>
    </w:p>
    <w:p>
      <w:pPr>
        <w:ind w:left="0" w:firstLine="640" w:leftChars="0" w:firstLineChars="200"/>
        <w:rPr>
          <w:rFonts w:ascii="Times New Roman" w:eastAsia="仿宋_GB2312" w:hAnsi="Times New Roman" w:cs="Times New Roman" w:hint="default"/>
          <w:b/>
          <w:bCs/>
          <w:color w:val="auto"/>
          <w:highlight w:val="none"/>
        </w:rPr>
      </w:pPr>
      <w:bookmarkStart w:id="26" w:name="_Toc1111"/>
      <w:r>
        <w:rPr>
          <w:rFonts w:ascii="Times New Roman" w:eastAsia="仿宋_GB2312" w:hAnsi="Times New Roman" w:cs="Times New Roman" w:hint="default"/>
          <w:b/>
          <w:bCs/>
          <w:color w:val="auto"/>
          <w:highlight w:val="none"/>
        </w:rPr>
        <w:t xml:space="preserve">4.资金投入情况</w:t>
      </w:r>
      <w:bookmarkEnd w:id="25"/>
      <w:bookmarkEnd w:id="26"/>
    </w:p>
    <w:p>
      <w:pPr>
        <w:bidi w:val="0"/>
        <w:jc w:val="both"/>
        <w:rPr>
          <w:rFonts w:ascii="Times New Roman" w:eastAsia="仿宋_GB2312" w:hAnsi="Times New Roman" w:cs="Times New Roman" w:hint="eastAsia"/>
          <w:color w:val="auto"/>
          <w:highlight w:val="none"/>
          <w:lang w:val="en-US" w:eastAsia="zh-CN"/>
        </w:rPr>
      </w:pPr>
      <w:bookmarkStart w:id="27" w:name="_Toc7324"/>
      <w:r>
        <w:rPr>
          <w:rFonts w:ascii="Times New Roman" w:eastAsia="仿宋_GB2312" w:hAnsi="Times New Roman" w:cs="Times New Roman" w:hint="default"/>
          <w:color w:val="auto"/>
          <w:highlight w:val="none"/>
        </w:rPr>
        <w:t xml:space="preserve">根据</w:t>
      </w:r>
      <w:r>
        <w:rPr>
          <w:rFonts w:ascii="Times New Roman" w:hAnsi="Times New Roman" w:cs="Times New Roman" w:hint="eastAsia"/>
          <w:color w:val="auto"/>
          <w:highlight w:val="none"/>
          <w:lang w:eastAsia="zh-CN"/>
        </w:rPr>
        <w:t xml:space="preserve">《提前</w:t>
      </w:r>
      <w:r>
        <w:rPr>
          <w:rFonts w:ascii="Times New Roman" w:eastAsia="仿宋_GB2312" w:hAnsi="Times New Roman" w:cs="Times New Roman" w:hint="default"/>
          <w:color w:val="auto"/>
          <w:highlight w:val="none"/>
        </w:rPr>
        <w:t xml:space="preserve">下达</w:t>
      </w:r>
      <w:r>
        <w:rPr>
          <w:rFonts w:ascii="Times New Roman" w:hAnsi="Times New Roman" w:cs="Times New Roman" w:hint="eastAsia"/>
          <w:color w:val="auto"/>
          <w:highlight w:val="none"/>
          <w:lang w:val="en-US" w:eastAsia="zh-CN"/>
        </w:rPr>
        <w:t xml:space="preserve">2024年中央医疗服务与保障能力提升（公立医院综合改革）补助</w:t>
      </w:r>
      <w:r>
        <w:rPr>
          <w:rFonts w:ascii="Times New Roman" w:eastAsia="仿宋_GB2312" w:hAnsi="Times New Roman" w:cs="Times New Roman" w:hint="default"/>
          <w:color w:val="auto"/>
          <w:highlight w:val="none"/>
        </w:rPr>
        <w:t xml:space="preserve">资金</w:t>
      </w:r>
      <w:r>
        <w:rPr>
          <w:rFonts w:ascii="Times New Roman" w:hAnsi="Times New Roman" w:cs="Times New Roman" w:hint="eastAsia"/>
          <w:color w:val="auto"/>
          <w:highlight w:val="none"/>
          <w:lang w:eastAsia="zh-CN"/>
        </w:rPr>
        <w:t xml:space="preserve">》（</w:t>
      </w:r>
      <w:r>
        <w:rPr>
          <w:rFonts w:ascii="Times New Roman" w:hAnsi="Times New Roman" w:cs="Times New Roman" w:hint="eastAsia"/>
          <w:color w:val="auto"/>
          <w:highlight w:val="none"/>
          <w:lang w:val="en-US" w:eastAsia="zh-CN"/>
        </w:rPr>
        <w:t xml:space="preserve">新财社</w:t>
      </w:r>
      <w:r>
        <w:rPr>
          <w:rFonts w:ascii="仿宋_GB2312" w:eastAsia="仿宋_GB2312" w:hAnsi="仿宋_GB2312" w:cs="仿宋_GB2312" w:hint="eastAsia"/>
          <w:color w:val="auto"/>
          <w:highlight w:val="none"/>
          <w:lang w:val="en-US" w:eastAsia="zh-CN"/>
        </w:rPr>
        <w:t xml:space="preserve">〔</w:t>
      </w:r>
      <w:r>
        <w:rPr>
          <w:rFonts w:ascii="Times New Roman" w:hAnsi="Times New Roman" w:cs="Times New Roman" w:hint="eastAsia"/>
          <w:color w:val="auto"/>
          <w:highlight w:val="none"/>
          <w:lang w:val="en-US" w:eastAsia="zh-CN"/>
        </w:rPr>
        <w:t xml:space="preserve">2023</w:t>
      </w:r>
      <w:r>
        <w:rPr>
          <w:rFonts w:ascii="仿宋_GB2312" w:eastAsia="仿宋_GB2312" w:hAnsi="仿宋_GB2312" w:cs="仿宋_GB2312" w:hint="eastAsia"/>
          <w:color w:val="auto"/>
          <w:highlight w:val="none"/>
          <w:lang w:val="en-US" w:eastAsia="zh-CN"/>
        </w:rPr>
        <w:t xml:space="preserve">〕</w:t>
      </w:r>
      <w:r>
        <w:rPr>
          <w:rFonts w:ascii="Times New Roman" w:hAnsi="Times New Roman" w:cs="Times New Roman" w:hint="eastAsia"/>
          <w:color w:val="auto"/>
          <w:highlight w:val="none"/>
          <w:lang w:val="en-US" w:eastAsia="zh-CN"/>
        </w:rPr>
        <w:t xml:space="preserve">214号）95</w:t>
      </w:r>
      <w:r>
        <w:rPr>
          <w:rFonts w:ascii="Times New Roman" w:eastAsia="仿宋_GB2312" w:hAnsi="Times New Roman" w:cs="Times New Roman" w:hint="default"/>
          <w:color w:val="auto"/>
          <w:highlight w:val="none"/>
        </w:rPr>
        <w:t xml:space="preserve">万元。</w:t>
      </w:r>
      <w:r>
        <w:rPr>
          <w:rFonts w:ascii="Times New Roman" w:hAnsi="Times New Roman" w:cs="Times New Roman" w:hint="eastAsia"/>
          <w:color w:val="auto"/>
          <w:highlight w:val="none"/>
          <w:lang w:val="en-US" w:eastAsia="zh-CN"/>
        </w:rPr>
        <w:t xml:space="preserve">年中追加资金30万元，合计125万元。</w:t>
      </w:r>
      <w:r>
        <w:rPr>
          <w:rFonts w:ascii="Times New Roman" w:eastAsia="仿宋_GB2312" w:hAnsi="Times New Roman" w:cs="Times New Roman" w:hint="default"/>
          <w:color w:val="auto"/>
          <w:highlight w:val="none"/>
        </w:rPr>
        <w:t xml:space="preserve">用于</w:t>
      </w:r>
      <w:r>
        <w:rPr>
          <w:rFonts w:ascii="Times New Roman" w:hAnsi="Times New Roman" w:cs="Times New Roman" w:hint="eastAsia"/>
          <w:color w:val="auto"/>
          <w:highlight w:val="none"/>
          <w:lang w:val="en-US" w:eastAsia="zh-CN"/>
        </w:rPr>
        <w:t xml:space="preserve">购买一台数字减影血管造影机125</w:t>
      </w:r>
      <w:r>
        <w:rPr>
          <w:rFonts w:ascii="Times New Roman" w:eastAsia="仿宋_GB2312" w:hAnsi="Times New Roman" w:cs="Times New Roman" w:hint="default"/>
          <w:color w:val="auto"/>
          <w:highlight w:val="none"/>
        </w:rPr>
        <w:t xml:space="preserve">万元</w:t>
      </w:r>
      <w:r>
        <w:rPr>
          <w:rFonts w:ascii="Times New Roman" w:hAnsi="Times New Roman" w:cs="Times New Roman" w:hint="eastAsia"/>
          <w:color w:val="auto"/>
          <w:highlight w:val="none"/>
          <w:lang w:eastAsia="zh-CN"/>
        </w:rPr>
        <w:t xml:space="preserve">。</w:t>
      </w:r>
    </w:p>
    <w:p>
      <w:pPr>
        <w:bidi w:val="0"/>
        <w:jc w:val="both"/>
        <w:rPr>
          <w:rFonts w:ascii="Times New Roman" w:eastAsia="仿宋_GB2312" w:hAnsi="Times New Roman" w:cs="Times New Roman" w:hint="default"/>
          <w:color w:val="auto"/>
          <w:highlight w:val="none"/>
          <w:lang w:val="en-US" w:eastAsia="zh-CN"/>
        </w:rPr>
      </w:pPr>
      <w:r>
        <w:rPr>
          <w:rFonts w:ascii="Times New Roman" w:hAnsi="Times New Roman" w:cs="Times New Roman" w:hint="eastAsia"/>
          <w:color w:val="auto"/>
          <w:highlight w:val="none"/>
          <w:lang w:val="en-US" w:eastAsia="zh-CN"/>
        </w:rPr>
        <w:t xml:space="preserve">实施2024年中央医疗服务与保障能力提升</w:t>
      </w:r>
      <w:r>
        <w:rPr>
          <w:rFonts w:ascii="Times New Roman" w:eastAsia="仿宋_GB2312" w:hAnsi="Times New Roman" w:cs="Times New Roman" w:hint="eastAsia"/>
          <w:color w:val="auto"/>
          <w:sz w:val="32"/>
          <w:szCs w:val="40"/>
          <w:highlight w:val="none"/>
          <w:shd w:val="clear" w:color="auto" w:fill="auto"/>
          <w:lang w:val="en-US" w:eastAsia="zh-CN"/>
        </w:rPr>
        <w:t xml:space="preserve">（公立医院综合改革）</w:t>
      </w:r>
      <w:r>
        <w:rPr>
          <w:rFonts w:ascii="Times New Roman" w:hAnsi="Times New Roman" w:cs="Times New Roman" w:hint="eastAsia"/>
          <w:color w:val="auto"/>
          <w:highlight w:val="none"/>
          <w:lang w:val="en-US" w:eastAsia="zh-CN"/>
        </w:rPr>
        <w:t xml:space="preserve">补助125</w:t>
      </w:r>
      <w:r>
        <w:rPr>
          <w:rFonts w:ascii="Times New Roman" w:eastAsia="仿宋_GB2312" w:hAnsi="Times New Roman" w:cs="Times New Roman" w:hint="default"/>
          <w:color w:val="auto"/>
          <w:highlight w:val="none"/>
        </w:rPr>
        <w:t xml:space="preserve">万元，其中</w:t>
      </w:r>
      <w:r>
        <w:rPr>
          <w:rFonts w:ascii="Times New Roman" w:hAnsi="Times New Roman" w:cs="Times New Roman" w:hint="eastAsia"/>
          <w:color w:val="auto"/>
          <w:highlight w:val="none"/>
          <w:lang w:val="en-US" w:eastAsia="zh-CN"/>
        </w:rPr>
        <w:t xml:space="preserve">中央</w:t>
      </w:r>
      <w:r>
        <w:rPr>
          <w:rFonts w:ascii="Times New Roman" w:eastAsia="仿宋_GB2312" w:hAnsi="Times New Roman" w:cs="Times New Roman" w:hint="default"/>
          <w:color w:val="auto"/>
          <w:highlight w:val="none"/>
          <w:lang w:val="en-US" w:eastAsia="zh-CN"/>
        </w:rPr>
        <w:t xml:space="preserve">资金</w:t>
      </w:r>
      <w:r>
        <w:rPr>
          <w:rFonts w:ascii="Times New Roman" w:hAnsi="Times New Roman" w:cs="Times New Roman" w:hint="eastAsia"/>
          <w:color w:val="auto"/>
          <w:highlight w:val="none"/>
          <w:lang w:val="en-US" w:eastAsia="zh-CN"/>
        </w:rPr>
        <w:t xml:space="preserve">125</w:t>
      </w:r>
      <w:r>
        <w:rPr>
          <w:rFonts w:ascii="Times New Roman" w:eastAsia="仿宋_GB2312" w:hAnsi="Times New Roman" w:cs="Times New Roman" w:hint="default"/>
          <w:color w:val="auto"/>
          <w:highlight w:val="none"/>
          <w:lang w:val="en-US" w:eastAsia="zh-CN"/>
        </w:rPr>
        <w:t xml:space="preserve">万</w:t>
      </w:r>
      <w:r>
        <w:rPr>
          <w:rFonts w:ascii="Times New Roman" w:hAnsi="Times New Roman" w:cs="Times New Roman" w:hint="eastAsia"/>
          <w:color w:val="auto"/>
          <w:highlight w:val="none"/>
          <w:lang w:val="en-US" w:eastAsia="zh-CN"/>
        </w:rPr>
        <w:t xml:space="preserve">元。</w:t>
      </w:r>
    </w:p>
    <w:p>
      <w:pPr>
        <w:bidi w:val="0"/>
        <w:jc w:val="both"/>
        <w:rPr>
          <w:rFonts w:ascii="Times New Roman" w:eastAsia="仿宋_GB2312" w:hAnsi="Times New Roman" w:cs="Times New Roman" w:hint="default"/>
          <w:b/>
          <w:bCs/>
          <w:color w:val="auto"/>
          <w:highlight w:val="none"/>
        </w:rPr>
      </w:pPr>
      <w:bookmarkStart w:id="28" w:name="_Toc10837"/>
      <w:r>
        <w:rPr>
          <w:rFonts w:ascii="Times New Roman" w:eastAsia="仿宋_GB2312" w:hAnsi="Times New Roman" w:cs="Times New Roman" w:hint="default"/>
          <w:b/>
          <w:bCs/>
          <w:color w:val="auto"/>
          <w:highlight w:val="none"/>
        </w:rPr>
        <w:t xml:space="preserve">5.资金使用情况</w:t>
      </w:r>
      <w:bookmarkEnd w:id="27"/>
      <w:bookmarkEnd w:id="28"/>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2024</w:t>
      </w:r>
      <w:r>
        <w:rPr>
          <w:rFonts w:ascii="Times New Roman" w:eastAsia="仿宋_GB2312" w:hAnsi="Times New Roman" w:cs="Times New Roman" w:hint="default"/>
          <w:color w:val="auto"/>
          <w:sz w:val="32"/>
          <w:szCs w:val="32"/>
          <w:highlight w:val="none"/>
          <w:lang w:eastAsia="zh-CN"/>
        </w:rPr>
        <w:t xml:space="preserve">年初预算数</w:t>
      </w:r>
      <w:r>
        <w:rPr>
          <w:rFonts w:ascii="Times New Roman" w:hAnsi="Times New Roman" w:cs="Times New Roman" w:hint="eastAsia"/>
          <w:color w:val="auto"/>
          <w:sz w:val="32"/>
          <w:szCs w:val="32"/>
          <w:highlight w:val="none"/>
          <w:lang w:val="en-US" w:eastAsia="zh-CN"/>
        </w:rPr>
        <w:t xml:space="preserve">95</w:t>
      </w:r>
      <w:r>
        <w:rPr>
          <w:rFonts w:ascii="Times New Roman" w:eastAsia="仿宋_GB2312" w:hAnsi="Times New Roman" w:cs="Times New Roman" w:hint="default"/>
          <w:color w:val="auto"/>
          <w:highlight w:val="none"/>
        </w:rPr>
        <w:t xml:space="preserve">万元</w:t>
      </w:r>
      <w:r>
        <w:rPr>
          <w:rFonts w:ascii="Times New Roman" w:eastAsia="仿宋_GB2312" w:hAnsi="Times New Roman" w:cs="Times New Roman" w:hint="default"/>
          <w:color w:val="auto"/>
          <w:highlight w:val="none"/>
          <w:lang w:eastAsia="zh-CN"/>
        </w:rPr>
        <w:t xml:space="preserve">，</w:t>
      </w:r>
      <w:r>
        <w:rPr>
          <w:rFonts w:ascii="Times New Roman" w:hAnsi="Times New Roman" w:cs="Times New Roman" w:hint="eastAsia"/>
          <w:color w:val="auto"/>
          <w:highlight w:val="none"/>
          <w:lang w:val="en-US" w:eastAsia="zh-CN"/>
        </w:rPr>
        <w:t xml:space="preserve">年中追加资金30万元，全年预算数125万元，</w:t>
      </w:r>
      <w:r>
        <w:rPr>
          <w:rFonts w:ascii="Times New Roman" w:eastAsia="仿宋_GB2312" w:hAnsi="Times New Roman" w:cs="Times New Roman" w:hint="default"/>
          <w:color w:val="auto"/>
          <w:highlight w:val="none"/>
        </w:rPr>
        <w:t xml:space="preserve">实际到位资金</w:t>
      </w:r>
      <w:r>
        <w:rPr>
          <w:rFonts w:ascii="Times New Roman" w:hAnsi="Times New Roman" w:cs="Times New Roman" w:hint="eastAsia"/>
          <w:color w:val="auto"/>
          <w:highlight w:val="none"/>
          <w:lang w:val="en-US" w:eastAsia="zh-CN"/>
        </w:rPr>
        <w:t xml:space="preserve">125</w:t>
      </w:r>
      <w:r>
        <w:rPr>
          <w:rFonts w:ascii="Times New Roman" w:eastAsia="仿宋_GB2312" w:hAnsi="Times New Roman" w:cs="Times New Roman" w:hint="default"/>
          <w:color w:val="auto"/>
          <w:highlight w:val="none"/>
        </w:rPr>
        <w:t xml:space="preserve">万元</w:t>
      </w:r>
      <w:r>
        <w:rPr>
          <w:rFonts w:ascii="Times New Roman" w:eastAsia="仿宋_GB2312" w:hAnsi="Times New Roman" w:cs="Times New Roman" w:hint="default"/>
          <w:color w:val="auto"/>
          <w:highlight w:val="none"/>
          <w:lang w:eastAsia="zh-CN"/>
        </w:rPr>
        <w:t xml:space="preserve">。</w:t>
      </w:r>
      <w:r>
        <w:rPr>
          <w:rFonts w:ascii="Times New Roman" w:hAnsi="Times New Roman" w:cs="Times New Roman" w:hint="eastAsia"/>
          <w:color w:val="auto"/>
          <w:highlight w:val="none"/>
          <w:lang w:eastAsia="zh-CN"/>
        </w:rPr>
        <w:t xml:space="preserve">截至</w:t>
      </w:r>
      <w:r>
        <w:rPr>
          <w:rFonts w:ascii="Times New Roman" w:eastAsia="仿宋_GB2312" w:hAnsi="Times New Roman" w:cs="Times New Roman" w:hint="default"/>
          <w:color w:val="auto"/>
          <w:highlight w:val="none"/>
        </w:rPr>
        <w:t xml:space="preserve">202</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年12月31日</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项目实际使用资金</w:t>
      </w:r>
      <w:r>
        <w:rPr>
          <w:rFonts w:ascii="Times New Roman" w:hAnsi="Times New Roman" w:cs="Times New Roman" w:hint="eastAsia"/>
          <w:color w:val="auto"/>
          <w:highlight w:val="none"/>
          <w:lang w:val="en-US" w:eastAsia="zh-CN"/>
        </w:rPr>
        <w:t xml:space="preserve">125</w:t>
      </w:r>
      <w:r>
        <w:rPr>
          <w:rFonts w:ascii="Times New Roman" w:eastAsia="仿宋_GB2312" w:hAnsi="Times New Roman" w:cs="Times New Roman" w:hint="default"/>
          <w:color w:val="auto"/>
          <w:highlight w:val="none"/>
        </w:rPr>
        <w:t xml:space="preserve">万元，资金</w:t>
      </w:r>
      <w:r>
        <w:rPr>
          <w:rFonts w:ascii="Times New Roman" w:eastAsia="仿宋_GB2312" w:hAnsi="Times New Roman" w:cs="Times New Roman" w:hint="default"/>
          <w:color w:val="auto"/>
          <w:highlight w:val="none"/>
          <w:lang w:val="en-US" w:eastAsia="zh-CN"/>
        </w:rPr>
        <w:t xml:space="preserve">使用</w:t>
      </w:r>
      <w:r>
        <w:rPr>
          <w:rFonts w:ascii="Times New Roman" w:eastAsia="仿宋_GB2312" w:hAnsi="Times New Roman" w:cs="Times New Roman" w:hint="default"/>
          <w:color w:val="auto"/>
          <w:highlight w:val="none"/>
        </w:rPr>
        <w:t xml:space="preserve">率达到了</w:t>
      </w:r>
      <w:r>
        <w:rPr>
          <w:rFonts w:ascii="Times New Roman" w:eastAsia="仿宋_GB2312" w:hAnsi="Times New Roman" w:cs="Times New Roman" w:hint="default"/>
          <w:color w:val="auto"/>
          <w:highlight w:val="none"/>
          <w:lang w:val="en-US" w:eastAsia="zh-CN"/>
        </w:rPr>
        <w:t xml:space="preserve">100</w:t>
      </w:r>
      <w:r>
        <w:rPr>
          <w:rFonts w:ascii="Times New Roman" w:eastAsia="仿宋_GB2312" w:hAnsi="Times New Roman" w:cs="Times New Roman" w:hint="default"/>
          <w:color w:val="auto"/>
          <w:highlight w:val="none"/>
        </w:rPr>
        <w:t xml:space="preserve">%。具体资金支付情况：</w:t>
      </w:r>
    </w:p>
    <w:p>
      <w:pPr>
        <w:bidi w:val="0"/>
        <w:jc w:val="both"/>
        <w:rPr>
          <w:rFonts w:ascii="Times New Roman" w:eastAsia="仿宋_GB2312" w:hAnsi="Times New Roman" w:cs="Times New Roman" w:hint="eastAsia"/>
          <w:color w:val="auto"/>
          <w:highlight w:val="none"/>
          <w:lang w:eastAsia="zh-CN"/>
        </w:rPr>
      </w:pPr>
      <w:r>
        <w:rPr>
          <w:rFonts w:ascii="Times New Roman" w:eastAsia="仿宋_GB2312" w:hAnsi="Times New Roman" w:cs="Times New Roman" w:hint="default"/>
          <w:color w:val="auto"/>
          <w:highlight w:val="none"/>
        </w:rPr>
        <w:t xml:space="preserve">202</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年</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月</w:t>
      </w:r>
      <w:r>
        <w:rPr>
          <w:rFonts w:ascii="Times New Roman" w:hAnsi="Times New Roman" w:cs="Times New Roman" w:hint="eastAsia"/>
          <w:color w:val="auto"/>
          <w:highlight w:val="none"/>
          <w:lang w:val="en-US" w:eastAsia="zh-CN"/>
        </w:rPr>
        <w:t xml:space="preserve">28</w:t>
      </w:r>
      <w:r>
        <w:rPr>
          <w:rFonts w:ascii="Times New Roman" w:eastAsia="仿宋_GB2312" w:hAnsi="Times New Roman" w:cs="Times New Roman" w:hint="default"/>
          <w:color w:val="auto"/>
          <w:highlight w:val="none"/>
        </w:rPr>
        <w:t xml:space="preserve">日，支付</w:t>
      </w:r>
      <w:r>
        <w:rPr>
          <w:rFonts w:hint="eastAsia"/>
          <w:color w:val="auto"/>
          <w:highlight w:val="none"/>
          <w:shd w:val="clear" w:color="auto" w:fill="auto"/>
          <w:lang w:val="en-US" w:eastAsia="zh-CN"/>
        </w:rPr>
        <w:t xml:space="preserve">国药集团新疆医学器材有限公司</w:t>
      </w:r>
      <w:r>
        <w:rPr>
          <w:rFonts w:ascii="Times New Roman" w:hAnsi="Times New Roman" w:cs="Times New Roman" w:hint="eastAsia"/>
          <w:color w:val="auto"/>
          <w:highlight w:val="none"/>
          <w:lang w:val="en-US" w:eastAsia="zh-CN"/>
        </w:rPr>
        <w:t xml:space="preserve">95</w:t>
      </w:r>
      <w:r>
        <w:rPr>
          <w:rFonts w:ascii="Times New Roman" w:eastAsia="仿宋_GB2312" w:hAnsi="Times New Roman" w:cs="Times New Roman" w:hint="default"/>
          <w:color w:val="auto"/>
          <w:highlight w:val="none"/>
        </w:rPr>
        <w:t xml:space="preserve">万元</w:t>
      </w:r>
      <w:r>
        <w:rPr>
          <w:rFonts w:ascii="Times New Roman" w:hAnsi="Times New Roman" w:cs="Times New Roman" w:hint="eastAsia"/>
          <w:color w:val="auto"/>
          <w:highlight w:val="none"/>
          <w:lang w:eastAsia="zh-CN"/>
        </w:rPr>
        <w:t xml:space="preserve">；</w:t>
      </w:r>
    </w:p>
    <w:p>
      <w:pPr>
        <w:bidi w:val="0"/>
        <w:rPr>
          <w:rFonts w:hint="eastAsia"/>
          <w:color w:val="auto"/>
          <w:highlight w:val="none"/>
          <w:lang w:val="en-US" w:eastAsia="zh-CN"/>
        </w:rPr>
      </w:pPr>
      <w:bookmarkStart w:id="29" w:name="_Toc20657"/>
      <w:r>
        <w:rPr>
          <w:rFonts w:hint="eastAsia"/>
          <w:color w:val="auto"/>
          <w:highlight w:val="none"/>
          <w:lang w:val="en-US" w:eastAsia="zh-CN"/>
        </w:rPr>
        <w:t xml:space="preserve">2024年9月14日，支付国药集团新疆医学器材有限公司30万元。</w:t>
      </w:r>
      <w:bookmarkEnd w:id="29"/>
    </w:p>
    <w:p>
      <w:pPr>
        <w:pStyle w:val="Heading3"/>
        <w:bidi w:val="0"/>
        <w:jc w:val="both"/>
        <w:outlineLvl w:val="1"/>
        <w:rPr>
          <w:rFonts w:ascii="Times New Roman" w:eastAsia="楷体" w:hAnsi="Times New Roman" w:cs="Times New Roman" w:hint="default"/>
          <w:color w:val="auto"/>
          <w:highlight w:val="none"/>
        </w:rPr>
      </w:pPr>
      <w:bookmarkStart w:id="30" w:name="_Toc31302"/>
      <w:bookmarkStart w:id="31" w:name="_Toc279"/>
      <w:bookmarkStart w:id="32" w:name="_Toc11967"/>
      <w:bookmarkStart w:id="33" w:name="_Toc26395"/>
      <w:bookmarkStart w:id="34" w:name="_Toc14296"/>
      <w:bookmarkStart w:id="35" w:name="_Toc9567"/>
      <w:r>
        <w:rPr>
          <w:rFonts w:ascii="Times New Roman" w:eastAsia="楷体" w:hAnsi="Times New Roman" w:cs="Times New Roman" w:hint="default"/>
          <w:color w:val="auto"/>
          <w:highlight w:val="none"/>
        </w:rPr>
        <w:t xml:space="preserve">（二）项目绩效目标</w:t>
      </w:r>
      <w:bookmarkEnd w:id="30"/>
      <w:bookmarkEnd w:id="31"/>
      <w:bookmarkEnd w:id="32"/>
      <w:bookmarkEnd w:id="33"/>
      <w:bookmarkEnd w:id="34"/>
      <w:bookmarkEnd w:id="35"/>
    </w:p>
    <w:p>
      <w:pPr>
        <w:bidi w:val="0"/>
        <w:jc w:val="both"/>
        <w:rPr>
          <w:rFonts w:ascii="Times New Roman" w:eastAsia="仿宋_GB2312" w:hAnsi="Times New Roman" w:cs="Times New Roman" w:hint="default"/>
          <w:b/>
          <w:bCs/>
          <w:color w:val="auto"/>
          <w:highlight w:val="none"/>
        </w:rPr>
      </w:pPr>
      <w:bookmarkStart w:id="36" w:name="_Toc18809"/>
      <w:bookmarkStart w:id="37" w:name="_Toc905"/>
      <w:r>
        <w:rPr>
          <w:rFonts w:ascii="Times New Roman" w:eastAsia="仿宋_GB2312" w:hAnsi="Times New Roman" w:cs="Times New Roman" w:hint="default"/>
          <w:b/>
          <w:bCs/>
          <w:color w:val="auto"/>
          <w:highlight w:val="none"/>
        </w:rPr>
        <w:t xml:space="preserve">1.总体目标</w:t>
      </w:r>
      <w:bookmarkEnd w:id="36"/>
      <w:bookmarkEnd w:id="37"/>
    </w:p>
    <w:p>
      <w:pPr>
        <w:bidi w:val="0"/>
        <w:jc w:val="both"/>
        <w:rPr>
          <w:rFonts w:ascii="Times New Roman" w:hAnsi="Times New Roman" w:cs="Times New Roman" w:hint="eastAsia"/>
          <w:color w:val="auto"/>
          <w:highlight w:val="none"/>
          <w:lang w:eastAsia="zh-CN"/>
        </w:rPr>
      </w:pPr>
      <w:bookmarkStart w:id="38" w:name="_Toc11195"/>
      <w:bookmarkStart w:id="39" w:name="_Toc10045"/>
      <w:r>
        <w:rPr>
          <w:rFonts w:ascii="Times New Roman" w:hAnsi="Times New Roman" w:cs="Times New Roman" w:hint="eastAsia"/>
          <w:color w:val="auto"/>
          <w:highlight w:val="none"/>
          <w:lang w:eastAsia="zh-CN"/>
        </w:rPr>
        <w:t xml:space="preserve">深化公立医院综合改革，建立健全现代医院管理制度，加快构建有序的就医和诊疗新格局。购置一台数字减影血管造影机。</w:t>
      </w:r>
    </w:p>
    <w:p>
      <w:pPr>
        <w:numPr>
          <w:ilvl w:val="0"/>
          <w:numId w:val="3"/>
        </w:num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阶段性目标</w:t>
      </w:r>
      <w:bookmarkEnd w:id="38"/>
      <w:bookmarkEnd w:id="39"/>
    </w:p>
    <w:p>
      <w:pPr>
        <w:ind w:left="0" w:firstLine="640" w:leftChars="0" w:firstLineChars="200"/>
        <w:rPr>
          <w:rFonts w:eastAsia="宋体" w:hint="eastAsia"/>
          <w:color w:val="auto"/>
          <w:highlight w:val="none"/>
          <w:lang w:eastAsia="zh-CN"/>
        </w:rPr>
      </w:pPr>
      <w:r>
        <w:rPr>
          <w:rFonts w:hint="eastAsia"/>
          <w:color w:val="auto"/>
          <w:highlight w:val="none"/>
        </w:rPr>
        <w:t xml:space="preserve"> 第一阶段：采购准备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color w:val="auto"/>
          <w:highlight w:val="none"/>
        </w:rPr>
      </w:pPr>
      <w:r>
        <w:rPr>
          <w:rFonts w:hint="eastAsia"/>
          <w:color w:val="auto"/>
          <w:highlight w:val="none"/>
        </w:rPr>
        <w:t xml:space="preserve">采购规划：</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eastAsia="仿宋_GB2312" w:hint="eastAsia"/>
          <w:color w:val="auto"/>
          <w:highlight w:val="none"/>
          <w:lang w:eastAsia="zh-CN"/>
        </w:rPr>
      </w:pPr>
      <w:r>
        <w:rPr>
          <w:rFonts w:hint="eastAsia"/>
          <w:color w:val="auto"/>
          <w:highlight w:val="none"/>
          <w:lang w:val="en-US" w:eastAsia="zh-CN"/>
        </w:rPr>
        <w:t xml:space="preserve">1.</w:t>
      </w:r>
      <w:r>
        <w:rPr>
          <w:rFonts w:hint="eastAsia"/>
          <w:color w:val="auto"/>
          <w:highlight w:val="none"/>
        </w:rPr>
        <w:t xml:space="preserve">制定DSA设备技术参数标准</w:t>
      </w:r>
      <w:r>
        <w:rPr>
          <w:rFonts w:hint="eastAsia"/>
          <w:color w:val="auto"/>
          <w:highlight w:val="none"/>
          <w:lang w:eastAsia="zh-CN"/>
        </w:rPr>
        <w:t xml:space="preserve">；</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eastAsia="仿宋_GB2312" w:hint="eastAsia"/>
          <w:color w:val="auto"/>
          <w:highlight w:val="none"/>
          <w:lang w:eastAsia="zh-CN"/>
        </w:rPr>
      </w:pPr>
      <w:r>
        <w:rPr>
          <w:rFonts w:hint="eastAsia"/>
          <w:color w:val="auto"/>
          <w:highlight w:val="none"/>
          <w:lang w:val="en-US" w:eastAsia="zh-CN"/>
        </w:rPr>
        <w:t xml:space="preserve">2.</w:t>
      </w:r>
      <w:r>
        <w:rPr>
          <w:rFonts w:hint="eastAsia"/>
          <w:color w:val="auto"/>
          <w:highlight w:val="none"/>
        </w:rPr>
        <w:t xml:space="preserve"> 编制采购预算和资金使用方案</w:t>
      </w:r>
      <w:r>
        <w:rPr>
          <w:rFonts w:hint="eastAsia"/>
          <w:color w:val="auto"/>
          <w:highlight w:val="none"/>
          <w:lang w:eastAsia="zh-CN"/>
        </w:rPr>
        <w:t xml:space="preserve">；</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eastAsia="仿宋_GB2312" w:hint="eastAsia"/>
          <w:color w:val="auto"/>
          <w:highlight w:val="none"/>
          <w:lang w:eastAsia="zh-CN"/>
        </w:rPr>
      </w:pPr>
      <w:r>
        <w:rPr>
          <w:rFonts w:hint="eastAsia"/>
          <w:color w:val="auto"/>
          <w:highlight w:val="none"/>
          <w:lang w:val="en-US" w:eastAsia="zh-CN"/>
        </w:rPr>
        <w:t xml:space="preserve">3.</w:t>
      </w:r>
      <w:r>
        <w:rPr>
          <w:rFonts w:hint="eastAsia"/>
          <w:color w:val="auto"/>
          <w:highlight w:val="none"/>
        </w:rPr>
        <w:t xml:space="preserve">完成政府采购备案和招标文件准备</w:t>
      </w:r>
      <w:r>
        <w:rPr>
          <w:rFonts w:hint="eastAsia"/>
          <w:color w:val="auto"/>
          <w:highlight w:val="none"/>
          <w:lang w:eastAsia="zh-CN"/>
        </w:rPr>
        <w:t xml:space="preserve">；</w:t>
      </w:r>
    </w:p>
    <w:p>
      <w:pPr>
        <w:keepNext w:val="0"/>
        <w:keepLines w:val="0"/>
        <w:pageBreakBefore w:val="0"/>
        <w:widowControl w:val="0"/>
        <w:kinsoku/>
        <w:wordWrap/>
        <w:overflowPunct/>
        <w:topLinePunct w:val="0"/>
        <w:autoSpaceDE/>
        <w:autoSpaceDN/>
        <w:bidi w:val="0"/>
        <w:adjustRightInd/>
        <w:snapToGrid/>
        <w:ind w:left="0" w:firstLine="640" w:leftChars="0" w:firstLineChars="200"/>
        <w:textAlignment w:val="auto"/>
        <w:rPr>
          <w:rFonts w:eastAsia="宋体" w:hint="eastAsia"/>
          <w:color w:val="auto"/>
          <w:highlight w:val="none"/>
          <w:lang w:eastAsia="zh-CN"/>
        </w:rPr>
      </w:pPr>
      <w:r>
        <w:rPr>
          <w:rFonts w:hint="eastAsia"/>
          <w:color w:val="auto"/>
          <w:highlight w:val="none"/>
        </w:rPr>
        <w:t xml:space="preserve">第二阶段：招标采购与设备安装</w:t>
      </w:r>
    </w:p>
    <w:p>
      <w:pPr>
        <w:rPr>
          <w:rFonts w:hint="eastAsia"/>
          <w:color w:val="auto"/>
          <w:highlight w:val="none"/>
        </w:rPr>
      </w:pPr>
      <w:r>
        <w:rPr>
          <w:rFonts w:hint="eastAsia"/>
          <w:color w:val="auto"/>
          <w:highlight w:val="none"/>
        </w:rPr>
        <w:t xml:space="preserve">1. 招标实施</w:t>
      </w:r>
    </w:p>
    <w:p>
      <w:pPr>
        <w:rPr>
          <w:rFonts w:hint="eastAsia"/>
          <w:color w:val="auto"/>
          <w:highlight w:val="none"/>
        </w:rPr>
      </w:pPr>
      <w:r>
        <w:rPr>
          <w:rFonts w:hint="eastAsia"/>
          <w:color w:val="auto"/>
          <w:highlight w:val="none"/>
        </w:rPr>
        <w:t xml:space="preserve">开展公开招标，确保采购流程规范透明</w:t>
      </w:r>
      <w:r>
        <w:rPr>
          <w:rFonts w:hint="eastAsia"/>
          <w:color w:val="auto"/>
          <w:highlight w:val="none"/>
          <w:lang w:eastAsia="zh-CN"/>
        </w:rPr>
        <w:t xml:space="preserve">。</w:t>
      </w:r>
      <w:r>
        <w:rPr>
          <w:rFonts w:hint="eastAsia"/>
          <w:color w:val="auto"/>
          <w:highlight w:val="none"/>
        </w:rPr>
        <w:t xml:space="preserve">重点考察设备性能、售后服务及配套培训方案</w:t>
      </w:r>
      <w:r>
        <w:rPr>
          <w:rFonts w:hint="eastAsia"/>
          <w:color w:val="auto"/>
          <w:highlight w:val="none"/>
          <w:lang w:eastAsia="zh-CN"/>
        </w:rPr>
        <w:t xml:space="preserve">，</w:t>
      </w:r>
      <w:r>
        <w:rPr>
          <w:rFonts w:hint="eastAsia"/>
          <w:color w:val="auto"/>
          <w:highlight w:val="none"/>
        </w:rPr>
        <w:t xml:space="preserve">建立供应商评估档案</w:t>
      </w:r>
      <w:r>
        <w:rPr>
          <w:rFonts w:hint="eastAsia"/>
          <w:color w:val="auto"/>
          <w:highlight w:val="none"/>
          <w:lang w:eastAsia="zh-CN"/>
        </w:rPr>
        <w:t xml:space="preserve">。</w:t>
      </w:r>
    </w:p>
    <w:p>
      <w:pPr>
        <w:rPr>
          <w:rFonts w:hint="eastAsia"/>
          <w:color w:val="auto"/>
          <w:highlight w:val="none"/>
        </w:rPr>
      </w:pPr>
      <w:r>
        <w:rPr>
          <w:rFonts w:hint="eastAsia"/>
          <w:color w:val="auto"/>
          <w:highlight w:val="none"/>
        </w:rPr>
        <w:t xml:space="preserve">2. 设备配置：</w:t>
      </w:r>
    </w:p>
    <w:p>
      <w:pPr>
        <w:rPr>
          <w:rFonts w:hint="eastAsia"/>
          <w:color w:val="auto"/>
          <w:highlight w:val="none"/>
          <w:lang w:eastAsia="zh-CN"/>
        </w:rPr>
      </w:pPr>
      <w:r>
        <w:rPr>
          <w:rFonts w:hint="eastAsia"/>
          <w:color w:val="auto"/>
          <w:highlight w:val="none"/>
        </w:rPr>
        <w:t xml:space="preserve">完成机房改造和辐射防护验收</w:t>
      </w:r>
      <w:r>
        <w:rPr>
          <w:rFonts w:hint="eastAsia"/>
          <w:color w:val="auto"/>
          <w:highlight w:val="none"/>
          <w:lang w:eastAsia="zh-CN"/>
        </w:rPr>
        <w:t xml:space="preserve">。</w:t>
      </w:r>
      <w:r>
        <w:rPr>
          <w:rFonts w:hint="eastAsia"/>
          <w:color w:val="auto"/>
          <w:highlight w:val="none"/>
        </w:rPr>
        <w:t xml:space="preserve">组织设备安装调试</w:t>
      </w:r>
      <w:r>
        <w:rPr>
          <w:rFonts w:hint="eastAsia"/>
          <w:color w:val="auto"/>
          <w:highlight w:val="none"/>
          <w:lang w:eastAsia="zh-CN"/>
        </w:rPr>
        <w:t xml:space="preserve">，</w:t>
      </w:r>
      <w:r>
        <w:rPr>
          <w:rFonts w:hint="eastAsia"/>
          <w:color w:val="auto"/>
          <w:highlight w:val="none"/>
        </w:rPr>
        <w:t xml:space="preserve">开展基础操作培训</w:t>
      </w:r>
      <w:r>
        <w:rPr>
          <w:rFonts w:hint="eastAsia"/>
          <w:color w:val="auto"/>
          <w:highlight w:val="none"/>
          <w:lang w:eastAsia="zh-CN"/>
        </w:rPr>
        <w:t xml:space="preserve">。</w:t>
      </w:r>
    </w:p>
    <w:p>
      <w:pPr>
        <w:rPr>
          <w:rFonts w:hint="eastAsia"/>
          <w:color w:val="auto"/>
          <w:highlight w:val="none"/>
        </w:rPr>
      </w:pPr>
      <w:r>
        <w:rPr>
          <w:rFonts w:hint="eastAsia"/>
          <w:color w:val="auto"/>
          <w:highlight w:val="none"/>
        </w:rPr>
        <w:t xml:space="preserve">第三阶段：验收培训与临床应用</w:t>
      </w:r>
    </w:p>
    <w:p>
      <w:pPr>
        <w:rPr>
          <w:rFonts w:hint="eastAsia"/>
          <w:color w:val="auto"/>
          <w:highlight w:val="none"/>
        </w:rPr>
      </w:pPr>
      <w:r>
        <w:rPr>
          <w:rFonts w:hint="eastAsia"/>
          <w:color w:val="auto"/>
          <w:highlight w:val="none"/>
        </w:rPr>
        <w:t xml:space="preserve">1. 验收评估：</w:t>
      </w:r>
    </w:p>
    <w:p>
      <w:pPr>
        <w:rPr>
          <w:rFonts w:eastAsia="仿宋_GB2312" w:hint="eastAsia"/>
          <w:color w:val="auto"/>
          <w:highlight w:val="none"/>
          <w:lang w:eastAsia="zh-CN"/>
        </w:rPr>
      </w:pPr>
      <w:r>
        <w:rPr>
          <w:rFonts w:hint="eastAsia"/>
          <w:color w:val="auto"/>
          <w:highlight w:val="none"/>
        </w:rPr>
        <w:t xml:space="preserve">组织专家进行设备性能验收</w:t>
      </w:r>
      <w:r>
        <w:rPr>
          <w:rFonts w:hint="eastAsia"/>
          <w:color w:val="auto"/>
          <w:highlight w:val="none"/>
          <w:lang w:eastAsia="zh-CN"/>
        </w:rPr>
        <w:t xml:space="preserve">，</w:t>
      </w:r>
      <w:r>
        <w:rPr>
          <w:rFonts w:hint="eastAsia"/>
          <w:color w:val="auto"/>
          <w:highlight w:val="none"/>
        </w:rPr>
        <w:t xml:space="preserve">建立设备使用档案</w:t>
      </w:r>
      <w:r>
        <w:rPr>
          <w:rFonts w:hint="eastAsia"/>
          <w:color w:val="auto"/>
          <w:highlight w:val="none"/>
          <w:lang w:eastAsia="zh-CN"/>
        </w:rPr>
        <w:t xml:space="preserve">，</w:t>
      </w:r>
      <w:r>
        <w:rPr>
          <w:rFonts w:hint="eastAsia"/>
          <w:color w:val="auto"/>
          <w:highlight w:val="none"/>
        </w:rPr>
        <w:t xml:space="preserve">完成固定资产登记</w:t>
      </w:r>
      <w:r>
        <w:rPr>
          <w:rFonts w:hint="eastAsia"/>
          <w:color w:val="auto"/>
          <w:highlight w:val="none"/>
          <w:lang w:eastAsia="zh-CN"/>
        </w:rPr>
        <w:t xml:space="preserve">。</w:t>
      </w:r>
    </w:p>
    <w:p>
      <w:pPr>
        <w:pStyle w:val="Heading2"/>
        <w:bidi w:val="0"/>
        <w:ind w:left="0" w:firstLine="640" w:leftChars="0" w:firstLineChars="200"/>
        <w:jc w:val="both"/>
        <w:outlineLvl w:val="0"/>
        <w:rPr>
          <w:rFonts w:ascii="Times New Roman" w:eastAsia="黑体" w:hAnsi="Times New Roman" w:cs="Times New Roman" w:hint="default"/>
          <w:color w:val="auto"/>
          <w:highlight w:val="none"/>
        </w:rPr>
      </w:pPr>
      <w:bookmarkStart w:id="40" w:name="_Toc22434"/>
      <w:bookmarkStart w:id="41" w:name="_Toc857"/>
      <w:bookmarkStart w:id="42" w:name="_Toc31122"/>
      <w:bookmarkStart w:id="43" w:name="_Toc6534"/>
      <w:bookmarkStart w:id="44" w:name="_Toc25321"/>
      <w:bookmarkStart w:id="45" w:name="_Toc6156"/>
      <w:r>
        <w:rPr>
          <w:rFonts w:ascii="Times New Roman" w:eastAsia="黑体" w:hAnsi="Times New Roman" w:cs="Times New Roman" w:hint="default"/>
          <w:color w:val="auto"/>
          <w:highlight w:val="none"/>
        </w:rPr>
        <w:t xml:space="preserve">二、绩效评价工作开展情况</w:t>
      </w:r>
      <w:bookmarkEnd w:id="40"/>
      <w:bookmarkEnd w:id="41"/>
      <w:bookmarkEnd w:id="42"/>
      <w:bookmarkEnd w:id="43"/>
      <w:bookmarkEnd w:id="44"/>
      <w:bookmarkEnd w:id="45"/>
    </w:p>
    <w:p>
      <w:pPr>
        <w:pStyle w:val="Heading3"/>
        <w:bidi w:val="0"/>
        <w:jc w:val="both"/>
        <w:outlineLvl w:val="1"/>
        <w:rPr>
          <w:rFonts w:ascii="Times New Roman" w:eastAsia="楷体" w:hAnsi="Times New Roman" w:cs="Times New Roman" w:hint="default"/>
          <w:color w:val="auto"/>
          <w:highlight w:val="none"/>
        </w:rPr>
      </w:pPr>
      <w:bookmarkStart w:id="46" w:name="_Toc17516"/>
      <w:bookmarkStart w:id="47" w:name="_Toc30569"/>
      <w:bookmarkStart w:id="48" w:name="_Toc10300"/>
      <w:bookmarkStart w:id="49" w:name="_Toc32557"/>
      <w:bookmarkStart w:id="50" w:name="_Toc12665"/>
      <w:r>
        <w:rPr>
          <w:rFonts w:ascii="Times New Roman" w:eastAsia="楷体" w:hAnsi="Times New Roman" w:cs="Times New Roman" w:hint="default"/>
          <w:color w:val="auto"/>
          <w:highlight w:val="none"/>
        </w:rPr>
        <w:t xml:space="preserve">（一）绩效评价目的、对象和范围</w:t>
      </w:r>
      <w:bookmarkEnd w:id="46"/>
      <w:bookmarkEnd w:id="47"/>
      <w:bookmarkEnd w:id="48"/>
      <w:bookmarkEnd w:id="49"/>
      <w:bookmarkEnd w:id="50"/>
    </w:p>
    <w:p>
      <w:pPr>
        <w:bidi w:val="0"/>
        <w:jc w:val="both"/>
        <w:rPr>
          <w:rFonts w:ascii="Times New Roman" w:eastAsia="仿宋_GB2312" w:hAnsi="Times New Roman" w:cs="Times New Roman" w:hint="default"/>
          <w:b/>
          <w:bCs/>
          <w:color w:val="auto"/>
          <w:highlight w:val="none"/>
        </w:rPr>
      </w:pPr>
      <w:bookmarkStart w:id="51" w:name="_Toc11562"/>
      <w:bookmarkStart w:id="52" w:name="_Toc12440"/>
      <w:r>
        <w:rPr>
          <w:rFonts w:ascii="Times New Roman" w:eastAsia="仿宋_GB2312" w:hAnsi="Times New Roman" w:cs="Times New Roman" w:hint="default"/>
          <w:b/>
          <w:bCs/>
          <w:color w:val="auto"/>
          <w:highlight w:val="none"/>
        </w:rPr>
        <w:t xml:space="preserve">1.绩效评价目的</w:t>
      </w:r>
      <w:bookmarkEnd w:id="51"/>
      <w:bookmarkEnd w:id="52"/>
    </w:p>
    <w:p>
      <w:pPr>
        <w:rPr>
          <w:color w:val="auto"/>
          <w:highlight w:val="none"/>
        </w:rPr>
      </w:pPr>
      <w:r>
        <w:rPr>
          <w:rFonts w:ascii="Times New Roman" w:hAnsi="Times New Roman" w:cs="Times New Roman" w:hint="default"/>
          <w:color w:val="auto"/>
          <w:highlight w:val="none"/>
        </w:rPr>
        <w:t xml:space="preserve">本次绩效评价遵循财政部《关于印发</w:t>
      </w:r>
      <w:r>
        <w:rPr>
          <w:rFonts w:ascii="Times New Roman" w:hAnsi="Times New Roman" w:cs="Times New Roman" w:hint="default"/>
          <w:color w:val="auto"/>
          <w:highlight w:val="none"/>
          <w:lang w:eastAsia="zh-CN"/>
        </w:rPr>
        <w:t xml:space="preserve">〈</w:t>
      </w:r>
      <w:r>
        <w:rPr>
          <w:rFonts w:ascii="Times New Roman" w:hAnsi="Times New Roman" w:cs="Times New Roman" w:hint="default"/>
          <w:color w:val="auto"/>
          <w:highlight w:val="none"/>
        </w:rPr>
        <w:t xml:space="preserve">项目支出绩效评价管理办法</w:t>
      </w:r>
      <w:r>
        <w:rPr>
          <w:rFonts w:ascii="Times New Roman" w:hAnsi="Times New Roman" w:cs="Times New Roman" w:hint="default"/>
          <w:color w:val="auto"/>
          <w:highlight w:val="none"/>
          <w:lang w:eastAsia="zh-CN"/>
        </w:rPr>
        <w:t xml:space="preserve">〉</w:t>
      </w:r>
      <w:r>
        <w:rPr>
          <w:rFonts w:ascii="Times New Roman" w:hAnsi="Times New Roman" w:cs="Times New Roman" w:hint="default"/>
          <w:color w:val="auto"/>
          <w:highlight w:val="none"/>
        </w:rPr>
        <w:t xml:space="preserve">的通知》（财预〔2020〕10号）文件精神，对</w:t>
      </w:r>
      <w:r>
        <w:rPr>
          <w:rFonts w:ascii="Times New Roman" w:hAnsi="Times New Roman" w:cs="Times New Roman" w:hint="eastAsia"/>
          <w:color w:val="auto"/>
          <w:highlight w:val="none"/>
          <w:lang w:eastAsia="zh-CN"/>
        </w:rPr>
        <w:t xml:space="preserve">2024年中央医疗服务与保障能力提升（公立医院综合改革）补助</w:t>
      </w:r>
      <w:r>
        <w:rPr>
          <w:rFonts w:ascii="Times New Roman" w:hAnsi="Times New Roman" w:cs="Times New Roman" w:hint="default"/>
          <w:color w:val="auto"/>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3" w:name="OLE_LINK7"/>
      <w:bookmarkStart w:id="54" w:name="OLE_LINK1"/>
      <w:r>
        <w:rPr>
          <w:rFonts w:hint="eastAsia"/>
          <w:color w:val="auto"/>
          <w:highlight w:val="none"/>
        </w:rPr>
        <w:t xml:space="preserve">具体绩效评价的目的细分如下：</w:t>
      </w:r>
    </w:p>
    <w:p>
      <w:pPr>
        <w:ind w:firstLine="560"/>
        <w:rPr>
          <w:color w:val="auto"/>
          <w:highlight w:val="none"/>
        </w:rPr>
      </w:pPr>
      <w:r>
        <w:rPr>
          <w:rFonts w:hint="eastAsia"/>
          <w:color w:val="auto"/>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 xml:space="preserve">，</w:t>
      </w:r>
      <w:r>
        <w:rPr>
          <w:rFonts w:hint="eastAsia"/>
          <w:color w:val="auto"/>
          <w:highlight w:val="none"/>
        </w:rPr>
        <w:t xml:space="preserve">提升财政资金的使用效能。</w:t>
      </w:r>
    </w:p>
    <w:p>
      <w:pPr>
        <w:ind w:firstLine="560"/>
        <w:rPr>
          <w:color w:val="auto"/>
          <w:highlight w:val="none"/>
        </w:rPr>
      </w:pPr>
      <w:r>
        <w:rPr>
          <w:rFonts w:hint="eastAsia"/>
          <w:color w:val="auto"/>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ind w:firstLine="560"/>
        <w:rPr>
          <w:color w:val="auto"/>
          <w:highlight w:val="none"/>
        </w:rPr>
      </w:pPr>
      <w:r>
        <w:rPr>
          <w:rFonts w:hint="eastAsia"/>
          <w:color w:val="auto"/>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rPr>
          <w:rFonts w:hint="default"/>
          <w:color w:val="auto"/>
          <w:highlight w:val="none"/>
        </w:rPr>
      </w:pPr>
      <w:r>
        <w:rPr>
          <w:rFonts w:hint="eastAsia"/>
          <w:color w:val="auto"/>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3"/>
      <w:bookmarkEnd w:id="54"/>
    </w:p>
    <w:p>
      <w:pPr>
        <w:bidi w:val="0"/>
        <w:jc w:val="both"/>
        <w:rPr>
          <w:rFonts w:ascii="Times New Roman" w:eastAsia="仿宋_GB2312" w:hAnsi="Times New Roman" w:cs="Times New Roman" w:hint="default"/>
          <w:b/>
          <w:bCs/>
          <w:color w:val="auto"/>
          <w:highlight w:val="none"/>
        </w:rPr>
      </w:pPr>
      <w:bookmarkStart w:id="55" w:name="_Toc8924"/>
      <w:bookmarkStart w:id="56" w:name="_Toc2159"/>
      <w:r>
        <w:rPr>
          <w:rFonts w:ascii="Times New Roman" w:eastAsia="仿宋_GB2312" w:hAnsi="Times New Roman" w:cs="Times New Roman" w:hint="default"/>
          <w:b/>
          <w:bCs/>
          <w:color w:val="auto"/>
          <w:highlight w:val="none"/>
        </w:rPr>
        <w:t xml:space="preserve">2.绩效评价对象</w:t>
      </w:r>
      <w:bookmarkEnd w:id="55"/>
      <w:r>
        <w:rPr>
          <w:rFonts w:ascii="Times New Roman" w:eastAsia="仿宋_GB2312" w:hAnsi="Times New Roman" w:cs="Times New Roman" w:hint="default"/>
          <w:b/>
          <w:bCs/>
          <w:color w:val="auto"/>
          <w:highlight w:val="none"/>
        </w:rPr>
        <w:t xml:space="preserve">和范围</w:t>
      </w:r>
      <w:bookmarkEnd w:id="56"/>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根据《财政支出绩效评价管理办法》（财预〔2020〕10号）文件要求，对</w:t>
      </w:r>
      <w:r>
        <w:rPr>
          <w:rFonts w:ascii="Times New Roman" w:hAnsi="Times New Roman" w:cs="Times New Roman" w:hint="eastAsia"/>
          <w:color w:val="auto"/>
          <w:highlight w:val="none"/>
          <w:lang w:eastAsia="zh-CN"/>
        </w:rPr>
        <w:t xml:space="preserve">2024年中央医疗服务与保障能力提升（公立医院综合改革）补助</w:t>
      </w:r>
      <w:r>
        <w:rPr>
          <w:rFonts w:ascii="Times New Roman" w:eastAsia="仿宋_GB2312" w:hAnsi="Times New Roman" w:cs="Times New Roman" w:hint="default"/>
          <w:color w:val="auto"/>
          <w:highlight w:val="none"/>
        </w:rPr>
        <w:t xml:space="preserve">开展绩效评价，本次绩效评价范围主要围绕项目决策（包括项目</w:t>
      </w:r>
      <w:r>
        <w:rPr>
          <w:rFonts w:ascii="Times New Roman" w:hAnsi="Times New Roman" w:cs="Times New Roman" w:hint="eastAsia"/>
          <w:color w:val="auto"/>
          <w:highlight w:val="none"/>
          <w:lang w:eastAsia="zh-CN"/>
        </w:rPr>
        <w:t xml:space="preserve">实施</w:t>
      </w:r>
      <w:r>
        <w:rPr>
          <w:rFonts w:ascii="Times New Roman" w:eastAsia="仿宋_GB2312" w:hAnsi="Times New Roman" w:cs="Times New Roman" w:hint="default"/>
          <w:color w:val="auto"/>
          <w:highlight w:val="none"/>
        </w:rPr>
        <w:t xml:space="preserve">、绩效目标、资金投入）、项目过程（包括资金管理、组织实施）、项目产出（包括产出数量、质量、时效、成本）和项目效益等进行评价。</w:t>
      </w:r>
    </w:p>
    <w:p>
      <w:pPr>
        <w:pStyle w:val="Heading3"/>
        <w:bidi w:val="0"/>
        <w:jc w:val="both"/>
        <w:outlineLvl w:val="1"/>
        <w:rPr>
          <w:rFonts w:ascii="楷体" w:eastAsia="楷体" w:hAnsi="楷体" w:cs="楷体" w:hint="eastAsia"/>
          <w:color w:val="auto"/>
          <w:highlight w:val="none"/>
        </w:rPr>
      </w:pPr>
      <w:bookmarkStart w:id="57" w:name="_Toc17158"/>
      <w:bookmarkStart w:id="58" w:name="_Toc15409"/>
      <w:bookmarkStart w:id="59" w:name="_Toc19566"/>
      <w:bookmarkStart w:id="60" w:name="_Toc13496"/>
      <w:bookmarkStart w:id="61" w:name="_Toc3454"/>
      <w:r>
        <w:rPr>
          <w:rFonts w:ascii="楷体" w:eastAsia="楷体" w:hAnsi="楷体" w:cs="楷体" w:hint="eastAsia"/>
          <w:color w:val="auto"/>
          <w:highlight w:val="none"/>
        </w:rPr>
        <w:t xml:space="preserve">（二）绩效评价原则、评价指标体系、评价方法、评价标准</w:t>
      </w:r>
      <w:bookmarkEnd w:id="57"/>
      <w:bookmarkEnd w:id="58"/>
      <w:bookmarkEnd w:id="59"/>
      <w:bookmarkEnd w:id="60"/>
      <w:bookmarkEnd w:id="61"/>
    </w:p>
    <w:p>
      <w:pPr>
        <w:bidi w:val="0"/>
        <w:jc w:val="both"/>
        <w:rPr>
          <w:rFonts w:ascii="Times New Roman" w:eastAsia="仿宋_GB2312" w:hAnsi="Times New Roman" w:cs="Times New Roman" w:hint="default"/>
          <w:b/>
          <w:bCs/>
          <w:color w:val="auto"/>
          <w:highlight w:val="none"/>
        </w:rPr>
      </w:pPr>
      <w:bookmarkStart w:id="62" w:name="_Toc23487"/>
      <w:bookmarkStart w:id="63" w:name="_Toc18268"/>
      <w:r>
        <w:rPr>
          <w:rFonts w:ascii="Times New Roman" w:eastAsia="仿宋_GB2312" w:hAnsi="Times New Roman" w:cs="Times New Roman" w:hint="default"/>
          <w:b/>
          <w:bCs/>
          <w:color w:val="auto"/>
          <w:highlight w:val="none"/>
        </w:rPr>
        <w:t xml:space="preserve">1.绩效评价原则</w:t>
      </w:r>
      <w:bookmarkEnd w:id="62"/>
      <w:bookmarkEnd w:id="63"/>
    </w:p>
    <w:p>
      <w:pPr>
        <w:ind w:firstLine="560"/>
        <w:rPr>
          <w:color w:val="auto"/>
          <w:highlight w:val="none"/>
        </w:rPr>
      </w:pPr>
      <w:bookmarkStart w:id="64" w:name="OLE_LINK8"/>
      <w:bookmarkStart w:id="65" w:name="OLE_LINK2"/>
      <w:r>
        <w:rPr>
          <w:rFonts w:hint="eastAsia"/>
          <w:color w:val="auto"/>
          <w:highlight w:val="none"/>
        </w:rPr>
        <w:t xml:space="preserve">依据《中华人民共和国预算法》《中共中央国务院关于全面实施预算绩效管理的意见》（中发〔2018〕34号）《项目支出绩效评价管理办法》（财预〔2020〕10号</w:t>
      </w:r>
      <w:r>
        <w:rPr>
          <w:rFonts w:hint="eastAsia"/>
          <w:color w:val="auto"/>
          <w:highlight w:val="none"/>
          <w:lang w:eastAsia="zh-CN"/>
        </w:rPr>
        <w:t xml:space="preserve">）</w:t>
      </w:r>
      <w:r>
        <w:rPr>
          <w:rFonts w:hint="eastAsia"/>
          <w:color w:val="auto"/>
          <w:highlight w:val="none"/>
        </w:rPr>
        <w:t xml:space="preserve">《自治区党委自治区人民政府关于全面实施预算绩效管理的实施意见》（新党发〔2018〕30号）《自治区财政支出绩效评价管理暂行办法》（新财预〔2018〕189号）等要求，绩效评价应遵循如下原则：</w:t>
      </w:r>
      <w:bookmarkEnd w:id="64"/>
      <w:bookmarkEnd w:id="65"/>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（1）科学公正。绩效评价应当运用科学合理的方法，按照规范的程序，对项目绩效进行客观、</w:t>
      </w:r>
      <w:r>
        <w:rPr>
          <w:rFonts w:ascii="Times New Roman" w:eastAsia="仿宋_GB2312" w:hAnsi="Times New Roman" w:cs="Times New Roman" w:hint="default"/>
          <w:color w:val="auto"/>
          <w:highlight w:val="none"/>
          <w:lang w:eastAsia="zh-CN"/>
        </w:rPr>
        <w:t xml:space="preserve">公正地反映</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（2）统筹兼顾。单位自评应由项目单位自主实施，即“谁支出、谁自评”。</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（3）激励约束。绩效评价结果应与预算安排、政策调整、改进管理实质性挂钩，体现奖优罚劣和激励相容导向，有效要安排、低效要压减、无效要问责。</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（4）公开透明。</w:t>
      </w:r>
      <w:r>
        <w:rPr>
          <w:rFonts w:ascii="Times New Roman" w:eastAsia="仿宋_GB2312" w:hAnsi="Times New Roman" w:cs="Times New Roman" w:hint="default"/>
          <w:color w:val="auto"/>
          <w:highlight w:val="none"/>
          <w:lang w:val="en-US" w:eastAsia="zh-CN"/>
        </w:rPr>
        <w:t xml:space="preserve">本次项目支出绩效评价结果已依法依规在</w:t>
      </w: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lang w:val="en-US" w:eastAsia="zh-CN"/>
        </w:rPr>
        <w:t xml:space="preserve">县人民政府网站上公开，并自觉接受社会监督</w:t>
      </w:r>
      <w:r>
        <w:rPr>
          <w:rFonts w:ascii="Times New Roman" w:eastAsia="仿宋_GB2312" w:hAnsi="Times New Roman" w:cs="Times New Roman" w:hint="default"/>
          <w:color w:val="auto"/>
          <w:highlight w:val="none"/>
        </w:rPr>
        <w:t xml:space="preserve">。</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bookmarkStart w:id="66" w:name="OLE_LINK9"/>
      <w:bookmarkStart w:id="67" w:name="OLE_LINK3"/>
      <w:bookmarkStart w:id="68" w:name="_Toc28342"/>
      <w:bookmarkStart w:id="69" w:name="_Toc23112"/>
      <w:r>
        <w:rPr>
          <w:rFonts w:hint="eastAsia"/>
          <w:color w:val="auto"/>
          <w:highlight w:val="none"/>
        </w:rPr>
        <w:t xml:space="preserve">根据以上原则</w:t>
      </w:r>
      <w:r>
        <w:rPr>
          <w:rFonts w:hint="eastAsia"/>
          <w:color w:val="auto"/>
          <w:highlight w:val="none"/>
          <w:lang w:eastAsia="zh-CN"/>
        </w:rPr>
        <w:t xml:space="preserve">，</w:t>
      </w:r>
      <w:r>
        <w:rPr>
          <w:rFonts w:hint="eastAsia"/>
          <w:color w:val="auto"/>
          <w:highlight w:val="none"/>
        </w:rPr>
        <w:t xml:space="preserve">绩效评价应遵循如下要求:</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r>
        <w:rPr>
          <w:rFonts w:hint="eastAsia"/>
          <w:color w:val="auto"/>
          <w:highlight w:val="none"/>
        </w:rPr>
        <w:t xml:space="preserve">（1）在数据采集时</w:t>
      </w:r>
      <w:r>
        <w:rPr>
          <w:rFonts w:hint="eastAsia"/>
          <w:color w:val="auto"/>
          <w:highlight w:val="none"/>
          <w:lang w:eastAsia="zh-CN"/>
        </w:rPr>
        <w:t xml:space="preserve">，</w:t>
      </w:r>
      <w:r>
        <w:rPr>
          <w:rFonts w:hint="eastAsia"/>
          <w:color w:val="auto"/>
          <w:highlight w:val="none"/>
        </w:rPr>
        <w:t xml:space="preserve">采取客观数据</w:t>
      </w:r>
      <w:r>
        <w:rPr>
          <w:rFonts w:hint="eastAsia"/>
          <w:color w:val="auto"/>
          <w:highlight w:val="none"/>
          <w:lang w:eastAsia="zh-CN"/>
        </w:rPr>
        <w:t xml:space="preserve">，</w:t>
      </w:r>
      <w:r>
        <w:rPr>
          <w:rFonts w:hint="eastAsia"/>
          <w:color w:val="auto"/>
          <w:highlight w:val="none"/>
        </w:rPr>
        <w:t xml:space="preserve">主管部门审查、社会中介组织复查</w:t>
      </w:r>
      <w:r>
        <w:rPr>
          <w:rFonts w:hint="eastAsia"/>
          <w:color w:val="auto"/>
          <w:highlight w:val="none"/>
          <w:lang w:eastAsia="zh-CN"/>
        </w:rPr>
        <w:t xml:space="preserve">，</w:t>
      </w:r>
      <w:r>
        <w:rPr>
          <w:rFonts w:hint="eastAsia"/>
          <w:color w:val="auto"/>
          <w:highlight w:val="none"/>
        </w:rPr>
        <w:t xml:space="preserve">与问卷调查相结合的形式</w:t>
      </w:r>
      <w:r>
        <w:rPr>
          <w:rFonts w:hint="eastAsia"/>
          <w:color w:val="auto"/>
          <w:highlight w:val="none"/>
          <w:lang w:eastAsia="zh-CN"/>
        </w:rPr>
        <w:t xml:space="preserve">，</w:t>
      </w:r>
      <w:r>
        <w:rPr>
          <w:rFonts w:hint="eastAsia"/>
          <w:color w:val="auto"/>
          <w:highlight w:val="none"/>
        </w:rPr>
        <w:t xml:space="preserve">以保证各项指标的真实性。</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r>
        <w:rPr>
          <w:rFonts w:hint="eastAsia"/>
          <w:color w:val="auto"/>
          <w:highlight w:val="none"/>
        </w:rPr>
        <w:t xml:space="preserve">（2）保证评价结果的真实性、公正性</w:t>
      </w:r>
      <w:r>
        <w:rPr>
          <w:rFonts w:hint="eastAsia"/>
          <w:color w:val="auto"/>
          <w:highlight w:val="none"/>
          <w:lang w:eastAsia="zh-CN"/>
        </w:rPr>
        <w:t xml:space="preserve">，</w:t>
      </w:r>
      <w:r>
        <w:rPr>
          <w:rFonts w:hint="eastAsia"/>
          <w:color w:val="auto"/>
          <w:highlight w:val="none"/>
        </w:rPr>
        <w:t xml:space="preserve">提高评价报告的公信力。</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r>
        <w:rPr>
          <w:rFonts w:hint="eastAsia"/>
          <w:color w:val="auto"/>
          <w:highlight w:val="none"/>
        </w:rPr>
        <w:t xml:space="preserve">（3）</w:t>
      </w:r>
      <w:r>
        <w:rPr>
          <w:rFonts w:hint="eastAsia"/>
          <w:color w:val="auto"/>
          <w:highlight w:val="none"/>
          <w:lang w:val="en-US" w:eastAsia="zh-CN"/>
        </w:rPr>
        <w:t xml:space="preserve">绩效</w:t>
      </w:r>
      <w:r>
        <w:rPr>
          <w:rFonts w:hint="eastAsia"/>
          <w:color w:val="auto"/>
          <w:highlight w:val="none"/>
        </w:rPr>
        <w:t xml:space="preserve">评价报告应当简明扼要</w:t>
      </w:r>
      <w:r>
        <w:rPr>
          <w:rFonts w:hint="eastAsia"/>
          <w:color w:val="auto"/>
          <w:highlight w:val="none"/>
          <w:lang w:eastAsia="zh-CN"/>
        </w:rPr>
        <w:t xml:space="preserve">，</w:t>
      </w:r>
      <w:r>
        <w:rPr>
          <w:rFonts w:hint="eastAsia"/>
          <w:color w:val="auto"/>
          <w:highlight w:val="none"/>
        </w:rPr>
        <w:t xml:space="preserve">除了对绩效评价的过程、结果描述外</w:t>
      </w:r>
      <w:r>
        <w:rPr>
          <w:rFonts w:hint="eastAsia"/>
          <w:color w:val="auto"/>
          <w:highlight w:val="none"/>
          <w:lang w:eastAsia="zh-CN"/>
        </w:rPr>
        <w:t xml:space="preserve">，</w:t>
      </w:r>
      <w:r>
        <w:rPr>
          <w:rFonts w:hint="eastAsia"/>
          <w:color w:val="auto"/>
          <w:highlight w:val="none"/>
        </w:rPr>
        <w:t xml:space="preserve">还应总结经验</w:t>
      </w:r>
      <w:r>
        <w:rPr>
          <w:rFonts w:hint="eastAsia"/>
          <w:color w:val="auto"/>
          <w:highlight w:val="none"/>
          <w:lang w:eastAsia="zh-CN"/>
        </w:rPr>
        <w:t xml:space="preserve">，</w:t>
      </w:r>
      <w:r>
        <w:rPr>
          <w:rFonts w:hint="eastAsia"/>
          <w:color w:val="auto"/>
          <w:highlight w:val="none"/>
        </w:rPr>
        <w:t xml:space="preserve">指出问题</w:t>
      </w:r>
      <w:r>
        <w:rPr>
          <w:rFonts w:hint="eastAsia"/>
          <w:color w:val="auto"/>
          <w:highlight w:val="none"/>
          <w:lang w:eastAsia="zh-CN"/>
        </w:rPr>
        <w:t xml:space="preserve">，</w:t>
      </w:r>
      <w:r>
        <w:rPr>
          <w:rFonts w:hint="eastAsia"/>
          <w:color w:val="auto"/>
          <w:highlight w:val="none"/>
        </w:rPr>
        <w:t xml:space="preserve">并就共性问题提出可操作性改进建议。评价工作组本着科学规范、公平公正、绩效相关的原则，采用全面、重点、现场和非现场相结合的方式进行评价。</w:t>
      </w:r>
      <w:bookmarkEnd w:id="66"/>
      <w:bookmarkEnd w:id="67"/>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2.评价指标体系</w:t>
      </w:r>
      <w:bookmarkEnd w:id="68"/>
      <w:bookmarkEnd w:id="69"/>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eastAsia="zh-CN"/>
        </w:rPr>
        <w:t xml:space="preserve">2024年中央医疗服务与保障能力提升（公立医院综合改革）补助</w:t>
      </w:r>
      <w:r>
        <w:rPr>
          <w:rFonts w:ascii="Times New Roman" w:eastAsia="仿宋_GB2312" w:hAnsi="Times New Roman" w:cs="Times New Roman" w:hint="default"/>
          <w:color w:val="auto"/>
          <w:highlight w:val="none"/>
        </w:rPr>
        <w:t xml:space="preserve">绩效评价（部门自评）指标体系的设计，是在充分掌握项目状况的基础上，形成了</w:t>
      </w:r>
      <w:r>
        <w:rPr>
          <w:rFonts w:ascii="Times New Roman" w:hAnsi="Times New Roman" w:cs="Times New Roman" w:hint="eastAsia"/>
          <w:color w:val="auto"/>
          <w:highlight w:val="none"/>
          <w:lang w:eastAsia="zh-CN"/>
        </w:rPr>
        <w:t xml:space="preserve">2024年中央医疗服务与保障能力提升（公立医院综合改革）补助</w:t>
      </w:r>
      <w:r>
        <w:rPr>
          <w:rFonts w:ascii="Times New Roman" w:eastAsia="仿宋_GB2312" w:hAnsi="Times New Roman" w:cs="Times New Roman" w:hint="default"/>
          <w:color w:val="auto"/>
          <w:highlight w:val="none"/>
        </w:rPr>
        <w:t xml:space="preserve">的项目支出绩效评价指标体系（部门自评）。本项目设计绩效评价指标体系满分100分。四个级别分别是：优、良、中、差，90（含）-100分为优、80（含）-90分为良、60（含）-80分为中、60分以下为差。</w:t>
      </w:r>
    </w:p>
    <w:p>
      <w:pPr>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按照财预〔2020〕10号文件关于“原则上产出、效益指标权重不低于60%”的要求，本项目产出、效益指标权重60%（即60分）。</w:t>
      </w:r>
      <w:bookmarkStart w:id="70" w:name="_Toc10631"/>
      <w:bookmarkStart w:id="71" w:name="_Toc15680"/>
      <w:r>
        <w:rPr>
          <w:rFonts w:ascii="Times New Roman" w:eastAsia="仿宋_GB2312" w:hAnsi="Times New Roman" w:cs="Times New Roman" w:hint="default"/>
          <w:color w:val="auto"/>
          <w:highlight w:val="none"/>
        </w:rPr>
        <w:t xml:space="preserve">（详见：附表2）</w:t>
      </w:r>
    </w:p>
    <w:p>
      <w:pPr>
        <w:bidi w:val="0"/>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3.绩效评价方法</w:t>
      </w:r>
      <w:bookmarkEnd w:id="70"/>
      <w:bookmarkEnd w:id="71"/>
    </w:p>
    <w:p>
      <w:pPr>
        <w:keepNext w:val="0"/>
        <w:keepLines w:val="0"/>
        <w:widowControl/>
        <w:suppressLineNumbers w:val="0"/>
        <w:jc w:val="left"/>
        <w:rPr>
          <w:color w:val="auto"/>
          <w:sz w:val="32"/>
          <w:szCs w:val="32"/>
          <w:highlight w:val="none"/>
        </w:rPr>
      </w:pPr>
      <w:bookmarkStart w:id="72" w:name="OLE_LINK10"/>
      <w:r>
        <w:rPr>
          <w:rFonts w:ascii="仿宋_GB2312" w:eastAsia="仿宋_GB2312" w:hAnsi="宋体" w:cs="仿宋_GB2312"/>
          <w:color w:val="auto"/>
          <w:kern w:val="0"/>
          <w:sz w:val="32"/>
          <w:szCs w:val="32"/>
          <w:highlight w:val="none"/>
          <w:lang w:val="en-US" w:eastAsia="zh-CN"/>
        </w:rPr>
        <w:t xml:space="preserve">绩效评价从项目决策、项目过程、项目产出、项目效益四</w:t>
      </w:r>
      <w:r>
        <w:rPr>
          <w:rFonts w:ascii="仿宋_GB2312" w:eastAsia="仿宋_GB2312" w:hAnsi="宋体" w:cs="仿宋_GB2312" w:hint="eastAsia"/>
          <w:color w:val="auto"/>
          <w:kern w:val="0"/>
          <w:sz w:val="32"/>
          <w:szCs w:val="32"/>
          <w:highlight w:val="none"/>
          <w:lang w:val="en-US" w:eastAsia="zh-CN"/>
        </w:rPr>
        <w:t xml:space="preserve">个维度进行评价。评价对象为项目目标实施情况，评价核心为资金的支出完成情况和项目的产出效益。</w:t>
      </w:r>
      <w:bookmarkEnd w:id="72"/>
    </w:p>
    <w:p>
      <w:pPr>
        <w:bidi w:val="0"/>
        <w:jc w:val="both"/>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rPr>
        <w:t xml:space="preserve">结合</w:t>
      </w:r>
      <w:r>
        <w:rPr>
          <w:rFonts w:ascii="Times New Roman" w:hAnsi="Times New Roman" w:cs="Times New Roman" w:hint="eastAsia"/>
          <w:color w:val="auto"/>
          <w:highlight w:val="none"/>
          <w:lang w:eastAsia="zh-CN"/>
        </w:rPr>
        <w:t xml:space="preserve">2024年中央医疗服务与保障能力提升（公立医院综合改革）补助</w:t>
      </w:r>
      <w:r>
        <w:rPr>
          <w:rFonts w:ascii="Times New Roman" w:eastAsia="仿宋_GB2312" w:hAnsi="Times New Roman" w:cs="Times New Roman" w:hint="default"/>
          <w:color w:val="auto"/>
          <w:highlight w:val="none"/>
        </w:rPr>
        <w:t xml:space="preserve">的特点，</w:t>
      </w:r>
      <w:r>
        <w:rPr>
          <w:rFonts w:ascii="Times New Roman" w:hAnsi="Times New Roman" w:cs="Times New Roman" w:hint="eastAsia"/>
          <w:color w:val="auto"/>
          <w:highlight w:val="none"/>
          <w:lang w:eastAsia="zh-CN"/>
        </w:rPr>
        <w:t xml:space="preserve">选用比较法。</w:t>
      </w:r>
      <w:r>
        <w:rPr>
          <w:rFonts w:ascii="Times New Roman" w:hAnsi="Times New Roman" w:cs="Times New Roman" w:hint="eastAsia"/>
          <w:color w:val="auto"/>
          <w:highlight w:val="none"/>
          <w:shd w:val="clear" w:color="auto" w:fill="FFFFFF"/>
          <w:lang w:eastAsia="zh-CN"/>
        </w:rPr>
        <w:t xml:space="preserve">比较法：</w:t>
      </w:r>
      <w:r>
        <w:rPr>
          <w:rFonts w:ascii="Times New Roman" w:eastAsia="仿宋_GB2312" w:hAnsi="Times New Roman" w:cs="Times New Roman" w:hint="default"/>
          <w:color w:val="auto"/>
          <w:highlight w:val="none"/>
          <w:lang w:val="en-US" w:eastAsia="zh-CN"/>
        </w:rPr>
        <w:t xml:space="preserve">本项目绩效评价将项目实施情况即实际完成采购数字减影血管造影机</w:t>
      </w:r>
      <w:r>
        <w:rPr>
          <w:rFonts w:ascii="Times New Roman" w:hAnsi="Times New Roman" w:cs="Times New Roman" w:hint="eastAsia"/>
          <w:color w:val="auto"/>
          <w:highlight w:val="none"/>
          <w:lang w:val="en-US" w:eastAsia="zh-CN"/>
        </w:rPr>
        <w:t xml:space="preserve">1台、设备验收合格率、设备质量合格率、购置设备投入金</w:t>
      </w:r>
      <w:r>
        <w:rPr>
          <w:rFonts w:ascii="Times New Roman" w:eastAsia="仿宋_GB2312" w:hAnsi="Times New Roman" w:cs="Times New Roman" w:hint="eastAsia"/>
          <w:color w:val="auto"/>
          <w:highlight w:val="none"/>
          <w:lang w:val="en-US" w:eastAsia="zh-CN"/>
        </w:rPr>
        <w:t xml:space="preserve">额</w:t>
      </w:r>
      <w:r>
        <w:rPr>
          <w:rFonts w:ascii="Times New Roman" w:eastAsia="仿宋_GB2312" w:hAnsi="Times New Roman" w:cs="Times New Roman" w:hint="default"/>
          <w:color w:val="auto"/>
          <w:highlight w:val="none"/>
          <w:lang w:val="en-US" w:eastAsia="zh-CN"/>
        </w:rPr>
        <w:t xml:space="preserve">等指标与年初设定的目标值进行比较。</w:t>
      </w:r>
      <w:bookmarkStart w:id="73" w:name="_Toc3155"/>
      <w:bookmarkStart w:id="74" w:name="_Toc15525"/>
      <w:r>
        <w:rPr>
          <w:rFonts w:ascii="Times New Roman" w:eastAsia="仿宋_GB2312" w:hAnsi="Times New Roman" w:cs="Times New Roman" w:hint="eastAsia"/>
          <w:color w:val="auto"/>
          <w:highlight w:val="none"/>
          <w:lang w:val="en-US" w:eastAsia="zh-CN"/>
        </w:rPr>
        <w:t xml:space="preserve">对高于指标值较多的进行原因分析；对于未完成的指标，参照预期指标值与完成值进行比例计分</w:t>
      </w:r>
      <w:r>
        <w:rPr>
          <w:rFonts w:ascii="Times New Roman" w:eastAsia="仿宋_GB2312" w:hAnsi="Times New Roman" w:cs="Times New Roman" w:hint="default"/>
          <w:color w:val="auto"/>
          <w:highlight w:val="none"/>
          <w:lang w:val="en-US" w:eastAsia="zh-CN"/>
        </w:rPr>
        <w:t xml:space="preserve">。</w:t>
      </w:r>
    </w:p>
    <w:p>
      <w:pPr>
        <w:bidi w:val="0"/>
        <w:ind w:left="0" w:firstLine="640" w:leftChars="0" w:firstLineChars="20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4.绩效评价标准</w:t>
      </w:r>
      <w:bookmarkEnd w:id="73"/>
      <w:bookmarkEnd w:id="74"/>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绩效评价标准通常包括计划标准、行业标准、历史标准等，用于对绩效指标完成情况进行比较。</w:t>
      </w:r>
    </w:p>
    <w:p>
      <w:pPr>
        <w:pStyle w:val="CommentText"/>
        <w:jc w:val="both"/>
        <w:rPr>
          <w:rFonts w:ascii="Times New Roman" w:eastAsia="仿宋_GB2312" w:hAnsi="Times New Roman" w:cs="Times New Roman" w:hint="eastAsia"/>
          <w:color w:val="auto"/>
          <w:highlight w:val="none"/>
          <w:lang w:eastAsia="zh-CN"/>
        </w:rPr>
      </w:pPr>
      <w:r>
        <w:rPr>
          <w:rFonts w:ascii="Times New Roman" w:eastAsia="仿宋_GB2312" w:hAnsi="Times New Roman" w:cs="Times New Roman" w:hint="default"/>
          <w:color w:val="auto"/>
          <w:highlight w:val="none"/>
        </w:rPr>
        <w:t xml:space="preserve">结合</w:t>
      </w:r>
      <w:r>
        <w:rPr>
          <w:rFonts w:ascii="Times New Roman" w:hAnsi="Times New Roman" w:cs="Times New Roman" w:hint="eastAsia"/>
          <w:color w:val="auto"/>
          <w:highlight w:val="none"/>
          <w:lang w:eastAsia="zh-CN"/>
        </w:rPr>
        <w:t xml:space="preserve">2024年中央医疗服务与保障能力提升（公立医院综合改革）补助</w:t>
      </w:r>
      <w:r>
        <w:rPr>
          <w:rFonts w:ascii="Times New Roman" w:eastAsia="仿宋_GB2312" w:hAnsi="Times New Roman" w:cs="Times New Roman" w:hint="default"/>
          <w:color w:val="auto"/>
          <w:highlight w:val="none"/>
        </w:rPr>
        <w:t xml:space="preserve">的特点，</w:t>
      </w:r>
      <w:bookmarkStart w:id="75" w:name="_Toc15381"/>
      <w:bookmarkStart w:id="76" w:name="_Toc30219"/>
      <w:bookmarkStart w:id="77" w:name="_Toc17851"/>
      <w:bookmarkStart w:id="78" w:name="_Toc26411"/>
      <w:r>
        <w:rPr>
          <w:rFonts w:ascii="Times New Roman" w:eastAsia="仿宋_GB2312" w:hAnsi="Times New Roman" w:cs="Times New Roman" w:hint="default"/>
          <w:bCs/>
          <w:color w:val="auto"/>
          <w:kern w:val="2"/>
          <w:sz w:val="32"/>
          <w:szCs w:val="32"/>
          <w:highlight w:val="none"/>
          <w:lang w:val="en-US" w:eastAsia="zh-CN" w:bidi="ar-SA"/>
        </w:rPr>
        <w:t xml:space="preserve">本项目绩效评价以预先制定的</w:t>
      </w:r>
      <w:r>
        <w:rPr>
          <w:rFonts w:ascii="Times New Roman" w:hAnsi="Times New Roman" w:cs="Times New Roman" w:hint="eastAsia"/>
          <w:bCs/>
          <w:color w:val="auto"/>
          <w:kern w:val="2"/>
          <w:sz w:val="32"/>
          <w:szCs w:val="32"/>
          <w:highlight w:val="none"/>
          <w:lang w:val="en-US" w:eastAsia="zh-CN" w:bidi="ar-SA"/>
        </w:rPr>
        <w:t xml:space="preserve">采购数字减影血管造影机1台</w:t>
      </w:r>
      <w:r>
        <w:rPr>
          <w:rFonts w:ascii="Times New Roman" w:eastAsia="仿宋_GB2312" w:hAnsi="Times New Roman" w:cs="Times New Roman" w:hint="default"/>
          <w:bCs/>
          <w:color w:val="auto"/>
          <w:kern w:val="2"/>
          <w:sz w:val="32"/>
          <w:szCs w:val="32"/>
          <w:highlight w:val="none"/>
          <w:lang w:val="en-US" w:eastAsia="zh-CN" w:bidi="ar-SA"/>
        </w:rPr>
        <w:t xml:space="preserve">为计划数作为评价标准；同时参照</w:t>
      </w:r>
      <w:r>
        <w:rPr>
          <w:rFonts w:ascii="Times New Roman" w:eastAsia="仿宋_GB2312" w:hAnsi="Times New Roman" w:cs="Times New Roman" w:hint="default"/>
          <w:b w:val="0"/>
          <w:color w:val="auto"/>
          <w:kern w:val="2"/>
          <w:sz w:val="32"/>
          <w:szCs w:val="22"/>
          <w:highlight w:val="none"/>
          <w:lang w:val="en-US" w:eastAsia="zh-CN" w:bidi="ar-SA"/>
        </w:rPr>
        <w:t xml:space="preserve">有关</w:t>
      </w:r>
      <w:r>
        <w:rPr>
          <w:rFonts w:ascii="Times New Roman" w:hAnsi="Times New Roman" w:cs="Times New Roman" w:hint="eastAsia"/>
          <w:b w:val="0"/>
          <w:color w:val="auto"/>
          <w:kern w:val="2"/>
          <w:sz w:val="32"/>
          <w:szCs w:val="22"/>
          <w:highlight w:val="none"/>
          <w:lang w:val="en-US" w:eastAsia="zh-CN" w:bidi="ar-SA"/>
        </w:rPr>
        <w:t xml:space="preserve">医疗设备</w:t>
      </w:r>
      <w:r>
        <w:rPr>
          <w:rFonts w:ascii="Times New Roman" w:eastAsia="仿宋_GB2312" w:hAnsi="Times New Roman" w:cs="Times New Roman" w:hint="default"/>
          <w:b w:val="0"/>
          <w:color w:val="auto"/>
          <w:kern w:val="2"/>
          <w:sz w:val="32"/>
          <w:szCs w:val="22"/>
          <w:highlight w:val="none"/>
          <w:lang w:val="en-US" w:eastAsia="zh-CN" w:bidi="ar-SA"/>
        </w:rPr>
        <w:t xml:space="preserve">等同类项目的行业标准</w:t>
      </w:r>
      <w:r>
        <w:rPr>
          <w:rFonts w:ascii="Times New Roman" w:eastAsia="仿宋_GB2312" w:hAnsi="Times New Roman" w:cs="Times New Roman" w:hint="default"/>
          <w:bCs/>
          <w:color w:val="auto"/>
          <w:kern w:val="2"/>
          <w:sz w:val="32"/>
          <w:szCs w:val="32"/>
          <w:highlight w:val="none"/>
          <w:lang w:val="en-US" w:eastAsia="zh-CN" w:bidi="ar-SA"/>
        </w:rPr>
        <w:t xml:space="preserve">来制定评价标准。因此，采取的绩效评价标准为：计划标准</w:t>
      </w:r>
      <w:r>
        <w:rPr>
          <w:rFonts w:hint="eastAsia"/>
          <w:color w:val="auto"/>
          <w:highlight w:val="none"/>
          <w:lang w:eastAsia="zh-CN"/>
        </w:rPr>
        <w:t xml:space="preserve">。</w:t>
      </w:r>
    </w:p>
    <w:p>
      <w:pPr>
        <w:pStyle w:val="Heading3"/>
        <w:bidi w:val="0"/>
        <w:jc w:val="both"/>
        <w:outlineLvl w:val="1"/>
        <w:rPr>
          <w:rFonts w:ascii="楷体" w:eastAsia="楷体" w:hAnsi="楷体" w:cs="楷体" w:hint="eastAsia"/>
          <w:color w:val="auto"/>
          <w:highlight w:val="none"/>
        </w:rPr>
      </w:pPr>
      <w:bookmarkStart w:id="79" w:name="_Toc30467"/>
      <w:r>
        <w:rPr>
          <w:rFonts w:ascii="楷体" w:eastAsia="楷体" w:hAnsi="楷体" w:cs="楷体" w:hint="eastAsia"/>
          <w:color w:val="auto"/>
          <w:highlight w:val="none"/>
        </w:rPr>
        <w:t xml:space="preserve">（三）绩效评价工作过程</w:t>
      </w:r>
      <w:bookmarkEnd w:id="75"/>
      <w:bookmarkEnd w:id="76"/>
      <w:bookmarkEnd w:id="77"/>
      <w:bookmarkEnd w:id="78"/>
      <w:bookmarkEnd w:id="79"/>
    </w:p>
    <w:p>
      <w:pPr>
        <w:bidi w:val="0"/>
        <w:jc w:val="both"/>
        <w:rPr>
          <w:rFonts w:ascii="Times New Roman" w:eastAsia="仿宋_GB2312" w:hAnsi="Times New Roman" w:cs="Times New Roman" w:hint="default"/>
          <w:b/>
          <w:bCs/>
          <w:color w:val="auto"/>
          <w:highlight w:val="none"/>
        </w:rPr>
      </w:pPr>
      <w:bookmarkStart w:id="80" w:name="_Toc17595"/>
      <w:bookmarkStart w:id="81" w:name="_Toc30911"/>
      <w:bookmarkStart w:id="82" w:name="_Toc27442"/>
      <w:bookmarkStart w:id="83" w:name="_Toc22987"/>
      <w:bookmarkStart w:id="84" w:name="_Toc31054"/>
      <w:r>
        <w:rPr>
          <w:rFonts w:ascii="Times New Roman" w:eastAsia="仿宋_GB2312" w:hAnsi="Times New Roman" w:cs="Times New Roman" w:hint="default"/>
          <w:b/>
          <w:bCs/>
          <w:color w:val="auto"/>
          <w:highlight w:val="none"/>
        </w:rPr>
        <w:t xml:space="preserve">1.前期准备</w:t>
      </w:r>
      <w:bookmarkEnd w:id="80"/>
      <w:bookmarkEnd w:id="81"/>
      <w:bookmarkEnd w:id="82"/>
      <w:bookmarkEnd w:id="83"/>
      <w:bookmarkEnd w:id="84"/>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2025年2月10日-2025年2月28日）</w:t>
      </w:r>
    </w:p>
    <w:p>
      <w:pPr>
        <w:spacing w:line="600" w:lineRule="exact"/>
        <w:ind w:firstLine="640"/>
        <w:jc w:val="both"/>
        <w:rPr>
          <w:rFonts w:ascii="Times New Roman" w:hAnsi="Times New Roman" w:cs="Times New Roman" w:hint="eastAsia"/>
          <w:bCs/>
          <w:color w:val="auto"/>
          <w:szCs w:val="32"/>
          <w:highlight w:val="none"/>
          <w:lang w:eastAsia="zh-CN"/>
        </w:rPr>
      </w:pPr>
      <w:bookmarkStart w:id="85" w:name="_Toc2579"/>
      <w:r>
        <w:rPr>
          <w:rFonts w:ascii="Times New Roman" w:eastAsia="仿宋_GB2312" w:hAnsi="Times New Roman" w:cs="Times New Roman" w:hint="default"/>
          <w:bCs/>
          <w:color w:val="auto"/>
          <w:szCs w:val="32"/>
          <w:highlight w:val="none"/>
        </w:rPr>
        <w:t xml:space="preserve">按照《项目支出绩效评价管理办法》（财预〔2020〕10号）文件要求，</w:t>
      </w:r>
      <w:r>
        <w:rPr>
          <w:rFonts w:ascii="Times New Roman" w:hAnsi="Times New Roman" w:cs="Times New Roman" w:hint="eastAsia"/>
          <w:color w:val="auto"/>
          <w:highlight w:val="none"/>
          <w:lang w:val="en-US" w:eastAsia="zh-CN"/>
        </w:rPr>
        <w:t xml:space="preserve">尉犁县人民医院</w:t>
      </w:r>
      <w:r>
        <w:rPr>
          <w:rFonts w:ascii="Times New Roman" w:eastAsia="仿宋_GB2312" w:hAnsi="Times New Roman" w:cs="Times New Roman" w:hint="default"/>
          <w:bCs/>
          <w:color w:val="auto"/>
          <w:szCs w:val="32"/>
          <w:highlight w:val="none"/>
        </w:rPr>
        <w:t xml:space="preserve">成立了绩效评价小组，对项目实施的全过程，收集、整理项目实施的相关资料，了解项目实施情况和资金支付情况。从项目内容出发，结合项目预期目标，制定绩效评价的指标体系。</w:t>
      </w:r>
      <w:r>
        <w:rPr>
          <w:rFonts w:ascii="Times New Roman" w:hAnsi="Times New Roman" w:cs="Times New Roman" w:hint="eastAsia"/>
          <w:bCs/>
          <w:color w:val="auto"/>
          <w:szCs w:val="32"/>
          <w:highlight w:val="none"/>
          <w:lang w:eastAsia="zh-CN"/>
        </w:rPr>
        <w:t xml:space="preserve">绩效评价工作小组人员名单及分工如下：</w:t>
      </w:r>
    </w:p>
    <w:p>
      <w:pPr>
        <w:pStyle w:val="Heading3"/>
        <w:rPr>
          <w:rFonts w:ascii="Times New Roman" w:eastAsia="仿宋_GB2312" w:hAnsi="Times New Roman" w:cs="Times New Roman" w:hint="eastAsia"/>
          <w:b w:val="0"/>
          <w:bCs/>
          <w:color w:val="auto"/>
          <w:kern w:val="2"/>
          <w:sz w:val="32"/>
          <w:szCs w:val="32"/>
          <w:highlight w:val="none"/>
          <w:lang w:val="en-US" w:eastAsia="zh-CN" w:bidi="ar-SA"/>
        </w:rPr>
      </w:pPr>
      <w:r>
        <w:rPr>
          <w:rFonts w:ascii="Times New Roman" w:eastAsia="仿宋_GB2312" w:hAnsi="Times New Roman" w:cs="Times New Roman" w:hint="eastAsia"/>
          <w:b w:val="0"/>
          <w:bCs/>
          <w:color w:val="auto"/>
          <w:kern w:val="2"/>
          <w:sz w:val="32"/>
          <w:szCs w:val="32"/>
          <w:highlight w:val="none"/>
          <w:lang w:val="en-US" w:eastAsia="zh-CN" w:bidi="ar-SA"/>
        </w:rPr>
        <w:t xml:space="preserve">评价小组组长：王超东  主要负责协调相关科室、部门对项目整体运行情况进行验收、评估。</w:t>
      </w:r>
    </w:p>
    <w:p>
      <w:pPr>
        <w:rPr>
          <w:rFonts w:ascii="Times New Roman" w:eastAsia="仿宋_GB2312" w:hAnsi="Times New Roman" w:cs="Times New Roman" w:hint="default"/>
          <w:b w:val="0"/>
          <w:bCs/>
          <w:color w:val="auto"/>
          <w:kern w:val="2"/>
          <w:sz w:val="32"/>
          <w:szCs w:val="32"/>
          <w:highlight w:val="none"/>
          <w:lang w:val="en-US" w:eastAsia="zh-CN" w:bidi="ar-SA"/>
        </w:rPr>
      </w:pPr>
      <w:r>
        <w:rPr>
          <w:rFonts w:ascii="Times New Roman" w:eastAsia="仿宋_GB2312" w:hAnsi="Times New Roman" w:cs="Times New Roman" w:hint="eastAsia"/>
          <w:b w:val="0"/>
          <w:bCs/>
          <w:color w:val="auto"/>
          <w:kern w:val="2"/>
          <w:sz w:val="32"/>
          <w:szCs w:val="32"/>
          <w:highlight w:val="none"/>
          <w:lang w:val="en-US" w:eastAsia="zh-CN" w:bidi="ar-SA"/>
        </w:rPr>
        <w:t xml:space="preserve">评价小组成员：</w:t>
      </w:r>
      <w:r>
        <w:rPr>
          <w:rFonts w:ascii="Times New Roman" w:hAnsi="Times New Roman" w:cs="Times New Roman" w:hint="eastAsia"/>
          <w:b w:val="0"/>
          <w:bCs/>
          <w:color w:val="auto"/>
          <w:kern w:val="2"/>
          <w:sz w:val="32"/>
          <w:szCs w:val="32"/>
          <w:highlight w:val="none"/>
          <w:lang w:val="en-US" w:eastAsia="zh-CN" w:bidi="ar-SA"/>
        </w:rPr>
        <w:t xml:space="preserve">汪文静   </w:t>
      </w:r>
      <w:r>
        <w:rPr>
          <w:rFonts w:ascii="Times New Roman" w:eastAsia="仿宋_GB2312" w:hAnsi="Times New Roman" w:cs="Times New Roman" w:hint="eastAsia"/>
          <w:b w:val="0"/>
          <w:bCs/>
          <w:color w:val="auto"/>
          <w:kern w:val="2"/>
          <w:sz w:val="32"/>
          <w:szCs w:val="32"/>
          <w:highlight w:val="none"/>
          <w:lang w:val="en-US" w:eastAsia="zh-CN" w:bidi="ar-SA"/>
        </w:rPr>
        <w:t xml:space="preserve">主要负责制定评价指标体系及评价标准。</w:t>
      </w:r>
    </w:p>
    <w:p>
      <w:pPr>
        <w:rPr>
          <w:rFonts w:hint="default"/>
          <w:color w:val="auto"/>
          <w:highlight w:val="none"/>
          <w:lang w:val="en-US" w:eastAsia="zh-CN"/>
        </w:rPr>
      </w:pPr>
      <w:r>
        <w:rPr>
          <w:rFonts w:ascii="Times New Roman" w:eastAsia="仿宋_GB2312" w:hAnsi="Times New Roman" w:cs="Times New Roman" w:hint="eastAsia"/>
          <w:b w:val="0"/>
          <w:bCs/>
          <w:color w:val="auto"/>
          <w:kern w:val="2"/>
          <w:sz w:val="32"/>
          <w:szCs w:val="32"/>
          <w:highlight w:val="none"/>
          <w:lang w:val="en-US" w:eastAsia="zh-CN" w:bidi="ar-SA"/>
        </w:rPr>
        <w:t xml:space="preserve">评价小组成员：</w:t>
      </w:r>
      <w:r>
        <w:rPr>
          <w:rFonts w:ascii="Times New Roman" w:hAnsi="Times New Roman" w:cs="Times New Roman" w:hint="eastAsia"/>
          <w:b w:val="0"/>
          <w:bCs/>
          <w:color w:val="auto"/>
          <w:kern w:val="2"/>
          <w:sz w:val="32"/>
          <w:szCs w:val="32"/>
          <w:highlight w:val="none"/>
          <w:lang w:val="en-US" w:eastAsia="zh-CN" w:bidi="ar-SA"/>
        </w:rPr>
        <w:t xml:space="preserve">汪雪  </w:t>
      </w:r>
      <w:r>
        <w:rPr>
          <w:rFonts w:ascii="Times New Roman" w:eastAsia="仿宋_GB2312" w:hAnsi="Times New Roman" w:cs="Times New Roman" w:hint="eastAsia"/>
          <w:b w:val="0"/>
          <w:bCs/>
          <w:color w:val="auto"/>
          <w:kern w:val="2"/>
          <w:sz w:val="32"/>
          <w:szCs w:val="32"/>
          <w:highlight w:val="none"/>
          <w:lang w:val="en-US" w:eastAsia="zh-CN" w:bidi="ar-SA"/>
        </w:rPr>
        <w:t xml:space="preserve">主要负责</w:t>
      </w:r>
      <w:r>
        <w:rPr>
          <w:rFonts w:ascii="Times New Roman" w:hAnsi="Times New Roman" w:cs="Times New Roman" w:hint="eastAsia"/>
          <w:color w:val="auto"/>
          <w:highlight w:val="none"/>
          <w:lang w:eastAsia="zh-CN"/>
        </w:rPr>
        <w:t xml:space="preserve">2024年中央医疗服务与保障能力提升（公立医院综合改革）补助</w:t>
      </w:r>
      <w:r>
        <w:rPr>
          <w:rFonts w:ascii="Times New Roman" w:eastAsia="仿宋_GB2312" w:hAnsi="Times New Roman" w:cs="Times New Roman" w:hint="eastAsia"/>
          <w:b w:val="0"/>
          <w:bCs/>
          <w:color w:val="auto"/>
          <w:kern w:val="2"/>
          <w:sz w:val="32"/>
          <w:szCs w:val="32"/>
          <w:highlight w:val="none"/>
          <w:lang w:val="en-US" w:eastAsia="zh-CN" w:bidi="ar-SA"/>
        </w:rPr>
        <w:t xml:space="preserve">项目实施、监督、评估工作</w:t>
      </w:r>
      <w:r>
        <w:rPr>
          <w:rFonts w:ascii="Times New Roman" w:hAnsi="Times New Roman" w:cs="Times New Roman" w:hint="eastAsia"/>
          <w:bCs/>
          <w:color w:val="auto"/>
          <w:szCs w:val="32"/>
          <w:highlight w:val="none"/>
          <w:lang w:val="en-US" w:eastAsia="zh-CN"/>
        </w:rPr>
        <w:t xml:space="preserve">。</w:t>
      </w:r>
    </w:p>
    <w:p>
      <w:pPr>
        <w:bidi w:val="0"/>
        <w:ind w:left="0" w:firstLine="640" w:leftChars="0" w:firstLineChars="20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2.组织实施</w:t>
      </w:r>
      <w:bookmarkEnd w:id="85"/>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2025年3月1日-2025年3月10日）</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评价的具体实施根据评价指标及评价工作要求，对具体评价内容和不同环节，采用以下取得的资料与评价方式。</w:t>
      </w:r>
    </w:p>
    <w:p>
      <w:pPr>
        <w:bidi w:val="0"/>
        <w:jc w:val="both"/>
        <w:rPr>
          <w:rFonts w:hint="eastAsia"/>
          <w:color w:val="auto"/>
          <w:highlight w:val="none"/>
          <w:lang w:val="en-US" w:eastAsia="zh-CN"/>
        </w:rPr>
      </w:pPr>
      <w:r>
        <w:rPr>
          <w:rFonts w:hint="eastAsia"/>
          <w:color w:val="auto"/>
          <w:highlight w:val="none"/>
        </w:rPr>
        <w:t xml:space="preserve">（1）</w:t>
      </w:r>
      <w:r>
        <w:rPr>
          <w:rFonts w:hint="eastAsia"/>
          <w:color w:val="auto"/>
          <w:highlight w:val="none"/>
          <w:lang w:val="en-US" w:eastAsia="zh-CN"/>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2</w:t>
      </w:r>
      <w:r>
        <w:rPr>
          <w:rFonts w:ascii="Times New Roman" w:eastAsia="仿宋_GB2312" w:hAnsi="Times New Roman" w:cs="Times New Roman" w:hint="default"/>
          <w:color w:val="auto"/>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3</w:t>
      </w:r>
      <w:r>
        <w:rPr>
          <w:rFonts w:ascii="Times New Roman" w:eastAsia="仿宋_GB2312" w:hAnsi="Times New Roman" w:cs="Times New Roman" w:hint="default"/>
          <w:color w:val="auto"/>
          <w:highlight w:val="none"/>
        </w:rPr>
        <w:t xml:space="preserve">）问卷调查。选择与项目评价有关的调查对象，设计调查问卷。通过问卷调查，对有关评价内容完成情况进行打分，并根据分值评价绩效目标完成情况，作为对项目评价的依据。</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jc w:val="both"/>
        <w:rPr>
          <w:rFonts w:ascii="Times New Roman" w:eastAsia="仿宋_GB2312" w:hAnsi="Times New Roman" w:cs="Times New Roman" w:hint="default"/>
          <w:b/>
          <w:bCs/>
          <w:color w:val="auto"/>
          <w:highlight w:val="none"/>
        </w:rPr>
      </w:pPr>
      <w:bookmarkStart w:id="86" w:name="_Toc19781"/>
      <w:r>
        <w:rPr>
          <w:rFonts w:ascii="Times New Roman" w:eastAsia="仿宋_GB2312" w:hAnsi="Times New Roman" w:cs="Times New Roman" w:hint="default"/>
          <w:b/>
          <w:bCs/>
          <w:color w:val="auto"/>
          <w:highlight w:val="none"/>
        </w:rPr>
        <w:t xml:space="preserve">3.数据集中分析</w:t>
      </w:r>
      <w:bookmarkEnd w:id="86"/>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2025年3月11日-2025年3月20日）</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对相关资料，包括资金文件、项目实施方案、相关管理办法，问卷调查等进行集中分析。在查阅大量项目资料的基础上，根据考察、考评的结果进行整理、分析。</w:t>
      </w:r>
    </w:p>
    <w:p>
      <w:pPr>
        <w:bidi w:val="0"/>
        <w:jc w:val="both"/>
        <w:rPr>
          <w:rFonts w:ascii="Times New Roman" w:eastAsia="仿宋_GB2312" w:hAnsi="Times New Roman" w:cs="Times New Roman" w:hint="default"/>
          <w:b/>
          <w:bCs/>
          <w:color w:val="auto"/>
          <w:highlight w:val="none"/>
        </w:rPr>
      </w:pPr>
      <w:bookmarkStart w:id="87" w:name="_Toc5021"/>
      <w:r>
        <w:rPr>
          <w:rFonts w:ascii="Times New Roman" w:eastAsia="仿宋_GB2312" w:hAnsi="Times New Roman" w:cs="Times New Roman" w:hint="default"/>
          <w:b/>
          <w:bCs/>
          <w:color w:val="auto"/>
          <w:highlight w:val="none"/>
        </w:rPr>
        <w:t xml:space="preserve">4.分析总结</w:t>
      </w:r>
      <w:bookmarkEnd w:id="87"/>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2025年3月21日-2025年3月31日）</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（1）根据部门自评的意见及考察、考评的结果进行整理、分析，撰写绩效评价报告初稿；</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（2）就部门自评报告与部门具体有关股室征求意见，形成最终的绩效评价报告。</w:t>
      </w:r>
    </w:p>
    <w:p>
      <w:pPr>
        <w:rPr>
          <w:b/>
          <w:bCs/>
          <w:color w:val="auto"/>
          <w:highlight w:val="none"/>
        </w:rPr>
      </w:pPr>
      <w:bookmarkStart w:id="88" w:name="OLE_LINK11"/>
      <w:bookmarkStart w:id="89" w:name="OLE_LINK4"/>
      <w:bookmarkStart w:id="90" w:name="_Toc31058"/>
      <w:bookmarkStart w:id="91" w:name="_Toc32641"/>
      <w:bookmarkStart w:id="92" w:name="_Toc1808"/>
      <w:bookmarkStart w:id="93" w:name="_Toc25201"/>
      <w:bookmarkStart w:id="94" w:name="_Toc21285"/>
      <w:bookmarkStart w:id="95" w:name="_Toc21627"/>
      <w:r>
        <w:rPr>
          <w:rFonts w:hint="eastAsia"/>
          <w:b/>
          <w:bCs/>
          <w:color w:val="auto"/>
          <w:highlight w:val="none"/>
        </w:rPr>
        <w:t xml:space="preserve">5</w:t>
      </w:r>
      <w:r>
        <w:rPr>
          <w:rFonts w:hint="eastAsia"/>
          <w:b/>
          <w:bCs/>
          <w:color w:val="auto"/>
          <w:highlight w:val="none"/>
          <w:lang w:eastAsia="zh-CN"/>
        </w:rPr>
        <w:t xml:space="preserve">.</w:t>
      </w:r>
      <w:r>
        <w:rPr>
          <w:rFonts w:hint="eastAsia"/>
          <w:b/>
          <w:bCs/>
          <w:color w:val="auto"/>
          <w:highlight w:val="none"/>
        </w:rPr>
        <w:t xml:space="preserve">问题整改</w:t>
      </w:r>
    </w:p>
    <w:p>
      <w:pPr>
        <w:rPr>
          <w:color w:val="auto"/>
          <w:highlight w:val="none"/>
        </w:rPr>
      </w:pPr>
      <w:r>
        <w:rPr>
          <w:rFonts w:hint="eastAsia"/>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b/>
          <w:bCs/>
          <w:color w:val="auto"/>
          <w:highlight w:val="none"/>
        </w:rPr>
      </w:pPr>
      <w:r>
        <w:rPr>
          <w:rFonts w:hint="eastAsia"/>
          <w:b/>
          <w:bCs/>
          <w:color w:val="auto"/>
          <w:highlight w:val="none"/>
        </w:rPr>
        <w:t xml:space="preserve">6</w:t>
      </w:r>
      <w:r>
        <w:rPr>
          <w:rFonts w:hint="eastAsia"/>
          <w:b/>
          <w:bCs/>
          <w:color w:val="auto"/>
          <w:highlight w:val="none"/>
          <w:lang w:eastAsia="zh-CN"/>
        </w:rPr>
        <w:t xml:space="preserve">.</w:t>
      </w:r>
      <w:r>
        <w:rPr>
          <w:rFonts w:hint="eastAsia"/>
          <w:b/>
          <w:bCs/>
          <w:color w:val="auto"/>
          <w:highlight w:val="none"/>
        </w:rPr>
        <w:t xml:space="preserve">档案整理</w:t>
      </w:r>
    </w:p>
    <w:p>
      <w:pPr>
        <w:ind w:firstLine="560"/>
        <w:rPr>
          <w:color w:val="auto"/>
          <w:highlight w:val="none"/>
        </w:rPr>
      </w:pPr>
      <w:r>
        <w:rPr>
          <w:color w:val="auto"/>
          <w:highlight w:val="none"/>
        </w:rPr>
        <w:t xml:space="preserve">建立和落实档案管理制度，将项目相关资料存档，包括但不限于：评价项目基本情况和相关文件、评价实施方案、项目支付资料等相关档案。</w:t>
      </w:r>
      <w:bookmarkEnd w:id="88"/>
      <w:bookmarkEnd w:id="89"/>
    </w:p>
    <w:p>
      <w:pPr>
        <w:pStyle w:val="Heading2"/>
        <w:bidi w:val="0"/>
        <w:jc w:val="both"/>
        <w:outlineLvl w:val="0"/>
        <w:rPr>
          <w:rFonts w:ascii="黑体" w:eastAsia="黑体" w:hAnsi="黑体" w:cs="黑体" w:hint="eastAsia"/>
          <w:color w:val="auto"/>
          <w:highlight w:val="none"/>
        </w:rPr>
      </w:pPr>
      <w:r>
        <w:rPr>
          <w:rFonts w:ascii="黑体" w:eastAsia="黑体" w:hAnsi="黑体" w:cs="黑体" w:hint="eastAsia"/>
          <w:color w:val="auto"/>
          <w:highlight w:val="none"/>
        </w:rPr>
        <w:t xml:space="preserve">三、综合评价情况及评价结论</w:t>
      </w:r>
      <w:bookmarkEnd w:id="90"/>
      <w:bookmarkEnd w:id="91"/>
      <w:bookmarkEnd w:id="92"/>
      <w:bookmarkEnd w:id="93"/>
      <w:bookmarkEnd w:id="94"/>
      <w:bookmarkEnd w:id="95"/>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本项目的绩效评价结果为“优”，综合评分</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分。其中项目决策22分，项目过程1</w:t>
      </w:r>
      <w:r>
        <w:rPr>
          <w:rFonts w:ascii="Times New Roman" w:eastAsia="仿宋_GB2312" w:hAnsi="Times New Roman" w:cs="Times New Roman" w:hint="default"/>
          <w:color w:val="auto"/>
          <w:highlight w:val="none"/>
          <w:lang w:val="en-US" w:eastAsia="zh-CN"/>
        </w:rPr>
        <w:t xml:space="preserve">8</w:t>
      </w:r>
      <w:r>
        <w:rPr>
          <w:rFonts w:ascii="Times New Roman" w:eastAsia="仿宋_GB2312" w:hAnsi="Times New Roman" w:cs="Times New Roman" w:hint="default"/>
          <w:color w:val="auto"/>
          <w:highlight w:val="none"/>
        </w:rPr>
        <w:t xml:space="preserve">分，项目产出管理得分</w:t>
      </w:r>
      <w:r>
        <w:rPr>
          <w:rFonts w:ascii="Times New Roman" w:hAnsi="Times New Roman" w:cs="Times New Roman" w:hint="eastAsia"/>
          <w:color w:val="auto"/>
          <w:highlight w:val="none"/>
          <w:lang w:val="en-US" w:eastAsia="zh-CN"/>
        </w:rPr>
        <w:t xml:space="preserve">40</w:t>
      </w:r>
      <w:r>
        <w:rPr>
          <w:rFonts w:ascii="Times New Roman" w:eastAsia="仿宋_GB2312" w:hAnsi="Times New Roman" w:cs="Times New Roman" w:hint="default"/>
          <w:color w:val="auto"/>
          <w:highlight w:val="none"/>
        </w:rPr>
        <w:t xml:space="preserve">分，项目效益20分</w:t>
      </w:r>
      <w:r>
        <w:rPr>
          <w:rFonts w:ascii="Times New Roman" w:eastAsia="仿宋_GB2312" w:hAnsi="Times New Roman" w:cs="Times New Roman" w:hint="default"/>
          <w:color w:val="auto"/>
          <w:highlight w:val="none"/>
          <w:lang w:val="en-US" w:eastAsia="zh-CN"/>
        </w:rPr>
        <w:t xml:space="preserve">。各部分权重和绩效汇总分值如下表所示：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jc w:val="center"/>
              <w:rPr>
                <w:rFonts w:ascii="Times New Roman" w:eastAsia="仿宋_GB2312" w:hAnsi="Times New Roman" w:cs="Times New Roman" w:hint="default"/>
                <w:color w:val="auto"/>
                <w:highlight w:val="none"/>
              </w:rPr>
            </w:pPr>
            <w:bookmarkStart w:id="96" w:name="_Toc96"/>
            <w:bookmarkStart w:id="97" w:name="_Toc17356"/>
            <w:bookmarkStart w:id="98" w:name="_Toc30727"/>
            <w:r>
              <w:rPr>
                <w:rFonts w:ascii="Times New Roman" w:hAnsi="Times New Roman" w:cs="Times New Roman" w:hint="eastAsia"/>
                <w:color w:val="auto"/>
                <w:highlight w:val="none"/>
                <w:lang w:eastAsia="zh-CN"/>
              </w:rPr>
              <w:t xml:space="preserve">2024年中央医疗服务与保障能力提升【公立医院综合改革】补助</w:t>
            </w:r>
            <w:bookmarkStart w:id="99" w:name="_Toc3703"/>
            <w:bookmarkStart w:id="100" w:name="_Toc16086"/>
            <w:r>
              <w:rPr>
                <w:rFonts w:ascii="Times New Roman" w:hAnsi="Times New Roman" w:cs="Times New Roman" w:hint="eastAsia"/>
                <w:color w:val="auto"/>
                <w:highlight w:val="none"/>
                <w:lang w:val="en-US" w:eastAsia="zh-CN"/>
              </w:rPr>
              <w:t xml:space="preserve">绩</w:t>
            </w:r>
            <w:r>
              <w:rPr>
                <w:rFonts w:ascii="Times New Roman" w:eastAsia="仿宋_GB2312" w:hAnsi="Times New Roman" w:cs="Times New Roman" w:hint="default"/>
                <w:color w:val="auto"/>
                <w:highlight w:val="none"/>
              </w:rPr>
              <w:t xml:space="preserve">效评价</w:t>
            </w:r>
            <w:r>
              <w:rPr>
                <w:rFonts w:ascii="Times New Roman" w:eastAsia="仿宋_GB2312" w:hAnsi="Times New Roman" w:cs="Times New Roman" w:hint="default"/>
                <w:color w:val="auto"/>
                <w:highlight w:val="none"/>
                <w:lang w:val="zh-TW" w:eastAsia="zh-TW"/>
              </w:rPr>
              <w:t xml:space="preserve">得分表</w:t>
            </w:r>
            <w:bookmarkEnd w:id="96"/>
            <w:bookmarkEnd w:id="99"/>
            <w:bookmarkEnd w:id="100"/>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eastAsia"/>
                <w:color w:val="auto"/>
                <w:highlight w:val="none"/>
                <w:lang w:val="en-US" w:eastAsia="zh-CN"/>
              </w:rPr>
            </w:pPr>
            <w:r>
              <w:rPr>
                <w:rFonts w:ascii="Times New Roman" w:eastAsia="仿宋_GB2312" w:hAnsi="Times New Roman" w:cs="Times New Roman" w:hint="default"/>
                <w:color w:val="auto"/>
                <w:highlight w:val="none"/>
              </w:rPr>
              <w:t xml:space="preserve">100</w:t>
            </w:r>
            <w:r>
              <w:rPr>
                <w:rFonts w:cs="Times New Roman" w:hint="eastAsia"/>
                <w:color w:val="auto"/>
                <w:highlight w:val="none"/>
                <w:lang w:val="en-US" w:eastAsia="zh-CN"/>
              </w:rPr>
              <w:t xml:space="preserve">%</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lang w:val="en-US" w:eastAsia="zh-CN"/>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cs="Times New Roman" w:hint="eastAsia"/>
                <w:color w:val="auto"/>
                <w:highlight w:val="none"/>
                <w:lang w:val="en-US" w:eastAsia="zh-CN"/>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cs="Times New Roman" w:hint="eastAsia"/>
                <w:color w:val="auto"/>
                <w:highlight w:val="none"/>
                <w:lang w:val="en-US" w:eastAsia="zh-CN"/>
              </w:rPr>
              <w:t xml:space="preserve">100</w:t>
            </w:r>
          </w:p>
        </w:tc>
      </w:tr>
    </w:tbl>
    <w:p>
      <w:pPr>
        <w:pStyle w:val="Heading2"/>
        <w:bidi w:val="0"/>
        <w:jc w:val="both"/>
        <w:outlineLvl w:val="0"/>
        <w:rPr>
          <w:rFonts w:ascii="黑体" w:eastAsia="黑体" w:hAnsi="黑体" w:cs="黑体" w:hint="eastAsia"/>
          <w:color w:val="auto"/>
          <w:highlight w:val="none"/>
        </w:rPr>
      </w:pPr>
      <w:bookmarkStart w:id="101" w:name="_Toc13630"/>
      <w:bookmarkStart w:id="102" w:name="_Toc20665"/>
      <w:bookmarkStart w:id="103" w:name="_Toc29439"/>
      <w:bookmarkStart w:id="104" w:name="_Toc4904"/>
      <w:r>
        <w:rPr>
          <w:rFonts w:ascii="黑体" w:eastAsia="黑体" w:hAnsi="黑体" w:cs="黑体" w:hint="eastAsia"/>
          <w:color w:val="auto"/>
          <w:highlight w:val="none"/>
        </w:rPr>
        <w:t xml:space="preserve">四、绩效评价指标分析</w:t>
      </w:r>
      <w:bookmarkEnd w:id="97"/>
      <w:bookmarkEnd w:id="98"/>
      <w:bookmarkEnd w:id="101"/>
      <w:bookmarkEnd w:id="102"/>
      <w:bookmarkEnd w:id="103"/>
      <w:bookmarkEnd w:id="104"/>
    </w:p>
    <w:p>
      <w:pPr>
        <w:pStyle w:val="Heading3"/>
        <w:bidi w:val="0"/>
        <w:jc w:val="both"/>
        <w:outlineLvl w:val="1"/>
        <w:rPr>
          <w:rFonts w:ascii="楷体" w:eastAsia="楷体" w:hAnsi="楷体" w:cs="楷体" w:hint="eastAsia"/>
          <w:color w:val="auto"/>
          <w:highlight w:val="none"/>
        </w:rPr>
      </w:pPr>
      <w:bookmarkStart w:id="105" w:name="_Toc28477"/>
      <w:bookmarkStart w:id="106" w:name="_Toc16580"/>
      <w:bookmarkStart w:id="107" w:name="_Toc2901"/>
      <w:bookmarkStart w:id="108" w:name="_Toc22323"/>
      <w:bookmarkStart w:id="109" w:name="_Toc1968"/>
      <w:r>
        <w:rPr>
          <w:rFonts w:ascii="楷体" w:eastAsia="楷体" w:hAnsi="楷体" w:cs="楷体" w:hint="eastAsia"/>
          <w:color w:val="auto"/>
          <w:highlight w:val="none"/>
        </w:rPr>
        <w:t xml:space="preserve">（一）项目决策情况</w:t>
      </w:r>
      <w:bookmarkEnd w:id="105"/>
      <w:bookmarkEnd w:id="106"/>
      <w:bookmarkEnd w:id="107"/>
      <w:bookmarkEnd w:id="108"/>
      <w:bookmarkEnd w:id="109"/>
    </w:p>
    <w:p>
      <w:pPr>
        <w:bidi w:val="0"/>
        <w:jc w:val="both"/>
        <w:rPr>
          <w:rFonts w:ascii="Times New Roman" w:eastAsia="仿宋_GB2312" w:hAnsi="Times New Roman" w:cs="Times New Roman" w:hint="eastAsia"/>
          <w:b/>
          <w:bCs/>
          <w:color w:val="auto"/>
          <w:highlight w:val="none"/>
          <w:lang w:val="en-US" w:eastAsia="zh-CN"/>
        </w:rPr>
      </w:pPr>
      <w:bookmarkStart w:id="110" w:name="_Toc510"/>
      <w:bookmarkStart w:id="111" w:name="_Toc22511"/>
      <w:r>
        <w:rPr>
          <w:rFonts w:ascii="Times New Roman" w:eastAsia="仿宋_GB2312" w:hAnsi="Times New Roman" w:cs="Times New Roman" w:hint="default"/>
          <w:b/>
          <w:bCs/>
          <w:color w:val="auto"/>
          <w:highlight w:val="none"/>
        </w:rPr>
        <w:t xml:space="preserve">1.</w:t>
      </w:r>
      <w:r>
        <w:rPr>
          <w:rFonts w:ascii="Times New Roman" w:hAnsi="Times New Roman" w:cs="Times New Roman" w:hint="eastAsia"/>
          <w:b/>
          <w:bCs/>
          <w:color w:val="auto"/>
          <w:highlight w:val="none"/>
          <w:lang w:eastAsia="zh-CN"/>
        </w:rPr>
        <w:t xml:space="preserve">实施</w:t>
      </w:r>
      <w:r>
        <w:rPr>
          <w:rFonts w:ascii="Times New Roman" w:eastAsia="仿宋_GB2312" w:hAnsi="Times New Roman" w:cs="Times New Roman" w:hint="default"/>
          <w:b/>
          <w:bCs/>
          <w:color w:val="auto"/>
          <w:highlight w:val="none"/>
        </w:rPr>
        <w:t xml:space="preserve">依据充分性</w:t>
      </w:r>
      <w:bookmarkEnd w:id="110"/>
      <w:bookmarkEnd w:id="111"/>
    </w:p>
    <w:p>
      <w:pPr>
        <w:bidi w:val="0"/>
        <w:jc w:val="both"/>
        <w:rPr>
          <w:rFonts w:ascii="Times New Roman" w:eastAsia="仿宋_GB2312" w:hAnsi="Times New Roman" w:cs="Times New Roman" w:hint="default"/>
          <w:color w:val="auto"/>
          <w:highlight w:val="none"/>
        </w:rPr>
      </w:pPr>
      <w:r>
        <w:rPr>
          <w:rFonts w:hint="eastAsia"/>
          <w:color w:val="auto"/>
          <w:highlight w:val="none"/>
        </w:rPr>
        <w:t xml:space="preserve">本</w:t>
      </w:r>
      <w:r>
        <w:rPr>
          <w:rFonts w:hint="eastAsia"/>
          <w:color w:val="auto"/>
          <w:highlight w:val="none"/>
        </w:rPr>
        <w:t xml:space="preserve">项目</w:t>
      </w:r>
      <w:r>
        <w:rPr>
          <w:rFonts w:hint="eastAsia"/>
          <w:color w:val="auto"/>
          <w:highlight w:val="none"/>
          <w:lang w:val="en-US" w:eastAsia="zh-CN"/>
        </w:rPr>
        <w:t xml:space="preserve">实施符合新疆维吾尔自治区财政厅</w:t>
      </w:r>
      <w:r>
        <w:rPr>
          <w:rFonts w:hint="eastAsia"/>
          <w:color w:val="auto"/>
          <w:highlight w:val="none"/>
        </w:rPr>
        <w:t xml:space="preserve">颁发的《</w:t>
      </w:r>
      <w:r>
        <w:rPr>
          <w:rFonts w:hint="eastAsia"/>
          <w:color w:val="auto"/>
          <w:highlight w:val="none"/>
          <w:lang w:val="en-US" w:eastAsia="zh-CN"/>
        </w:rPr>
        <w:t xml:space="preserve">2024年中央医疗服务与保障能力提升（公立医院综合改革）补助资金预算的通知</w:t>
      </w:r>
      <w:r>
        <w:rPr>
          <w:rFonts w:hint="eastAsia"/>
          <w:color w:val="auto"/>
          <w:highlight w:val="none"/>
        </w:rPr>
        <w:t xml:space="preserve">》</w:t>
      </w:r>
      <w:r>
        <w:rPr>
          <w:rFonts w:hint="eastAsia"/>
          <w:color w:val="auto"/>
          <w:highlight w:val="none"/>
        </w:rPr>
        <w:t xml:space="preserve">（</w:t>
      </w:r>
      <w:r>
        <w:rPr>
          <w:rFonts w:hint="eastAsia"/>
          <w:color w:val="auto"/>
          <w:highlight w:val="none"/>
          <w:lang w:val="en-US" w:eastAsia="zh-CN"/>
        </w:rPr>
        <w:t xml:space="preserve">新财社</w:t>
      </w:r>
      <w:r>
        <w:rPr>
          <w:rFonts w:hint="eastAsia"/>
          <w:color w:val="auto"/>
          <w:highlight w:val="none"/>
        </w:rPr>
        <w:t xml:space="preserve">〔</w:t>
      </w:r>
      <w:r>
        <w:rPr>
          <w:rFonts w:hint="eastAsia"/>
          <w:color w:val="auto"/>
          <w:highlight w:val="none"/>
          <w:lang w:val="en-US" w:eastAsia="zh-CN"/>
        </w:rPr>
        <w:t xml:space="preserve">2023</w:t>
      </w:r>
      <w:r>
        <w:rPr>
          <w:rFonts w:hint="eastAsia"/>
          <w:color w:val="auto"/>
          <w:highlight w:val="none"/>
        </w:rPr>
        <w:t xml:space="preserve">〕</w:t>
      </w:r>
      <w:r>
        <w:rPr>
          <w:rFonts w:hint="eastAsia"/>
          <w:color w:val="auto"/>
          <w:highlight w:val="none"/>
          <w:lang w:val="en-US" w:eastAsia="zh-CN"/>
        </w:rPr>
        <w:t xml:space="preserve">214号</w:t>
      </w:r>
      <w:r>
        <w:rPr>
          <w:rFonts w:hint="eastAsia"/>
          <w:color w:val="auto"/>
          <w:highlight w:val="none"/>
        </w:rPr>
        <w:t xml:space="preserve">）中</w:t>
      </w:r>
      <w:r>
        <w:rPr>
          <w:rFonts w:hint="eastAsia"/>
          <w:color w:val="auto"/>
          <w:highlight w:val="none"/>
        </w:rPr>
        <w:t xml:space="preserve">：“</w:t>
      </w:r>
      <w:r>
        <w:rPr>
          <w:rFonts w:hint="eastAsia"/>
          <w:color w:val="auto"/>
          <w:highlight w:val="none"/>
          <w:lang w:val="en-US" w:eastAsia="zh-CN"/>
        </w:rPr>
        <w:t xml:space="preserve">县级公立医院能力建设，区域医疗中心建设</w:t>
      </w:r>
      <w:r>
        <w:rPr>
          <w:rFonts w:hint="eastAsia"/>
          <w:color w:val="auto"/>
          <w:highlight w:val="none"/>
        </w:rPr>
        <w:t xml:space="preserve">”</w:t>
      </w:r>
      <w:r>
        <w:rPr>
          <w:rFonts w:hint="eastAsia"/>
          <w:color w:val="auto"/>
          <w:highlight w:val="none"/>
        </w:rPr>
        <w:t xml:space="preserve">；本项目</w:t>
      </w:r>
      <w:r>
        <w:rPr>
          <w:rFonts w:hint="eastAsia"/>
          <w:color w:val="auto"/>
          <w:highlight w:val="none"/>
          <w:lang w:val="en-US" w:eastAsia="zh-CN"/>
        </w:rPr>
        <w:t xml:space="preserve">实施</w:t>
      </w:r>
      <w:r>
        <w:rPr>
          <w:rFonts w:hint="eastAsia"/>
          <w:color w:val="auto"/>
          <w:highlight w:val="none"/>
        </w:rPr>
        <w:t xml:space="preserve">符合《</w:t>
      </w:r>
      <w:r>
        <w:rPr>
          <w:rFonts w:hint="eastAsia"/>
          <w:color w:val="auto"/>
          <w:highlight w:val="none"/>
          <w:lang w:val="en-US" w:eastAsia="zh-CN"/>
        </w:rPr>
        <w:t xml:space="preserve">2024年中央医疗服务与保障能力提升（公立医院综合改革）补助资金预算的通知</w:t>
      </w:r>
      <w:r>
        <w:rPr>
          <w:rFonts w:hint="eastAsia"/>
          <w:color w:val="auto"/>
          <w:highlight w:val="none"/>
        </w:rPr>
        <w:t xml:space="preserve">》</w:t>
      </w:r>
      <w:r>
        <w:rPr>
          <w:rFonts w:hint="eastAsia"/>
          <w:color w:val="auto"/>
          <w:highlight w:val="none"/>
        </w:rPr>
        <w:t xml:space="preserve">中</w:t>
      </w:r>
      <w:r>
        <w:rPr>
          <w:rFonts w:hint="eastAsia"/>
          <w:color w:val="auto"/>
          <w:highlight w:val="none"/>
        </w:rPr>
        <w:t xml:space="preserve">：“</w:t>
      </w:r>
      <w:r>
        <w:rPr>
          <w:rFonts w:hint="eastAsia"/>
          <w:color w:val="auto"/>
          <w:highlight w:val="none"/>
          <w:lang w:val="en-US" w:eastAsia="zh-CN"/>
        </w:rPr>
        <w:t xml:space="preserve">公立医院高质量发展</w:t>
      </w:r>
      <w:r>
        <w:rPr>
          <w:rFonts w:hint="eastAsia"/>
          <w:color w:val="auto"/>
          <w:highlight w:val="none"/>
        </w:rPr>
        <w:t xml:space="preserve">”</w:t>
      </w:r>
      <w:r>
        <w:rPr>
          <w:rFonts w:hint="eastAsia"/>
          <w:color w:val="auto"/>
          <w:highlight w:val="none"/>
        </w:rPr>
        <w:t xml:space="preserve">内容，</w:t>
      </w:r>
      <w:r>
        <w:rPr>
          <w:rFonts w:hint="eastAsia"/>
          <w:color w:val="auto"/>
          <w:highlight w:val="none"/>
        </w:rPr>
        <w:t xml:space="preserve">符合行业发展规划和政策要求</w:t>
      </w:r>
      <w:r>
        <w:rPr>
          <w:rFonts w:hint="eastAsia"/>
          <w:color w:val="auto"/>
          <w:highlight w:val="none"/>
        </w:rPr>
        <w:t xml:space="preserve">；</w:t>
      </w:r>
      <w:r>
        <w:rPr>
          <w:rFonts w:hint="eastAsia"/>
          <w:color w:val="auto"/>
          <w:highlight w:val="none"/>
          <w:lang w:val="en-US" w:eastAsia="zh-CN"/>
        </w:rPr>
        <w:t xml:space="preserve">因此，</w:t>
      </w:r>
      <w:r>
        <w:rPr>
          <w:rFonts w:ascii="Times New Roman" w:eastAsia="仿宋_GB2312" w:hAnsi="Times New Roman" w:cs="Times New Roman" w:hint="default"/>
          <w:color w:val="auto"/>
          <w:highlight w:val="none"/>
        </w:rPr>
        <w:t xml:space="preserve">项目</w:t>
      </w:r>
      <w:r>
        <w:rPr>
          <w:rFonts w:ascii="Times New Roman" w:eastAsia="仿宋_GB2312" w:hAnsi="Times New Roman" w:cs="Times New Roman" w:hint="default"/>
          <w:color w:val="auto"/>
          <w:highlight w:val="none"/>
          <w:lang w:val="en-US" w:eastAsia="zh-CN"/>
        </w:rPr>
        <w:t xml:space="preserve">实施</w:t>
      </w:r>
      <w:r>
        <w:rPr>
          <w:rFonts w:ascii="Times New Roman" w:eastAsia="仿宋_GB2312" w:hAnsi="Times New Roman" w:cs="Times New Roman" w:hint="default"/>
          <w:color w:val="auto"/>
          <w:highlight w:val="none"/>
        </w:rPr>
        <w:t xml:space="preserve">符合国家法律法规、国民经济发展规划和相关政策；符合行业发展规划和政策要求；与部门职责范围相符，属</w:t>
      </w:r>
      <w:r>
        <w:rPr>
          <w:rFonts w:ascii="Times New Roman" w:eastAsia="仿宋_GB2312" w:hAnsi="Times New Roman" w:cs="Times New Roman" w:hint="default"/>
          <w:color w:val="auto"/>
          <w:highlight w:val="none"/>
        </w:rPr>
        <w:t xml:space="preserve">干部</w:t>
      </w:r>
      <w:r>
        <w:rPr>
          <w:rFonts w:ascii="Times New Roman" w:eastAsia="仿宋_GB2312" w:hAnsi="Times New Roman" w:cs="Times New Roman" w:hint="default"/>
          <w:color w:val="auto"/>
          <w:highlight w:val="none"/>
        </w:rPr>
        <w:t xml:space="preserve">门履职所需；属于公共财政支持范围，符合中央、地方事权支出责任划分原则；</w:t>
      </w:r>
      <w:r>
        <w:rPr>
          <w:rFonts w:ascii="Times New Roman" w:eastAsia="仿宋_GB2312" w:hAnsi="Times New Roman" w:cs="Times New Roman" w:hint="default"/>
          <w:color w:val="auto"/>
          <w:highlight w:val="none"/>
          <w:lang w:val="en-US" w:eastAsia="zh-CN"/>
        </w:rPr>
        <w:t xml:space="preserve">不存在</w:t>
      </w:r>
      <w:r>
        <w:rPr>
          <w:rFonts w:ascii="Times New Roman" w:eastAsia="仿宋_GB2312" w:hAnsi="Times New Roman" w:cs="Times New Roman" w:hint="default"/>
          <w:color w:val="auto"/>
          <w:highlight w:val="none"/>
        </w:rPr>
        <w:t xml:space="preserve">与相关部门同类项目或部门内部相关项目重复</w:t>
      </w:r>
      <w:r>
        <w:rPr>
          <w:rFonts w:ascii="Times New Roman" w:eastAsia="仿宋_GB2312" w:hAnsi="Times New Roman" w:cs="Times New Roman" w:hint="default"/>
          <w:color w:val="auto"/>
          <w:highlight w:val="none"/>
          <w:lang w:val="en-US" w:eastAsia="zh-CN"/>
        </w:rPr>
        <w:t xml:space="preserve">的现象</w:t>
      </w:r>
      <w:r>
        <w:rPr>
          <w:rFonts w:ascii="Times New Roman" w:eastAsia="仿宋_GB2312" w:hAnsi="Times New Roman" w:cs="Times New Roman" w:hint="default"/>
          <w:color w:val="auto"/>
          <w:highlight w:val="none"/>
        </w:rPr>
        <w:t xml:space="preserve">。</w:t>
      </w:r>
      <w:r>
        <w:rPr>
          <w:rFonts w:ascii="Times New Roman" w:eastAsia="仿宋_GB2312" w:hAnsi="Times New Roman" w:cs="Times New Roman" w:hint="default"/>
          <w:color w:val="auto"/>
          <w:highlight w:val="none"/>
          <w:lang w:val="en-US" w:eastAsia="zh-CN"/>
        </w:rPr>
        <w:t xml:space="preserve">项目</w:t>
      </w:r>
      <w:r>
        <w:rPr>
          <w:rFonts w:ascii="Times New Roman" w:hAnsi="Times New Roman" w:cs="Times New Roman" w:hint="eastAsia"/>
          <w:color w:val="auto"/>
          <w:highlight w:val="none"/>
          <w:lang w:val="en-US" w:eastAsia="zh-CN"/>
        </w:rPr>
        <w:t xml:space="preserve">实施</w:t>
      </w:r>
      <w:r>
        <w:rPr>
          <w:rFonts w:ascii="Times New Roman" w:eastAsia="仿宋_GB2312" w:hAnsi="Times New Roman" w:cs="Times New Roman" w:hint="default"/>
          <w:color w:val="auto"/>
          <w:highlight w:val="none"/>
          <w:lang w:val="en-US" w:eastAsia="zh-CN"/>
        </w:rPr>
        <w:t xml:space="preserve">依据充分。</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本项满分3分，评估得分3分。</w:t>
      </w:r>
    </w:p>
    <w:p>
      <w:pPr>
        <w:bidi w:val="0"/>
        <w:jc w:val="both"/>
        <w:rPr>
          <w:rFonts w:ascii="Times New Roman" w:eastAsia="仿宋_GB2312" w:hAnsi="Times New Roman" w:cs="Times New Roman" w:hint="default"/>
          <w:b/>
          <w:bCs/>
          <w:color w:val="auto"/>
          <w:highlight w:val="none"/>
        </w:rPr>
      </w:pPr>
      <w:bookmarkStart w:id="112" w:name="_Toc283"/>
      <w:bookmarkStart w:id="113" w:name="_Toc27895"/>
      <w:r>
        <w:rPr>
          <w:rFonts w:ascii="Times New Roman" w:eastAsia="仿宋_GB2312" w:hAnsi="Times New Roman" w:cs="Times New Roman" w:hint="default"/>
          <w:b/>
          <w:bCs/>
          <w:color w:val="auto"/>
          <w:highlight w:val="none"/>
        </w:rPr>
        <w:t xml:space="preserve">2.</w:t>
      </w:r>
      <w:r>
        <w:rPr>
          <w:rFonts w:ascii="Times New Roman" w:eastAsia="仿宋_GB2312" w:hAnsi="Times New Roman" w:cs="Times New Roman" w:hint="default"/>
          <w:b/>
          <w:bCs/>
          <w:color w:val="auto"/>
          <w:highlight w:val="none"/>
          <w:shd w:val="clear" w:color="auto" w:fill="auto"/>
          <w:lang w:eastAsia="zh-CN"/>
        </w:rPr>
        <w:t xml:space="preserve">实施</w:t>
      </w:r>
      <w:r>
        <w:rPr>
          <w:rFonts w:ascii="Times New Roman" w:eastAsia="仿宋_GB2312" w:hAnsi="Times New Roman" w:cs="Times New Roman" w:hint="default"/>
          <w:b/>
          <w:bCs/>
          <w:color w:val="auto"/>
          <w:highlight w:val="none"/>
          <w:shd w:val="clear" w:color="auto" w:fill="auto"/>
        </w:rPr>
        <w:t xml:space="preserve">程序</w:t>
      </w:r>
      <w:r>
        <w:rPr>
          <w:rFonts w:ascii="Times New Roman" w:eastAsia="仿宋_GB2312" w:hAnsi="Times New Roman" w:cs="Times New Roman" w:hint="default"/>
          <w:b/>
          <w:bCs/>
          <w:color w:val="auto"/>
          <w:highlight w:val="none"/>
        </w:rPr>
        <w:t xml:space="preserve">规范性</w:t>
      </w:r>
      <w:bookmarkEnd w:id="112"/>
      <w:bookmarkEnd w:id="113"/>
    </w:p>
    <w:p>
      <w:pPr>
        <w:bidi w:val="0"/>
        <w:jc w:val="both"/>
        <w:rPr>
          <w:rFonts w:ascii="Times New Roman" w:hAnsi="Times New Roman" w:cs="Times New Roman" w:hint="eastAsia"/>
          <w:color w:val="auto"/>
          <w:highlight w:val="none"/>
          <w:shd w:val="clear" w:color="auto" w:fill="auto"/>
          <w:lang w:val="en-US" w:eastAsia="zh-CN"/>
        </w:rPr>
      </w:pPr>
      <w:r>
        <w:rPr>
          <w:rFonts w:ascii="Times New Roman" w:eastAsia="仿宋_GB2312" w:hAnsi="Times New Roman" w:cs="Times New Roman" w:hint="default"/>
          <w:color w:val="auto"/>
          <w:highlight w:val="none"/>
        </w:rPr>
        <w:t xml:space="preserve">本项目实施单位</w:t>
      </w:r>
      <w:r>
        <w:rPr>
          <w:rFonts w:ascii="Times New Roman" w:hAnsi="Times New Roman" w:cs="Times New Roman" w:hint="eastAsia"/>
          <w:color w:val="auto"/>
          <w:highlight w:val="none"/>
          <w:lang w:val="en-US" w:eastAsia="zh-CN"/>
        </w:rPr>
        <w:t xml:space="preserve">尉犁县人民医院</w:t>
      </w:r>
      <w:r>
        <w:rPr>
          <w:rFonts w:ascii="Times New Roman" w:eastAsia="仿宋_GB2312" w:hAnsi="Times New Roman" w:cs="Times New Roman" w:hint="default"/>
          <w:color w:val="auto"/>
          <w:highlight w:val="none"/>
        </w:rPr>
        <w:t xml:space="preserve">编制了</w:t>
      </w:r>
      <w:r>
        <w:rPr>
          <w:rFonts w:ascii="Times New Roman" w:hAnsi="Times New Roman" w:cs="Times New Roman" w:hint="eastAsia"/>
          <w:color w:val="auto"/>
          <w:highlight w:val="none"/>
          <w:lang w:eastAsia="zh-CN"/>
        </w:rPr>
        <w:t xml:space="preserve">《2024年中央医疗服务与保障能力提升（公立医院综合改革）补助</w:t>
      </w:r>
      <w:r>
        <w:rPr>
          <w:rFonts w:ascii="Times New Roman" w:hAnsi="Times New Roman" w:cs="Times New Roman" w:hint="eastAsia"/>
          <w:color w:val="auto"/>
          <w:highlight w:val="none"/>
          <w:lang w:val="en-US" w:eastAsia="zh-CN"/>
        </w:rPr>
        <w:t xml:space="preserve">项目实施方案》</w:t>
      </w: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2024</w:t>
      </w:r>
      <w:r>
        <w:rPr>
          <w:rFonts w:ascii="Times New Roman" w:eastAsia="仿宋_GB2312" w:hAnsi="Times New Roman" w:cs="Times New Roman" w:hint="default"/>
          <w:color w:val="auto"/>
          <w:highlight w:val="none"/>
        </w:rPr>
        <w:t xml:space="preserve">年</w:t>
      </w:r>
      <w:r>
        <w:rPr>
          <w:rFonts w:ascii="Times New Roman" w:hAnsi="Times New Roman" w:cs="Times New Roman" w:hint="eastAsia"/>
          <w:color w:val="auto"/>
          <w:highlight w:val="none"/>
          <w:lang w:val="en-US" w:eastAsia="zh-CN"/>
        </w:rPr>
        <w:t xml:space="preserve">1</w:t>
      </w:r>
      <w:r>
        <w:rPr>
          <w:rFonts w:ascii="Times New Roman" w:eastAsia="仿宋_GB2312" w:hAnsi="Times New Roman" w:cs="Times New Roman" w:hint="default"/>
          <w:color w:val="auto"/>
          <w:highlight w:val="none"/>
        </w:rPr>
        <w:t xml:space="preserve">月完成实施方案编制</w:t>
      </w:r>
      <w:r>
        <w:rPr>
          <w:rFonts w:ascii="Times New Roman" w:eastAsia="仿宋_GB2312" w:hAnsi="Times New Roman" w:cs="Times New Roman" w:hint="default"/>
          <w:color w:val="auto"/>
          <w:highlight w:val="none"/>
          <w:shd w:val="clear" w:color="auto" w:fill="auto"/>
          <w:lang w:val="en-US" w:eastAsia="zh-CN"/>
        </w:rPr>
        <w:t xml:space="preserve">通过了尉犁县人民医院党委委员会</w:t>
      </w:r>
      <w:r>
        <w:rPr>
          <w:rFonts w:ascii="Times New Roman" w:hAnsi="Times New Roman" w:cs="Times New Roman" w:hint="default"/>
          <w:color w:val="auto"/>
          <w:highlight w:val="none"/>
          <w:shd w:val="clear" w:color="auto" w:fill="auto"/>
          <w:lang w:val="en-US" w:eastAsia="zh-CN"/>
        </w:rPr>
        <w:t xml:space="preserve">及医共体会议</w:t>
      </w:r>
      <w:r>
        <w:rPr>
          <w:rFonts w:ascii="Times New Roman" w:eastAsia="仿宋_GB2312" w:hAnsi="Times New Roman" w:cs="Times New Roman" w:hint="default"/>
          <w:color w:val="auto"/>
          <w:highlight w:val="none"/>
          <w:shd w:val="clear" w:color="auto" w:fill="auto"/>
          <w:lang w:val="en-US" w:eastAsia="zh-CN"/>
        </w:rPr>
        <w:t xml:space="preserve">决议，</w:t>
      </w:r>
      <w:r>
        <w:rPr>
          <w:rFonts w:ascii="Times New Roman" w:hAnsi="Times New Roman" w:cs="Times New Roman" w:hint="default"/>
          <w:color w:val="auto"/>
          <w:highlight w:val="none"/>
          <w:shd w:val="clear" w:color="auto" w:fill="auto"/>
          <w:lang w:val="en-US" w:eastAsia="zh-CN"/>
        </w:rPr>
        <w:t xml:space="preserve">实施</w:t>
      </w:r>
      <w:r>
        <w:rPr>
          <w:rFonts w:ascii="Times New Roman" w:eastAsia="仿宋_GB2312" w:hAnsi="Times New Roman" w:cs="Times New Roman" w:hint="default"/>
          <w:color w:val="auto"/>
          <w:highlight w:val="none"/>
          <w:shd w:val="clear" w:color="auto" w:fill="auto"/>
        </w:rPr>
        <w:t xml:space="preserve">程序规范。</w:t>
      </w:r>
      <w:r>
        <w:rPr>
          <w:rFonts w:ascii="Times New Roman" w:hAnsi="Times New Roman" w:cs="Times New Roman" w:hint="eastAsia"/>
          <w:color w:val="auto"/>
          <w:highlight w:val="none"/>
          <w:shd w:val="clear" w:color="auto" w:fill="auto"/>
          <w:lang w:val="en-US" w:eastAsia="zh-CN"/>
        </w:rPr>
        <w:t xml:space="preserve"> </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本项满分3分，评估得分3分。</w:t>
      </w:r>
    </w:p>
    <w:p>
      <w:pPr>
        <w:bidi w:val="0"/>
        <w:jc w:val="both"/>
        <w:rPr>
          <w:rFonts w:ascii="Times New Roman" w:eastAsia="仿宋_GB2312" w:hAnsi="Times New Roman" w:cs="Times New Roman" w:hint="default"/>
          <w:b/>
          <w:bCs/>
          <w:color w:val="auto"/>
          <w:highlight w:val="none"/>
        </w:rPr>
      </w:pPr>
      <w:bookmarkStart w:id="114" w:name="_Toc20471"/>
      <w:bookmarkStart w:id="115" w:name="_Toc13368"/>
      <w:r>
        <w:rPr>
          <w:rFonts w:ascii="Times New Roman" w:eastAsia="仿宋_GB2312" w:hAnsi="Times New Roman" w:cs="Times New Roman" w:hint="default"/>
          <w:b/>
          <w:bCs/>
          <w:color w:val="auto"/>
          <w:highlight w:val="none"/>
        </w:rPr>
        <w:t xml:space="preserve">3.绩效目标合理性</w:t>
      </w:r>
      <w:bookmarkEnd w:id="114"/>
      <w:bookmarkEnd w:id="115"/>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尉犁县人民医院</w:t>
      </w:r>
      <w:r>
        <w:rPr>
          <w:rFonts w:ascii="Times New Roman" w:eastAsia="仿宋_GB2312" w:hAnsi="Times New Roman" w:cs="Times New Roman" w:hint="default"/>
          <w:color w:val="auto"/>
          <w:highlight w:val="none"/>
        </w:rPr>
        <w:t xml:space="preserve">编制了</w:t>
      </w:r>
      <w:r>
        <w:rPr>
          <w:rFonts w:ascii="Times New Roman" w:hAnsi="Times New Roman" w:cs="Times New Roman" w:hint="eastAsia"/>
          <w:color w:val="auto"/>
          <w:highlight w:val="none"/>
          <w:lang w:eastAsia="zh-CN"/>
        </w:rPr>
        <w:t xml:space="preserve">2024年中央医疗服务与保障能力提升（公立医院综合改革）补助</w:t>
      </w:r>
      <w:r>
        <w:rPr>
          <w:rFonts w:ascii="Times New Roman" w:hAnsi="Times New Roman" w:cs="Times New Roman" w:hint="eastAsia"/>
          <w:color w:val="auto"/>
          <w:highlight w:val="none"/>
          <w:lang w:val="en-US" w:eastAsia="zh-CN"/>
        </w:rPr>
        <w:t xml:space="preserve">项目</w:t>
      </w:r>
      <w:r>
        <w:rPr>
          <w:rFonts w:ascii="Times New Roman" w:eastAsia="仿宋_GB2312" w:hAnsi="Times New Roman" w:cs="Times New Roman" w:hint="default"/>
          <w:color w:val="auto"/>
          <w:highlight w:val="none"/>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16" w:name="_Toc21087"/>
      <w:bookmarkStart w:id="117" w:name="_Toc15543"/>
      <w:r>
        <w:rPr>
          <w:rFonts w:ascii="Times New Roman" w:eastAsia="仿宋_GB2312" w:hAnsi="Times New Roman" w:cs="Times New Roman" w:hint="default"/>
          <w:b/>
          <w:bCs/>
          <w:color w:val="auto"/>
          <w:highlight w:val="none"/>
        </w:rPr>
        <w:t xml:space="preserve">4.绩效指标明确性</w:t>
      </w:r>
      <w:bookmarkEnd w:id="116"/>
      <w:bookmarkEnd w:id="117"/>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尉犁县人民医院</w:t>
      </w:r>
      <w:r>
        <w:rPr>
          <w:rFonts w:ascii="Times New Roman" w:eastAsia="仿宋_GB2312" w:hAnsi="Times New Roman" w:cs="Times New Roman" w:hint="default"/>
          <w:color w:val="auto"/>
          <w:highlight w:val="none"/>
        </w:rPr>
        <w:t xml:space="preserve">编制了</w:t>
      </w:r>
      <w:r>
        <w:rPr>
          <w:rFonts w:ascii="Times New Roman" w:hAnsi="Times New Roman" w:cs="Times New Roman" w:hint="eastAsia"/>
          <w:color w:val="auto"/>
          <w:highlight w:val="none"/>
          <w:lang w:eastAsia="zh-CN"/>
        </w:rPr>
        <w:t xml:space="preserve">2024年中央医疗服务与保障能力提升（公立医院综合改革）补助</w:t>
      </w:r>
      <w:r>
        <w:rPr>
          <w:rFonts w:ascii="Times New Roman" w:hAnsi="Times New Roman" w:cs="Times New Roman" w:hint="eastAsia"/>
          <w:color w:val="auto"/>
          <w:highlight w:val="none"/>
          <w:lang w:val="en-US" w:eastAsia="zh-CN"/>
        </w:rPr>
        <w:t xml:space="preserve">项目绩效目标</w:t>
      </w:r>
      <w:r>
        <w:rPr>
          <w:rFonts w:ascii="Times New Roman" w:eastAsia="仿宋_GB2312" w:hAnsi="Times New Roman" w:cs="Times New Roman" w:hint="default"/>
          <w:color w:val="auto"/>
          <w:highlight w:val="none"/>
        </w:rPr>
        <w:t xml:space="preserve">，设置一级指标3条，二级指标</w:t>
      </w:r>
      <w:r>
        <w:rPr>
          <w:rFonts w:ascii="Times New Roman" w:hAnsi="Times New Roman" w:cs="Times New Roman" w:hint="eastAsia"/>
          <w:color w:val="auto"/>
          <w:highlight w:val="none"/>
          <w:lang w:val="en-US" w:eastAsia="zh-CN"/>
        </w:rPr>
        <w:t xml:space="preserve">6</w:t>
      </w:r>
      <w:r>
        <w:rPr>
          <w:rFonts w:ascii="Times New Roman" w:eastAsia="仿宋_GB2312" w:hAnsi="Times New Roman" w:cs="Times New Roman" w:hint="default"/>
          <w:color w:val="auto"/>
          <w:highlight w:val="none"/>
        </w:rPr>
        <w:t xml:space="preserve">条，三级指标</w:t>
      </w:r>
      <w:r>
        <w:rPr>
          <w:rFonts w:ascii="Times New Roman" w:hAnsi="Times New Roman" w:cs="Times New Roman" w:hint="eastAsia"/>
          <w:color w:val="auto"/>
          <w:highlight w:val="none"/>
          <w:lang w:val="en-US" w:eastAsia="zh-CN"/>
        </w:rPr>
        <w:t xml:space="preserve">7</w:t>
      </w:r>
      <w:r>
        <w:rPr>
          <w:rFonts w:ascii="Times New Roman" w:eastAsia="仿宋_GB2312" w:hAnsi="Times New Roman" w:cs="Times New Roman" w:hint="default"/>
          <w:color w:val="auto"/>
          <w:highlight w:val="none"/>
        </w:rPr>
        <w:t xml:space="preserve">条，其中量化指标</w:t>
      </w:r>
      <w:r>
        <w:rPr>
          <w:rFonts w:ascii="Times New Roman" w:hAnsi="Times New Roman" w:cs="Times New Roman" w:hint="eastAsia"/>
          <w:color w:val="auto"/>
          <w:highlight w:val="none"/>
          <w:lang w:val="en-US" w:eastAsia="zh-CN"/>
        </w:rPr>
        <w:t xml:space="preserve">6</w:t>
      </w:r>
      <w:r>
        <w:rPr>
          <w:rFonts w:ascii="Times New Roman" w:eastAsia="仿宋_GB2312" w:hAnsi="Times New Roman" w:cs="Times New Roman" w:hint="default"/>
          <w:color w:val="auto"/>
          <w:highlight w:val="none"/>
        </w:rPr>
        <w:t xml:space="preserve">条，绩效目标指标设定清晰、可衡量性较强，与项目目标任务计划数对应性较强。</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18" w:name="_Toc21476"/>
      <w:bookmarkStart w:id="119" w:name="_Toc25638"/>
      <w:r>
        <w:rPr>
          <w:rFonts w:ascii="Times New Roman" w:eastAsia="仿宋_GB2312" w:hAnsi="Times New Roman" w:cs="Times New Roman" w:hint="default"/>
          <w:b/>
          <w:bCs/>
          <w:color w:val="auto"/>
          <w:highlight w:val="none"/>
        </w:rPr>
        <w:t xml:space="preserve">5.预算编制科学性</w:t>
      </w:r>
      <w:bookmarkEnd w:id="118"/>
      <w:bookmarkEnd w:id="119"/>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w:t>
      </w:r>
      <w:r>
        <w:rPr>
          <w:rFonts w:ascii="Times New Roman" w:hAnsi="Times New Roman" w:cs="Times New Roman" w:hint="eastAsia"/>
          <w:color w:val="auto"/>
          <w:highlight w:val="none"/>
          <w:lang w:eastAsia="zh-CN"/>
        </w:rPr>
        <w:t xml:space="preserve">全年</w:t>
      </w:r>
      <w:r>
        <w:rPr>
          <w:rFonts w:ascii="Times New Roman" w:eastAsia="仿宋_GB2312" w:hAnsi="Times New Roman" w:cs="Times New Roman" w:hint="default"/>
          <w:color w:val="auto"/>
          <w:highlight w:val="none"/>
        </w:rPr>
        <w:t xml:space="preserve">预算资金</w:t>
      </w:r>
      <w:r>
        <w:rPr>
          <w:rFonts w:ascii="Times New Roman" w:hAnsi="Times New Roman" w:cs="Times New Roman" w:hint="eastAsia"/>
          <w:color w:val="auto"/>
          <w:highlight w:val="none"/>
          <w:lang w:val="en-US" w:eastAsia="zh-CN"/>
        </w:rPr>
        <w:t xml:space="preserve">125</w:t>
      </w:r>
      <w:r>
        <w:rPr>
          <w:rFonts w:ascii="Times New Roman" w:eastAsia="仿宋_GB2312" w:hAnsi="Times New Roman" w:cs="Times New Roman" w:hint="default"/>
          <w:color w:val="auto"/>
          <w:highlight w:val="none"/>
        </w:rPr>
        <w:t xml:space="preserve">万元，来源为</w:t>
      </w:r>
      <w:r>
        <w:rPr>
          <w:rFonts w:ascii="Times New Roman" w:hAnsi="Times New Roman" w:cs="Times New Roman" w:hint="eastAsia"/>
          <w:color w:val="auto"/>
          <w:highlight w:val="none"/>
          <w:lang w:val="en-US" w:eastAsia="zh-CN"/>
        </w:rPr>
        <w:t xml:space="preserve">中央专项</w:t>
      </w:r>
      <w:r>
        <w:rPr>
          <w:rFonts w:ascii="Times New Roman" w:eastAsia="仿宋_GB2312" w:hAnsi="Times New Roman" w:cs="Times New Roman" w:hint="default"/>
          <w:color w:val="auto"/>
          <w:highlight w:val="none"/>
        </w:rPr>
        <w:t xml:space="preserve">资金</w:t>
      </w:r>
      <w:r>
        <w:rPr>
          <w:rFonts w:ascii="Times New Roman" w:hAnsi="Times New Roman" w:cs="Times New Roman" w:hint="eastAsia"/>
          <w:color w:val="auto"/>
          <w:highlight w:val="none"/>
          <w:lang w:val="en-US" w:eastAsia="zh-CN"/>
        </w:rPr>
        <w:t xml:space="preserve">125</w:t>
      </w:r>
      <w:r>
        <w:rPr>
          <w:rFonts w:ascii="Times New Roman" w:eastAsia="仿宋_GB2312" w:hAnsi="Times New Roman" w:cs="Times New Roman" w:hint="default"/>
          <w:color w:val="auto"/>
          <w:highlight w:val="none"/>
        </w:rPr>
        <w:t xml:space="preserve">万元，预算编制较为科学，预算内容与项目建设内容相匹配，预算额度测算依据充分，预算确定的资金量与工</w:t>
      </w:r>
      <w:r>
        <w:rPr>
          <w:rFonts w:ascii="Times New Roman" w:hAnsi="Times New Roman" w:cs="Times New Roman" w:hint="eastAsia"/>
          <w:color w:val="auto"/>
          <w:highlight w:val="none"/>
          <w:lang w:val="en-US" w:eastAsia="zh-CN"/>
        </w:rPr>
        <w:t xml:space="preserve">作</w:t>
      </w:r>
      <w:r>
        <w:rPr>
          <w:rFonts w:ascii="Times New Roman" w:eastAsia="仿宋_GB2312" w:hAnsi="Times New Roman" w:cs="Times New Roman" w:hint="default"/>
          <w:color w:val="auto"/>
          <w:highlight w:val="none"/>
        </w:rPr>
        <w:t xml:space="preserve">量相匹配。</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20" w:name="_Toc30661"/>
      <w:bookmarkStart w:id="121" w:name="_Toc21577"/>
      <w:r>
        <w:rPr>
          <w:rFonts w:ascii="Times New Roman" w:eastAsia="仿宋_GB2312" w:hAnsi="Times New Roman" w:cs="Times New Roman" w:hint="default"/>
          <w:b/>
          <w:bCs/>
          <w:color w:val="auto"/>
          <w:highlight w:val="none"/>
        </w:rPr>
        <w:t xml:space="preserve">6.资金分配合理性</w:t>
      </w:r>
      <w:bookmarkEnd w:id="120"/>
      <w:bookmarkEnd w:id="121"/>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本项目预算资金分配依据充分；资金分配额度合理，与项目单位实际相适应。</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pStyle w:val="Heading3"/>
        <w:bidi w:val="0"/>
        <w:jc w:val="both"/>
        <w:outlineLvl w:val="1"/>
        <w:rPr>
          <w:rFonts w:ascii="黑体" w:eastAsia="黑体" w:hAnsi="黑体" w:cs="黑体" w:hint="eastAsia"/>
          <w:color w:val="auto"/>
          <w:highlight w:val="none"/>
        </w:rPr>
      </w:pPr>
      <w:bookmarkStart w:id="122" w:name="_Toc20945"/>
      <w:bookmarkStart w:id="123" w:name="_Toc9897"/>
      <w:bookmarkStart w:id="124" w:name="_Toc13442"/>
      <w:bookmarkStart w:id="125" w:name="_Toc27855"/>
      <w:bookmarkStart w:id="126" w:name="_Toc30992"/>
      <w:r>
        <w:rPr>
          <w:rFonts w:ascii="黑体" w:eastAsia="黑体" w:hAnsi="黑体" w:cs="黑体" w:hint="eastAsia"/>
          <w:color w:val="auto"/>
          <w:highlight w:val="none"/>
        </w:rPr>
        <w:t xml:space="preserve">（二）项目过程情况</w:t>
      </w:r>
      <w:bookmarkEnd w:id="122"/>
      <w:bookmarkEnd w:id="123"/>
      <w:bookmarkEnd w:id="124"/>
      <w:bookmarkEnd w:id="125"/>
      <w:bookmarkEnd w:id="126"/>
    </w:p>
    <w:p>
      <w:pPr>
        <w:bidi w:val="0"/>
        <w:jc w:val="both"/>
        <w:rPr>
          <w:rFonts w:ascii="Times New Roman" w:eastAsia="仿宋_GB2312" w:hAnsi="Times New Roman" w:cs="Times New Roman" w:hint="default"/>
          <w:b/>
          <w:bCs/>
          <w:color w:val="auto"/>
          <w:highlight w:val="none"/>
        </w:rPr>
      </w:pPr>
      <w:bookmarkStart w:id="127" w:name="_Toc19854"/>
      <w:bookmarkStart w:id="128" w:name="_Toc29417"/>
      <w:r>
        <w:rPr>
          <w:rFonts w:ascii="Times New Roman" w:eastAsia="仿宋_GB2312" w:hAnsi="Times New Roman" w:cs="Times New Roman" w:hint="default"/>
          <w:b/>
          <w:bCs/>
          <w:color w:val="auto"/>
          <w:highlight w:val="none"/>
        </w:rPr>
        <w:t xml:space="preserve">1.资金到位率</w:t>
      </w:r>
      <w:bookmarkEnd w:id="127"/>
      <w:bookmarkEnd w:id="128"/>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w:t>
      </w:r>
      <w:r>
        <w:rPr>
          <w:rFonts w:ascii="Times New Roman" w:hAnsi="Times New Roman" w:cs="Times New Roman" w:hint="eastAsia"/>
          <w:color w:val="auto"/>
          <w:highlight w:val="none"/>
          <w:lang w:eastAsia="zh-CN"/>
        </w:rPr>
        <w:t xml:space="preserve">全年</w:t>
      </w:r>
      <w:r>
        <w:rPr>
          <w:rFonts w:ascii="Times New Roman" w:eastAsia="仿宋_GB2312" w:hAnsi="Times New Roman" w:cs="Times New Roman" w:hint="default"/>
          <w:color w:val="auto"/>
          <w:highlight w:val="none"/>
        </w:rPr>
        <w:t xml:space="preserve">预算资金</w:t>
      </w:r>
      <w:r>
        <w:rPr>
          <w:rFonts w:ascii="Times New Roman" w:hAnsi="Times New Roman" w:cs="Times New Roman" w:hint="eastAsia"/>
          <w:color w:val="auto"/>
          <w:highlight w:val="none"/>
          <w:lang w:val="en-US" w:eastAsia="zh-CN"/>
        </w:rPr>
        <w:t xml:space="preserve">125</w:t>
      </w:r>
      <w:r>
        <w:rPr>
          <w:rFonts w:ascii="Times New Roman" w:eastAsia="仿宋_GB2312" w:hAnsi="Times New Roman" w:cs="Times New Roman" w:hint="default"/>
          <w:color w:val="auto"/>
          <w:highlight w:val="none"/>
        </w:rPr>
        <w:t xml:space="preserve">万元，实际到位资金</w:t>
      </w:r>
      <w:r>
        <w:rPr>
          <w:rFonts w:ascii="Times New Roman" w:hAnsi="Times New Roman" w:cs="Times New Roman" w:hint="eastAsia"/>
          <w:color w:val="auto"/>
          <w:highlight w:val="none"/>
          <w:lang w:val="en-US" w:eastAsia="zh-CN"/>
        </w:rPr>
        <w:t xml:space="preserve">125</w:t>
      </w:r>
      <w:r>
        <w:rPr>
          <w:rFonts w:ascii="Times New Roman" w:eastAsia="仿宋_GB2312" w:hAnsi="Times New Roman" w:cs="Times New Roman" w:hint="default"/>
          <w:color w:val="auto"/>
          <w:highlight w:val="none"/>
        </w:rPr>
        <w:t xml:space="preserve">万元，资金到位率100%。</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29" w:name="_Toc29889"/>
      <w:bookmarkStart w:id="130" w:name="_Toc13724"/>
      <w:r>
        <w:rPr>
          <w:rFonts w:ascii="Times New Roman" w:eastAsia="仿宋_GB2312" w:hAnsi="Times New Roman" w:cs="Times New Roman" w:hint="default"/>
          <w:b/>
          <w:bCs/>
          <w:color w:val="auto"/>
          <w:highlight w:val="none"/>
        </w:rPr>
        <w:t xml:space="preserve">2.预算执行率</w:t>
      </w:r>
      <w:bookmarkEnd w:id="129"/>
      <w:bookmarkEnd w:id="130"/>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本项目到位资金</w:t>
      </w:r>
      <w:r>
        <w:rPr>
          <w:rFonts w:ascii="Times New Roman" w:hAnsi="Times New Roman" w:cs="Times New Roman" w:hint="eastAsia"/>
          <w:color w:val="auto"/>
          <w:highlight w:val="none"/>
          <w:lang w:val="en-US" w:eastAsia="zh-CN"/>
        </w:rPr>
        <w:t xml:space="preserve">125</w:t>
      </w:r>
      <w:r>
        <w:rPr>
          <w:rFonts w:ascii="Times New Roman" w:eastAsia="仿宋_GB2312" w:hAnsi="Times New Roman" w:cs="Times New Roman" w:hint="default"/>
          <w:color w:val="auto"/>
          <w:highlight w:val="none"/>
        </w:rPr>
        <w:t xml:space="preserve">万元，实际支付资金</w:t>
      </w:r>
      <w:r>
        <w:rPr>
          <w:rFonts w:ascii="Times New Roman" w:hAnsi="Times New Roman" w:cs="Times New Roman" w:hint="eastAsia"/>
          <w:color w:val="auto"/>
          <w:highlight w:val="none"/>
          <w:lang w:val="en-US" w:eastAsia="zh-CN"/>
        </w:rPr>
        <w:t xml:space="preserve">125</w:t>
      </w:r>
      <w:r>
        <w:rPr>
          <w:rFonts w:ascii="Times New Roman" w:eastAsia="仿宋_GB2312" w:hAnsi="Times New Roman" w:cs="Times New Roman" w:hint="default"/>
          <w:color w:val="auto"/>
          <w:highlight w:val="none"/>
        </w:rPr>
        <w:t xml:space="preserve">万元，预算执行率为</w:t>
      </w:r>
      <w:r>
        <w:rPr>
          <w:rFonts w:ascii="Times New Roman" w:eastAsia="仿宋_GB2312" w:hAnsi="Times New Roman" w:cs="Times New Roman" w:hint="default"/>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w:t>
      </w:r>
      <w:r>
        <w:rPr>
          <w:rFonts w:ascii="Times New Roman" w:eastAsia="仿宋_GB2312" w:hAnsi="Times New Roman" w:cs="Times New Roman" w:hint="default"/>
          <w:color w:val="auto"/>
          <w:highlight w:val="none"/>
          <w:lang w:val="en-US" w:eastAsia="zh-CN"/>
        </w:rPr>
        <w:t xml:space="preserve">4</w:t>
      </w:r>
      <w:r>
        <w:rPr>
          <w:rFonts w:ascii="Times New Roman" w:eastAsia="仿宋_GB2312" w:hAnsi="Times New Roman" w:cs="Times New Roman" w:hint="default"/>
          <w:color w:val="auto"/>
          <w:highlight w:val="none"/>
        </w:rPr>
        <w:t xml:space="preserve">分。</w:t>
      </w:r>
    </w:p>
    <w:p>
      <w:pPr>
        <w:bidi w:val="0"/>
        <w:jc w:val="both"/>
        <w:rPr>
          <w:rFonts w:ascii="Times New Roman" w:eastAsia="仿宋_GB2312" w:hAnsi="Times New Roman" w:cs="Times New Roman" w:hint="default"/>
          <w:b/>
          <w:bCs/>
          <w:color w:val="auto"/>
          <w:highlight w:val="none"/>
        </w:rPr>
      </w:pPr>
      <w:bookmarkStart w:id="131" w:name="_Toc8316"/>
      <w:bookmarkStart w:id="132" w:name="_Toc2484"/>
      <w:r>
        <w:rPr>
          <w:rFonts w:ascii="Times New Roman" w:eastAsia="仿宋_GB2312" w:hAnsi="Times New Roman" w:cs="Times New Roman" w:hint="default"/>
          <w:b/>
          <w:bCs/>
          <w:color w:val="auto"/>
          <w:highlight w:val="none"/>
        </w:rPr>
        <w:t xml:space="preserve">3.资金使用合规性</w:t>
      </w:r>
      <w:bookmarkEnd w:id="131"/>
      <w:bookmarkEnd w:id="132"/>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本项目资金的使用符合</w:t>
      </w:r>
      <w:r>
        <w:rPr>
          <w:rFonts w:ascii="Times New Roman" w:eastAsia="仿宋_GB2312" w:hAnsi="Times New Roman" w:cs="Times New Roman" w:hint="default"/>
          <w:color w:val="auto"/>
          <w:highlight w:val="none"/>
          <w:lang w:val="en-US" w:eastAsia="zh-CN"/>
        </w:rPr>
        <w:t xml:space="preserve">《中华人民共和国预算法》《中华人民共和国会计法》《</w:t>
      </w:r>
      <w:r>
        <w:rPr>
          <w:rFonts w:ascii="Times New Roman" w:hAnsi="Times New Roman" w:cs="Times New Roman" w:hint="eastAsia"/>
          <w:color w:val="auto"/>
          <w:highlight w:val="none"/>
          <w:lang w:val="en-US" w:eastAsia="zh-CN"/>
        </w:rPr>
        <w:t xml:space="preserve">中华人民共和国招标投标法</w:t>
      </w:r>
      <w:r>
        <w:rPr>
          <w:rFonts w:ascii="Times New Roman" w:eastAsia="仿宋_GB2312" w:hAnsi="Times New Roman" w:cs="Times New Roman" w:hint="default"/>
          <w:color w:val="auto"/>
          <w:highlight w:val="none"/>
          <w:lang w:val="en-US" w:eastAsia="zh-CN"/>
        </w:rPr>
        <w:t xml:space="preserve">》等</w:t>
      </w:r>
      <w:r>
        <w:rPr>
          <w:rFonts w:ascii="Times New Roman" w:eastAsia="仿宋_GB2312" w:hAnsi="Times New Roman" w:cs="Times New Roman" w:hint="default"/>
          <w:color w:val="auto"/>
          <w:highlight w:val="none"/>
          <w:lang w:eastAsia="zh-CN"/>
        </w:rPr>
        <w:t xml:space="preserve">国家</w:t>
      </w:r>
      <w:r>
        <w:rPr>
          <w:rFonts w:ascii="Times New Roman" w:eastAsia="仿宋_GB2312" w:hAnsi="Times New Roman" w:cs="Times New Roman" w:hint="default"/>
          <w:color w:val="auto"/>
          <w:highlight w:val="none"/>
          <w:lang w:val="en-US" w:eastAsia="zh-CN"/>
        </w:rPr>
        <w:t xml:space="preserve">有关</w:t>
      </w:r>
      <w:r>
        <w:rPr>
          <w:rFonts w:ascii="Times New Roman" w:eastAsia="仿宋_GB2312" w:hAnsi="Times New Roman" w:cs="Times New Roman" w:hint="default"/>
          <w:color w:val="auto"/>
          <w:highlight w:val="none"/>
          <w:lang w:eastAsia="zh-CN"/>
        </w:rPr>
        <w:t xml:space="preserve">财经法规</w:t>
      </w:r>
      <w:r>
        <w:rPr>
          <w:rFonts w:ascii="Times New Roman" w:eastAsia="仿宋_GB2312" w:hAnsi="Times New Roman" w:cs="Times New Roman" w:hint="default"/>
          <w:color w:val="auto"/>
          <w:highlight w:val="none"/>
          <w:lang w:val="en-US" w:eastAsia="zh-CN"/>
        </w:rPr>
        <w:t xml:space="preserve">以及预算管理制度。</w:t>
      </w:r>
      <w:r>
        <w:rPr>
          <w:rFonts w:ascii="Times New Roman" w:eastAsia="仿宋_GB2312" w:hAnsi="Times New Roman" w:cs="Times New Roman" w:hint="default"/>
          <w:color w:val="auto"/>
          <w:highlight w:val="none"/>
        </w:rPr>
        <w:t xml:space="preserve">资金的</w:t>
      </w:r>
      <w:r>
        <w:rPr>
          <w:rFonts w:ascii="Times New Roman" w:eastAsia="仿宋_GB2312" w:hAnsi="Times New Roman" w:cs="Times New Roman" w:hint="default"/>
          <w:color w:val="auto"/>
          <w:highlight w:val="none"/>
          <w:lang w:val="en-US" w:eastAsia="zh-CN"/>
        </w:rPr>
        <w:t xml:space="preserve">审批和</w:t>
      </w:r>
      <w:r>
        <w:rPr>
          <w:rFonts w:ascii="Times New Roman" w:eastAsia="仿宋_GB2312" w:hAnsi="Times New Roman" w:cs="Times New Roman" w:hint="default"/>
          <w:color w:val="auto"/>
          <w:highlight w:val="none"/>
        </w:rPr>
        <w:t xml:space="preserve">拨付</w:t>
      </w:r>
      <w:r>
        <w:rPr>
          <w:rFonts w:ascii="Times New Roman" w:eastAsia="仿宋_GB2312" w:hAnsi="Times New Roman" w:cs="Times New Roman" w:hint="default"/>
          <w:color w:val="auto"/>
          <w:highlight w:val="none"/>
          <w:lang w:val="en-US" w:eastAsia="zh-CN"/>
        </w:rPr>
        <w:t xml:space="preserve">按照《</w:t>
      </w:r>
      <w:r>
        <w:rPr>
          <w:rFonts w:ascii="Times New Roman" w:hAnsi="Times New Roman" w:cs="Times New Roman" w:hint="eastAsia"/>
          <w:color w:val="auto"/>
          <w:highlight w:val="none"/>
          <w:lang w:val="en-US" w:eastAsia="zh-CN"/>
        </w:rPr>
        <w:t xml:space="preserve">尉犁县</w:t>
      </w:r>
      <w:r>
        <w:rPr>
          <w:rFonts w:ascii="Times New Roman" w:eastAsia="仿宋_GB2312" w:hAnsi="Times New Roman" w:cs="Times New Roman" w:hint="default"/>
          <w:color w:val="auto"/>
          <w:highlight w:val="none"/>
          <w:lang w:val="en-US" w:eastAsia="zh-CN"/>
        </w:rPr>
        <w:t xml:space="preserve">县财政资金审批管理办法》执行</w:t>
      </w:r>
      <w:r>
        <w:rPr>
          <w:rFonts w:ascii="Times New Roman" w:eastAsia="仿宋_GB2312" w:hAnsi="Times New Roman" w:cs="Times New Roman" w:hint="default"/>
          <w:color w:val="auto"/>
          <w:highlight w:val="none"/>
        </w:rPr>
        <w:t xml:space="preserve">。资金的拨付有完整的审批程序和手续；资金使用符合专项资金支持的范围。不存在截留、挤占、挪用、虚列支出等情况。</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33" w:name="_Toc15332"/>
      <w:bookmarkStart w:id="134" w:name="_Toc20651"/>
      <w:r>
        <w:rPr>
          <w:rFonts w:ascii="Times New Roman" w:eastAsia="仿宋_GB2312" w:hAnsi="Times New Roman" w:cs="Times New Roman" w:hint="default"/>
          <w:b/>
          <w:bCs/>
          <w:color w:val="auto"/>
          <w:highlight w:val="none"/>
        </w:rPr>
        <w:t xml:space="preserve">4.管理制度健全性</w:t>
      </w:r>
      <w:bookmarkEnd w:id="133"/>
      <w:bookmarkEnd w:id="134"/>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尉犁县人民医院</w:t>
      </w:r>
      <w:r>
        <w:rPr>
          <w:rFonts w:ascii="Times New Roman" w:eastAsia="仿宋_GB2312" w:hAnsi="Times New Roman" w:cs="Times New Roman" w:hint="default"/>
          <w:color w:val="auto"/>
          <w:highlight w:val="none"/>
        </w:rPr>
        <w:t xml:space="preserve">制定了</w:t>
      </w:r>
      <w:r>
        <w:rPr>
          <w:rFonts w:ascii="Times New Roman" w:eastAsia="仿宋_GB2312" w:hAnsi="Times New Roman" w:cs="Times New Roman" w:hint="default"/>
          <w:color w:val="auto"/>
          <w:highlight w:val="none"/>
          <w:lang w:val="en-US" w:eastAsia="zh-CN"/>
        </w:rPr>
        <w:t xml:space="preserve">《</w:t>
      </w:r>
      <w:r>
        <w:rPr>
          <w:rFonts w:ascii="Times New Roman" w:hAnsi="Times New Roman" w:cs="Times New Roman" w:hint="eastAsia"/>
          <w:color w:val="auto"/>
          <w:highlight w:val="none"/>
          <w:lang w:val="en-US" w:eastAsia="zh-CN"/>
        </w:rPr>
        <w:t xml:space="preserve">尉犁县人民医院</w:t>
      </w:r>
      <w:r>
        <w:rPr>
          <w:rFonts w:ascii="Times New Roman" w:eastAsia="仿宋_GB2312" w:hAnsi="Times New Roman" w:cs="Times New Roman" w:hint="default"/>
          <w:color w:val="auto"/>
          <w:highlight w:val="none"/>
          <w:lang w:val="en-US" w:eastAsia="zh-CN"/>
        </w:rPr>
        <w:t xml:space="preserve">财务管理制度》和《</w:t>
      </w:r>
      <w:r>
        <w:rPr>
          <w:rFonts w:ascii="Times New Roman" w:hAnsi="Times New Roman" w:cs="Times New Roman" w:hint="eastAsia"/>
          <w:color w:val="auto"/>
          <w:highlight w:val="none"/>
          <w:lang w:val="en-US" w:eastAsia="zh-CN"/>
        </w:rPr>
        <w:t xml:space="preserve">尉犁县人民医院</w:t>
      </w:r>
      <w:r>
        <w:rPr>
          <w:rFonts w:ascii="Times New Roman" w:eastAsia="仿宋_GB2312" w:hAnsi="Times New Roman" w:cs="Times New Roman" w:hint="default"/>
          <w:color w:val="auto"/>
          <w:highlight w:val="none"/>
          <w:lang w:val="en-US" w:eastAsia="zh-CN"/>
        </w:rPr>
        <w:t xml:space="preserve">预算管理内控制度》，制定了较为全面的项目管理制度，对项目实施、组织与管理、跟踪与验收、监督与评价以及资金管理等方面都做出明确的规范要求。同时，项目的实施严格遵守《中华人民共和国预算法》《中华人民共和国会计法》《</w:t>
      </w:r>
      <w:r>
        <w:rPr>
          <w:rFonts w:ascii="Times New Roman" w:hAnsi="Times New Roman" w:cs="Times New Roman" w:hint="eastAsia"/>
          <w:color w:val="auto"/>
          <w:highlight w:val="none"/>
          <w:lang w:val="en-US" w:eastAsia="zh-CN"/>
        </w:rPr>
        <w:t xml:space="preserve">中华人民共和国招标投标法</w:t>
      </w:r>
      <w:r>
        <w:rPr>
          <w:rFonts w:ascii="Times New Roman" w:eastAsia="仿宋_GB2312" w:hAnsi="Times New Roman" w:cs="Times New Roman" w:hint="default"/>
          <w:color w:val="auto"/>
          <w:highlight w:val="none"/>
          <w:lang w:val="en-US" w:eastAsia="zh-CN"/>
        </w:rPr>
        <w:t xml:space="preserve">》等法律法规、财经制度的要求，</w:t>
      </w:r>
      <w:r>
        <w:rPr>
          <w:rFonts w:ascii="Times New Roman" w:eastAsia="仿宋_GB2312" w:hAnsi="Times New Roman" w:cs="Times New Roman" w:hint="default"/>
          <w:color w:val="auto"/>
          <w:highlight w:val="none"/>
        </w:rPr>
        <w:t xml:space="preserve">资金管理等方面都做出明确的规范的要求</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财务制度和业务管理制度</w:t>
      </w:r>
      <w:r>
        <w:rPr>
          <w:rFonts w:ascii="Times New Roman" w:eastAsia="仿宋_GB2312" w:hAnsi="Times New Roman" w:cs="Times New Roman" w:hint="default"/>
          <w:color w:val="auto"/>
          <w:highlight w:val="none"/>
          <w:lang w:val="en-US" w:eastAsia="zh-CN"/>
        </w:rPr>
        <w:t xml:space="preserve">健全</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本项满分3分，评估得分3分。</w:t>
      </w:r>
    </w:p>
    <w:p>
      <w:pPr>
        <w:bidi w:val="0"/>
        <w:jc w:val="both"/>
        <w:rPr>
          <w:rFonts w:ascii="Times New Roman" w:eastAsia="仿宋_GB2312" w:hAnsi="Times New Roman" w:cs="Times New Roman" w:hint="default"/>
          <w:b/>
          <w:bCs/>
          <w:color w:val="auto"/>
          <w:highlight w:val="none"/>
        </w:rPr>
      </w:pPr>
      <w:bookmarkStart w:id="135" w:name="_Toc14023"/>
      <w:bookmarkStart w:id="136" w:name="_Toc14853"/>
      <w:r>
        <w:rPr>
          <w:rFonts w:ascii="Times New Roman" w:eastAsia="仿宋_GB2312" w:hAnsi="Times New Roman" w:cs="Times New Roman" w:hint="default"/>
          <w:b/>
          <w:bCs/>
          <w:color w:val="auto"/>
          <w:highlight w:val="none"/>
        </w:rPr>
        <w:t xml:space="preserve">5.制度执行有效性</w:t>
      </w:r>
      <w:bookmarkEnd w:id="135"/>
      <w:bookmarkEnd w:id="136"/>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本项目在实施过程中严格遵守相关法律法规和相关管理规定，如《中华人民共和国预算法</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中华人民共和国会计法</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中华人民共和国</w:t>
      </w:r>
      <w:r>
        <w:rPr>
          <w:rFonts w:ascii="Times New Roman" w:hAnsi="Times New Roman" w:cs="Times New Roman" w:hint="eastAsia"/>
          <w:color w:val="auto"/>
          <w:highlight w:val="none"/>
          <w:lang w:val="en-US" w:eastAsia="zh-CN"/>
        </w:rPr>
        <w:t xml:space="preserve">政府</w:t>
      </w:r>
      <w:r>
        <w:rPr>
          <w:rFonts w:ascii="Times New Roman" w:eastAsia="仿宋_GB2312" w:hAnsi="Times New Roman" w:cs="Times New Roman" w:hint="default"/>
          <w:color w:val="auto"/>
          <w:highlight w:val="none"/>
        </w:rPr>
        <w:t xml:space="preserve">采购法》等</w:t>
      </w:r>
      <w:r>
        <w:rPr>
          <w:rFonts w:ascii="Times New Roman" w:hAnsi="Times New Roman" w:cs="Times New Roman" w:hint="eastAsia"/>
          <w:color w:val="auto"/>
          <w:highlight w:val="none"/>
          <w:lang w:eastAsia="zh-CN"/>
        </w:rPr>
        <w:t xml:space="preserve">。</w:t>
      </w:r>
      <w:r>
        <w:rPr>
          <w:rFonts w:ascii="Times New Roman" w:eastAsia="仿宋_GB2312" w:hAnsi="Times New Roman" w:cs="Times New Roman" w:hint="default"/>
          <w:color w:val="auto"/>
          <w:highlight w:val="none"/>
        </w:rPr>
        <w:t xml:space="preserve">严格执行</w:t>
      </w:r>
      <w:r>
        <w:rPr>
          <w:rFonts w:ascii="Times New Roman" w:hAnsi="Times New Roman" w:cs="Times New Roman" w:hint="eastAsia"/>
          <w:color w:val="auto"/>
          <w:highlight w:val="none"/>
          <w:lang w:val="en-US" w:eastAsia="zh-CN"/>
        </w:rPr>
        <w:t xml:space="preserve">医疗设备采购</w:t>
      </w:r>
      <w:r>
        <w:rPr>
          <w:rFonts w:ascii="Times New Roman" w:eastAsia="仿宋_GB2312" w:hAnsi="Times New Roman" w:cs="Times New Roman" w:hint="default"/>
          <w:color w:val="auto"/>
          <w:highlight w:val="none"/>
        </w:rPr>
        <w:t xml:space="preserve">程序，执行招标投标制、合同管理制，</w:t>
      </w:r>
      <w:r>
        <w:rPr>
          <w:rFonts w:ascii="Times New Roman" w:hAnsi="Times New Roman" w:cs="Times New Roman" w:hint="eastAsia"/>
          <w:color w:val="auto"/>
          <w:highlight w:val="none"/>
          <w:lang w:val="en-US" w:eastAsia="zh-CN"/>
        </w:rPr>
        <w:t xml:space="preserve">设备安装</w:t>
      </w: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调试</w:t>
      </w:r>
      <w:r>
        <w:rPr>
          <w:rFonts w:ascii="Times New Roman" w:eastAsia="仿宋_GB2312" w:hAnsi="Times New Roman" w:cs="Times New Roman" w:hint="default"/>
          <w:color w:val="auto"/>
          <w:highlight w:val="none"/>
        </w:rPr>
        <w:t xml:space="preserve">均符合国家和自治区有关</w:t>
      </w:r>
      <w:r>
        <w:rPr>
          <w:rFonts w:ascii="Times New Roman" w:hAnsi="Times New Roman" w:cs="Times New Roman" w:hint="eastAsia"/>
          <w:color w:val="auto"/>
          <w:highlight w:val="none"/>
          <w:lang w:val="en-US" w:eastAsia="zh-CN"/>
        </w:rPr>
        <w:t xml:space="preserve">规定。有关</w:t>
      </w:r>
      <w:r>
        <w:rPr>
          <w:rFonts w:ascii="Times New Roman" w:hAnsi="Times New Roman" w:cs="Times New Roman" w:hint="default"/>
          <w:color w:val="auto"/>
          <w:highlight w:val="none"/>
        </w:rPr>
        <w:t xml:space="preserve">资料齐全</w:t>
      </w:r>
      <w:r>
        <w:rPr>
          <w:rFonts w:ascii="Times New Roman" w:eastAsia="仿宋_GB2312" w:hAnsi="Times New Roman" w:cs="Times New Roman" w:hint="default"/>
          <w:color w:val="auto"/>
          <w:highlight w:val="none"/>
        </w:rPr>
        <w:t xml:space="preserve">，并及时整理归档。</w:t>
      </w:r>
      <w:r>
        <w:rPr>
          <w:rFonts w:ascii="Times New Roman" w:eastAsia="仿宋_GB2312" w:hAnsi="Times New Roman" w:cs="Times New Roman" w:hint="default"/>
          <w:color w:val="auto"/>
          <w:highlight w:val="none"/>
          <w:lang w:val="en-US" w:eastAsia="zh-CN"/>
        </w:rPr>
        <w:t xml:space="preserve">本项目无项目调整及支出调整，制度执行有效性较高。</w:t>
      </w:r>
      <w:r>
        <w:rPr>
          <w:rFonts w:ascii="Times New Roman" w:eastAsia="仿宋_GB2312" w:hAnsi="Times New Roman" w:cs="Times New Roman" w:hint="default"/>
          <w:color w:val="auto"/>
          <w:highlight w:val="none"/>
        </w:rPr>
        <w:t xml:space="preserve">本项满分3分，评估得分3分。</w:t>
      </w:r>
    </w:p>
    <w:p>
      <w:pPr>
        <w:pStyle w:val="Heading3"/>
        <w:bidi w:val="0"/>
        <w:jc w:val="both"/>
        <w:outlineLvl w:val="1"/>
        <w:rPr>
          <w:rFonts w:ascii="楷体" w:eastAsia="楷体" w:hAnsi="楷体" w:cs="楷体" w:hint="eastAsia"/>
          <w:color w:val="auto"/>
          <w:highlight w:val="none"/>
        </w:rPr>
      </w:pPr>
      <w:bookmarkStart w:id="137" w:name="_Toc11731"/>
      <w:bookmarkStart w:id="138" w:name="_Toc6865"/>
      <w:bookmarkStart w:id="139" w:name="_Toc5161"/>
      <w:bookmarkStart w:id="140" w:name="_Toc22156"/>
      <w:bookmarkStart w:id="141" w:name="_Toc31545"/>
      <w:r>
        <w:rPr>
          <w:rFonts w:ascii="楷体" w:eastAsia="楷体" w:hAnsi="楷体" w:cs="楷体" w:hint="eastAsia"/>
          <w:color w:val="auto"/>
          <w:highlight w:val="none"/>
        </w:rPr>
        <w:t xml:space="preserve">（三）项目产出情况</w:t>
      </w:r>
      <w:bookmarkEnd w:id="137"/>
      <w:bookmarkEnd w:id="138"/>
      <w:bookmarkEnd w:id="139"/>
      <w:bookmarkEnd w:id="140"/>
      <w:bookmarkEnd w:id="141"/>
    </w:p>
    <w:p>
      <w:pPr>
        <w:bidi w:val="0"/>
        <w:jc w:val="both"/>
        <w:rPr>
          <w:rFonts w:ascii="Times New Roman" w:eastAsia="仿宋_GB2312" w:hAnsi="Times New Roman" w:cs="Times New Roman" w:hint="default"/>
          <w:b/>
          <w:bCs/>
          <w:color w:val="auto"/>
          <w:highlight w:val="none"/>
        </w:rPr>
      </w:pPr>
      <w:bookmarkStart w:id="142" w:name="_Toc31041"/>
      <w:bookmarkStart w:id="143" w:name="_Toc4184"/>
      <w:r>
        <w:rPr>
          <w:rFonts w:ascii="Times New Roman" w:eastAsia="仿宋_GB2312" w:hAnsi="Times New Roman" w:cs="Times New Roman" w:hint="default"/>
          <w:b/>
          <w:bCs/>
          <w:color w:val="auto"/>
          <w:highlight w:val="none"/>
        </w:rPr>
        <w:t xml:space="preserve">1.产出数量</w:t>
      </w:r>
      <w:bookmarkEnd w:id="142"/>
      <w:bookmarkEnd w:id="143"/>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bCs/>
          <w:color w:val="auto"/>
          <w:szCs w:val="32"/>
          <w:highlight w:val="none"/>
          <w:lang w:val="en-US" w:eastAsia="zh-CN"/>
        </w:rPr>
        <w:t xml:space="preserve">指标1：</w:t>
      </w:r>
      <w:r>
        <w:rPr>
          <w:rFonts w:ascii="Times New Roman" w:hAnsi="Times New Roman" w:cs="Times New Roman" w:hint="eastAsia"/>
          <w:color w:val="auto"/>
          <w:highlight w:val="none"/>
          <w:lang w:val="en-US" w:eastAsia="zh-CN"/>
        </w:rPr>
        <w:t xml:space="preserve">采购数字减影血管造影机</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eastAsia="zh-CN"/>
        </w:rPr>
        <w:t xml:space="preserve">等于</w:t>
      </w:r>
      <w:r>
        <w:rPr>
          <w:rFonts w:ascii="Times New Roman" w:hAnsi="Times New Roman" w:cs="Times New Roman" w:hint="eastAsia"/>
          <w:color w:val="auto"/>
          <w:highlight w:val="none"/>
          <w:lang w:val="en-US" w:eastAsia="zh-CN"/>
        </w:rPr>
        <w:t xml:space="preserve">1台</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1台</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本项满分12分，评估得分12分。</w:t>
      </w:r>
    </w:p>
    <w:p>
      <w:pPr>
        <w:bidi w:val="0"/>
        <w:jc w:val="both"/>
        <w:rPr>
          <w:rFonts w:ascii="Times New Roman" w:eastAsia="仿宋_GB2312" w:hAnsi="Times New Roman" w:cs="Times New Roman" w:hint="default"/>
          <w:b/>
          <w:bCs/>
          <w:color w:val="auto"/>
          <w:highlight w:val="none"/>
        </w:rPr>
      </w:pPr>
      <w:bookmarkStart w:id="144" w:name="_Toc21607"/>
      <w:bookmarkStart w:id="145" w:name="_Toc7420"/>
      <w:r>
        <w:rPr>
          <w:rFonts w:ascii="Times New Roman" w:eastAsia="仿宋_GB2312" w:hAnsi="Times New Roman" w:cs="Times New Roman" w:hint="default"/>
          <w:b/>
          <w:bCs/>
          <w:color w:val="auto"/>
          <w:highlight w:val="none"/>
        </w:rPr>
        <w:t xml:space="preserve">2.产出质量</w:t>
      </w:r>
      <w:bookmarkEnd w:id="144"/>
      <w:bookmarkEnd w:id="145"/>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指标1：</w:t>
      </w:r>
      <w:r>
        <w:rPr>
          <w:rFonts w:ascii="Times New Roman" w:hAnsi="Times New Roman" w:cs="Times New Roman" w:hint="eastAsia"/>
          <w:color w:val="auto"/>
          <w:highlight w:val="none"/>
          <w:lang w:val="en-US" w:eastAsia="zh-CN"/>
        </w:rPr>
        <w:t xml:space="preserve">设备验收合格率</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eastAsia="zh-CN"/>
        </w:rPr>
        <w:t xml:space="preserve">等于</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w:t>
      </w:r>
      <w:r>
        <w:rPr>
          <w:rFonts w:ascii="Times New Roman" w:hAnsi="Times New Roman" w:cs="Times New Roman" w:hint="eastAsia"/>
          <w:b w:val="0"/>
          <w:bCs/>
          <w:color w:val="auto"/>
          <w:kern w:val="2"/>
          <w:sz w:val="32"/>
          <w:szCs w:val="32"/>
          <w:highlight w:val="none"/>
          <w:lang w:val="en-US" w:eastAsia="zh-CN" w:bidi="ar-SA"/>
        </w:rPr>
        <w:t xml:space="preserve">2</w:t>
      </w:r>
      <w:r>
        <w:rPr>
          <w:rFonts w:ascii="Times New Roman" w:eastAsia="仿宋_GB2312" w:hAnsi="Times New Roman" w:cs="Times New Roman" w:hint="default"/>
          <w:b w:val="0"/>
          <w:bCs/>
          <w:color w:val="auto"/>
          <w:kern w:val="2"/>
          <w:sz w:val="32"/>
          <w:szCs w:val="32"/>
          <w:highlight w:val="none"/>
          <w:lang w:val="en-US" w:eastAsia="zh-CN" w:bidi="ar-SA"/>
        </w:rPr>
        <w:t xml:space="preserve">：</w:t>
      </w:r>
      <w:r>
        <w:rPr>
          <w:rFonts w:ascii="Times New Roman" w:hAnsi="Times New Roman" w:cs="Times New Roman" w:hint="eastAsia"/>
          <w:color w:val="auto"/>
          <w:highlight w:val="none"/>
          <w:lang w:val="en-US" w:eastAsia="zh-CN"/>
        </w:rPr>
        <w:t xml:space="preserve">设备质量合格率</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eastAsia="zh-CN"/>
        </w:rPr>
        <w:t xml:space="preserve">等于</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本项满分12分，评估得分</w:t>
      </w:r>
      <w:r>
        <w:rPr>
          <w:rFonts w:ascii="Times New Roman" w:hAnsi="Times New Roman" w:cs="Times New Roman" w:hint="eastAsia"/>
          <w:color w:val="auto"/>
          <w:highlight w:val="none"/>
          <w:lang w:val="en-US" w:eastAsia="zh-CN"/>
        </w:rPr>
        <w:t xml:space="preserve">12</w:t>
      </w:r>
      <w:r>
        <w:rPr>
          <w:rFonts w:ascii="Times New Roman" w:eastAsia="仿宋_GB2312" w:hAnsi="Times New Roman" w:cs="Times New Roman" w:hint="default"/>
          <w:color w:val="auto"/>
          <w:highlight w:val="none"/>
        </w:rPr>
        <w:t xml:space="preserve">分。</w:t>
      </w:r>
    </w:p>
    <w:p>
      <w:pPr>
        <w:bidi w:val="0"/>
        <w:jc w:val="both"/>
        <w:rPr>
          <w:rFonts w:ascii="Times New Roman" w:eastAsia="仿宋_GB2312" w:hAnsi="Times New Roman" w:cs="Times New Roman" w:hint="default"/>
          <w:b/>
          <w:bCs/>
          <w:color w:val="auto"/>
          <w:highlight w:val="none"/>
        </w:rPr>
      </w:pPr>
      <w:bookmarkStart w:id="146" w:name="_Toc6277"/>
      <w:bookmarkStart w:id="147" w:name="_Toc5394"/>
      <w:r>
        <w:rPr>
          <w:rFonts w:ascii="Times New Roman" w:eastAsia="仿宋_GB2312" w:hAnsi="Times New Roman" w:cs="Times New Roman" w:hint="default"/>
          <w:b/>
          <w:bCs/>
          <w:color w:val="auto"/>
          <w:highlight w:val="none"/>
        </w:rPr>
        <w:t xml:space="preserve">3.产出时效</w:t>
      </w:r>
      <w:bookmarkEnd w:id="146"/>
      <w:bookmarkEnd w:id="147"/>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指标1：</w:t>
      </w:r>
      <w:r>
        <w:rPr>
          <w:rFonts w:ascii="Times New Roman" w:hAnsi="Times New Roman" w:cs="Times New Roman" w:hint="eastAsia"/>
          <w:color w:val="auto"/>
          <w:highlight w:val="none"/>
          <w:lang w:val="en-US" w:eastAsia="zh-CN"/>
        </w:rPr>
        <w:t xml:space="preserve">设备到位及时率</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eastAsia="zh-CN"/>
        </w:rPr>
        <w:t xml:space="preserve">等于</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本项满分12分，评估得分</w:t>
      </w:r>
      <w:r>
        <w:rPr>
          <w:rFonts w:ascii="Times New Roman" w:eastAsia="仿宋_GB2312" w:hAnsi="Times New Roman" w:cs="Times New Roman" w:hint="default"/>
          <w:color w:val="auto"/>
          <w:highlight w:val="none"/>
          <w:lang w:val="en-US" w:eastAsia="zh-CN"/>
        </w:rPr>
        <w:t xml:space="preserve">12</w:t>
      </w:r>
      <w:r>
        <w:rPr>
          <w:rFonts w:ascii="Times New Roman" w:eastAsia="仿宋_GB2312" w:hAnsi="Times New Roman" w:cs="Times New Roman" w:hint="default"/>
          <w:color w:val="auto"/>
          <w:highlight w:val="none"/>
        </w:rPr>
        <w:t xml:space="preserve">分。</w:t>
      </w:r>
    </w:p>
    <w:p>
      <w:pPr>
        <w:bidi w:val="0"/>
        <w:jc w:val="both"/>
        <w:rPr>
          <w:rFonts w:ascii="Times New Roman" w:eastAsia="仿宋_GB2312" w:hAnsi="Times New Roman" w:cs="Times New Roman" w:hint="default"/>
          <w:b/>
          <w:bCs/>
          <w:color w:val="auto"/>
          <w:highlight w:val="none"/>
        </w:rPr>
      </w:pPr>
      <w:bookmarkStart w:id="148" w:name="_Toc28975"/>
      <w:bookmarkStart w:id="149" w:name="_Toc18558"/>
      <w:r>
        <w:rPr>
          <w:rFonts w:ascii="Times New Roman" w:eastAsia="仿宋_GB2312" w:hAnsi="Times New Roman" w:cs="Times New Roman" w:hint="default"/>
          <w:b/>
          <w:bCs/>
          <w:color w:val="auto"/>
          <w:highlight w:val="none"/>
        </w:rPr>
        <w:t xml:space="preserve">4.产出成本</w:t>
      </w:r>
      <w:bookmarkEnd w:id="148"/>
      <w:bookmarkEnd w:id="149"/>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指标1：</w:t>
      </w:r>
      <w:r>
        <w:rPr>
          <w:rFonts w:ascii="Times New Roman" w:hAnsi="Times New Roman" w:cs="Times New Roman" w:hint="eastAsia"/>
          <w:color w:val="auto"/>
          <w:highlight w:val="none"/>
          <w:lang w:val="en-US" w:eastAsia="zh-CN"/>
        </w:rPr>
        <w:t xml:space="preserve">购置设备投入金额</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eastAsia="zh-CN"/>
        </w:rPr>
        <w:t xml:space="preserve">等于</w:t>
      </w:r>
      <w:r>
        <w:rPr>
          <w:rFonts w:ascii="Times New Roman" w:hAnsi="Times New Roman" w:cs="Times New Roman" w:hint="eastAsia"/>
          <w:color w:val="auto"/>
          <w:highlight w:val="none"/>
          <w:lang w:val="en-US" w:eastAsia="zh-CN"/>
        </w:rPr>
        <w:t xml:space="preserve">125万元</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125万元</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w:t>
      </w:r>
      <w:r>
        <w:rPr>
          <w:rFonts w:ascii="Times New Roman" w:eastAsia="仿宋_GB2312" w:hAnsi="Times New Roman" w:cs="Times New Roman" w:hint="default"/>
          <w:color w:val="auto"/>
          <w:highlight w:val="none"/>
          <w:lang w:val="en-US" w:eastAsia="zh-CN"/>
        </w:rPr>
        <w:t xml:space="preserve">4</w:t>
      </w:r>
      <w:r>
        <w:rPr>
          <w:rFonts w:ascii="Times New Roman" w:eastAsia="仿宋_GB2312" w:hAnsi="Times New Roman" w:cs="Times New Roman" w:hint="default"/>
          <w:color w:val="auto"/>
          <w:highlight w:val="none"/>
        </w:rPr>
        <w:t xml:space="preserve">分。</w:t>
      </w:r>
    </w:p>
    <w:p>
      <w:pPr>
        <w:pStyle w:val="Heading3"/>
        <w:bidi w:val="0"/>
        <w:jc w:val="both"/>
        <w:outlineLvl w:val="1"/>
        <w:rPr>
          <w:rFonts w:ascii="楷体" w:eastAsia="楷体" w:hAnsi="楷体" w:cs="楷体" w:hint="eastAsia"/>
          <w:color w:val="auto"/>
          <w:highlight w:val="none"/>
        </w:rPr>
      </w:pPr>
      <w:bookmarkStart w:id="150" w:name="_Toc5184"/>
      <w:bookmarkStart w:id="151" w:name="_Toc18194"/>
      <w:bookmarkStart w:id="152" w:name="_Toc27548"/>
      <w:bookmarkStart w:id="153" w:name="_Toc14881"/>
      <w:bookmarkStart w:id="154" w:name="_Toc24492"/>
      <w:r>
        <w:rPr>
          <w:rFonts w:ascii="楷体" w:eastAsia="楷体" w:hAnsi="楷体" w:cs="楷体" w:hint="eastAsia"/>
          <w:color w:val="auto"/>
          <w:highlight w:val="none"/>
        </w:rPr>
        <w:t xml:space="preserve">（四）项目效益情况</w:t>
      </w:r>
      <w:bookmarkEnd w:id="150"/>
      <w:bookmarkEnd w:id="151"/>
      <w:bookmarkEnd w:id="152"/>
      <w:bookmarkEnd w:id="153"/>
      <w:bookmarkEnd w:id="154"/>
    </w:p>
    <w:p>
      <w:pPr>
        <w:bidi w:val="0"/>
        <w:jc w:val="both"/>
        <w:rPr>
          <w:rFonts w:ascii="Times New Roman" w:eastAsia="仿宋_GB2312" w:hAnsi="Times New Roman" w:cs="Times New Roman" w:hint="default"/>
          <w:b/>
          <w:bCs/>
          <w:color w:val="auto"/>
          <w:highlight w:val="none"/>
        </w:rPr>
      </w:pPr>
      <w:bookmarkStart w:id="155" w:name="_Toc8370"/>
      <w:bookmarkStart w:id="156" w:name="_Toc15599"/>
      <w:r>
        <w:rPr>
          <w:rFonts w:ascii="Times New Roman" w:eastAsia="仿宋_GB2312" w:hAnsi="Times New Roman" w:cs="Times New Roman" w:hint="default"/>
          <w:b/>
          <w:bCs/>
          <w:color w:val="auto"/>
          <w:highlight w:val="none"/>
        </w:rPr>
        <w:t xml:space="preserve">实施效益</w:t>
      </w:r>
      <w:bookmarkEnd w:id="155"/>
      <w:bookmarkEnd w:id="156"/>
    </w:p>
    <w:p>
      <w:pPr>
        <w:bidi w:val="0"/>
        <w:jc w:val="both"/>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rPr>
        <w:t xml:space="preserve">本项目实施所产生的效益主要包括经济效益</w:t>
      </w:r>
      <w:r>
        <w:rPr>
          <w:rFonts w:ascii="Times New Roman" w:hAnsi="Times New Roman" w:cs="Times New Roman" w:hint="eastAsia"/>
          <w:color w:val="auto"/>
          <w:highlight w:val="none"/>
          <w:lang w:eastAsia="zh-CN"/>
        </w:rPr>
        <w:t xml:space="preserve">、</w:t>
      </w:r>
      <w:r>
        <w:rPr>
          <w:rFonts w:ascii="Times New Roman" w:eastAsia="仿宋_GB2312" w:hAnsi="Times New Roman" w:cs="Times New Roman" w:hint="default"/>
          <w:color w:val="auto"/>
          <w:highlight w:val="none"/>
        </w:rPr>
        <w:t xml:space="preserve">社会效益。项目的实施</w:t>
      </w:r>
      <w:r>
        <w:rPr>
          <w:rFonts w:ascii="Times New Roman" w:eastAsia="仿宋_GB2312" w:hAnsi="Times New Roman" w:cs="Times New Roman" w:hint="default"/>
          <w:color w:val="auto"/>
          <w:highlight w:val="none"/>
          <w:shd w:val="clear" w:color="auto" w:fill="auto"/>
          <w:lang w:val="en-US" w:eastAsia="zh-CN"/>
        </w:rPr>
        <w:t xml:space="preserve">有效提高了医院诊疗水平</w:t>
      </w:r>
      <w:r>
        <w:rPr>
          <w:rFonts w:ascii="Times New Roman" w:hAnsi="Times New Roman" w:cs="Times New Roman" w:hint="eastAsia"/>
          <w:color w:val="auto"/>
          <w:highlight w:val="none"/>
          <w:shd w:val="clear" w:color="auto" w:fill="auto"/>
          <w:lang w:val="en-US" w:eastAsia="zh-CN"/>
        </w:rPr>
        <w:t xml:space="preserve">，</w:t>
      </w:r>
      <w:r>
        <w:rPr>
          <w:rFonts w:ascii="Times New Roman" w:eastAsia="仿宋_GB2312" w:hAnsi="Times New Roman" w:cs="Times New Roman" w:hint="default"/>
          <w:color w:val="auto"/>
          <w:highlight w:val="none"/>
          <w:shd w:val="clear" w:color="auto" w:fill="auto"/>
          <w:lang w:val="en-US" w:eastAsia="zh-CN"/>
        </w:rPr>
        <w:t xml:space="preserve">改善了</w:t>
      </w:r>
      <w:r>
        <w:rPr>
          <w:rFonts w:ascii="Times New Roman" w:hAnsi="Times New Roman" w:cs="Times New Roman" w:hint="default"/>
          <w:color w:val="auto"/>
          <w:highlight w:val="none"/>
          <w:shd w:val="clear" w:color="auto" w:fill="auto"/>
          <w:lang w:val="en-US" w:eastAsia="zh-CN"/>
        </w:rPr>
        <w:t xml:space="preserve">县域内居民群众</w:t>
      </w:r>
      <w:r>
        <w:rPr>
          <w:rFonts w:ascii="Times New Roman" w:hAnsi="Times New Roman" w:cs="Times New Roman" w:hint="eastAsia"/>
          <w:color w:val="auto"/>
          <w:highlight w:val="none"/>
          <w:shd w:val="clear" w:color="auto" w:fill="auto"/>
          <w:lang w:val="en-US" w:eastAsia="zh-CN"/>
        </w:rPr>
        <w:t xml:space="preserve">就医条件，设备利用率达到100%，有效提高医院收益。</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w:t>
      </w:r>
      <w:r>
        <w:rPr>
          <w:rFonts w:ascii="Times New Roman" w:hAnsi="Times New Roman" w:cs="Times New Roman" w:hint="eastAsia"/>
          <w:color w:val="auto"/>
          <w:highlight w:val="none"/>
          <w:lang w:val="en-US" w:eastAsia="zh-CN"/>
        </w:rPr>
        <w:t xml:space="preserve">20</w:t>
      </w:r>
      <w:r>
        <w:rPr>
          <w:rFonts w:ascii="Times New Roman" w:eastAsia="仿宋_GB2312" w:hAnsi="Times New Roman" w:cs="Times New Roman" w:hint="default"/>
          <w:color w:val="auto"/>
          <w:highlight w:val="none"/>
        </w:rPr>
        <w:t xml:space="preserve">分，评估得分</w:t>
      </w:r>
      <w:r>
        <w:rPr>
          <w:rFonts w:ascii="Times New Roman" w:hAnsi="Times New Roman" w:cs="Times New Roman" w:hint="eastAsia"/>
          <w:color w:val="auto"/>
          <w:highlight w:val="none"/>
          <w:lang w:val="en-US" w:eastAsia="zh-CN"/>
        </w:rPr>
        <w:t xml:space="preserve">20</w:t>
      </w:r>
      <w:r>
        <w:rPr>
          <w:rFonts w:ascii="Times New Roman" w:eastAsia="仿宋_GB2312" w:hAnsi="Times New Roman" w:cs="Times New Roman" w:hint="default"/>
          <w:color w:val="auto"/>
          <w:highlight w:val="none"/>
        </w:rPr>
        <w:t xml:space="preserve">分。</w:t>
      </w:r>
    </w:p>
    <w:p>
      <w:pPr>
        <w:pStyle w:val="Heading2"/>
        <w:bidi w:val="0"/>
        <w:jc w:val="both"/>
        <w:outlineLvl w:val="0"/>
        <w:rPr>
          <w:rFonts w:ascii="Times New Roman" w:eastAsia="仿宋_GB2312" w:hAnsi="Times New Roman" w:cs="Times New Roman" w:hint="default"/>
          <w:color w:val="auto"/>
          <w:highlight w:val="none"/>
        </w:rPr>
      </w:pPr>
      <w:bookmarkStart w:id="157" w:name="_Toc23114"/>
      <w:bookmarkStart w:id="158" w:name="_Toc14797"/>
      <w:bookmarkStart w:id="159" w:name="_Toc24261"/>
      <w:bookmarkStart w:id="160" w:name="_Toc17413"/>
      <w:bookmarkStart w:id="161" w:name="_Toc3310"/>
      <w:bookmarkStart w:id="162" w:name="_Toc20473"/>
      <w:r>
        <w:rPr>
          <w:rFonts w:ascii="黑体" w:eastAsia="黑体" w:hAnsi="黑体" w:cs="黑体" w:hint="eastAsia"/>
          <w:color w:val="auto"/>
          <w:highlight w:val="none"/>
        </w:rPr>
        <w:t xml:space="preserve">五、主要经验及做法、存在的问题及原因分析</w:t>
      </w:r>
      <w:bookmarkEnd w:id="157"/>
      <w:bookmarkEnd w:id="158"/>
      <w:bookmarkEnd w:id="159"/>
      <w:bookmarkEnd w:id="160"/>
      <w:bookmarkEnd w:id="161"/>
      <w:bookmarkEnd w:id="162"/>
    </w:p>
    <w:p>
      <w:pPr>
        <w:pStyle w:val="Heading3"/>
        <w:bidi w:val="0"/>
        <w:jc w:val="both"/>
        <w:outlineLvl w:val="1"/>
        <w:rPr>
          <w:rFonts w:ascii="楷体" w:eastAsia="楷体" w:hAnsi="楷体" w:cs="楷体" w:hint="eastAsia"/>
          <w:color w:val="auto"/>
          <w:highlight w:val="none"/>
        </w:rPr>
      </w:pPr>
      <w:bookmarkStart w:id="163" w:name="_Toc10514"/>
      <w:bookmarkStart w:id="164" w:name="_Toc6522"/>
      <w:bookmarkStart w:id="165" w:name="_Toc6741"/>
      <w:bookmarkStart w:id="166" w:name="_Toc9755"/>
      <w:bookmarkStart w:id="167" w:name="_Toc14362"/>
      <w:r>
        <w:rPr>
          <w:rFonts w:ascii="楷体" w:eastAsia="楷体" w:hAnsi="楷体" w:cs="楷体" w:hint="eastAsia"/>
          <w:color w:val="auto"/>
          <w:highlight w:val="none"/>
        </w:rPr>
        <w:t xml:space="preserve">（一）主要经验及做法</w:t>
      </w:r>
      <w:bookmarkEnd w:id="163"/>
      <w:bookmarkEnd w:id="164"/>
      <w:bookmarkEnd w:id="165"/>
      <w:bookmarkEnd w:id="166"/>
      <w:bookmarkEnd w:id="167"/>
    </w:p>
    <w:p>
      <w:pPr>
        <w:bidi w:val="0"/>
        <w:jc w:val="both"/>
        <w:rPr>
          <w:rFonts w:ascii="Times New Roman" w:hAnsi="Times New Roman" w:cs="Times New Roman" w:hint="default"/>
          <w:color w:val="auto"/>
          <w:highlight w:val="none"/>
          <w:shd w:val="clear" w:color="auto" w:fill="auto"/>
          <w:lang w:val="en-US" w:eastAsia="zh-CN"/>
        </w:rPr>
      </w:pPr>
      <w:r>
        <w:rPr>
          <w:rFonts w:ascii="Times New Roman" w:hAnsi="Times New Roman" w:cs="Times New Roman" w:hint="eastAsia"/>
          <w:color w:val="auto"/>
          <w:highlight w:val="none"/>
          <w:shd w:val="clear" w:color="auto" w:fill="auto"/>
          <w:lang w:val="en-US" w:eastAsia="zh-CN"/>
        </w:rPr>
        <w:t xml:space="preserve">尉犁县人民医院</w:t>
      </w:r>
      <w:r>
        <w:rPr>
          <w:rFonts w:ascii="Times New Roman" w:hAnsi="Times New Roman" w:cs="Times New Roman" w:hint="default"/>
          <w:color w:val="auto"/>
          <w:highlight w:val="none"/>
          <w:shd w:val="clear" w:color="auto" w:fill="auto"/>
          <w:lang w:val="en-US" w:eastAsia="zh-CN"/>
        </w:rPr>
        <w:t xml:space="preserve">在</w:t>
      </w:r>
      <w:r>
        <w:rPr>
          <w:rFonts w:ascii="Times New Roman" w:hAnsi="Times New Roman" w:cs="Times New Roman" w:hint="eastAsia"/>
          <w:color w:val="auto"/>
          <w:highlight w:val="none"/>
          <w:shd w:val="clear" w:color="auto" w:fill="auto"/>
          <w:lang w:val="en-US" w:eastAsia="zh-CN"/>
        </w:rPr>
        <w:t xml:space="preserve">尉犁县委</w:t>
      </w:r>
      <w:r>
        <w:rPr>
          <w:rFonts w:ascii="Times New Roman" w:hAnsi="Times New Roman" w:cs="Times New Roman" w:hint="default"/>
          <w:color w:val="auto"/>
          <w:highlight w:val="none"/>
          <w:shd w:val="clear" w:color="auto" w:fill="auto"/>
          <w:lang w:val="en-US" w:eastAsia="zh-CN"/>
        </w:rPr>
        <w:t xml:space="preserve">、县政府的支持下，在相关部门的配合下，全面顺利完成，绩效评价“优”，主要经验及做法如下：</w:t>
      </w:r>
    </w:p>
    <w:p>
      <w:pPr>
        <w:rPr>
          <w:rFonts w:hint="eastAsia"/>
          <w:color w:val="auto"/>
          <w:highlight w:val="none"/>
        </w:rPr>
      </w:pPr>
      <w:r>
        <w:rPr>
          <w:rFonts w:hint="eastAsia"/>
          <w:color w:val="auto"/>
          <w:highlight w:val="none"/>
          <w:lang w:val="en-US" w:eastAsia="zh-CN"/>
        </w:rPr>
        <w:t xml:space="preserve">1.</w:t>
      </w:r>
      <w:r>
        <w:rPr>
          <w:rFonts w:hint="eastAsia"/>
          <w:color w:val="auto"/>
          <w:highlight w:val="none"/>
        </w:rPr>
        <w:t xml:space="preserve">采购流程和规范方面</w:t>
      </w:r>
    </w:p>
    <w:p>
      <w:pPr>
        <w:ind w:left="0" w:firstLine="640" w:leftChars="0" w:firstLineChars="200"/>
        <w:rPr>
          <w:rFonts w:hint="eastAsia"/>
          <w:color w:val="auto"/>
          <w:highlight w:val="none"/>
        </w:rPr>
      </w:pPr>
      <w:r>
        <w:rPr>
          <w:rFonts w:hint="eastAsia"/>
          <w:color w:val="auto"/>
          <w:highlight w:val="none"/>
        </w:rPr>
        <w:t xml:space="preserve">公开招标：采用公开招标的方式，确保采购过程的公开、公平、公正，吸引更多有资质的供应商参与竞争，提高采购效率和质量。</w:t>
      </w:r>
    </w:p>
    <w:p>
      <w:pPr>
        <w:ind w:left="0" w:firstLine="640" w:leftChars="0" w:firstLineChars="200"/>
        <w:rPr>
          <w:rFonts w:hint="eastAsia"/>
          <w:color w:val="auto"/>
          <w:highlight w:val="none"/>
        </w:rPr>
      </w:pPr>
      <w:r>
        <w:rPr>
          <w:rFonts w:hint="eastAsia"/>
          <w:color w:val="auto"/>
          <w:highlight w:val="none"/>
        </w:rPr>
        <w:t xml:space="preserve">供应商管理：对供应商的资质、信誉、产品质量、售后服务等进行全面考察和评估，选择具有良好信誉和完善的售后服务体系的供应商。</w:t>
      </w:r>
    </w:p>
    <w:p>
      <w:pPr>
        <w:numPr>
          <w:ilvl w:val="0"/>
          <w:numId w:val="0"/>
        </w:numPr>
        <w:ind w:left="640" w:leftChars="200"/>
        <w:rPr>
          <w:rFonts w:hint="eastAsia"/>
          <w:color w:val="auto"/>
          <w:highlight w:val="none"/>
        </w:rPr>
      </w:pPr>
      <w:r>
        <w:rPr>
          <w:rFonts w:hint="eastAsia"/>
          <w:color w:val="auto"/>
          <w:highlight w:val="none"/>
          <w:lang w:val="en-US" w:eastAsia="zh-CN"/>
        </w:rPr>
        <w:t xml:space="preserve">2.</w:t>
      </w:r>
      <w:r>
        <w:rPr>
          <w:rFonts w:hint="eastAsia"/>
          <w:color w:val="auto"/>
          <w:highlight w:val="none"/>
        </w:rPr>
        <w:t xml:space="preserve">设备选择和安装方面</w:t>
      </w:r>
    </w:p>
    <w:p>
      <w:pPr>
        <w:keepNext w:val="0"/>
        <w:keepLines w:val="0"/>
        <w:pageBreakBefore w:val="0"/>
        <w:widowControl w:val="0"/>
        <w:numPr>
          <w:ilvl w:val="0"/>
          <w:numId w:val="0"/>
        </w:numPr>
        <w:kinsoku/>
        <w:wordWrap/>
        <w:overflowPunct/>
        <w:topLinePunct w:val="0"/>
        <w:autoSpaceDE/>
        <w:autoSpaceDN/>
        <w:bidi w:val="0"/>
        <w:adjustRightInd/>
        <w:snapToGrid/>
        <w:ind w:firstLine="640" w:leftChars="0" w:firstLineChars="200"/>
        <w:textAlignment w:val="auto"/>
        <w:rPr>
          <w:rFonts w:hint="eastAsia"/>
          <w:color w:val="auto"/>
          <w:highlight w:val="none"/>
        </w:rPr>
      </w:pPr>
      <w:r>
        <w:rPr>
          <w:rFonts w:ascii="Times New Roman" w:hAnsi="Times New Roman" w:cs="Times New Roman" w:hint="eastAsia"/>
          <w:color w:val="auto"/>
          <w:highlight w:val="none"/>
        </w:rPr>
        <w:t xml:space="preserve">技术选择：根据医院的实际情况和临床需求，选择技术先进、性能稳定、操作简便的设备，确保设备的适用性和可靠性。</w:t>
      </w:r>
    </w:p>
    <w:p>
      <w:pPr>
        <w:ind w:left="0" w:firstLine="640" w:leftChars="0" w:firstLineChars="200"/>
        <w:rPr>
          <w:rFonts w:hint="eastAsia"/>
          <w:color w:val="auto"/>
          <w:highlight w:val="none"/>
        </w:rPr>
      </w:pPr>
      <w:r>
        <w:rPr>
          <w:rFonts w:hint="eastAsia"/>
          <w:color w:val="auto"/>
          <w:highlight w:val="none"/>
        </w:rPr>
        <w:t xml:space="preserve">安装条件：提前对安装场地进行评估和规划，确保机房的辐射防护、电力供应、空间布局等条件满足设备的安装和使用要求。</w:t>
      </w:r>
    </w:p>
    <w:p>
      <w:pPr>
        <w:ind w:left="0" w:firstLine="640" w:leftChars="0" w:firstLineChars="200"/>
        <w:rPr>
          <w:rFonts w:hint="eastAsia"/>
          <w:color w:val="auto"/>
          <w:highlight w:val="none"/>
        </w:rPr>
      </w:pPr>
      <w:r>
        <w:rPr>
          <w:rFonts w:hint="eastAsia"/>
          <w:color w:val="auto"/>
          <w:highlight w:val="none"/>
          <w:lang w:val="en-US" w:eastAsia="zh-CN"/>
        </w:rPr>
        <w:t xml:space="preserve">3.</w:t>
      </w:r>
      <w:r>
        <w:rPr>
          <w:rFonts w:hint="eastAsia"/>
          <w:color w:val="auto"/>
          <w:highlight w:val="none"/>
        </w:rPr>
        <w:t xml:space="preserve">人员培训和售后服务方面</w:t>
      </w:r>
    </w:p>
    <w:p>
      <w:pPr>
        <w:ind w:left="0" w:firstLine="320" w:leftChars="0" w:firstLineChars="100"/>
        <w:rPr>
          <w:rFonts w:hint="eastAsia"/>
          <w:color w:val="auto"/>
          <w:highlight w:val="none"/>
        </w:rPr>
      </w:pPr>
      <w:r>
        <w:rPr>
          <w:rFonts w:hint="eastAsia"/>
          <w:color w:val="auto"/>
          <w:highlight w:val="none"/>
        </w:rPr>
        <w:t xml:space="preserve"> 全面培训计划：在设备采购的同时，制定全面的操作人员培训计划，包括理论培训和实践操作培训，提高操作人员的专业技能水平。</w:t>
      </w:r>
    </w:p>
    <w:p>
      <w:pPr>
        <w:ind w:left="0" w:firstLine="640" w:leftChars="0" w:firstLineChars="200"/>
        <w:rPr>
          <w:rFonts w:hint="eastAsia"/>
          <w:color w:val="auto"/>
          <w:highlight w:val="none"/>
        </w:rPr>
      </w:pPr>
      <w:r>
        <w:rPr>
          <w:rFonts w:hint="eastAsia"/>
          <w:color w:val="auto"/>
          <w:highlight w:val="none"/>
        </w:rPr>
        <w:t xml:space="preserve">售后服务保障：明确供应商提供的售后服务内容和标准，如设备的保修期限、维修响应时间、备件供应、技术支持等，确保设备的长期稳定运行。</w:t>
      </w:r>
    </w:p>
    <w:p>
      <w:pPr>
        <w:bidi w:val="0"/>
        <w:ind w:left="0" w:firstLine="640" w:leftChars="0" w:firstLineChars="200"/>
        <w:jc w:val="both"/>
        <w:rPr>
          <w:rFonts w:ascii="Times New Roman" w:eastAsia="仿宋_GB2312" w:hAnsi="Times New Roman" w:cs="Times New Roman" w:hint="default"/>
          <w:color w:val="auto"/>
          <w:highlight w:val="none"/>
          <w:shd w:val="clear" w:color="auto" w:fill="auto"/>
        </w:rPr>
      </w:pPr>
      <w:r>
        <w:rPr>
          <w:rFonts w:ascii="Times New Roman" w:hAnsi="Times New Roman" w:cs="Times New Roman" w:hint="eastAsia"/>
          <w:color w:val="auto"/>
          <w:highlight w:val="none"/>
          <w:shd w:val="clear" w:color="auto" w:fill="auto"/>
          <w:lang w:val="en-US" w:eastAsia="zh-CN"/>
        </w:rPr>
        <w:t xml:space="preserve">4</w:t>
      </w:r>
      <w:r>
        <w:rPr>
          <w:rFonts w:ascii="Times New Roman" w:eastAsia="仿宋_GB2312" w:hAnsi="Times New Roman" w:cs="Times New Roman" w:hint="default"/>
          <w:color w:val="auto"/>
          <w:highlight w:val="none"/>
          <w:shd w:val="clear" w:color="auto" w:fill="auto"/>
        </w:rPr>
        <w:t xml:space="preserve">.加大质量监管力度。通过招投标确定</w:t>
      </w:r>
      <w:r>
        <w:rPr>
          <w:rFonts w:ascii="Times New Roman" w:hAnsi="Times New Roman" w:cs="Times New Roman" w:hint="default"/>
          <w:color w:val="auto"/>
          <w:highlight w:val="none"/>
          <w:shd w:val="clear" w:color="auto" w:fill="auto"/>
          <w:lang w:val="en-US" w:eastAsia="zh-CN"/>
        </w:rPr>
        <w:t xml:space="preserve">供货商</w:t>
      </w:r>
      <w:r>
        <w:rPr>
          <w:rFonts w:ascii="Times New Roman" w:eastAsia="仿宋_GB2312" w:hAnsi="Times New Roman" w:cs="Times New Roman" w:hint="default"/>
          <w:color w:val="auto"/>
          <w:highlight w:val="none"/>
          <w:shd w:val="clear" w:color="auto" w:fill="auto"/>
        </w:rPr>
        <w:t xml:space="preserve">，并</w:t>
      </w:r>
      <w:r>
        <w:rPr>
          <w:rFonts w:ascii="Times New Roman" w:hAnsi="Times New Roman" w:cs="Times New Roman" w:hint="default"/>
          <w:color w:val="auto"/>
          <w:highlight w:val="none"/>
          <w:shd w:val="clear" w:color="auto" w:fill="auto"/>
          <w:lang w:val="en-US" w:eastAsia="zh-CN"/>
        </w:rPr>
        <w:t xml:space="preserve">由设备科</w:t>
      </w:r>
      <w:r>
        <w:rPr>
          <w:rFonts w:ascii="Times New Roman" w:eastAsia="仿宋_GB2312" w:hAnsi="Times New Roman" w:cs="Times New Roman" w:hint="default"/>
          <w:color w:val="auto"/>
          <w:highlight w:val="none"/>
          <w:shd w:val="clear" w:color="auto" w:fill="auto"/>
        </w:rPr>
        <w:t xml:space="preserve">对</w:t>
      </w:r>
      <w:r>
        <w:rPr>
          <w:rFonts w:ascii="Times New Roman" w:hAnsi="Times New Roman" w:cs="Times New Roman" w:hint="default"/>
          <w:color w:val="auto"/>
          <w:highlight w:val="none"/>
          <w:shd w:val="clear" w:color="auto" w:fill="auto"/>
          <w:lang w:val="en-US" w:eastAsia="zh-CN"/>
        </w:rPr>
        <w:t xml:space="preserve">设备的验收、安装调试全程监管</w:t>
      </w:r>
      <w:r>
        <w:rPr>
          <w:rFonts w:ascii="Times New Roman" w:eastAsia="仿宋_GB2312" w:hAnsi="Times New Roman" w:cs="Times New Roman" w:hint="default"/>
          <w:color w:val="auto"/>
          <w:highlight w:val="none"/>
          <w:shd w:val="clear" w:color="auto" w:fill="auto"/>
        </w:rPr>
        <w:t xml:space="preserve">。</w:t>
      </w:r>
      <w:r>
        <w:rPr>
          <w:rFonts w:ascii="Times New Roman" w:hAnsi="Times New Roman" w:cs="Times New Roman" w:hint="default"/>
          <w:color w:val="auto"/>
          <w:highlight w:val="none"/>
          <w:shd w:val="clear" w:color="auto" w:fill="auto"/>
          <w:lang w:val="en-US" w:eastAsia="zh-CN"/>
        </w:rPr>
        <w:t xml:space="preserve">院</w:t>
      </w:r>
      <w:r>
        <w:rPr>
          <w:rFonts w:ascii="Times New Roman" w:eastAsia="仿宋_GB2312" w:hAnsi="Times New Roman" w:cs="Times New Roman" w:hint="default"/>
          <w:color w:val="auto"/>
          <w:highlight w:val="none"/>
          <w:shd w:val="clear" w:color="auto" w:fill="auto"/>
        </w:rPr>
        <w:t xml:space="preserve">领导多次到</w:t>
      </w:r>
      <w:r>
        <w:rPr>
          <w:rFonts w:ascii="Times New Roman" w:hAnsi="Times New Roman" w:cs="Times New Roman" w:hint="default"/>
          <w:color w:val="auto"/>
          <w:highlight w:val="none"/>
          <w:shd w:val="clear" w:color="auto" w:fill="auto"/>
          <w:lang w:val="en-US" w:eastAsia="zh-CN"/>
        </w:rPr>
        <w:t xml:space="preserve">科室</w:t>
      </w:r>
      <w:r>
        <w:rPr>
          <w:rFonts w:ascii="Times New Roman" w:eastAsia="仿宋_GB2312" w:hAnsi="Times New Roman" w:cs="Times New Roman" w:hint="default"/>
          <w:color w:val="auto"/>
          <w:highlight w:val="none"/>
          <w:shd w:val="clear" w:color="auto" w:fill="auto"/>
        </w:rPr>
        <w:t xml:space="preserve">进行指导。选派工作责任心强、熟悉业务人员作为监管负责人，重点抓好质量把关验收。</w:t>
      </w:r>
    </w:p>
    <w:p>
      <w:pPr>
        <w:bidi w:val="0"/>
        <w:ind w:left="0" w:firstLine="640" w:leftChars="0" w:firstLineChars="200"/>
        <w:jc w:val="both"/>
        <w:rPr>
          <w:rFonts w:ascii="Times New Roman" w:eastAsia="仿宋_GB2312" w:hAnsi="Times New Roman" w:cs="Times New Roman" w:hint="default"/>
          <w:color w:val="auto"/>
          <w:highlight w:val="none"/>
          <w:shd w:val="clear" w:color="auto" w:fill="auto"/>
        </w:rPr>
      </w:pPr>
      <w:r>
        <w:rPr>
          <w:rFonts w:ascii="Times New Roman" w:hAnsi="Times New Roman" w:cs="Times New Roman" w:hint="eastAsia"/>
          <w:color w:val="auto"/>
          <w:highlight w:val="none"/>
          <w:shd w:val="clear" w:color="auto" w:fill="auto"/>
          <w:lang w:val="en-US" w:eastAsia="zh-CN"/>
        </w:rPr>
        <w:t xml:space="preserve">5</w:t>
      </w:r>
      <w:r>
        <w:rPr>
          <w:rFonts w:ascii="Times New Roman" w:eastAsia="仿宋_GB2312" w:hAnsi="Times New Roman" w:cs="Times New Roman" w:hint="default"/>
          <w:color w:val="auto"/>
          <w:highlight w:val="none"/>
          <w:shd w:val="clear" w:color="auto" w:fill="auto"/>
        </w:rPr>
        <w:t xml:space="preserve">.严格程序，确保资金效益。严格资金审批流程，明确资金使用范围，保证项目资金专款专用。始终坚持按</w:t>
      </w:r>
      <w:r>
        <w:rPr>
          <w:rFonts w:ascii="Times New Roman" w:eastAsia="仿宋_GB2312" w:hAnsi="Times New Roman" w:cs="Times New Roman" w:hint="eastAsia"/>
          <w:color w:val="auto"/>
          <w:highlight w:val="none"/>
          <w:shd w:val="clear" w:color="auto" w:fill="auto"/>
          <w:lang w:val="en-US" w:eastAsia="zh-CN"/>
        </w:rPr>
        <w:t xml:space="preserve">合同约定付款</w:t>
      </w:r>
      <w:r>
        <w:rPr>
          <w:rFonts w:ascii="Times New Roman" w:eastAsia="仿宋_GB2312" w:hAnsi="Times New Roman" w:cs="Times New Roman" w:hint="default"/>
          <w:color w:val="auto"/>
          <w:highlight w:val="none"/>
          <w:shd w:val="clear" w:color="auto" w:fill="auto"/>
        </w:rPr>
        <w:t xml:space="preserve">，资金审批后直接拨付到</w:t>
      </w:r>
      <w:r>
        <w:rPr>
          <w:rFonts w:ascii="Times New Roman" w:eastAsia="仿宋_GB2312" w:hAnsi="Times New Roman" w:cs="Times New Roman" w:hint="eastAsia"/>
          <w:color w:val="auto"/>
          <w:highlight w:val="none"/>
          <w:shd w:val="clear" w:color="auto" w:fill="auto"/>
          <w:lang w:val="en-US" w:eastAsia="zh-CN"/>
        </w:rPr>
        <w:t xml:space="preserve">医药公司</w:t>
      </w:r>
      <w:r>
        <w:rPr>
          <w:rFonts w:ascii="Times New Roman" w:eastAsia="仿宋_GB2312" w:hAnsi="Times New Roman" w:cs="Times New Roman" w:hint="default"/>
          <w:color w:val="auto"/>
          <w:highlight w:val="none"/>
          <w:shd w:val="clear" w:color="auto" w:fill="auto"/>
        </w:rPr>
        <w:t xml:space="preserve">，有效杜绝了截留、挪用、滞留、浪费资金等现象的发生，确保了资金使用安全和最大效益的发挥。</w:t>
      </w:r>
    </w:p>
    <w:p>
      <w:pPr>
        <w:pStyle w:val="Heading3"/>
        <w:bidi w:val="0"/>
        <w:jc w:val="both"/>
        <w:outlineLvl w:val="1"/>
        <w:rPr>
          <w:rFonts w:eastAsia="仿宋_GB2312" w:hint="eastAsia"/>
          <w:color w:val="auto"/>
          <w:spacing w:val="17"/>
          <w:sz w:val="32"/>
          <w:szCs w:val="32"/>
          <w:highlight w:val="none"/>
          <w:lang w:eastAsia="zh-CN"/>
        </w:rPr>
      </w:pPr>
      <w:bookmarkStart w:id="168" w:name="_Toc6359"/>
      <w:bookmarkStart w:id="169" w:name="_Toc21501"/>
      <w:bookmarkStart w:id="170" w:name="_Toc27408"/>
      <w:bookmarkStart w:id="171" w:name="_Toc4673"/>
      <w:bookmarkStart w:id="172" w:name="_Toc11238"/>
      <w:r>
        <w:rPr>
          <w:rFonts w:ascii="楷体" w:eastAsia="楷体" w:hAnsi="楷体" w:cs="楷体" w:hint="eastAsia"/>
          <w:color w:val="auto"/>
          <w:highlight w:val="none"/>
        </w:rPr>
        <w:t xml:space="preserve">（二）存在的问题及分析</w:t>
      </w:r>
      <w:bookmarkEnd w:id="168"/>
      <w:bookmarkEnd w:id="169"/>
      <w:bookmarkEnd w:id="170"/>
      <w:bookmarkEnd w:id="171"/>
      <w:bookmarkEnd w:id="172"/>
    </w:p>
    <w:p>
      <w:pPr>
        <w:keepNext w:val="0"/>
        <w:keepLines w:val="0"/>
        <w:widowControl/>
        <w:suppressLineNumbers w:val="0"/>
        <w:pBdr>
          <w:bottom w:val="single" w:sz="6" w:space="0" w:color="E7ECF1"/>
        </w:pBdr>
        <w:spacing w:before="75" w:beforeAutospacing="0" w:after="75" w:afterAutospacing="0"/>
        <w:ind w:right="75"/>
        <w:jc w:val="left"/>
        <w:rPr>
          <w:rFonts w:hint="eastAsia"/>
          <w:color w:val="auto"/>
          <w:highlight w:val="none"/>
        </w:rPr>
      </w:pPr>
      <w:r>
        <w:rPr>
          <w:rFonts w:hint="eastAsia"/>
          <w:color w:val="auto"/>
          <w:highlight w:val="none"/>
          <w:lang w:val="en-US" w:eastAsia="zh-CN"/>
        </w:rPr>
        <w:t xml:space="preserve">预算与成本核算缺陷，低估了机房改造、辐射防护、耗材、后续维护等隐性成本。未考虑投资回报周期，尤其是医保报销政策对介入手术收入的影响。除设备本身的购置费用，其后续的维护保养、软件升级、配件更换以及造影剂等耗材费用</w:t>
      </w:r>
      <w:r>
        <w:rPr>
          <w:rFonts w:hint="eastAsia"/>
          <w:color w:val="auto"/>
          <w:highlight w:val="none"/>
        </w:rPr>
        <w:t xml:space="preserve">设备维护费用高，增加医院运营负担。</w:t>
      </w:r>
    </w:p>
    <w:p>
      <w:pPr>
        <w:keepNext w:val="0"/>
        <w:keepLines w:val="0"/>
        <w:widowControl/>
        <w:suppressLineNumbers w:val="0"/>
        <w:pBdr>
          <w:bottom w:val="single" w:sz="6" w:space="0" w:color="E7ECF1"/>
        </w:pBdr>
        <w:spacing w:before="75" w:beforeAutospacing="0" w:after="75" w:afterAutospacing="0"/>
        <w:ind w:right="75"/>
        <w:jc w:val="left"/>
        <w:rPr>
          <w:rFonts w:hint="default"/>
          <w:color w:val="auto"/>
          <w:highlight w:val="none"/>
          <w:lang w:val="en-US" w:eastAsia="zh-CN"/>
        </w:rPr>
      </w:pPr>
      <w:r>
        <w:rPr>
          <w:rFonts w:hint="eastAsia"/>
          <w:color w:val="auto"/>
          <w:highlight w:val="none"/>
          <w:lang w:val="en-US" w:eastAsia="zh-CN"/>
        </w:rPr>
        <w:t xml:space="preserve">设备的</w:t>
      </w:r>
      <w:r>
        <w:rPr>
          <w:rFonts w:hint="eastAsia"/>
          <w:color w:val="auto"/>
          <w:highlight w:val="none"/>
        </w:rPr>
        <w:t xml:space="preserve">操作和维护设备需要专业技术人员，医院缺乏相关人才</w:t>
      </w:r>
      <w:r>
        <w:rPr>
          <w:rFonts w:hint="eastAsia"/>
          <w:color w:val="auto"/>
          <w:highlight w:val="none"/>
          <w:lang w:eastAsia="zh-CN"/>
        </w:rPr>
        <w:t xml:space="preserve">，</w:t>
      </w:r>
      <w:r>
        <w:rPr>
          <w:rFonts w:hint="eastAsia"/>
          <w:color w:val="auto"/>
          <w:highlight w:val="none"/>
          <w:lang w:val="en-US" w:eastAsia="zh-CN"/>
        </w:rPr>
        <w:t xml:space="preserve">可能导致设备无法充分发挥其性能，甚至出现因操作不当引发的故障。</w:t>
      </w:r>
    </w:p>
    <w:p>
      <w:pPr>
        <w:keepNext w:val="0"/>
        <w:keepLines w:val="0"/>
        <w:widowControl/>
        <w:suppressLineNumbers w:val="0"/>
        <w:pBdr>
          <w:bottom w:val="single" w:sz="6" w:space="0" w:color="E7ECF1"/>
        </w:pBdr>
        <w:spacing w:before="75" w:beforeAutospacing="0" w:after="75" w:afterAutospacing="0"/>
        <w:ind w:right="75"/>
        <w:jc w:val="left"/>
        <w:rPr>
          <w:rFonts w:ascii="Times New Roman" w:hAnsi="Times New Roman" w:cs="Times New Roman" w:hint="default"/>
          <w:color w:val="auto"/>
          <w:highlight w:val="none"/>
          <w:lang w:val="en-US" w:eastAsia="zh-CN"/>
        </w:rPr>
      </w:pPr>
      <w:bookmarkStart w:id="173" w:name="_Toc13270"/>
      <w:bookmarkStart w:id="174" w:name="_Toc5702"/>
      <w:bookmarkStart w:id="175" w:name="_Toc20116"/>
      <w:bookmarkStart w:id="176" w:name="_Toc22271"/>
      <w:bookmarkStart w:id="177" w:name="_Toc13345"/>
      <w:r>
        <w:rPr>
          <w:rFonts w:ascii="Times New Roman" w:hAnsi="Times New Roman" w:cs="Times New Roman" w:hint="default"/>
          <w:color w:val="auto"/>
          <w:highlight w:val="none"/>
        </w:rPr>
        <w:t xml:space="preserve">本单位</w:t>
      </w:r>
      <w:r>
        <w:rPr>
          <w:rFonts w:ascii="Times New Roman" w:hAnsi="Times New Roman" w:cs="Times New Roman" w:hint="default"/>
          <w:color w:val="auto"/>
          <w:highlight w:val="none"/>
          <w:lang w:val="en-US" w:eastAsia="zh-CN"/>
        </w:rPr>
        <w:t xml:space="preserve">项目绩效管理和</w:t>
      </w:r>
      <w:r>
        <w:rPr>
          <w:rFonts w:ascii="Times New Roman" w:hAnsi="Times New Roman" w:cs="Times New Roman" w:hint="default"/>
          <w:color w:val="auto"/>
          <w:highlight w:val="none"/>
        </w:rPr>
        <w:t xml:space="preserve">绩效评价</w:t>
      </w:r>
      <w:r>
        <w:rPr>
          <w:rFonts w:ascii="Times New Roman" w:hAnsi="Times New Roman" w:cs="Times New Roman" w:hint="default"/>
          <w:color w:val="auto"/>
          <w:highlight w:val="none"/>
          <w:lang w:val="en-US" w:eastAsia="zh-CN"/>
        </w:rPr>
        <w:t xml:space="preserve">工作需进一步加强，</w:t>
      </w:r>
      <w:r>
        <w:rPr>
          <w:rFonts w:ascii="Times New Roman" w:hAnsi="Times New Roman" w:cs="Times New Roman" w:hint="default"/>
          <w:color w:val="auto"/>
          <w:highlight w:val="none"/>
        </w:rPr>
        <w:t xml:space="preserve">绩效评价水平有待</w:t>
      </w:r>
      <w:r>
        <w:rPr>
          <w:rFonts w:ascii="Times New Roman" w:hAnsi="Times New Roman" w:cs="Times New Roman" w:hint="default"/>
          <w:color w:val="auto"/>
          <w:highlight w:val="none"/>
          <w:lang w:val="en-US" w:eastAsia="zh-CN"/>
        </w:rPr>
        <w:t xml:space="preserve">进一步</w:t>
      </w:r>
      <w:r>
        <w:rPr>
          <w:rFonts w:ascii="Times New Roman" w:hAnsi="Times New Roman" w:cs="Times New Roman" w:hint="default"/>
          <w:color w:val="auto"/>
          <w:highlight w:val="none"/>
        </w:rPr>
        <w:t xml:space="preserve">提高</w:t>
      </w:r>
      <w:r>
        <w:rPr>
          <w:rFonts w:ascii="Times New Roman" w:hAnsi="Times New Roman" w:cs="Times New Roman" w:hint="default"/>
          <w:color w:val="auto"/>
          <w:highlight w:val="none"/>
          <w:lang w:eastAsia="zh-CN"/>
        </w:rPr>
        <w:t xml:space="preserve">。</w:t>
      </w:r>
    </w:p>
    <w:p>
      <w:pPr>
        <w:pStyle w:val="Heading2"/>
        <w:bidi w:val="0"/>
        <w:jc w:val="both"/>
        <w:outlineLvl w:val="0"/>
        <w:rPr>
          <w:rFonts w:ascii="黑体" w:eastAsia="黑体" w:hAnsi="黑体" w:cs="黑体" w:hint="eastAsia"/>
          <w:bCs/>
          <w:iCs/>
          <w:color w:val="auto"/>
          <w:highlight w:val="none"/>
          <w:lang w:eastAsia="zh-CN"/>
        </w:rPr>
      </w:pPr>
      <w:bookmarkStart w:id="178" w:name="_Toc5347"/>
      <w:r>
        <w:rPr>
          <w:rFonts w:ascii="黑体" w:hAnsi="黑体" w:cs="黑体" w:hint="eastAsia"/>
          <w:bCs/>
          <w:iCs/>
          <w:color w:val="auto"/>
          <w:highlight w:val="none"/>
          <w:lang w:eastAsia="zh-CN"/>
        </w:rPr>
        <w:t xml:space="preserve">六、</w:t>
      </w:r>
      <w:r>
        <w:rPr>
          <w:rFonts w:ascii="黑体" w:eastAsia="黑体" w:hAnsi="黑体" w:cs="黑体" w:hint="eastAsia"/>
          <w:bCs/>
          <w:iCs/>
          <w:color w:val="auto"/>
          <w:highlight w:val="none"/>
        </w:rPr>
        <w:t xml:space="preserve">有关建议</w:t>
      </w:r>
      <w:bookmarkEnd w:id="173"/>
      <w:bookmarkEnd w:id="174"/>
      <w:bookmarkEnd w:id="175"/>
      <w:bookmarkEnd w:id="176"/>
      <w:bookmarkEnd w:id="177"/>
      <w:bookmarkEnd w:id="178"/>
    </w:p>
    <w:p>
      <w:pPr>
        <w:keepNext w:val="0"/>
        <w:keepLines w:val="0"/>
        <w:widowControl/>
        <w:suppressLineNumbers w:val="0"/>
        <w:pBdr>
          <w:bottom w:val="single" w:sz="6" w:space="0" w:color="E7ECF1"/>
        </w:pBdr>
        <w:spacing w:before="75" w:beforeAutospacing="0" w:after="75" w:afterAutospacing="0"/>
        <w:ind w:left="0" w:right="75" w:firstLine="640" w:leftChars="0" w:firstLineChars="200"/>
        <w:jc w:val="left"/>
        <w:rPr>
          <w:rFonts w:hint="eastAsia"/>
          <w:color w:val="auto"/>
          <w:highlight w:val="none"/>
        </w:rPr>
      </w:pPr>
      <w:r>
        <w:rPr>
          <w:rFonts w:hint="eastAsia"/>
          <w:color w:val="auto"/>
          <w:highlight w:val="none"/>
          <w:lang w:val="en-US" w:eastAsia="zh-CN"/>
        </w:rPr>
        <w:t xml:space="preserve"> </w:t>
      </w:r>
      <w:r>
        <w:rPr>
          <w:rFonts w:hint="eastAsia"/>
          <w:color w:val="auto"/>
          <w:highlight w:val="none"/>
        </w:rPr>
        <w:t xml:space="preserve">采购前明确设备的具体功能需求，通过市场调研了解不同型号和品牌的性能和价格，规范招标程序，合理设置预算</w:t>
      </w:r>
      <w:r>
        <w:rPr>
          <w:rFonts w:hint="eastAsia"/>
          <w:color w:val="auto"/>
          <w:highlight w:val="none"/>
          <w:lang w:eastAsia="zh-CN"/>
        </w:rPr>
        <w:t xml:space="preserve">预付款</w:t>
      </w:r>
      <w:r>
        <w:rPr>
          <w:rFonts w:hint="eastAsia"/>
          <w:color w:val="auto"/>
          <w:highlight w:val="none"/>
        </w:rPr>
        <w:t xml:space="preserve">方式。明确设备验收标准，卖方负责设备安装调试。确保设备正常使用。</w:t>
      </w:r>
    </w:p>
    <w:p>
      <w:pPr>
        <w:keepNext w:val="0"/>
        <w:keepLines w:val="0"/>
        <w:widowControl/>
        <w:suppressLineNumbers w:val="0"/>
        <w:pBdr>
          <w:bottom w:val="single" w:sz="6" w:space="0" w:color="E7ECF1"/>
        </w:pBdr>
        <w:spacing w:before="75" w:beforeAutospacing="0" w:after="75" w:afterAutospacing="0"/>
        <w:ind w:left="0" w:right="75" w:firstLine="640" w:leftChars="0" w:firstLineChars="200"/>
        <w:jc w:val="left"/>
        <w:rPr>
          <w:rFonts w:hint="default"/>
          <w:color w:val="auto"/>
          <w:highlight w:val="none"/>
          <w:lang w:val="en-US" w:eastAsia="zh-CN"/>
        </w:rPr>
      </w:pPr>
      <w:r>
        <w:rPr>
          <w:rFonts w:hint="eastAsia"/>
          <w:color w:val="auto"/>
          <w:highlight w:val="none"/>
          <w:lang w:val="en-US" w:eastAsia="zh-CN"/>
        </w:rPr>
        <w:t xml:space="preserve">加强成本预算，组建由临床科室、设备管理部门、财务部门等多专业人员构成调研小组，深入各科室，详细了解不同业务对设备功能、性能的需求，针对医疗设备的维护工作、保养工作、收费工作分别构建专门多规章制度，并根据医院的运转状况建立全面的医疗设备运转成本管理体系。</w:t>
      </w:r>
    </w:p>
    <w:p>
      <w:pPr>
        <w:keepNext w:val="0"/>
        <w:keepLines w:val="0"/>
        <w:widowControl/>
        <w:suppressLineNumbers w:val="0"/>
        <w:pBdr>
          <w:bottom w:val="single" w:sz="6" w:space="0" w:color="E7ECF1"/>
        </w:pBdr>
        <w:spacing w:before="75" w:beforeAutospacing="0" w:after="75" w:afterAutospacing="0"/>
        <w:ind w:left="0" w:right="75" w:firstLine="640" w:leftChars="0" w:firstLineChars="200"/>
        <w:jc w:val="left"/>
        <w:rPr>
          <w:rFonts w:hint="eastAsia"/>
          <w:color w:val="auto"/>
          <w:highlight w:val="none"/>
          <w:lang w:val="en-US" w:eastAsia="zh-CN"/>
        </w:rPr>
      </w:pPr>
      <w:r>
        <w:rPr>
          <w:rFonts w:hint="eastAsia"/>
          <w:color w:val="auto"/>
          <w:highlight w:val="none"/>
          <w:lang w:val="en-US" w:eastAsia="zh-CN"/>
        </w:rPr>
        <w:t xml:space="preserve">采购设备后，要求供应商提供全面技术培训，</w:t>
      </w:r>
      <w:r>
        <w:rPr>
          <w:rFonts w:hint="eastAsia"/>
          <w:color w:val="auto"/>
          <w:highlight w:val="none"/>
          <w:lang w:eastAsia="zh-CN"/>
        </w:rPr>
        <w:t xml:space="preserve">加强</w:t>
      </w:r>
      <w:r>
        <w:rPr>
          <w:rFonts w:hint="eastAsia"/>
          <w:color w:val="auto"/>
          <w:highlight w:val="none"/>
        </w:rPr>
        <w:t xml:space="preserve">技术人员培训，确保医院技术人员能够熟练使用和维护设备。</w:t>
      </w:r>
      <w:r>
        <w:rPr>
          <w:rFonts w:hint="eastAsia"/>
          <w:color w:val="auto"/>
          <w:highlight w:val="none"/>
          <w:lang w:val="en-US" w:eastAsia="zh-CN"/>
        </w:rPr>
        <w:t xml:space="preserve">同时与供应商建立长期合作关系，及时获取技术支持和设备升级服务。</w:t>
      </w:r>
    </w:p>
    <w:p>
      <w:pPr>
        <w:keepNext w:val="0"/>
        <w:keepLines w:val="0"/>
        <w:widowControl/>
        <w:suppressLineNumbers w:val="0"/>
        <w:pBdr>
          <w:bottom w:val="single" w:sz="6" w:space="0" w:color="E7ECF1"/>
        </w:pBdr>
        <w:spacing w:before="75" w:beforeAutospacing="0" w:after="75" w:afterAutospacing="0"/>
        <w:ind w:left="0" w:right="75" w:firstLine="640" w:leftChars="0" w:firstLineChars="200"/>
        <w:jc w:val="left"/>
        <w:rPr>
          <w:rFonts w:hint="eastAsia"/>
          <w:color w:val="auto"/>
          <w:highlight w:val="none"/>
          <w:lang w:val="en-US" w:eastAsia="zh-CN"/>
        </w:rPr>
      </w:pPr>
      <w:r>
        <w:rPr>
          <w:rFonts w:hint="eastAsia"/>
          <w:color w:val="auto"/>
          <w:highlight w:val="none"/>
          <w:lang w:val="en-US" w:eastAsia="zh-CN"/>
        </w:rPr>
        <w:t xml:space="preserve">加强人才培养，可与各大医院建立专业技术人员培养计划，增加专业人才的储备。也可通过外部合作和内部培养解决人才短缺问题。</w:t>
      </w:r>
    </w:p>
    <w:p>
      <w:pPr>
        <w:keepNext w:val="0"/>
        <w:keepLines w:val="0"/>
        <w:widowControl/>
        <w:suppressLineNumbers w:val="0"/>
        <w:pBdr>
          <w:bottom w:val="single" w:sz="6" w:space="0" w:color="E7ECF1"/>
        </w:pBdr>
        <w:spacing w:before="75" w:beforeAutospacing="0" w:after="75" w:afterAutospacing="0"/>
        <w:ind w:left="0" w:right="75" w:firstLine="640" w:leftChars="0" w:firstLineChars="200"/>
        <w:jc w:val="left"/>
        <w:rPr>
          <w:rFonts w:ascii="Times New Roman" w:hAnsi="Times New Roman" w:cs="Times New Roman" w:hint="default"/>
          <w:color w:val="auto"/>
          <w:highlight w:val="none"/>
        </w:rPr>
      </w:pPr>
      <w:r>
        <w:rPr>
          <w:rFonts w:ascii="Times New Roman" w:hAnsi="Times New Roman" w:cs="Times New Roman" w:hint="default"/>
          <w:color w:val="auto"/>
          <w:highlight w:val="none"/>
        </w:rPr>
        <w:t xml:space="preserve">加强绩效管理培训，夯实绩效管理基础工作，建章建制，建立统一的管理制度和控制执行标准，确保项目资金使用安全、规范，项目实施成果质量达标。</w:t>
      </w:r>
      <w:bookmarkStart w:id="179" w:name="_Toc22823"/>
      <w:bookmarkStart w:id="180" w:name="_Toc21621"/>
      <w:bookmarkStart w:id="181" w:name="_Toc5794"/>
      <w:bookmarkStart w:id="182" w:name="_Toc12100"/>
      <w:bookmarkStart w:id="183" w:name="_Toc24871"/>
    </w:p>
    <w:p>
      <w:pPr>
        <w:keepNext w:val="0"/>
        <w:keepLines w:val="0"/>
        <w:widowControl/>
        <w:suppressLineNumbers w:val="0"/>
        <w:pBdr>
          <w:bottom w:val="single" w:sz="6" w:space="0" w:color="E7ECF1"/>
        </w:pBdr>
        <w:spacing w:before="75" w:beforeAutospacing="0" w:after="75" w:afterAutospacing="0"/>
        <w:ind w:left="0" w:right="75" w:firstLine="640" w:leftChars="0" w:firstLineChars="200"/>
        <w:jc w:val="left"/>
        <w:outlineLvl w:val="0"/>
        <w:rPr>
          <w:rFonts w:ascii="黑体" w:eastAsia="黑体" w:hAnsi="黑体" w:cs="黑体" w:hint="default"/>
          <w:bCs/>
          <w:iCs/>
          <w:color w:val="auto"/>
          <w:highlight w:val="none"/>
        </w:rPr>
      </w:pPr>
      <w:bookmarkStart w:id="184" w:name="_Toc18879"/>
      <w:r>
        <w:rPr>
          <w:rFonts w:ascii="黑体" w:eastAsia="黑体" w:hAnsi="黑体" w:cs="黑体" w:hint="default"/>
          <w:bCs/>
          <w:iCs/>
          <w:color w:val="auto"/>
          <w:highlight w:val="none"/>
        </w:rPr>
        <w:t xml:space="preserve">七、其他需要说明的问题</w:t>
      </w:r>
      <w:bookmarkEnd w:id="179"/>
      <w:bookmarkEnd w:id="180"/>
      <w:bookmarkEnd w:id="181"/>
      <w:bookmarkEnd w:id="182"/>
      <w:bookmarkEnd w:id="183"/>
      <w:bookmarkEnd w:id="184"/>
    </w:p>
    <w:p>
      <w:pPr>
        <w:bidi w:val="0"/>
        <w:jc w:val="both"/>
        <w:rPr>
          <w:rFonts w:ascii="Times New Roman" w:eastAsia="仿宋_GB2312" w:hAnsi="Times New Roman" w:cs="Times New Roman" w:hint="default"/>
          <w:color w:val="auto"/>
          <w:highlight w:val="none"/>
        </w:rPr>
      </w:pPr>
      <w:bookmarkStart w:id="185" w:name="OLE_LINK6"/>
      <w:bookmarkStart w:id="186" w:name="_Toc28493"/>
      <w:bookmarkStart w:id="187" w:name="_Toc30245"/>
      <w:bookmarkStart w:id="188" w:name="_Toc4210"/>
      <w:bookmarkStart w:id="189" w:name="_Toc32504"/>
      <w:r>
        <w:rPr>
          <w:rFonts w:ascii="Times New Roman" w:hAnsi="Times New Roman" w:cs="Times New Roman" w:hint="eastAsia"/>
          <w:color w:val="auto"/>
          <w:highlight w:val="none"/>
          <w:lang w:val="en-US" w:eastAsia="zh-CN"/>
        </w:rPr>
        <w:t xml:space="preserve">1、</w:t>
      </w:r>
      <w:r>
        <w:rPr>
          <w:rFonts w:ascii="Times New Roman" w:eastAsia="仿宋_GB2312" w:hAnsi="Times New Roman" w:cs="Times New Roman" w:hint="default"/>
          <w:color w:val="auto"/>
          <w:highlight w:val="none"/>
        </w:rPr>
        <w:t xml:space="preserve">本项目部分间接产生的效果无法准确在短期内衡量，因此很难认定项目产生的全部效果。通过指标来反映绩效，指标的科学性和全面性需要不断地完善和研究。</w:t>
      </w:r>
    </w:p>
    <w:p>
      <w:pPr>
        <w:bidi w:val="0"/>
        <w:rPr>
          <w:rFonts w:hint="default"/>
          <w:color w:val="auto"/>
          <w:highlight w:val="none"/>
        </w:rPr>
      </w:pPr>
      <w:r>
        <w:rPr>
          <w:rFonts w:hint="eastAsia"/>
          <w:color w:val="auto"/>
          <w:highlight w:val="none"/>
          <w:lang w:val="en-US" w:eastAsia="zh-CN"/>
        </w:rPr>
        <w:t xml:space="preserve">2、</w:t>
      </w:r>
      <w:r>
        <w:rPr>
          <w:rFonts w:hint="default"/>
          <w:color w:val="auto"/>
          <w:highlight w:val="none"/>
        </w:rPr>
        <w:t xml:space="preserve">评价结果分别编入政府决算和部门预算，报送本级人民代表大会常务委员会，并依法予以公开。</w:t>
      </w:r>
      <w:bookmarkEnd w:id="185"/>
    </w:p>
    <w:p>
      <w:pPr>
        <w:pStyle w:val="Heading2"/>
        <w:bidi w:val="0"/>
        <w:jc w:val="both"/>
        <w:outlineLvl w:val="0"/>
        <w:rPr>
          <w:rFonts w:ascii="黑体" w:eastAsia="黑体" w:hAnsi="黑体" w:cs="黑体" w:hint="default"/>
          <w:bCs/>
          <w:iCs/>
          <w:color w:val="auto"/>
          <w:highlight w:val="none"/>
        </w:rPr>
      </w:pPr>
      <w:r>
        <w:rPr>
          <w:rFonts w:ascii="黑体" w:eastAsia="黑体" w:hAnsi="黑体" w:cs="黑体" w:hint="default"/>
          <w:bCs/>
          <w:iCs/>
          <w:color w:val="auto"/>
          <w:highlight w:val="none"/>
        </w:rPr>
        <w:t xml:space="preserve">八、附件</w:t>
      </w:r>
      <w:bookmarkEnd w:id="186"/>
      <w:bookmarkEnd w:id="187"/>
      <w:bookmarkEnd w:id="188"/>
      <w:bookmarkEnd w:id="189"/>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1、项目支出绩效自评表</w:t>
      </w:r>
    </w:p>
    <w:p>
      <w:pPr>
        <w:bidi w:val="0"/>
        <w:jc w:val="both"/>
        <w:rPr>
          <w:rFonts w:ascii="Times New Roman" w:eastAsia="仿宋_GB2312" w:hAnsi="Times New Roman" w:cs="Times New Roman" w:hint="default"/>
          <w:color w:val="auto"/>
          <w:highlight w:val="none"/>
        </w:rPr>
        <w:sectPr>
          <w:footerReference w:type="default" r:id="rId4"/>
          <w:pgSz w:w="11906" w:h="16838" w:orient="portrait"/>
          <w:pgMar w:top="1440" w:right="1800" w:bottom="1440" w:left="1800" w:header="851" w:footer="992" w:gutter="0"/>
          <w:pgBorders/>
          <w:pgNumType w:fmt="decimal" w:start="1"/>
          <w:cols w:num="1" w:space="720">
            <w:col w:w="8306" w:space="720"/>
          </w:cols>
          <w:docGrid w:type="lines" w:linePitch="312" w:charSpace="0"/>
        </w:sectPr>
      </w:pPr>
      <w:r>
        <w:rPr>
          <w:rFonts w:ascii="Times New Roman" w:eastAsia="仿宋_GB2312" w:hAnsi="Times New Roman" w:cs="Times New Roman" w:hint="default"/>
          <w:color w:val="auto"/>
          <w:highlight w:val="none"/>
        </w:rPr>
        <w:t xml:space="preserve">2、项目支出绩效评价指标体系及评分</w:t>
      </w:r>
    </w:p>
    <w:p>
      <w:pPr>
        <w:pStyle w:val="Heading2"/>
        <w:bidi w:val="0"/>
        <w:ind w:left="0" w:firstLine="0" w:leftChars="0" w:firstLineChars="0"/>
        <w:jc w:val="both"/>
        <w:outlineLvl w:val="0"/>
        <w:rPr>
          <w:rFonts w:ascii="Times New Roman" w:eastAsia="仿宋_GB2312" w:hAnsi="Times New Roman" w:cs="Times New Roman" w:hint="default"/>
          <w:bCs/>
          <w:iCs/>
          <w:color w:val="auto"/>
          <w:highlight w:val="none"/>
        </w:rPr>
      </w:pPr>
      <w:bookmarkStart w:id="190" w:name="_Toc15698"/>
      <w:bookmarkStart w:id="191" w:name="_Toc28598"/>
      <w:bookmarkStart w:id="192" w:name="_Toc29847"/>
      <w:r>
        <w:rPr>
          <w:rFonts w:ascii="Times New Roman" w:eastAsia="仿宋_GB2312" w:hAnsi="Times New Roman" w:cs="Times New Roman" w:hint="default"/>
          <w:bCs/>
          <w:iCs/>
          <w:color w:val="auto"/>
          <w:highlight w:val="none"/>
        </w:rPr>
        <w:t xml:space="preserve">附件1：</w:t>
      </w:r>
      <w:bookmarkEnd w:id="190"/>
      <w:bookmarkEnd w:id="191"/>
      <w:r>
        <w:rPr>
          <w:rFonts w:ascii="Times New Roman" w:eastAsia="仿宋_GB2312" w:hAnsi="Times New Roman" w:cs="Times New Roman" w:hint="default"/>
          <w:color w:val="auto"/>
          <w:highlight w:val="none"/>
        </w:rPr>
        <w:t xml:space="preserve">项目支出绩效自评表</w:t>
      </w:r>
      <w:bookmarkEnd w:id="192"/>
    </w:p>
    <w:p>
      <w:pPr>
        <w:ind w:left="0" w:firstLine="0" w:leftChars="0" w:firstLineChars="0"/>
        <w:jc w:val="both"/>
        <w:rPr>
          <w:rFonts w:ascii="Times New Roman" w:eastAsia="仿宋_GB2312" w:hAnsi="Times New Roman" w:cs="Times New Roman" w:hint="default"/>
          <w:color w:val="auto"/>
          <w:sz w:val="18"/>
          <w:szCs w:val="18"/>
          <w:highlight w:val="none"/>
        </w:rPr>
      </w:pPr>
    </w:p>
    <w:tbl>
      <w:tblPr>
        <w:tblStyle w:val="NormalTable"/>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firstRow="0" w:lastRow="0" w:firstColumn="0" w:lastColumn="0" w:noHBand="1" w:noVBand="1"/>
      </w:tblPr>
      <w:tblGrid>
        <w:gridCol w:w="836"/>
        <w:gridCol w:w="836"/>
        <w:gridCol w:w="836"/>
        <w:gridCol w:w="2282"/>
        <w:gridCol w:w="1837"/>
        <w:gridCol w:w="836"/>
        <w:gridCol w:w="839"/>
        <w:gridCol w:w="836"/>
        <w:gridCol w:w="839"/>
        <w:gridCol w:w="836"/>
        <w:gridCol w:w="839"/>
        <w:gridCol w:w="836"/>
        <w:gridCol w:w="840"/>
        <w:gridCol w:w="846"/>
      </w:tblGrid>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20"/>
        </w:trPr>
        <w:tc>
          <w:tcPr>
            <w:tcW w:w="5000" w:type="pct"/>
            <w:gridSpan w:val="14"/>
            <w:tcBorders>
              <w:top w:val="nil"/>
              <w:left w:val="nil"/>
              <w:bottom w:val="single" w:sz="4" w:space="0" w:color="auto"/>
              <w:right w:val="nil"/>
            </w:tcBorders>
            <w:noWrap w:val="0"/>
            <w:vAlign w:val="center"/>
          </w:tcPr>
          <w:p>
            <w:pPr>
              <w:pStyle w:val="表格标题"/>
              <w:bidi w:val="0"/>
              <w:rPr>
                <w:color w:val="auto"/>
                <w:szCs w:val="18"/>
                <w:highlight w:val="none"/>
              </w:rPr>
            </w:pPr>
            <w:bookmarkStart w:id="193" w:name="_Toc25032"/>
            <w:bookmarkStart w:id="194" w:name="_Toc28099"/>
            <w:bookmarkStart w:id="195" w:name="_Toc1641"/>
            <w:bookmarkStart w:id="196" w:name="_Toc22143"/>
            <w:bookmarkStart w:id="197" w:name="_Toc5134"/>
            <w:r>
              <w:rPr>
                <w:rFonts w:hint="default"/>
                <w:color w:val="auto"/>
                <w:highlight w:val="none"/>
                <w:lang w:val="en-US" w:eastAsia="zh-CN"/>
              </w:rPr>
              <w:t xml:space="preserve">项目支出绩效自评表</w:t>
            </w:r>
            <w:bookmarkEnd w:id="193"/>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90"/>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(2024年度）</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270"/>
        </w:trPr>
        <w:tc>
          <w:tcPr>
            <w:tcW w:w="59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项目名称</w:t>
            </w:r>
          </w:p>
        </w:tc>
        <w:tc>
          <w:tcPr>
            <w:tcW w:w="4409" w:type="pct"/>
            <w:gridSpan w:val="1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2024年中央医疗服务与保障能力提升【公立医院综合改革】补助</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248"/>
        </w:trPr>
        <w:tc>
          <w:tcPr>
            <w:tcW w:w="59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主管部门</w:t>
            </w:r>
          </w:p>
        </w:tc>
        <w:tc>
          <w:tcPr>
            <w:tcW w:w="2338"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尉犁县人民医院</w:t>
            </w:r>
          </w:p>
        </w:tc>
        <w:tc>
          <w:tcPr>
            <w:tcW w:w="59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实施单位</w:t>
            </w:r>
          </w:p>
        </w:tc>
        <w:tc>
          <w:tcPr>
            <w:tcW w:w="1479"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尉犁县人民医院</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258"/>
        </w:trPr>
        <w:tc>
          <w:tcPr>
            <w:tcW w:w="590" w:type="pct"/>
            <w:gridSpan w:val="2"/>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项目资金</w:t>
            </w:r>
            <w:r>
              <w:rPr>
                <w:rFonts w:hint="eastAsia"/>
                <w:color w:val="auto"/>
                <w:sz w:val="18"/>
                <w:szCs w:val="18"/>
                <w:highlight w:val="none"/>
                <w:lang w:val="en-US" w:eastAsia="zh-CN"/>
              </w:rPr>
              <w:br/>
            </w:r>
            <w:r>
              <w:rPr>
                <w:rFonts w:hint="eastAsia"/>
                <w:color w:val="auto"/>
                <w:sz w:val="18"/>
                <w:szCs w:val="18"/>
                <w:highlight w:val="none"/>
                <w:lang w:val="en-US" w:eastAsia="zh-CN"/>
              </w:rPr>
              <w:t xml:space="preserve">（万元）</w:t>
            </w:r>
          </w:p>
        </w:tc>
        <w:tc>
          <w:tcPr>
            <w:tcW w:w="109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资金来源</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年初预算数</w:t>
            </w:r>
          </w:p>
        </w:tc>
        <w:tc>
          <w:tcPr>
            <w:tcW w:w="59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全年预算数</w:t>
            </w:r>
          </w:p>
        </w:tc>
        <w:tc>
          <w:tcPr>
            <w:tcW w:w="59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全年执行数</w:t>
            </w:r>
          </w:p>
        </w:tc>
        <w:tc>
          <w:tcPr>
            <w:tcW w:w="59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分值权重</w:t>
            </w:r>
          </w:p>
        </w:tc>
        <w:tc>
          <w:tcPr>
            <w:tcW w:w="59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执行率</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得分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301"/>
        </w:trPr>
        <w:tc>
          <w:tcPr>
            <w:tcW w:w="590"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109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年度资金总额</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95.00</w:t>
            </w:r>
          </w:p>
        </w:tc>
        <w:tc>
          <w:tcPr>
            <w:tcW w:w="59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125.00</w:t>
            </w:r>
          </w:p>
        </w:tc>
        <w:tc>
          <w:tcPr>
            <w:tcW w:w="59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125.00</w:t>
            </w:r>
          </w:p>
        </w:tc>
        <w:tc>
          <w:tcPr>
            <w:tcW w:w="59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w:t>
            </w:r>
          </w:p>
        </w:tc>
        <w:tc>
          <w:tcPr>
            <w:tcW w:w="59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100.00%</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10.00分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237"/>
        </w:trPr>
        <w:tc>
          <w:tcPr>
            <w:tcW w:w="590"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109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其中：当年财政拨款</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95</w:t>
            </w:r>
          </w:p>
        </w:tc>
        <w:tc>
          <w:tcPr>
            <w:tcW w:w="59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125</w:t>
            </w:r>
          </w:p>
        </w:tc>
        <w:tc>
          <w:tcPr>
            <w:tcW w:w="59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125</w:t>
            </w:r>
          </w:p>
        </w:tc>
        <w:tc>
          <w:tcPr>
            <w:tcW w:w="59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59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238"/>
        </w:trPr>
        <w:tc>
          <w:tcPr>
            <w:tcW w:w="590"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109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其他资金</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0</w:t>
            </w:r>
          </w:p>
        </w:tc>
        <w:tc>
          <w:tcPr>
            <w:tcW w:w="59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0.00</w:t>
            </w:r>
          </w:p>
        </w:tc>
        <w:tc>
          <w:tcPr>
            <w:tcW w:w="59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eastAsia="仿宋_GB2312" w:hint="eastAsia"/>
                <w:color w:val="auto"/>
                <w:sz w:val="18"/>
                <w:szCs w:val="18"/>
                <w:highlight w:val="none"/>
                <w:lang w:val="en-US" w:eastAsia="zh-CN"/>
              </w:rPr>
            </w:pPr>
            <w:r>
              <w:rPr>
                <w:rFonts w:hint="eastAsia"/>
                <w:color w:val="auto"/>
                <w:sz w:val="18"/>
                <w:szCs w:val="18"/>
                <w:highlight w:val="none"/>
                <w:lang w:val="en-US" w:eastAsia="zh-CN"/>
              </w:rPr>
              <w:t xml:space="preserve">0</w:t>
            </w:r>
          </w:p>
        </w:tc>
        <w:tc>
          <w:tcPr>
            <w:tcW w:w="59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59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247"/>
        </w:trPr>
        <w:tc>
          <w:tcPr>
            <w:tcW w:w="295"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年度总体目标</w:t>
            </w:r>
          </w:p>
        </w:tc>
        <w:tc>
          <w:tcPr>
            <w:tcW w:w="3225"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总体目标</w:t>
            </w:r>
          </w:p>
        </w:tc>
        <w:tc>
          <w:tcPr>
            <w:tcW w:w="1479"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总体目标完成情况</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3225"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深化公立医院综合改革，建立健全现代医院管理制度，加快构建有序的就医和诊疗新格局。购置一台数字减影血管造影机。</w:t>
            </w:r>
          </w:p>
        </w:tc>
        <w:tc>
          <w:tcPr>
            <w:tcW w:w="1479"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购置一台数字减影血管造影机,已完成安装调试，进入使用阶段。项目的实施提高了医院的诊疗能力，吸引了更多患者前来就医，增加了医院的业务收入。</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967"/>
        </w:trPr>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一级指标</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二级指标</w:t>
            </w:r>
          </w:p>
        </w:tc>
        <w:tc>
          <w:tcPr>
            <w:tcW w:w="8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三级指标</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指标值</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指标值设置依据</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上年完成值</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指标分值权重</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指标赋分规则</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佐证资料</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指标实际完成值</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完成率</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指标得分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偏差原因分析及改进措施</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5"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年度绩效指标完成情况</w:t>
            </w:r>
          </w:p>
        </w:tc>
        <w:tc>
          <w:tcPr>
            <w:tcW w:w="295"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产出指标</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数量指标</w:t>
            </w:r>
          </w:p>
        </w:tc>
        <w:tc>
          <w:tcPr>
            <w:tcW w:w="8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采购数字减影血管造影机</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=1台</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计划标准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按照完成比例赋分</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工作资料</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=1台</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质量指标</w:t>
            </w:r>
          </w:p>
        </w:tc>
        <w:tc>
          <w:tcPr>
            <w:tcW w:w="8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设备验收合格率</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计划标准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按照完成比例赋分</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工作资料</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质量指标</w:t>
            </w:r>
          </w:p>
        </w:tc>
        <w:tc>
          <w:tcPr>
            <w:tcW w:w="8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设备质量合格率</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计划标准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按照完成比例赋分</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工作资料</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时效指标</w:t>
            </w:r>
          </w:p>
        </w:tc>
        <w:tc>
          <w:tcPr>
            <w:tcW w:w="8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设备到位及时率</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计划标准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按照完成比例赋分</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工作资料</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成本指标</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经济成本指标</w:t>
            </w:r>
          </w:p>
        </w:tc>
        <w:tc>
          <w:tcPr>
            <w:tcW w:w="8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购置设备投入金额</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=125万元</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计划标准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20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按照完成比例赋分</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原始凭证</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=125万元</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20</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效益指标</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经济效益指标</w:t>
            </w:r>
          </w:p>
        </w:tc>
        <w:tc>
          <w:tcPr>
            <w:tcW w:w="8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设备利用率</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计划标准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按照完成比例赋分</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工作资料</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社会效益指标</w:t>
            </w:r>
          </w:p>
        </w:tc>
        <w:tc>
          <w:tcPr>
            <w:tcW w:w="8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提升医疗服务能力</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持续提高</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计划标准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20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按评判等级赋分</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工作资料</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达成目标</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20</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500"/>
        </w:trPr>
        <w:tc>
          <w:tcPr>
            <w:tcW w:w="1690" w:type="pct"/>
            <w:gridSpan w:val="4"/>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总分</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100.00分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r>
    </w:tbl>
    <w:p>
      <w:pPr>
        <w:pStyle w:val="Heading3"/>
        <w:ind w:left="0" w:firstLine="0" w:leftChars="0" w:firstLineChars="0"/>
        <w:jc w:val="both"/>
        <w:outlineLvl w:val="9"/>
        <w:rPr>
          <w:rFonts w:ascii="Times New Roman" w:eastAsia="仿宋_GB2312" w:hAnsi="Times New Roman" w:cs="Times New Roman" w:hint="default"/>
          <w:color w:val="auto"/>
          <w:highlight w:val="none"/>
        </w:rPr>
        <w:sectPr>
          <w:pgSz w:w="16838" w:h="11906" w:orient="landscape"/>
          <w:pgMar w:top="1800" w:right="1440" w:bottom="1800" w:left="1440" w:header="851" w:footer="992" w:gutter="0"/>
          <w:pgBorders/>
          <w:pgNumType w:fmt="decimal"/>
          <w:cols w:num="1" w:space="720">
            <w:col w:w="13958" w:space="720"/>
          </w:cols>
          <w:docGrid w:type="lines" w:linePitch="312" w:charSpace="0"/>
        </w:sectPr>
      </w:pPr>
    </w:p>
    <w:p>
      <w:pPr>
        <w:pStyle w:val="表格标题"/>
        <w:bidi w:val="0"/>
        <w:jc w:val="both"/>
        <w:rPr>
          <w:rFonts w:ascii="Times New Roman" w:eastAsia="仿宋_GB2312" w:hAnsi="Times New Roman" w:cs="Times New Roman" w:hint="default"/>
          <w:b w:val="0"/>
          <w:bCs/>
          <w:iCs/>
          <w:color w:val="auto"/>
          <w:kern w:val="2"/>
          <w:sz w:val="32"/>
          <w:szCs w:val="21"/>
          <w:highlight w:val="none"/>
          <w:lang w:val="en-US" w:eastAsia="zh-CN" w:bidi="ar-SA"/>
        </w:rPr>
      </w:pPr>
      <w:bookmarkStart w:id="198" w:name="_Toc31300"/>
      <w:bookmarkStart w:id="199" w:name="_Toc17975"/>
      <w:bookmarkStart w:id="200" w:name="_Toc29757"/>
      <w:r>
        <w:rPr>
          <w:rFonts w:ascii="Times New Roman" w:eastAsia="仿宋_GB2312" w:hAnsi="Times New Roman" w:cs="Times New Roman" w:hint="default"/>
          <w:b w:val="0"/>
          <w:bCs/>
          <w:iCs/>
          <w:color w:val="auto"/>
          <w:kern w:val="2"/>
          <w:sz w:val="32"/>
          <w:szCs w:val="21"/>
          <w:highlight w:val="none"/>
          <w:lang w:val="en-US" w:eastAsia="zh-CN" w:bidi="ar-SA"/>
        </w:rPr>
        <w:t xml:space="preserve">附件2：</w:t>
      </w:r>
      <w:bookmarkEnd w:id="194"/>
      <w:bookmarkEnd w:id="195"/>
      <w:bookmarkEnd w:id="196"/>
      <w:bookmarkEnd w:id="197"/>
      <w:bookmarkEnd w:id="198"/>
      <w:bookmarkEnd w:id="199"/>
      <w:bookmarkEnd w:id="200"/>
      <w:r>
        <w:rPr>
          <w:rFonts w:ascii="Times New Roman" w:eastAsia="仿宋_GB2312" w:hAnsi="Times New Roman" w:cs="Times New Roman" w:hint="default"/>
          <w:b w:val="0"/>
          <w:bCs/>
          <w:iCs/>
          <w:color w:val="auto"/>
          <w:kern w:val="2"/>
          <w:sz w:val="32"/>
          <w:szCs w:val="21"/>
          <w:highlight w:val="none"/>
          <w:lang w:val="en-US" w:eastAsia="zh-CN" w:bidi="ar-SA"/>
        </w:rPr>
        <w:t xml:space="preserve">项目支出绩效评价指标体系及评分</w:t>
      </w:r>
    </w:p>
    <w:p>
      <w:pPr>
        <w:bidi w:val="0"/>
        <w:ind w:firstLine="1280" w:firstLineChars="400"/>
        <w:rPr>
          <w:rFonts w:hint="default"/>
          <w:color w:val="auto"/>
          <w:highlight w:val="none"/>
        </w:rPr>
      </w:pPr>
      <w:bookmarkStart w:id="201" w:name="_Toc4695"/>
      <w:bookmarkStart w:id="202" w:name="_Toc29561"/>
      <w:bookmarkStart w:id="203" w:name="_Toc28172"/>
      <w:r>
        <w:rPr>
          <w:rFonts w:hint="default"/>
          <w:color w:val="auto"/>
          <w:highlight w:val="none"/>
        </w:rPr>
        <w:t xml:space="preserve">项目支出绩效评价指标体系及评分</w:t>
      </w:r>
      <w:bookmarkEnd w:id="201"/>
      <w:bookmarkEnd w:id="202"/>
      <w:bookmarkEnd w:id="203"/>
    </w:p>
    <w:tbl>
      <w:tblPr>
        <w:tblStyle w:val="NormalTable"/>
        <w:tblW w:w="5674" w:type="pct"/>
        <w:jc w:val="center"/>
        <w:tblLayout w:type="fixed"/>
        <w:tblCellMar>
          <w:top w:w="0" w:type="dxa"/>
          <w:left w:w="108" w:type="dxa"/>
          <w:bottom w:w="0" w:type="dxa"/>
          <w:right w:w="108" w:type="dxa"/>
        </w:tblCellMar>
        <w:tblLook w:firstRow="0" w:lastRow="0" w:firstColumn="0" w:lastColumn="0" w:noHBand="1" w:noVBand="1"/>
      </w:tblPr>
      <w:tblGrid>
        <w:gridCol w:w="592"/>
        <w:gridCol w:w="669"/>
        <w:gridCol w:w="816"/>
        <w:gridCol w:w="2173"/>
        <w:gridCol w:w="4183"/>
        <w:gridCol w:w="613"/>
        <w:gridCol w:w="625"/>
      </w:tblGrid>
      <w:tr>
        <w:tblPrEx>
          <w:tblW w:w="5674" w:type="pct"/>
          <w:tblLayout w:type="fixed"/>
          <w:tblCellMar>
            <w:top w:w="0" w:type="dxa"/>
            <w:left w:w="108" w:type="dxa"/>
            <w:bottom w:w="0" w:type="dxa"/>
            <w:right w:w="108" w:type="dxa"/>
          </w:tblCellMar>
        </w:tblPrEx>
        <w:trPr>
          <w:trHeight w:val="460"/>
          <w:jc w:val="center"/>
        </w:trPr>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一级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w:t>
            </w:r>
          </w:p>
        </w:tc>
        <w:tc>
          <w:tcPr>
            <w:tcW w:w="34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二级指标</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三级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指标解释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指标说明</w:t>
            </w:r>
          </w:p>
        </w:tc>
        <w:tc>
          <w:tcPr>
            <w:tcW w:w="3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分值</w:t>
            </w:r>
          </w:p>
        </w:tc>
        <w:tc>
          <w:tcPr>
            <w:tcW w:w="32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得分</w:t>
            </w:r>
          </w:p>
        </w:tc>
      </w:tr>
      <w:tr>
        <w:tblPrEx>
          <w:tblW w:w="5674" w:type="pct"/>
          <w:tblLayout w:type="fixed"/>
          <w:tblCellMar>
            <w:top w:w="0" w:type="dxa"/>
            <w:left w:w="108" w:type="dxa"/>
            <w:bottom w:w="0" w:type="dxa"/>
            <w:right w:w="108" w:type="dxa"/>
          </w:tblCellMar>
        </w:tblPrEx>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决策</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eastAsia"/>
                <w:color w:val="auto"/>
                <w:sz w:val="18"/>
                <w:szCs w:val="18"/>
                <w:highlight w:val="none"/>
                <w:lang w:eastAsia="zh-CN"/>
              </w:rPr>
            </w:pPr>
            <w:r>
              <w:rPr>
                <w:rFonts w:ascii="Times New Roman" w:eastAsia="仿宋_GB2312" w:hAnsi="Times New Roman" w:cs="Times New Roman" w:hint="default"/>
                <w:color w:val="auto"/>
                <w:sz w:val="18"/>
                <w:szCs w:val="18"/>
                <w:highlight w:val="none"/>
              </w:rPr>
              <w:t xml:space="preserve">项目</w:t>
            </w:r>
            <w:r>
              <w:rPr>
                <w:rFonts w:cs="Times New Roman" w:hint="eastAsia"/>
                <w:color w:val="auto"/>
                <w:sz w:val="18"/>
                <w:szCs w:val="18"/>
                <w:highlight w:val="none"/>
                <w:lang w:eastAsia="zh-CN"/>
              </w:rPr>
              <w:t xml:space="preserve">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依据充分性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是否符合法律法规、相关政策、发展规划以及部门职责，用以反映和考核项目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依据情况。</w:t>
            </w: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⑤项目是否与相关部门同类项目或部门内部相关项目重复。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程序规范性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项目申请、设立过程是否符合相关要求，用以反映和考核项目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的规范情况。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10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254"/>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22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绩效目标</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绩效目标合理性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①项目是否有绩效目标；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9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5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绩效指标明确性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4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资金投入</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预算编制科学性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76"/>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资金分配合理性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08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top"/>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过程</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资金管理</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资金到位率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资金到位率=（实际到位资金/预算资金）×100%。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58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预算执行率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预算执行率=（实际支出资金/实际到位资金）×100%。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eastAsia="zh-CN"/>
              </w:rPr>
            </w:pPr>
            <w:r>
              <w:rPr>
                <w:rFonts w:ascii="Times New Roman" w:eastAsia="仿宋_GB2312" w:hAnsi="Times New Roman" w:cs="Times New Roman" w:hint="default"/>
                <w:color w:val="auto"/>
                <w:sz w:val="18"/>
                <w:szCs w:val="18"/>
                <w:highlight w:val="none"/>
                <w:lang w:val="en-US" w:eastAsia="zh-CN"/>
              </w:rPr>
              <w:t xml:space="preserve">4</w:t>
            </w:r>
          </w:p>
        </w:tc>
      </w:tr>
      <w:tr>
        <w:tblPrEx>
          <w:tblW w:w="5674" w:type="pct"/>
          <w:tblLayout w:type="fixed"/>
          <w:tblCellMar>
            <w:top w:w="0" w:type="dxa"/>
            <w:left w:w="108" w:type="dxa"/>
            <w:bottom w:w="0" w:type="dxa"/>
            <w:right w:w="108" w:type="dxa"/>
          </w:tblCellMar>
        </w:tblPrEx>
        <w:trPr>
          <w:trHeight w:val="62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资金使用合规性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19"/>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组织实施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管理制度健全性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23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制度执行有效性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产出数量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实际完成率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实际完成率=（实际产出数/计划产出数）×100%。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cs="Times New Roman" w:hint="eastAsia"/>
                <w:color w:val="auto"/>
                <w:sz w:val="18"/>
                <w:szCs w:val="18"/>
                <w:highlight w:val="none"/>
                <w:lang w:val="en-US" w:eastAsia="zh-CN"/>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cs="Times New Roman" w:hint="eastAsia"/>
                <w:color w:val="auto"/>
                <w:sz w:val="18"/>
                <w:szCs w:val="18"/>
                <w:highlight w:val="none"/>
                <w:lang w:val="en-US" w:eastAsia="zh-CN"/>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33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产出质量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质量达标率=（质量达标产出数/实际产出数）×100%。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r>
      <w:tr>
        <w:tblPrEx>
          <w:tblW w:w="5674" w:type="pct"/>
          <w:tblLayout w:type="fixed"/>
          <w:tblCellMar>
            <w:top w:w="0" w:type="dxa"/>
            <w:left w:w="108" w:type="dxa"/>
            <w:bottom w:w="0" w:type="dxa"/>
            <w:right w:w="108" w:type="dxa"/>
          </w:tblCellMar>
        </w:tblPrEx>
        <w:trPr>
          <w:trHeight w:val="88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产出时效</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完成及时性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ascii="Times New Roman" w:eastAsia="仿宋_GB2312" w:hAnsi="Times New Roman" w:cs="Times New Roman" w:hint="default"/>
                <w:color w:val="auto"/>
                <w:sz w:val="18"/>
                <w:szCs w:val="18"/>
                <w:highlight w:val="none"/>
                <w:lang w:val="en-US" w:eastAsia="zh-CN"/>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产出成本</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成本节约率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ascii="Times New Roman" w:eastAsia="仿宋_GB2312" w:hAnsi="Times New Roman" w:cs="Times New Roman" w:hint="default"/>
                <w:color w:val="auto"/>
                <w:sz w:val="18"/>
                <w:szCs w:val="18"/>
                <w:highlight w:val="none"/>
                <w:lang w:val="en-US" w:eastAsia="zh-CN"/>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成本节约率=〔（计划成本</w:t>
            </w:r>
            <w:r>
              <w:rPr>
                <w:rFonts w:ascii="Times New Roman" w:eastAsia="仿宋_GB2312" w:hAnsi="Times New Roman" w:cs="Times New Roman" w:hint="default"/>
                <w:color w:val="auto"/>
                <w:sz w:val="18"/>
                <w:szCs w:val="18"/>
                <w:highlight w:val="none"/>
                <w:lang w:eastAsia="zh-CN"/>
              </w:rPr>
              <w:t xml:space="preserve">－</w:t>
            </w:r>
            <w:r>
              <w:rPr>
                <w:rFonts w:ascii="Times New Roman" w:eastAsia="仿宋_GB2312" w:hAnsi="Times New Roman" w:cs="Times New Roman" w:hint="default"/>
                <w:color w:val="auto"/>
                <w:sz w:val="18"/>
                <w:szCs w:val="18"/>
                <w:highlight w:val="none"/>
              </w:rPr>
              <w:t xml:space="preserve">实际成本）/计划成本〕×100%。</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780"/>
          <w:jc w:val="center"/>
        </w:trPr>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效益</w:t>
            </w:r>
          </w:p>
        </w:tc>
        <w:tc>
          <w:tcPr>
            <w:tcW w:w="34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项目效益</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实施</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效益</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项目实施所产生的效益。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cs="Times New Roman" w:hint="eastAsia"/>
                <w:color w:val="auto"/>
                <w:sz w:val="18"/>
                <w:szCs w:val="18"/>
                <w:highlight w:val="none"/>
                <w:lang w:val="en-US" w:eastAsia="zh-CN"/>
              </w:rPr>
              <w:t xml:space="preserve">20</w:t>
            </w:r>
          </w:p>
        </w:tc>
      </w:tr>
      <w:tr>
        <w:tblPrEx>
          <w:tblW w:w="5674" w:type="pct"/>
          <w:tblLayout w:type="fixed"/>
          <w:tblCellMar>
            <w:top w:w="0" w:type="dxa"/>
            <w:left w:w="108" w:type="dxa"/>
            <w:bottom w:w="0" w:type="dxa"/>
            <w:right w:w="108" w:type="dxa"/>
          </w:tblCellMar>
        </w:tblPrEx>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合计</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cs="Times New Roman" w:hint="eastAsia"/>
                <w:color w:val="auto"/>
                <w:sz w:val="18"/>
                <w:szCs w:val="18"/>
                <w:highlight w:val="none"/>
                <w:lang w:val="en-US" w:eastAsia="zh-CN"/>
              </w:rPr>
              <w:t xml:space="preserve">100</w:t>
            </w:r>
            <w:bookmarkEnd w:id="0"/>
          </w:p>
        </w:tc>
      </w:tr>
    </w:tbl>
    <w:p>
      <w:pPr>
        <w:ind w:firstLine="640"/>
        <w:jc w:val="both"/>
        <w:rPr>
          <w:rFonts w:ascii="Times New Roman" w:eastAsia="仿宋_GB2312" w:hAnsi="Times New Roman" w:cs="Times New Roman" w:hint="default"/>
          <w:color w:val="auto"/>
          <w:highlight w:val="none"/>
        </w:rPr>
      </w:pPr>
    </w:p>
    <w:sectPr>
      <w:pgSz w:w="11906" w:h="16838" w:orient="portrait"/>
      <w:pgMar w:top="1440" w:right="1800" w:bottom="1440" w:left="1800" w:header="851" w:footer="992" w:gutter="0"/>
      <w:pgBorders/>
      <w:pgNumType w:fmt="decimal"/>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46668BA-8D9A-4FD2-9CDB-EC55C724877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423D7665-B530-44EF-A912-67D541E399DE}"/>
  </w:font>
  <w:font w:name="方正小标宋_GBK">
    <w:altName w:val="微软雅黑"/>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0" w:usb1="00000000" w:usb2="00000000" w:usb3="00000000" w:csb0="00040001"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embedRegular r:id="rId3" w:fontKey="{30E3065A-AD4A-4B30-B4E4-84D7335413A1}"/>
  </w:font>
  <w:font w:name="仿宋">
    <w:panose1 w:val="00000000000000000000"/>
    <w:charset w:val="01"/>
    <w:family w:val="auto"/>
    <w:pitch w:val="default"/>
    <w:sig w:usb0="00000000" w:usb1="00000000" w:usb2="00000000" w:usb3="00000000" w:csb0="00000000" w:csb1="00000000"/>
  </w:font>
  <w:font w:name="方正小标宋">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pict>
        <v:shapetype id="_x0000_t202" coordsize="21600,21600" o:spt="202" path="m,l,21600r21600,l21600,xe">
          <v:stroke joinstyle="miter"/>
          <v:path gradientshapeok="t" o:connecttype="rect"/>
        </v:shapetype>
        <v:shape id="_x0000_s2059"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3</w:t>
                </w:r>
                <w: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2"/>
      <w:numFmt w:val="decimal"/>
      <w:suff w:val="tab"/>
      <w:lvlText w:val="%1."/>
      <w:lvlJc w:val="left"/>
      <w:pPr>
        <w:tabs>
          <w:tab w:val="left" w:pos="312"/>
        </w:tabs>
      </w:pPr>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w:zoom w:percent="110"/>
  <w:embedTrueTypeFonts/>
  <w:saveSubsetFonts/>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qFormat="1"/>
    <w:lsdException w:name="annotation text" w:semiHidden="0" w:uiPriority="0" w:unhideWhenUsed="0"/>
    <w:lsdException w:name="header" w:semiHidden="0"/>
    <w:lsdException w:name="footer" w:semiHidden="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eastAsia="仿宋_GB2312"/>
      <w:kern w:val="2"/>
      <w:sz w:val="32"/>
      <w:szCs w:val="22"/>
      <w:lang w:val="en-US" w:eastAsia="zh-CN" w:bidi="ar-SA"/>
    </w:rPr>
  </w:style>
  <w:style w:type="paragraph" w:styleId="Heading1">
    <w:name w:val="Heading 1"/>
    <w:basedOn w:val="Normal"/>
    <w:next w:val="Normal"/>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qFormat/>
    <w:pPr>
      <w:keepNext/>
      <w:keepLines/>
      <w:spacing w:before="280" w:after="290" w:line="376" w:lineRule="auto"/>
      <w:outlineLvl w:val="3"/>
    </w:pPr>
    <w:rPr>
      <w:rFonts w:ascii="Cambria" w:eastAsia="宋体" w:hAnsi="Cambria"/>
      <w:b/>
      <w:bCs/>
      <w:sz w:val="28"/>
      <w:szCs w:val="28"/>
    </w:rPr>
  </w:style>
  <w:style w:type="character" w:default="1" w:styleId="DefaultParagraphFont">
    <w:name w:val="Default Paragraph Font"/>
    <w:uiPriority w:val="1"/>
    <w:unhideWhenUsed/>
    <w:rPr/>
  </w:style>
  <w:style w:type="table" w:default="1" w:styleId="NormalTable">
    <w:name w:val="Normal Table"/>
    <w:semiHidden/>
    <w:qFormat/>
    <w:rPr/>
    <w:tblPr>
      <w:tblCellMar>
        <w:top w:w="0" w:type="dxa"/>
        <w:left w:w="108" w:type="dxa"/>
        <w:bottom w:w="0" w:type="dxa"/>
        <w:right w:w="108" w:type="dxa"/>
      </w:tblCellMar>
    </w:tblPr>
  </w:style>
  <w:style w:type="paragraph" w:styleId="CommentText">
    <w:name w:val="Comment Text"/>
    <w:basedOn w:val="Normal"/>
    <w:qFormat/>
    <w:pPr>
      <w:jc w:val="left"/>
    </w:pPr>
    <w:rPr/>
  </w:style>
  <w:style w:type="paragraph" w:styleId="TOC3">
    <w:name w:val="TOC 3"/>
    <w:basedOn w:val="Normal"/>
    <w:next w:val="Normal"/>
    <w:uiPriority w:val="39"/>
    <w:qFormat/>
    <w:pPr>
      <w:ind w:left="840" w:leftChars="400"/>
    </w:pPr>
    <w:rPr/>
  </w:style>
  <w:style w:type="paragraph" w:styleId="Footer">
    <w:name w:val="Footer"/>
    <w:basedOn w:val="Normal"/>
    <w:link w:val="页脚字符"/>
    <w:uiPriority w:val="99"/>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TOC1">
    <w:name w:val="TOC 1"/>
    <w:basedOn w:val="Normal"/>
    <w:next w:val="Normal"/>
    <w:uiPriority w:val="39"/>
    <w:qFormat/>
    <w:rPr/>
  </w:style>
  <w:style w:type="paragraph" w:styleId="TOC2">
    <w:name w:val="TOC 2"/>
    <w:basedOn w:val="Normal"/>
    <w:next w:val="Normal"/>
    <w:uiPriority w:val="39"/>
    <w:qFormat/>
    <w:pPr>
      <w:ind w:left="420" w:leftChars="200"/>
    </w:pPr>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页眉字符">
    <w:name w:val="页眉 字符"/>
    <w:link w:val="Header"/>
    <w:uiPriority w:val="99"/>
    <w:rPr>
      <w:rFonts w:eastAsia="仿宋_GB2312" w:cs="Times New Roman"/>
      <w:kern w:val="2"/>
      <w:sz w:val="18"/>
      <w:szCs w:val="22"/>
    </w:rPr>
  </w:style>
  <w:style w:type="character" w:customStyle="1" w:styleId="页脚字符">
    <w:name w:val="页脚 字符"/>
    <w:link w:val="Footer"/>
    <w:uiPriority w:val="99"/>
    <w:rPr>
      <w:rFonts w:eastAsia="仿宋_GB2312" w:cs="Times New Roman"/>
      <w:kern w:val="2"/>
      <w:sz w:val="18"/>
      <w:szCs w:val="22"/>
    </w:rPr>
  </w:style>
  <w:style w:type="character" w:customStyle="1" w:styleId="标题2字符">
    <w:name w:val="标题 2 字符"/>
    <w:link w:val="Heading2"/>
    <w:uiPriority w:val="99"/>
    <w:qFormat/>
    <w:rPr>
      <w:rFonts w:eastAsia="黑体"/>
      <w:bCs/>
      <w:iCs/>
      <w:kern w:val="2"/>
      <w:sz w:val="32"/>
      <w:szCs w:val="21"/>
    </w:rPr>
  </w:style>
  <w:style w:type="character" w:customStyle="1" w:styleId="标题3字符">
    <w:name w:val="标题 3 字符"/>
    <w:link w:val="Heading3"/>
    <w:uiPriority w:val="9"/>
    <w:qFormat/>
    <w:rPr>
      <w:rFonts w:eastAsia="楷体_GB2312" w:cs="Times New Roman"/>
      <w:b/>
      <w:kern w:val="2"/>
      <w:sz w:val="32"/>
      <w:szCs w:val="22"/>
    </w:rPr>
  </w:style>
  <w:style w:type="character" w:customStyle="1" w:styleId="font41">
    <w:name w:val="font41"/>
    <w:basedOn w:val="DefaultParagraphFont"/>
    <w:rPr>
      <w:rFonts w:ascii="宋体" w:eastAsia="宋体" w:hAnsi="宋体" w:cs="宋体" w:hint="eastAsia"/>
      <w:color w:val="000000"/>
      <w:sz w:val="22"/>
      <w:szCs w:val="22"/>
      <w:u w:val="none"/>
    </w:rPr>
  </w:style>
  <w:style w:type="character" w:customStyle="1" w:styleId="font81">
    <w:name w:val="font81"/>
    <w:basedOn w:val="DefaultParagraphFont"/>
    <w:rPr>
      <w:rFonts w:ascii="宋体" w:eastAsia="宋体" w:hAnsi="宋体" w:cs="宋体" w:hint="eastAsia"/>
      <w:color w:val="000000"/>
      <w:sz w:val="22"/>
      <w:szCs w:val="22"/>
      <w:u w:val="none"/>
    </w:rPr>
  </w:style>
  <w:style w:type="character" w:customStyle="1" w:styleId="font91">
    <w:name w:val="font91"/>
    <w:basedOn w:val="DefaultParagraphFont"/>
    <w:rPr>
      <w:rFonts w:ascii="Times New Roman" w:hAnsi="Times New Roman" w:cs="Times New Roman" w:hint="default"/>
      <w:color w:val="000000"/>
      <w:sz w:val="18"/>
      <w:szCs w:val="18"/>
      <w:u w:val="none"/>
    </w:rPr>
  </w:style>
  <w:style w:type="character" w:customStyle="1" w:styleId="font21">
    <w:name w:val="font21"/>
    <w:basedOn w:val="DefaultParagraphFont"/>
    <w:rPr>
      <w:rFonts w:ascii="Times New Roman" w:hAnsi="Times New Roman" w:cs="Times New Roman" w:hint="default"/>
      <w:color w:val="000000"/>
      <w:sz w:val="22"/>
      <w:szCs w:val="22"/>
      <w:u w:val="none"/>
    </w:rPr>
  </w:style>
  <w:style w:type="character" w:customStyle="1" w:styleId="font71">
    <w:name w:val="font71"/>
    <w:basedOn w:val="DefaultParagraphFont"/>
    <w:rPr>
      <w:rFonts w:ascii="宋体" w:eastAsia="宋体" w:hAnsi="宋体" w:cs="宋体" w:hint="eastAsia"/>
      <w:color w:val="000000"/>
      <w:sz w:val="22"/>
      <w:szCs w:val="22"/>
      <w:u w:val="none"/>
    </w:rPr>
  </w:style>
  <w:style w:type="character" w:customStyle="1" w:styleId="font112">
    <w:name w:val="font112"/>
    <w:basedOn w:val="DefaultParagraphFont"/>
    <w:rPr>
      <w:rFonts w:ascii="宋体" w:eastAsia="宋体" w:hAnsi="宋体" w:cs="宋体" w:hint="eastAsia"/>
      <w:color w:val="000000"/>
      <w:sz w:val="22"/>
      <w:szCs w:val="22"/>
      <w:u w:val="none"/>
    </w:rPr>
  </w:style>
  <w:style w:type="character" w:customStyle="1" w:styleId="font101">
    <w:name w:val="font101"/>
    <w:basedOn w:val="DefaultParagraphFont"/>
    <w:rPr>
      <w:rFonts w:ascii="宋体" w:eastAsia="宋体" w:hAnsi="宋体" w:cs="宋体" w:hint="eastAsia"/>
      <w:color w:val="000000"/>
      <w:sz w:val="18"/>
      <w:szCs w:val="18"/>
      <w:u w:val="none"/>
    </w:rPr>
  </w:style>
  <w:style w:type="character" w:customStyle="1" w:styleId="font131">
    <w:name w:val="font131"/>
    <w:basedOn w:val="DefaultParagraphFont"/>
    <w:rPr>
      <w:rFonts w:ascii="宋体" w:eastAsia="宋体" w:hAnsi="宋体" w:cs="宋体" w:hint="eastAsia"/>
      <w:color w:val="000000"/>
      <w:sz w:val="18"/>
      <w:szCs w:val="18"/>
      <w:u w:val="none"/>
    </w:rPr>
  </w:style>
  <w:style w:type="paragraph" w:customStyle="1" w:styleId="WPSOffice手动目录2">
    <w:name w:val="WPSOffice手动目录 2"/>
    <w:qFormat/>
    <w:pPr>
      <w:ind w:leftChars="200"/>
    </w:pPr>
    <w:rPr>
      <w:sz w:val="20"/>
      <w:szCs w:val="20"/>
    </w:rPr>
  </w:style>
  <w:style w:type="paragraph" w:customStyle="1" w:styleId="表格内容">
    <w:name w:val="表格内容"/>
    <w:basedOn w:val="Normal"/>
    <w:next w:val="Normal"/>
    <w:qFormat/>
    <w:pPr>
      <w:keepNext w:val="0"/>
      <w:keepLines/>
      <w:spacing w:line="240" w:lineRule="auto"/>
      <w:ind w:firstLine="0" w:firstLineChars="0"/>
      <w:jc w:val="center"/>
      <w:outlineLvl w:val="9"/>
    </w:pPr>
    <w:rPr>
      <w:rFonts w:ascii="Times New Roman" w:hAnsi="Times New Roman" w:hint="eastAsia"/>
      <w:kern w:val="44"/>
      <w:sz w:val="21"/>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WPSOffice手动目录1">
    <w:name w:val="WPSOffice手动目录 1"/>
    <w:qFormat/>
    <w:pPr>
      <w:ind w:leftChars="0"/>
    </w:pPr>
    <w:rPr>
      <w:sz w:val="20"/>
      <w:szCs w:val="20"/>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10" Type="http://schemas.openxmlformats.org/officeDocument/2006/relationships/settings" Target="settings.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numbering" Target="numbering.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 Id="rId2" Type="http://schemas.openxmlformats.org/officeDocument/2006/relationships/font" Target="fonts/font2.odttf"/><Relationship Id="rId3" Type="http://schemas.openxmlformats.org/officeDocument/2006/relationships/font" Target="fonts/font3.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6662BFD8EA244AC5BB8D1E501E4AF694_13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5</TotalTime>
  <Pages>26</Pages>
  <Words>8469</Words>
  <Characters>8869</Characters>
  <Application>WPS Office_12.1.0.15120_F1E327BC-269C-435d-A152-05C5408002CA</Application>
  <DocSecurity>0</DocSecurity>
  <Lines>110</Lines>
  <Paragraphs>31</Paragraphs>
  <Company>Microsoft</Company>
  <CharactersWithSpaces>8906</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郭子歪</cp:lastModifiedBy>
  <cp:revision>3</cp:revision>
  <dcterms:created xsi:type="dcterms:W3CDTF">2019-11-25T12:51:00Z</dcterms:created>
  <dcterms:modified xsi:type="dcterms:W3CDTF">2025-09-04T07:43:43Z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2052-12.1.0.15120</vt:lpwstr>
  </property>
  <property fmtid="{D5CDD505-2E9C-101B-9397-08002B2CF9AE}" pid="3" name="ICV">
    <vt:lpwstr>6662BFD8EA244AC5BB8D1E501E4AF694_13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eyJoZGlkIjoiODRhYjhkNzI4OGQ5M2E5NzE5YzFiNzg2M2ZlMzkxMWUiLCJ1c2VySWQiOiIxMTQ4NTc0MTIzIn0_x003D_</vt:lpwstr>
  </property>
</Properties>
</file>