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cx="http://schemas.microsoft.com/office/drawing/2014/chartex">
  <w:body>
    <w:p>
      <w:pPr/>
      <w:r/>
    </w:p>
    <w:p>
      <w:pPr>
        <w:bidi w:val="0"/>
        <w:jc w:val="both"/>
        <w:rPr>
          <w:rFonts w:ascii="Times New Roman" w:eastAsia="宋体" w:hAnsi="Times New Roman" w:cs="Times New Roman" w:hint="default"/>
          <w:color w:val="auto"/>
          <w:highlight w:val="none"/>
        </w:rPr>
      </w:pPr>
      <w:bookmarkStart w:id="0" w:name="_GoBack"/>
      <w:bookmarkEnd w:id="0"/>
      <w:bookmarkStart w:id="1" w:name="OLE_LINK8"/>
    </w:p>
    <w:p>
      <w:pPr>
        <w:bidi w:val="0"/>
        <w:jc w:val="both"/>
        <w:rPr>
          <w:rFonts w:ascii="Times New Roman" w:eastAsia="宋体" w:hAnsi="Times New Roman" w:cs="Times New Roman" w:hint="default"/>
          <w:color w:val="auto"/>
          <w:highlight w:val="none"/>
        </w:rPr>
      </w:pPr>
    </w:p>
    <w:p>
      <w:pPr>
        <w:bidi w:val="0"/>
        <w:jc w:val="both"/>
        <w:rPr>
          <w:rFonts w:ascii="Times New Roman" w:eastAsia="宋体" w:hAnsi="Times New Roman" w:cs="Times New Roman" w:hint="default"/>
          <w:color w:val="auto"/>
          <w:highlight w:val="none"/>
        </w:rPr>
      </w:pPr>
    </w:p>
    <w:p>
      <w:pPr>
        <w:pStyle w:val="Heading1"/>
        <w:bidi w:val="0"/>
        <w:rPr>
          <w:rFonts w:ascii="Times New Roman" w:hAnsi="Times New Roman" w:cs="Times New Roman" w:hint="default"/>
          <w:color w:val="auto"/>
          <w:sz w:val="44"/>
          <w:szCs w:val="44"/>
          <w:highlight w:val="none"/>
        </w:rPr>
      </w:pPr>
      <w:bookmarkStart w:id="2" w:name="_Toc28201"/>
      <w:bookmarkStart w:id="3" w:name="_Toc24054"/>
      <w:bookmarkStart w:id="4" w:name="_Toc9085"/>
      <w:r>
        <w:rPr>
          <w:rFonts w:ascii="Times New Roman" w:hAnsi="Times New Roman" w:cs="Times New Roman" w:hint="default"/>
          <w:color w:val="auto"/>
          <w:sz w:val="44"/>
          <w:szCs w:val="44"/>
          <w:highlight w:val="none"/>
        </w:rPr>
        <w:t xml:space="preserve">项目支出绩效评价报告</w:t>
      </w:r>
      <w:bookmarkEnd w:id="2"/>
      <w:bookmarkEnd w:id="3"/>
      <w:bookmarkEnd w:id="4"/>
    </w:p>
    <w:p>
      <w:pPr>
        <w:ind w:firstLine="883"/>
        <w:jc w:val="both"/>
        <w:rPr>
          <w:rFonts w:ascii="Times New Roman" w:eastAsia="宋体" w:hAnsi="Times New Roman" w:cs="Times New Roman" w:hint="default"/>
          <w:b/>
          <w:bCs/>
          <w:color w:val="auto"/>
          <w:sz w:val="44"/>
          <w:szCs w:val="44"/>
          <w:highlight w:val="none"/>
        </w:rPr>
      </w:pPr>
    </w:p>
    <w:p>
      <w:pPr>
        <w:bidi w:val="0"/>
        <w:jc w:val="both"/>
        <w:rPr>
          <w:rFonts w:ascii="Times New Roman" w:eastAsia="宋体" w:hAnsi="Times New Roman" w:cs="Times New Roman" w:hint="default"/>
          <w:color w:val="auto"/>
          <w:highlight w:val="none"/>
        </w:rPr>
      </w:pPr>
    </w:p>
    <w:p>
      <w:pPr>
        <w:bidi w:val="0"/>
        <w:ind w:left="0" w:firstLine="0" w:leftChars="0" w:firstLineChars="0"/>
        <w:jc w:val="center"/>
        <w:rPr>
          <w:rFonts w:ascii="Times New Roman" w:eastAsia="宋体" w:hAnsi="Times New Roman" w:cs="Times New Roman" w:hint="default"/>
          <w:color w:val="auto"/>
          <w:highlight w:val="none"/>
        </w:rPr>
      </w:pPr>
      <w:r>
        <w:rPr>
          <w:color w:val="auto"/>
          <w:sz w:val="28"/>
          <w:szCs w:val="28"/>
          <w:highlight w:val="none"/>
        </w:rPr>
        <w:t xml:space="preserve">（202</w:t>
      </w:r>
      <w:r>
        <w:rPr>
          <w:rFonts w:hint="eastAsia"/>
          <w:color w:val="auto"/>
          <w:sz w:val="28"/>
          <w:szCs w:val="28"/>
          <w:highlight w:val="none"/>
          <w:lang w:val="en-US" w:eastAsia="zh-CN"/>
        </w:rPr>
        <w:t xml:space="preserve">4</w:t>
      </w:r>
      <w:r>
        <w:rPr>
          <w:color w:val="auto"/>
          <w:sz w:val="28"/>
          <w:szCs w:val="28"/>
          <w:highlight w:val="none"/>
        </w:rPr>
        <w:t xml:space="preserve">年度）</w:t>
      </w:r>
    </w:p>
    <w:p>
      <w:pPr>
        <w:bidi w:val="0"/>
        <w:jc w:val="both"/>
        <w:rPr>
          <w:rFonts w:ascii="Times New Roman" w:eastAsia="宋体" w:hAnsi="Times New Roman" w:cs="Times New Roman" w:hint="default"/>
          <w:color w:val="auto"/>
          <w:highlight w:val="none"/>
        </w:rPr>
      </w:pPr>
    </w:p>
    <w:p>
      <w:pPr>
        <w:bidi w:val="0"/>
        <w:jc w:val="both"/>
        <w:rPr>
          <w:rFonts w:ascii="Times New Roman" w:eastAsia="宋体" w:hAnsi="Times New Roman" w:cs="Times New Roman" w:hint="default"/>
          <w:color w:val="auto"/>
          <w:highlight w:val="none"/>
        </w:rPr>
      </w:pPr>
    </w:p>
    <w:p>
      <w:pPr>
        <w:bidi w:val="0"/>
        <w:jc w:val="both"/>
        <w:rPr>
          <w:rFonts w:ascii="Times New Roman" w:eastAsia="宋体" w:hAnsi="Times New Roman" w:cs="Times New Roman" w:hint="default"/>
          <w:color w:val="auto"/>
          <w:highlight w:val="none"/>
        </w:rPr>
      </w:pPr>
    </w:p>
    <w:p>
      <w:pPr>
        <w:bidi w:val="0"/>
        <w:jc w:val="both"/>
        <w:rPr>
          <w:rFonts w:ascii="Times New Roman" w:eastAsia="宋体" w:hAnsi="Times New Roman" w:cs="Times New Roman" w:hint="default"/>
          <w:color w:val="auto"/>
          <w:highlight w:val="none"/>
        </w:rPr>
      </w:pPr>
    </w:p>
    <w:p>
      <w:pPr>
        <w:bidi w:val="0"/>
        <w:jc w:val="both"/>
        <w:rPr>
          <w:rFonts w:ascii="Times New Roman" w:eastAsia="宋体" w:hAnsi="Times New Roman" w:cs="Times New Roman" w:hint="default"/>
          <w:b/>
          <w:bCs/>
          <w:color w:val="auto"/>
          <w:highlight w:val="none"/>
        </w:rPr>
      </w:pPr>
    </w:p>
    <w:p>
      <w:pPr>
        <w:bidi w:val="0"/>
        <w:jc w:val="both"/>
        <w:rPr>
          <w:rFonts w:ascii="仿宋_GB2312" w:hAnsi="仿宋_GB2312" w:cs="仿宋_GB2312" w:hint="eastAsia"/>
          <w:b w:val="0"/>
          <w:bCs w:val="0"/>
          <w:color w:val="auto"/>
          <w:highlight w:val="none"/>
          <w:lang w:val="en-US" w:eastAsia="zh-CN"/>
        </w:rPr>
      </w:pPr>
      <w:r>
        <w:rPr>
          <w:rFonts w:ascii="仿宋_GB2312" w:eastAsia="仿宋_GB2312" w:hAnsi="仿宋_GB2312" w:cs="仿宋_GB2312" w:hint="eastAsia"/>
          <w:b w:val="0"/>
          <w:bCs w:val="0"/>
          <w:color w:val="auto"/>
          <w:highlight w:val="none"/>
        </w:rPr>
        <w:t xml:space="preserve">项目名称：</w:t>
      </w:r>
      <w:r>
        <w:rPr>
          <w:rFonts w:ascii="仿宋_GB2312" w:hAnsi="仿宋_GB2312" w:cs="仿宋_GB2312" w:hint="eastAsia"/>
          <w:b w:val="0"/>
          <w:bCs w:val="0"/>
          <w:color w:val="auto"/>
          <w:highlight w:val="none"/>
          <w:lang w:val="en-US" w:eastAsia="zh-CN"/>
        </w:rPr>
        <w:t xml:space="preserve">2024年政府办驻村工作队为民办实事经费</w:t>
      </w:r>
    </w:p>
    <w:p>
      <w:pPr>
        <w:bidi w:val="0"/>
        <w:jc w:val="both"/>
        <w:rPr>
          <w:rFonts w:ascii="仿宋_GB2312" w:eastAsia="仿宋_GB2312" w:hAnsi="仿宋_GB2312" w:cs="仿宋_GB2312" w:hint="eastAsia"/>
          <w:b w:val="0"/>
          <w:bCs w:val="0"/>
          <w:color w:val="auto"/>
          <w:highlight w:val="none"/>
          <w:lang w:val="en-US" w:eastAsia="zh-CN"/>
        </w:rPr>
      </w:pPr>
      <w:r>
        <w:rPr>
          <w:rFonts w:ascii="仿宋_GB2312" w:eastAsia="仿宋_GB2312" w:hAnsi="仿宋_GB2312" w:cs="仿宋_GB2312" w:hint="eastAsia"/>
          <w:b w:val="0"/>
          <w:bCs w:val="0"/>
          <w:color w:val="auto"/>
          <w:highlight w:val="none"/>
        </w:rPr>
        <w:t xml:space="preserve">实施单位（公章）：</w:t>
      </w:r>
      <w:r>
        <w:rPr>
          <w:rFonts w:ascii="仿宋_GB2312" w:hAnsi="仿宋_GB2312" w:cs="仿宋_GB2312" w:hint="eastAsia"/>
          <w:b w:val="0"/>
          <w:bCs w:val="0"/>
          <w:color w:val="auto"/>
          <w:highlight w:val="none"/>
          <w:lang w:eastAsia="zh-CN"/>
        </w:rPr>
        <w:t xml:space="preserve">尉犁县人民政府办公室</w:t>
      </w:r>
    </w:p>
    <w:p>
      <w:pPr>
        <w:bidi w:val="0"/>
        <w:jc w:val="both"/>
        <w:rPr>
          <w:rFonts w:ascii="仿宋_GB2312" w:eastAsia="仿宋_GB2312" w:hAnsi="仿宋_GB2312" w:cs="仿宋_GB2312" w:hint="eastAsia"/>
          <w:b w:val="0"/>
          <w:bCs w:val="0"/>
          <w:color w:val="auto"/>
          <w:highlight w:val="none"/>
        </w:rPr>
      </w:pPr>
      <w:r>
        <w:rPr>
          <w:rFonts w:ascii="仿宋_GB2312" w:eastAsia="仿宋_GB2312" w:hAnsi="仿宋_GB2312" w:cs="仿宋_GB2312" w:hint="eastAsia"/>
          <w:b w:val="0"/>
          <w:bCs w:val="0"/>
          <w:color w:val="auto"/>
          <w:highlight w:val="none"/>
        </w:rPr>
        <w:t xml:space="preserve">主管部门（公章）：</w:t>
      </w:r>
      <w:r>
        <w:rPr>
          <w:rFonts w:ascii="仿宋_GB2312" w:hAnsi="仿宋_GB2312" w:cs="仿宋_GB2312" w:hint="eastAsia"/>
          <w:b w:val="0"/>
          <w:bCs w:val="0"/>
          <w:color w:val="auto"/>
          <w:highlight w:val="none"/>
          <w:lang w:eastAsia="zh-CN"/>
        </w:rPr>
        <w:t xml:space="preserve">尉犁县人民政府办公室</w:t>
      </w:r>
    </w:p>
    <w:p>
      <w:pPr>
        <w:bidi w:val="0"/>
        <w:jc w:val="both"/>
        <w:rPr>
          <w:rFonts w:ascii="仿宋_GB2312" w:hAnsi="仿宋_GB2312" w:cs="仿宋_GB2312" w:hint="eastAsia"/>
          <w:b w:val="0"/>
          <w:bCs w:val="0"/>
          <w:color w:val="auto"/>
          <w:highlight w:val="none"/>
          <w:lang w:val="en-US" w:eastAsia="zh-CN"/>
        </w:rPr>
      </w:pPr>
      <w:r>
        <w:rPr>
          <w:rFonts w:ascii="仿宋_GB2312" w:eastAsia="仿宋_GB2312" w:hAnsi="仿宋_GB2312" w:cs="仿宋_GB2312" w:hint="eastAsia"/>
          <w:b w:val="0"/>
          <w:bCs w:val="0"/>
          <w:color w:val="auto"/>
          <w:highlight w:val="none"/>
        </w:rPr>
        <w:t xml:space="preserve">项目负责人（签章）：</w:t>
      </w:r>
      <w:r>
        <w:rPr>
          <w:rFonts w:ascii="仿宋_GB2312" w:hAnsi="仿宋_GB2312" w:cs="仿宋_GB2312" w:hint="eastAsia"/>
          <w:b w:val="0"/>
          <w:bCs w:val="0"/>
          <w:color w:val="auto"/>
          <w:highlight w:val="none"/>
          <w:lang w:val="en-US" w:eastAsia="zh-CN"/>
        </w:rPr>
        <w:t xml:space="preserve">梁超</w:t>
      </w:r>
    </w:p>
    <w:p>
      <w:pPr>
        <w:bidi w:val="0"/>
        <w:jc w:val="both"/>
        <w:rPr>
          <w:rFonts w:ascii="仿宋_GB2312" w:hAnsi="仿宋_GB2312" w:cs="仿宋_GB2312" w:hint="eastAsia"/>
          <w:b w:val="0"/>
          <w:bCs w:val="0"/>
          <w:color w:val="auto"/>
          <w:highlight w:val="none"/>
          <w:lang w:eastAsia="zh-CN"/>
        </w:rPr>
      </w:pPr>
      <w:r>
        <w:rPr>
          <w:rFonts w:ascii="仿宋_GB2312" w:hAnsi="仿宋_GB2312" w:cs="仿宋_GB2312" w:hint="eastAsia"/>
          <w:b w:val="0"/>
          <w:bCs w:val="0"/>
          <w:color w:val="auto"/>
          <w:highlight w:val="none"/>
          <w:lang w:eastAsia="zh-CN"/>
        </w:rPr>
        <w:t xml:space="preserve">填报时间：</w:t>
      </w:r>
      <w:r>
        <w:rPr>
          <w:rFonts w:ascii="仿宋_GB2312" w:hAnsi="仿宋_GB2312" w:cs="仿宋_GB2312" w:hint="eastAsia"/>
          <w:b w:val="0"/>
          <w:bCs w:val="0"/>
          <w:color w:val="auto"/>
          <w:highlight w:val="none"/>
          <w:lang w:val="en-US" w:eastAsia="zh-CN"/>
        </w:rPr>
        <w:t xml:space="preserve">2025</w:t>
      </w:r>
      <w:r>
        <w:rPr>
          <w:rFonts w:ascii="仿宋_GB2312" w:hAnsi="仿宋_GB2312" w:cs="仿宋_GB2312" w:hint="eastAsia"/>
          <w:b w:val="0"/>
          <w:bCs w:val="0"/>
          <w:color w:val="auto"/>
          <w:highlight w:val="none"/>
          <w:lang w:eastAsia="zh-CN"/>
        </w:rPr>
        <w:t xml:space="preserve">年</w:t>
      </w:r>
      <w:r>
        <w:rPr>
          <w:rFonts w:ascii="仿宋_GB2312" w:hAnsi="仿宋_GB2312" w:cs="仿宋_GB2312" w:hint="eastAsia"/>
          <w:b w:val="0"/>
          <w:bCs w:val="0"/>
          <w:color w:val="auto"/>
          <w:highlight w:val="none"/>
          <w:lang w:val="en-US" w:eastAsia="zh-CN"/>
        </w:rPr>
        <w:t xml:space="preserve">3</w:t>
      </w:r>
      <w:r>
        <w:rPr>
          <w:rFonts w:ascii="仿宋_GB2312" w:hAnsi="仿宋_GB2312" w:cs="仿宋_GB2312" w:hint="eastAsia"/>
          <w:b w:val="0"/>
          <w:bCs w:val="0"/>
          <w:color w:val="auto"/>
          <w:highlight w:val="none"/>
          <w:lang w:eastAsia="zh-CN"/>
        </w:rPr>
        <w:t xml:space="preserve">月</w:t>
      </w:r>
      <w:r>
        <w:rPr>
          <w:rFonts w:ascii="仿宋_GB2312" w:hAnsi="仿宋_GB2312" w:cs="仿宋_GB2312" w:hint="eastAsia"/>
          <w:b w:val="0"/>
          <w:bCs w:val="0"/>
          <w:color w:val="auto"/>
          <w:highlight w:val="none"/>
          <w:lang w:val="en-US" w:eastAsia="zh-CN"/>
        </w:rPr>
        <w:t xml:space="preserve">31</w:t>
      </w:r>
      <w:r>
        <w:rPr>
          <w:rFonts w:ascii="仿宋_GB2312" w:hAnsi="仿宋_GB2312" w:cs="仿宋_GB2312" w:hint="eastAsia"/>
          <w:b w:val="0"/>
          <w:bCs w:val="0"/>
          <w:color w:val="auto"/>
          <w:highlight w:val="none"/>
          <w:lang w:eastAsia="zh-CN"/>
        </w:rPr>
        <w:t xml:space="preserve">日</w:t>
      </w:r>
    </w:p>
    <w:p>
      <w:pPr>
        <w:bidi w:val="0"/>
        <w:jc w:val="both"/>
        <w:rPr>
          <w:rFonts w:ascii="Times New Roman" w:eastAsia="宋体" w:hAnsi="Times New Roman" w:cs="Times New Roman" w:hint="default"/>
          <w:b w:val="0"/>
          <w:bCs w:val="0"/>
          <w:color w:val="auto"/>
          <w:highlight w:val="none"/>
        </w:rPr>
      </w:pPr>
    </w:p>
    <w:p>
      <w:pPr>
        <w:bidi w:val="0"/>
        <w:jc w:val="both"/>
        <w:rPr>
          <w:rFonts w:ascii="Times New Roman" w:eastAsia="宋体" w:hAnsi="Times New Roman" w:cs="Times New Roman" w:hint="default"/>
          <w:b w:val="0"/>
          <w:bCs w:val="0"/>
          <w:color w:val="auto"/>
          <w:highlight w:val="none"/>
        </w:rPr>
        <w:sectPr>
          <w:pgSz w:w="11906" w:h="16838" w:orient="portrait"/>
          <w:pgMar w:top="1440" w:right="1800" w:bottom="1440" w:left="1800" w:header="851" w:footer="992" w:gutter="0"/>
          <w:pgBorders/>
          <w:pgNumType w:start="1"/>
          <w:cols w:num="1" w:space="720">
            <w:col w:w="8306" w:space="720"/>
          </w:cols>
          <w:docGrid w:type="lines" w:linePitch="312" w:charSpace="0"/>
        </w:sectPr>
      </w:pPr>
    </w:p>
    <w:p>
      <w:pPr>
        <w:keepNext w:val="0"/>
        <w:keepLines w:val="0"/>
        <w:pageBreakBefore w:val="0"/>
        <w:kinsoku/>
        <w:wordWrap/>
        <w:overflowPunct/>
        <w:topLinePunct w:val="0"/>
        <w:autoSpaceDE/>
        <w:autoSpaceDN/>
        <w:bidi w:val="0"/>
        <w:adjustRightInd/>
        <w:snapToGrid/>
        <w:spacing w:before="0" w:beforeLines="0" w:after="0" w:afterLines="0" w:line="580" w:lineRule="exact"/>
        <w:ind w:left="0" w:right="0" w:firstLine="0" w:leftChars="0" w:rightChars="0" w:firstLineChars="0"/>
        <w:jc w:val="center"/>
        <w:textAlignment w:val="auto"/>
        <w:rPr>
          <w:b/>
          <w:bCs/>
          <w:color w:val="auto"/>
          <w:sz w:val="32"/>
          <w:szCs w:val="32"/>
          <w:highlight w:val="none"/>
        </w:rPr>
      </w:pPr>
      <w:bookmarkStart w:id="5" w:name="_Toc15542"/>
      <w:bookmarkStart w:id="6" w:name="_Toc11827"/>
      <w:bookmarkStart w:id="7" w:name="_Toc14721"/>
      <w:bookmarkStart w:id="8" w:name="_Toc1891"/>
      <w:bookmarkStart w:id="9" w:name="_Toc18707"/>
      <w:bookmarkStart w:id="10" w:name="_Toc5473"/>
      <w:r>
        <w:rPr>
          <w:rFonts w:ascii="宋体" w:eastAsia="宋体" w:hAnsi="宋体"/>
          <w:b/>
          <w:bCs/>
          <w:color w:val="auto"/>
          <w:sz w:val="32"/>
          <w:szCs w:val="32"/>
          <w:highlight w:val="none"/>
        </w:rPr>
        <w:t xml:space="preserve">目</w:t>
      </w:r>
      <w:r>
        <w:rPr>
          <w:rFonts w:ascii="宋体" w:eastAsia="宋体" w:hAnsi="宋体" w:hint="eastAsia"/>
          <w:b/>
          <w:bCs/>
          <w:color w:val="auto"/>
          <w:sz w:val="32"/>
          <w:szCs w:val="32"/>
          <w:highlight w:val="none"/>
          <w:lang w:val="en-US" w:eastAsia="zh-CN"/>
        </w:rPr>
        <w:t xml:space="preserve">  </w:t>
      </w:r>
      <w:r>
        <w:rPr>
          <w:rFonts w:ascii="宋体" w:eastAsia="宋体" w:hAnsi="宋体"/>
          <w:b/>
          <w:bCs/>
          <w:color w:val="auto"/>
          <w:sz w:val="32"/>
          <w:szCs w:val="32"/>
          <w:highlight w:val="none"/>
        </w:rPr>
        <w:t xml:space="preserve">录</w:t>
      </w:r>
    </w:p>
    <w:p>
      <w:pPr>
        <w:pStyle w:val="WPSOffice手动目录1"/>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b/>
          <w:color w:val="auto"/>
          <w:sz w:val="32"/>
          <w:szCs w:val="32"/>
          <w:highlight w:val="none"/>
        </w:rPr>
      </w:pPr>
      <w:r>
        <w:rPr>
          <w:color w:val="auto"/>
          <w:sz w:val="32"/>
          <w:szCs w:val="32"/>
          <w:highlight w:val="none"/>
        </w:rPr>
        <w:fldChar w:fldCharType="begin"/>
      </w:r>
      <w:r>
        <w:rPr>
          <w:color w:val="auto"/>
          <w:sz w:val="32"/>
          <w:szCs w:val="32"/>
          <w:highlight w:val="none"/>
        </w:rPr>
        <w:instrText xml:space="preserve">TOC \o "1-2" \h \u</w:instrText>
      </w:r>
      <w:r>
        <w:rPr>
          <w:color w:val="auto"/>
          <w:sz w:val="32"/>
          <w:szCs w:val="32"/>
          <w:highlight w:val="none"/>
        </w:rPr>
        <w:fldChar w:fldCharType="separate"/>
      </w:r>
      <w:hyperlink w:anchor="_Toc14664" w:history="1">
        <w:r>
          <w:rPr>
            <w:rFonts w:ascii="Times New Roman" w:eastAsia="黑体" w:hAnsi="Times New Roman" w:cs="Times New Roman" w:hint="default"/>
            <w:b w:val="0"/>
            <w:bCs/>
            <w:iCs/>
            <w:color w:val="auto"/>
            <w:kern w:val="2"/>
            <w:sz w:val="32"/>
            <w:szCs w:val="32"/>
            <w:highlight w:val="none"/>
            <w:lang w:val="en-US" w:eastAsia="zh-CN" w:bidi="ar-SA"/>
          </w:rPr>
          <w:t xml:space="preserve">一、基本情况</w:t>
        </w:r>
        <w:r>
          <w:rPr>
            <w:b w:val="0"/>
            <w:bCs/>
            <w:color w:val="auto"/>
            <w:sz w:val="32"/>
            <w:szCs w:val="32"/>
            <w:highlight w:val="none"/>
          </w:rPr>
          <w:tab/>
        </w:r>
        <w:r>
          <w:rPr>
            <w:b w:val="0"/>
            <w:bCs/>
            <w:color w:val="auto"/>
            <w:sz w:val="32"/>
            <w:szCs w:val="32"/>
            <w:highlight w:val="none"/>
          </w:rPr>
          <w:fldChar w:fldCharType="begin"/>
        </w:r>
        <w:r>
          <w:rPr>
            <w:b w:val="0"/>
            <w:bCs/>
            <w:color w:val="auto"/>
            <w:sz w:val="32"/>
            <w:szCs w:val="32"/>
            <w:highlight w:val="none"/>
          </w:rPr>
          <w:instrText xml:space="preserve"> PAGEREF _Toc14664 </w:instrText>
        </w:r>
        <w:r>
          <w:rPr>
            <w:b w:val="0"/>
            <w:bCs/>
            <w:color w:val="auto"/>
            <w:sz w:val="32"/>
            <w:szCs w:val="32"/>
            <w:highlight w:val="none"/>
          </w:rPr>
          <w:fldChar w:fldCharType="separate"/>
        </w:r>
        <w:r>
          <w:rPr>
            <w:b w:val="0"/>
            <w:bCs/>
            <w:color w:val="auto"/>
            <w:sz w:val="32"/>
            <w:szCs w:val="32"/>
            <w:highlight w:val="none"/>
          </w:rPr>
          <w:t xml:space="preserve">1</w:t>
        </w:r>
        <w:r>
          <w:rPr>
            <w:b w:val="0"/>
            <w:bCs/>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auto"/>
          <w:sz w:val="32"/>
          <w:szCs w:val="32"/>
          <w:highlight w:val="none"/>
        </w:rPr>
      </w:pPr>
      <w:hyperlink w:anchor="_Toc21327" w:history="1">
        <w:r>
          <w:rPr>
            <w:rFonts w:ascii="Times New Roman" w:eastAsia="楷体" w:hAnsi="Times New Roman" w:cs="Times New Roman" w:hint="default"/>
            <w:color w:val="auto"/>
            <w:sz w:val="32"/>
            <w:szCs w:val="32"/>
            <w:highlight w:val="none"/>
          </w:rPr>
          <w:t xml:space="preserve">（一）项目概况</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_Toc21327 </w:instrText>
        </w:r>
        <w:r>
          <w:rPr>
            <w:color w:val="auto"/>
            <w:sz w:val="32"/>
            <w:szCs w:val="32"/>
            <w:highlight w:val="none"/>
          </w:rPr>
          <w:fldChar w:fldCharType="separate"/>
        </w:r>
        <w:r>
          <w:rPr>
            <w:color w:val="auto"/>
            <w:sz w:val="32"/>
            <w:szCs w:val="32"/>
            <w:highlight w:val="none"/>
          </w:rPr>
          <w:t xml:space="preserve">1</w:t>
        </w:r>
        <w:r>
          <w:rPr>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auto"/>
          <w:sz w:val="32"/>
          <w:szCs w:val="32"/>
          <w:highlight w:val="none"/>
        </w:rPr>
      </w:pPr>
      <w:hyperlink w:anchor="_Toc12213" w:history="1">
        <w:r>
          <w:rPr>
            <w:rFonts w:ascii="Times New Roman" w:eastAsia="楷体" w:hAnsi="Times New Roman" w:cs="Times New Roman" w:hint="default"/>
            <w:color w:val="auto"/>
            <w:sz w:val="32"/>
            <w:szCs w:val="32"/>
            <w:highlight w:val="none"/>
          </w:rPr>
          <w:t xml:space="preserve">（二）项目绩效目标</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_Toc12213 </w:instrText>
        </w:r>
        <w:r>
          <w:rPr>
            <w:color w:val="auto"/>
            <w:sz w:val="32"/>
            <w:szCs w:val="32"/>
            <w:highlight w:val="none"/>
          </w:rPr>
          <w:fldChar w:fldCharType="separate"/>
        </w:r>
        <w:r>
          <w:rPr>
            <w:color w:val="auto"/>
            <w:sz w:val="32"/>
            <w:szCs w:val="32"/>
            <w:highlight w:val="none"/>
          </w:rPr>
          <w:t xml:space="preserve">4</w:t>
        </w:r>
        <w:r>
          <w:rPr>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color w:val="auto"/>
          <w:sz w:val="32"/>
          <w:szCs w:val="32"/>
          <w:highlight w:val="none"/>
        </w:rPr>
      </w:pPr>
      <w:hyperlink w:anchor="_Toc9477" w:history="1">
        <w:r>
          <w:rPr>
            <w:rFonts w:ascii="Times New Roman" w:eastAsia="黑体" w:hAnsi="Times New Roman" w:cs="Times New Roman" w:hint="default"/>
            <w:color w:val="auto"/>
            <w:sz w:val="32"/>
            <w:szCs w:val="32"/>
            <w:highlight w:val="none"/>
          </w:rPr>
          <w:t xml:space="preserve">二、绩效评价工作开展情况</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_Toc9477 </w:instrText>
        </w:r>
        <w:r>
          <w:rPr>
            <w:color w:val="auto"/>
            <w:sz w:val="32"/>
            <w:szCs w:val="32"/>
            <w:highlight w:val="none"/>
          </w:rPr>
          <w:fldChar w:fldCharType="separate"/>
        </w:r>
        <w:r>
          <w:rPr>
            <w:color w:val="auto"/>
            <w:sz w:val="32"/>
            <w:szCs w:val="32"/>
            <w:highlight w:val="none"/>
          </w:rPr>
          <w:t xml:space="preserve">4</w:t>
        </w:r>
        <w:r>
          <w:rPr>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auto"/>
          <w:sz w:val="32"/>
          <w:szCs w:val="32"/>
          <w:highlight w:val="none"/>
        </w:rPr>
      </w:pPr>
      <w:hyperlink w:anchor="_Toc18365" w:history="1">
        <w:r>
          <w:rPr>
            <w:rFonts w:ascii="Times New Roman" w:eastAsia="楷体" w:hAnsi="Times New Roman" w:cs="Times New Roman" w:hint="default"/>
            <w:color w:val="auto"/>
            <w:sz w:val="32"/>
            <w:szCs w:val="32"/>
            <w:highlight w:val="none"/>
          </w:rPr>
          <w:t xml:space="preserve">（一）绩效评价目的、对象和范围</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_Toc18365 </w:instrText>
        </w:r>
        <w:r>
          <w:rPr>
            <w:color w:val="auto"/>
            <w:sz w:val="32"/>
            <w:szCs w:val="32"/>
            <w:highlight w:val="none"/>
          </w:rPr>
          <w:fldChar w:fldCharType="separate"/>
        </w:r>
        <w:r>
          <w:rPr>
            <w:color w:val="auto"/>
            <w:sz w:val="32"/>
            <w:szCs w:val="32"/>
            <w:highlight w:val="none"/>
          </w:rPr>
          <w:t xml:space="preserve">4</w:t>
        </w:r>
        <w:r>
          <w:rPr>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auto"/>
          <w:sz w:val="32"/>
          <w:szCs w:val="32"/>
          <w:highlight w:val="none"/>
        </w:rPr>
      </w:pPr>
      <w:hyperlink w:anchor="_Toc12558" w:history="1">
        <w:r>
          <w:rPr>
            <w:rFonts w:ascii="楷体" w:eastAsia="楷体" w:hAnsi="楷体" w:cs="楷体" w:hint="eastAsia"/>
            <w:color w:val="auto"/>
            <w:sz w:val="32"/>
            <w:szCs w:val="32"/>
            <w:highlight w:val="none"/>
          </w:rPr>
          <w:t xml:space="preserve">（二）绩效评价原则、评价指标体系、评价方法、评价标准</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_Toc12558 </w:instrText>
        </w:r>
        <w:r>
          <w:rPr>
            <w:color w:val="auto"/>
            <w:sz w:val="32"/>
            <w:szCs w:val="32"/>
            <w:highlight w:val="none"/>
          </w:rPr>
          <w:fldChar w:fldCharType="separate"/>
        </w:r>
        <w:r>
          <w:rPr>
            <w:color w:val="auto"/>
            <w:sz w:val="32"/>
            <w:szCs w:val="32"/>
            <w:highlight w:val="none"/>
          </w:rPr>
          <w:t xml:space="preserve">6</w:t>
        </w:r>
        <w:r>
          <w:rPr>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auto"/>
          <w:sz w:val="32"/>
          <w:szCs w:val="32"/>
          <w:highlight w:val="none"/>
        </w:rPr>
      </w:pPr>
      <w:hyperlink w:anchor="_Toc13406" w:history="1">
        <w:r>
          <w:rPr>
            <w:rFonts w:ascii="楷体" w:eastAsia="楷体" w:hAnsi="楷体" w:cs="楷体" w:hint="eastAsia"/>
            <w:color w:val="auto"/>
            <w:sz w:val="32"/>
            <w:szCs w:val="32"/>
            <w:highlight w:val="none"/>
          </w:rPr>
          <w:t xml:space="preserve">（三）绩效评价工作过程</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_Toc13406 </w:instrText>
        </w:r>
        <w:r>
          <w:rPr>
            <w:color w:val="auto"/>
            <w:sz w:val="32"/>
            <w:szCs w:val="32"/>
            <w:highlight w:val="none"/>
          </w:rPr>
          <w:fldChar w:fldCharType="separate"/>
        </w:r>
        <w:r>
          <w:rPr>
            <w:color w:val="auto"/>
            <w:sz w:val="32"/>
            <w:szCs w:val="32"/>
            <w:highlight w:val="none"/>
          </w:rPr>
          <w:t xml:space="preserve">9</w:t>
        </w:r>
        <w:r>
          <w:rPr>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color w:val="auto"/>
          <w:sz w:val="32"/>
          <w:szCs w:val="32"/>
          <w:highlight w:val="none"/>
        </w:rPr>
      </w:pPr>
      <w:hyperlink w:anchor="_Toc4498" w:history="1">
        <w:r>
          <w:rPr>
            <w:rFonts w:ascii="黑体" w:eastAsia="黑体" w:hAnsi="黑体" w:cs="黑体" w:hint="eastAsia"/>
            <w:color w:val="auto"/>
            <w:sz w:val="32"/>
            <w:szCs w:val="32"/>
            <w:highlight w:val="none"/>
          </w:rPr>
          <w:t xml:space="preserve">三、综合评价情况及评价结论</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_Toc4498 </w:instrText>
        </w:r>
        <w:r>
          <w:rPr>
            <w:color w:val="auto"/>
            <w:sz w:val="32"/>
            <w:szCs w:val="32"/>
            <w:highlight w:val="none"/>
          </w:rPr>
          <w:fldChar w:fldCharType="separate"/>
        </w:r>
        <w:r>
          <w:rPr>
            <w:color w:val="auto"/>
            <w:sz w:val="32"/>
            <w:szCs w:val="32"/>
            <w:highlight w:val="none"/>
          </w:rPr>
          <w:t xml:space="preserve">11</w:t>
        </w:r>
        <w:r>
          <w:rPr>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color w:val="auto"/>
          <w:sz w:val="32"/>
          <w:szCs w:val="32"/>
          <w:highlight w:val="none"/>
        </w:rPr>
      </w:pPr>
      <w:hyperlink w:anchor="_Toc11265" w:history="1">
        <w:r>
          <w:rPr>
            <w:rFonts w:ascii="黑体" w:eastAsia="黑体" w:hAnsi="黑体" w:cs="黑体" w:hint="eastAsia"/>
            <w:color w:val="auto"/>
            <w:sz w:val="32"/>
            <w:szCs w:val="32"/>
            <w:highlight w:val="none"/>
          </w:rPr>
          <w:t xml:space="preserve">四、绩效评价指标分析</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_Toc11265 </w:instrText>
        </w:r>
        <w:r>
          <w:rPr>
            <w:color w:val="auto"/>
            <w:sz w:val="32"/>
            <w:szCs w:val="32"/>
            <w:highlight w:val="none"/>
          </w:rPr>
          <w:fldChar w:fldCharType="separate"/>
        </w:r>
        <w:r>
          <w:rPr>
            <w:color w:val="auto"/>
            <w:sz w:val="32"/>
            <w:szCs w:val="32"/>
            <w:highlight w:val="none"/>
          </w:rPr>
          <w:t xml:space="preserve">12</w:t>
        </w:r>
        <w:r>
          <w:rPr>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auto"/>
          <w:sz w:val="32"/>
          <w:szCs w:val="32"/>
          <w:highlight w:val="none"/>
        </w:rPr>
      </w:pPr>
      <w:hyperlink w:anchor="_Toc4258" w:history="1">
        <w:r>
          <w:rPr>
            <w:rFonts w:ascii="楷体" w:eastAsia="楷体" w:hAnsi="楷体" w:cs="楷体" w:hint="eastAsia"/>
            <w:color w:val="auto"/>
            <w:sz w:val="32"/>
            <w:szCs w:val="32"/>
            <w:highlight w:val="none"/>
          </w:rPr>
          <w:t xml:space="preserve">（一）项目决策情况</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_Toc4258 </w:instrText>
        </w:r>
        <w:r>
          <w:rPr>
            <w:color w:val="auto"/>
            <w:sz w:val="32"/>
            <w:szCs w:val="32"/>
            <w:highlight w:val="none"/>
          </w:rPr>
          <w:fldChar w:fldCharType="separate"/>
        </w:r>
        <w:r>
          <w:rPr>
            <w:color w:val="auto"/>
            <w:sz w:val="32"/>
            <w:szCs w:val="32"/>
            <w:highlight w:val="none"/>
          </w:rPr>
          <w:t xml:space="preserve">12</w:t>
        </w:r>
        <w:r>
          <w:rPr>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auto"/>
          <w:sz w:val="32"/>
          <w:szCs w:val="32"/>
          <w:highlight w:val="none"/>
        </w:rPr>
      </w:pPr>
      <w:hyperlink w:anchor="_Toc28132" w:history="1">
        <w:r>
          <w:rPr>
            <w:rFonts w:ascii="楷体" w:eastAsia="楷体" w:hAnsi="楷体" w:cs="楷体" w:hint="eastAsia"/>
            <w:color w:val="auto"/>
            <w:sz w:val="32"/>
            <w:szCs w:val="32"/>
            <w:highlight w:val="none"/>
          </w:rPr>
          <w:t xml:space="preserve">（二）项目过程情况</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_Toc28132 </w:instrText>
        </w:r>
        <w:r>
          <w:rPr>
            <w:color w:val="auto"/>
            <w:sz w:val="32"/>
            <w:szCs w:val="32"/>
            <w:highlight w:val="none"/>
          </w:rPr>
          <w:fldChar w:fldCharType="separate"/>
        </w:r>
        <w:r>
          <w:rPr>
            <w:color w:val="auto"/>
            <w:sz w:val="32"/>
            <w:szCs w:val="32"/>
            <w:highlight w:val="none"/>
          </w:rPr>
          <w:t xml:space="preserve">14</w:t>
        </w:r>
        <w:r>
          <w:rPr>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楷体" w:eastAsia="楷体" w:hAnsi="楷体" w:cs="楷体" w:hint="eastAsia"/>
          <w:color w:val="auto"/>
          <w:sz w:val="32"/>
          <w:szCs w:val="32"/>
          <w:highlight w:val="none"/>
        </w:rPr>
      </w:pPr>
      <w:hyperlink w:anchor="_Toc25630" w:history="1">
        <w:r>
          <w:rPr>
            <w:rFonts w:ascii="楷体" w:eastAsia="楷体" w:hAnsi="楷体" w:cs="楷体" w:hint="eastAsia"/>
            <w:color w:val="auto"/>
            <w:sz w:val="32"/>
            <w:szCs w:val="32"/>
            <w:highlight w:val="none"/>
          </w:rPr>
          <w:t xml:space="preserve">（三）项目产出情况</w:t>
        </w:r>
        <w:r>
          <w:rPr>
            <w:rFonts w:ascii="楷体" w:eastAsia="楷体" w:hAnsi="楷体" w:cs="楷体" w:hint="eastAsia"/>
            <w:color w:val="auto"/>
            <w:sz w:val="32"/>
            <w:szCs w:val="32"/>
            <w:highlight w:val="none"/>
          </w:rPr>
          <w:tab/>
        </w:r>
        <w:r>
          <w:rPr>
            <w:rFonts w:ascii="楷体" w:eastAsia="楷体" w:hAnsi="楷体" w:cs="楷体" w:hint="eastAsia"/>
            <w:color w:val="auto"/>
            <w:sz w:val="32"/>
            <w:szCs w:val="32"/>
            <w:highlight w:val="none"/>
          </w:rPr>
          <w:fldChar w:fldCharType="begin"/>
        </w:r>
        <w:r>
          <w:rPr>
            <w:rFonts w:ascii="楷体" w:eastAsia="楷体" w:hAnsi="楷体" w:cs="楷体" w:hint="eastAsia"/>
            <w:color w:val="auto"/>
            <w:sz w:val="32"/>
            <w:szCs w:val="32"/>
            <w:highlight w:val="none"/>
          </w:rPr>
          <w:instrText xml:space="preserve"> PAGEREF _Toc25630 </w:instrText>
        </w:r>
        <w:r>
          <w:rPr>
            <w:rFonts w:ascii="楷体" w:eastAsia="楷体" w:hAnsi="楷体" w:cs="楷体" w:hint="eastAsia"/>
            <w:color w:val="auto"/>
            <w:sz w:val="32"/>
            <w:szCs w:val="32"/>
            <w:highlight w:val="none"/>
          </w:rPr>
          <w:fldChar w:fldCharType="separate"/>
        </w:r>
        <w:r>
          <w:rPr>
            <w:rFonts w:ascii="楷体" w:eastAsia="楷体" w:hAnsi="楷体" w:cs="楷体" w:hint="eastAsia"/>
            <w:color w:val="auto"/>
            <w:sz w:val="32"/>
            <w:szCs w:val="32"/>
            <w:highlight w:val="none"/>
          </w:rPr>
          <w:t xml:space="preserve">15</w:t>
        </w:r>
        <w:r>
          <w:rPr>
            <w:rFonts w:ascii="楷体" w:eastAsia="楷体" w:hAnsi="楷体" w:cs="楷体" w:hint="eastAsia"/>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auto"/>
          <w:sz w:val="32"/>
          <w:szCs w:val="32"/>
          <w:highlight w:val="none"/>
        </w:rPr>
      </w:pPr>
      <w:hyperlink w:anchor="_Toc2335" w:history="1">
        <w:r>
          <w:rPr>
            <w:rFonts w:ascii="楷体" w:eastAsia="楷体" w:hAnsi="楷体" w:cs="楷体" w:hint="eastAsia"/>
            <w:color w:val="auto"/>
            <w:sz w:val="32"/>
            <w:szCs w:val="32"/>
            <w:highlight w:val="none"/>
          </w:rPr>
          <w:t xml:space="preserve">（四）项目效益情况</w:t>
        </w:r>
        <w:r>
          <w:rPr>
            <w:rFonts w:ascii="楷体" w:eastAsia="楷体" w:hAnsi="楷体" w:cs="楷体" w:hint="eastAsia"/>
            <w:color w:val="auto"/>
            <w:sz w:val="32"/>
            <w:szCs w:val="32"/>
            <w:highlight w:val="none"/>
          </w:rPr>
          <w:tab/>
        </w:r>
        <w:r>
          <w:rPr>
            <w:rFonts w:ascii="楷体" w:eastAsia="楷体" w:hAnsi="楷体" w:cs="楷体" w:hint="eastAsia"/>
            <w:color w:val="auto"/>
            <w:sz w:val="32"/>
            <w:szCs w:val="32"/>
            <w:highlight w:val="none"/>
          </w:rPr>
          <w:fldChar w:fldCharType="begin"/>
        </w:r>
        <w:r>
          <w:rPr>
            <w:rFonts w:ascii="楷体" w:eastAsia="楷体" w:hAnsi="楷体" w:cs="楷体" w:hint="eastAsia"/>
            <w:color w:val="auto"/>
            <w:sz w:val="32"/>
            <w:szCs w:val="32"/>
            <w:highlight w:val="none"/>
          </w:rPr>
          <w:instrText xml:space="preserve"> PAGEREF _Toc2335 </w:instrText>
        </w:r>
        <w:r>
          <w:rPr>
            <w:rFonts w:ascii="楷体" w:eastAsia="楷体" w:hAnsi="楷体" w:cs="楷体" w:hint="eastAsia"/>
            <w:color w:val="auto"/>
            <w:sz w:val="32"/>
            <w:szCs w:val="32"/>
            <w:highlight w:val="none"/>
          </w:rPr>
          <w:fldChar w:fldCharType="separate"/>
        </w:r>
        <w:r>
          <w:rPr>
            <w:rFonts w:ascii="楷体" w:eastAsia="楷体" w:hAnsi="楷体" w:cs="楷体" w:hint="eastAsia"/>
            <w:color w:val="auto"/>
            <w:sz w:val="32"/>
            <w:szCs w:val="32"/>
            <w:highlight w:val="none"/>
          </w:rPr>
          <w:t xml:space="preserve">17</w:t>
        </w:r>
        <w:r>
          <w:rPr>
            <w:rFonts w:ascii="楷体" w:eastAsia="楷体" w:hAnsi="楷体" w:cs="楷体" w:hint="eastAsia"/>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color w:val="auto"/>
          <w:sz w:val="32"/>
          <w:szCs w:val="32"/>
          <w:highlight w:val="none"/>
        </w:rPr>
      </w:pPr>
      <w:hyperlink w:anchor="_Toc11778" w:history="1">
        <w:r>
          <w:rPr>
            <w:rFonts w:ascii="黑体" w:eastAsia="黑体" w:hAnsi="黑体" w:cs="黑体" w:hint="eastAsia"/>
            <w:color w:val="auto"/>
            <w:sz w:val="32"/>
            <w:szCs w:val="32"/>
            <w:highlight w:val="none"/>
          </w:rPr>
          <w:t xml:space="preserve">五、主要经验及做法、存在的问题及原因分析</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_Toc11778 </w:instrText>
        </w:r>
        <w:r>
          <w:rPr>
            <w:color w:val="auto"/>
            <w:sz w:val="32"/>
            <w:szCs w:val="32"/>
            <w:highlight w:val="none"/>
          </w:rPr>
          <w:fldChar w:fldCharType="separate"/>
        </w:r>
        <w:r>
          <w:rPr>
            <w:color w:val="auto"/>
            <w:sz w:val="32"/>
            <w:szCs w:val="32"/>
            <w:highlight w:val="none"/>
          </w:rPr>
          <w:t xml:space="preserve">17</w:t>
        </w:r>
        <w:r>
          <w:rPr>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auto"/>
          <w:sz w:val="32"/>
          <w:szCs w:val="32"/>
          <w:highlight w:val="none"/>
        </w:rPr>
      </w:pPr>
      <w:hyperlink w:anchor="_Toc17109" w:history="1">
        <w:r>
          <w:rPr>
            <w:rFonts w:ascii="楷体" w:eastAsia="楷体" w:hAnsi="楷体" w:cs="楷体" w:hint="eastAsia"/>
            <w:color w:val="auto"/>
            <w:sz w:val="32"/>
            <w:szCs w:val="32"/>
            <w:highlight w:val="none"/>
          </w:rPr>
          <w:t xml:space="preserve">（一）主要经验及做法</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_Toc17109 </w:instrText>
        </w:r>
        <w:r>
          <w:rPr>
            <w:color w:val="auto"/>
            <w:sz w:val="32"/>
            <w:szCs w:val="32"/>
            <w:highlight w:val="none"/>
          </w:rPr>
          <w:fldChar w:fldCharType="separate"/>
        </w:r>
        <w:r>
          <w:rPr>
            <w:color w:val="auto"/>
            <w:sz w:val="32"/>
            <w:szCs w:val="32"/>
            <w:highlight w:val="none"/>
          </w:rPr>
          <w:t xml:space="preserve">17</w:t>
        </w:r>
        <w:r>
          <w:rPr>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auto"/>
          <w:sz w:val="32"/>
          <w:szCs w:val="32"/>
          <w:highlight w:val="none"/>
        </w:rPr>
      </w:pPr>
      <w:hyperlink w:anchor="_Toc31827" w:history="1">
        <w:r>
          <w:rPr>
            <w:rFonts w:ascii="楷体" w:eastAsia="楷体" w:hAnsi="楷体" w:cs="楷体" w:hint="eastAsia"/>
            <w:color w:val="auto"/>
            <w:sz w:val="32"/>
            <w:szCs w:val="32"/>
            <w:highlight w:val="none"/>
          </w:rPr>
          <w:t xml:space="preserve">（二）存在的问题及分析</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_Toc31827 </w:instrText>
        </w:r>
        <w:r>
          <w:rPr>
            <w:color w:val="auto"/>
            <w:sz w:val="32"/>
            <w:szCs w:val="32"/>
            <w:highlight w:val="none"/>
          </w:rPr>
          <w:fldChar w:fldCharType="separate"/>
        </w:r>
        <w:r>
          <w:rPr>
            <w:color w:val="auto"/>
            <w:sz w:val="32"/>
            <w:szCs w:val="32"/>
            <w:highlight w:val="none"/>
          </w:rPr>
          <w:t xml:space="preserve">18</w:t>
        </w:r>
        <w:r>
          <w:rPr>
            <w:color w:val="auto"/>
            <w:sz w:val="32"/>
            <w:szCs w:val="32"/>
            <w:highlight w:val="none"/>
          </w:rPr>
          <w:fldChar w:fldCharType="end"/>
        </w:r>
      </w:hyperlink>
    </w:p>
    <w:p>
      <w:pPr>
        <w:pStyle w:val="WPSOffice手动目录1"/>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b w:val="0"/>
          <w:bCs/>
          <w:color w:val="auto"/>
          <w:sz w:val="32"/>
          <w:szCs w:val="32"/>
          <w:highlight w:val="none"/>
        </w:rPr>
      </w:pPr>
      <w:hyperlink w:anchor="_Toc8358" w:history="1">
        <w:r>
          <w:rPr>
            <w:rFonts w:ascii="黑体" w:eastAsia="黑体" w:hAnsi="黑体" w:cs="黑体" w:hint="eastAsia"/>
            <w:b w:val="0"/>
            <w:bCs/>
            <w:iCs/>
            <w:color w:val="auto"/>
            <w:kern w:val="2"/>
            <w:sz w:val="32"/>
            <w:szCs w:val="32"/>
            <w:highlight w:val="none"/>
            <w:lang w:val="en-US" w:eastAsia="zh-CN" w:bidi="ar-SA"/>
          </w:rPr>
          <w:t xml:space="preserve">六、有关建议</w:t>
        </w:r>
        <w:r>
          <w:rPr>
            <w:b w:val="0"/>
            <w:bCs/>
            <w:color w:val="auto"/>
            <w:sz w:val="32"/>
            <w:szCs w:val="32"/>
            <w:highlight w:val="none"/>
          </w:rPr>
          <w:tab/>
        </w:r>
        <w:r>
          <w:rPr>
            <w:b w:val="0"/>
            <w:bCs/>
            <w:color w:val="auto"/>
            <w:sz w:val="32"/>
            <w:szCs w:val="32"/>
            <w:highlight w:val="none"/>
          </w:rPr>
          <w:fldChar w:fldCharType="begin"/>
        </w:r>
        <w:r>
          <w:rPr>
            <w:b w:val="0"/>
            <w:bCs/>
            <w:color w:val="auto"/>
            <w:sz w:val="32"/>
            <w:szCs w:val="32"/>
            <w:highlight w:val="none"/>
          </w:rPr>
          <w:instrText xml:space="preserve"> PAGEREF _Toc8358 </w:instrText>
        </w:r>
        <w:r>
          <w:rPr>
            <w:b w:val="0"/>
            <w:bCs/>
            <w:color w:val="auto"/>
            <w:sz w:val="32"/>
            <w:szCs w:val="32"/>
            <w:highlight w:val="none"/>
          </w:rPr>
          <w:fldChar w:fldCharType="separate"/>
        </w:r>
        <w:r>
          <w:rPr>
            <w:b w:val="0"/>
            <w:bCs/>
            <w:color w:val="auto"/>
            <w:sz w:val="32"/>
            <w:szCs w:val="32"/>
            <w:highlight w:val="none"/>
          </w:rPr>
          <w:t xml:space="preserve">19</w:t>
        </w:r>
        <w:r>
          <w:rPr>
            <w:b w:val="0"/>
            <w:bCs/>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color w:val="auto"/>
          <w:sz w:val="32"/>
          <w:szCs w:val="32"/>
          <w:highlight w:val="none"/>
        </w:rPr>
      </w:pPr>
      <w:hyperlink w:anchor="_Toc22327" w:history="1">
        <w:r>
          <w:rPr>
            <w:rFonts w:ascii="黑体" w:eastAsia="黑体" w:hAnsi="黑体" w:cs="黑体" w:hint="default"/>
            <w:bCs/>
            <w:iCs/>
            <w:color w:val="auto"/>
            <w:sz w:val="32"/>
            <w:szCs w:val="32"/>
            <w:highlight w:val="none"/>
          </w:rPr>
          <w:t xml:space="preserve">七、其他需要说明的问题</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_Toc22327 </w:instrText>
        </w:r>
        <w:r>
          <w:rPr>
            <w:color w:val="auto"/>
            <w:sz w:val="32"/>
            <w:szCs w:val="32"/>
            <w:highlight w:val="none"/>
          </w:rPr>
          <w:fldChar w:fldCharType="separate"/>
        </w:r>
        <w:r>
          <w:rPr>
            <w:color w:val="auto"/>
            <w:sz w:val="32"/>
            <w:szCs w:val="32"/>
            <w:highlight w:val="none"/>
          </w:rPr>
          <w:t xml:space="preserve">19</w:t>
        </w:r>
        <w:r>
          <w:rPr>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color w:val="auto"/>
          <w:sz w:val="32"/>
          <w:szCs w:val="32"/>
          <w:highlight w:val="none"/>
        </w:rPr>
      </w:pPr>
      <w:hyperlink w:anchor="_Toc18198" w:history="1">
        <w:r>
          <w:rPr>
            <w:rFonts w:ascii="黑体" w:eastAsia="黑体" w:hAnsi="黑体" w:cs="黑体" w:hint="default"/>
            <w:bCs/>
            <w:iCs/>
            <w:color w:val="auto"/>
            <w:sz w:val="32"/>
            <w:szCs w:val="32"/>
            <w:highlight w:val="none"/>
          </w:rPr>
          <w:t xml:space="preserve">八、附件</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_Toc18198 </w:instrText>
        </w:r>
        <w:r>
          <w:rPr>
            <w:color w:val="auto"/>
            <w:sz w:val="32"/>
            <w:szCs w:val="32"/>
            <w:highlight w:val="none"/>
          </w:rPr>
          <w:fldChar w:fldCharType="separate"/>
        </w:r>
        <w:r>
          <w:rPr>
            <w:color w:val="auto"/>
            <w:sz w:val="32"/>
            <w:szCs w:val="32"/>
            <w:highlight w:val="none"/>
          </w:rPr>
          <w:t xml:space="preserve">19</w:t>
        </w:r>
        <w:r>
          <w:rPr>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color w:val="auto"/>
          <w:sz w:val="32"/>
          <w:szCs w:val="32"/>
          <w:highlight w:val="none"/>
        </w:rPr>
      </w:pPr>
      <w:hyperlink w:anchor="_Toc561" w:history="1">
        <w:r>
          <w:rPr>
            <w:rFonts w:ascii="Times New Roman" w:eastAsia="仿宋_GB2312" w:hAnsi="Times New Roman" w:cs="Times New Roman" w:hint="default"/>
            <w:bCs w:val="0"/>
            <w:iCs/>
            <w:color w:val="auto"/>
            <w:sz w:val="32"/>
            <w:szCs w:val="32"/>
            <w:highlight w:val="none"/>
          </w:rPr>
          <w:t xml:space="preserve">附件1：</w:t>
        </w:r>
        <w:r>
          <w:rPr>
            <w:rFonts w:ascii="Times New Roman" w:eastAsia="仿宋_GB2312" w:hAnsi="Times New Roman" w:cs="Times New Roman" w:hint="default"/>
            <w:bCs w:val="0"/>
            <w:color w:val="auto"/>
            <w:sz w:val="32"/>
            <w:szCs w:val="32"/>
            <w:highlight w:val="none"/>
          </w:rPr>
          <w:t xml:space="preserve">项目支出绩效自评表</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_Toc561 </w:instrText>
        </w:r>
        <w:r>
          <w:rPr>
            <w:color w:val="auto"/>
            <w:sz w:val="32"/>
            <w:szCs w:val="32"/>
            <w:highlight w:val="none"/>
          </w:rPr>
          <w:fldChar w:fldCharType="separate"/>
        </w:r>
        <w:r>
          <w:rPr>
            <w:color w:val="auto"/>
            <w:sz w:val="32"/>
            <w:szCs w:val="32"/>
            <w:highlight w:val="none"/>
          </w:rPr>
          <w:t xml:space="preserve">20</w:t>
        </w:r>
        <w:r>
          <w:rPr>
            <w:color w:val="auto"/>
            <w:sz w:val="32"/>
            <w:szCs w:val="32"/>
            <w:highlight w:val="none"/>
          </w:rPr>
          <w:fldChar w:fldCharType="end"/>
        </w:r>
      </w:hyperlink>
    </w:p>
    <w:p>
      <w:pPr>
        <w:pStyle w:val="WPSOffice手动目录1"/>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b w:val="0"/>
          <w:bCs/>
          <w:color w:val="auto"/>
          <w:sz w:val="32"/>
          <w:szCs w:val="32"/>
          <w:highlight w:val="none"/>
        </w:rPr>
      </w:pPr>
      <w:hyperlink w:anchor="_Toc8296" w:history="1">
        <w:r>
          <w:rPr>
            <w:rFonts w:ascii="Times New Roman" w:eastAsia="仿宋_GB2312" w:hAnsi="Times New Roman" w:cs="Times New Roman" w:hint="eastAsia"/>
            <w:b w:val="0"/>
            <w:bCs/>
            <w:color w:val="auto"/>
            <w:sz w:val="32"/>
            <w:szCs w:val="32"/>
            <w:highlight w:val="none"/>
            <w:lang w:val="en-US" w:eastAsia="zh-CN"/>
          </w:rPr>
          <w:t xml:space="preserve">附件2：</w:t>
        </w:r>
        <w:r>
          <w:rPr>
            <w:rFonts w:ascii="Times New Roman" w:eastAsia="仿宋_GB2312" w:hAnsi="Times New Roman" w:cs="Times New Roman" w:hint="default"/>
            <w:b w:val="0"/>
            <w:bCs/>
            <w:color w:val="auto"/>
            <w:sz w:val="32"/>
            <w:szCs w:val="32"/>
            <w:highlight w:val="none"/>
          </w:rPr>
          <w:t xml:space="preserve">项目支出绩效评价指标体系及评分</w:t>
        </w:r>
        <w:r>
          <w:rPr>
            <w:b w:val="0"/>
            <w:bCs/>
            <w:color w:val="auto"/>
            <w:sz w:val="32"/>
            <w:szCs w:val="32"/>
            <w:highlight w:val="none"/>
          </w:rPr>
          <w:tab/>
        </w:r>
        <w:r>
          <w:rPr>
            <w:b w:val="0"/>
            <w:bCs/>
            <w:color w:val="auto"/>
            <w:sz w:val="32"/>
            <w:szCs w:val="32"/>
            <w:highlight w:val="none"/>
          </w:rPr>
          <w:fldChar w:fldCharType="begin"/>
        </w:r>
        <w:r>
          <w:rPr>
            <w:b w:val="0"/>
            <w:bCs/>
            <w:color w:val="auto"/>
            <w:sz w:val="32"/>
            <w:szCs w:val="32"/>
            <w:highlight w:val="none"/>
          </w:rPr>
          <w:instrText xml:space="preserve"> PAGEREF _Toc8296 </w:instrText>
        </w:r>
        <w:r>
          <w:rPr>
            <w:b w:val="0"/>
            <w:bCs/>
            <w:color w:val="auto"/>
            <w:sz w:val="32"/>
            <w:szCs w:val="32"/>
            <w:highlight w:val="none"/>
          </w:rPr>
          <w:fldChar w:fldCharType="separate"/>
        </w:r>
        <w:r>
          <w:rPr>
            <w:b w:val="0"/>
            <w:bCs/>
            <w:color w:val="auto"/>
            <w:sz w:val="32"/>
            <w:szCs w:val="32"/>
            <w:highlight w:val="none"/>
          </w:rPr>
          <w:t xml:space="preserve">22</w:t>
        </w:r>
        <w:r>
          <w:rPr>
            <w:b w:val="0"/>
            <w:bCs/>
            <w:color w:val="auto"/>
            <w:sz w:val="32"/>
            <w:szCs w:val="32"/>
            <w:highlight w:val="none"/>
          </w:rPr>
          <w:fldChar w:fldCharType="end"/>
        </w:r>
      </w:hyperlink>
    </w:p>
    <w:p>
      <w:pPr>
        <w:keepNext w:val="0"/>
        <w:keepLines w:val="0"/>
        <w:pageBreakBefore w:val="0"/>
        <w:tabs>
          <w:tab w:val="right" w:leader="dot" w:pos="8306"/>
        </w:tabs>
        <w:kinsoku/>
        <w:wordWrap/>
        <w:overflowPunct/>
        <w:topLinePunct w:val="0"/>
        <w:autoSpaceDE/>
        <w:autoSpaceDN/>
        <w:bidi w:val="0"/>
        <w:adjustRightInd/>
        <w:snapToGrid/>
        <w:spacing w:line="580" w:lineRule="exact"/>
        <w:ind w:firstLine="640"/>
        <w:textAlignment w:val="auto"/>
        <w:rPr>
          <w:color w:val="auto"/>
          <w:highlight w:val="none"/>
        </w:rPr>
      </w:pPr>
      <w:r>
        <w:rPr>
          <w:b/>
          <w:color w:val="auto"/>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outlineLvl w:val="9"/>
        <w:rPr>
          <w:rFonts w:ascii="Times New Roman" w:eastAsia="黑体" w:hAnsi="Times New Roman" w:cs="Times New Roman" w:hint="default"/>
          <w:bCs/>
          <w:iCs/>
          <w:color w:val="auto"/>
          <w:kern w:val="2"/>
          <w:sz w:val="32"/>
          <w:szCs w:val="21"/>
          <w:highlight w:val="none"/>
          <w:lang w:val="en-US" w:eastAsia="zh-CN" w:bidi="ar-SA"/>
        </w:rPr>
        <w:sectPr>
          <w:footerReference w:type="default" r:id="rId3"/>
          <w:pgSz w:w="11906" w:h="16838" w:orient="portrait"/>
          <w:pgMar w:top="1440" w:right="1800" w:bottom="1440" w:left="1800" w:header="851" w:footer="992" w:gutter="0"/>
          <w:pgBorders/>
          <w:pgNumType w:fmt="decimal"/>
          <w:cols w:num="1" w:space="720">
            <w:col w:w="8306" w:space="720"/>
          </w:cols>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outlineLvl w:val="0"/>
        <w:rPr>
          <w:rFonts w:ascii="Times New Roman" w:eastAsia="黑体" w:hAnsi="Times New Roman" w:cs="Times New Roman" w:hint="default"/>
          <w:bCs/>
          <w:iCs/>
          <w:color w:val="auto"/>
          <w:kern w:val="2"/>
          <w:sz w:val="32"/>
          <w:szCs w:val="21"/>
          <w:highlight w:val="none"/>
          <w:lang w:val="en-US" w:eastAsia="zh-CN" w:bidi="ar-SA"/>
        </w:rPr>
      </w:pPr>
      <w:bookmarkStart w:id="11" w:name="_Toc14664"/>
      <w:r>
        <w:rPr>
          <w:rFonts w:ascii="Times New Roman" w:eastAsia="黑体" w:hAnsi="Times New Roman" w:cs="Times New Roman" w:hint="default"/>
          <w:bCs/>
          <w:iCs/>
          <w:color w:val="auto"/>
          <w:kern w:val="2"/>
          <w:sz w:val="32"/>
          <w:szCs w:val="21"/>
          <w:highlight w:val="none"/>
          <w:lang w:val="en-US" w:eastAsia="zh-CN" w:bidi="ar-SA"/>
        </w:rPr>
        <w:t xml:space="preserve">一、基本情况</w:t>
      </w:r>
      <w:bookmarkEnd w:id="5"/>
      <w:bookmarkEnd w:id="6"/>
      <w:bookmarkEnd w:id="7"/>
      <w:bookmarkEnd w:id="8"/>
      <w:bookmarkEnd w:id="9"/>
      <w:bookmarkEnd w:id="10"/>
      <w:bookmarkEnd w:id="11"/>
      <w:bookmarkStart w:id="12" w:name="_Toc27593"/>
    </w:p>
    <w:p>
      <w:pPr>
        <w:pStyle w:val="Heading3"/>
        <w:bidi w:val="0"/>
        <w:jc w:val="both"/>
        <w:outlineLvl w:val="1"/>
        <w:rPr>
          <w:rFonts w:ascii="Times New Roman" w:eastAsia="楷体" w:hAnsi="Times New Roman" w:cs="Times New Roman" w:hint="default"/>
          <w:color w:val="auto"/>
          <w:highlight w:val="none"/>
        </w:rPr>
      </w:pPr>
      <w:bookmarkStart w:id="13" w:name="_Toc9236"/>
      <w:bookmarkStart w:id="14" w:name="_Toc24706"/>
      <w:bookmarkStart w:id="15" w:name="_Toc24048"/>
      <w:bookmarkStart w:id="16" w:name="_Toc21327"/>
      <w:bookmarkStart w:id="17" w:name="_Toc26183"/>
      <w:r>
        <w:rPr>
          <w:rFonts w:ascii="Times New Roman" w:eastAsia="楷体" w:hAnsi="Times New Roman" w:cs="Times New Roman" w:hint="default"/>
          <w:color w:val="auto"/>
          <w:highlight w:val="none"/>
        </w:rPr>
        <w:t xml:space="preserve">（一）项目概况</w:t>
      </w:r>
      <w:bookmarkEnd w:id="12"/>
      <w:bookmarkEnd w:id="13"/>
      <w:bookmarkEnd w:id="14"/>
      <w:bookmarkEnd w:id="15"/>
      <w:bookmarkEnd w:id="16"/>
      <w:bookmarkEnd w:id="17"/>
    </w:p>
    <w:p>
      <w:pPr>
        <w:bidi w:val="0"/>
        <w:jc w:val="both"/>
        <w:rPr>
          <w:rFonts w:ascii="Times New Roman" w:eastAsia="仿宋_GB2312" w:hAnsi="Times New Roman" w:cs="Times New Roman" w:hint="default"/>
          <w:b/>
          <w:bCs/>
          <w:color w:val="auto"/>
          <w:highlight w:val="none"/>
        </w:rPr>
      </w:pPr>
      <w:bookmarkStart w:id="18" w:name="_Toc19984"/>
      <w:bookmarkStart w:id="19" w:name="_Toc11427"/>
      <w:r>
        <w:rPr>
          <w:rFonts w:ascii="Times New Roman" w:eastAsia="仿宋_GB2312" w:hAnsi="Times New Roman" w:cs="Times New Roman" w:hint="default"/>
          <w:b/>
          <w:bCs/>
          <w:color w:val="auto"/>
          <w:highlight w:val="none"/>
        </w:rPr>
        <w:t xml:space="preserve">1.项目背景</w:t>
      </w:r>
      <w:bookmarkEnd w:id="18"/>
      <w:bookmarkEnd w:id="19"/>
    </w:p>
    <w:p>
      <w:pPr>
        <w:bidi w:val="0"/>
        <w:jc w:val="both"/>
        <w:rPr>
          <w:rFonts w:ascii="Times New Roman" w:hAnsi="Times New Roman" w:cs="Times New Roman" w:hint="eastAsia"/>
          <w:color w:val="auto"/>
          <w:highlight w:val="none"/>
          <w:lang w:val="en-US" w:eastAsia="zh-CN"/>
        </w:rPr>
      </w:pPr>
      <w:bookmarkStart w:id="20" w:name="_Toc22216"/>
      <w:r>
        <w:rPr>
          <w:rFonts w:ascii="Times New Roman" w:hAnsi="Times New Roman" w:cs="Times New Roman" w:hint="eastAsia"/>
          <w:color w:val="auto"/>
          <w:highlight w:val="none"/>
          <w:lang w:val="en-US" w:eastAsia="zh-CN"/>
        </w:rPr>
        <w:t xml:space="preserve">以习近平新时代中国特色社会主义思想为指导，深入贯彻落实党的二十大和二十届三中全会精神，以习近平总书记关于新疆工作的重要讲话重要指示批示精神，完整准确全面贯彻新时代党的治疆方略，积极响应国家和地方关于保障和改善民生的政策要求，致力于解决群众的急难愁盼问题，提升人民群众的生活品质。自治区驻村工作经费保障机制，是自治区党委建立健全驻村工作常态化机制的重要组成部分。为此，</w:t>
      </w:r>
      <w:bookmarkStart w:id="21" w:name="OLE_LINK1"/>
      <w:r>
        <w:rPr>
          <w:rFonts w:ascii="Times New Roman" w:hAnsi="Times New Roman" w:cs="Times New Roman" w:hint="eastAsia"/>
          <w:color w:val="auto"/>
          <w:highlight w:val="none"/>
          <w:lang w:val="en-US" w:eastAsia="zh-CN"/>
        </w:rPr>
        <w:t xml:space="preserve">自治区财政厅下发了《关于拨付2024年自治区驻村工作专项经费的通知》（巴财预〔2024〕16号），</w:t>
      </w:r>
      <w:bookmarkEnd w:id="21"/>
      <w:r>
        <w:rPr>
          <w:rFonts w:ascii="Times New Roman" w:hAnsi="Times New Roman" w:cs="Times New Roman" w:hint="eastAsia"/>
          <w:color w:val="auto"/>
          <w:highlight w:val="none"/>
          <w:lang w:val="en-US" w:eastAsia="zh-CN"/>
        </w:rPr>
        <w:t xml:space="preserve">明确了自治区驻村工作专项经费的发放、使用、管理、监督等要求，尉犁县经济社会发展面临新的机遇和挑战，通过实施为民办实事项目，有助于加强城乡基础设施建设、推动乡村振兴、筑牢生态屏障等，促进尉犁县经济高质量发展奠定基础。结合我县2024年驻村工作的实际情况，落实好足额划拨驻村工作专项经费，确保驻村工作队有钱办事、把实事办实、把好事办好。</w:t>
      </w:r>
    </w:p>
    <w:p>
      <w:pPr>
        <w:bidi w:val="0"/>
        <w:jc w:val="both"/>
        <w:rPr>
          <w:rFonts w:ascii="Times New Roman" w:eastAsia="仿宋_GB2312" w:hAnsi="Times New Roman" w:cs="Times New Roman" w:hint="default"/>
          <w:b/>
          <w:bCs/>
          <w:color w:val="auto"/>
          <w:highlight w:val="none"/>
        </w:rPr>
      </w:pPr>
      <w:bookmarkStart w:id="22" w:name="_Toc22079"/>
      <w:r>
        <w:rPr>
          <w:rFonts w:ascii="Times New Roman" w:eastAsia="仿宋_GB2312" w:hAnsi="Times New Roman" w:cs="Times New Roman" w:hint="default"/>
          <w:b/>
          <w:bCs/>
          <w:color w:val="auto"/>
          <w:highlight w:val="none"/>
        </w:rPr>
        <w:t xml:space="preserve">2.项目主要内容</w:t>
      </w:r>
      <w:bookmarkEnd w:id="20"/>
      <w:bookmarkEnd w:id="22"/>
    </w:p>
    <w:p>
      <w:pPr>
        <w:bidi w:val="0"/>
        <w:jc w:val="both"/>
        <w:rPr>
          <w:rFonts w:ascii="Times New Roman" w:hAnsi="Times New Roman" w:cs="Times New Roman" w:hint="default"/>
          <w:color w:val="auto"/>
          <w:highlight w:val="none"/>
          <w:lang w:val="en-US" w:eastAsia="zh-CN"/>
        </w:rPr>
      </w:pPr>
      <w:bookmarkStart w:id="23" w:name="_Toc21529"/>
      <w:r>
        <w:rPr>
          <w:rFonts w:ascii="Times New Roman" w:hAnsi="Times New Roman" w:cs="Times New Roman" w:hint="eastAsia"/>
          <w:color w:val="auto"/>
          <w:highlight w:val="none"/>
          <w:lang w:val="en-US" w:eastAsia="zh-CN"/>
        </w:rPr>
        <w:t xml:space="preserve">2024年政府办驻村工作队为民办实事经费，以解决群众最关心、最直接、最现实的利益问题，访贫问苦、慰问困难群众；为群众送信息、送服务、送温暖，为民办实事工作，普惠各族群众，更好的开展群众工作，及时将党和政府的温暖送到各族群众的心坎上；为丰富村民业余文化生活，采购活动用品4批，开展各种活动；加强农村环境整治，粉刷墙体，整体提升村容村貌，提升村民生活居住质量。</w:t>
      </w:r>
    </w:p>
    <w:p>
      <w:pPr>
        <w:bidi w:val="0"/>
        <w:jc w:val="both"/>
        <w:rPr>
          <w:rFonts w:ascii="方正仿宋_GBK" w:eastAsia="方正仿宋_GBK" w:hAnsi="方正仿宋_GBK" w:cs="方正仿宋_GBK" w:hint="eastAsia"/>
          <w:color w:val="auto"/>
          <w:highlight w:val="none"/>
          <w:lang w:val="en-US" w:eastAsia="zh-CN"/>
        </w:rPr>
      </w:pPr>
      <w:bookmarkStart w:id="24" w:name="_Toc31519"/>
      <w:r>
        <w:rPr>
          <w:rFonts w:ascii="Times New Roman" w:eastAsia="仿宋_GB2312" w:hAnsi="Times New Roman" w:cs="Times New Roman" w:hint="default"/>
          <w:b/>
          <w:bCs/>
          <w:color w:val="auto"/>
          <w:highlight w:val="none"/>
        </w:rPr>
        <w:t xml:space="preserve">3.项目实施情况</w:t>
      </w:r>
      <w:bookmarkEnd w:id="23"/>
      <w:bookmarkEnd w:id="24"/>
      <w:bookmarkStart w:id="25" w:name="_Toc20138"/>
    </w:p>
    <w:p>
      <w:pPr>
        <w:bidi w:val="0"/>
        <w:jc w:val="both"/>
        <w:rPr>
          <w:rFonts w:ascii="Times New Roman" w:hAnsi="Times New Roman" w:cs="Times New Roman" w:hint="eastAsia"/>
          <w:color w:val="auto"/>
          <w:highlight w:val="none"/>
          <w:lang w:val="en-US" w:eastAsia="zh-CN"/>
        </w:rPr>
      </w:pPr>
      <w:r>
        <w:rPr>
          <w:rFonts w:ascii="Times New Roman" w:hAnsi="Times New Roman" w:cs="Times New Roman" w:hint="eastAsia"/>
          <w:color w:val="auto"/>
          <w:highlight w:val="none"/>
          <w:lang w:val="en-US" w:eastAsia="zh-CN"/>
        </w:rPr>
        <w:t xml:space="preserve">该项目于2024年8月29日开始实施，2024年12月31日完成。项目实施情况如下：</w:t>
      </w:r>
    </w:p>
    <w:p>
      <w:pPr>
        <w:bidi w:val="0"/>
        <w:jc w:val="both"/>
        <w:rPr>
          <w:rFonts w:ascii="Times New Roman" w:hAnsi="Times New Roman" w:cs="Times New Roman" w:hint="default"/>
          <w:color w:val="auto"/>
          <w:highlight w:val="none"/>
          <w:lang w:val="en-US" w:eastAsia="zh-CN"/>
        </w:rPr>
      </w:pPr>
      <w:r>
        <w:rPr>
          <w:rFonts w:ascii="Times New Roman" w:hAnsi="Times New Roman" w:cs="Times New Roman" w:hint="eastAsia"/>
          <w:color w:val="auto"/>
          <w:highlight w:val="none"/>
          <w:lang w:val="en-US" w:eastAsia="zh-CN"/>
        </w:rPr>
        <w:t xml:space="preserve">访贫问苦，为群众送温暖，慰问困难群众50户，及时将党和政府的温暖送到各族群众的心坎上；采购活动用品4批，开展各种活动，丰富了村民业余文化生活；为东海子村和阿克其开村村民粉刷墙体2917平方米，粉刷墙面整体提升了村容村貌，提升村民生活居住质量。示范带动群众听党话、感党恩、跟党走。项目的实施在一定程度上推动基层工作的开展并且效果显著。</w:t>
      </w:r>
    </w:p>
    <w:p>
      <w:pPr>
        <w:bidi w:val="0"/>
        <w:jc w:val="both"/>
        <w:rPr>
          <w:rFonts w:ascii="Times New Roman" w:eastAsia="仿宋_GB2312" w:hAnsi="Times New Roman" w:cs="Times New Roman" w:hint="default"/>
          <w:b/>
          <w:bCs/>
          <w:color w:val="auto"/>
          <w:highlight w:val="none"/>
        </w:rPr>
      </w:pPr>
      <w:bookmarkStart w:id="26" w:name="_Toc1111"/>
      <w:r>
        <w:rPr>
          <w:rFonts w:ascii="Times New Roman" w:eastAsia="仿宋_GB2312" w:hAnsi="Times New Roman" w:cs="Times New Roman" w:hint="default"/>
          <w:b/>
          <w:bCs/>
          <w:color w:val="auto"/>
          <w:highlight w:val="none"/>
        </w:rPr>
        <w:t xml:space="preserve">4.资金投入情况</w:t>
      </w:r>
      <w:bookmarkEnd w:id="25"/>
      <w:bookmarkEnd w:id="26"/>
    </w:p>
    <w:p>
      <w:pPr>
        <w:bidi w:val="0"/>
        <w:jc w:val="both"/>
        <w:rPr>
          <w:rFonts w:ascii="Times New Roman" w:hAnsi="Times New Roman" w:cs="Times New Roman" w:hint="default"/>
          <w:color w:val="auto"/>
          <w:highlight w:val="none"/>
          <w:lang w:val="en-US" w:eastAsia="zh-CN"/>
        </w:rPr>
      </w:pPr>
      <w:bookmarkStart w:id="27" w:name="_Toc7324"/>
      <w:r>
        <w:rPr>
          <w:rFonts w:ascii="Times New Roman" w:hAnsi="Times New Roman" w:cs="Times New Roman" w:hint="default"/>
          <w:color w:val="auto"/>
          <w:highlight w:val="none"/>
          <w:lang w:val="en-US" w:eastAsia="zh-CN"/>
        </w:rPr>
        <w:t xml:space="preserve">根据</w:t>
      </w:r>
      <w:r>
        <w:rPr>
          <w:rFonts w:ascii="Times New Roman" w:hAnsi="Times New Roman" w:cs="Times New Roman" w:hint="eastAsia"/>
          <w:color w:val="auto"/>
          <w:highlight w:val="none"/>
          <w:lang w:val="en-US" w:eastAsia="zh-CN"/>
        </w:rPr>
        <w:t xml:space="preserve">《关于拨付2024年自治区驻村工作专项经费的通知》（巴财预〔2024〕16号）</w:t>
      </w:r>
      <w:r>
        <w:rPr>
          <w:rFonts w:ascii="Times New Roman" w:hAnsi="Times New Roman" w:cs="Times New Roman" w:hint="default"/>
          <w:color w:val="auto"/>
          <w:highlight w:val="none"/>
          <w:lang w:val="en-US" w:eastAsia="zh-CN"/>
        </w:rPr>
        <w:t xml:space="preserve">，下达</w:t>
      </w:r>
      <w:r>
        <w:rPr>
          <w:rFonts w:ascii="Times New Roman" w:hAnsi="Times New Roman" w:cs="Times New Roman" w:hint="eastAsia"/>
          <w:color w:val="auto"/>
          <w:highlight w:val="none"/>
          <w:lang w:val="en-US" w:eastAsia="zh-CN"/>
        </w:rPr>
        <w:t xml:space="preserve">2024年驻村工作队为民办实事</w:t>
      </w:r>
      <w:r>
        <w:rPr>
          <w:rFonts w:ascii="Times New Roman" w:hAnsi="Times New Roman" w:cs="Times New Roman" w:hint="default"/>
          <w:color w:val="auto"/>
          <w:highlight w:val="none"/>
          <w:lang w:val="en-US" w:eastAsia="zh-CN"/>
        </w:rPr>
        <w:t xml:space="preserve">资金</w:t>
      </w:r>
      <w:r>
        <w:rPr>
          <w:rFonts w:ascii="Times New Roman" w:hAnsi="Times New Roman" w:cs="Times New Roman" w:hint="eastAsia"/>
          <w:color w:val="auto"/>
          <w:highlight w:val="none"/>
          <w:lang w:val="en-US" w:eastAsia="zh-CN"/>
        </w:rPr>
        <w:t xml:space="preserve">15</w:t>
      </w:r>
      <w:r>
        <w:rPr>
          <w:rFonts w:ascii="Times New Roman" w:hAnsi="Times New Roman" w:cs="Times New Roman" w:hint="default"/>
          <w:color w:val="auto"/>
          <w:highlight w:val="none"/>
          <w:lang w:val="en-US" w:eastAsia="zh-CN"/>
        </w:rPr>
        <w:t xml:space="preserve">万元。其中用于</w:t>
      </w:r>
      <w:r>
        <w:rPr>
          <w:rFonts w:ascii="Times New Roman" w:hAnsi="Times New Roman" w:cs="Times New Roman" w:hint="eastAsia"/>
          <w:color w:val="auto"/>
          <w:highlight w:val="none"/>
          <w:lang w:val="en-US" w:eastAsia="zh-CN"/>
        </w:rPr>
        <w:t xml:space="preserve">慰问群众 3.75</w:t>
      </w:r>
      <w:r>
        <w:rPr>
          <w:rFonts w:ascii="Times New Roman" w:hAnsi="Times New Roman" w:cs="Times New Roman" w:hint="default"/>
          <w:color w:val="auto"/>
          <w:highlight w:val="none"/>
          <w:lang w:val="en-US" w:eastAsia="zh-CN"/>
        </w:rPr>
        <w:t xml:space="preserve">万元、</w:t>
      </w:r>
      <w:r>
        <w:rPr>
          <w:rFonts w:ascii="Times New Roman" w:hAnsi="Times New Roman" w:cs="Times New Roman" w:hint="eastAsia"/>
          <w:color w:val="auto"/>
          <w:highlight w:val="none"/>
          <w:lang w:val="en-US" w:eastAsia="zh-CN"/>
        </w:rPr>
        <w:t xml:space="preserve">粉刷墙面</w:t>
      </w:r>
      <w:r>
        <w:rPr>
          <w:rFonts w:ascii="Times New Roman" w:hAnsi="Times New Roman" w:cs="Times New Roman" w:hint="default"/>
          <w:color w:val="auto"/>
          <w:highlight w:val="none"/>
          <w:lang w:val="en-US" w:eastAsia="zh-CN"/>
        </w:rPr>
        <w:t xml:space="preserve">7.5万元</w:t>
      </w:r>
      <w:r>
        <w:rPr>
          <w:rFonts w:ascii="Times New Roman" w:hAnsi="Times New Roman" w:cs="Times New Roman" w:hint="eastAsia"/>
          <w:color w:val="auto"/>
          <w:highlight w:val="none"/>
          <w:lang w:val="en-US" w:eastAsia="zh-CN"/>
        </w:rPr>
        <w:t xml:space="preserve">、采购活动用品3.75万元</w:t>
      </w:r>
      <w:r>
        <w:rPr>
          <w:rFonts w:ascii="Times New Roman" w:hAnsi="Times New Roman" w:cs="Times New Roman" w:hint="default"/>
          <w:color w:val="auto"/>
          <w:highlight w:val="none"/>
          <w:lang w:val="en-US" w:eastAsia="zh-CN"/>
        </w:rPr>
        <w:t xml:space="preserve">。</w:t>
      </w:r>
    </w:p>
    <w:p>
      <w:pPr>
        <w:bidi w:val="0"/>
        <w:jc w:val="both"/>
        <w:rPr>
          <w:rFonts w:ascii="Times New Roman" w:hAnsi="Times New Roman" w:cs="Times New Roman" w:hint="default"/>
          <w:color w:val="auto"/>
          <w:highlight w:val="none"/>
          <w:lang w:val="en-US" w:eastAsia="zh-CN"/>
        </w:rPr>
      </w:pPr>
      <w:r>
        <w:rPr>
          <w:rFonts w:ascii="Times New Roman" w:hAnsi="Times New Roman" w:cs="Times New Roman" w:hint="default"/>
          <w:color w:val="auto"/>
          <w:highlight w:val="none"/>
          <w:lang w:val="en-US" w:eastAsia="zh-CN"/>
        </w:rPr>
        <w:t xml:space="preserve">实施</w:t>
      </w:r>
      <w:r>
        <w:rPr>
          <w:rFonts w:ascii="Times New Roman" w:hAnsi="Times New Roman" w:cs="Times New Roman" w:hint="eastAsia"/>
          <w:color w:val="auto"/>
          <w:highlight w:val="none"/>
          <w:lang w:val="en-US" w:eastAsia="zh-CN"/>
        </w:rPr>
        <w:t xml:space="preserve">2024年政府办驻村工作队为民办实事经费</w:t>
      </w:r>
      <w:r>
        <w:rPr>
          <w:rFonts w:ascii="Times New Roman" w:hAnsi="Times New Roman" w:cs="Times New Roman" w:hint="default"/>
          <w:color w:val="auto"/>
          <w:highlight w:val="none"/>
          <w:lang w:val="en-US" w:eastAsia="zh-CN"/>
        </w:rPr>
        <w:t xml:space="preserve">资金投入</w:t>
      </w:r>
      <w:r>
        <w:rPr>
          <w:rFonts w:ascii="Times New Roman" w:hAnsi="Times New Roman" w:cs="Times New Roman" w:hint="eastAsia"/>
          <w:color w:val="auto"/>
          <w:highlight w:val="none"/>
          <w:lang w:val="en-US" w:eastAsia="zh-CN"/>
        </w:rPr>
        <w:t xml:space="preserve">15</w:t>
      </w:r>
      <w:r>
        <w:rPr>
          <w:rFonts w:ascii="Times New Roman" w:hAnsi="Times New Roman" w:cs="Times New Roman" w:hint="default"/>
          <w:color w:val="auto"/>
          <w:highlight w:val="none"/>
          <w:lang w:val="en-US" w:eastAsia="zh-CN"/>
        </w:rPr>
        <w:t xml:space="preserve">万元，其中</w:t>
      </w:r>
      <w:r>
        <w:rPr>
          <w:rFonts w:ascii="Times New Roman" w:hAnsi="Times New Roman" w:cs="Times New Roman" w:hint="eastAsia"/>
          <w:color w:val="auto"/>
          <w:highlight w:val="none"/>
          <w:lang w:val="en-US" w:eastAsia="zh-CN"/>
        </w:rPr>
        <w:t xml:space="preserve">自治区</w:t>
      </w:r>
      <w:r>
        <w:rPr>
          <w:rFonts w:ascii="Times New Roman" w:hAnsi="Times New Roman" w:cs="Times New Roman" w:hint="default"/>
          <w:color w:val="auto"/>
          <w:highlight w:val="none"/>
          <w:lang w:val="en-US" w:eastAsia="zh-CN"/>
        </w:rPr>
        <w:t xml:space="preserve">资金</w:t>
      </w:r>
      <w:r>
        <w:rPr>
          <w:rFonts w:ascii="Times New Roman" w:hAnsi="Times New Roman" w:cs="Times New Roman" w:hint="eastAsia"/>
          <w:color w:val="auto"/>
          <w:highlight w:val="none"/>
          <w:lang w:val="en-US" w:eastAsia="zh-CN"/>
        </w:rPr>
        <w:t xml:space="preserve">15</w:t>
      </w:r>
      <w:r>
        <w:rPr>
          <w:rFonts w:ascii="Times New Roman" w:hAnsi="Times New Roman" w:cs="Times New Roman" w:hint="default"/>
          <w:color w:val="auto"/>
          <w:highlight w:val="none"/>
          <w:lang w:val="en-US" w:eastAsia="zh-CN"/>
        </w:rPr>
        <w:t xml:space="preserve">万元。</w:t>
      </w:r>
    </w:p>
    <w:p>
      <w:pPr>
        <w:bidi w:val="0"/>
        <w:jc w:val="both"/>
        <w:rPr>
          <w:rFonts w:ascii="Times New Roman" w:eastAsia="仿宋_GB2312" w:hAnsi="Times New Roman" w:cs="Times New Roman" w:hint="default"/>
          <w:b/>
          <w:bCs/>
          <w:color w:val="auto"/>
          <w:highlight w:val="none"/>
        </w:rPr>
      </w:pPr>
      <w:bookmarkStart w:id="28" w:name="_Toc10837"/>
      <w:r>
        <w:rPr>
          <w:rFonts w:ascii="Times New Roman" w:eastAsia="仿宋_GB2312" w:hAnsi="Times New Roman" w:cs="Times New Roman" w:hint="default"/>
          <w:b/>
          <w:bCs/>
          <w:color w:val="auto"/>
          <w:highlight w:val="none"/>
        </w:rPr>
        <w:t xml:space="preserve">5.资金使用情况</w:t>
      </w:r>
      <w:bookmarkEnd w:id="27"/>
      <w:bookmarkEnd w:id="28"/>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val="en-US" w:eastAsia="zh-CN"/>
        </w:rPr>
        <w:t xml:space="preserve">2024</w:t>
      </w:r>
      <w:r>
        <w:rPr>
          <w:rFonts w:ascii="Times New Roman" w:eastAsia="仿宋_GB2312" w:hAnsi="Times New Roman" w:cs="Times New Roman" w:hint="default"/>
          <w:color w:val="auto"/>
          <w:sz w:val="32"/>
          <w:szCs w:val="32"/>
          <w:highlight w:val="none"/>
          <w:lang w:eastAsia="zh-CN"/>
        </w:rPr>
        <w:t xml:space="preserve">年</w:t>
      </w:r>
      <w:r>
        <w:rPr>
          <w:rFonts w:ascii="Times New Roman" w:hAnsi="Times New Roman" w:cs="Times New Roman" w:hint="eastAsia"/>
          <w:color w:val="auto"/>
          <w:sz w:val="32"/>
          <w:szCs w:val="32"/>
          <w:highlight w:val="none"/>
          <w:lang w:eastAsia="zh-CN"/>
        </w:rPr>
        <w:t xml:space="preserve">年</w:t>
      </w:r>
      <w:r>
        <w:rPr>
          <w:rFonts w:ascii="Times New Roman" w:eastAsia="仿宋_GB2312" w:hAnsi="Times New Roman" w:cs="Times New Roman" w:hint="default"/>
          <w:color w:val="auto"/>
          <w:sz w:val="32"/>
          <w:szCs w:val="32"/>
          <w:highlight w:val="none"/>
          <w:lang w:eastAsia="zh-CN"/>
        </w:rPr>
        <w:t xml:space="preserve">初预算数</w:t>
      </w:r>
      <w:r>
        <w:rPr>
          <w:rFonts w:ascii="Times New Roman" w:hAnsi="Times New Roman" w:cs="Times New Roman" w:hint="eastAsia"/>
          <w:color w:val="auto"/>
          <w:highlight w:val="none"/>
          <w:lang w:val="en-US" w:eastAsia="zh-CN"/>
        </w:rPr>
        <w:t xml:space="preserve">15</w:t>
      </w:r>
      <w:r>
        <w:rPr>
          <w:rFonts w:ascii="Times New Roman" w:eastAsia="仿宋_GB2312" w:hAnsi="Times New Roman" w:cs="Times New Roman" w:hint="default"/>
          <w:color w:val="auto"/>
          <w:highlight w:val="none"/>
        </w:rPr>
        <w:t xml:space="preserve">万元</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实际到位资金</w:t>
      </w:r>
      <w:r>
        <w:rPr>
          <w:rFonts w:ascii="Times New Roman" w:hAnsi="Times New Roman" w:cs="Times New Roman" w:hint="eastAsia"/>
          <w:color w:val="auto"/>
          <w:highlight w:val="none"/>
          <w:lang w:val="en-US" w:eastAsia="zh-CN"/>
        </w:rPr>
        <w:t xml:space="preserve">15</w:t>
      </w:r>
      <w:r>
        <w:rPr>
          <w:rFonts w:ascii="Times New Roman" w:eastAsia="仿宋_GB2312" w:hAnsi="Times New Roman" w:cs="Times New Roman" w:hint="default"/>
          <w:color w:val="auto"/>
          <w:highlight w:val="none"/>
        </w:rPr>
        <w:t xml:space="preserve">万元</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截</w:t>
      </w:r>
      <w:r>
        <w:rPr>
          <w:rFonts w:ascii="Times New Roman" w:hAnsi="Times New Roman" w:cs="Times New Roman" w:hint="eastAsia"/>
          <w:color w:val="auto"/>
          <w:highlight w:val="none"/>
          <w:lang w:val="en-US" w:eastAsia="zh-CN"/>
        </w:rPr>
        <w:t xml:space="preserve">至</w:t>
      </w:r>
      <w:r>
        <w:rPr>
          <w:rFonts w:ascii="Times New Roman" w:eastAsia="仿宋_GB2312" w:hAnsi="Times New Roman" w:cs="Times New Roman" w:hint="default"/>
          <w:color w:val="auto"/>
          <w:highlight w:val="none"/>
        </w:rPr>
        <w:t xml:space="preserve">202</w:t>
      </w:r>
      <w:r>
        <w:rPr>
          <w:rFonts w:ascii="Times New Roman" w:hAnsi="Times New Roman" w:cs="Times New Roman" w:hint="eastAsia"/>
          <w:color w:val="auto"/>
          <w:highlight w:val="none"/>
          <w:lang w:val="en-US" w:eastAsia="zh-CN"/>
        </w:rPr>
        <w:t xml:space="preserve">4</w:t>
      </w:r>
      <w:r>
        <w:rPr>
          <w:rFonts w:ascii="Times New Roman" w:eastAsia="仿宋_GB2312" w:hAnsi="Times New Roman" w:cs="Times New Roman" w:hint="default"/>
          <w:color w:val="auto"/>
          <w:highlight w:val="none"/>
        </w:rPr>
        <w:t xml:space="preserve">年12月31日</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项目实际使用资金</w:t>
      </w:r>
      <w:r>
        <w:rPr>
          <w:rFonts w:ascii="Times New Roman" w:hAnsi="Times New Roman" w:cs="Times New Roman" w:hint="eastAsia"/>
          <w:color w:val="auto"/>
          <w:highlight w:val="none"/>
          <w:lang w:val="en-US" w:eastAsia="zh-CN"/>
        </w:rPr>
        <w:t xml:space="preserve">14.32</w:t>
      </w:r>
      <w:r>
        <w:rPr>
          <w:rFonts w:ascii="Times New Roman" w:eastAsia="仿宋_GB2312" w:hAnsi="Times New Roman" w:cs="Times New Roman" w:hint="default"/>
          <w:color w:val="auto"/>
          <w:highlight w:val="none"/>
        </w:rPr>
        <w:t xml:space="preserve">万元，资金</w:t>
      </w:r>
      <w:r>
        <w:rPr>
          <w:rFonts w:ascii="Times New Roman" w:eastAsia="仿宋_GB2312" w:hAnsi="Times New Roman" w:cs="Times New Roman" w:hint="default"/>
          <w:color w:val="auto"/>
          <w:highlight w:val="none"/>
          <w:lang w:val="en-US" w:eastAsia="zh-CN"/>
        </w:rPr>
        <w:t xml:space="preserve">使用</w:t>
      </w:r>
      <w:r>
        <w:rPr>
          <w:rFonts w:ascii="Times New Roman" w:eastAsia="仿宋_GB2312" w:hAnsi="Times New Roman" w:cs="Times New Roman" w:hint="default"/>
          <w:color w:val="auto"/>
          <w:highlight w:val="none"/>
        </w:rPr>
        <w:t xml:space="preserve">率达到了</w:t>
      </w:r>
      <w:r>
        <w:rPr>
          <w:rFonts w:ascii="Times New Roman" w:hAnsi="Times New Roman" w:cs="Times New Roman" w:hint="eastAsia"/>
          <w:color w:val="auto"/>
          <w:highlight w:val="none"/>
          <w:lang w:val="en-US" w:eastAsia="zh-CN"/>
        </w:rPr>
        <w:t xml:space="preserve">95.47</w:t>
      </w:r>
      <w:r>
        <w:rPr>
          <w:rFonts w:ascii="Times New Roman" w:eastAsia="仿宋_GB2312" w:hAnsi="Times New Roman" w:cs="Times New Roman" w:hint="default"/>
          <w:color w:val="auto"/>
          <w:highlight w:val="none"/>
        </w:rPr>
        <w:t xml:space="preserve">%。具体资金支付情况</w:t>
      </w:r>
      <w:r>
        <w:rPr>
          <w:rFonts w:ascii="Times New Roman" w:hAnsi="Times New Roman" w:cs="Times New Roman" w:hint="eastAsia"/>
          <w:color w:val="auto"/>
          <w:highlight w:val="none"/>
          <w:lang w:val="en-US" w:eastAsia="zh-CN"/>
        </w:rPr>
        <w:t xml:space="preserve">如下</w:t>
      </w:r>
      <w:r>
        <w:rPr>
          <w:rFonts w:ascii="Times New Roman" w:eastAsia="仿宋_GB2312" w:hAnsi="Times New Roman" w:cs="Times New Roman" w:hint="default"/>
          <w:color w:val="auto"/>
          <w:highlight w:val="none"/>
        </w:rPr>
        <w:t xml:space="preserve">：</w:t>
      </w:r>
    </w:p>
    <w:p>
      <w:pPr>
        <w:bidi w:val="0"/>
        <w:jc w:val="both"/>
        <w:rPr>
          <w:rFonts w:ascii="Times New Roman" w:hAnsi="Times New Roman" w:cs="Times New Roman" w:hint="eastAsia"/>
          <w:color w:val="auto"/>
          <w:highlight w:val="none"/>
          <w:lang w:eastAsia="zh-CN"/>
        </w:rPr>
      </w:pPr>
      <w:r>
        <w:rPr>
          <w:rFonts w:ascii="Times New Roman" w:eastAsia="仿宋_GB2312" w:hAnsi="Times New Roman" w:cs="Times New Roman" w:hint="default"/>
          <w:color w:val="auto"/>
          <w:highlight w:val="none"/>
        </w:rPr>
        <w:t xml:space="preserve">202</w:t>
      </w:r>
      <w:r>
        <w:rPr>
          <w:rFonts w:ascii="Times New Roman" w:hAnsi="Times New Roman" w:cs="Times New Roman" w:hint="eastAsia"/>
          <w:color w:val="auto"/>
          <w:highlight w:val="none"/>
          <w:lang w:val="en-US" w:eastAsia="zh-CN"/>
        </w:rPr>
        <w:t xml:space="preserve">4</w:t>
      </w:r>
      <w:r>
        <w:rPr>
          <w:rFonts w:ascii="Times New Roman" w:eastAsia="仿宋_GB2312" w:hAnsi="Times New Roman" w:cs="Times New Roman" w:hint="default"/>
          <w:color w:val="auto"/>
          <w:highlight w:val="none"/>
        </w:rPr>
        <w:t xml:space="preserve">年</w:t>
      </w:r>
      <w:r>
        <w:rPr>
          <w:rFonts w:ascii="Times New Roman" w:hAnsi="Times New Roman" w:cs="Times New Roman" w:hint="eastAsia"/>
          <w:color w:val="auto"/>
          <w:highlight w:val="none"/>
          <w:lang w:val="en-US" w:eastAsia="zh-CN"/>
        </w:rPr>
        <w:t xml:space="preserve">11</w:t>
      </w:r>
      <w:r>
        <w:rPr>
          <w:rFonts w:ascii="Times New Roman" w:eastAsia="仿宋_GB2312" w:hAnsi="Times New Roman" w:cs="Times New Roman" w:hint="default"/>
          <w:color w:val="auto"/>
          <w:highlight w:val="none"/>
        </w:rPr>
        <w:t xml:space="preserve">月</w:t>
      </w:r>
      <w:r>
        <w:rPr>
          <w:rFonts w:ascii="Times New Roman" w:hAnsi="Times New Roman" w:cs="Times New Roman" w:hint="eastAsia"/>
          <w:color w:val="auto"/>
          <w:highlight w:val="none"/>
          <w:lang w:val="en-US" w:eastAsia="zh-CN"/>
        </w:rPr>
        <w:t xml:space="preserve">14</w:t>
      </w:r>
      <w:r>
        <w:rPr>
          <w:rFonts w:ascii="Times New Roman" w:eastAsia="仿宋_GB2312" w:hAnsi="Times New Roman" w:cs="Times New Roman" w:hint="default"/>
          <w:color w:val="auto"/>
          <w:highlight w:val="none"/>
        </w:rPr>
        <w:t xml:space="preserve">日，支付</w:t>
      </w:r>
      <w:r>
        <w:rPr>
          <w:rFonts w:ascii="Times New Roman" w:hAnsi="Times New Roman" w:cs="Times New Roman" w:hint="eastAsia"/>
          <w:color w:val="auto"/>
          <w:highlight w:val="none"/>
          <w:lang w:val="en-US" w:eastAsia="zh-CN"/>
        </w:rPr>
        <w:t xml:space="preserve">14.32</w:t>
      </w:r>
      <w:r>
        <w:rPr>
          <w:rFonts w:ascii="Times New Roman" w:eastAsia="仿宋_GB2312" w:hAnsi="Times New Roman" w:cs="Times New Roman" w:hint="default"/>
          <w:color w:val="auto"/>
          <w:highlight w:val="none"/>
        </w:rPr>
        <w:t xml:space="preserve">万元</w:t>
      </w:r>
      <w:r>
        <w:rPr>
          <w:rFonts w:ascii="Times New Roman" w:hAnsi="Times New Roman" w:cs="Times New Roman" w:hint="eastAsia"/>
          <w:color w:val="auto"/>
          <w:highlight w:val="none"/>
          <w:lang w:eastAsia="zh-CN"/>
        </w:rPr>
        <w:t xml:space="preserve">。其中：</w:t>
      </w:r>
    </w:p>
    <w:p>
      <w:pPr>
        <w:bidi w:val="0"/>
        <w:jc w:val="both"/>
        <w:rPr>
          <w:rFonts w:ascii="Times New Roman" w:eastAsia="仿宋_GB2312" w:hAnsi="Times New Roman" w:cs="Times New Roman" w:hint="eastAsia"/>
          <w:color w:val="auto"/>
          <w:sz w:val="32"/>
          <w:szCs w:val="32"/>
          <w:highlight w:val="none"/>
          <w:lang w:val="en-US" w:eastAsia="zh-CN"/>
        </w:rPr>
      </w:pPr>
      <w:r>
        <w:rPr>
          <w:rFonts w:ascii="Times New Roman" w:hAnsi="Times New Roman" w:cs="Times New Roman" w:hint="eastAsia"/>
          <w:color w:val="auto"/>
          <w:sz w:val="32"/>
          <w:szCs w:val="32"/>
          <w:highlight w:val="none"/>
          <w:lang w:eastAsia="zh-CN"/>
        </w:rPr>
        <w:t xml:space="preserve">（</w:t>
      </w:r>
      <w:r>
        <w:rPr>
          <w:rFonts w:ascii="Times New Roman" w:hAnsi="Times New Roman" w:cs="Times New Roman" w:hint="eastAsia"/>
          <w:color w:val="auto"/>
          <w:sz w:val="32"/>
          <w:szCs w:val="32"/>
          <w:highlight w:val="none"/>
          <w:lang w:val="en-US" w:eastAsia="zh-CN"/>
        </w:rPr>
        <w:t xml:space="preserve">1</w:t>
      </w:r>
      <w:r>
        <w:rPr>
          <w:rFonts w:ascii="Times New Roman" w:hAnsi="Times New Roman" w:cs="Times New Roman" w:hint="eastAsia"/>
          <w:color w:val="auto"/>
          <w:sz w:val="32"/>
          <w:szCs w:val="32"/>
          <w:highlight w:val="none"/>
          <w:lang w:eastAsia="zh-CN"/>
        </w:rPr>
        <w:t xml:space="preserve">）</w:t>
      </w:r>
      <w:r>
        <w:rPr>
          <w:rFonts w:ascii="Times New Roman" w:eastAsia="仿宋_GB2312" w:hAnsi="Times New Roman" w:cs="Times New Roman" w:hint="eastAsia"/>
          <w:color w:val="auto"/>
          <w:sz w:val="32"/>
          <w:szCs w:val="32"/>
          <w:highlight w:val="none"/>
          <w:lang w:eastAsia="zh-CN"/>
        </w:rPr>
        <w:t xml:space="preserve">东海子村刷墙</w:t>
      </w:r>
      <w:r>
        <w:rPr>
          <w:rFonts w:ascii="Times New Roman" w:eastAsia="仿宋_GB2312" w:hAnsi="Times New Roman" w:cs="Times New Roman" w:hint="eastAsia"/>
          <w:color w:val="auto"/>
          <w:sz w:val="32"/>
          <w:szCs w:val="32"/>
          <w:highlight w:val="none"/>
          <w:lang w:val="en-US" w:eastAsia="zh-CN"/>
        </w:rPr>
        <w:t xml:space="preserve">24000元，供应商：尉犁县乐胜建材店</w:t>
      </w:r>
      <w:r>
        <w:rPr>
          <w:rFonts w:ascii="Times New Roman" w:hAnsi="Times New Roman" w:cs="Times New Roman" w:hint="eastAsia"/>
          <w:color w:val="auto"/>
          <w:sz w:val="32"/>
          <w:szCs w:val="32"/>
          <w:highlight w:val="none"/>
          <w:lang w:val="en-US" w:eastAsia="zh-CN"/>
        </w:rPr>
        <w:t xml:space="preserve">；</w:t>
      </w:r>
    </w:p>
    <w:p>
      <w:pPr>
        <w:bidi w:val="0"/>
        <w:jc w:val="both"/>
        <w:rPr>
          <w:rFonts w:ascii="Times New Roman" w:eastAsia="仿宋_GB2312" w:hAnsi="Times New Roman" w:cs="Times New Roman" w:hint="eastAsia"/>
          <w:color w:val="auto"/>
          <w:sz w:val="32"/>
          <w:szCs w:val="32"/>
          <w:highlight w:val="none"/>
          <w:lang w:val="en-US" w:eastAsia="zh-CN"/>
        </w:rPr>
      </w:pPr>
      <w:r>
        <w:rPr>
          <w:rFonts w:ascii="Times New Roman" w:hAnsi="Times New Roman" w:cs="Times New Roman" w:hint="eastAsia"/>
          <w:color w:val="auto"/>
          <w:sz w:val="32"/>
          <w:szCs w:val="32"/>
          <w:highlight w:val="none"/>
          <w:lang w:eastAsia="zh-CN"/>
        </w:rPr>
        <w:t xml:space="preserve">（</w:t>
      </w:r>
      <w:r>
        <w:rPr>
          <w:rFonts w:ascii="Times New Roman" w:hAnsi="Times New Roman" w:cs="Times New Roman" w:hint="eastAsia"/>
          <w:color w:val="auto"/>
          <w:sz w:val="32"/>
          <w:szCs w:val="32"/>
          <w:highlight w:val="none"/>
          <w:lang w:val="en-US" w:eastAsia="zh-CN"/>
        </w:rPr>
        <w:t xml:space="preserve">2</w:t>
      </w:r>
      <w:r>
        <w:rPr>
          <w:rFonts w:ascii="Times New Roman" w:hAnsi="Times New Roman" w:cs="Times New Roman" w:hint="eastAsia"/>
          <w:color w:val="auto"/>
          <w:sz w:val="32"/>
          <w:szCs w:val="32"/>
          <w:highlight w:val="none"/>
          <w:lang w:eastAsia="zh-CN"/>
        </w:rPr>
        <w:t xml:space="preserve">）</w:t>
      </w:r>
      <w:r>
        <w:rPr>
          <w:rFonts w:ascii="Times New Roman" w:eastAsia="仿宋_GB2312" w:hAnsi="Times New Roman" w:cs="Times New Roman" w:hint="eastAsia"/>
          <w:color w:val="auto"/>
          <w:sz w:val="32"/>
          <w:szCs w:val="32"/>
          <w:highlight w:val="none"/>
          <w:lang w:eastAsia="zh-CN"/>
        </w:rPr>
        <w:t xml:space="preserve">东海子村活动用品</w:t>
      </w:r>
      <w:r>
        <w:rPr>
          <w:rFonts w:ascii="Times New Roman" w:eastAsia="仿宋_GB2312" w:hAnsi="Times New Roman" w:cs="Times New Roman" w:hint="eastAsia"/>
          <w:color w:val="auto"/>
          <w:sz w:val="32"/>
          <w:szCs w:val="32"/>
          <w:highlight w:val="none"/>
          <w:lang w:val="en-US" w:eastAsia="zh-CN"/>
        </w:rPr>
        <w:t xml:space="preserve">12000元，供应商：尉犁县中祥商贸有限公司</w:t>
      </w:r>
      <w:r>
        <w:rPr>
          <w:rFonts w:ascii="Times New Roman" w:hAnsi="Times New Roman" w:cs="Times New Roman" w:hint="eastAsia"/>
          <w:color w:val="auto"/>
          <w:sz w:val="32"/>
          <w:szCs w:val="32"/>
          <w:highlight w:val="none"/>
          <w:lang w:val="en-US" w:eastAsia="zh-CN"/>
        </w:rPr>
        <w:t xml:space="preserve">；</w:t>
      </w:r>
    </w:p>
    <w:p>
      <w:pPr>
        <w:bidi w:val="0"/>
        <w:jc w:val="both"/>
        <w:rPr>
          <w:rFonts w:ascii="Times New Roman" w:eastAsia="仿宋_GB2312" w:hAnsi="Times New Roman" w:cs="Times New Roman" w:hint="eastAsia"/>
          <w:color w:val="auto"/>
          <w:sz w:val="32"/>
          <w:szCs w:val="32"/>
          <w:highlight w:val="none"/>
          <w:lang w:val="en-US" w:eastAsia="zh-CN"/>
        </w:rPr>
      </w:pPr>
      <w:r>
        <w:rPr>
          <w:rFonts w:ascii="Times New Roman" w:hAnsi="Times New Roman" w:cs="Times New Roman" w:hint="eastAsia"/>
          <w:color w:val="auto"/>
          <w:sz w:val="32"/>
          <w:szCs w:val="32"/>
          <w:highlight w:val="none"/>
          <w:lang w:eastAsia="zh-CN"/>
        </w:rPr>
        <w:t xml:space="preserve">（</w:t>
      </w:r>
      <w:r>
        <w:rPr>
          <w:rFonts w:ascii="Times New Roman" w:hAnsi="Times New Roman" w:cs="Times New Roman" w:hint="eastAsia"/>
          <w:color w:val="auto"/>
          <w:sz w:val="32"/>
          <w:szCs w:val="32"/>
          <w:highlight w:val="none"/>
          <w:lang w:val="en-US" w:eastAsia="zh-CN"/>
        </w:rPr>
        <w:t xml:space="preserve">3</w:t>
      </w:r>
      <w:r>
        <w:rPr>
          <w:rFonts w:ascii="Times New Roman" w:hAnsi="Times New Roman" w:cs="Times New Roman" w:hint="eastAsia"/>
          <w:color w:val="auto"/>
          <w:sz w:val="32"/>
          <w:szCs w:val="32"/>
          <w:highlight w:val="none"/>
          <w:lang w:eastAsia="zh-CN"/>
        </w:rPr>
        <w:t xml:space="preserve">）</w:t>
      </w:r>
      <w:r>
        <w:rPr>
          <w:rFonts w:ascii="Times New Roman" w:eastAsia="仿宋_GB2312" w:hAnsi="Times New Roman" w:cs="Times New Roman" w:hint="eastAsia"/>
          <w:color w:val="auto"/>
          <w:sz w:val="32"/>
          <w:szCs w:val="32"/>
          <w:highlight w:val="none"/>
          <w:lang w:eastAsia="zh-CN"/>
        </w:rPr>
        <w:t xml:space="preserve">东海子村慰问粮油</w:t>
      </w:r>
      <w:r>
        <w:rPr>
          <w:rFonts w:ascii="Times New Roman" w:eastAsia="仿宋_GB2312" w:hAnsi="Times New Roman" w:cs="Times New Roman" w:hint="eastAsia"/>
          <w:color w:val="auto"/>
          <w:sz w:val="32"/>
          <w:szCs w:val="32"/>
          <w:highlight w:val="none"/>
          <w:lang w:val="en-US" w:eastAsia="zh-CN"/>
        </w:rPr>
        <w:t xml:space="preserve">11917.5元，供应商：尉犁县中祥商贸有限公司</w:t>
      </w:r>
      <w:r>
        <w:rPr>
          <w:rFonts w:ascii="Times New Roman" w:hAnsi="Times New Roman" w:cs="Times New Roman" w:hint="eastAsia"/>
          <w:color w:val="auto"/>
          <w:sz w:val="32"/>
          <w:szCs w:val="32"/>
          <w:highlight w:val="none"/>
          <w:lang w:val="en-US" w:eastAsia="zh-CN"/>
        </w:rPr>
        <w:t xml:space="preserve">；</w:t>
      </w:r>
    </w:p>
    <w:p>
      <w:pPr>
        <w:bidi w:val="0"/>
        <w:jc w:val="both"/>
        <w:rPr>
          <w:rFonts w:ascii="Times New Roman" w:eastAsia="仿宋_GB2312" w:hAnsi="Times New Roman" w:cs="Times New Roman" w:hint="eastAsia"/>
          <w:color w:val="auto"/>
          <w:sz w:val="32"/>
          <w:szCs w:val="32"/>
          <w:highlight w:val="none"/>
          <w:lang w:val="en-US" w:eastAsia="zh-CN"/>
        </w:rPr>
      </w:pPr>
      <w:r>
        <w:rPr>
          <w:rFonts w:ascii="Times New Roman" w:hAnsi="Times New Roman" w:cs="Times New Roman" w:hint="eastAsia"/>
          <w:color w:val="auto"/>
          <w:sz w:val="32"/>
          <w:szCs w:val="32"/>
          <w:highlight w:val="none"/>
          <w:lang w:eastAsia="zh-CN"/>
        </w:rPr>
        <w:t xml:space="preserve">（</w:t>
      </w:r>
      <w:r>
        <w:rPr>
          <w:rFonts w:ascii="Times New Roman" w:hAnsi="Times New Roman" w:cs="Times New Roman" w:hint="eastAsia"/>
          <w:color w:val="auto"/>
          <w:sz w:val="32"/>
          <w:szCs w:val="32"/>
          <w:highlight w:val="none"/>
          <w:lang w:val="en-US" w:eastAsia="zh-CN"/>
        </w:rPr>
        <w:t xml:space="preserve">4</w:t>
      </w:r>
      <w:r>
        <w:rPr>
          <w:rFonts w:ascii="Times New Roman" w:hAnsi="Times New Roman" w:cs="Times New Roman" w:hint="eastAsia"/>
          <w:color w:val="auto"/>
          <w:sz w:val="32"/>
          <w:szCs w:val="32"/>
          <w:highlight w:val="none"/>
          <w:lang w:eastAsia="zh-CN"/>
        </w:rPr>
        <w:t xml:space="preserve">）</w:t>
      </w:r>
      <w:r>
        <w:rPr>
          <w:rFonts w:ascii="Times New Roman" w:eastAsia="仿宋_GB2312" w:hAnsi="Times New Roman" w:cs="Times New Roman" w:hint="eastAsia"/>
          <w:color w:val="auto"/>
          <w:sz w:val="32"/>
          <w:szCs w:val="32"/>
          <w:highlight w:val="none"/>
          <w:lang w:eastAsia="zh-CN"/>
        </w:rPr>
        <w:t xml:space="preserve">阿克其开村刷墙</w:t>
      </w:r>
      <w:r>
        <w:rPr>
          <w:rFonts w:ascii="Times New Roman" w:eastAsia="仿宋_GB2312" w:hAnsi="Times New Roman" w:cs="Times New Roman" w:hint="eastAsia"/>
          <w:color w:val="auto"/>
          <w:sz w:val="32"/>
          <w:szCs w:val="32"/>
          <w:highlight w:val="none"/>
          <w:lang w:val="en-US" w:eastAsia="zh-CN"/>
        </w:rPr>
        <w:t xml:space="preserve">47492.83元，供应商：巴州宏飞工程服务有限公司</w:t>
      </w:r>
      <w:r>
        <w:rPr>
          <w:rFonts w:ascii="Times New Roman" w:hAnsi="Times New Roman" w:cs="Times New Roman" w:hint="eastAsia"/>
          <w:color w:val="auto"/>
          <w:sz w:val="32"/>
          <w:szCs w:val="32"/>
          <w:highlight w:val="none"/>
          <w:lang w:val="en-US" w:eastAsia="zh-CN"/>
        </w:rPr>
        <w:t xml:space="preserve">；</w:t>
      </w:r>
    </w:p>
    <w:p>
      <w:pPr>
        <w:bidi w:val="0"/>
        <w:jc w:val="both"/>
        <w:rPr>
          <w:rFonts w:ascii="Times New Roman" w:eastAsia="仿宋_GB2312" w:hAnsi="Times New Roman" w:cs="Times New Roman" w:hint="default"/>
          <w:color w:val="auto"/>
          <w:sz w:val="32"/>
          <w:szCs w:val="32"/>
          <w:highlight w:val="none"/>
          <w:lang w:val="en-US" w:eastAsia="zh-CN"/>
        </w:rPr>
      </w:pPr>
      <w:r>
        <w:rPr>
          <w:rFonts w:ascii="Times New Roman" w:hAnsi="Times New Roman" w:cs="Times New Roman" w:hint="eastAsia"/>
          <w:color w:val="auto"/>
          <w:sz w:val="32"/>
          <w:szCs w:val="32"/>
          <w:highlight w:val="none"/>
          <w:lang w:eastAsia="zh-CN"/>
        </w:rPr>
        <w:t xml:space="preserve">（</w:t>
      </w:r>
      <w:r>
        <w:rPr>
          <w:rFonts w:ascii="Times New Roman" w:hAnsi="Times New Roman" w:cs="Times New Roman" w:hint="eastAsia"/>
          <w:color w:val="auto"/>
          <w:sz w:val="32"/>
          <w:szCs w:val="32"/>
          <w:highlight w:val="none"/>
          <w:lang w:val="en-US" w:eastAsia="zh-CN"/>
        </w:rPr>
        <w:t xml:space="preserve">5</w:t>
      </w:r>
      <w:r>
        <w:rPr>
          <w:rFonts w:ascii="Times New Roman" w:hAnsi="Times New Roman" w:cs="Times New Roman" w:hint="eastAsia"/>
          <w:color w:val="auto"/>
          <w:sz w:val="32"/>
          <w:szCs w:val="32"/>
          <w:highlight w:val="none"/>
          <w:lang w:eastAsia="zh-CN"/>
        </w:rPr>
        <w:t xml:space="preserve">）</w:t>
      </w:r>
      <w:r>
        <w:rPr>
          <w:rFonts w:ascii="Times New Roman" w:eastAsia="仿宋_GB2312" w:hAnsi="Times New Roman" w:cs="Times New Roman" w:hint="eastAsia"/>
          <w:color w:val="auto"/>
          <w:sz w:val="32"/>
          <w:szCs w:val="32"/>
          <w:highlight w:val="none"/>
          <w:lang w:eastAsia="zh-CN"/>
        </w:rPr>
        <w:t xml:space="preserve">阿克其开村印刷款</w:t>
      </w:r>
      <w:r>
        <w:rPr>
          <w:rFonts w:ascii="Times New Roman" w:eastAsia="仿宋_GB2312" w:hAnsi="Times New Roman" w:cs="Times New Roman" w:hint="eastAsia"/>
          <w:color w:val="auto"/>
          <w:sz w:val="32"/>
          <w:szCs w:val="32"/>
          <w:highlight w:val="none"/>
          <w:lang w:val="en-US" w:eastAsia="zh-CN"/>
        </w:rPr>
        <w:t xml:space="preserve">6259元，供应商：尉犁县信达印刷厂</w:t>
      </w:r>
      <w:r>
        <w:rPr>
          <w:rFonts w:ascii="Times New Roman" w:hAnsi="Times New Roman" w:cs="Times New Roman" w:hint="eastAsia"/>
          <w:color w:val="auto"/>
          <w:sz w:val="32"/>
          <w:szCs w:val="32"/>
          <w:highlight w:val="none"/>
          <w:lang w:val="en-US" w:eastAsia="zh-CN"/>
        </w:rPr>
        <w:t xml:space="preserve">；</w:t>
      </w:r>
    </w:p>
    <w:p>
      <w:pPr>
        <w:bidi w:val="0"/>
        <w:jc w:val="both"/>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eastAsia"/>
          <w:color w:val="auto"/>
          <w:sz w:val="32"/>
          <w:szCs w:val="32"/>
          <w:highlight w:val="none"/>
          <w:lang w:val="en-US" w:eastAsia="zh-CN"/>
        </w:rPr>
        <w:t xml:space="preserve">（6）</w:t>
      </w:r>
      <w:r>
        <w:rPr>
          <w:rFonts w:ascii="Times New Roman" w:eastAsia="仿宋_GB2312" w:hAnsi="Times New Roman" w:cs="Times New Roman" w:hint="eastAsia"/>
          <w:color w:val="auto"/>
          <w:sz w:val="32"/>
          <w:szCs w:val="32"/>
          <w:highlight w:val="none"/>
          <w:lang w:eastAsia="zh-CN"/>
        </w:rPr>
        <w:t xml:space="preserve">阿克其开村宣传制作款</w:t>
      </w:r>
      <w:r>
        <w:rPr>
          <w:rFonts w:ascii="Times New Roman" w:eastAsia="仿宋_GB2312" w:hAnsi="Times New Roman" w:cs="Times New Roman" w:hint="eastAsia"/>
          <w:color w:val="auto"/>
          <w:sz w:val="32"/>
          <w:szCs w:val="32"/>
          <w:highlight w:val="none"/>
          <w:lang w:val="en-US" w:eastAsia="zh-CN"/>
        </w:rPr>
        <w:t xml:space="preserve">7600元，供应商：尉犁县新龙广告有限公司</w:t>
      </w:r>
      <w:r>
        <w:rPr>
          <w:rFonts w:ascii="Times New Roman" w:hAnsi="Times New Roman" w:cs="Times New Roman" w:hint="eastAsia"/>
          <w:color w:val="auto"/>
          <w:sz w:val="32"/>
          <w:szCs w:val="32"/>
          <w:highlight w:val="none"/>
          <w:lang w:val="en-US" w:eastAsia="zh-CN"/>
        </w:rPr>
        <w:t xml:space="preserve">；</w:t>
      </w:r>
    </w:p>
    <w:p>
      <w:pPr>
        <w:bidi w:val="0"/>
        <w:jc w:val="both"/>
        <w:rPr>
          <w:rFonts w:ascii="Times New Roman" w:eastAsia="仿宋_GB2312" w:hAnsi="Times New Roman" w:cs="Times New Roman" w:hint="eastAsia"/>
          <w:color w:val="auto"/>
          <w:sz w:val="32"/>
          <w:szCs w:val="32"/>
          <w:highlight w:val="none"/>
          <w:lang w:val="en-US" w:eastAsia="zh-CN"/>
        </w:rPr>
      </w:pPr>
      <w:r>
        <w:rPr>
          <w:rFonts w:ascii="Times New Roman" w:eastAsia="仿宋_GB2312" w:hAnsi="Times New Roman" w:cs="Times New Roman" w:hint="eastAsia"/>
          <w:color w:val="auto"/>
          <w:sz w:val="32"/>
          <w:szCs w:val="32"/>
          <w:highlight w:val="none"/>
          <w:lang w:val="en-US" w:eastAsia="zh-CN"/>
        </w:rPr>
        <w:t xml:space="preserve">（7）</w:t>
      </w:r>
      <w:r>
        <w:rPr>
          <w:rFonts w:ascii="Times New Roman" w:eastAsia="仿宋_GB2312" w:hAnsi="Times New Roman" w:cs="Times New Roman" w:hint="eastAsia"/>
          <w:color w:val="auto"/>
          <w:sz w:val="32"/>
          <w:szCs w:val="32"/>
          <w:highlight w:val="none"/>
          <w:lang w:eastAsia="zh-CN"/>
        </w:rPr>
        <w:t xml:space="preserve">阿克其开村宣传制作款</w:t>
      </w:r>
      <w:r>
        <w:rPr>
          <w:rFonts w:ascii="Times New Roman" w:eastAsia="仿宋_GB2312" w:hAnsi="Times New Roman" w:cs="Times New Roman" w:hint="eastAsia"/>
          <w:color w:val="auto"/>
          <w:sz w:val="32"/>
          <w:szCs w:val="32"/>
          <w:highlight w:val="none"/>
          <w:lang w:val="en-US" w:eastAsia="zh-CN"/>
        </w:rPr>
        <w:t xml:space="preserve">9890.45元，供应商：尉犁金阳广告装饰有限责任公司</w:t>
      </w:r>
      <w:r>
        <w:rPr>
          <w:rFonts w:ascii="Times New Roman" w:hAnsi="Times New Roman" w:cs="Times New Roman" w:hint="eastAsia"/>
          <w:color w:val="auto"/>
          <w:sz w:val="32"/>
          <w:szCs w:val="32"/>
          <w:highlight w:val="none"/>
          <w:lang w:val="en-US" w:eastAsia="zh-CN"/>
        </w:rPr>
        <w:t xml:space="preserve">；</w:t>
      </w:r>
    </w:p>
    <w:p>
      <w:pPr>
        <w:bidi w:val="0"/>
        <w:jc w:val="both"/>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eastAsia"/>
          <w:color w:val="auto"/>
          <w:sz w:val="32"/>
          <w:szCs w:val="32"/>
          <w:highlight w:val="none"/>
          <w:lang w:val="en-US" w:eastAsia="zh-CN"/>
        </w:rPr>
        <w:t xml:space="preserve">（8）</w:t>
      </w:r>
      <w:r>
        <w:rPr>
          <w:rFonts w:ascii="Times New Roman" w:eastAsia="仿宋_GB2312" w:hAnsi="Times New Roman" w:cs="Times New Roman" w:hint="eastAsia"/>
          <w:color w:val="auto"/>
          <w:sz w:val="32"/>
          <w:szCs w:val="32"/>
          <w:highlight w:val="none"/>
          <w:lang w:eastAsia="zh-CN"/>
        </w:rPr>
        <w:t xml:space="preserve">阿克其开村活动用品款</w:t>
      </w:r>
      <w:r>
        <w:rPr>
          <w:rFonts w:ascii="Times New Roman" w:eastAsia="仿宋_GB2312" w:hAnsi="Times New Roman" w:cs="Times New Roman" w:hint="eastAsia"/>
          <w:color w:val="auto"/>
          <w:sz w:val="32"/>
          <w:szCs w:val="32"/>
          <w:highlight w:val="none"/>
          <w:lang w:val="en-US" w:eastAsia="zh-CN"/>
        </w:rPr>
        <w:t xml:space="preserve">24000元，供应商：尉犁县中祥商贸有限公司</w:t>
      </w:r>
      <w:r>
        <w:rPr>
          <w:rFonts w:ascii="Times New Roman" w:hAnsi="Times New Roman" w:cs="Times New Roman" w:hint="eastAsia"/>
          <w:color w:val="auto"/>
          <w:sz w:val="32"/>
          <w:szCs w:val="32"/>
          <w:highlight w:val="none"/>
          <w:lang w:val="en-US" w:eastAsia="zh-CN"/>
        </w:rPr>
        <w:t xml:space="preserve">。</w:t>
      </w:r>
    </w:p>
    <w:p>
      <w:pPr>
        <w:pStyle w:val="Heading3"/>
        <w:bidi w:val="0"/>
        <w:jc w:val="both"/>
        <w:outlineLvl w:val="1"/>
        <w:rPr>
          <w:rFonts w:ascii="Times New Roman" w:eastAsia="楷体" w:hAnsi="Times New Roman" w:cs="Times New Roman" w:hint="default"/>
          <w:color w:val="auto"/>
          <w:highlight w:val="none"/>
        </w:rPr>
      </w:pPr>
      <w:bookmarkStart w:id="29" w:name="_Toc12213"/>
      <w:bookmarkStart w:id="30" w:name="_Toc9567"/>
      <w:bookmarkStart w:id="31" w:name="_Toc14296"/>
      <w:bookmarkStart w:id="32" w:name="_Toc31302"/>
      <w:bookmarkStart w:id="33" w:name="_Toc11967"/>
      <w:bookmarkStart w:id="34" w:name="_Toc26395"/>
      <w:r>
        <w:rPr>
          <w:rFonts w:ascii="Times New Roman" w:eastAsia="楷体" w:hAnsi="Times New Roman" w:cs="Times New Roman" w:hint="default"/>
          <w:color w:val="auto"/>
          <w:highlight w:val="none"/>
        </w:rPr>
        <w:t xml:space="preserve">（二）项目绩效目标</w:t>
      </w:r>
      <w:bookmarkEnd w:id="29"/>
      <w:bookmarkEnd w:id="30"/>
      <w:bookmarkEnd w:id="31"/>
      <w:bookmarkEnd w:id="32"/>
      <w:bookmarkEnd w:id="33"/>
      <w:bookmarkEnd w:id="34"/>
    </w:p>
    <w:p>
      <w:pPr>
        <w:bidi w:val="0"/>
        <w:jc w:val="both"/>
        <w:rPr>
          <w:rFonts w:ascii="Times New Roman" w:eastAsia="仿宋_GB2312" w:hAnsi="Times New Roman" w:cs="Times New Roman" w:hint="default"/>
          <w:b/>
          <w:bCs/>
          <w:color w:val="auto"/>
          <w:highlight w:val="none"/>
        </w:rPr>
      </w:pPr>
      <w:bookmarkStart w:id="35" w:name="_Toc18809"/>
      <w:bookmarkStart w:id="36" w:name="_Toc905"/>
      <w:r>
        <w:rPr>
          <w:rFonts w:ascii="Times New Roman" w:eastAsia="仿宋_GB2312" w:hAnsi="Times New Roman" w:cs="Times New Roman" w:hint="default"/>
          <w:b/>
          <w:bCs/>
          <w:color w:val="auto"/>
          <w:highlight w:val="none"/>
        </w:rPr>
        <w:t xml:space="preserve">1.总体目标</w:t>
      </w:r>
      <w:bookmarkEnd w:id="35"/>
      <w:bookmarkEnd w:id="36"/>
    </w:p>
    <w:p>
      <w:pPr>
        <w:keepLines w:val="0"/>
        <w:pageBreakBefore w:val="0"/>
        <w:widowControl w:val="0"/>
        <w:kinsoku/>
        <w:wordWrap/>
        <w:overflowPunct/>
        <w:topLinePunct w:val="0"/>
        <w:autoSpaceDE/>
        <w:autoSpaceDN/>
        <w:bidi w:val="0"/>
        <w:adjustRightInd/>
        <w:snapToGrid/>
        <w:textAlignment w:val="auto"/>
        <w:outlineLvl w:val="9"/>
        <w:rPr>
          <w:rFonts w:ascii="Times New Roman" w:eastAsia="仿宋_GB2312" w:hAnsi="Times New Roman" w:cs="Times New Roman" w:hint="default"/>
          <w:b w:val="0"/>
          <w:bCs w:val="0"/>
          <w:iCs w:val="0"/>
          <w:color w:val="auto"/>
          <w:kern w:val="2"/>
          <w:sz w:val="32"/>
          <w:szCs w:val="32"/>
          <w:highlight w:val="none"/>
          <w:lang w:val="en-US" w:eastAsia="zh-CN" w:bidi="ar-SA"/>
        </w:rPr>
      </w:pPr>
      <w:r>
        <w:rPr>
          <w:rFonts w:ascii="Times New Roman" w:eastAsia="仿宋_GB2312" w:hAnsi="Times New Roman" w:cs="Times New Roman" w:hint="default"/>
          <w:b w:val="0"/>
          <w:bCs w:val="0"/>
          <w:iCs w:val="0"/>
          <w:color w:val="auto"/>
          <w:kern w:val="2"/>
          <w:sz w:val="32"/>
          <w:szCs w:val="32"/>
          <w:highlight w:val="none"/>
          <w:lang w:val="en-US" w:eastAsia="zh-CN" w:bidi="ar-SA"/>
        </w:rPr>
        <w:t xml:space="preserve">为民办实事工作，普惠各族群众，更好的开展群众工作，访贫问苦，为群众送温暖，慰问困难群众50户，及时将党和政府的温暖送到各族群众的心坎上；2、为丰富村民业余文化生活，采购活动用品4批，开展各种活动；3、加强农村环境整治，粉刷墙体，整体提升村容村貌，提升村民生活居住质量。</w:t>
      </w:r>
    </w:p>
    <w:p>
      <w:pPr>
        <w:bidi w:val="0"/>
        <w:jc w:val="both"/>
        <w:rPr>
          <w:rFonts w:ascii="Times New Roman" w:eastAsia="仿宋_GB2312" w:hAnsi="Times New Roman" w:cs="Times New Roman" w:hint="default"/>
          <w:b/>
          <w:bCs/>
          <w:color w:val="auto"/>
          <w:highlight w:val="none"/>
        </w:rPr>
      </w:pPr>
      <w:bookmarkStart w:id="37" w:name="_Toc11195"/>
      <w:bookmarkStart w:id="38" w:name="_Toc10045"/>
      <w:r>
        <w:rPr>
          <w:rFonts w:ascii="Times New Roman" w:eastAsia="仿宋_GB2312" w:hAnsi="Times New Roman" w:cs="Times New Roman" w:hint="default"/>
          <w:b/>
          <w:bCs/>
          <w:color w:val="auto"/>
          <w:highlight w:val="none"/>
        </w:rPr>
        <w:t xml:space="preserve">2.阶段性目标</w:t>
      </w:r>
      <w:bookmarkEnd w:id="37"/>
      <w:bookmarkEnd w:id="38"/>
    </w:p>
    <w:p>
      <w:pPr>
        <w:keepLines w:val="0"/>
        <w:pageBreakBefore w:val="0"/>
        <w:widowControl w:val="0"/>
        <w:kinsoku/>
        <w:wordWrap/>
        <w:overflowPunct/>
        <w:topLinePunct w:val="0"/>
        <w:autoSpaceDE/>
        <w:autoSpaceDN/>
        <w:bidi w:val="0"/>
        <w:adjustRightInd/>
        <w:snapToGrid/>
        <w:textAlignment w:val="auto"/>
        <w:outlineLvl w:val="9"/>
        <w:rPr>
          <w:rFonts w:ascii="Times New Roman" w:eastAsia="仿宋_GB2312" w:hAnsi="Times New Roman" w:cs="Times New Roman" w:hint="eastAsia"/>
          <w:b w:val="0"/>
          <w:bCs w:val="0"/>
          <w:iCs w:val="0"/>
          <w:color w:val="auto"/>
          <w:kern w:val="2"/>
          <w:sz w:val="32"/>
          <w:szCs w:val="32"/>
          <w:highlight w:val="none"/>
          <w:lang w:val="en-US" w:eastAsia="zh-CN" w:bidi="ar-SA"/>
        </w:rPr>
      </w:pPr>
      <w:bookmarkStart w:id="39" w:name="_Toc31122"/>
      <w:bookmarkStart w:id="40" w:name="_Toc25321"/>
      <w:bookmarkStart w:id="41" w:name="_Toc6156"/>
      <w:bookmarkStart w:id="42" w:name="_Toc857"/>
      <w:bookmarkStart w:id="43" w:name="_Toc6534"/>
      <w:r>
        <w:rPr>
          <w:rFonts w:ascii="Times New Roman" w:eastAsia="仿宋_GB2312" w:hAnsi="Times New Roman" w:cs="Times New Roman" w:hint="eastAsia"/>
          <w:b w:val="0"/>
          <w:bCs w:val="0"/>
          <w:iCs w:val="0"/>
          <w:color w:val="auto"/>
          <w:kern w:val="2"/>
          <w:sz w:val="32"/>
          <w:szCs w:val="32"/>
          <w:highlight w:val="none"/>
          <w:lang w:val="en-US" w:eastAsia="zh-CN" w:bidi="ar-SA"/>
        </w:rPr>
        <w:t xml:space="preserve">（1）访贫问苦，为群众送温暖，年底完成本年度走访群众户数50户。</w:t>
      </w:r>
    </w:p>
    <w:p>
      <w:pPr>
        <w:keepLines w:val="0"/>
        <w:pageBreakBefore w:val="0"/>
        <w:widowControl w:val="0"/>
        <w:kinsoku/>
        <w:wordWrap/>
        <w:overflowPunct/>
        <w:topLinePunct w:val="0"/>
        <w:autoSpaceDE/>
        <w:autoSpaceDN/>
        <w:bidi w:val="0"/>
        <w:adjustRightInd/>
        <w:snapToGrid/>
        <w:textAlignment w:val="auto"/>
        <w:outlineLvl w:val="9"/>
        <w:rPr>
          <w:rFonts w:ascii="Times New Roman" w:eastAsia="仿宋_GB2312" w:hAnsi="Times New Roman" w:cs="Times New Roman" w:hint="eastAsia"/>
          <w:b w:val="0"/>
          <w:bCs w:val="0"/>
          <w:iCs w:val="0"/>
          <w:color w:val="auto"/>
          <w:kern w:val="2"/>
          <w:sz w:val="32"/>
          <w:szCs w:val="32"/>
          <w:highlight w:val="none"/>
          <w:lang w:val="en-US" w:eastAsia="zh-CN" w:bidi="ar-SA"/>
        </w:rPr>
      </w:pPr>
      <w:r>
        <w:rPr>
          <w:rFonts w:ascii="Times New Roman" w:hAnsi="Times New Roman" w:cs="Times New Roman" w:hint="eastAsia"/>
          <w:b w:val="0"/>
          <w:bCs w:val="0"/>
          <w:iCs w:val="0"/>
          <w:color w:val="auto"/>
          <w:kern w:val="2"/>
          <w:sz w:val="32"/>
          <w:szCs w:val="32"/>
          <w:highlight w:val="none"/>
          <w:lang w:val="en-US" w:eastAsia="zh-CN" w:bidi="ar-SA"/>
        </w:rPr>
        <w:t xml:space="preserve">（2）</w:t>
      </w:r>
      <w:r>
        <w:rPr>
          <w:rFonts w:ascii="Times New Roman" w:eastAsia="仿宋_GB2312" w:hAnsi="Times New Roman" w:cs="Times New Roman" w:hint="eastAsia"/>
          <w:b w:val="0"/>
          <w:bCs w:val="0"/>
          <w:iCs w:val="0"/>
          <w:color w:val="auto"/>
          <w:kern w:val="2"/>
          <w:sz w:val="32"/>
          <w:szCs w:val="32"/>
          <w:highlight w:val="none"/>
          <w:lang w:val="en-US" w:eastAsia="zh-CN" w:bidi="ar-SA"/>
        </w:rPr>
        <w:t xml:space="preserve">完成四组围墙修缮2917平</w:t>
      </w:r>
      <w:r>
        <w:rPr>
          <w:rFonts w:ascii="Times New Roman" w:hAnsi="Times New Roman" w:cs="Times New Roman" w:hint="eastAsia"/>
          <w:b w:val="0"/>
          <w:bCs w:val="0"/>
          <w:iCs w:val="0"/>
          <w:color w:val="auto"/>
          <w:kern w:val="2"/>
          <w:sz w:val="32"/>
          <w:szCs w:val="32"/>
          <w:highlight w:val="none"/>
          <w:lang w:val="en-US" w:eastAsia="zh-CN" w:bidi="ar-SA"/>
        </w:rPr>
        <w:t xml:space="preserve">方</w:t>
      </w:r>
      <w:r>
        <w:rPr>
          <w:rFonts w:ascii="Times New Roman" w:eastAsia="仿宋_GB2312" w:hAnsi="Times New Roman" w:cs="Times New Roman" w:hint="eastAsia"/>
          <w:b w:val="0"/>
          <w:bCs w:val="0"/>
          <w:iCs w:val="0"/>
          <w:color w:val="auto"/>
          <w:kern w:val="2"/>
          <w:sz w:val="32"/>
          <w:szCs w:val="32"/>
          <w:highlight w:val="none"/>
          <w:lang w:val="en-US" w:eastAsia="zh-CN" w:bidi="ar-SA"/>
        </w:rPr>
        <w:t xml:space="preserve">米，提升村容村貌、改善村民人居环境。</w:t>
      </w:r>
    </w:p>
    <w:p>
      <w:pPr>
        <w:keepLines w:val="0"/>
        <w:pageBreakBefore w:val="0"/>
        <w:widowControl w:val="0"/>
        <w:kinsoku/>
        <w:wordWrap/>
        <w:overflowPunct/>
        <w:topLinePunct w:val="0"/>
        <w:autoSpaceDE/>
        <w:autoSpaceDN/>
        <w:bidi w:val="0"/>
        <w:adjustRightInd/>
        <w:snapToGrid/>
        <w:jc w:val="both"/>
        <w:textAlignment w:val="auto"/>
        <w:outlineLvl w:val="9"/>
        <w:rPr>
          <w:rFonts w:ascii="Times New Roman" w:eastAsia="仿宋_GB2312" w:hAnsi="Times New Roman" w:cs="Times New Roman" w:hint="eastAsia"/>
          <w:b w:val="0"/>
          <w:bCs w:val="0"/>
          <w:iCs w:val="0"/>
          <w:color w:val="auto"/>
          <w:kern w:val="2"/>
          <w:sz w:val="32"/>
          <w:szCs w:val="32"/>
          <w:highlight w:val="none"/>
          <w:lang w:val="en-US" w:eastAsia="zh-CN" w:bidi="ar-SA"/>
        </w:rPr>
      </w:pPr>
      <w:r>
        <w:rPr>
          <w:rFonts w:ascii="Times New Roman" w:eastAsia="仿宋_GB2312" w:hAnsi="Times New Roman" w:cs="Times New Roman" w:hint="eastAsia"/>
          <w:b w:val="0"/>
          <w:bCs w:val="0"/>
          <w:iCs w:val="0"/>
          <w:color w:val="auto"/>
          <w:kern w:val="2"/>
          <w:sz w:val="32"/>
          <w:szCs w:val="32"/>
          <w:highlight w:val="none"/>
          <w:lang w:val="en-US" w:eastAsia="zh-CN" w:bidi="ar-SA"/>
        </w:rPr>
        <w:t xml:space="preserve">（3）</w:t>
      </w:r>
      <w:r>
        <w:rPr>
          <w:rFonts w:ascii="Times New Roman" w:eastAsia="仿宋_GB2312" w:hAnsi="Times New Roman" w:cs="Times New Roman" w:hint="default"/>
          <w:b w:val="0"/>
          <w:bCs w:val="0"/>
          <w:iCs w:val="0"/>
          <w:color w:val="auto"/>
          <w:kern w:val="2"/>
          <w:sz w:val="32"/>
          <w:szCs w:val="32"/>
          <w:highlight w:val="none"/>
          <w:lang w:val="en-US" w:eastAsia="zh-CN" w:bidi="ar-SA"/>
        </w:rPr>
        <w:t xml:space="preserve">采购活动用品4批，开展各种活动</w:t>
      </w:r>
      <w:r>
        <w:rPr>
          <w:rFonts w:ascii="Times New Roman" w:eastAsia="仿宋_GB2312" w:hAnsi="Times New Roman" w:cs="Times New Roman" w:hint="eastAsia"/>
          <w:b w:val="0"/>
          <w:bCs w:val="0"/>
          <w:iCs w:val="0"/>
          <w:color w:val="auto"/>
          <w:kern w:val="2"/>
          <w:sz w:val="32"/>
          <w:szCs w:val="32"/>
          <w:highlight w:val="none"/>
          <w:lang w:val="en-US" w:eastAsia="zh-CN" w:bidi="ar-SA"/>
        </w:rPr>
        <w:t xml:space="preserve">，</w:t>
      </w:r>
      <w:r>
        <w:rPr>
          <w:rFonts w:ascii="Times New Roman" w:eastAsia="仿宋_GB2312" w:hAnsi="Times New Roman" w:cs="Times New Roman" w:hint="default"/>
          <w:b w:val="0"/>
          <w:bCs w:val="0"/>
          <w:iCs w:val="0"/>
          <w:color w:val="auto"/>
          <w:kern w:val="2"/>
          <w:sz w:val="32"/>
          <w:szCs w:val="32"/>
          <w:highlight w:val="none"/>
          <w:lang w:val="en-US" w:eastAsia="zh-CN" w:bidi="ar-SA"/>
        </w:rPr>
        <w:t xml:space="preserve">丰富村民业余文化生</w:t>
      </w:r>
      <w:r>
        <w:rPr>
          <w:rFonts w:ascii="Times New Roman" w:eastAsia="仿宋_GB2312" w:hAnsi="Times New Roman" w:cs="Times New Roman" w:hint="eastAsia"/>
          <w:b w:val="0"/>
          <w:bCs w:val="0"/>
          <w:iCs w:val="0"/>
          <w:color w:val="auto"/>
          <w:kern w:val="2"/>
          <w:sz w:val="32"/>
          <w:szCs w:val="32"/>
          <w:highlight w:val="none"/>
          <w:lang w:val="en-US" w:eastAsia="zh-CN" w:bidi="ar-SA"/>
        </w:rPr>
        <w:t xml:space="preserve">活，确保驻村工作队有钱办事、把实事办实、把好事办好。</w:t>
      </w:r>
    </w:p>
    <w:p>
      <w:pPr>
        <w:pStyle w:val="Heading2"/>
        <w:bidi w:val="0"/>
        <w:jc w:val="both"/>
        <w:outlineLvl w:val="0"/>
        <w:rPr>
          <w:rFonts w:ascii="Times New Roman" w:eastAsia="黑体" w:hAnsi="Times New Roman" w:cs="Times New Roman" w:hint="default"/>
          <w:color w:val="auto"/>
          <w:highlight w:val="none"/>
        </w:rPr>
      </w:pPr>
      <w:bookmarkStart w:id="44" w:name="_Toc9477"/>
      <w:r>
        <w:rPr>
          <w:rFonts w:ascii="Times New Roman" w:eastAsia="黑体" w:hAnsi="Times New Roman" w:cs="Times New Roman" w:hint="default"/>
          <w:color w:val="auto"/>
          <w:highlight w:val="none"/>
        </w:rPr>
        <w:t xml:space="preserve">二、绩效评价工作开展情况</w:t>
      </w:r>
      <w:bookmarkEnd w:id="39"/>
      <w:bookmarkEnd w:id="40"/>
      <w:bookmarkEnd w:id="41"/>
      <w:bookmarkEnd w:id="42"/>
      <w:bookmarkEnd w:id="43"/>
      <w:bookmarkEnd w:id="44"/>
    </w:p>
    <w:p>
      <w:pPr>
        <w:pStyle w:val="Heading3"/>
        <w:bidi w:val="0"/>
        <w:jc w:val="both"/>
        <w:outlineLvl w:val="1"/>
        <w:rPr>
          <w:rFonts w:ascii="Times New Roman" w:eastAsia="楷体" w:hAnsi="Times New Roman" w:cs="Times New Roman" w:hint="default"/>
          <w:color w:val="auto"/>
          <w:highlight w:val="none"/>
        </w:rPr>
      </w:pPr>
      <w:bookmarkStart w:id="45" w:name="_Toc10300"/>
      <w:bookmarkStart w:id="46" w:name="_Toc30569"/>
      <w:bookmarkStart w:id="47" w:name="_Toc17516"/>
      <w:bookmarkStart w:id="48" w:name="_Toc18365"/>
      <w:bookmarkStart w:id="49" w:name="_Toc32557"/>
      <w:r>
        <w:rPr>
          <w:rFonts w:ascii="Times New Roman" w:eastAsia="楷体" w:hAnsi="Times New Roman" w:cs="Times New Roman" w:hint="default"/>
          <w:color w:val="auto"/>
          <w:highlight w:val="none"/>
        </w:rPr>
        <w:t xml:space="preserve">（一）绩效评价目的、对象和范围</w:t>
      </w:r>
      <w:bookmarkEnd w:id="45"/>
      <w:bookmarkEnd w:id="46"/>
      <w:bookmarkEnd w:id="47"/>
      <w:bookmarkEnd w:id="48"/>
      <w:bookmarkEnd w:id="49"/>
    </w:p>
    <w:p>
      <w:pPr>
        <w:bidi w:val="0"/>
        <w:jc w:val="both"/>
        <w:rPr>
          <w:rFonts w:ascii="Times New Roman" w:eastAsia="仿宋_GB2312" w:hAnsi="Times New Roman" w:cs="Times New Roman" w:hint="default"/>
          <w:b/>
          <w:bCs/>
          <w:color w:val="auto"/>
          <w:highlight w:val="none"/>
        </w:rPr>
      </w:pPr>
      <w:bookmarkStart w:id="50" w:name="_Toc12440"/>
      <w:bookmarkStart w:id="51" w:name="_Toc11562"/>
      <w:r>
        <w:rPr>
          <w:rFonts w:ascii="Times New Roman" w:eastAsia="仿宋_GB2312" w:hAnsi="Times New Roman" w:cs="Times New Roman" w:hint="default"/>
          <w:b/>
          <w:bCs/>
          <w:color w:val="auto"/>
          <w:highlight w:val="none"/>
        </w:rPr>
        <w:t xml:space="preserve">1.绩效评价目的</w:t>
      </w:r>
      <w:bookmarkEnd w:id="50"/>
      <w:bookmarkEnd w:id="51"/>
    </w:p>
    <w:p>
      <w:pPr>
        <w:bidi w:val="0"/>
        <w:jc w:val="both"/>
        <w:rPr>
          <w:color w:val="auto"/>
          <w:highlight w:val="none"/>
        </w:rPr>
      </w:pPr>
      <w:r>
        <w:rPr>
          <w:rFonts w:ascii="Times New Roman" w:eastAsia="仿宋_GB2312" w:hAnsi="Times New Roman" w:cs="Times New Roman" w:hint="default"/>
          <w:color w:val="auto"/>
          <w:highlight w:val="none"/>
        </w:rPr>
        <w:t xml:space="preserve">本次绩效评价遵循财政部《关于印发</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项目支出绩效评价管理办法</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的通知》（财预〔2020〕10号）文件精神，对</w:t>
      </w:r>
      <w:r>
        <w:rPr>
          <w:rFonts w:ascii="Times New Roman" w:hAnsi="Times New Roman" w:cs="Times New Roman" w:hint="eastAsia"/>
          <w:color w:val="auto"/>
          <w:highlight w:val="none"/>
          <w:lang w:eastAsia="zh-CN"/>
        </w:rPr>
        <w:t xml:space="preserve">2024年政府办驻村工作队为民办实事经费项目</w:t>
      </w:r>
      <w:r>
        <w:rPr>
          <w:rFonts w:ascii="Times New Roman" w:eastAsia="仿宋_GB2312" w:hAnsi="Times New Roman" w:cs="Times New Roman" w:hint="default"/>
          <w:color w:val="auto"/>
          <w:highlight w:val="none"/>
        </w:rPr>
        <w:t xml:space="preserve">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r>
        <w:rPr>
          <w:rFonts w:hint="eastAsia"/>
          <w:color w:val="auto"/>
          <w:highlight w:val="none"/>
        </w:rPr>
        <w:t xml:space="preserve">具体绩效评价的目的细分如下：</w:t>
      </w:r>
    </w:p>
    <w:p>
      <w:pPr>
        <w:ind w:firstLine="560"/>
        <w:rPr>
          <w:color w:val="auto"/>
          <w:highlight w:val="none"/>
        </w:rPr>
      </w:pPr>
      <w:r>
        <w:rPr>
          <w:rFonts w:hint="eastAsia"/>
          <w:color w:val="auto"/>
          <w:highlight w:val="none"/>
        </w:rPr>
        <w:t xml:space="preserve">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 xml:space="preserve">，</w:t>
      </w:r>
      <w:r>
        <w:rPr>
          <w:rFonts w:hint="eastAsia"/>
          <w:color w:val="auto"/>
          <w:highlight w:val="none"/>
        </w:rPr>
        <w:t xml:space="preserve">提升财政资金的使用效能。</w:t>
      </w:r>
    </w:p>
    <w:p>
      <w:pPr>
        <w:ind w:firstLine="560"/>
        <w:rPr>
          <w:color w:val="auto"/>
          <w:highlight w:val="none"/>
        </w:rPr>
      </w:pPr>
      <w:r>
        <w:rPr>
          <w:rFonts w:hint="eastAsia"/>
          <w:color w:val="auto"/>
          <w:highlight w:val="none"/>
        </w:rPr>
        <w:t xml:space="preserve">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pPr>
        <w:ind w:firstLine="560"/>
        <w:rPr>
          <w:color w:val="auto"/>
          <w:highlight w:val="none"/>
        </w:rPr>
      </w:pPr>
      <w:r>
        <w:rPr>
          <w:rFonts w:hint="eastAsia"/>
          <w:color w:val="auto"/>
          <w:highlight w:val="none"/>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rPr>
          <w:rFonts w:hint="default"/>
          <w:color w:val="auto"/>
          <w:highlight w:val="none"/>
        </w:rPr>
      </w:pPr>
      <w:r>
        <w:rPr>
          <w:rFonts w:hint="eastAsia"/>
          <w:color w:val="auto"/>
          <w:highlight w:val="none"/>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bidi w:val="0"/>
        <w:jc w:val="both"/>
        <w:rPr>
          <w:rFonts w:ascii="Times New Roman" w:eastAsia="仿宋_GB2312" w:hAnsi="Times New Roman" w:cs="Times New Roman" w:hint="default"/>
          <w:b/>
          <w:bCs/>
          <w:color w:val="auto"/>
          <w:highlight w:val="none"/>
        </w:rPr>
      </w:pPr>
      <w:bookmarkStart w:id="52" w:name="_Toc8924"/>
      <w:bookmarkStart w:id="53" w:name="_Toc2159"/>
      <w:r>
        <w:rPr>
          <w:rFonts w:ascii="Times New Roman" w:eastAsia="仿宋_GB2312" w:hAnsi="Times New Roman" w:cs="Times New Roman" w:hint="default"/>
          <w:b/>
          <w:bCs/>
          <w:color w:val="auto"/>
          <w:highlight w:val="none"/>
        </w:rPr>
        <w:t xml:space="preserve">2.绩效评价对象</w:t>
      </w:r>
      <w:bookmarkEnd w:id="52"/>
      <w:r>
        <w:rPr>
          <w:rFonts w:ascii="Times New Roman" w:eastAsia="仿宋_GB2312" w:hAnsi="Times New Roman" w:cs="Times New Roman" w:hint="default"/>
          <w:b/>
          <w:bCs/>
          <w:color w:val="auto"/>
          <w:highlight w:val="none"/>
        </w:rPr>
        <w:t xml:space="preserve">和范围</w:t>
      </w:r>
      <w:bookmarkEnd w:id="53"/>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根据《财政支出绩效评价管理办法》（财预〔2020〕10号）文件要求，对</w:t>
      </w:r>
      <w:r>
        <w:rPr>
          <w:rFonts w:ascii="Times New Roman" w:hAnsi="Times New Roman" w:cs="Times New Roman" w:hint="eastAsia"/>
          <w:color w:val="auto"/>
          <w:highlight w:val="none"/>
          <w:lang w:eastAsia="zh-CN"/>
        </w:rPr>
        <w:t xml:space="preserve">2024年政府办驻村工作队为民办实事经费项目</w:t>
      </w:r>
      <w:r>
        <w:rPr>
          <w:rFonts w:ascii="Times New Roman" w:eastAsia="仿宋_GB2312" w:hAnsi="Times New Roman" w:cs="Times New Roman" w:hint="default"/>
          <w:color w:val="auto"/>
          <w:highlight w:val="none"/>
        </w:rPr>
        <w:t xml:space="preserve">开展绩效评价，本次绩效评价范围主要围绕项目决策（包括项目</w:t>
      </w:r>
      <w:r>
        <w:rPr>
          <w:rFonts w:ascii="Times New Roman" w:hAnsi="Times New Roman" w:cs="Times New Roman" w:hint="eastAsia"/>
          <w:color w:val="auto"/>
          <w:highlight w:val="none"/>
          <w:lang w:eastAsia="zh-CN"/>
        </w:rPr>
        <w:t xml:space="preserve">实施</w:t>
      </w:r>
      <w:r>
        <w:rPr>
          <w:rFonts w:ascii="Times New Roman" w:eastAsia="仿宋_GB2312" w:hAnsi="Times New Roman" w:cs="Times New Roman" w:hint="default"/>
          <w:color w:val="auto"/>
          <w:highlight w:val="none"/>
        </w:rPr>
        <w:t xml:space="preserve">、绩效目标、资金投入）、项目过程（包括资金管理、组织实施）、项目产出（包括产出数量、质量、时效、成本）和项目效益等进行评价。</w:t>
      </w:r>
    </w:p>
    <w:p>
      <w:pPr>
        <w:pStyle w:val="Heading3"/>
        <w:bidi w:val="0"/>
        <w:jc w:val="both"/>
        <w:outlineLvl w:val="1"/>
        <w:rPr>
          <w:rFonts w:ascii="楷体" w:eastAsia="楷体" w:hAnsi="楷体" w:cs="楷体" w:hint="eastAsia"/>
          <w:color w:val="auto"/>
          <w:highlight w:val="none"/>
        </w:rPr>
      </w:pPr>
      <w:bookmarkStart w:id="54" w:name="_Toc19566"/>
      <w:bookmarkStart w:id="55" w:name="_Toc15409"/>
      <w:bookmarkStart w:id="56" w:name="_Toc12558"/>
      <w:bookmarkStart w:id="57" w:name="_Toc13496"/>
      <w:bookmarkStart w:id="58" w:name="_Toc17158"/>
      <w:r>
        <w:rPr>
          <w:rFonts w:ascii="楷体" w:eastAsia="楷体" w:hAnsi="楷体" w:cs="楷体" w:hint="eastAsia"/>
          <w:color w:val="auto"/>
          <w:highlight w:val="none"/>
        </w:rPr>
        <w:t xml:space="preserve">（二）绩效评价原则、评价指标体系、评价方法、评价标准</w:t>
      </w:r>
      <w:bookmarkEnd w:id="54"/>
      <w:bookmarkEnd w:id="55"/>
      <w:bookmarkEnd w:id="56"/>
      <w:bookmarkEnd w:id="57"/>
      <w:bookmarkEnd w:id="58"/>
    </w:p>
    <w:p>
      <w:pPr>
        <w:bidi w:val="0"/>
        <w:jc w:val="both"/>
        <w:rPr>
          <w:rFonts w:ascii="Times New Roman" w:eastAsia="仿宋_GB2312" w:hAnsi="Times New Roman" w:cs="Times New Roman" w:hint="default"/>
          <w:b/>
          <w:bCs/>
          <w:color w:val="auto"/>
          <w:highlight w:val="none"/>
        </w:rPr>
      </w:pPr>
      <w:bookmarkStart w:id="59" w:name="_Toc23487"/>
      <w:bookmarkStart w:id="60" w:name="_Toc18268"/>
      <w:r>
        <w:rPr>
          <w:rFonts w:ascii="Times New Roman" w:eastAsia="仿宋_GB2312" w:hAnsi="Times New Roman" w:cs="Times New Roman" w:hint="default"/>
          <w:b/>
          <w:bCs/>
          <w:color w:val="auto"/>
          <w:highlight w:val="none"/>
        </w:rPr>
        <w:t xml:space="preserve">1.绩效评价原则</w:t>
      </w:r>
      <w:bookmarkEnd w:id="59"/>
      <w:bookmarkEnd w:id="60"/>
    </w:p>
    <w:p>
      <w:pPr>
        <w:bidi w:val="0"/>
        <w:jc w:val="both"/>
        <w:rPr>
          <w:rFonts w:hint="eastAsia"/>
          <w:color w:val="auto"/>
          <w:highlight w:val="none"/>
        </w:rPr>
      </w:pPr>
      <w:r>
        <w:rPr>
          <w:rFonts w:hint="eastAsia"/>
          <w:color w:val="auto"/>
          <w:highlight w:val="none"/>
        </w:rPr>
        <w:t xml:space="preserve">依据《中华人民共和国预算法》《中共中央国务院关于全面实施预算绩效管理的意见》（中发〔2018〕34号）《项目支出绩效评价管理办法》（财预〔2020〕10号</w:t>
      </w:r>
      <w:r>
        <w:rPr>
          <w:rFonts w:hint="eastAsia"/>
          <w:color w:val="auto"/>
          <w:highlight w:val="none"/>
          <w:lang w:eastAsia="zh-CN"/>
        </w:rPr>
        <w:t xml:space="preserve">）</w:t>
      </w:r>
      <w:r>
        <w:rPr>
          <w:rFonts w:hint="eastAsia"/>
          <w:color w:val="auto"/>
          <w:highlight w:val="none"/>
        </w:rPr>
        <w:t xml:space="preserve">《自治区党委自治区人民政府关于全面实施预算绩效管理的实施意见》（新党发〔2018〕30号）《自治区财政支出绩效评价管理暂行办法》（新财预〔2018〕189号）等要求，绩效评价应遵循如下原则：</w:t>
      </w:r>
    </w:p>
    <w:p>
      <w:pPr>
        <w:bidi w:val="0"/>
        <w:jc w:val="both"/>
        <w:rPr>
          <w:rFonts w:hint="default"/>
          <w:color w:val="auto"/>
          <w:highlight w:val="none"/>
        </w:rPr>
      </w:pPr>
      <w:r>
        <w:rPr>
          <w:rFonts w:hint="default"/>
          <w:color w:val="auto"/>
          <w:highlight w:val="none"/>
        </w:rPr>
        <w:t xml:space="preserve">（1）科学公正。绩效评价应当运用科学合理的方法，按照规范的程序，对项目绩效进行客观、</w:t>
      </w:r>
      <w:r>
        <w:rPr>
          <w:rFonts w:hint="default"/>
          <w:color w:val="auto"/>
          <w:highlight w:val="none"/>
          <w:lang w:eastAsia="zh-CN"/>
        </w:rPr>
        <w:t xml:space="preserve">公正地反映</w:t>
      </w:r>
      <w:r>
        <w:rPr>
          <w:rFonts w:hint="default"/>
          <w:color w:val="auto"/>
          <w:highlight w:val="none"/>
        </w:rPr>
        <w:t xml:space="preserve">。</w:t>
      </w:r>
    </w:p>
    <w:p>
      <w:pPr>
        <w:bidi w:val="0"/>
        <w:jc w:val="both"/>
        <w:rPr>
          <w:rFonts w:hint="default"/>
          <w:color w:val="auto"/>
          <w:highlight w:val="none"/>
        </w:rPr>
      </w:pPr>
      <w:r>
        <w:rPr>
          <w:rFonts w:hint="default"/>
          <w:color w:val="auto"/>
          <w:highlight w:val="none"/>
        </w:rPr>
        <w:t xml:space="preserve">（2）统筹兼顾。单位自评应由项目单位自主实施，即“谁支出、谁自评”。</w:t>
      </w:r>
    </w:p>
    <w:p>
      <w:pPr>
        <w:bidi w:val="0"/>
        <w:jc w:val="both"/>
        <w:rPr>
          <w:rFonts w:hint="default"/>
          <w:color w:val="auto"/>
          <w:highlight w:val="none"/>
        </w:rPr>
      </w:pPr>
      <w:r>
        <w:rPr>
          <w:rFonts w:hint="default"/>
          <w:color w:val="auto"/>
          <w:highlight w:val="none"/>
        </w:rPr>
        <w:t xml:space="preserve">（3）激励约束。绩效评价结果应与预算安排、政策调整、改进管理实质性挂钩，体现奖优罚劣和激励相容导向，有效要安排、低效要压减、无效要问责。</w:t>
      </w:r>
    </w:p>
    <w:p>
      <w:pPr>
        <w:bidi w:val="0"/>
        <w:jc w:val="both"/>
        <w:rPr>
          <w:rFonts w:hint="default"/>
          <w:color w:val="auto"/>
          <w:highlight w:val="none"/>
        </w:rPr>
      </w:pPr>
      <w:r>
        <w:rPr>
          <w:rFonts w:hint="default"/>
          <w:color w:val="auto"/>
          <w:highlight w:val="none"/>
        </w:rPr>
        <w:t xml:space="preserve">（4）公开透明。</w:t>
      </w:r>
      <w:r>
        <w:rPr>
          <w:rFonts w:hint="default"/>
          <w:color w:val="auto"/>
          <w:highlight w:val="none"/>
          <w:lang w:val="en-US" w:eastAsia="zh-CN"/>
        </w:rPr>
        <w:t xml:space="preserve">本次项目支出绩效评价结果已依法依规在</w:t>
      </w:r>
      <w:r>
        <w:rPr>
          <w:rFonts w:hint="eastAsia"/>
          <w:color w:val="auto"/>
          <w:highlight w:val="none"/>
          <w:lang w:val="en-US" w:eastAsia="zh-CN"/>
        </w:rPr>
        <w:t xml:space="preserve">尉犁</w:t>
      </w:r>
      <w:r>
        <w:rPr>
          <w:rFonts w:hint="default"/>
          <w:color w:val="auto"/>
          <w:highlight w:val="none"/>
          <w:lang w:val="en-US" w:eastAsia="zh-CN"/>
        </w:rPr>
        <w:t xml:space="preserve">县人民政府网站上公开，并自觉接受社会监督</w:t>
      </w:r>
      <w:r>
        <w:rPr>
          <w:rFonts w:hint="default"/>
          <w:color w:val="auto"/>
          <w:highlight w:val="none"/>
        </w:rPr>
        <w:t xml:space="preserve">。</w:t>
      </w:r>
    </w:p>
    <w:p>
      <w:pPr>
        <w:bidi w:val="0"/>
        <w:jc w:val="both"/>
        <w:rPr>
          <w:rFonts w:hint="eastAsia"/>
          <w:color w:val="auto"/>
          <w:highlight w:val="none"/>
        </w:rPr>
      </w:pPr>
      <w:bookmarkStart w:id="61" w:name="OLE_LINK3"/>
      <w:bookmarkStart w:id="62" w:name="_Toc28342"/>
      <w:bookmarkStart w:id="63" w:name="_Toc23112"/>
      <w:r>
        <w:rPr>
          <w:rFonts w:hint="eastAsia"/>
          <w:color w:val="auto"/>
          <w:highlight w:val="none"/>
        </w:rPr>
        <w:t xml:space="preserve">根据以上原则</w:t>
      </w:r>
      <w:r>
        <w:rPr>
          <w:rFonts w:hint="eastAsia"/>
          <w:color w:val="auto"/>
          <w:highlight w:val="none"/>
          <w:lang w:eastAsia="zh-CN"/>
        </w:rPr>
        <w:t xml:space="preserve">，</w:t>
      </w:r>
      <w:r>
        <w:rPr>
          <w:rFonts w:hint="eastAsia"/>
          <w:color w:val="auto"/>
          <w:highlight w:val="none"/>
        </w:rPr>
        <w:t xml:space="preserve">绩效评价应遵循如下要求:</w:t>
      </w:r>
    </w:p>
    <w:p>
      <w:pPr>
        <w:bidi w:val="0"/>
        <w:jc w:val="both"/>
        <w:rPr>
          <w:rFonts w:hint="eastAsia"/>
          <w:color w:val="auto"/>
          <w:highlight w:val="none"/>
        </w:rPr>
      </w:pPr>
      <w:r>
        <w:rPr>
          <w:rFonts w:hint="eastAsia"/>
          <w:color w:val="auto"/>
          <w:highlight w:val="none"/>
        </w:rPr>
        <w:t xml:space="preserve">（1）在数据采集时</w:t>
      </w:r>
      <w:r>
        <w:rPr>
          <w:rFonts w:hint="eastAsia"/>
          <w:color w:val="auto"/>
          <w:highlight w:val="none"/>
          <w:lang w:eastAsia="zh-CN"/>
        </w:rPr>
        <w:t xml:space="preserve">，</w:t>
      </w:r>
      <w:r>
        <w:rPr>
          <w:rFonts w:hint="eastAsia"/>
          <w:color w:val="auto"/>
          <w:highlight w:val="none"/>
        </w:rPr>
        <w:t xml:space="preserve">采取客观数据</w:t>
      </w:r>
      <w:r>
        <w:rPr>
          <w:rFonts w:hint="eastAsia"/>
          <w:color w:val="auto"/>
          <w:highlight w:val="none"/>
          <w:lang w:eastAsia="zh-CN"/>
        </w:rPr>
        <w:t xml:space="preserve">，</w:t>
      </w:r>
      <w:r>
        <w:rPr>
          <w:rFonts w:hint="eastAsia"/>
          <w:color w:val="auto"/>
          <w:highlight w:val="none"/>
        </w:rPr>
        <w:t xml:space="preserve">主管部门审查、社会中介组织复查</w:t>
      </w:r>
      <w:r>
        <w:rPr>
          <w:rFonts w:hint="eastAsia"/>
          <w:color w:val="auto"/>
          <w:highlight w:val="none"/>
          <w:lang w:eastAsia="zh-CN"/>
        </w:rPr>
        <w:t xml:space="preserve">，</w:t>
      </w:r>
      <w:r>
        <w:rPr>
          <w:rFonts w:hint="eastAsia"/>
          <w:color w:val="auto"/>
          <w:highlight w:val="none"/>
        </w:rPr>
        <w:t xml:space="preserve">与问卷调查相结合的形式</w:t>
      </w:r>
      <w:r>
        <w:rPr>
          <w:rFonts w:hint="eastAsia"/>
          <w:color w:val="auto"/>
          <w:highlight w:val="none"/>
          <w:lang w:eastAsia="zh-CN"/>
        </w:rPr>
        <w:t xml:space="preserve">，</w:t>
      </w:r>
      <w:r>
        <w:rPr>
          <w:rFonts w:hint="eastAsia"/>
          <w:color w:val="auto"/>
          <w:highlight w:val="none"/>
        </w:rPr>
        <w:t xml:space="preserve">以保证各项指标的真实性。</w:t>
      </w:r>
    </w:p>
    <w:p>
      <w:pPr>
        <w:bidi w:val="0"/>
        <w:jc w:val="both"/>
        <w:rPr>
          <w:rFonts w:hint="eastAsia"/>
          <w:color w:val="auto"/>
          <w:highlight w:val="none"/>
        </w:rPr>
      </w:pPr>
      <w:r>
        <w:rPr>
          <w:rFonts w:hint="eastAsia"/>
          <w:color w:val="auto"/>
          <w:highlight w:val="none"/>
        </w:rPr>
        <w:t xml:space="preserve">（2）保证评价结果的真实性、公正性</w:t>
      </w:r>
      <w:r>
        <w:rPr>
          <w:rFonts w:hint="eastAsia"/>
          <w:color w:val="auto"/>
          <w:highlight w:val="none"/>
          <w:lang w:eastAsia="zh-CN"/>
        </w:rPr>
        <w:t xml:space="preserve">，</w:t>
      </w:r>
      <w:r>
        <w:rPr>
          <w:rFonts w:hint="eastAsia"/>
          <w:color w:val="auto"/>
          <w:highlight w:val="none"/>
        </w:rPr>
        <w:t xml:space="preserve">提高评价报告的公信力。</w:t>
      </w:r>
    </w:p>
    <w:p>
      <w:pPr>
        <w:bidi w:val="0"/>
        <w:jc w:val="both"/>
        <w:rPr>
          <w:rFonts w:hint="eastAsia"/>
          <w:color w:val="auto"/>
          <w:highlight w:val="none"/>
        </w:rPr>
      </w:pPr>
      <w:r>
        <w:rPr>
          <w:rFonts w:hint="eastAsia"/>
          <w:color w:val="auto"/>
          <w:highlight w:val="none"/>
        </w:rPr>
        <w:t xml:space="preserve">（3）</w:t>
      </w:r>
      <w:r>
        <w:rPr>
          <w:rFonts w:hint="eastAsia"/>
          <w:color w:val="auto"/>
          <w:highlight w:val="none"/>
          <w:lang w:val="en-US" w:eastAsia="zh-CN"/>
        </w:rPr>
        <w:t xml:space="preserve">绩效</w:t>
      </w:r>
      <w:r>
        <w:rPr>
          <w:rFonts w:hint="eastAsia"/>
          <w:color w:val="auto"/>
          <w:highlight w:val="none"/>
        </w:rPr>
        <w:t xml:space="preserve">评价报告应当简明扼要</w:t>
      </w:r>
      <w:r>
        <w:rPr>
          <w:rFonts w:hint="eastAsia"/>
          <w:color w:val="auto"/>
          <w:highlight w:val="none"/>
          <w:lang w:eastAsia="zh-CN"/>
        </w:rPr>
        <w:t xml:space="preserve">，</w:t>
      </w:r>
      <w:r>
        <w:rPr>
          <w:rFonts w:hint="eastAsia"/>
          <w:color w:val="auto"/>
          <w:highlight w:val="none"/>
        </w:rPr>
        <w:t xml:space="preserve">除了对绩效评价的过程、结果描述外</w:t>
      </w:r>
      <w:r>
        <w:rPr>
          <w:rFonts w:hint="eastAsia"/>
          <w:color w:val="auto"/>
          <w:highlight w:val="none"/>
          <w:lang w:eastAsia="zh-CN"/>
        </w:rPr>
        <w:t xml:space="preserve">，</w:t>
      </w:r>
      <w:r>
        <w:rPr>
          <w:rFonts w:hint="eastAsia"/>
          <w:color w:val="auto"/>
          <w:highlight w:val="none"/>
        </w:rPr>
        <w:t xml:space="preserve">还应总结经验</w:t>
      </w:r>
      <w:r>
        <w:rPr>
          <w:rFonts w:hint="eastAsia"/>
          <w:color w:val="auto"/>
          <w:highlight w:val="none"/>
          <w:lang w:eastAsia="zh-CN"/>
        </w:rPr>
        <w:t xml:space="preserve">，</w:t>
      </w:r>
      <w:r>
        <w:rPr>
          <w:rFonts w:hint="eastAsia"/>
          <w:color w:val="auto"/>
          <w:highlight w:val="none"/>
        </w:rPr>
        <w:t xml:space="preserve">指出问题</w:t>
      </w:r>
      <w:r>
        <w:rPr>
          <w:rFonts w:hint="eastAsia"/>
          <w:color w:val="auto"/>
          <w:highlight w:val="none"/>
          <w:lang w:eastAsia="zh-CN"/>
        </w:rPr>
        <w:t xml:space="preserve">，</w:t>
      </w:r>
      <w:r>
        <w:rPr>
          <w:rFonts w:hint="eastAsia"/>
          <w:color w:val="auto"/>
          <w:highlight w:val="none"/>
        </w:rPr>
        <w:t xml:space="preserve">并就共性问题提出可操作性改进建议。评价工作组本着科学规范、公平公正、绩效相关的原则，采用全面、重点、现场和非现场相结合的方式进行评价。</w:t>
      </w:r>
      <w:bookmarkEnd w:id="61"/>
    </w:p>
    <w:p>
      <w:pPr>
        <w:bidi w:val="0"/>
        <w:jc w:val="both"/>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2.评价指标体系</w:t>
      </w:r>
      <w:bookmarkEnd w:id="62"/>
      <w:bookmarkEnd w:id="63"/>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eastAsia="zh-CN"/>
        </w:rPr>
        <w:t xml:space="preserve">2024年政府办驻村工作队为民办实事经费项目</w:t>
      </w:r>
      <w:r>
        <w:rPr>
          <w:rFonts w:ascii="Times New Roman" w:eastAsia="仿宋_GB2312" w:hAnsi="Times New Roman" w:cs="Times New Roman" w:hint="default"/>
          <w:color w:val="auto"/>
          <w:highlight w:val="none"/>
        </w:rPr>
        <w:t xml:space="preserve">绩效评价（部门自评）指标体系的设计，是在充分掌握项目状况的基础上，形成了</w:t>
      </w:r>
      <w:r>
        <w:rPr>
          <w:rFonts w:ascii="Times New Roman" w:hAnsi="Times New Roman" w:cs="Times New Roman" w:hint="eastAsia"/>
          <w:color w:val="auto"/>
          <w:highlight w:val="none"/>
          <w:lang w:eastAsia="zh-CN"/>
        </w:rPr>
        <w:t xml:space="preserve">2024年政府办驻村工作队为民办实事经费</w:t>
      </w:r>
      <w:r>
        <w:rPr>
          <w:rFonts w:ascii="Times New Roman" w:eastAsia="仿宋_GB2312" w:hAnsi="Times New Roman" w:cs="Times New Roman" w:hint="default"/>
          <w:color w:val="auto"/>
          <w:highlight w:val="none"/>
        </w:rPr>
        <w:t xml:space="preserve">的项目支出绩效评价指标体系（部门自评）。本项目设计绩效评价指标体系满分100分。四个级别分别是：优、良、中、差，90（含）-100分为优、80（含）-90分为良、60（含）-80分为中、60分以下为差。</w:t>
      </w:r>
    </w:p>
    <w:p>
      <w:pPr>
        <w:bidi w:val="0"/>
        <w:spacing w:line="240" w:lineRule="auto"/>
        <w:ind w:left="0" w:firstLine="640" w:leftChars="0" w:firstLineChars="200"/>
        <w:rPr>
          <w:rFonts w:ascii="Times New Roman" w:eastAsia="仿宋_GB2312" w:hAnsi="Times New Roman" w:cs="Times New Roman" w:hint="eastAsia"/>
          <w:color w:val="auto"/>
          <w:highlight w:val="none"/>
          <w:lang w:eastAsia="zh-CN"/>
        </w:rPr>
      </w:pPr>
      <w:r>
        <w:rPr>
          <w:rFonts w:ascii="Times New Roman" w:eastAsia="仿宋_GB2312" w:hAnsi="Times New Roman" w:cs="Times New Roman" w:hint="default"/>
          <w:color w:val="auto"/>
          <w:highlight w:val="none"/>
        </w:rPr>
        <w:t xml:space="preserve">按照财预〔2020〕10号文件关于“原则上产出、效益指标权重不低于60%”的要求，本项目产出、效益指标权重60%（即60分）。</w:t>
      </w:r>
      <w:bookmarkStart w:id="64" w:name="_Toc10631"/>
      <w:bookmarkStart w:id="65" w:name="_Toc15680"/>
      <w:r>
        <w:rPr>
          <w:rFonts w:ascii="Times New Roman" w:hAnsi="Times New Roman" w:cs="Times New Roman" w:hint="eastAsia"/>
          <w:color w:val="auto"/>
          <w:highlight w:val="none"/>
          <w:lang w:eastAsia="zh-CN"/>
        </w:rPr>
        <w:t xml:space="preserve">（</w:t>
      </w:r>
      <w:r>
        <w:rPr>
          <w:rFonts w:ascii="Times New Roman" w:hAnsi="Times New Roman" w:cs="Times New Roman" w:hint="eastAsia"/>
          <w:color w:val="auto"/>
          <w:highlight w:val="none"/>
          <w:lang w:val="en-US" w:eastAsia="zh-CN"/>
        </w:rPr>
        <w:t xml:space="preserve">详见：附表2</w:t>
      </w:r>
      <w:r>
        <w:rPr>
          <w:rFonts w:ascii="Times New Roman" w:hAnsi="Times New Roman" w:cs="Times New Roman" w:hint="eastAsia"/>
          <w:color w:val="auto"/>
          <w:highlight w:val="none"/>
          <w:lang w:eastAsia="zh-CN"/>
        </w:rPr>
        <w:t xml:space="preserve">）</w:t>
      </w:r>
    </w:p>
    <w:p>
      <w:pPr>
        <w:bidi w:val="0"/>
        <w:spacing w:line="240" w:lineRule="auto"/>
        <w:ind w:left="0" w:firstLine="640" w:leftChars="0" w:firstLineChars="200"/>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3.绩效评价方法</w:t>
      </w:r>
      <w:bookmarkEnd w:id="64"/>
      <w:bookmarkEnd w:id="65"/>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lang w:val="en-US" w:eastAsia="zh-CN"/>
        </w:rPr>
        <w:t xml:space="preserve">绩效评价从项目决策、项目过程、项目产出、项目效益四个维度进行评价。评价对象为项目目标实施情况，评价核心为资金的支出完成情况和项目的产出效益。</w:t>
      </w:r>
    </w:p>
    <w:p>
      <w:pPr>
        <w:bidi w:val="0"/>
        <w:jc w:val="both"/>
        <w:rPr>
          <w:rFonts w:ascii="Times New Roman" w:eastAsia="仿宋_GB2312" w:hAnsi="Times New Roman" w:cs="Times New Roman" w:hint="default"/>
          <w:color w:val="auto"/>
          <w:highlight w:val="none"/>
          <w:lang w:eastAsia="zh-CN"/>
        </w:rPr>
      </w:pPr>
      <w:r>
        <w:rPr>
          <w:rFonts w:ascii="Times New Roman" w:eastAsia="仿宋_GB2312" w:hAnsi="Times New Roman" w:cs="Times New Roman" w:hint="default"/>
          <w:color w:val="auto"/>
          <w:highlight w:val="none"/>
        </w:rPr>
        <w:t xml:space="preserve">结合</w:t>
      </w:r>
      <w:r>
        <w:rPr>
          <w:rFonts w:ascii="方正仿宋_GBK" w:eastAsia="方正仿宋_GBK" w:hAnsi="方正仿宋_GBK" w:cs="方正仿宋_GBK" w:hint="eastAsia"/>
          <w:color w:val="auto"/>
          <w:highlight w:val="none"/>
          <w:lang w:val="en-US" w:eastAsia="zh-CN"/>
        </w:rPr>
        <w:t xml:space="preserve">2024年政府办驻村工作队为民办实事经费的特点，</w:t>
      </w:r>
      <w:r>
        <w:rPr>
          <w:rFonts w:ascii="Times New Roman" w:eastAsia="仿宋_GB2312" w:hAnsi="Times New Roman" w:cs="Times New Roman" w:hint="default"/>
          <w:color w:val="auto"/>
          <w:highlight w:val="none"/>
          <w:lang w:eastAsia="zh-CN"/>
        </w:rPr>
        <w:t xml:space="preserve">本次评价主要运用比较法，原因是：</w:t>
      </w:r>
    </w:p>
    <w:p>
      <w:pPr>
        <w:bidi w:val="0"/>
        <w:jc w:val="both"/>
        <w:rPr>
          <w:rFonts w:ascii="Times New Roman" w:eastAsia="仿宋_GB2312" w:hAnsi="Times New Roman" w:cs="Times New Roman" w:hint="default"/>
          <w:color w:val="auto"/>
          <w:highlight w:val="none"/>
          <w:lang w:eastAsia="zh-CN"/>
        </w:rPr>
      </w:pPr>
      <w:r>
        <w:rPr>
          <w:rFonts w:ascii="Times New Roman" w:eastAsia="仿宋_GB2312" w:hAnsi="Times New Roman" w:cs="Times New Roman" w:hint="default"/>
          <w:color w:val="auto"/>
          <w:highlight w:val="none"/>
          <w:lang w:eastAsia="zh-CN"/>
        </w:rPr>
        <w:t xml:space="preserve">比较法：</w:t>
      </w:r>
      <w:r>
        <w:rPr>
          <w:rFonts w:ascii="Times New Roman" w:eastAsia="仿宋_GB2312" w:hAnsi="Times New Roman" w:cs="Times New Roman" w:hint="default"/>
          <w:color w:val="auto"/>
          <w:highlight w:val="none"/>
          <w:lang w:val="en-US" w:eastAsia="zh-CN"/>
        </w:rPr>
        <w:t xml:space="preserve">本项目绩效评价将项目实施情况即实际完成的慰问群众户数</w:t>
      </w:r>
      <w:r>
        <w:rPr>
          <w:rFonts w:ascii="Times New Roman" w:hAnsi="Times New Roman" w:cs="Times New Roman" w:hint="eastAsia"/>
          <w:color w:val="auto"/>
          <w:highlight w:val="none"/>
          <w:lang w:val="en-US" w:eastAsia="zh-CN"/>
        </w:rPr>
        <w:t xml:space="preserve">、采购活动用品批次、粉刷墙面积、采购验收合格率</w:t>
      </w:r>
      <w:r>
        <w:rPr>
          <w:rFonts w:ascii="Times New Roman" w:eastAsia="仿宋_GB2312" w:hAnsi="Times New Roman" w:cs="Times New Roman" w:hint="default"/>
          <w:color w:val="auto"/>
          <w:highlight w:val="none"/>
          <w:lang w:val="en-US" w:eastAsia="zh-CN"/>
        </w:rPr>
        <w:t xml:space="preserve">等指标与年初设定的目标值进行比较</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b/>
          <w:bCs/>
          <w:color w:val="auto"/>
          <w:highlight w:val="none"/>
        </w:rPr>
      </w:pPr>
      <w:bookmarkStart w:id="66" w:name="_Toc3155"/>
      <w:bookmarkStart w:id="67" w:name="_Toc15525"/>
      <w:r>
        <w:rPr>
          <w:rFonts w:ascii="Times New Roman" w:eastAsia="仿宋_GB2312" w:hAnsi="Times New Roman" w:cs="Times New Roman" w:hint="default"/>
          <w:b/>
          <w:bCs/>
          <w:color w:val="auto"/>
          <w:highlight w:val="none"/>
        </w:rPr>
        <w:t xml:space="preserve">4.绩效评价标准</w:t>
      </w:r>
      <w:bookmarkEnd w:id="66"/>
      <w:bookmarkEnd w:id="67"/>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绩效评价标准通常包括计划标准、行业标准、历史标准等，用于对绩效指标完成情况进行比较。</w:t>
      </w:r>
    </w:p>
    <w:p>
      <w:pPr>
        <w:pStyle w:val="CommentText"/>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结合</w:t>
      </w:r>
      <w:r>
        <w:rPr>
          <w:rFonts w:ascii="Times New Roman" w:hAnsi="Times New Roman" w:cs="Times New Roman" w:hint="eastAsia"/>
          <w:color w:val="auto"/>
          <w:highlight w:val="none"/>
          <w:lang w:eastAsia="zh-CN"/>
        </w:rPr>
        <w:t xml:space="preserve">2024年政府办驻村工作队为民办实事经费项目</w:t>
      </w:r>
      <w:r>
        <w:rPr>
          <w:rFonts w:ascii="Times New Roman" w:eastAsia="仿宋_GB2312" w:hAnsi="Times New Roman" w:cs="Times New Roman" w:hint="default"/>
          <w:color w:val="auto"/>
          <w:highlight w:val="none"/>
        </w:rPr>
        <w:t xml:space="preserve">的特点，</w:t>
      </w:r>
      <w:bookmarkStart w:id="68" w:name="_Toc26411"/>
      <w:bookmarkStart w:id="69" w:name="_Toc15381"/>
      <w:bookmarkStart w:id="70" w:name="_Toc30219"/>
      <w:bookmarkStart w:id="71" w:name="_Toc17851"/>
      <w:r>
        <w:rPr>
          <w:rFonts w:ascii="Times New Roman" w:eastAsia="仿宋_GB2312" w:hAnsi="Times New Roman" w:cs="Times New Roman" w:hint="default"/>
          <w:bCs/>
          <w:color w:val="auto"/>
          <w:kern w:val="2"/>
          <w:sz w:val="32"/>
          <w:szCs w:val="32"/>
          <w:highlight w:val="none"/>
          <w:lang w:val="en-US" w:eastAsia="zh-CN" w:bidi="ar-SA"/>
        </w:rPr>
        <w:t xml:space="preserve">本项目绩效评价以预先制定的</w:t>
      </w:r>
      <w:r>
        <w:rPr>
          <w:rFonts w:ascii="Times New Roman" w:hAnsi="Times New Roman" w:cs="Times New Roman" w:hint="eastAsia"/>
          <w:bCs/>
          <w:color w:val="auto"/>
          <w:kern w:val="2"/>
          <w:sz w:val="32"/>
          <w:szCs w:val="32"/>
          <w:highlight w:val="none"/>
          <w:lang w:val="en-US" w:eastAsia="zh-CN" w:bidi="ar-SA"/>
        </w:rPr>
        <w:t xml:space="preserve">慰问困难群众50户、采购活动用品4批、粉刷墙体2914平方米</w:t>
      </w:r>
      <w:r>
        <w:rPr>
          <w:rFonts w:ascii="Times New Roman" w:eastAsia="仿宋_GB2312" w:hAnsi="Times New Roman" w:cs="Times New Roman" w:hint="default"/>
          <w:bCs/>
          <w:color w:val="auto"/>
          <w:kern w:val="2"/>
          <w:sz w:val="32"/>
          <w:szCs w:val="32"/>
          <w:highlight w:val="none"/>
          <w:lang w:val="en-US" w:eastAsia="zh-CN" w:bidi="ar-SA"/>
        </w:rPr>
        <w:t xml:space="preserve">为计划数作为评价标准；同时参照</w:t>
      </w:r>
      <w:r>
        <w:rPr>
          <w:rFonts w:ascii="Times New Roman" w:eastAsia="仿宋_GB2312" w:hAnsi="Times New Roman" w:cs="Times New Roman" w:hint="default"/>
          <w:b w:val="0"/>
          <w:color w:val="auto"/>
          <w:kern w:val="2"/>
          <w:sz w:val="32"/>
          <w:szCs w:val="22"/>
          <w:highlight w:val="none"/>
          <w:lang w:val="en-US" w:eastAsia="zh-CN" w:bidi="ar-SA"/>
        </w:rPr>
        <w:t xml:space="preserve">有关</w:t>
      </w:r>
      <w:r>
        <w:rPr>
          <w:rFonts w:ascii="方正仿宋_GBK" w:eastAsia="方正仿宋_GBK" w:hAnsi="方正仿宋_GBK" w:cs="方正仿宋_GBK" w:hint="eastAsia"/>
          <w:color w:val="auto"/>
          <w:highlight w:val="none"/>
          <w:lang w:val="en-US" w:eastAsia="zh-CN"/>
        </w:rPr>
        <w:t xml:space="preserve">为民办实事经费</w:t>
      </w:r>
      <w:r>
        <w:rPr>
          <w:rFonts w:ascii="Times New Roman" w:eastAsia="仿宋_GB2312" w:hAnsi="Times New Roman" w:cs="Times New Roman" w:hint="default"/>
          <w:b w:val="0"/>
          <w:color w:val="auto"/>
          <w:kern w:val="2"/>
          <w:sz w:val="32"/>
          <w:szCs w:val="22"/>
          <w:highlight w:val="none"/>
          <w:lang w:val="en-US" w:eastAsia="zh-CN" w:bidi="ar-SA"/>
        </w:rPr>
        <w:t xml:space="preserve">等同类项目建设的行业标准</w:t>
      </w:r>
      <w:r>
        <w:rPr>
          <w:rFonts w:ascii="Times New Roman" w:eastAsia="仿宋_GB2312" w:hAnsi="Times New Roman" w:cs="Times New Roman" w:hint="default"/>
          <w:bCs/>
          <w:color w:val="auto"/>
          <w:kern w:val="2"/>
          <w:sz w:val="32"/>
          <w:szCs w:val="32"/>
          <w:highlight w:val="none"/>
          <w:lang w:val="en-US" w:eastAsia="zh-CN" w:bidi="ar-SA"/>
        </w:rPr>
        <w:t xml:space="preserve">来制定评价标准。</w:t>
      </w:r>
    </w:p>
    <w:p>
      <w:pPr>
        <w:pStyle w:val="Heading3"/>
        <w:bidi w:val="0"/>
        <w:jc w:val="both"/>
        <w:outlineLvl w:val="1"/>
        <w:rPr>
          <w:rFonts w:ascii="楷体" w:eastAsia="楷体" w:hAnsi="楷体" w:cs="楷体" w:hint="eastAsia"/>
          <w:color w:val="auto"/>
          <w:highlight w:val="none"/>
        </w:rPr>
      </w:pPr>
      <w:bookmarkStart w:id="72" w:name="_Toc13406"/>
      <w:r>
        <w:rPr>
          <w:rFonts w:ascii="楷体" w:eastAsia="楷体" w:hAnsi="楷体" w:cs="楷体" w:hint="eastAsia"/>
          <w:color w:val="auto"/>
          <w:highlight w:val="none"/>
        </w:rPr>
        <w:t xml:space="preserve">（三）绩效评价工作过程</w:t>
      </w:r>
      <w:bookmarkEnd w:id="68"/>
      <w:bookmarkEnd w:id="69"/>
      <w:bookmarkEnd w:id="70"/>
      <w:bookmarkEnd w:id="71"/>
      <w:bookmarkEnd w:id="72"/>
    </w:p>
    <w:p>
      <w:pPr>
        <w:bidi w:val="0"/>
        <w:jc w:val="both"/>
        <w:rPr>
          <w:rFonts w:ascii="Times New Roman" w:eastAsia="仿宋_GB2312" w:hAnsi="Times New Roman" w:cs="Times New Roman" w:hint="default"/>
          <w:b/>
          <w:bCs/>
          <w:color w:val="auto"/>
          <w:highlight w:val="none"/>
        </w:rPr>
      </w:pPr>
      <w:bookmarkStart w:id="73" w:name="_Toc30911"/>
      <w:bookmarkStart w:id="74" w:name="_Toc27442"/>
      <w:bookmarkStart w:id="75" w:name="_Toc31054"/>
      <w:bookmarkStart w:id="76" w:name="_Toc17595"/>
      <w:bookmarkStart w:id="77" w:name="_Toc22987"/>
      <w:r>
        <w:rPr>
          <w:rFonts w:ascii="Times New Roman" w:eastAsia="仿宋_GB2312" w:hAnsi="Times New Roman" w:cs="Times New Roman" w:hint="default"/>
          <w:b/>
          <w:bCs/>
          <w:color w:val="auto"/>
          <w:highlight w:val="none"/>
        </w:rPr>
        <w:t xml:space="preserve">1.前期准备</w:t>
      </w:r>
      <w:bookmarkEnd w:id="73"/>
      <w:bookmarkEnd w:id="74"/>
      <w:bookmarkEnd w:id="75"/>
      <w:bookmarkEnd w:id="76"/>
      <w:bookmarkEnd w:id="77"/>
      <w:r>
        <w:rPr>
          <w:rFonts w:ascii="Times New Roman" w:hAnsi="Times New Roman" w:cs="Times New Roman" w:hint="eastAsia"/>
          <w:b/>
          <w:bCs/>
          <w:color w:val="auto"/>
          <w:highlight w:val="none"/>
          <w:lang w:eastAsia="zh-CN"/>
        </w:rPr>
        <w:t xml:space="preserve">（</w:t>
      </w:r>
      <w:r>
        <w:rPr>
          <w:rFonts w:ascii="Times New Roman" w:hAnsi="Times New Roman" w:cs="Times New Roman" w:hint="eastAsia"/>
          <w:b/>
          <w:bCs/>
          <w:color w:val="auto"/>
          <w:highlight w:val="none"/>
          <w:lang w:val="en-US" w:eastAsia="zh-CN"/>
        </w:rPr>
        <w:t xml:space="preserve">2025年2月10日-2025年2月28日</w:t>
      </w:r>
      <w:r>
        <w:rPr>
          <w:rFonts w:ascii="Times New Roman" w:hAnsi="Times New Roman" w:cs="Times New Roman" w:hint="eastAsia"/>
          <w:b/>
          <w:bCs/>
          <w:color w:val="auto"/>
          <w:highlight w:val="none"/>
          <w:lang w:eastAsia="zh-CN"/>
        </w:rPr>
        <w:t xml:space="preserve">）</w:t>
      </w:r>
    </w:p>
    <w:p>
      <w:pPr>
        <w:spacing w:line="600" w:lineRule="exact"/>
        <w:ind w:firstLine="640"/>
        <w:jc w:val="both"/>
        <w:rPr>
          <w:rFonts w:ascii="Times New Roman" w:eastAsia="仿宋_GB2312" w:hAnsi="Times New Roman" w:cs="Times New Roman" w:hint="eastAsia"/>
          <w:bCs/>
          <w:color w:val="auto"/>
          <w:szCs w:val="32"/>
          <w:highlight w:val="none"/>
          <w:lang w:val="en-US" w:eastAsia="zh-CN"/>
        </w:rPr>
      </w:pPr>
      <w:bookmarkStart w:id="78" w:name="_Toc2579"/>
      <w:r>
        <w:rPr>
          <w:rFonts w:ascii="Times New Roman" w:eastAsia="仿宋_GB2312" w:hAnsi="Times New Roman" w:cs="Times New Roman" w:hint="default"/>
          <w:bCs/>
          <w:color w:val="auto"/>
          <w:szCs w:val="32"/>
          <w:highlight w:val="none"/>
        </w:rPr>
        <w:t xml:space="preserve">按照《项目支出绩效评价管理办法》（财预〔2020〕10号）文件要求，</w:t>
      </w:r>
      <w:r>
        <w:rPr>
          <w:rFonts w:ascii="Times New Roman" w:hAnsi="Times New Roman" w:cs="Times New Roman" w:hint="eastAsia"/>
          <w:color w:val="auto"/>
          <w:highlight w:val="none"/>
          <w:lang w:eastAsia="zh-CN"/>
        </w:rPr>
        <w:t xml:space="preserve">尉犁</w:t>
      </w:r>
      <w:r>
        <w:rPr>
          <w:rFonts w:ascii="Times New Roman" w:eastAsia="仿宋_GB2312" w:hAnsi="Times New Roman" w:cs="Times New Roman" w:hint="default"/>
          <w:color w:val="auto"/>
          <w:highlight w:val="none"/>
        </w:rPr>
        <w:t xml:space="preserve">县</w:t>
      </w:r>
      <w:r>
        <w:rPr>
          <w:rFonts w:ascii="Times New Roman" w:hAnsi="Times New Roman" w:cs="Times New Roman" w:hint="eastAsia"/>
          <w:color w:val="auto"/>
          <w:highlight w:val="none"/>
          <w:lang w:val="en-US" w:eastAsia="zh-CN"/>
        </w:rPr>
        <w:t xml:space="preserve">政府办公室</w:t>
      </w:r>
      <w:r>
        <w:rPr>
          <w:rFonts w:ascii="Times New Roman" w:eastAsia="仿宋_GB2312" w:hAnsi="Times New Roman" w:cs="Times New Roman" w:hint="default"/>
          <w:bCs/>
          <w:color w:val="auto"/>
          <w:szCs w:val="32"/>
          <w:highlight w:val="none"/>
        </w:rPr>
        <w:t xml:space="preserve">成立了绩效评价小组，对项目实施的全过程，收集、整理项目实施的相关资料，了解项目实施情况和资金支付情况。从项目内容出发，结合项目预期目标，制定绩效评价的指标体系。</w:t>
      </w:r>
      <w:r>
        <w:rPr>
          <w:rFonts w:ascii="Times New Roman" w:eastAsia="仿宋_GB2312" w:hAnsi="Times New Roman" w:cs="Times New Roman" w:hint="eastAsia"/>
          <w:bCs/>
          <w:color w:val="auto"/>
          <w:szCs w:val="32"/>
          <w:highlight w:val="none"/>
          <w:lang w:val="en-US" w:eastAsia="zh-CN"/>
        </w:rPr>
        <w:t xml:space="preserve">绩效评价工作小组人员名单及分工如下：</w:t>
      </w:r>
    </w:p>
    <w:p>
      <w:pPr>
        <w:spacing w:line="600" w:lineRule="exact"/>
        <w:ind w:firstLine="640"/>
        <w:jc w:val="both"/>
        <w:rPr>
          <w:rFonts w:ascii="Times New Roman" w:eastAsia="仿宋_GB2312" w:hAnsi="Times New Roman" w:cs="Times New Roman" w:hint="eastAsia"/>
          <w:bCs/>
          <w:color w:val="auto"/>
          <w:szCs w:val="32"/>
          <w:highlight w:val="none"/>
          <w:lang w:val="en-US" w:eastAsia="zh-CN"/>
        </w:rPr>
      </w:pPr>
      <w:r>
        <w:rPr>
          <w:rFonts w:ascii="Times New Roman" w:eastAsia="仿宋_GB2312" w:hAnsi="Times New Roman" w:cs="Times New Roman" w:hint="eastAsia"/>
          <w:bCs/>
          <w:color w:val="auto"/>
          <w:szCs w:val="32"/>
          <w:highlight w:val="none"/>
          <w:lang w:val="en-US" w:eastAsia="zh-CN"/>
        </w:rPr>
        <w:t xml:space="preserve">评价小组组长：梁超，主要负责协调相关科室、部门对项目整体运行情况进行验收、评估。</w:t>
      </w:r>
    </w:p>
    <w:p>
      <w:pPr>
        <w:spacing w:line="600" w:lineRule="exact"/>
        <w:ind w:firstLine="640"/>
        <w:jc w:val="both"/>
        <w:rPr>
          <w:rFonts w:ascii="Times New Roman" w:eastAsia="仿宋_GB2312" w:hAnsi="Times New Roman" w:cs="Times New Roman" w:hint="default"/>
          <w:bCs/>
          <w:color w:val="auto"/>
          <w:szCs w:val="32"/>
          <w:highlight w:val="none"/>
          <w:lang w:val="en-US" w:eastAsia="zh-CN"/>
        </w:rPr>
      </w:pPr>
      <w:r>
        <w:rPr>
          <w:rFonts w:ascii="Times New Roman" w:eastAsia="仿宋_GB2312" w:hAnsi="Times New Roman" w:cs="Times New Roman" w:hint="eastAsia"/>
          <w:bCs/>
          <w:color w:val="auto"/>
          <w:szCs w:val="32"/>
          <w:highlight w:val="none"/>
          <w:lang w:val="en-US" w:eastAsia="zh-CN"/>
        </w:rPr>
        <w:t xml:space="preserve">评价小组组员：刘雪燕，主要负责制定评价指标体系及评价标准。</w:t>
      </w:r>
    </w:p>
    <w:p>
      <w:pPr>
        <w:spacing w:line="600" w:lineRule="exact"/>
        <w:ind w:firstLine="640"/>
        <w:jc w:val="both"/>
        <w:rPr>
          <w:rFonts w:ascii="Times New Roman" w:eastAsia="仿宋_GB2312" w:hAnsi="Times New Roman" w:cs="Times New Roman" w:hint="default"/>
          <w:bCs/>
          <w:color w:val="auto"/>
          <w:szCs w:val="32"/>
          <w:highlight w:val="none"/>
        </w:rPr>
      </w:pPr>
      <w:r>
        <w:rPr>
          <w:rFonts w:ascii="Times New Roman" w:eastAsia="仿宋_GB2312" w:hAnsi="Times New Roman" w:cs="Times New Roman" w:hint="eastAsia"/>
          <w:bCs/>
          <w:color w:val="auto"/>
          <w:szCs w:val="32"/>
          <w:highlight w:val="none"/>
          <w:lang w:val="en-US" w:eastAsia="zh-CN"/>
        </w:rPr>
        <w:t xml:space="preserve">评价小组组员：袁兴翠，主要负责项目实施、监督、评估工作。</w:t>
      </w:r>
    </w:p>
    <w:p>
      <w:pPr>
        <w:bidi w:val="0"/>
        <w:jc w:val="both"/>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2.组织实施</w:t>
      </w:r>
      <w:bookmarkEnd w:id="78"/>
      <w:r>
        <w:rPr>
          <w:rFonts w:ascii="Times New Roman" w:hAnsi="Times New Roman" w:cs="Times New Roman" w:hint="eastAsia"/>
          <w:b/>
          <w:bCs/>
          <w:color w:val="auto"/>
          <w:highlight w:val="none"/>
          <w:lang w:eastAsia="zh-CN"/>
        </w:rPr>
        <w:t xml:space="preserve">（</w:t>
      </w:r>
      <w:r>
        <w:rPr>
          <w:rFonts w:ascii="Times New Roman" w:hAnsi="Times New Roman" w:cs="Times New Roman" w:hint="eastAsia"/>
          <w:b/>
          <w:bCs/>
          <w:color w:val="auto"/>
          <w:highlight w:val="none"/>
          <w:lang w:val="en-US" w:eastAsia="zh-CN"/>
        </w:rPr>
        <w:t xml:space="preserve">2025年3月1日-2025年3月10日</w:t>
      </w:r>
      <w:r>
        <w:rPr>
          <w:rFonts w:ascii="Times New Roman" w:hAnsi="Times New Roman" w:cs="Times New Roman" w:hint="eastAsia"/>
          <w:b/>
          <w:bCs/>
          <w:color w:val="auto"/>
          <w:highlight w:val="none"/>
          <w:lang w:eastAsia="zh-CN"/>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评价的具体实施根据评价指标及评价工作要求，对具体评价内容和不同环节，采用以下取得的资料与评价方式。</w:t>
      </w:r>
    </w:p>
    <w:p>
      <w:pPr>
        <w:bidi w:val="0"/>
        <w:jc w:val="both"/>
        <w:rPr>
          <w:rFonts w:hint="eastAsia"/>
          <w:color w:val="auto"/>
          <w:highlight w:val="none"/>
          <w:lang w:val="en-US" w:eastAsia="zh-CN"/>
        </w:rPr>
      </w:pPr>
      <w:r>
        <w:rPr>
          <w:rFonts w:hint="eastAsia"/>
          <w:color w:val="auto"/>
          <w:highlight w:val="none"/>
        </w:rPr>
        <w:t xml:space="preserve">（1）</w:t>
      </w:r>
      <w:r>
        <w:rPr>
          <w:rFonts w:hint="eastAsia"/>
          <w:color w:val="auto"/>
          <w:highlight w:val="none"/>
          <w:lang w:val="en-US" w:eastAsia="zh-CN"/>
        </w:rPr>
        <w:t xml:space="preserve">根据绩效管理的要求，本单位成立项目评价小组，全过程跟踪监管项目实施过程，包括项目资金到位时绩效工作的安排、年中2次绩效监控工作的监督，项目实施完成之后收集资料开展项目绩效评价。</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2</w:t>
      </w:r>
      <w:r>
        <w:rPr>
          <w:rFonts w:ascii="Times New Roman" w:eastAsia="仿宋_GB2312" w:hAnsi="Times New Roman" w:cs="Times New Roman" w:hint="default"/>
          <w:color w:val="auto"/>
          <w:highlight w:val="none"/>
        </w:rPr>
        <w:t xml:space="preserve">）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3</w:t>
      </w:r>
      <w:r>
        <w:rPr>
          <w:rFonts w:ascii="Times New Roman" w:eastAsia="仿宋_GB2312" w:hAnsi="Times New Roman" w:cs="Times New Roman" w:hint="default"/>
          <w:color w:val="auto"/>
          <w:highlight w:val="none"/>
        </w:rPr>
        <w:t xml:space="preserve">）问卷调查。选择与项目评价有关的调查对象，设计调查问卷。通过问卷调查，对有关评价内容完成情况进行打分，并根据分值评价绩效目标完成情况，作为对项目评价的依据。</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4</w:t>
      </w:r>
      <w:r>
        <w:rPr>
          <w:rFonts w:ascii="Times New Roman" w:eastAsia="仿宋_GB2312" w:hAnsi="Times New Roman" w:cs="Times New Roman" w:hint="default"/>
          <w:color w:val="auto"/>
          <w:highlight w:val="none"/>
        </w:rPr>
        <w:t xml:space="preserve">）项目评价小组人员与专业技术人员相结合评价。对绩效评价工作专业性较强的内容，在评价工作过程中，采用以专业技术人员与有关科室、其他部门专业人员进行评价相结合的方式，分别对相关专业指标进行现场问询、检验和考查。</w:t>
      </w:r>
    </w:p>
    <w:p>
      <w:pPr>
        <w:bidi w:val="0"/>
        <w:jc w:val="both"/>
        <w:rPr>
          <w:rFonts w:ascii="Times New Roman" w:eastAsia="仿宋_GB2312" w:hAnsi="Times New Roman" w:cs="Times New Roman" w:hint="default"/>
          <w:b/>
          <w:bCs/>
          <w:color w:val="auto"/>
          <w:highlight w:val="none"/>
        </w:rPr>
      </w:pPr>
      <w:bookmarkStart w:id="79" w:name="_Toc19781"/>
      <w:r>
        <w:rPr>
          <w:rFonts w:ascii="Times New Roman" w:eastAsia="仿宋_GB2312" w:hAnsi="Times New Roman" w:cs="Times New Roman" w:hint="default"/>
          <w:b/>
          <w:bCs/>
          <w:color w:val="auto"/>
          <w:highlight w:val="none"/>
        </w:rPr>
        <w:t xml:space="preserve">3.数据集中分析</w:t>
      </w:r>
      <w:bookmarkEnd w:id="79"/>
      <w:r>
        <w:rPr>
          <w:rFonts w:ascii="Times New Roman" w:hAnsi="Times New Roman" w:cs="Times New Roman" w:hint="eastAsia"/>
          <w:b/>
          <w:bCs/>
          <w:color w:val="auto"/>
          <w:highlight w:val="none"/>
          <w:lang w:eastAsia="zh-CN"/>
        </w:rPr>
        <w:t xml:space="preserve">（</w:t>
      </w:r>
      <w:r>
        <w:rPr>
          <w:rFonts w:ascii="Times New Roman" w:hAnsi="Times New Roman" w:cs="Times New Roman" w:hint="eastAsia"/>
          <w:b/>
          <w:bCs/>
          <w:color w:val="auto"/>
          <w:highlight w:val="none"/>
          <w:lang w:val="en-US" w:eastAsia="zh-CN"/>
        </w:rPr>
        <w:t xml:space="preserve">2025年3月11日-2025年3月20日</w:t>
      </w:r>
      <w:r>
        <w:rPr>
          <w:rFonts w:ascii="Times New Roman" w:hAnsi="Times New Roman" w:cs="Times New Roman" w:hint="eastAsia"/>
          <w:b/>
          <w:bCs/>
          <w:color w:val="auto"/>
          <w:highlight w:val="none"/>
          <w:lang w:eastAsia="zh-CN"/>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对相关资料，包括资金文件、项目实施方案、相关管理办法，问卷调查等进行集中分析。在查阅大量项目资料的基础上，根据考察、考评的结果进行整理、分析。</w:t>
      </w:r>
    </w:p>
    <w:p>
      <w:pPr>
        <w:bidi w:val="0"/>
        <w:jc w:val="both"/>
        <w:rPr>
          <w:rFonts w:ascii="Times New Roman" w:eastAsia="仿宋_GB2312" w:hAnsi="Times New Roman" w:cs="Times New Roman" w:hint="default"/>
          <w:b/>
          <w:bCs/>
          <w:color w:val="auto"/>
          <w:highlight w:val="none"/>
        </w:rPr>
      </w:pPr>
      <w:bookmarkStart w:id="80" w:name="_Toc5021"/>
      <w:r>
        <w:rPr>
          <w:rFonts w:ascii="Times New Roman" w:eastAsia="仿宋_GB2312" w:hAnsi="Times New Roman" w:cs="Times New Roman" w:hint="default"/>
          <w:b/>
          <w:bCs/>
          <w:color w:val="auto"/>
          <w:highlight w:val="none"/>
        </w:rPr>
        <w:t xml:space="preserve">4.分析总结</w:t>
      </w:r>
      <w:bookmarkEnd w:id="80"/>
      <w:r>
        <w:rPr>
          <w:rFonts w:ascii="Times New Roman" w:hAnsi="Times New Roman" w:cs="Times New Roman" w:hint="eastAsia"/>
          <w:b/>
          <w:bCs/>
          <w:color w:val="auto"/>
          <w:highlight w:val="none"/>
          <w:lang w:eastAsia="zh-CN"/>
        </w:rPr>
        <w:t xml:space="preserve">（</w:t>
      </w:r>
      <w:r>
        <w:rPr>
          <w:rFonts w:ascii="Times New Roman" w:hAnsi="Times New Roman" w:cs="Times New Roman" w:hint="eastAsia"/>
          <w:b/>
          <w:bCs/>
          <w:color w:val="auto"/>
          <w:highlight w:val="none"/>
          <w:lang w:val="en-US" w:eastAsia="zh-CN"/>
        </w:rPr>
        <w:t xml:space="preserve">2025年3月21日-2025年3月31日</w:t>
      </w:r>
      <w:r>
        <w:rPr>
          <w:rFonts w:ascii="Times New Roman" w:hAnsi="Times New Roman" w:cs="Times New Roman" w:hint="eastAsia"/>
          <w:b/>
          <w:bCs/>
          <w:color w:val="auto"/>
          <w:highlight w:val="none"/>
          <w:lang w:eastAsia="zh-CN"/>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（1）根据部门自评的意见及考察、考评的结果进行整理、分析，撰写绩效评价报告初稿；</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（2）就部门自评报告与部门具体有关股室征求意见，形成最终的绩效评价报告。</w:t>
      </w:r>
    </w:p>
    <w:p>
      <w:pPr>
        <w:bidi w:val="0"/>
        <w:jc w:val="both"/>
        <w:rPr>
          <w:rFonts w:ascii="Times New Roman" w:eastAsia="仿宋_GB2312" w:hAnsi="Times New Roman" w:cs="Times New Roman" w:hint="default"/>
          <w:b/>
          <w:bCs/>
          <w:color w:val="auto"/>
          <w:highlight w:val="none"/>
        </w:rPr>
      </w:pPr>
      <w:bookmarkStart w:id="81" w:name="OLE_LINK4"/>
      <w:r>
        <w:rPr>
          <w:rFonts w:ascii="Times New Roman" w:eastAsia="仿宋_GB2312" w:hAnsi="Times New Roman" w:cs="Times New Roman" w:hint="default"/>
          <w:b/>
          <w:bCs/>
          <w:color w:val="auto"/>
          <w:highlight w:val="none"/>
        </w:rPr>
        <w:t xml:space="preserve">5</w:t>
      </w:r>
      <w:r>
        <w:rPr>
          <w:rFonts w:ascii="Times New Roman" w:eastAsia="仿宋_GB2312" w:hAnsi="Times New Roman" w:cs="Times New Roman" w:hint="default"/>
          <w:b/>
          <w:bCs/>
          <w:color w:val="auto"/>
          <w:highlight w:val="none"/>
          <w:lang w:eastAsia="zh-CN"/>
        </w:rPr>
        <w:t xml:space="preserve">.</w:t>
      </w:r>
      <w:r>
        <w:rPr>
          <w:rFonts w:ascii="Times New Roman" w:eastAsia="仿宋_GB2312" w:hAnsi="Times New Roman" w:cs="Times New Roman" w:hint="default"/>
          <w:b/>
          <w:bCs/>
          <w:color w:val="auto"/>
          <w:highlight w:val="none"/>
        </w:rPr>
        <w:t xml:space="preserve">问题整改</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bidi w:val="0"/>
        <w:jc w:val="both"/>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6</w:t>
      </w:r>
      <w:r>
        <w:rPr>
          <w:rFonts w:ascii="Times New Roman" w:eastAsia="仿宋_GB2312" w:hAnsi="Times New Roman" w:cs="Times New Roman" w:hint="default"/>
          <w:b/>
          <w:bCs/>
          <w:color w:val="auto"/>
          <w:highlight w:val="none"/>
          <w:lang w:eastAsia="zh-CN"/>
        </w:rPr>
        <w:t xml:space="preserve">.</w:t>
      </w:r>
      <w:r>
        <w:rPr>
          <w:rFonts w:ascii="Times New Roman" w:eastAsia="仿宋_GB2312" w:hAnsi="Times New Roman" w:cs="Times New Roman" w:hint="default"/>
          <w:b/>
          <w:bCs/>
          <w:color w:val="auto"/>
          <w:highlight w:val="none"/>
        </w:rPr>
        <w:t xml:space="preserve">档案整理</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建立和落实档案管理制度，将项目相关资料存档，包括但不限于：评价项目基本情况和相关文件、评价实施方案、项目支付资料等相关档案。</w:t>
      </w:r>
      <w:bookmarkEnd w:id="81"/>
    </w:p>
    <w:p>
      <w:pPr>
        <w:pStyle w:val="Heading2"/>
        <w:bidi w:val="0"/>
        <w:jc w:val="both"/>
        <w:outlineLvl w:val="0"/>
        <w:rPr>
          <w:rFonts w:ascii="黑体" w:eastAsia="黑体" w:hAnsi="黑体" w:cs="黑体" w:hint="eastAsia"/>
          <w:color w:val="auto"/>
          <w:highlight w:val="none"/>
        </w:rPr>
      </w:pPr>
      <w:bookmarkStart w:id="82" w:name="_Toc25201"/>
      <w:bookmarkStart w:id="83" w:name="_Toc21627"/>
      <w:bookmarkStart w:id="84" w:name="_Toc4498"/>
      <w:bookmarkStart w:id="85" w:name="_Toc1808"/>
      <w:bookmarkStart w:id="86" w:name="_Toc31058"/>
      <w:bookmarkStart w:id="87" w:name="_Toc32641"/>
      <w:r>
        <w:rPr>
          <w:rFonts w:ascii="黑体" w:eastAsia="黑体" w:hAnsi="黑体" w:cs="黑体" w:hint="eastAsia"/>
          <w:color w:val="auto"/>
          <w:highlight w:val="none"/>
        </w:rPr>
        <w:t xml:space="preserve">三、综合评价情况及评价结论</w:t>
      </w:r>
      <w:bookmarkEnd w:id="82"/>
      <w:bookmarkEnd w:id="83"/>
      <w:bookmarkEnd w:id="84"/>
      <w:bookmarkEnd w:id="85"/>
      <w:bookmarkEnd w:id="86"/>
      <w:bookmarkEnd w:id="87"/>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本项目的绩效评价结果为“优”，综合评分</w:t>
      </w:r>
      <w:r>
        <w:rPr>
          <w:rFonts w:ascii="Times New Roman" w:hAnsi="Times New Roman" w:cs="Times New Roman" w:hint="eastAsia"/>
          <w:color w:val="auto"/>
          <w:highlight w:val="none"/>
          <w:lang w:val="en-US" w:eastAsia="zh-CN"/>
        </w:rPr>
        <w:t xml:space="preserve">99.64</w:t>
      </w:r>
      <w:r>
        <w:rPr>
          <w:rFonts w:ascii="Times New Roman" w:eastAsia="仿宋_GB2312" w:hAnsi="Times New Roman" w:cs="Times New Roman" w:hint="default"/>
          <w:color w:val="auto"/>
          <w:highlight w:val="none"/>
        </w:rPr>
        <w:t xml:space="preserve">分。其中项目决策22分，项目过程</w:t>
      </w:r>
      <w:r>
        <w:rPr>
          <w:rFonts w:ascii="Times New Roman" w:hAnsi="Times New Roman" w:cs="Times New Roman" w:hint="eastAsia"/>
          <w:color w:val="auto"/>
          <w:highlight w:val="none"/>
          <w:lang w:val="en-US" w:eastAsia="zh-CN"/>
        </w:rPr>
        <w:t xml:space="preserve">17.82</w:t>
      </w:r>
      <w:r>
        <w:rPr>
          <w:rFonts w:ascii="Times New Roman" w:eastAsia="仿宋_GB2312" w:hAnsi="Times New Roman" w:cs="Times New Roman" w:hint="default"/>
          <w:color w:val="auto"/>
          <w:highlight w:val="none"/>
        </w:rPr>
        <w:t xml:space="preserve">分，</w:t>
      </w:r>
      <w:r>
        <w:rPr>
          <w:rFonts w:ascii="Times New Roman" w:hAnsi="Times New Roman" w:cs="Times New Roman" w:hint="eastAsia"/>
          <w:color w:val="auto"/>
          <w:highlight w:val="none"/>
          <w:lang w:eastAsia="zh-CN"/>
        </w:rPr>
        <w:t xml:space="preserve">原因是因政府采购有优惠率，预算执行率</w:t>
      </w:r>
      <w:r>
        <w:rPr>
          <w:rFonts w:ascii="Times New Roman" w:hAnsi="Times New Roman" w:cs="Times New Roman" w:hint="eastAsia"/>
          <w:color w:val="auto"/>
          <w:highlight w:val="none"/>
          <w:lang w:val="en-US" w:eastAsia="zh-CN"/>
        </w:rPr>
        <w:t xml:space="preserve">95.47%，扣0.18分；</w:t>
      </w:r>
      <w:r>
        <w:rPr>
          <w:rFonts w:ascii="Times New Roman" w:eastAsia="仿宋_GB2312" w:hAnsi="Times New Roman" w:cs="Times New Roman" w:hint="default"/>
          <w:color w:val="auto"/>
          <w:highlight w:val="none"/>
        </w:rPr>
        <w:t xml:space="preserve">项目产出管理得分</w:t>
      </w:r>
      <w:r>
        <w:rPr>
          <w:rFonts w:ascii="Times New Roman" w:hAnsi="Times New Roman" w:cs="Times New Roman" w:hint="eastAsia"/>
          <w:color w:val="auto"/>
          <w:highlight w:val="none"/>
          <w:lang w:val="en-US" w:eastAsia="zh-CN"/>
        </w:rPr>
        <w:t xml:space="preserve">39.82</w:t>
      </w:r>
      <w:r>
        <w:rPr>
          <w:rFonts w:ascii="Times New Roman" w:eastAsia="仿宋_GB2312" w:hAnsi="Times New Roman" w:cs="Times New Roman" w:hint="default"/>
          <w:color w:val="auto"/>
          <w:highlight w:val="none"/>
        </w:rPr>
        <w:t xml:space="preserve">分，</w:t>
      </w:r>
      <w:r>
        <w:rPr>
          <w:rFonts w:ascii="Times New Roman" w:hAnsi="Times New Roman" w:cs="Times New Roman" w:hint="eastAsia"/>
          <w:color w:val="auto"/>
          <w:highlight w:val="none"/>
          <w:lang w:eastAsia="zh-CN"/>
        </w:rPr>
        <w:t xml:space="preserve">原因是因政府采购有优惠率，造成各项成本均有结余，成本指标扣</w:t>
      </w:r>
      <w:r>
        <w:rPr>
          <w:rFonts w:ascii="Times New Roman" w:hAnsi="Times New Roman" w:cs="Times New Roman" w:hint="eastAsia"/>
          <w:color w:val="auto"/>
          <w:highlight w:val="none"/>
          <w:lang w:val="en-US" w:eastAsia="zh-CN"/>
        </w:rPr>
        <w:t xml:space="preserve">0.18分；</w:t>
      </w:r>
      <w:r>
        <w:rPr>
          <w:rFonts w:ascii="Times New Roman" w:eastAsia="仿宋_GB2312" w:hAnsi="Times New Roman" w:cs="Times New Roman" w:hint="default"/>
          <w:color w:val="auto"/>
          <w:highlight w:val="none"/>
        </w:rPr>
        <w:t xml:space="preserve">项目效益20分</w:t>
      </w:r>
      <w:r>
        <w:rPr>
          <w:rFonts w:ascii="Times New Roman" w:eastAsia="仿宋_GB2312" w:hAnsi="Times New Roman" w:cs="Times New Roman" w:hint="default"/>
          <w:color w:val="auto"/>
          <w:highlight w:val="none"/>
          <w:lang w:val="en-US" w:eastAsia="zh-CN"/>
        </w:rPr>
        <w:t xml:space="preserve">。各部分权重和绩效汇总分值如下表所示：</w:t>
      </w:r>
    </w:p>
    <w:tbl>
      <w:tblPr>
        <w:tblStyle w:val="NormalTable"/>
        <w:tblW w:w="8289" w:type="dxa"/>
        <w:jc w:val="center"/>
        <w:tblLayout w:type="fixed"/>
        <w:tblCellMar>
          <w:top w:w="0" w:type="dxa"/>
          <w:left w:w="0" w:type="dxa"/>
          <w:bottom w:w="0" w:type="dxa"/>
          <w:right w:w="0" w:type="dxa"/>
        </w:tblCellMar>
        <w:tblLook w:firstRow="0" w:lastRow="0" w:firstColumn="0" w:lastColumn="0" w:noHBand="1" w:noVBand="1"/>
      </w:tblPr>
      <w:tblGrid>
        <w:gridCol w:w="1094"/>
        <w:gridCol w:w="1541"/>
        <w:gridCol w:w="1520"/>
        <w:gridCol w:w="1536"/>
        <w:gridCol w:w="1504"/>
        <w:gridCol w:w="1094"/>
      </w:tblGrid>
      <w:tr>
        <w:tblPrEx>
          <w:tblW w:w="8289" w:type="dxa"/>
          <w:tblLayout w:type="fixed"/>
          <w:tblCellMar>
            <w:top w:w="0" w:type="dxa"/>
            <w:left w:w="0" w:type="dxa"/>
            <w:bottom w:w="0" w:type="dxa"/>
            <w:right w:w="0" w:type="dxa"/>
          </w:tblCellMar>
        </w:tblPrEx>
        <w:trPr>
          <w:trHeight w:val="375"/>
          <w:jc w:val="center"/>
        </w:trPr>
        <w:tc>
          <w:tcPr>
            <w:tcW w:w="8289" w:type="dxa"/>
            <w:gridSpan w:val="6"/>
            <w:tcBorders>
              <w:top w:val="nil"/>
              <w:left w:val="nil"/>
              <w:bottom w:val="nil"/>
              <w:right w:val="nil"/>
            </w:tcBorders>
            <w:noWrap w:val="1"/>
            <w:tcMar>
              <w:top w:w="15" w:type="dxa"/>
              <w:left w:w="15" w:type="dxa"/>
              <w:bottom w:w="0" w:type="dxa"/>
              <w:right w:w="15" w:type="dxa"/>
            </w:tcMar>
            <w:vAlign w:val="center"/>
          </w:tcPr>
          <w:p>
            <w:pPr>
              <w:pStyle w:val="表格标题"/>
              <w:bidi w:val="0"/>
              <w:jc w:val="center"/>
              <w:rPr>
                <w:rFonts w:ascii="Times New Roman" w:hAnsi="Times New Roman" w:cs="Times New Roman" w:hint="eastAsia"/>
                <w:color w:val="auto"/>
                <w:highlight w:val="none"/>
                <w:lang w:eastAsia="zh-CN"/>
              </w:rPr>
            </w:pPr>
            <w:bookmarkStart w:id="88" w:name="_Toc5566"/>
            <w:bookmarkStart w:id="89" w:name="_Toc3703"/>
            <w:bookmarkStart w:id="90" w:name="_Toc16086"/>
            <w:bookmarkStart w:id="91" w:name="_Toc17356"/>
            <w:bookmarkStart w:id="92" w:name="_Toc30727"/>
            <w:r>
              <w:rPr>
                <w:rFonts w:ascii="Times New Roman" w:hAnsi="Times New Roman" w:cs="Times New Roman" w:hint="eastAsia"/>
                <w:color w:val="auto"/>
                <w:highlight w:val="none"/>
                <w:lang w:eastAsia="zh-CN"/>
              </w:rPr>
              <w:t xml:space="preserve">2024年政府办驻村工作队为民办实事经费</w:t>
            </w:r>
            <w:bookmarkEnd w:id="88"/>
          </w:p>
          <w:p>
            <w:pPr>
              <w:pStyle w:val="表格标题"/>
              <w:bidi w:val="0"/>
              <w:jc w:val="center"/>
              <w:rPr>
                <w:rFonts w:ascii="Times New Roman" w:eastAsia="仿宋_GB2312" w:hAnsi="Times New Roman" w:cs="Times New Roman" w:hint="default"/>
                <w:color w:val="auto"/>
                <w:highlight w:val="none"/>
              </w:rPr>
            </w:pPr>
            <w:bookmarkStart w:id="93" w:name="_Toc594"/>
            <w:r>
              <w:rPr>
                <w:rFonts w:ascii="Times New Roman" w:eastAsia="仿宋_GB2312" w:hAnsi="Times New Roman" w:cs="Times New Roman" w:hint="default"/>
                <w:color w:val="auto"/>
                <w:highlight w:val="none"/>
              </w:rPr>
              <w:t xml:space="preserve">绩效评价</w:t>
            </w:r>
            <w:r>
              <w:rPr>
                <w:rFonts w:ascii="Times New Roman" w:eastAsia="仿宋_GB2312" w:hAnsi="Times New Roman" w:cs="Times New Roman" w:hint="default"/>
                <w:color w:val="auto"/>
                <w:highlight w:val="none"/>
                <w:lang w:val="zh-TW" w:eastAsia="zh-TW"/>
              </w:rPr>
              <w:t xml:space="preserve">得分表</w:t>
            </w:r>
            <w:bookmarkEnd w:id="89"/>
            <w:bookmarkEnd w:id="90"/>
            <w:bookmarkEnd w:id="93"/>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指标类别</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1.项目决策</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2.过程管理</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3.项目产出</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4.项目效益</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合计</w:t>
            </w:r>
          </w:p>
        </w:tc>
      </w:tr>
      <w:tr>
        <w:tblPrEx>
          <w:tblW w:w="8289" w:type="dxa"/>
          <w:tblLayout w:type="fixed"/>
          <w:tblCellMar>
            <w:top w:w="0" w:type="dxa"/>
            <w:left w:w="0" w:type="dxa"/>
            <w:bottom w:w="0" w:type="dxa"/>
            <w:right w:w="0" w:type="dxa"/>
          </w:tblCellMar>
        </w:tblPrEx>
        <w:trPr>
          <w:trHeight w:val="441"/>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权重</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eastAsia"/>
                <w:color w:val="auto"/>
                <w:highlight w:val="none"/>
                <w:lang w:val="en-US" w:eastAsia="zh-CN"/>
              </w:rPr>
            </w:pPr>
            <w:r>
              <w:rPr>
                <w:rFonts w:ascii="Times New Roman" w:eastAsia="仿宋_GB2312" w:hAnsi="Times New Roman" w:cs="Times New Roman" w:hint="default"/>
                <w:color w:val="auto"/>
                <w:highlight w:val="none"/>
              </w:rPr>
              <w:t xml:space="preserve">100</w:t>
            </w:r>
            <w:r>
              <w:rPr>
                <w:rFonts w:cs="Times New Roman" w:hint="eastAsia"/>
                <w:color w:val="auto"/>
                <w:highlight w:val="none"/>
                <w:lang w:val="en-US" w:eastAsia="zh-CN"/>
              </w:rPr>
              <w:t xml:space="preserve">%</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分值</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得分</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lang w:val="en-US" w:eastAsia="zh-CN"/>
              </w:rPr>
            </w:pPr>
            <w:r>
              <w:rPr>
                <w:rFonts w:cs="Times New Roman" w:hint="eastAsia"/>
                <w:color w:val="auto"/>
                <w:highlight w:val="none"/>
                <w:lang w:val="en-US" w:eastAsia="zh-CN"/>
              </w:rPr>
              <w:t xml:space="preserve">17.82</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lang w:val="en-US" w:eastAsia="zh-CN"/>
              </w:rPr>
            </w:pPr>
            <w:r>
              <w:rPr>
                <w:rFonts w:cs="Times New Roman" w:hint="eastAsia"/>
                <w:color w:val="auto"/>
                <w:highlight w:val="none"/>
                <w:lang w:val="en-US" w:eastAsia="zh-CN"/>
              </w:rPr>
              <w:t xml:space="preserve">39.82</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lang w:val="en-US" w:eastAsia="zh-CN"/>
              </w:rPr>
            </w:pPr>
            <w:r>
              <w:rPr>
                <w:rFonts w:cs="Times New Roman" w:hint="eastAsia"/>
                <w:color w:val="auto"/>
                <w:highlight w:val="none"/>
                <w:lang w:val="en-US" w:eastAsia="zh-CN"/>
              </w:rPr>
              <w:t xml:space="preserve">99.64</w:t>
            </w:r>
          </w:p>
        </w:tc>
      </w:tr>
    </w:tbl>
    <w:p>
      <w:pPr>
        <w:pStyle w:val="Heading2"/>
        <w:bidi w:val="0"/>
        <w:jc w:val="both"/>
        <w:outlineLvl w:val="0"/>
        <w:rPr>
          <w:rFonts w:ascii="黑体" w:eastAsia="黑体" w:hAnsi="黑体" w:cs="黑体" w:hint="eastAsia"/>
          <w:color w:val="auto"/>
          <w:highlight w:val="none"/>
        </w:rPr>
      </w:pPr>
      <w:bookmarkStart w:id="94" w:name="_Toc4904"/>
      <w:bookmarkStart w:id="95" w:name="_Toc11265"/>
      <w:bookmarkStart w:id="96" w:name="_Toc29439"/>
      <w:bookmarkStart w:id="97" w:name="_Toc13630"/>
      <w:r>
        <w:rPr>
          <w:rFonts w:ascii="黑体" w:eastAsia="黑体" w:hAnsi="黑体" w:cs="黑体" w:hint="eastAsia"/>
          <w:color w:val="auto"/>
          <w:highlight w:val="none"/>
        </w:rPr>
        <w:t xml:space="preserve">四、绩效评价指标分析</w:t>
      </w:r>
      <w:bookmarkEnd w:id="91"/>
      <w:bookmarkEnd w:id="92"/>
      <w:bookmarkEnd w:id="94"/>
      <w:bookmarkEnd w:id="95"/>
      <w:bookmarkEnd w:id="96"/>
      <w:bookmarkEnd w:id="97"/>
    </w:p>
    <w:p>
      <w:pPr>
        <w:pStyle w:val="Heading3"/>
        <w:bidi w:val="0"/>
        <w:jc w:val="both"/>
        <w:outlineLvl w:val="1"/>
        <w:rPr>
          <w:rFonts w:ascii="楷体" w:eastAsia="楷体" w:hAnsi="楷体" w:cs="楷体" w:hint="eastAsia"/>
          <w:color w:val="auto"/>
          <w:highlight w:val="none"/>
        </w:rPr>
      </w:pPr>
      <w:bookmarkStart w:id="98" w:name="_Toc2901"/>
      <w:bookmarkStart w:id="99" w:name="_Toc4258"/>
      <w:bookmarkStart w:id="100" w:name="_Toc1968"/>
      <w:bookmarkStart w:id="101" w:name="_Toc22323"/>
      <w:bookmarkStart w:id="102" w:name="_Toc28477"/>
      <w:r>
        <w:rPr>
          <w:rFonts w:ascii="楷体" w:eastAsia="楷体" w:hAnsi="楷体" w:cs="楷体" w:hint="eastAsia"/>
          <w:color w:val="auto"/>
          <w:highlight w:val="none"/>
        </w:rPr>
        <w:t xml:space="preserve">（一）项目决策情况</w:t>
      </w:r>
      <w:bookmarkEnd w:id="98"/>
      <w:bookmarkEnd w:id="99"/>
      <w:bookmarkEnd w:id="100"/>
      <w:bookmarkEnd w:id="101"/>
      <w:bookmarkEnd w:id="102"/>
    </w:p>
    <w:p>
      <w:pPr>
        <w:bidi w:val="0"/>
        <w:rPr>
          <w:color w:val="auto"/>
          <w:highlight w:val="none"/>
        </w:rPr>
      </w:pPr>
      <w:bookmarkStart w:id="103" w:name="_Toc510"/>
      <w:bookmarkStart w:id="104" w:name="_Toc22511"/>
      <w:r>
        <w:rPr>
          <w:rFonts w:hint="eastAsia"/>
          <w:color w:val="auto"/>
          <w:highlight w:val="none"/>
        </w:rPr>
        <w:t xml:space="preserve">1、实施依据充分性</w:t>
      </w:r>
    </w:p>
    <w:p>
      <w:pPr>
        <w:bidi w:val="0"/>
        <w:rPr>
          <w:rFonts w:hint="eastAsia"/>
          <w:color w:val="auto"/>
          <w:highlight w:val="none"/>
        </w:rPr>
      </w:pPr>
      <w:r>
        <w:rPr>
          <w:rFonts w:hint="eastAsia"/>
          <w:color w:val="auto"/>
          <w:highlight w:val="none"/>
        </w:rPr>
        <w:t xml:space="preserve">本</w:t>
      </w:r>
      <w:r>
        <w:rPr>
          <w:rFonts w:hint="eastAsia"/>
          <w:color w:val="auto"/>
          <w:highlight w:val="none"/>
        </w:rPr>
        <w:t xml:space="preserve">项目</w:t>
      </w:r>
      <w:r>
        <w:rPr>
          <w:rFonts w:hint="eastAsia"/>
          <w:color w:val="auto"/>
          <w:highlight w:val="none"/>
          <w:lang w:val="en-US" w:eastAsia="zh-CN"/>
        </w:rPr>
        <w:t xml:space="preserve">实施</w:t>
      </w:r>
      <w:r>
        <w:rPr>
          <w:rFonts w:hint="eastAsia"/>
          <w:color w:val="auto"/>
          <w:highlight w:val="none"/>
        </w:rPr>
        <w:t xml:space="preserve">符合</w:t>
      </w:r>
      <w:r>
        <w:rPr>
          <w:rFonts w:hint="eastAsia"/>
          <w:color w:val="auto"/>
          <w:highlight w:val="none"/>
          <w:lang w:eastAsia="zh-CN"/>
        </w:rPr>
        <w:t xml:space="preserve">自治区“访民情惠民生聚民心”驻村工作领导小组办公室、自治区财政厅印发的</w:t>
      </w:r>
      <w:r>
        <w:rPr>
          <w:rFonts w:hint="eastAsia"/>
          <w:color w:val="auto"/>
          <w:highlight w:val="none"/>
        </w:rPr>
        <w:t xml:space="preserve">《</w:t>
      </w:r>
      <w:r>
        <w:rPr>
          <w:rFonts w:hint="eastAsia"/>
          <w:color w:val="auto"/>
          <w:highlight w:val="none"/>
          <w:lang w:eastAsia="zh-CN"/>
        </w:rPr>
        <w:t xml:space="preserve">自治区“访民情惠民生聚民心”驻村工作为民办实事工作经费使用管理办法（试行）</w:t>
      </w:r>
      <w:r>
        <w:rPr>
          <w:rFonts w:hint="eastAsia"/>
          <w:color w:val="auto"/>
          <w:highlight w:val="none"/>
        </w:rPr>
        <w:t xml:space="preserve">》</w:t>
      </w:r>
      <w:r>
        <w:rPr>
          <w:rFonts w:hint="eastAsia"/>
          <w:color w:val="auto"/>
          <w:highlight w:val="none"/>
        </w:rPr>
        <w:t xml:space="preserve">中</w:t>
      </w:r>
      <w:r>
        <w:rPr>
          <w:rFonts w:hint="eastAsia"/>
          <w:color w:val="auto"/>
          <w:highlight w:val="none"/>
        </w:rPr>
        <w:t xml:space="preserve">：“</w:t>
      </w:r>
      <w:r>
        <w:rPr>
          <w:rFonts w:hint="eastAsia"/>
          <w:color w:val="auto"/>
          <w:highlight w:val="none"/>
          <w:lang w:eastAsia="zh-CN"/>
        </w:rPr>
        <w:t xml:space="preserve">为民办实事工作经费的设立，是以解决群众最关心、最直接、最现实的利益问题为导向，以千方百计解决群众生产生活中的实际困难为目的，及时将党和政府的温暖送到了各族群众的心坎上</w:t>
      </w:r>
      <w:r>
        <w:rPr>
          <w:rFonts w:hint="eastAsia"/>
          <w:color w:val="auto"/>
          <w:highlight w:val="none"/>
        </w:rPr>
        <w:t xml:space="preserve">”</w:t>
      </w:r>
      <w:r>
        <w:rPr>
          <w:rFonts w:hint="eastAsia"/>
          <w:color w:val="auto"/>
          <w:highlight w:val="none"/>
          <w:lang w:eastAsia="zh-CN"/>
        </w:rPr>
        <w:t xml:space="preserve">的</w:t>
      </w:r>
      <w:r>
        <w:rPr>
          <w:rFonts w:hint="eastAsia"/>
          <w:color w:val="auto"/>
          <w:highlight w:val="none"/>
        </w:rPr>
        <w:t xml:space="preserve">内容，</w:t>
      </w:r>
      <w:r>
        <w:rPr>
          <w:rFonts w:hint="eastAsia"/>
          <w:color w:val="auto"/>
          <w:highlight w:val="none"/>
        </w:rPr>
        <w:t xml:space="preserve">符合行业发展规划和政策要求</w:t>
      </w:r>
      <w:r>
        <w:rPr>
          <w:rFonts w:hint="eastAsia"/>
          <w:color w:val="auto"/>
          <w:highlight w:val="none"/>
        </w:rPr>
        <w:t xml:space="preserve">；</w:t>
      </w:r>
    </w:p>
    <w:p>
      <w:pPr>
        <w:bidi w:val="0"/>
        <w:rPr>
          <w:color w:val="auto"/>
          <w:highlight w:val="none"/>
        </w:rPr>
      </w:pPr>
      <w:r>
        <w:rPr>
          <w:rFonts w:hint="eastAsia"/>
          <w:color w:val="auto"/>
          <w:highlight w:val="none"/>
        </w:rPr>
        <w:t xml:space="preserve">（1）本项目申报和审批符合国家法律法规、国民经济发展规划和相关政策；</w:t>
      </w:r>
    </w:p>
    <w:p>
      <w:pPr>
        <w:bidi w:val="0"/>
        <w:rPr>
          <w:color w:val="auto"/>
          <w:highlight w:val="none"/>
        </w:rPr>
      </w:pPr>
      <w:r>
        <w:rPr>
          <w:rFonts w:hint="eastAsia"/>
          <w:color w:val="auto"/>
          <w:highlight w:val="none"/>
        </w:rPr>
        <w:t xml:space="preserve">（2）本项目申报和审批符合行业发展规划和政策要求；</w:t>
      </w:r>
    </w:p>
    <w:p>
      <w:pPr>
        <w:bidi w:val="0"/>
        <w:rPr>
          <w:color w:val="auto"/>
          <w:highlight w:val="none"/>
        </w:rPr>
      </w:pPr>
      <w:r>
        <w:rPr>
          <w:rFonts w:hint="eastAsia"/>
          <w:color w:val="auto"/>
          <w:highlight w:val="none"/>
        </w:rPr>
        <w:t xml:space="preserve">（3）项目</w:t>
      </w:r>
      <w:r>
        <w:rPr>
          <w:rFonts w:hint="eastAsia"/>
          <w:color w:val="auto"/>
          <w:highlight w:val="none"/>
          <w:lang w:val="en-US" w:eastAsia="zh-CN"/>
        </w:rPr>
        <w:t xml:space="preserve">实施</w:t>
      </w:r>
      <w:r>
        <w:rPr>
          <w:rFonts w:hint="eastAsia"/>
          <w:color w:val="auto"/>
          <w:highlight w:val="none"/>
        </w:rPr>
        <w:t xml:space="preserve">与部门职责范围相符，属</w:t>
      </w:r>
      <w:r>
        <w:rPr>
          <w:rFonts w:hint="eastAsia"/>
          <w:color w:val="auto"/>
          <w:highlight w:val="none"/>
        </w:rPr>
        <w:t xml:space="preserve">干部</w:t>
      </w:r>
      <w:r>
        <w:rPr>
          <w:rFonts w:hint="eastAsia"/>
          <w:color w:val="auto"/>
          <w:highlight w:val="none"/>
        </w:rPr>
        <w:t xml:space="preserve">门履职所需；</w:t>
      </w:r>
    </w:p>
    <w:p>
      <w:pPr>
        <w:bidi w:val="0"/>
        <w:rPr>
          <w:color w:val="auto"/>
          <w:highlight w:val="none"/>
        </w:rPr>
      </w:pPr>
      <w:r>
        <w:rPr>
          <w:rFonts w:hint="eastAsia"/>
          <w:color w:val="auto"/>
          <w:highlight w:val="none"/>
        </w:rPr>
        <w:t xml:space="preserve">（4）本项目属于公共财政支持范围，符合中央、地方事权支出责任划分原则；</w:t>
      </w:r>
    </w:p>
    <w:p>
      <w:pPr>
        <w:bidi w:val="0"/>
        <w:rPr>
          <w:color w:val="auto"/>
          <w:highlight w:val="none"/>
        </w:rPr>
      </w:pPr>
      <w:r>
        <w:rPr>
          <w:rFonts w:hint="eastAsia"/>
          <w:color w:val="auto"/>
          <w:highlight w:val="none"/>
        </w:rPr>
        <w:t xml:space="preserve">（5）本项目与相关部门同类项目或部门内部相关项目</w:t>
      </w:r>
      <w:r>
        <w:rPr>
          <w:rFonts w:hint="eastAsia"/>
          <w:color w:val="auto"/>
          <w:highlight w:val="none"/>
          <w:lang w:val="en-US" w:eastAsia="zh-CN"/>
        </w:rPr>
        <w:t xml:space="preserve">不</w:t>
      </w:r>
      <w:r>
        <w:rPr>
          <w:rFonts w:hint="eastAsia"/>
          <w:color w:val="auto"/>
          <w:highlight w:val="none"/>
        </w:rPr>
        <w:t xml:space="preserve">重复。</w:t>
      </w:r>
    </w:p>
    <w:p>
      <w:pPr>
        <w:bidi w:val="0"/>
        <w:rPr>
          <w:color w:val="auto"/>
          <w:highlight w:val="none"/>
        </w:rPr>
      </w:pPr>
      <w:r>
        <w:rPr>
          <w:rFonts w:hint="eastAsia"/>
          <w:color w:val="auto"/>
          <w:highlight w:val="none"/>
        </w:rPr>
        <w:t xml:space="preserve">本项满分3分，评估得分3分。</w:t>
      </w:r>
    </w:p>
    <w:p>
      <w:pPr>
        <w:bidi w:val="0"/>
        <w:rPr>
          <w:color w:val="auto"/>
          <w:highlight w:val="none"/>
        </w:rPr>
      </w:pPr>
      <w:r>
        <w:rPr>
          <w:rFonts w:hint="eastAsia"/>
          <w:color w:val="auto"/>
          <w:highlight w:val="none"/>
        </w:rPr>
        <w:t xml:space="preserve">2、实施程序规范性</w:t>
      </w:r>
    </w:p>
    <w:p>
      <w:pPr>
        <w:bidi w:val="0"/>
        <w:rPr>
          <w:color w:val="auto"/>
          <w:highlight w:val="none"/>
        </w:rPr>
      </w:pPr>
      <w:r>
        <w:rPr>
          <w:rFonts w:ascii="Times New Roman" w:eastAsia="仿宋_GB2312" w:hAnsi="Times New Roman" w:cs="Times New Roman" w:hint="eastAsia"/>
          <w:bCs w:val="0"/>
          <w:iCs w:val="0"/>
          <w:color w:val="auto"/>
          <w:kern w:val="2"/>
          <w:sz w:val="32"/>
          <w:szCs w:val="22"/>
          <w:highlight w:val="none"/>
          <w:lang w:val="en-US" w:bidi="ar-SA"/>
        </w:rPr>
        <w:t xml:space="preserve">本项目</w:t>
      </w:r>
      <w:r>
        <w:rPr>
          <w:rFonts w:ascii="Times New Roman" w:eastAsia="仿宋_GB2312" w:hAnsi="Times New Roman" w:cs="Times New Roman" w:hint="eastAsia"/>
          <w:bCs w:val="0"/>
          <w:iCs w:val="0"/>
          <w:color w:val="auto"/>
          <w:kern w:val="2"/>
          <w:sz w:val="32"/>
          <w:szCs w:val="22"/>
          <w:highlight w:val="none"/>
          <w:lang w:val="en-US" w:eastAsia="zh-CN" w:bidi="ar-SA"/>
        </w:rPr>
        <w:t xml:space="preserve">实施</w:t>
      </w:r>
      <w:r>
        <w:rPr>
          <w:rFonts w:ascii="Times New Roman" w:eastAsia="仿宋_GB2312" w:hAnsi="Times New Roman" w:cs="Times New Roman" w:hint="eastAsia"/>
          <w:bCs w:val="0"/>
          <w:iCs w:val="0"/>
          <w:color w:val="auto"/>
          <w:kern w:val="2"/>
          <w:sz w:val="32"/>
          <w:szCs w:val="22"/>
          <w:highlight w:val="none"/>
          <w:lang w:val="en-US" w:bidi="ar-SA"/>
        </w:rPr>
        <w:t xml:space="preserve">资料全，</w:t>
      </w:r>
      <w:r>
        <w:rPr>
          <w:rFonts w:ascii="Times New Roman" w:eastAsia="仿宋_GB2312" w:hAnsi="Times New Roman" w:cs="Times New Roman" w:hint="eastAsia"/>
          <w:bCs w:val="0"/>
          <w:iCs w:val="0"/>
          <w:color w:val="auto"/>
          <w:kern w:val="2"/>
          <w:sz w:val="32"/>
          <w:szCs w:val="22"/>
          <w:highlight w:val="none"/>
          <w:lang w:val="en-US" w:eastAsia="zh-CN" w:bidi="ar-SA"/>
        </w:rPr>
        <w:t xml:space="preserve">通过</w:t>
      </w:r>
      <w:r>
        <w:rPr>
          <w:rFonts w:ascii="Times New Roman" w:hAnsi="Times New Roman" w:cs="Times New Roman" w:hint="eastAsia"/>
          <w:bCs w:val="0"/>
          <w:iCs w:val="0"/>
          <w:color w:val="auto"/>
          <w:kern w:val="2"/>
          <w:sz w:val="32"/>
          <w:szCs w:val="22"/>
          <w:highlight w:val="none"/>
          <w:lang w:val="en-US" w:eastAsia="zh-CN" w:bidi="ar-SA"/>
        </w:rPr>
        <w:t xml:space="preserve">尉犁县政府办党组</w:t>
      </w:r>
      <w:r>
        <w:rPr>
          <w:rFonts w:ascii="Times New Roman" w:eastAsia="仿宋_GB2312" w:hAnsi="Times New Roman" w:cs="Times New Roman" w:hint="eastAsia"/>
          <w:bCs w:val="0"/>
          <w:iCs w:val="0"/>
          <w:color w:val="auto"/>
          <w:kern w:val="2"/>
          <w:sz w:val="32"/>
          <w:szCs w:val="22"/>
          <w:highlight w:val="none"/>
          <w:lang w:val="en-US" w:eastAsia="zh-CN" w:bidi="ar-SA"/>
        </w:rPr>
        <w:t xml:space="preserve">会议同意实施该项目。因此，</w:t>
      </w:r>
      <w:r>
        <w:rPr>
          <w:rFonts w:hint="eastAsia"/>
          <w:color w:val="auto"/>
          <w:spacing w:val="-4"/>
          <w:szCs w:val="32"/>
          <w:highlight w:val="none"/>
          <w:lang w:val="en-US" w:eastAsia="zh-CN"/>
        </w:rPr>
        <w:t xml:space="preserve">实施</w:t>
      </w:r>
      <w:r>
        <w:rPr>
          <w:rFonts w:hint="eastAsia"/>
          <w:bCs/>
          <w:color w:val="auto"/>
          <w:szCs w:val="32"/>
          <w:highlight w:val="none"/>
        </w:rPr>
        <w:t xml:space="preserve">程序规范；审批文件、材料符合相关要求，事前已经过必要的集体决策，</w:t>
      </w:r>
      <w:r>
        <w:rPr>
          <w:rFonts w:hint="eastAsia"/>
          <w:color w:val="auto"/>
          <w:highlight w:val="none"/>
        </w:rPr>
        <w:t xml:space="preserve">实施程序规范。</w:t>
      </w:r>
    </w:p>
    <w:p>
      <w:pPr>
        <w:bidi w:val="0"/>
        <w:rPr>
          <w:color w:val="auto"/>
          <w:highlight w:val="none"/>
        </w:rPr>
      </w:pPr>
      <w:r>
        <w:rPr>
          <w:rFonts w:hint="eastAsia"/>
          <w:color w:val="auto"/>
          <w:highlight w:val="none"/>
        </w:rPr>
        <w:t xml:space="preserve">本项满分3分，评估得分3分。</w:t>
      </w:r>
    </w:p>
    <w:p>
      <w:pPr>
        <w:bidi w:val="0"/>
        <w:rPr>
          <w:color w:val="auto"/>
          <w:highlight w:val="none"/>
        </w:rPr>
      </w:pPr>
      <w:r>
        <w:rPr>
          <w:rFonts w:hint="eastAsia"/>
          <w:color w:val="auto"/>
          <w:highlight w:val="none"/>
        </w:rPr>
        <w:t xml:space="preserve">3、绩效目标合理性</w:t>
      </w:r>
    </w:p>
    <w:p>
      <w:pPr>
        <w:bidi w:val="0"/>
        <w:rPr>
          <w:rFonts w:hint="eastAsia"/>
          <w:bCs/>
          <w:color w:val="auto"/>
          <w:szCs w:val="32"/>
          <w:highlight w:val="none"/>
        </w:rPr>
      </w:pPr>
      <w:r>
        <w:rPr>
          <w:rFonts w:hint="eastAsia"/>
          <w:bCs/>
          <w:color w:val="auto"/>
          <w:szCs w:val="32"/>
          <w:highlight w:val="none"/>
          <w:lang w:val="en-US" w:eastAsia="zh-CN"/>
        </w:rPr>
        <w:t xml:space="preserve">2024年政府办驻村工作队为民办实事经费</w:t>
      </w:r>
      <w:r>
        <w:rPr>
          <w:rFonts w:hint="eastAsia"/>
          <w:bCs/>
          <w:color w:val="auto"/>
          <w:szCs w:val="32"/>
          <w:highlight w:val="none"/>
        </w:rPr>
        <w:t xml:space="preserve">设立了项目绩效目标，绩效目标指标设置合理，项目绩效目标与实际工作内容相关性较强；项目预期产出效益和效果符合正常的业绩水平；绩效目标与预算确定的项目投资额相匹配。</w:t>
      </w:r>
    </w:p>
    <w:p>
      <w:pPr>
        <w:bidi w:val="0"/>
        <w:rPr>
          <w:color w:val="auto"/>
          <w:highlight w:val="none"/>
        </w:rPr>
      </w:pPr>
      <w:r>
        <w:rPr>
          <w:rFonts w:hint="eastAsia"/>
          <w:color w:val="auto"/>
          <w:highlight w:val="none"/>
        </w:rPr>
        <w:t xml:space="preserve">本项满分4分，评估得分4分。</w:t>
      </w:r>
    </w:p>
    <w:p>
      <w:pPr>
        <w:bidi w:val="0"/>
        <w:rPr>
          <w:color w:val="auto"/>
          <w:highlight w:val="none"/>
        </w:rPr>
      </w:pPr>
      <w:r>
        <w:rPr>
          <w:rFonts w:hint="eastAsia"/>
          <w:color w:val="auto"/>
          <w:highlight w:val="none"/>
        </w:rPr>
        <w:t xml:space="preserve">4、绩效指标明确性</w:t>
      </w:r>
    </w:p>
    <w:p>
      <w:pPr>
        <w:bidi w:val="0"/>
        <w:rPr>
          <w:color w:val="auto"/>
          <w:highlight w:val="none"/>
        </w:rPr>
      </w:pPr>
      <w:r>
        <w:rPr>
          <w:rFonts w:ascii="Times New Roman" w:hAnsi="Times New Roman" w:cs="Times New Roman" w:hint="eastAsia"/>
          <w:color w:val="auto"/>
          <w:highlight w:val="none"/>
          <w:lang w:eastAsia="zh-CN"/>
        </w:rPr>
        <w:t xml:space="preserve">2024年政府办驻村工作队为民办实事经费项目</w:t>
      </w:r>
      <w:r>
        <w:rPr>
          <w:rFonts w:hint="eastAsia"/>
          <w:color w:val="auto"/>
          <w:highlight w:val="none"/>
        </w:rPr>
        <w:t xml:space="preserve">，设置一级指标三条，二级指标</w:t>
      </w:r>
      <w:r>
        <w:rPr>
          <w:rFonts w:hint="eastAsia"/>
          <w:color w:val="auto"/>
          <w:highlight w:val="none"/>
          <w:lang w:val="en-US" w:eastAsia="zh-CN"/>
        </w:rPr>
        <w:t xml:space="preserve">5</w:t>
      </w:r>
      <w:r>
        <w:rPr>
          <w:rFonts w:hint="eastAsia"/>
          <w:color w:val="auto"/>
          <w:highlight w:val="none"/>
        </w:rPr>
        <w:t xml:space="preserve">条，三级指标</w:t>
      </w:r>
      <w:r>
        <w:rPr>
          <w:rFonts w:hint="eastAsia"/>
          <w:color w:val="auto"/>
          <w:highlight w:val="none"/>
          <w:lang w:eastAsia="zh-CN"/>
        </w:rPr>
        <w:t xml:space="preserve">九</w:t>
      </w:r>
      <w:r>
        <w:rPr>
          <w:rFonts w:hint="eastAsia"/>
          <w:color w:val="auto"/>
          <w:highlight w:val="none"/>
        </w:rPr>
        <w:t xml:space="preserve">条，其中量化指标</w:t>
      </w:r>
      <w:r>
        <w:rPr>
          <w:rFonts w:hint="eastAsia"/>
          <w:color w:val="auto"/>
          <w:highlight w:val="none"/>
          <w:lang w:eastAsia="zh-CN"/>
        </w:rPr>
        <w:t xml:space="preserve">八</w:t>
      </w:r>
      <w:r>
        <w:rPr>
          <w:rFonts w:hint="eastAsia"/>
          <w:color w:val="auto"/>
          <w:highlight w:val="none"/>
        </w:rPr>
        <w:t xml:space="preserve">条，绩效目标指标设定清晰、可衡量性较强，与项目目标任务计划数对应性较强。</w:t>
      </w:r>
    </w:p>
    <w:p>
      <w:pPr>
        <w:bidi w:val="0"/>
        <w:rPr>
          <w:color w:val="auto"/>
          <w:highlight w:val="none"/>
        </w:rPr>
      </w:pPr>
      <w:r>
        <w:rPr>
          <w:rFonts w:hint="eastAsia"/>
          <w:color w:val="auto"/>
          <w:highlight w:val="none"/>
        </w:rPr>
        <w:t xml:space="preserve">本项满分4分，评估得分4分。</w:t>
      </w:r>
    </w:p>
    <w:p>
      <w:pPr>
        <w:bidi w:val="0"/>
        <w:rPr>
          <w:color w:val="auto"/>
          <w:highlight w:val="none"/>
        </w:rPr>
      </w:pPr>
      <w:r>
        <w:rPr>
          <w:rFonts w:hint="eastAsia"/>
          <w:color w:val="auto"/>
          <w:highlight w:val="none"/>
        </w:rPr>
        <w:t xml:space="preserve">5、预算编制科学性</w:t>
      </w:r>
    </w:p>
    <w:p>
      <w:pPr>
        <w:bidi w:val="0"/>
        <w:rPr>
          <w:color w:val="auto"/>
          <w:highlight w:val="none"/>
        </w:rPr>
      </w:pPr>
      <w:r>
        <w:rPr>
          <w:rFonts w:hint="eastAsia"/>
          <w:color w:val="auto"/>
          <w:highlight w:val="none"/>
        </w:rPr>
        <w:t xml:space="preserve">本项目预算资金</w:t>
      </w:r>
      <w:r>
        <w:rPr>
          <w:rFonts w:hint="eastAsia"/>
          <w:color w:val="auto"/>
          <w:highlight w:val="none"/>
          <w:lang w:val="en-US" w:eastAsia="zh-CN"/>
        </w:rPr>
        <w:t xml:space="preserve">15</w:t>
      </w:r>
      <w:r>
        <w:rPr>
          <w:rFonts w:hint="eastAsia"/>
          <w:color w:val="auto"/>
          <w:highlight w:val="none"/>
        </w:rPr>
        <w:t xml:space="preserve">万元，来源</w:t>
      </w:r>
      <w:r>
        <w:rPr>
          <w:rFonts w:ascii="Times New Roman" w:eastAsia="仿宋_GB2312" w:hAnsi="Times New Roman" w:cs="Times New Roman" w:hint="default"/>
          <w:color w:val="auto"/>
          <w:highlight w:val="none"/>
        </w:rPr>
        <w:t xml:space="preserve">为</w:t>
      </w:r>
      <w:r>
        <w:rPr>
          <w:rFonts w:ascii="Times New Roman" w:hAnsi="Times New Roman" w:cs="Times New Roman" w:hint="eastAsia"/>
          <w:color w:val="auto"/>
          <w:highlight w:val="none"/>
          <w:lang w:val="en-US" w:eastAsia="zh-CN"/>
        </w:rPr>
        <w:t xml:space="preserve">自治区</w:t>
      </w:r>
      <w:r>
        <w:rPr>
          <w:rFonts w:ascii="Times New Roman" w:hAnsi="Times New Roman" w:cs="Times New Roman" w:hint="default"/>
          <w:color w:val="auto"/>
          <w:highlight w:val="none"/>
          <w:lang w:val="en-US" w:eastAsia="zh-CN"/>
        </w:rPr>
        <w:t xml:space="preserve">资金</w:t>
      </w:r>
      <w:r>
        <w:rPr>
          <w:rFonts w:ascii="Times New Roman" w:hAnsi="Times New Roman" w:cs="Times New Roman" w:hint="eastAsia"/>
          <w:color w:val="auto"/>
          <w:highlight w:val="none"/>
          <w:lang w:val="en-US" w:eastAsia="zh-CN"/>
        </w:rPr>
        <w:t xml:space="preserve">15</w:t>
      </w:r>
      <w:r>
        <w:rPr>
          <w:rFonts w:hint="eastAsia"/>
          <w:color w:val="auto"/>
          <w:highlight w:val="none"/>
        </w:rPr>
        <w:t xml:space="preserve">万元，预算编制较为科学，预算内容与</w:t>
      </w:r>
      <w:r>
        <w:rPr>
          <w:rFonts w:hint="eastAsia"/>
          <w:color w:val="auto"/>
          <w:highlight w:val="none"/>
          <w:lang w:val="en-US" w:eastAsia="zh-CN"/>
        </w:rPr>
        <w:t xml:space="preserve">驻村工作队为民办实事工作</w:t>
      </w:r>
      <w:r>
        <w:rPr>
          <w:rFonts w:hint="eastAsia"/>
          <w:color w:val="auto"/>
          <w:highlight w:val="none"/>
        </w:rPr>
        <w:t xml:space="preserve">内容相匹配，预算额度测算依据充分，预算确定的资金量与</w:t>
      </w:r>
      <w:r>
        <w:rPr>
          <w:rFonts w:hint="eastAsia"/>
          <w:color w:val="auto"/>
          <w:highlight w:val="none"/>
          <w:lang w:val="en-US" w:eastAsia="zh-CN"/>
        </w:rPr>
        <w:t xml:space="preserve">工作量</w:t>
      </w:r>
      <w:r>
        <w:rPr>
          <w:rFonts w:hint="eastAsia"/>
          <w:color w:val="auto"/>
          <w:highlight w:val="none"/>
        </w:rPr>
        <w:t xml:space="preserve">相匹配。</w:t>
      </w:r>
    </w:p>
    <w:p>
      <w:pPr>
        <w:bidi w:val="0"/>
        <w:rPr>
          <w:color w:val="auto"/>
          <w:highlight w:val="none"/>
        </w:rPr>
      </w:pPr>
      <w:r>
        <w:rPr>
          <w:rFonts w:hint="eastAsia"/>
          <w:color w:val="auto"/>
          <w:highlight w:val="none"/>
        </w:rPr>
        <w:t xml:space="preserve">本项满分4分，评估得分4分。</w:t>
      </w:r>
    </w:p>
    <w:p>
      <w:pPr>
        <w:bidi w:val="0"/>
        <w:rPr>
          <w:color w:val="auto"/>
          <w:highlight w:val="none"/>
        </w:rPr>
      </w:pPr>
      <w:r>
        <w:rPr>
          <w:rFonts w:hint="eastAsia"/>
          <w:color w:val="auto"/>
          <w:highlight w:val="none"/>
        </w:rPr>
        <w:t xml:space="preserve">6、资金分配合理性</w:t>
      </w:r>
    </w:p>
    <w:p>
      <w:pPr>
        <w:bidi w:val="0"/>
        <w:rPr>
          <w:color w:val="auto"/>
          <w:highlight w:val="none"/>
        </w:rPr>
      </w:pPr>
      <w:r>
        <w:rPr>
          <w:rFonts w:hint="eastAsia"/>
          <w:color w:val="auto"/>
          <w:highlight w:val="none"/>
        </w:rPr>
        <w:t xml:space="preserve">本项目预算资金分配依据充分；资金分配额度合理，与项目单位实际相适应。</w:t>
      </w:r>
    </w:p>
    <w:p>
      <w:pPr>
        <w:bidi w:val="0"/>
        <w:rPr>
          <w:color w:val="auto"/>
          <w:highlight w:val="none"/>
        </w:rPr>
      </w:pPr>
      <w:r>
        <w:rPr>
          <w:rFonts w:hint="eastAsia"/>
          <w:color w:val="auto"/>
          <w:highlight w:val="none"/>
        </w:rPr>
        <w:t xml:space="preserve">本项满分4分，评估得分4分。</w:t>
      </w:r>
    </w:p>
    <w:p>
      <w:pPr>
        <w:pStyle w:val="Heading3"/>
        <w:bidi w:val="0"/>
        <w:outlineLvl w:val="1"/>
        <w:rPr>
          <w:color w:val="auto"/>
          <w:highlight w:val="none"/>
        </w:rPr>
      </w:pPr>
      <w:bookmarkStart w:id="105" w:name="_Toc11290"/>
      <w:bookmarkStart w:id="106" w:name="_Toc28132"/>
      <w:r>
        <w:rPr>
          <w:rFonts w:hint="eastAsia"/>
          <w:color w:val="auto"/>
          <w:highlight w:val="none"/>
        </w:rPr>
        <w:t xml:space="preserve">（二）项目过程情况</w:t>
      </w:r>
      <w:bookmarkEnd w:id="105"/>
      <w:bookmarkEnd w:id="106"/>
    </w:p>
    <w:p>
      <w:pPr>
        <w:bidi w:val="0"/>
        <w:rPr>
          <w:color w:val="auto"/>
          <w:highlight w:val="none"/>
        </w:rPr>
      </w:pPr>
      <w:r>
        <w:rPr>
          <w:rFonts w:hint="eastAsia"/>
          <w:color w:val="auto"/>
          <w:highlight w:val="none"/>
        </w:rPr>
        <w:t xml:space="preserve">1、资金到位率</w:t>
      </w:r>
    </w:p>
    <w:p>
      <w:pPr>
        <w:bidi w:val="0"/>
        <w:rPr>
          <w:color w:val="auto"/>
          <w:highlight w:val="none"/>
        </w:rPr>
      </w:pPr>
      <w:r>
        <w:rPr>
          <w:rFonts w:hint="eastAsia"/>
          <w:color w:val="auto"/>
          <w:highlight w:val="none"/>
        </w:rPr>
        <w:t xml:space="preserve">本项目预算资金</w:t>
      </w:r>
      <w:r>
        <w:rPr>
          <w:rFonts w:hint="eastAsia"/>
          <w:color w:val="auto"/>
          <w:highlight w:val="none"/>
          <w:lang w:val="en-US" w:eastAsia="zh-CN"/>
        </w:rPr>
        <w:t xml:space="preserve">15</w:t>
      </w:r>
      <w:r>
        <w:rPr>
          <w:rFonts w:hint="eastAsia"/>
          <w:color w:val="auto"/>
          <w:highlight w:val="none"/>
        </w:rPr>
        <w:t xml:space="preserve">万元，实际到位资金</w:t>
      </w:r>
      <w:r>
        <w:rPr>
          <w:rFonts w:hint="eastAsia"/>
          <w:color w:val="auto"/>
          <w:highlight w:val="none"/>
          <w:lang w:val="en-US" w:eastAsia="zh-CN"/>
        </w:rPr>
        <w:t xml:space="preserve">15</w:t>
      </w:r>
      <w:r>
        <w:rPr>
          <w:rFonts w:hint="eastAsia"/>
          <w:color w:val="auto"/>
          <w:highlight w:val="none"/>
        </w:rPr>
        <w:t xml:space="preserve">万元，资金到位率100%。</w:t>
      </w:r>
    </w:p>
    <w:p>
      <w:pPr>
        <w:bidi w:val="0"/>
        <w:rPr>
          <w:color w:val="auto"/>
          <w:highlight w:val="none"/>
        </w:rPr>
      </w:pPr>
      <w:r>
        <w:rPr>
          <w:rFonts w:hint="eastAsia"/>
          <w:color w:val="auto"/>
          <w:highlight w:val="none"/>
        </w:rPr>
        <w:t xml:space="preserve">本项满分4分，评估得分4分。</w:t>
      </w:r>
    </w:p>
    <w:p>
      <w:pPr>
        <w:bidi w:val="0"/>
        <w:rPr>
          <w:color w:val="auto"/>
          <w:highlight w:val="none"/>
        </w:rPr>
      </w:pPr>
      <w:r>
        <w:rPr>
          <w:rFonts w:hint="eastAsia"/>
          <w:color w:val="auto"/>
          <w:highlight w:val="none"/>
        </w:rPr>
        <w:t xml:space="preserve">2、预算执行率</w:t>
      </w:r>
    </w:p>
    <w:p>
      <w:pPr>
        <w:bidi w:val="0"/>
        <w:rPr>
          <w:rFonts w:eastAsia="仿宋_GB2312" w:hint="eastAsia"/>
          <w:color w:val="auto"/>
          <w:highlight w:val="none"/>
          <w:lang w:eastAsia="zh-CN"/>
        </w:rPr>
      </w:pPr>
      <w:r>
        <w:rPr>
          <w:rFonts w:hint="eastAsia"/>
          <w:color w:val="auto"/>
          <w:highlight w:val="none"/>
        </w:rPr>
        <w:t xml:space="preserve">本项目到位资金</w:t>
      </w:r>
      <w:r>
        <w:rPr>
          <w:rFonts w:hint="eastAsia"/>
          <w:color w:val="auto"/>
          <w:highlight w:val="none"/>
          <w:lang w:val="en-US" w:eastAsia="zh-CN"/>
        </w:rPr>
        <w:t xml:space="preserve">15</w:t>
      </w:r>
      <w:r>
        <w:rPr>
          <w:rFonts w:hint="eastAsia"/>
          <w:color w:val="auto"/>
          <w:highlight w:val="none"/>
        </w:rPr>
        <w:t xml:space="preserve">万元，实际支付资金</w:t>
      </w:r>
      <w:r>
        <w:rPr>
          <w:rFonts w:hint="eastAsia"/>
          <w:color w:val="auto"/>
          <w:highlight w:val="none"/>
          <w:lang w:val="en-US" w:eastAsia="zh-CN"/>
        </w:rPr>
        <w:t xml:space="preserve">14.32</w:t>
      </w:r>
      <w:r>
        <w:rPr>
          <w:rFonts w:hint="eastAsia"/>
          <w:color w:val="auto"/>
          <w:highlight w:val="none"/>
        </w:rPr>
        <w:t xml:space="preserve">万元，预算执行率为</w:t>
      </w:r>
      <w:r>
        <w:rPr>
          <w:rFonts w:hint="eastAsia"/>
          <w:color w:val="auto"/>
          <w:highlight w:val="none"/>
          <w:lang w:val="en-US" w:eastAsia="zh-CN"/>
        </w:rPr>
        <w:t xml:space="preserve">95.47</w:t>
      </w:r>
      <w:r>
        <w:rPr>
          <w:rFonts w:hint="eastAsia"/>
          <w:color w:val="auto"/>
          <w:highlight w:val="none"/>
        </w:rPr>
        <w:t xml:space="preserve">%。</w:t>
      </w:r>
      <w:r>
        <w:rPr>
          <w:rFonts w:hint="eastAsia"/>
          <w:color w:val="auto"/>
          <w:highlight w:val="none"/>
          <w:lang w:eastAsia="zh-CN"/>
        </w:rPr>
        <w:t xml:space="preserve">原因是政府采购有优惠率造成资金结余。</w:t>
      </w:r>
    </w:p>
    <w:p>
      <w:pPr>
        <w:bidi w:val="0"/>
        <w:rPr>
          <w:color w:val="auto"/>
          <w:highlight w:val="none"/>
        </w:rPr>
      </w:pPr>
      <w:r>
        <w:rPr>
          <w:rFonts w:hint="eastAsia"/>
          <w:color w:val="auto"/>
          <w:highlight w:val="none"/>
        </w:rPr>
        <w:t xml:space="preserve">本项满分4分，评估得分</w:t>
      </w:r>
      <w:r>
        <w:rPr>
          <w:rFonts w:hint="eastAsia"/>
          <w:color w:val="auto"/>
          <w:highlight w:val="none"/>
          <w:lang w:val="en-US" w:eastAsia="zh-CN"/>
        </w:rPr>
        <w:t xml:space="preserve">3.82</w:t>
      </w:r>
      <w:r>
        <w:rPr>
          <w:rFonts w:hint="eastAsia"/>
          <w:color w:val="auto"/>
          <w:highlight w:val="none"/>
        </w:rPr>
        <w:t xml:space="preserve">分。</w:t>
      </w:r>
    </w:p>
    <w:p>
      <w:pPr>
        <w:bidi w:val="0"/>
        <w:rPr>
          <w:color w:val="auto"/>
          <w:highlight w:val="none"/>
        </w:rPr>
      </w:pPr>
      <w:r>
        <w:rPr>
          <w:rFonts w:hint="eastAsia"/>
          <w:color w:val="auto"/>
          <w:highlight w:val="none"/>
        </w:rPr>
        <w:t xml:space="preserve">3、资金使用合规性</w:t>
      </w:r>
    </w:p>
    <w:p>
      <w:pPr>
        <w:bidi w:val="0"/>
        <w:rPr>
          <w:rFonts w:ascii="Times New Roman" w:hAnsi="Times New Roman" w:hint="eastAsia"/>
          <w:color w:val="auto"/>
          <w:highlight w:val="none"/>
          <w:lang w:val="en-US" w:eastAsia="zh-CN"/>
        </w:rPr>
      </w:pPr>
      <w:r>
        <w:rPr>
          <w:rFonts w:ascii="Times New Roman" w:hAnsi="Times New Roman" w:hint="eastAsia"/>
          <w:color w:val="auto"/>
          <w:highlight w:val="none"/>
          <w:lang w:val="en-US" w:eastAsia="zh-CN"/>
        </w:rPr>
        <w:t xml:space="preserve">本项目资金的使用符合《中华人民共和国预算法</w:t>
      </w:r>
      <w:r>
        <w:rPr>
          <w:rFonts w:hint="eastAsia"/>
          <w:color w:val="auto"/>
          <w:highlight w:val="none"/>
          <w:lang w:val="en-US" w:eastAsia="zh-CN"/>
        </w:rPr>
        <w:t xml:space="preserve">》《</w:t>
      </w:r>
      <w:r>
        <w:rPr>
          <w:rFonts w:ascii="Times New Roman" w:hAnsi="Times New Roman" w:hint="eastAsia"/>
          <w:color w:val="auto"/>
          <w:highlight w:val="none"/>
          <w:lang w:val="en-US" w:eastAsia="zh-CN"/>
        </w:rPr>
        <w:t xml:space="preserve">中华人民共和国会计法》等国家有关财经法规以及预算管理制度；符合《</w:t>
      </w:r>
      <w:r>
        <w:rPr>
          <w:rFonts w:ascii="Times New Roman" w:eastAsia="仿宋_GB2312" w:hAnsi="Times New Roman" w:cs="Times New Roman" w:hint="eastAsia"/>
          <w:color w:val="auto"/>
          <w:highlight w:val="none"/>
          <w:lang w:val="en-US" w:eastAsia="zh-CN"/>
        </w:rPr>
        <w:t xml:space="preserve">尉犁县</w:t>
      </w:r>
      <w:r>
        <w:rPr>
          <w:rFonts w:ascii="Times New Roman" w:hAnsi="Times New Roman" w:hint="eastAsia"/>
          <w:color w:val="auto"/>
          <w:highlight w:val="none"/>
          <w:lang w:val="en-US" w:eastAsia="zh-CN"/>
        </w:rPr>
        <w:t xml:space="preserve">专项资金管理办法》要求。资金的审批和拨付按照《</w:t>
      </w:r>
      <w:r>
        <w:rPr>
          <w:rFonts w:ascii="Times New Roman" w:eastAsia="仿宋_GB2312" w:hAnsi="Times New Roman" w:cs="Times New Roman" w:hint="eastAsia"/>
          <w:color w:val="auto"/>
          <w:highlight w:val="none"/>
          <w:lang w:val="en-US" w:eastAsia="zh-CN"/>
        </w:rPr>
        <w:t xml:space="preserve">尉犁县</w:t>
      </w:r>
      <w:r>
        <w:rPr>
          <w:rFonts w:ascii="Times New Roman" w:hAnsi="Times New Roman" w:hint="eastAsia"/>
          <w:color w:val="auto"/>
          <w:highlight w:val="none"/>
          <w:lang w:val="en-US" w:eastAsia="zh-CN"/>
        </w:rPr>
        <w:t xml:space="preserve">财政资金审批管理办法》执行，应有完整的审批程序和手续；资金使用应符合专项资金支持的范围。不存在截留、挤占、挪用、虚列支出等情况。</w:t>
      </w:r>
    </w:p>
    <w:p>
      <w:pPr>
        <w:bidi w:val="0"/>
        <w:rPr>
          <w:color w:val="auto"/>
          <w:highlight w:val="none"/>
        </w:rPr>
      </w:pPr>
      <w:r>
        <w:rPr>
          <w:rFonts w:hint="eastAsia"/>
          <w:color w:val="auto"/>
          <w:highlight w:val="none"/>
        </w:rPr>
        <w:t xml:space="preserve">本项满分4分，评估得分4分。</w:t>
      </w:r>
    </w:p>
    <w:p>
      <w:pPr>
        <w:bidi w:val="0"/>
        <w:rPr>
          <w:color w:val="auto"/>
          <w:highlight w:val="none"/>
        </w:rPr>
      </w:pPr>
      <w:r>
        <w:rPr>
          <w:rFonts w:hint="eastAsia"/>
          <w:color w:val="auto"/>
          <w:highlight w:val="none"/>
        </w:rPr>
        <w:t xml:space="preserve">4、管理制度健全性</w:t>
      </w:r>
    </w:p>
    <w:p>
      <w:pPr>
        <w:spacing w:line="360" w:lineRule="auto"/>
        <w:ind w:firstLine="640"/>
        <w:rPr>
          <w:rFonts w:ascii="宋体" w:eastAsia="宋体" w:hAnsi="宋体" w:cs="宋体" w:hint="eastAsia"/>
          <w:b/>
          <w:bCs/>
          <w:color w:val="auto"/>
          <w:kern w:val="2"/>
          <w:sz w:val="32"/>
          <w:szCs w:val="24"/>
          <w:highlight w:val="none"/>
          <w:lang w:val="en-US" w:eastAsia="zh-CN" w:bidi="ar-SA"/>
        </w:rPr>
      </w:pPr>
      <w:r>
        <w:rPr>
          <w:rFonts w:ascii="Times New Roman" w:eastAsia="仿宋_GB2312" w:hAnsi="Times New Roman" w:cs="Times New Roman" w:hint="eastAsia"/>
          <w:color w:val="auto"/>
          <w:highlight w:val="none"/>
          <w:lang w:val="en-US" w:eastAsia="zh-CN"/>
        </w:rPr>
        <w:t xml:space="preserve">尉犁县</w:t>
      </w:r>
      <w:r>
        <w:rPr>
          <w:rFonts w:ascii="Times New Roman" w:hAnsi="Times New Roman" w:cs="Times New Roman" w:hint="eastAsia"/>
          <w:color w:val="auto"/>
          <w:highlight w:val="none"/>
          <w:lang w:val="en-US" w:eastAsia="zh-CN"/>
        </w:rPr>
        <w:t xml:space="preserve">人民政府办公室</w:t>
      </w:r>
      <w:r>
        <w:rPr>
          <w:rFonts w:hint="eastAsia"/>
          <w:color w:val="auto"/>
          <w:highlight w:val="none"/>
        </w:rPr>
        <w:t xml:space="preserve">制定了</w:t>
      </w:r>
      <w:r>
        <w:rPr>
          <w:rFonts w:ascii="Times New Roman" w:eastAsia="仿宋_GB2312" w:hAnsi="Times New Roman" w:cs="Times New Roman" w:hint="default"/>
          <w:color w:val="auto"/>
          <w:highlight w:val="none"/>
          <w:lang w:val="en-US" w:eastAsia="zh-CN"/>
        </w:rPr>
        <w:t xml:space="preserve">《</w:t>
      </w:r>
      <w:r>
        <w:rPr>
          <w:rFonts w:ascii="Times New Roman" w:eastAsia="仿宋_GB2312" w:hAnsi="Times New Roman" w:cs="Times New Roman" w:hint="eastAsia"/>
          <w:color w:val="auto"/>
          <w:highlight w:val="none"/>
          <w:lang w:val="en-US" w:eastAsia="zh-CN"/>
        </w:rPr>
        <w:t xml:space="preserve">尉犁县</w:t>
      </w:r>
      <w:r>
        <w:rPr>
          <w:rFonts w:ascii="Times New Roman" w:hAnsi="Times New Roman" w:cs="Times New Roman" w:hint="eastAsia"/>
          <w:color w:val="auto"/>
          <w:highlight w:val="none"/>
          <w:lang w:val="en-US" w:eastAsia="zh-CN"/>
        </w:rPr>
        <w:t xml:space="preserve">政府办</w:t>
      </w:r>
      <w:r>
        <w:rPr>
          <w:rFonts w:ascii="Times New Roman" w:eastAsia="仿宋_GB2312" w:hAnsi="Times New Roman" w:cs="Times New Roman" w:hint="default"/>
          <w:color w:val="auto"/>
          <w:highlight w:val="none"/>
          <w:lang w:val="en-US" w:eastAsia="zh-CN"/>
        </w:rPr>
        <w:t xml:space="preserve">财务管理制度》和《</w:t>
      </w:r>
      <w:r>
        <w:rPr>
          <w:rFonts w:ascii="Times New Roman" w:eastAsia="仿宋_GB2312" w:hAnsi="Times New Roman" w:cs="Times New Roman" w:hint="eastAsia"/>
          <w:color w:val="auto"/>
          <w:highlight w:val="none"/>
          <w:lang w:val="en-US" w:eastAsia="zh-CN"/>
        </w:rPr>
        <w:t xml:space="preserve">尉犁县</w:t>
      </w:r>
      <w:r>
        <w:rPr>
          <w:rFonts w:ascii="Times New Roman" w:hAnsi="Times New Roman" w:cs="Times New Roman" w:hint="eastAsia"/>
          <w:color w:val="auto"/>
          <w:highlight w:val="none"/>
          <w:lang w:val="en-US" w:eastAsia="zh-CN"/>
        </w:rPr>
        <w:t xml:space="preserve">政府办</w:t>
      </w:r>
      <w:r>
        <w:rPr>
          <w:rFonts w:ascii="Times New Roman" w:eastAsia="仿宋_GB2312" w:hAnsi="Times New Roman" w:cs="Times New Roman" w:hint="default"/>
          <w:color w:val="auto"/>
          <w:highlight w:val="none"/>
          <w:lang w:val="en-US" w:eastAsia="zh-CN"/>
        </w:rPr>
        <w:t xml:space="preserve">预算管理内控制度》，</w:t>
      </w:r>
      <w:r>
        <w:rPr>
          <w:rFonts w:ascii="Times New Roman" w:hAnsi="Times New Roman" w:hint="eastAsia"/>
          <w:color w:val="auto"/>
          <w:highlight w:val="none"/>
          <w:lang w:val="en-US" w:eastAsia="zh-CN"/>
        </w:rPr>
        <w:t xml:space="preserve">制定了较为全面的工作管理制度，对工作开展、组织与管理、跟踪与验收、监督与评价以及资金管理等方面都做出明确的规范要求。同时，项目的实施严格遵守《中华人民共和国预算法</w:t>
      </w:r>
      <w:r>
        <w:rPr>
          <w:rFonts w:hint="eastAsia"/>
          <w:color w:val="auto"/>
          <w:highlight w:val="none"/>
          <w:lang w:val="en-US" w:eastAsia="zh-CN"/>
        </w:rPr>
        <w:t xml:space="preserve">》《</w:t>
      </w:r>
      <w:r>
        <w:rPr>
          <w:rFonts w:ascii="Times New Roman" w:hAnsi="Times New Roman" w:hint="eastAsia"/>
          <w:color w:val="auto"/>
          <w:highlight w:val="none"/>
          <w:lang w:val="en-US" w:eastAsia="zh-CN"/>
        </w:rPr>
        <w:t xml:space="preserve">中华人民共和国会计法》等法律法规、财经制度的要求。</w:t>
      </w:r>
    </w:p>
    <w:p>
      <w:pPr>
        <w:bidi w:val="0"/>
        <w:rPr>
          <w:color w:val="auto"/>
          <w:highlight w:val="none"/>
        </w:rPr>
      </w:pPr>
      <w:r>
        <w:rPr>
          <w:rFonts w:hint="eastAsia"/>
          <w:color w:val="auto"/>
          <w:highlight w:val="none"/>
        </w:rPr>
        <w:t xml:space="preserve">本项满分3分，评估得分3分。</w:t>
      </w:r>
    </w:p>
    <w:p>
      <w:pPr>
        <w:bidi w:val="0"/>
        <w:rPr>
          <w:color w:val="auto"/>
          <w:highlight w:val="none"/>
        </w:rPr>
      </w:pPr>
      <w:r>
        <w:rPr>
          <w:rFonts w:hint="eastAsia"/>
          <w:color w:val="auto"/>
          <w:highlight w:val="none"/>
        </w:rPr>
        <w:t xml:space="preserve">5、制度执行有效性</w:t>
      </w:r>
    </w:p>
    <w:p>
      <w:pPr>
        <w:bidi w:val="0"/>
        <w:rPr>
          <w:color w:val="auto"/>
          <w:highlight w:val="none"/>
        </w:rPr>
      </w:pPr>
      <w:r>
        <w:rPr>
          <w:color w:val="auto"/>
          <w:highlight w:val="none"/>
        </w:rPr>
        <w:t xml:space="preserve">本项目在实施过程中严格遵守相关法律法规和相关管理规定，</w:t>
      </w:r>
      <w:r>
        <w:rPr>
          <w:rFonts w:hint="eastAsia"/>
          <w:color w:val="auto"/>
          <w:highlight w:val="none"/>
        </w:rPr>
        <w:t xml:space="preserve">如《中华人民共和国预算法</w:t>
      </w:r>
      <w:r>
        <w:rPr>
          <w:rFonts w:hint="eastAsia"/>
          <w:color w:val="auto"/>
          <w:highlight w:val="none"/>
          <w:lang w:eastAsia="zh-CN"/>
        </w:rPr>
        <w:t xml:space="preserve">》《</w:t>
      </w:r>
      <w:r>
        <w:rPr>
          <w:rFonts w:hint="eastAsia"/>
          <w:color w:val="auto"/>
          <w:highlight w:val="none"/>
        </w:rPr>
        <w:t xml:space="preserve">中华人民共和国会计法》</w:t>
      </w:r>
      <w:r>
        <w:rPr>
          <w:rFonts w:hint="eastAsia"/>
          <w:color w:val="auto"/>
          <w:highlight w:val="none"/>
          <w:lang w:eastAsia="zh-CN"/>
        </w:rPr>
        <w:t xml:space="preserve">《</w:t>
      </w:r>
      <w:r>
        <w:rPr>
          <w:rFonts w:hint="eastAsia"/>
          <w:color w:val="auto"/>
          <w:highlight w:val="none"/>
        </w:rPr>
        <w:t xml:space="preserve">中华人民共和国</w:t>
      </w:r>
      <w:r>
        <w:rPr>
          <w:rFonts w:hint="eastAsia"/>
          <w:color w:val="auto"/>
          <w:highlight w:val="none"/>
          <w:lang w:val="en-US" w:eastAsia="zh-CN"/>
        </w:rPr>
        <w:t xml:space="preserve">政府</w:t>
      </w:r>
      <w:r>
        <w:rPr>
          <w:rFonts w:hint="eastAsia"/>
          <w:color w:val="auto"/>
          <w:highlight w:val="none"/>
          <w:lang w:eastAsia="zh-CN"/>
        </w:rPr>
        <w:t xml:space="preserve">采购法》</w:t>
      </w:r>
      <w:r>
        <w:rPr>
          <w:rFonts w:hint="eastAsia"/>
          <w:color w:val="auto"/>
          <w:highlight w:val="none"/>
        </w:rPr>
        <w:t xml:space="preserve">等，严格执行项目管理相关文件要求和程序，</w:t>
      </w:r>
      <w:r>
        <w:rPr>
          <w:rFonts w:hint="eastAsia"/>
          <w:color w:val="auto"/>
          <w:highlight w:val="none"/>
          <w:lang w:val="en-US" w:eastAsia="zh-CN"/>
        </w:rPr>
        <w:t xml:space="preserve">确保</w:t>
      </w:r>
      <w:r>
        <w:rPr>
          <w:rFonts w:hint="eastAsia"/>
          <w:color w:val="auto"/>
          <w:highlight w:val="none"/>
        </w:rPr>
        <w:t xml:space="preserve">项目申报、审批、实施、资金拨付、检查及审计等有关资料齐全，并及时整理归档。本项目无项目调整及支出调整，制度执行有效性较高。</w:t>
      </w:r>
    </w:p>
    <w:p>
      <w:pPr>
        <w:bidi w:val="0"/>
        <w:rPr>
          <w:rFonts w:hint="eastAsia"/>
          <w:color w:val="auto"/>
          <w:highlight w:val="none"/>
          <w:lang w:val="en-US" w:eastAsia="zh-CN"/>
        </w:rPr>
      </w:pPr>
      <w:r>
        <w:rPr>
          <w:rFonts w:hint="eastAsia"/>
          <w:color w:val="auto"/>
          <w:highlight w:val="none"/>
        </w:rPr>
        <w:t xml:space="preserve">本项满分3分，评估得分3分。</w:t>
      </w:r>
      <w:bookmarkStart w:id="107" w:name="_Toc32013"/>
    </w:p>
    <w:p>
      <w:pPr>
        <w:pStyle w:val="Heading3"/>
        <w:bidi w:val="0"/>
        <w:outlineLvl w:val="1"/>
        <w:rPr>
          <w:color w:val="auto"/>
          <w:highlight w:val="none"/>
        </w:rPr>
      </w:pPr>
      <w:bookmarkStart w:id="108" w:name="_Toc25630"/>
      <w:r>
        <w:rPr>
          <w:rFonts w:hint="eastAsia"/>
          <w:color w:val="auto"/>
          <w:highlight w:val="none"/>
        </w:rPr>
        <w:t xml:space="preserve">（三）项目产出情况</w:t>
      </w:r>
      <w:bookmarkEnd w:id="107"/>
      <w:bookmarkEnd w:id="108"/>
    </w:p>
    <w:p>
      <w:pPr>
        <w:bidi w:val="0"/>
        <w:rPr>
          <w:color w:val="auto"/>
          <w:highlight w:val="none"/>
        </w:rPr>
      </w:pPr>
      <w:r>
        <w:rPr>
          <w:rFonts w:hint="eastAsia"/>
          <w:color w:val="auto"/>
          <w:highlight w:val="none"/>
        </w:rPr>
        <w:t xml:space="preserve">1、产出数量</w:t>
      </w:r>
    </w:p>
    <w:p>
      <w:pPr>
        <w:bidi w:val="0"/>
        <w:rPr>
          <w:color w:val="auto"/>
          <w:highlight w:val="none"/>
        </w:rPr>
      </w:pPr>
      <w:r>
        <w:rPr>
          <w:rFonts w:ascii="Times New Roman" w:hAnsi="Times New Roman" w:cs="Times New Roman" w:hint="eastAsia"/>
          <w:bCs/>
          <w:color w:val="auto"/>
          <w:szCs w:val="32"/>
          <w:highlight w:val="none"/>
          <w:lang w:val="en-US" w:eastAsia="zh-CN"/>
        </w:rPr>
        <w:t xml:space="preserve">指标1：</w:t>
      </w:r>
      <w:r>
        <w:rPr>
          <w:rFonts w:ascii="Times New Roman" w:hAnsi="Times New Roman" w:cs="Times New Roman" w:hint="eastAsia"/>
          <w:color w:val="auto"/>
          <w:highlight w:val="none"/>
          <w:lang w:val="en-US" w:eastAsia="zh-CN"/>
        </w:rPr>
        <w:t xml:space="preserve">慰问群众户数</w:t>
      </w:r>
      <w:r>
        <w:rPr>
          <w:rFonts w:ascii="Times New Roman" w:eastAsia="仿宋_GB2312" w:hAnsi="Times New Roman" w:cs="Times New Roman" w:hint="default"/>
          <w:color w:val="auto"/>
          <w:highlight w:val="none"/>
        </w:rPr>
        <w:t xml:space="preserve">，预期指标值</w:t>
      </w:r>
      <w:r>
        <w:rPr>
          <w:rFonts w:ascii="Times New Roman" w:hAnsi="Times New Roman" w:cs="Times New Roman" w:hint="eastAsia"/>
          <w:color w:val="auto"/>
          <w:highlight w:val="none"/>
          <w:lang w:val="en-US" w:eastAsia="zh-CN"/>
        </w:rPr>
        <w:t xml:space="preserve">大于或等于50户</w:t>
      </w:r>
      <w:r>
        <w:rPr>
          <w:rFonts w:ascii="Times New Roman" w:eastAsia="仿宋_GB2312" w:hAnsi="Times New Roman" w:cs="Times New Roman" w:hint="default"/>
          <w:color w:val="auto"/>
          <w:highlight w:val="none"/>
        </w:rPr>
        <w:t xml:space="preserve">，指标完成值：</w:t>
      </w:r>
      <w:r>
        <w:rPr>
          <w:rFonts w:ascii="Times New Roman" w:hAnsi="Times New Roman" w:cs="Times New Roman" w:hint="eastAsia"/>
          <w:color w:val="auto"/>
          <w:highlight w:val="none"/>
          <w:lang w:val="en-US" w:eastAsia="zh-CN"/>
        </w:rPr>
        <w:t xml:space="preserve">50户</w:t>
      </w:r>
      <w:r>
        <w:rPr>
          <w:rFonts w:ascii="Times New Roman" w:eastAsia="仿宋_GB2312" w:hAnsi="Times New Roman" w:cs="Times New Roman" w:hint="default"/>
          <w:color w:val="auto"/>
          <w:highlight w:val="none"/>
        </w:rPr>
        <w:t xml:space="preserve">，完成率：</w:t>
      </w:r>
      <w:r>
        <w:rPr>
          <w:rFonts w:ascii="Times New Roman" w:hAnsi="Times New Roman" w:cs="Times New Roman" w:hint="eastAsia"/>
          <w:color w:val="auto"/>
          <w:highlight w:val="none"/>
          <w:lang w:val="en-US" w:eastAsia="zh-CN"/>
        </w:rPr>
        <w:t xml:space="preserve">100%</w:t>
      </w:r>
      <w:r>
        <w:rPr>
          <w:rFonts w:hint="eastAsia"/>
          <w:color w:val="auto"/>
          <w:highlight w:val="none"/>
        </w:rPr>
        <w:t xml:space="preserve">；</w:t>
      </w:r>
    </w:p>
    <w:p>
      <w:pPr>
        <w:bidi w:val="0"/>
        <w:rPr>
          <w:color w:val="auto"/>
          <w:highlight w:val="none"/>
        </w:rPr>
      </w:pPr>
      <w:r>
        <w:rPr>
          <w:rFonts w:ascii="Times New Roman" w:hAnsi="Times New Roman" w:cs="Times New Roman" w:hint="eastAsia"/>
          <w:bCs/>
          <w:color w:val="auto"/>
          <w:szCs w:val="32"/>
          <w:highlight w:val="none"/>
          <w:lang w:val="en-US" w:eastAsia="zh-CN"/>
        </w:rPr>
        <w:t xml:space="preserve">指标2：</w:t>
      </w:r>
      <w:r>
        <w:rPr>
          <w:rFonts w:ascii="Times New Roman" w:hAnsi="Times New Roman" w:cs="Times New Roman" w:hint="eastAsia"/>
          <w:color w:val="auto"/>
          <w:highlight w:val="none"/>
          <w:lang w:val="en-US" w:eastAsia="zh-CN"/>
        </w:rPr>
        <w:t xml:space="preserve">采购活动用品批次</w:t>
      </w:r>
      <w:r>
        <w:rPr>
          <w:rFonts w:ascii="Times New Roman" w:eastAsia="仿宋_GB2312" w:hAnsi="Times New Roman" w:cs="Times New Roman" w:hint="default"/>
          <w:color w:val="auto"/>
          <w:highlight w:val="none"/>
        </w:rPr>
        <w:t xml:space="preserve">，预期指标值</w:t>
      </w:r>
      <w:r>
        <w:rPr>
          <w:rFonts w:ascii="Times New Roman" w:hAnsi="Times New Roman" w:cs="Times New Roman" w:hint="eastAsia"/>
          <w:color w:val="auto"/>
          <w:highlight w:val="none"/>
          <w:lang w:val="en-US" w:eastAsia="zh-CN"/>
        </w:rPr>
        <w:t xml:space="preserve">大于或等于4批</w:t>
      </w:r>
      <w:r>
        <w:rPr>
          <w:rFonts w:ascii="Times New Roman" w:eastAsia="仿宋_GB2312" w:hAnsi="Times New Roman" w:cs="Times New Roman" w:hint="default"/>
          <w:color w:val="auto"/>
          <w:highlight w:val="none"/>
        </w:rPr>
        <w:t xml:space="preserve">，指标完成值：</w:t>
      </w:r>
      <w:r>
        <w:rPr>
          <w:rFonts w:ascii="Times New Roman" w:hAnsi="Times New Roman" w:cs="Times New Roman" w:hint="eastAsia"/>
          <w:color w:val="auto"/>
          <w:highlight w:val="none"/>
          <w:lang w:val="en-US" w:eastAsia="zh-CN"/>
        </w:rPr>
        <w:t xml:space="preserve">4批</w:t>
      </w:r>
      <w:r>
        <w:rPr>
          <w:rFonts w:ascii="Times New Roman" w:eastAsia="仿宋_GB2312" w:hAnsi="Times New Roman" w:cs="Times New Roman" w:hint="default"/>
          <w:color w:val="auto"/>
          <w:highlight w:val="none"/>
        </w:rPr>
        <w:t xml:space="preserve">，完成率：</w:t>
      </w:r>
      <w:r>
        <w:rPr>
          <w:rFonts w:ascii="Times New Roman" w:hAnsi="Times New Roman" w:cs="Times New Roman" w:hint="eastAsia"/>
          <w:color w:val="auto"/>
          <w:highlight w:val="none"/>
          <w:lang w:val="en-US" w:eastAsia="zh-CN"/>
        </w:rPr>
        <w:t xml:space="preserve">100%</w:t>
      </w:r>
      <w:r>
        <w:rPr>
          <w:rFonts w:hint="eastAsia"/>
          <w:color w:val="auto"/>
          <w:highlight w:val="none"/>
        </w:rPr>
        <w:t xml:space="preserve">；</w:t>
      </w:r>
    </w:p>
    <w:p>
      <w:pPr>
        <w:bidi w:val="0"/>
        <w:rPr>
          <w:rFonts w:eastAsia="仿宋_GB2312" w:hint="eastAsia"/>
          <w:color w:val="auto"/>
          <w:highlight w:val="none"/>
          <w:lang w:val="en-US" w:eastAsia="zh-CN"/>
        </w:rPr>
      </w:pPr>
      <w:r>
        <w:rPr>
          <w:rFonts w:ascii="Times New Roman" w:hAnsi="Times New Roman" w:cs="Times New Roman" w:hint="eastAsia"/>
          <w:bCs/>
          <w:color w:val="auto"/>
          <w:szCs w:val="32"/>
          <w:highlight w:val="none"/>
          <w:lang w:val="en-US" w:eastAsia="zh-CN"/>
        </w:rPr>
        <w:t xml:space="preserve">指标3：</w:t>
      </w:r>
      <w:r>
        <w:rPr>
          <w:rFonts w:ascii="Times New Roman" w:hAnsi="Times New Roman" w:cs="Times New Roman" w:hint="eastAsia"/>
          <w:color w:val="auto"/>
          <w:highlight w:val="none"/>
          <w:lang w:val="en-US" w:eastAsia="zh-CN"/>
        </w:rPr>
        <w:t xml:space="preserve">粉刷墙面积</w:t>
      </w:r>
      <w:r>
        <w:rPr>
          <w:rFonts w:ascii="Times New Roman" w:eastAsia="仿宋_GB2312" w:hAnsi="Times New Roman" w:cs="Times New Roman" w:hint="default"/>
          <w:color w:val="auto"/>
          <w:highlight w:val="none"/>
        </w:rPr>
        <w:t xml:space="preserve">，预期指标值</w:t>
      </w:r>
      <w:r>
        <w:rPr>
          <w:rFonts w:ascii="Times New Roman" w:hAnsi="Times New Roman" w:cs="Times New Roman" w:hint="eastAsia"/>
          <w:color w:val="auto"/>
          <w:highlight w:val="none"/>
          <w:lang w:val="en-US" w:eastAsia="zh-CN"/>
        </w:rPr>
        <w:t xml:space="preserve">等于2917平方</w:t>
      </w:r>
      <w:r>
        <w:rPr>
          <w:rFonts w:ascii="Times New Roman" w:eastAsia="仿宋_GB2312" w:hAnsi="Times New Roman" w:cs="Times New Roman" w:hint="default"/>
          <w:color w:val="auto"/>
          <w:highlight w:val="none"/>
        </w:rPr>
        <w:t xml:space="preserve">，指标完成值：</w:t>
      </w:r>
      <w:r>
        <w:rPr>
          <w:rFonts w:ascii="Times New Roman" w:hAnsi="Times New Roman" w:cs="Times New Roman" w:hint="eastAsia"/>
          <w:color w:val="auto"/>
          <w:highlight w:val="none"/>
          <w:lang w:val="en-US" w:eastAsia="zh-CN"/>
        </w:rPr>
        <w:t xml:space="preserve">2917平方米</w:t>
      </w:r>
      <w:r>
        <w:rPr>
          <w:rFonts w:ascii="Times New Roman" w:eastAsia="仿宋_GB2312" w:hAnsi="Times New Roman" w:cs="Times New Roman" w:hint="default"/>
          <w:color w:val="auto"/>
          <w:highlight w:val="none"/>
        </w:rPr>
        <w:t xml:space="preserve">，完成率：</w:t>
      </w:r>
      <w:r>
        <w:rPr>
          <w:rFonts w:ascii="Times New Roman" w:hAnsi="Times New Roman" w:cs="Times New Roman" w:hint="eastAsia"/>
          <w:color w:val="auto"/>
          <w:highlight w:val="none"/>
          <w:lang w:val="en-US" w:eastAsia="zh-CN"/>
        </w:rPr>
        <w:t xml:space="preserve">100%</w:t>
      </w:r>
      <w:r>
        <w:rPr>
          <w:rFonts w:hint="eastAsia"/>
          <w:color w:val="auto"/>
          <w:highlight w:val="none"/>
        </w:rPr>
        <w:t xml:space="preserve">；</w:t>
      </w:r>
      <w:r>
        <w:rPr>
          <w:rFonts w:hint="eastAsia"/>
          <w:color w:val="auto"/>
          <w:highlight w:val="none"/>
          <w:lang w:val="en-US" w:eastAsia="zh-CN"/>
        </w:rPr>
        <w:t xml:space="preserve"> </w:t>
      </w:r>
    </w:p>
    <w:p>
      <w:pPr>
        <w:bidi w:val="0"/>
        <w:rPr>
          <w:color w:val="auto"/>
          <w:highlight w:val="none"/>
        </w:rPr>
      </w:pPr>
      <w:r>
        <w:rPr>
          <w:rFonts w:hint="eastAsia"/>
          <w:color w:val="auto"/>
          <w:highlight w:val="none"/>
        </w:rPr>
        <w:t xml:space="preserve">2、产出质量</w:t>
      </w:r>
    </w:p>
    <w:p>
      <w:pPr>
        <w:bidi w:val="0"/>
        <w:rPr>
          <w:color w:val="auto"/>
          <w:highlight w:val="none"/>
        </w:rPr>
      </w:pPr>
      <w:r>
        <w:rPr>
          <w:rFonts w:ascii="Times New Roman" w:hAnsi="Times New Roman" w:cs="Times New Roman" w:hint="eastAsia"/>
          <w:bCs/>
          <w:color w:val="auto"/>
          <w:szCs w:val="32"/>
          <w:highlight w:val="none"/>
          <w:lang w:val="en-US" w:eastAsia="zh-CN"/>
        </w:rPr>
        <w:t xml:space="preserve">指标1：</w:t>
      </w:r>
      <w:r>
        <w:rPr>
          <w:rFonts w:ascii="Times New Roman" w:hAnsi="Times New Roman" w:cs="Times New Roman" w:hint="eastAsia"/>
          <w:color w:val="auto"/>
          <w:highlight w:val="none"/>
          <w:lang w:val="en-US" w:eastAsia="zh-CN"/>
        </w:rPr>
        <w:t xml:space="preserve">采购验收合格率</w:t>
      </w:r>
      <w:r>
        <w:rPr>
          <w:rFonts w:ascii="Times New Roman" w:eastAsia="仿宋_GB2312" w:hAnsi="Times New Roman" w:cs="Times New Roman" w:hint="default"/>
          <w:color w:val="auto"/>
          <w:highlight w:val="none"/>
        </w:rPr>
        <w:t xml:space="preserve">，预期指标值</w:t>
      </w:r>
      <w:r>
        <w:rPr>
          <w:rFonts w:ascii="Times New Roman" w:hAnsi="Times New Roman" w:cs="Times New Roman" w:hint="eastAsia"/>
          <w:color w:val="auto"/>
          <w:highlight w:val="none"/>
          <w:lang w:val="en-US" w:eastAsia="zh-CN"/>
        </w:rPr>
        <w:t xml:space="preserve">等于100%</w:t>
      </w:r>
      <w:r>
        <w:rPr>
          <w:rFonts w:ascii="Times New Roman" w:eastAsia="仿宋_GB2312" w:hAnsi="Times New Roman" w:cs="Times New Roman" w:hint="default"/>
          <w:color w:val="auto"/>
          <w:highlight w:val="none"/>
        </w:rPr>
        <w:t xml:space="preserve">，指标完成值：</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，完成率：</w:t>
      </w:r>
      <w:r>
        <w:rPr>
          <w:rFonts w:ascii="Times New Roman" w:hAnsi="Times New Roman" w:cs="Times New Roman" w:hint="eastAsia"/>
          <w:color w:val="auto"/>
          <w:highlight w:val="none"/>
          <w:lang w:val="en-US" w:eastAsia="zh-CN"/>
        </w:rPr>
        <w:t xml:space="preserve">100%</w:t>
      </w:r>
      <w:r>
        <w:rPr>
          <w:rFonts w:hint="eastAsia"/>
          <w:color w:val="auto"/>
          <w:highlight w:val="none"/>
        </w:rPr>
        <w:t xml:space="preserve">；</w:t>
      </w:r>
    </w:p>
    <w:p>
      <w:pPr>
        <w:bidi w:val="0"/>
        <w:rPr>
          <w:color w:val="auto"/>
          <w:highlight w:val="none"/>
        </w:rPr>
      </w:pPr>
      <w:r>
        <w:rPr>
          <w:rFonts w:hint="eastAsia"/>
          <w:color w:val="auto"/>
          <w:highlight w:val="none"/>
        </w:rPr>
        <w:t xml:space="preserve">本项满分1</w:t>
      </w:r>
      <w:r>
        <w:rPr>
          <w:rFonts w:hint="eastAsia"/>
          <w:color w:val="auto"/>
          <w:highlight w:val="none"/>
          <w:lang w:val="en-US" w:eastAsia="zh-CN"/>
        </w:rPr>
        <w:t xml:space="preserve">2</w:t>
      </w:r>
      <w:r>
        <w:rPr>
          <w:rFonts w:hint="eastAsia"/>
          <w:color w:val="auto"/>
          <w:highlight w:val="none"/>
        </w:rPr>
        <w:t xml:space="preserve">分，评估得分1</w:t>
      </w:r>
      <w:r>
        <w:rPr>
          <w:rFonts w:hint="eastAsia"/>
          <w:color w:val="auto"/>
          <w:highlight w:val="none"/>
          <w:lang w:val="en-US" w:eastAsia="zh-CN"/>
        </w:rPr>
        <w:t xml:space="preserve">2</w:t>
      </w:r>
      <w:r>
        <w:rPr>
          <w:rFonts w:hint="eastAsia"/>
          <w:color w:val="auto"/>
          <w:highlight w:val="none"/>
        </w:rPr>
        <w:t xml:space="preserve">分。</w:t>
      </w:r>
    </w:p>
    <w:p>
      <w:pPr>
        <w:bidi w:val="0"/>
        <w:rPr>
          <w:color w:val="auto"/>
          <w:highlight w:val="none"/>
        </w:rPr>
      </w:pPr>
      <w:r>
        <w:rPr>
          <w:rFonts w:hint="eastAsia"/>
          <w:color w:val="auto"/>
          <w:highlight w:val="none"/>
        </w:rPr>
        <w:t xml:space="preserve">3、产出时效</w:t>
      </w:r>
    </w:p>
    <w:p>
      <w:pPr>
        <w:bidi w:val="0"/>
        <w:rPr>
          <w:color w:val="auto"/>
          <w:highlight w:val="none"/>
        </w:rPr>
      </w:pPr>
      <w:r>
        <w:rPr>
          <w:rFonts w:ascii="Times New Roman" w:hAnsi="Times New Roman" w:cs="Times New Roman" w:hint="eastAsia"/>
          <w:bCs/>
          <w:color w:val="auto"/>
          <w:szCs w:val="32"/>
          <w:highlight w:val="none"/>
          <w:lang w:val="en-US" w:eastAsia="zh-CN"/>
        </w:rPr>
        <w:t xml:space="preserve">指标1：</w:t>
      </w:r>
      <w:r>
        <w:rPr>
          <w:rFonts w:ascii="Times New Roman" w:hAnsi="Times New Roman" w:cs="Times New Roman" w:hint="eastAsia"/>
          <w:color w:val="auto"/>
          <w:highlight w:val="none"/>
          <w:lang w:val="en-US" w:eastAsia="zh-CN"/>
        </w:rPr>
        <w:t xml:space="preserve">活动用品采购及时率</w:t>
      </w:r>
      <w:r>
        <w:rPr>
          <w:rFonts w:ascii="Times New Roman" w:eastAsia="仿宋_GB2312" w:hAnsi="Times New Roman" w:cs="Times New Roman" w:hint="default"/>
          <w:color w:val="auto"/>
          <w:highlight w:val="none"/>
        </w:rPr>
        <w:t xml:space="preserve">，预期指标值</w:t>
      </w:r>
      <w:r>
        <w:rPr>
          <w:rFonts w:ascii="Times New Roman" w:hAnsi="Times New Roman" w:cs="Times New Roman" w:hint="eastAsia"/>
          <w:color w:val="auto"/>
          <w:highlight w:val="none"/>
          <w:lang w:val="en-US" w:eastAsia="zh-CN"/>
        </w:rPr>
        <w:t xml:space="preserve">等于100%</w:t>
      </w:r>
      <w:r>
        <w:rPr>
          <w:rFonts w:ascii="Times New Roman" w:eastAsia="仿宋_GB2312" w:hAnsi="Times New Roman" w:cs="Times New Roman" w:hint="default"/>
          <w:color w:val="auto"/>
          <w:highlight w:val="none"/>
        </w:rPr>
        <w:t xml:space="preserve">，指标完成值：</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，完成率：</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w:t>
      </w:r>
    </w:p>
    <w:p>
      <w:pPr>
        <w:bidi w:val="0"/>
        <w:rPr>
          <w:rFonts w:hint="eastAsia"/>
          <w:color w:val="auto"/>
          <w:highlight w:val="none"/>
        </w:rPr>
      </w:pPr>
      <w:r>
        <w:rPr>
          <w:rFonts w:hint="eastAsia"/>
          <w:color w:val="auto"/>
          <w:highlight w:val="none"/>
        </w:rPr>
        <w:t xml:space="preserve">本项满分</w:t>
      </w:r>
      <w:r>
        <w:rPr>
          <w:rFonts w:hint="eastAsia"/>
          <w:color w:val="auto"/>
          <w:highlight w:val="none"/>
          <w:lang w:val="en-US" w:eastAsia="zh-CN"/>
        </w:rPr>
        <w:t xml:space="preserve">12</w:t>
      </w:r>
      <w:r>
        <w:rPr>
          <w:rFonts w:hint="eastAsia"/>
          <w:color w:val="auto"/>
          <w:highlight w:val="none"/>
        </w:rPr>
        <w:t xml:space="preserve">分，评估得分</w:t>
      </w:r>
      <w:r>
        <w:rPr>
          <w:rFonts w:hint="eastAsia"/>
          <w:color w:val="auto"/>
          <w:highlight w:val="none"/>
          <w:lang w:val="en-US" w:eastAsia="zh-CN"/>
        </w:rPr>
        <w:t xml:space="preserve">12</w:t>
      </w:r>
      <w:r>
        <w:rPr>
          <w:rFonts w:hint="eastAsia"/>
          <w:color w:val="auto"/>
          <w:highlight w:val="none"/>
        </w:rPr>
        <w:t xml:space="preserve">分。</w:t>
      </w:r>
    </w:p>
    <w:p>
      <w:pPr>
        <w:bidi w:val="0"/>
        <w:rPr>
          <w:rFonts w:hint="eastAsia"/>
          <w:color w:val="auto"/>
          <w:highlight w:val="none"/>
          <w:lang w:val="en-US" w:eastAsia="zh-CN"/>
        </w:rPr>
      </w:pPr>
      <w:r>
        <w:rPr>
          <w:rFonts w:hint="eastAsia"/>
          <w:color w:val="auto"/>
          <w:highlight w:val="none"/>
          <w:lang w:val="en-US" w:eastAsia="zh-CN"/>
        </w:rPr>
        <w:t xml:space="preserve">4、产出成本</w:t>
      </w:r>
    </w:p>
    <w:p>
      <w:pPr>
        <w:bidi w:val="0"/>
        <w:rPr>
          <w:rFonts w:ascii="Times New Roman" w:hAnsi="Times New Roman" w:cs="Times New Roman" w:hint="eastAsia"/>
          <w:color w:val="auto"/>
          <w:highlight w:val="none"/>
          <w:lang w:val="en-US" w:eastAsia="zh-CN"/>
        </w:rPr>
      </w:pPr>
      <w:r>
        <w:rPr>
          <w:rFonts w:ascii="Times New Roman" w:hAnsi="Times New Roman" w:cs="Times New Roman" w:hint="eastAsia"/>
          <w:color w:val="auto"/>
          <w:highlight w:val="none"/>
          <w:lang w:val="en-US" w:eastAsia="zh-CN"/>
        </w:rPr>
        <w:t xml:space="preserve">指标1：慰问群众费用</w:t>
      </w:r>
      <w:r>
        <w:rPr>
          <w:rFonts w:ascii="Times New Roman" w:hAnsi="Times New Roman" w:cs="Times New Roman" w:hint="default"/>
          <w:color w:val="auto"/>
          <w:highlight w:val="none"/>
          <w:lang w:val="en-US" w:eastAsia="zh-CN"/>
        </w:rPr>
        <w:t xml:space="preserve">，预期指标值</w:t>
      </w:r>
      <w:r>
        <w:rPr>
          <w:rFonts w:ascii="Times New Roman" w:hAnsi="Times New Roman" w:cs="Times New Roman" w:hint="eastAsia"/>
          <w:color w:val="auto"/>
          <w:highlight w:val="none"/>
          <w:lang w:val="en-US" w:eastAsia="zh-CN"/>
        </w:rPr>
        <w:t xml:space="preserve">小于或等于3.75万元</w:t>
      </w:r>
      <w:r>
        <w:rPr>
          <w:rFonts w:ascii="Times New Roman" w:hAnsi="Times New Roman" w:cs="Times New Roman" w:hint="default"/>
          <w:color w:val="auto"/>
          <w:highlight w:val="none"/>
          <w:lang w:val="en-US" w:eastAsia="zh-CN"/>
        </w:rPr>
        <w:t xml:space="preserve">，指标完成值：</w:t>
      </w:r>
      <w:r>
        <w:rPr>
          <w:rFonts w:ascii="Times New Roman" w:hAnsi="Times New Roman" w:cs="Times New Roman" w:hint="eastAsia"/>
          <w:color w:val="auto"/>
          <w:highlight w:val="none"/>
          <w:lang w:val="en-US" w:eastAsia="zh-CN"/>
        </w:rPr>
        <w:t xml:space="preserve">3.59万元</w:t>
      </w:r>
      <w:r>
        <w:rPr>
          <w:rFonts w:ascii="Times New Roman" w:hAnsi="Times New Roman" w:cs="Times New Roman" w:hint="default"/>
          <w:color w:val="auto"/>
          <w:highlight w:val="none"/>
          <w:lang w:val="en-US" w:eastAsia="zh-CN"/>
        </w:rPr>
        <w:t xml:space="preserve">，完成率：</w:t>
      </w:r>
      <w:r>
        <w:rPr>
          <w:rFonts w:ascii="Times New Roman" w:hAnsi="Times New Roman" w:cs="Times New Roman" w:hint="eastAsia"/>
          <w:color w:val="auto"/>
          <w:highlight w:val="none"/>
          <w:lang w:val="en-US" w:eastAsia="zh-CN"/>
        </w:rPr>
        <w:t xml:space="preserve">95.73%</w:t>
      </w:r>
      <w:r>
        <w:rPr>
          <w:rFonts w:ascii="Times New Roman" w:hAnsi="Times New Roman" w:cs="Times New Roman" w:hint="default"/>
          <w:color w:val="auto"/>
          <w:highlight w:val="none"/>
          <w:lang w:val="en-US" w:eastAsia="zh-CN"/>
        </w:rPr>
        <w:t xml:space="preserve">；</w:t>
      </w:r>
      <w:r>
        <w:rPr>
          <w:rFonts w:ascii="Times New Roman" w:hAnsi="Times New Roman" w:cs="Times New Roman" w:hint="eastAsia"/>
          <w:color w:val="auto"/>
          <w:highlight w:val="none"/>
          <w:lang w:val="en-US" w:eastAsia="zh-CN"/>
        </w:rPr>
        <w:t xml:space="preserve">偏差原因为：采购优惠率造成资金结余。</w:t>
      </w:r>
    </w:p>
    <w:p>
      <w:pPr>
        <w:bidi w:val="0"/>
        <w:rPr>
          <w:rFonts w:ascii="Times New Roman" w:hAnsi="Times New Roman" w:cs="Times New Roman" w:hint="default"/>
          <w:color w:val="auto"/>
          <w:highlight w:val="none"/>
          <w:lang w:val="en-US" w:eastAsia="zh-CN"/>
        </w:rPr>
      </w:pPr>
      <w:r>
        <w:rPr>
          <w:rFonts w:ascii="Times New Roman" w:hAnsi="Times New Roman" w:cs="Times New Roman" w:hint="default"/>
          <w:color w:val="auto"/>
          <w:highlight w:val="none"/>
          <w:lang w:val="en-US" w:eastAsia="zh-CN"/>
        </w:rPr>
        <w:t xml:space="preserve">指标</w:t>
      </w:r>
      <w:r>
        <w:rPr>
          <w:rFonts w:ascii="Times New Roman" w:hAnsi="Times New Roman" w:cs="Times New Roman" w:hint="eastAsia"/>
          <w:color w:val="auto"/>
          <w:highlight w:val="none"/>
          <w:lang w:val="en-US" w:eastAsia="zh-CN"/>
        </w:rPr>
        <w:t xml:space="preserve">2</w:t>
      </w:r>
      <w:r>
        <w:rPr>
          <w:rFonts w:ascii="Times New Roman" w:hAnsi="Times New Roman" w:cs="Times New Roman" w:hint="default"/>
          <w:color w:val="auto"/>
          <w:highlight w:val="none"/>
          <w:lang w:val="en-US" w:eastAsia="zh-CN"/>
        </w:rPr>
        <w:t xml:space="preserve">：</w:t>
      </w:r>
      <w:r>
        <w:rPr>
          <w:rFonts w:ascii="Times New Roman" w:hAnsi="Times New Roman" w:cs="Times New Roman" w:hint="eastAsia"/>
          <w:color w:val="auto"/>
          <w:highlight w:val="none"/>
          <w:lang w:val="en-US" w:eastAsia="zh-CN"/>
        </w:rPr>
        <w:t xml:space="preserve">粉刷墙面成本</w:t>
      </w:r>
      <w:r>
        <w:rPr>
          <w:rFonts w:ascii="Times New Roman" w:hAnsi="Times New Roman" w:cs="Times New Roman" w:hint="default"/>
          <w:color w:val="auto"/>
          <w:highlight w:val="none"/>
          <w:lang w:val="en-US" w:eastAsia="zh-CN"/>
        </w:rPr>
        <w:t xml:space="preserve">，预期指标值</w:t>
      </w:r>
      <w:r>
        <w:rPr>
          <w:rFonts w:ascii="Times New Roman" w:hAnsi="Times New Roman" w:cs="Times New Roman" w:hint="eastAsia"/>
          <w:color w:val="auto"/>
          <w:highlight w:val="none"/>
          <w:lang w:val="en-US" w:eastAsia="zh-CN"/>
        </w:rPr>
        <w:t xml:space="preserve">小于或等于7.50万元</w:t>
      </w:r>
      <w:r>
        <w:rPr>
          <w:rFonts w:ascii="Times New Roman" w:hAnsi="Times New Roman" w:cs="Times New Roman" w:hint="default"/>
          <w:color w:val="auto"/>
          <w:highlight w:val="none"/>
          <w:lang w:val="en-US" w:eastAsia="zh-CN"/>
        </w:rPr>
        <w:t xml:space="preserve">，指标完成值：</w:t>
      </w:r>
      <w:r>
        <w:rPr>
          <w:rFonts w:ascii="Times New Roman" w:hAnsi="Times New Roman" w:cs="Times New Roman" w:hint="eastAsia"/>
          <w:color w:val="auto"/>
          <w:highlight w:val="none"/>
          <w:lang w:val="en-US" w:eastAsia="zh-CN"/>
        </w:rPr>
        <w:t xml:space="preserve">7.15万元</w:t>
      </w:r>
      <w:r>
        <w:rPr>
          <w:rFonts w:ascii="Times New Roman" w:hAnsi="Times New Roman" w:cs="Times New Roman" w:hint="default"/>
          <w:color w:val="auto"/>
          <w:highlight w:val="none"/>
          <w:lang w:val="en-US" w:eastAsia="zh-CN"/>
        </w:rPr>
        <w:t xml:space="preserve">，完成率：</w:t>
      </w:r>
      <w:r>
        <w:rPr>
          <w:rFonts w:ascii="Times New Roman" w:hAnsi="Times New Roman" w:cs="Times New Roman" w:hint="eastAsia"/>
          <w:color w:val="auto"/>
          <w:highlight w:val="none"/>
          <w:lang w:val="en-US" w:eastAsia="zh-CN"/>
        </w:rPr>
        <w:t xml:space="preserve">95.33%</w:t>
      </w:r>
      <w:r>
        <w:rPr>
          <w:rFonts w:ascii="Times New Roman" w:hAnsi="Times New Roman" w:cs="Times New Roman" w:hint="default"/>
          <w:color w:val="auto"/>
          <w:highlight w:val="none"/>
          <w:lang w:val="en-US" w:eastAsia="zh-CN"/>
        </w:rPr>
        <w:t xml:space="preserve">；</w:t>
      </w:r>
      <w:r>
        <w:rPr>
          <w:rFonts w:ascii="Times New Roman" w:hAnsi="Times New Roman" w:cs="Times New Roman" w:hint="eastAsia"/>
          <w:color w:val="auto"/>
          <w:highlight w:val="none"/>
          <w:lang w:val="en-US" w:eastAsia="zh-CN"/>
        </w:rPr>
        <w:t xml:space="preserve">偏差原因为：采购优惠率造成资金结余。</w:t>
      </w:r>
    </w:p>
    <w:p>
      <w:pPr>
        <w:bidi w:val="0"/>
        <w:rPr>
          <w:rFonts w:ascii="Times New Roman" w:hAnsi="Times New Roman" w:cs="Times New Roman" w:hint="default"/>
          <w:color w:val="auto"/>
          <w:highlight w:val="none"/>
          <w:lang w:val="en-US" w:eastAsia="zh-CN"/>
        </w:rPr>
      </w:pPr>
      <w:r>
        <w:rPr>
          <w:rFonts w:ascii="Times New Roman" w:hAnsi="Times New Roman" w:cs="Times New Roman" w:hint="default"/>
          <w:color w:val="auto"/>
          <w:highlight w:val="none"/>
          <w:lang w:val="en-US" w:eastAsia="zh-CN"/>
        </w:rPr>
        <w:t xml:space="preserve">指标</w:t>
      </w:r>
      <w:r>
        <w:rPr>
          <w:rFonts w:ascii="Times New Roman" w:hAnsi="Times New Roman" w:cs="Times New Roman" w:hint="eastAsia"/>
          <w:color w:val="auto"/>
          <w:highlight w:val="none"/>
          <w:lang w:val="en-US" w:eastAsia="zh-CN"/>
        </w:rPr>
        <w:t xml:space="preserve">3</w:t>
      </w:r>
      <w:r>
        <w:rPr>
          <w:rFonts w:ascii="Times New Roman" w:hAnsi="Times New Roman" w:cs="Times New Roman" w:hint="default"/>
          <w:color w:val="auto"/>
          <w:highlight w:val="none"/>
          <w:lang w:val="en-US" w:eastAsia="zh-CN"/>
        </w:rPr>
        <w:t xml:space="preserve">：</w:t>
      </w:r>
      <w:r>
        <w:rPr>
          <w:rFonts w:ascii="Times New Roman" w:hAnsi="Times New Roman" w:cs="Times New Roman" w:hint="eastAsia"/>
          <w:color w:val="auto"/>
          <w:highlight w:val="none"/>
          <w:lang w:val="en-US" w:eastAsia="zh-CN"/>
        </w:rPr>
        <w:t xml:space="preserve">采购活动用品支出成本</w:t>
      </w:r>
      <w:r>
        <w:rPr>
          <w:rFonts w:ascii="Times New Roman" w:hAnsi="Times New Roman" w:cs="Times New Roman" w:hint="default"/>
          <w:color w:val="auto"/>
          <w:highlight w:val="none"/>
          <w:lang w:val="en-US" w:eastAsia="zh-CN"/>
        </w:rPr>
        <w:t xml:space="preserve">，预期指标值</w:t>
      </w:r>
      <w:r>
        <w:rPr>
          <w:rFonts w:ascii="Times New Roman" w:hAnsi="Times New Roman" w:cs="Times New Roman" w:hint="eastAsia"/>
          <w:color w:val="auto"/>
          <w:highlight w:val="none"/>
          <w:lang w:val="en-US" w:eastAsia="zh-CN"/>
        </w:rPr>
        <w:t xml:space="preserve">小于或等于3.75万元</w:t>
      </w:r>
      <w:r>
        <w:rPr>
          <w:rFonts w:ascii="Times New Roman" w:hAnsi="Times New Roman" w:cs="Times New Roman" w:hint="default"/>
          <w:color w:val="auto"/>
          <w:highlight w:val="none"/>
          <w:lang w:val="en-US" w:eastAsia="zh-CN"/>
        </w:rPr>
        <w:t xml:space="preserve">，指标完成值：</w:t>
      </w:r>
      <w:r>
        <w:rPr>
          <w:rFonts w:ascii="Times New Roman" w:hAnsi="Times New Roman" w:cs="Times New Roman" w:hint="eastAsia"/>
          <w:color w:val="auto"/>
          <w:highlight w:val="none"/>
          <w:lang w:val="en-US" w:eastAsia="zh-CN"/>
        </w:rPr>
        <w:t xml:space="preserve">3.58万元</w:t>
      </w:r>
      <w:r>
        <w:rPr>
          <w:rFonts w:ascii="Times New Roman" w:hAnsi="Times New Roman" w:cs="Times New Roman" w:hint="default"/>
          <w:color w:val="auto"/>
          <w:highlight w:val="none"/>
          <w:lang w:val="en-US" w:eastAsia="zh-CN"/>
        </w:rPr>
        <w:t xml:space="preserve">，完成率：</w:t>
      </w:r>
      <w:r>
        <w:rPr>
          <w:rFonts w:ascii="Times New Roman" w:hAnsi="Times New Roman" w:cs="Times New Roman" w:hint="eastAsia"/>
          <w:color w:val="auto"/>
          <w:highlight w:val="none"/>
          <w:lang w:val="en-US" w:eastAsia="zh-CN"/>
        </w:rPr>
        <w:t xml:space="preserve">95.47%</w:t>
      </w:r>
      <w:r>
        <w:rPr>
          <w:rFonts w:ascii="Times New Roman" w:hAnsi="Times New Roman" w:cs="Times New Roman" w:hint="default"/>
          <w:color w:val="auto"/>
          <w:highlight w:val="none"/>
          <w:lang w:val="en-US" w:eastAsia="zh-CN"/>
        </w:rPr>
        <w:t xml:space="preserve">；</w:t>
      </w:r>
      <w:r>
        <w:rPr>
          <w:rFonts w:ascii="Times New Roman" w:hAnsi="Times New Roman" w:cs="Times New Roman" w:hint="eastAsia"/>
          <w:color w:val="auto"/>
          <w:highlight w:val="none"/>
          <w:lang w:val="en-US" w:eastAsia="zh-CN"/>
        </w:rPr>
        <w:t xml:space="preserve">偏差原因为：采购优惠率造成资金结余。</w:t>
      </w:r>
    </w:p>
    <w:p>
      <w:pPr>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color w:val="auto"/>
          <w:highlight w:val="none"/>
          <w:lang w:val="en-US" w:eastAsia="zh-CN"/>
        </w:rPr>
      </w:pPr>
      <w:r>
        <w:rPr>
          <w:rFonts w:ascii="Times New Roman" w:hAnsi="Times New Roman" w:cs="Times New Roman" w:hint="default"/>
          <w:color w:val="auto"/>
          <w:highlight w:val="none"/>
          <w:lang w:val="en-US" w:eastAsia="zh-CN"/>
        </w:rPr>
        <w:t xml:space="preserve">本项满分4分，评估得分</w:t>
      </w:r>
      <w:r>
        <w:rPr>
          <w:rFonts w:ascii="Times New Roman" w:hAnsi="Times New Roman" w:cs="Times New Roman" w:hint="eastAsia"/>
          <w:color w:val="auto"/>
          <w:highlight w:val="none"/>
          <w:lang w:val="en-US" w:eastAsia="zh-CN"/>
        </w:rPr>
        <w:t xml:space="preserve">3.82</w:t>
      </w:r>
      <w:r>
        <w:rPr>
          <w:rFonts w:ascii="Times New Roman" w:hAnsi="Times New Roman" w:cs="Times New Roman" w:hint="default"/>
          <w:color w:val="auto"/>
          <w:highlight w:val="none"/>
          <w:lang w:val="en-US" w:eastAsia="zh-CN"/>
        </w:rPr>
        <w:t xml:space="preserve">分。</w:t>
      </w:r>
    </w:p>
    <w:p>
      <w:pPr>
        <w:pStyle w:val="Heading3"/>
        <w:pageBreakBefore w:val="0"/>
        <w:widowControl w:val="0"/>
        <w:kinsoku/>
        <w:wordWrap/>
        <w:overflowPunct/>
        <w:topLinePunct w:val="0"/>
        <w:autoSpaceDE/>
        <w:autoSpaceDN/>
        <w:bidi w:val="0"/>
        <w:adjustRightInd/>
        <w:snapToGrid/>
        <w:spacing w:line="360" w:lineRule="auto"/>
        <w:textAlignment w:val="auto"/>
        <w:outlineLvl w:val="1"/>
        <w:rPr>
          <w:color w:val="auto"/>
          <w:highlight w:val="none"/>
        </w:rPr>
      </w:pPr>
      <w:bookmarkStart w:id="109" w:name="_Toc2335"/>
      <w:bookmarkStart w:id="110" w:name="_Toc28354"/>
      <w:r>
        <w:rPr>
          <w:rFonts w:hint="eastAsia"/>
          <w:color w:val="auto"/>
          <w:highlight w:val="none"/>
        </w:rPr>
        <w:t xml:space="preserve">（四）项目效益情况</w:t>
      </w:r>
      <w:bookmarkEnd w:id="109"/>
      <w:bookmarkEnd w:id="110"/>
    </w:p>
    <w:p>
      <w:pPr>
        <w:pageBreakBefore w:val="0"/>
        <w:widowControl w:val="0"/>
        <w:kinsoku/>
        <w:wordWrap/>
        <w:overflowPunct/>
        <w:topLinePunct w:val="0"/>
        <w:autoSpaceDE/>
        <w:autoSpaceDN/>
        <w:bidi w:val="0"/>
        <w:adjustRightInd/>
        <w:snapToGrid/>
        <w:spacing w:line="360" w:lineRule="auto"/>
        <w:textAlignment w:val="auto"/>
        <w:rPr>
          <w:color w:val="auto"/>
          <w:highlight w:val="none"/>
        </w:rPr>
      </w:pPr>
      <w:r>
        <w:rPr>
          <w:rFonts w:hint="eastAsia"/>
          <w:color w:val="auto"/>
          <w:highlight w:val="none"/>
        </w:rPr>
        <w:t xml:space="preserve">1、实际效益</w:t>
      </w:r>
    </w:p>
    <w:p>
      <w:pPr>
        <w:pageBreakBefore w:val="0"/>
        <w:widowControl w:val="0"/>
        <w:kinsoku/>
        <w:wordWrap/>
        <w:overflowPunct/>
        <w:topLinePunct w:val="0"/>
        <w:autoSpaceDE/>
        <w:autoSpaceDN/>
        <w:bidi w:val="0"/>
        <w:adjustRightInd/>
        <w:snapToGrid/>
        <w:spacing w:line="360" w:lineRule="auto"/>
        <w:textAlignment w:val="auto"/>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本项目实施所产生的效益主要包括社会效益。</w:t>
      </w:r>
    </w:p>
    <w:p>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rPr>
      </w:pPr>
      <w:r>
        <w:rPr>
          <w:rFonts w:ascii="Times New Roman" w:eastAsia="仿宋_GB2312" w:hAnsi="Times New Roman" w:cs="Times New Roman" w:hint="default"/>
          <w:color w:val="auto"/>
          <w:highlight w:val="none"/>
        </w:rPr>
        <w:t xml:space="preserve">项目的实施</w:t>
      </w:r>
      <w:r>
        <w:rPr>
          <w:rFonts w:ascii="Times New Roman" w:hAnsi="Times New Roman" w:cs="Times New Roman" w:hint="eastAsia"/>
          <w:color w:val="auto"/>
          <w:highlight w:val="none"/>
          <w:lang w:eastAsia="zh-CN"/>
        </w:rPr>
        <w:t xml:space="preserve">完成粉刷墙体，加强了农村环境整治，整体提升了村容村貌，提升了村民生活居住质量。</w:t>
      </w:r>
    </w:p>
    <w:p>
      <w:pPr>
        <w:pageBreakBefore w:val="0"/>
        <w:widowControl w:val="0"/>
        <w:kinsoku/>
        <w:wordWrap/>
        <w:overflowPunct/>
        <w:topLinePunct w:val="0"/>
        <w:autoSpaceDE/>
        <w:autoSpaceDN/>
        <w:bidi w:val="0"/>
        <w:adjustRightInd/>
        <w:snapToGrid/>
        <w:spacing w:line="360" w:lineRule="auto"/>
        <w:textAlignment w:val="auto"/>
        <w:rPr>
          <w:color w:val="auto"/>
          <w:highlight w:val="none"/>
        </w:rPr>
      </w:pPr>
      <w:r>
        <w:rPr>
          <w:rFonts w:hint="eastAsia"/>
          <w:color w:val="auto"/>
          <w:highlight w:val="none"/>
        </w:rPr>
        <w:t xml:space="preserve">本项满分</w:t>
      </w:r>
      <w:r>
        <w:rPr>
          <w:rFonts w:hint="eastAsia"/>
          <w:color w:val="auto"/>
          <w:highlight w:val="none"/>
          <w:lang w:val="en-US" w:eastAsia="zh-CN"/>
        </w:rPr>
        <w:t xml:space="preserve">2</w:t>
      </w:r>
      <w:r>
        <w:rPr>
          <w:rFonts w:hint="eastAsia"/>
          <w:color w:val="auto"/>
          <w:highlight w:val="none"/>
        </w:rPr>
        <w:t xml:space="preserve">0分，评估得分</w:t>
      </w:r>
      <w:r>
        <w:rPr>
          <w:rFonts w:hint="eastAsia"/>
          <w:color w:val="auto"/>
          <w:highlight w:val="none"/>
          <w:lang w:val="en-US" w:eastAsia="zh-CN"/>
        </w:rPr>
        <w:t xml:space="preserve">2</w:t>
      </w:r>
      <w:r>
        <w:rPr>
          <w:rFonts w:hint="eastAsia"/>
          <w:color w:val="auto"/>
          <w:highlight w:val="none"/>
        </w:rPr>
        <w:t xml:space="preserve">0分。</w:t>
      </w:r>
      <w:bookmarkEnd w:id="103"/>
      <w:bookmarkEnd w:id="104"/>
    </w:p>
    <w:p>
      <w:pPr>
        <w:pStyle w:val="Heading2"/>
        <w:pageBreakBefore w:val="0"/>
        <w:widowControl w:val="0"/>
        <w:kinsoku/>
        <w:wordWrap/>
        <w:overflowPunct/>
        <w:topLinePunct w:val="0"/>
        <w:autoSpaceDE/>
        <w:autoSpaceDN/>
        <w:bidi w:val="0"/>
        <w:adjustRightInd/>
        <w:snapToGrid/>
        <w:spacing w:line="360" w:lineRule="auto"/>
        <w:jc w:val="both"/>
        <w:textAlignment w:val="auto"/>
        <w:outlineLvl w:val="0"/>
        <w:rPr>
          <w:rFonts w:ascii="Times New Roman" w:eastAsia="仿宋_GB2312" w:hAnsi="Times New Roman" w:cs="Times New Roman" w:hint="default"/>
          <w:color w:val="auto"/>
          <w:highlight w:val="none"/>
        </w:rPr>
      </w:pPr>
      <w:bookmarkStart w:id="111" w:name="_Toc20473"/>
      <w:bookmarkStart w:id="112" w:name="_Toc11778"/>
      <w:bookmarkStart w:id="113" w:name="_Toc24261"/>
      <w:bookmarkStart w:id="114" w:name="_Toc3310"/>
      <w:bookmarkStart w:id="115" w:name="_Toc23114"/>
      <w:bookmarkStart w:id="116" w:name="_Toc17413"/>
      <w:r>
        <w:rPr>
          <w:rFonts w:ascii="黑体" w:eastAsia="黑体" w:hAnsi="黑体" w:cs="黑体" w:hint="eastAsia"/>
          <w:color w:val="auto"/>
          <w:highlight w:val="none"/>
        </w:rPr>
        <w:t xml:space="preserve">五、主要经验及做法、存在的问题及原因分析</w:t>
      </w:r>
      <w:bookmarkEnd w:id="111"/>
      <w:bookmarkEnd w:id="112"/>
      <w:bookmarkEnd w:id="113"/>
      <w:bookmarkEnd w:id="114"/>
      <w:bookmarkEnd w:id="115"/>
      <w:bookmarkEnd w:id="116"/>
    </w:p>
    <w:p>
      <w:pPr>
        <w:pStyle w:val="Heading3"/>
        <w:pageBreakBefore w:val="0"/>
        <w:widowControl w:val="0"/>
        <w:kinsoku/>
        <w:wordWrap/>
        <w:overflowPunct/>
        <w:topLinePunct w:val="0"/>
        <w:autoSpaceDE/>
        <w:autoSpaceDN/>
        <w:bidi w:val="0"/>
        <w:adjustRightInd/>
        <w:snapToGrid/>
        <w:spacing w:line="360" w:lineRule="auto"/>
        <w:jc w:val="both"/>
        <w:textAlignment w:val="auto"/>
        <w:outlineLvl w:val="1"/>
        <w:rPr>
          <w:rFonts w:ascii="楷体" w:eastAsia="楷体" w:hAnsi="楷体" w:cs="楷体" w:hint="eastAsia"/>
          <w:color w:val="auto"/>
          <w:highlight w:val="none"/>
        </w:rPr>
      </w:pPr>
      <w:bookmarkStart w:id="117" w:name="_Toc6741"/>
      <w:bookmarkStart w:id="118" w:name="_Toc6522"/>
      <w:bookmarkStart w:id="119" w:name="_Toc10514"/>
      <w:bookmarkStart w:id="120" w:name="_Toc17109"/>
      <w:bookmarkStart w:id="121" w:name="_Toc14362"/>
      <w:r>
        <w:rPr>
          <w:rFonts w:ascii="楷体" w:eastAsia="楷体" w:hAnsi="楷体" w:cs="楷体" w:hint="eastAsia"/>
          <w:color w:val="auto"/>
          <w:highlight w:val="none"/>
        </w:rPr>
        <w:t xml:space="preserve">（一）主要经验及做法</w:t>
      </w:r>
      <w:bookmarkEnd w:id="117"/>
      <w:bookmarkEnd w:id="118"/>
      <w:bookmarkEnd w:id="119"/>
      <w:bookmarkEnd w:id="120"/>
      <w:bookmarkEnd w:id="121"/>
    </w:p>
    <w:p>
      <w:pPr>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color w:val="auto"/>
          <w:highlight w:val="none"/>
          <w:lang w:eastAsia="zh-CN"/>
        </w:rPr>
      </w:pPr>
      <w:r>
        <w:rPr>
          <w:rFonts w:ascii="Times New Roman" w:hAnsi="Times New Roman" w:cs="Times New Roman" w:hint="eastAsia"/>
          <w:color w:val="auto"/>
          <w:highlight w:val="none"/>
          <w:lang w:val="en-US" w:eastAsia="zh-CN"/>
        </w:rPr>
        <w:t xml:space="preserve">2024年</w:t>
      </w:r>
      <w:r>
        <w:rPr>
          <w:rFonts w:ascii="Times New Roman" w:hAnsi="Times New Roman" w:cs="Times New Roman" w:hint="eastAsia"/>
          <w:color w:val="auto"/>
          <w:highlight w:val="none"/>
          <w:lang w:eastAsia="zh-CN"/>
        </w:rPr>
        <w:t xml:space="preserve">尉犁县政府办驻村工作队为民办实事经费项目在</w:t>
      </w:r>
      <w:r>
        <w:rPr>
          <w:rFonts w:ascii="Times New Roman" w:hAnsi="Times New Roman" w:cs="Times New Roman" w:hint="default"/>
          <w:color w:val="auto"/>
          <w:highlight w:val="none"/>
          <w:lang w:eastAsia="zh-CN"/>
        </w:rPr>
        <w:t xml:space="preserve">县委、县政府的支持下，在相关部门的配合下，全面顺利完成，绩效评价“优”，主要经验及做法如下：</w:t>
      </w:r>
    </w:p>
    <w:p>
      <w:pPr>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ascii="Times New Roman" w:hAnsi="Times New Roman" w:cs="Times New Roman" w:hint="eastAsia"/>
          <w:color w:val="auto"/>
          <w:highlight w:val="none"/>
          <w:lang w:eastAsia="zh-CN"/>
        </w:rPr>
      </w:pPr>
      <w:r>
        <w:rPr>
          <w:rFonts w:ascii="Times New Roman" w:hAnsi="Times New Roman" w:cs="Times New Roman" w:hint="eastAsia"/>
          <w:color w:val="auto"/>
          <w:highlight w:val="none"/>
          <w:lang w:val="en-US" w:eastAsia="zh-CN"/>
        </w:rPr>
        <w:t xml:space="preserve">1.</w:t>
      </w:r>
      <w:r>
        <w:rPr>
          <w:rFonts w:ascii="Times New Roman" w:hAnsi="Times New Roman" w:cs="Times New Roman" w:hint="default"/>
          <w:color w:val="auto"/>
          <w:highlight w:val="none"/>
          <w:lang w:eastAsia="zh-CN"/>
        </w:rPr>
        <w:t xml:space="preserve">加强领导，落实责任</w:t>
      </w:r>
      <w:r>
        <w:rPr>
          <w:rFonts w:ascii="Times New Roman" w:hAnsi="Times New Roman" w:cs="Times New Roman" w:hint="eastAsia"/>
          <w:color w:val="auto"/>
          <w:highlight w:val="none"/>
          <w:lang w:eastAsia="zh-CN"/>
        </w:rPr>
        <w:t xml:space="preserve">，</w:t>
      </w:r>
      <w:r>
        <w:rPr>
          <w:rFonts w:ascii="Times New Roman" w:hAnsi="Times New Roman" w:cs="Times New Roman" w:hint="eastAsia"/>
          <w:color w:val="auto"/>
          <w:highlight w:val="none"/>
          <w:lang w:val="en-US" w:eastAsia="zh-CN"/>
        </w:rPr>
        <w:t xml:space="preserve">成立专项工作小组。</w:t>
      </w:r>
      <w:r>
        <w:rPr>
          <w:rFonts w:ascii="Times New Roman" w:hAnsi="Times New Roman" w:cs="Times New Roman" w:hint="eastAsia"/>
          <w:color w:val="auto"/>
          <w:highlight w:val="none"/>
          <w:lang w:eastAsia="zh-CN"/>
        </w:rPr>
        <w:t xml:space="preserve">尉犁县政府办</w:t>
      </w:r>
      <w:r>
        <w:rPr>
          <w:rFonts w:ascii="Times New Roman" w:hAnsi="Times New Roman" w:cs="Times New Roman" w:hint="default"/>
          <w:color w:val="auto"/>
          <w:highlight w:val="none"/>
          <w:lang w:eastAsia="zh-CN"/>
        </w:rPr>
        <w:t xml:space="preserve">高度重视</w:t>
      </w:r>
      <w:r>
        <w:rPr>
          <w:rFonts w:ascii="Times New Roman" w:hAnsi="Times New Roman" w:cs="Times New Roman" w:hint="eastAsia"/>
          <w:color w:val="auto"/>
          <w:highlight w:val="none"/>
          <w:lang w:val="en-US" w:eastAsia="zh-CN"/>
        </w:rPr>
        <w:t xml:space="preserve">项目绩效评价工作</w:t>
      </w:r>
      <w:r>
        <w:rPr>
          <w:rFonts w:ascii="Times New Roman" w:hAnsi="Times New Roman" w:cs="Times New Roman" w:hint="default"/>
          <w:color w:val="auto"/>
          <w:highlight w:val="none"/>
          <w:lang w:eastAsia="zh-CN"/>
        </w:rPr>
        <w:t xml:space="preserve">，</w:t>
      </w:r>
      <w:r>
        <w:rPr>
          <w:rFonts w:ascii="Times New Roman" w:hAnsi="Times New Roman" w:cs="Times New Roman" w:hint="default"/>
          <w:color w:val="auto"/>
          <w:highlight w:val="none"/>
          <w:lang w:val="en-US" w:eastAsia="zh-CN"/>
        </w:rPr>
        <w:t xml:space="preserve">以</w:t>
      </w:r>
      <w:r>
        <w:rPr>
          <w:rFonts w:ascii="Times New Roman" w:hAnsi="Times New Roman" w:cs="Times New Roman" w:hint="eastAsia"/>
          <w:color w:val="auto"/>
          <w:highlight w:val="none"/>
          <w:lang w:val="en-US" w:eastAsia="zh-CN"/>
        </w:rPr>
        <w:t xml:space="preserve">副主任</w:t>
      </w:r>
      <w:r>
        <w:rPr>
          <w:rFonts w:ascii="Times New Roman" w:hAnsi="Times New Roman" w:cs="Times New Roman" w:hint="default"/>
          <w:color w:val="auto"/>
          <w:highlight w:val="none"/>
          <w:lang w:val="en-US" w:eastAsia="zh-CN"/>
        </w:rPr>
        <w:t xml:space="preserve">为组长，</w:t>
      </w:r>
      <w:r>
        <w:rPr>
          <w:rFonts w:ascii="Times New Roman" w:hAnsi="Times New Roman" w:cs="Times New Roman" w:hint="eastAsia"/>
          <w:color w:val="auto"/>
          <w:highlight w:val="none"/>
          <w:lang w:val="en-US" w:eastAsia="zh-CN"/>
        </w:rPr>
        <w:t xml:space="preserve">财务室</w:t>
      </w:r>
      <w:r>
        <w:rPr>
          <w:rFonts w:ascii="Times New Roman" w:hAnsi="Times New Roman" w:cs="Times New Roman" w:hint="default"/>
          <w:color w:val="auto"/>
          <w:highlight w:val="none"/>
          <w:lang w:val="en-US" w:eastAsia="zh-CN"/>
        </w:rPr>
        <w:t xml:space="preserve">为成员的为民办实事工作领导小组</w:t>
      </w:r>
      <w:r>
        <w:rPr>
          <w:rFonts w:ascii="Times New Roman" w:hAnsi="Times New Roman" w:cs="Times New Roman" w:hint="eastAsia"/>
          <w:color w:val="auto"/>
          <w:highlight w:val="none"/>
          <w:lang w:eastAsia="zh-CN"/>
        </w:rPr>
        <w:t xml:space="preserve">，明确了各部门工作职责，从项目审批、项目实施管理、资金管理各方面加强统筹协调，共同推进项目顺利实施。</w:t>
      </w:r>
    </w:p>
    <w:p>
      <w:pPr>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ascii="Times New Roman" w:hAnsi="Times New Roman" w:cs="Times New Roman" w:hint="eastAsia"/>
          <w:color w:val="auto"/>
          <w:highlight w:val="none"/>
          <w:lang w:val="en-US" w:eastAsia="zh-CN"/>
        </w:rPr>
      </w:pPr>
      <w:r>
        <w:rPr>
          <w:rFonts w:ascii="Times New Roman" w:hAnsi="Times New Roman" w:cs="Times New Roman" w:hint="default"/>
          <w:color w:val="auto"/>
          <w:highlight w:val="none"/>
          <w:lang w:val="en-US" w:eastAsia="zh-CN"/>
        </w:rPr>
        <w:t xml:space="preserve">2.领导小组定期召开会议，研究解决工作中存在的问题，及时调整工作思路和方法，保障为民办实事项目顺利实施。</w:t>
      </w:r>
    </w:p>
    <w:p>
      <w:pPr>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ascii="Times New Roman" w:hAnsi="Times New Roman" w:cs="Times New Roman" w:hint="eastAsia"/>
          <w:color w:val="auto"/>
          <w:highlight w:val="none"/>
          <w:lang w:val="en-US" w:eastAsia="zh-CN"/>
        </w:rPr>
      </w:pPr>
      <w:r>
        <w:rPr>
          <w:rFonts w:ascii="Times New Roman" w:hAnsi="Times New Roman" w:cs="Times New Roman" w:hint="eastAsia"/>
          <w:color w:val="auto"/>
          <w:highlight w:val="none"/>
          <w:lang w:val="en-US" w:eastAsia="zh-CN"/>
        </w:rPr>
        <w:t xml:space="preserve">3.</w:t>
      </w:r>
      <w:r>
        <w:rPr>
          <w:rFonts w:ascii="Times New Roman" w:hAnsi="Times New Roman" w:cs="Times New Roman" w:hint="default"/>
          <w:color w:val="auto"/>
          <w:highlight w:val="none"/>
          <w:lang w:val="en-US" w:eastAsia="zh-CN"/>
        </w:rPr>
        <w:t xml:space="preserve">完善监督考核机制：制定为民办实事工作考核办法，将工作完成情况纳入各科室年度绩效考核内容，加强对工作进展情况的督促检查。定期对项目实施情况进行通报，对工作成效显著的科室和个人进行表彰奖励，对工作不力的进行问责，确保各项任务落到实处。</w:t>
      </w:r>
    </w:p>
    <w:p>
      <w:pPr>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color w:val="auto"/>
          <w:highlight w:val="none"/>
          <w:lang w:eastAsia="zh-CN"/>
        </w:rPr>
      </w:pPr>
      <w:r>
        <w:rPr>
          <w:rFonts w:ascii="Times New Roman" w:hAnsi="Times New Roman" w:cs="Times New Roman" w:hint="eastAsia"/>
          <w:color w:val="auto"/>
          <w:highlight w:val="none"/>
          <w:lang w:val="en-US" w:eastAsia="zh-CN"/>
        </w:rPr>
        <w:t xml:space="preserve">4</w:t>
      </w:r>
      <w:r>
        <w:rPr>
          <w:rFonts w:ascii="Times New Roman" w:hAnsi="Times New Roman" w:cs="Times New Roman" w:hint="default"/>
          <w:color w:val="auto"/>
          <w:highlight w:val="none"/>
          <w:lang w:eastAsia="zh-CN"/>
        </w:rPr>
        <w:t xml:space="preserve">.</w:t>
      </w:r>
      <w:r>
        <w:rPr>
          <w:rFonts w:ascii="Times New Roman" w:hAnsi="Times New Roman" w:cs="Times New Roman" w:hint="eastAsia"/>
          <w:color w:val="auto"/>
          <w:highlight w:val="none"/>
          <w:lang w:val="en-US" w:eastAsia="zh-CN"/>
        </w:rPr>
        <w:t xml:space="preserve">分步、按进度监督项目落实</w:t>
      </w:r>
      <w:r>
        <w:rPr>
          <w:rFonts w:ascii="Times New Roman" w:hAnsi="Times New Roman" w:cs="Times New Roman" w:hint="eastAsia"/>
          <w:color w:val="auto"/>
          <w:highlight w:val="none"/>
          <w:lang w:eastAsia="zh-CN"/>
        </w:rPr>
        <w:t xml:space="preserve">。通过</w:t>
      </w:r>
      <w:r>
        <w:rPr>
          <w:rFonts w:ascii="Times New Roman" w:hAnsi="Times New Roman" w:cs="Times New Roman" w:hint="eastAsia"/>
          <w:color w:val="auto"/>
          <w:highlight w:val="none"/>
          <w:lang w:val="en-US" w:eastAsia="zh-CN"/>
        </w:rPr>
        <w:t xml:space="preserve">每月、每季度定期汇总项目实施进度，及时发现问题、解决问题、督促项目实施，确保项目实施及资金支出进度</w:t>
      </w:r>
      <w:r>
        <w:rPr>
          <w:rFonts w:ascii="Times New Roman" w:hAnsi="Times New Roman" w:cs="Times New Roman" w:hint="default"/>
          <w:color w:val="auto"/>
          <w:highlight w:val="none"/>
          <w:lang w:eastAsia="zh-CN"/>
        </w:rPr>
        <w:t xml:space="preserve">。</w:t>
      </w:r>
    </w:p>
    <w:p>
      <w:pPr>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color w:val="auto"/>
          <w:highlight w:val="none"/>
          <w:lang w:eastAsia="zh-CN"/>
        </w:rPr>
      </w:pPr>
      <w:r>
        <w:rPr>
          <w:rFonts w:ascii="Times New Roman" w:hAnsi="Times New Roman" w:cs="Times New Roman" w:hint="eastAsia"/>
          <w:color w:val="auto"/>
          <w:highlight w:val="none"/>
          <w:lang w:val="en-US" w:eastAsia="zh-CN"/>
        </w:rPr>
        <w:t xml:space="preserve">5</w:t>
      </w:r>
      <w:r>
        <w:rPr>
          <w:rFonts w:ascii="Times New Roman" w:hAnsi="Times New Roman" w:cs="Times New Roman" w:hint="default"/>
          <w:color w:val="auto"/>
          <w:highlight w:val="none"/>
          <w:lang w:eastAsia="zh-CN"/>
        </w:rPr>
        <w:t xml:space="preserve">.</w:t>
      </w:r>
      <w:r>
        <w:rPr>
          <w:rFonts w:ascii="Times New Roman" w:hAnsi="Times New Roman" w:cs="Times New Roman" w:hint="default"/>
          <w:color w:val="auto"/>
          <w:highlight w:val="none"/>
          <w:lang w:val="en-US" w:eastAsia="zh-CN"/>
        </w:rPr>
        <w:t xml:space="preserve">积极争取县委、县政府的支持，将为民办实事经费纳入财政预算，确保资金足额到位。同时，加强与上级部门的沟通协调，争取更多的项目资金和政策支持。建立健全经费管理制度，严格经费审批流程，确保专款专用，提高资金使用效益。</w:t>
      </w:r>
      <w:r>
        <w:rPr>
          <w:rFonts w:ascii="Times New Roman" w:hAnsi="Times New Roman" w:cs="Times New Roman" w:hint="default"/>
          <w:color w:val="auto"/>
          <w:highlight w:val="none"/>
          <w:lang w:eastAsia="zh-CN"/>
        </w:rPr>
        <w:t xml:space="preserve">严格程序，确保资金效益。严格资金审批流程，明确资金使用范围，保证项目资金专款专用。有效杜绝了截留、挪用、滞留、浪费资金等现象的发生，确保了资金使用安全和最大效益的发挥。</w:t>
      </w:r>
    </w:p>
    <w:p>
      <w:pPr>
        <w:pStyle w:val="Heading3"/>
        <w:pageBreakBefore w:val="0"/>
        <w:widowControl w:val="0"/>
        <w:kinsoku/>
        <w:wordWrap/>
        <w:overflowPunct/>
        <w:topLinePunct w:val="0"/>
        <w:autoSpaceDE/>
        <w:autoSpaceDN/>
        <w:bidi w:val="0"/>
        <w:adjustRightInd/>
        <w:snapToGrid/>
        <w:spacing w:line="360" w:lineRule="auto"/>
        <w:jc w:val="both"/>
        <w:textAlignment w:val="auto"/>
        <w:outlineLvl w:val="1"/>
        <w:rPr>
          <w:rFonts w:ascii="楷体" w:eastAsia="楷体" w:hAnsi="楷体" w:cs="楷体" w:hint="eastAsia"/>
          <w:color w:val="auto"/>
          <w:highlight w:val="none"/>
        </w:rPr>
      </w:pPr>
      <w:bookmarkStart w:id="122" w:name="_Toc31827"/>
      <w:bookmarkStart w:id="123" w:name="_Toc11238"/>
      <w:bookmarkStart w:id="124" w:name="_Toc27408"/>
      <w:bookmarkStart w:id="125" w:name="_Toc4673"/>
      <w:bookmarkStart w:id="126" w:name="_Toc6359"/>
      <w:r>
        <w:rPr>
          <w:rFonts w:ascii="楷体" w:eastAsia="楷体" w:hAnsi="楷体" w:cs="楷体" w:hint="eastAsia"/>
          <w:color w:val="auto"/>
          <w:highlight w:val="none"/>
        </w:rPr>
        <w:t xml:space="preserve">（二）存在的问题及分析</w:t>
      </w:r>
      <w:bookmarkEnd w:id="122"/>
      <w:bookmarkEnd w:id="123"/>
      <w:bookmarkEnd w:id="124"/>
      <w:bookmarkEnd w:id="125"/>
      <w:bookmarkEnd w:id="126"/>
    </w:p>
    <w:p>
      <w:pPr>
        <w:pageBreakBefore w:val="0"/>
        <w:widowControl w:val="0"/>
        <w:kinsoku/>
        <w:wordWrap/>
        <w:overflowPunct/>
        <w:topLinePunct w:val="0"/>
        <w:autoSpaceDE/>
        <w:autoSpaceDN/>
        <w:bidi w:val="0"/>
        <w:adjustRightInd/>
        <w:snapToGrid/>
        <w:spacing w:line="360" w:lineRule="auto"/>
        <w:ind w:firstLine="640"/>
        <w:textAlignment w:val="auto"/>
        <w:rPr>
          <w:rFonts w:ascii="方正仿宋_GBK" w:eastAsia="方正仿宋_GBK" w:hAnsi="方正仿宋_GBK" w:cs="方正仿宋_GBK" w:hint="default"/>
          <w:color w:val="auto"/>
          <w:highlight w:val="none"/>
          <w:lang w:val="en-US" w:eastAsia="zh-CN"/>
        </w:rPr>
      </w:pPr>
      <w:bookmarkStart w:id="127" w:name="_Toc22271"/>
      <w:bookmarkStart w:id="128" w:name="_Toc5702"/>
      <w:bookmarkStart w:id="129" w:name="_Toc20116"/>
      <w:bookmarkStart w:id="130" w:name="_Toc13270"/>
      <w:bookmarkStart w:id="131" w:name="_Toc13345"/>
      <w:r>
        <w:rPr>
          <w:rFonts w:ascii="方正仿宋_GBK" w:eastAsia="方正仿宋_GBK" w:hAnsi="方正仿宋_GBK" w:cs="方正仿宋_GBK" w:hint="eastAsia"/>
          <w:color w:val="auto"/>
          <w:highlight w:val="none"/>
          <w:lang w:val="en-US" w:eastAsia="zh-CN"/>
        </w:rPr>
        <w:t xml:space="preserve">1、项目预算资金15万元，实际支出14.32万元，资金执行率95.47%。因政府采购有优惠率造成资金结余。</w:t>
      </w:r>
    </w:p>
    <w:p>
      <w:pPr>
        <w:pageBreakBefore w:val="0"/>
        <w:widowControl w:val="0"/>
        <w:kinsoku/>
        <w:wordWrap/>
        <w:overflowPunct/>
        <w:topLinePunct w:val="0"/>
        <w:autoSpaceDE/>
        <w:autoSpaceDN/>
        <w:bidi w:val="0"/>
        <w:adjustRightInd/>
        <w:snapToGrid/>
        <w:spacing w:line="360" w:lineRule="auto"/>
        <w:ind w:firstLine="640"/>
        <w:textAlignment w:val="auto"/>
        <w:rPr>
          <w:rFonts w:ascii="方正仿宋_GBK" w:eastAsia="方正仿宋_GBK" w:hAnsi="方正仿宋_GBK" w:cs="方正仿宋_GBK" w:hint="eastAsia"/>
          <w:color w:val="auto"/>
          <w:highlight w:val="none"/>
          <w:lang w:val="en-US" w:eastAsia="zh-CN"/>
        </w:rPr>
      </w:pPr>
      <w:r>
        <w:rPr>
          <w:rFonts w:ascii="方正仿宋_GBK" w:eastAsia="方正仿宋_GBK" w:hAnsi="方正仿宋_GBK" w:cs="方正仿宋_GBK" w:hint="eastAsia"/>
          <w:color w:val="auto"/>
          <w:highlight w:val="none"/>
          <w:lang w:val="en-US" w:eastAsia="zh-CN"/>
        </w:rPr>
        <w:t xml:space="preserve">2、绩效评价指标未能全面涵盖项目的各个方面，可能侧重数量、成本等指标，忽视社会、生态等效益指标，或者指标之间权重设置不合理。项目绩效管理和</w:t>
      </w:r>
      <w:r>
        <w:rPr>
          <w:rFonts w:ascii="方正仿宋_GBK" w:eastAsia="方正仿宋_GBK" w:hAnsi="方正仿宋_GBK" w:cs="方正仿宋_GBK" w:hint="eastAsia"/>
          <w:color w:val="auto"/>
          <w:highlight w:val="none"/>
        </w:rPr>
        <w:t xml:space="preserve">绩效评价</w:t>
      </w:r>
      <w:r>
        <w:rPr>
          <w:rFonts w:ascii="方正仿宋_GBK" w:eastAsia="方正仿宋_GBK" w:hAnsi="方正仿宋_GBK" w:cs="方正仿宋_GBK" w:hint="eastAsia"/>
          <w:color w:val="auto"/>
          <w:highlight w:val="none"/>
          <w:lang w:val="en-US" w:eastAsia="zh-CN"/>
        </w:rPr>
        <w:t xml:space="preserve">工作</w:t>
      </w:r>
      <w:r>
        <w:rPr>
          <w:rFonts w:ascii="Times New Roman" w:eastAsia="仿宋_GB2312" w:hAnsi="Times New Roman" w:cs="Times New Roman" w:hint="default"/>
          <w:color w:val="auto"/>
          <w:highlight w:val="none"/>
          <w:lang w:val="en-US" w:eastAsia="zh-CN"/>
        </w:rPr>
        <w:t xml:space="preserve">需进一步加强</w:t>
      </w:r>
      <w:r>
        <w:rPr>
          <w:rFonts w:ascii="方正仿宋_GBK" w:eastAsia="方正仿宋_GBK" w:hAnsi="方正仿宋_GBK" w:cs="方正仿宋_GBK" w:hint="eastAsia"/>
          <w:color w:val="auto"/>
          <w:highlight w:val="none"/>
          <w:lang w:val="en-US" w:eastAsia="zh-CN"/>
        </w:rPr>
        <w:t xml:space="preserve">。</w:t>
      </w:r>
    </w:p>
    <w:p>
      <w:pPr>
        <w:pageBreakBefore w:val="0"/>
        <w:widowControl w:val="0"/>
        <w:kinsoku/>
        <w:wordWrap/>
        <w:overflowPunct/>
        <w:topLinePunct w:val="0"/>
        <w:autoSpaceDE/>
        <w:autoSpaceDN/>
        <w:bidi w:val="0"/>
        <w:adjustRightInd/>
        <w:snapToGrid/>
        <w:spacing w:line="360" w:lineRule="auto"/>
        <w:ind w:firstLine="640"/>
        <w:textAlignment w:val="auto"/>
        <w:outlineLvl w:val="0"/>
        <w:rPr>
          <w:rFonts w:ascii="黑体" w:eastAsia="黑体" w:hAnsi="黑体" w:cs="黑体" w:hint="eastAsia"/>
          <w:bCs/>
          <w:iCs/>
          <w:color w:val="auto"/>
          <w:kern w:val="2"/>
          <w:sz w:val="32"/>
          <w:szCs w:val="21"/>
          <w:highlight w:val="none"/>
          <w:lang w:val="en-US" w:eastAsia="zh-CN" w:bidi="ar-SA"/>
        </w:rPr>
      </w:pPr>
      <w:bookmarkStart w:id="132" w:name="_Toc8358"/>
      <w:r>
        <w:rPr>
          <w:rFonts w:ascii="黑体" w:eastAsia="黑体" w:hAnsi="黑体" w:cs="黑体" w:hint="eastAsia"/>
          <w:bCs/>
          <w:iCs/>
          <w:color w:val="auto"/>
          <w:kern w:val="2"/>
          <w:sz w:val="32"/>
          <w:szCs w:val="21"/>
          <w:highlight w:val="none"/>
          <w:lang w:val="en-US" w:eastAsia="zh-CN" w:bidi="ar-SA"/>
        </w:rPr>
        <w:t xml:space="preserve">六、</w:t>
      </w:r>
      <w:bookmarkStart w:id="133" w:name="OLE_LINK7"/>
      <w:r>
        <w:rPr>
          <w:rFonts w:ascii="黑体" w:eastAsia="黑体" w:hAnsi="黑体" w:cs="黑体" w:hint="eastAsia"/>
          <w:bCs/>
          <w:iCs/>
          <w:color w:val="auto"/>
          <w:kern w:val="2"/>
          <w:sz w:val="32"/>
          <w:szCs w:val="21"/>
          <w:highlight w:val="none"/>
          <w:lang w:val="en-US" w:eastAsia="zh-CN" w:bidi="ar-SA"/>
        </w:rPr>
        <w:t xml:space="preserve">有关建议</w:t>
      </w:r>
      <w:bookmarkEnd w:id="127"/>
      <w:bookmarkEnd w:id="128"/>
      <w:bookmarkEnd w:id="129"/>
      <w:bookmarkEnd w:id="130"/>
      <w:bookmarkEnd w:id="131"/>
      <w:bookmarkEnd w:id="132"/>
      <w:bookmarkEnd w:id="133"/>
    </w:p>
    <w:p>
      <w:pPr>
        <w:pageBreakBefore w:val="0"/>
        <w:widowControl w:val="0"/>
        <w:kinsoku/>
        <w:wordWrap/>
        <w:overflowPunct/>
        <w:topLinePunct w:val="0"/>
        <w:autoSpaceDE/>
        <w:autoSpaceDN/>
        <w:bidi w:val="0"/>
        <w:adjustRightInd/>
        <w:snapToGrid/>
        <w:spacing w:line="360" w:lineRule="auto"/>
        <w:ind w:firstLine="640"/>
        <w:textAlignment w:val="auto"/>
        <w:rPr>
          <w:rFonts w:ascii="方正仿宋_GBK" w:eastAsia="方正仿宋_GBK" w:hAnsi="方正仿宋_GBK" w:cs="方正仿宋_GBK" w:hint="eastAsia"/>
          <w:color w:val="auto"/>
          <w:highlight w:val="none"/>
          <w:lang w:val="en-US" w:eastAsia="zh-CN"/>
        </w:rPr>
      </w:pPr>
      <w:r>
        <w:rPr>
          <w:rFonts w:ascii="方正仿宋_GBK" w:eastAsia="方正仿宋_GBK" w:hAnsi="方正仿宋_GBK" w:cs="方正仿宋_GBK" w:hint="eastAsia"/>
          <w:color w:val="auto"/>
          <w:highlight w:val="none"/>
          <w:lang w:val="en-US" w:eastAsia="zh-CN"/>
        </w:rPr>
        <w:t xml:space="preserve">1、编制年度预算时，根据历史数据，分析上年度预算执行情况，合理安排年度预算支出。</w:t>
      </w:r>
    </w:p>
    <w:p>
      <w:pPr>
        <w:pageBreakBefore w:val="0"/>
        <w:widowControl w:val="0"/>
        <w:kinsoku/>
        <w:wordWrap/>
        <w:overflowPunct/>
        <w:topLinePunct w:val="0"/>
        <w:autoSpaceDE/>
        <w:autoSpaceDN/>
        <w:bidi w:val="0"/>
        <w:adjustRightInd/>
        <w:snapToGrid/>
        <w:spacing w:line="360" w:lineRule="auto"/>
        <w:ind w:firstLine="640"/>
        <w:textAlignment w:val="auto"/>
        <w:rPr>
          <w:rFonts w:ascii="Times New Roman" w:eastAsia="仿宋_GB2312" w:hAnsi="Times New Roman" w:cs="Times New Roman" w:hint="default"/>
          <w:color w:val="auto"/>
          <w:highlight w:val="none"/>
        </w:rPr>
      </w:pPr>
      <w:r>
        <w:rPr>
          <w:rFonts w:ascii="方正仿宋_GBK" w:eastAsia="方正仿宋_GBK" w:hAnsi="方正仿宋_GBK" w:cs="方正仿宋_GBK" w:hint="eastAsia"/>
          <w:color w:val="auto"/>
          <w:highlight w:val="none"/>
          <w:lang w:val="en-US" w:eastAsia="zh-CN"/>
        </w:rPr>
        <w:t xml:space="preserve">2、构建全面、科学的绩效评价指标体系，综合考虑项目的经济效益、社会效益、生态效益等多个维度，合理设置各指标的权重，并根据项目类型和行业特点进行差异化设计。</w:t>
      </w:r>
      <w:r>
        <w:rPr>
          <w:rFonts w:ascii="方正仿宋_GBK" w:eastAsia="方正仿宋_GBK" w:hAnsi="方正仿宋_GBK" w:cs="方正仿宋_GBK" w:hint="default"/>
          <w:color w:val="auto"/>
          <w:highlight w:val="none"/>
          <w:lang w:val="en-US" w:eastAsia="zh-CN"/>
        </w:rPr>
        <w:t xml:space="preserve">加强绩效管理培训，夯实绩效管理基础工作，建章建制，建立统一的管理制度和控制执行标准，确保项目资金使用安全、规范，项目实施成果质量达标</w:t>
      </w:r>
      <w:r>
        <w:rPr>
          <w:rFonts w:ascii="Times New Roman" w:eastAsia="仿宋_GB2312" w:hAnsi="Times New Roman" w:cs="Times New Roman" w:hint="default"/>
          <w:color w:val="auto"/>
          <w:highlight w:val="none"/>
        </w:rPr>
        <w:t xml:space="preserve">。</w:t>
      </w:r>
    </w:p>
    <w:p>
      <w:pPr>
        <w:pStyle w:val="Heading2"/>
        <w:pageBreakBefore w:val="0"/>
        <w:widowControl w:val="0"/>
        <w:kinsoku/>
        <w:wordWrap/>
        <w:overflowPunct/>
        <w:topLinePunct w:val="0"/>
        <w:autoSpaceDE/>
        <w:autoSpaceDN/>
        <w:bidi w:val="0"/>
        <w:adjustRightInd/>
        <w:snapToGrid/>
        <w:spacing w:line="360" w:lineRule="auto"/>
        <w:jc w:val="both"/>
        <w:textAlignment w:val="auto"/>
        <w:outlineLvl w:val="0"/>
        <w:rPr>
          <w:rFonts w:ascii="黑体" w:eastAsia="黑体" w:hAnsi="黑体" w:cs="黑体" w:hint="default"/>
          <w:bCs/>
          <w:iCs/>
          <w:color w:val="auto"/>
          <w:highlight w:val="none"/>
        </w:rPr>
      </w:pPr>
      <w:bookmarkStart w:id="134" w:name="_Toc12100"/>
      <w:bookmarkStart w:id="135" w:name="_Toc5794"/>
      <w:bookmarkStart w:id="136" w:name="_Toc24871"/>
      <w:bookmarkStart w:id="137" w:name="_Toc22327"/>
      <w:bookmarkStart w:id="138" w:name="_Toc21621"/>
      <w:bookmarkStart w:id="139" w:name="_Toc22823"/>
      <w:r>
        <w:rPr>
          <w:rFonts w:ascii="黑体" w:eastAsia="黑体" w:hAnsi="黑体" w:cs="黑体" w:hint="default"/>
          <w:bCs/>
          <w:iCs/>
          <w:color w:val="auto"/>
          <w:highlight w:val="none"/>
        </w:rPr>
        <w:t xml:space="preserve">七、其他需要说明的问题</w:t>
      </w:r>
      <w:bookmarkEnd w:id="134"/>
      <w:bookmarkEnd w:id="135"/>
      <w:bookmarkEnd w:id="136"/>
      <w:bookmarkEnd w:id="137"/>
      <w:bookmarkEnd w:id="138"/>
      <w:bookmarkEnd w:id="139"/>
    </w:p>
    <w:p>
      <w:pPr>
        <w:pageBreakBefore w:val="0"/>
        <w:widowControl w:val="0"/>
        <w:kinsoku/>
        <w:wordWrap/>
        <w:overflowPunct/>
        <w:topLinePunct w:val="0"/>
        <w:autoSpaceDE/>
        <w:autoSpaceDN/>
        <w:bidi w:val="0"/>
        <w:adjustRightInd/>
        <w:snapToGrid/>
        <w:spacing w:line="360" w:lineRule="auto"/>
        <w:jc w:val="both"/>
        <w:textAlignment w:val="auto"/>
        <w:rPr>
          <w:rFonts w:ascii="Times New Roman" w:eastAsia="仿宋_GB2312" w:hAnsi="Times New Roman" w:cs="Times New Roman" w:hint="default"/>
          <w:color w:val="auto"/>
          <w:highlight w:val="none"/>
        </w:rPr>
      </w:pPr>
      <w:bookmarkStart w:id="140" w:name="OLE_LINK6"/>
      <w:bookmarkStart w:id="141" w:name="OLE_LINK5"/>
      <w:r>
        <w:rPr>
          <w:rFonts w:ascii="Times New Roman" w:eastAsia="仿宋_GB2312" w:hAnsi="Times New Roman" w:cs="Times New Roman" w:hint="default"/>
          <w:color w:val="auto"/>
          <w:highlight w:val="none"/>
          <w:lang w:val="en-US" w:eastAsia="zh-CN"/>
        </w:rPr>
        <w:t xml:space="preserve">1、</w:t>
      </w:r>
      <w:r>
        <w:rPr>
          <w:rFonts w:ascii="Times New Roman" w:eastAsia="仿宋_GB2312" w:hAnsi="Times New Roman" w:cs="Times New Roman" w:hint="default"/>
          <w:color w:val="auto"/>
          <w:highlight w:val="none"/>
        </w:rPr>
        <w:t xml:space="preserve">本项目部分间接产生的效果无法准确在短期内衡量，因此很难认定项目产生的全部效果。通过指标来反映绩效，指标的科学性和全面性需要不断地完善和研究。</w:t>
      </w:r>
    </w:p>
    <w:p>
      <w:pPr>
        <w:pageBreakBefore w:val="0"/>
        <w:widowControl w:val="0"/>
        <w:kinsoku/>
        <w:wordWrap/>
        <w:overflowPunct/>
        <w:topLinePunct w:val="0"/>
        <w:autoSpaceDE/>
        <w:autoSpaceDN/>
        <w:bidi w:val="0"/>
        <w:adjustRightInd/>
        <w:snapToGrid/>
        <w:spacing w:line="360" w:lineRule="auto"/>
        <w:jc w:val="both"/>
        <w:textAlignment w:val="auto"/>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lang w:val="en-US" w:eastAsia="zh-CN"/>
        </w:rPr>
        <w:t xml:space="preserve">2、</w:t>
      </w:r>
      <w:r>
        <w:rPr>
          <w:rFonts w:ascii="Times New Roman" w:eastAsia="仿宋_GB2312" w:hAnsi="Times New Roman" w:cs="Times New Roman" w:hint="default"/>
          <w:color w:val="auto"/>
          <w:highlight w:val="none"/>
        </w:rPr>
        <w:t xml:space="preserve">评价结果分别编入政府决算和部门预算，报送本级人民代表大会常务委员会，并依法予以公开。</w:t>
      </w:r>
      <w:bookmarkEnd w:id="140"/>
      <w:bookmarkEnd w:id="141"/>
    </w:p>
    <w:p>
      <w:pPr>
        <w:pStyle w:val="Heading2"/>
        <w:pageBreakBefore w:val="0"/>
        <w:widowControl w:val="0"/>
        <w:kinsoku/>
        <w:wordWrap/>
        <w:overflowPunct/>
        <w:topLinePunct w:val="0"/>
        <w:autoSpaceDE/>
        <w:autoSpaceDN/>
        <w:bidi w:val="0"/>
        <w:adjustRightInd/>
        <w:snapToGrid/>
        <w:spacing w:line="360" w:lineRule="auto"/>
        <w:jc w:val="both"/>
        <w:textAlignment w:val="auto"/>
        <w:outlineLvl w:val="0"/>
        <w:rPr>
          <w:rFonts w:ascii="黑体" w:eastAsia="黑体" w:hAnsi="黑体" w:cs="黑体" w:hint="default"/>
          <w:bCs/>
          <w:iCs/>
          <w:color w:val="auto"/>
          <w:highlight w:val="none"/>
        </w:rPr>
      </w:pPr>
      <w:bookmarkStart w:id="142" w:name="_Toc4210"/>
      <w:bookmarkStart w:id="143" w:name="_Toc28493"/>
      <w:bookmarkStart w:id="144" w:name="_Toc30245"/>
      <w:bookmarkStart w:id="145" w:name="_Toc18198"/>
      <w:r>
        <w:rPr>
          <w:rFonts w:ascii="黑体" w:eastAsia="黑体" w:hAnsi="黑体" w:cs="黑体" w:hint="default"/>
          <w:bCs/>
          <w:iCs/>
          <w:color w:val="auto"/>
          <w:highlight w:val="none"/>
        </w:rPr>
        <w:t xml:space="preserve">八、附件</w:t>
      </w:r>
      <w:bookmarkEnd w:id="142"/>
      <w:bookmarkEnd w:id="143"/>
      <w:bookmarkEnd w:id="144"/>
      <w:bookmarkEnd w:id="145"/>
    </w:p>
    <w:p>
      <w:pPr>
        <w:pageBreakBefore w:val="0"/>
        <w:widowControl w:val="0"/>
        <w:kinsoku/>
        <w:wordWrap/>
        <w:overflowPunct/>
        <w:topLinePunct w:val="0"/>
        <w:autoSpaceDE/>
        <w:autoSpaceDN/>
        <w:bidi w:val="0"/>
        <w:adjustRightInd/>
        <w:snapToGrid/>
        <w:spacing w:line="360" w:lineRule="auto"/>
        <w:jc w:val="both"/>
        <w:textAlignment w:val="auto"/>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1、项目支出绩效自评表</w:t>
      </w:r>
    </w:p>
    <w:p>
      <w:pPr>
        <w:pageBreakBefore w:val="0"/>
        <w:widowControl w:val="0"/>
        <w:kinsoku/>
        <w:wordWrap/>
        <w:overflowPunct/>
        <w:topLinePunct w:val="0"/>
        <w:autoSpaceDE/>
        <w:autoSpaceDN/>
        <w:bidi w:val="0"/>
        <w:adjustRightInd/>
        <w:snapToGrid/>
        <w:spacing w:line="360" w:lineRule="auto"/>
        <w:jc w:val="both"/>
        <w:textAlignment w:val="auto"/>
        <w:rPr>
          <w:rFonts w:ascii="Times New Roman" w:eastAsia="仿宋_GB2312" w:hAnsi="Times New Roman" w:cs="Times New Roman" w:hint="default"/>
          <w:bCs/>
          <w:iCs/>
          <w:color w:val="auto"/>
          <w:highlight w:val="none"/>
        </w:rPr>
      </w:pPr>
      <w:r>
        <w:rPr>
          <w:rFonts w:ascii="Times New Roman" w:eastAsia="仿宋_GB2312" w:hAnsi="Times New Roman" w:cs="Times New Roman" w:hint="default"/>
          <w:color w:val="auto"/>
          <w:highlight w:val="none"/>
        </w:rPr>
        <w:t xml:space="preserve">2、项目支出绩效评价指标体系及评分</w:t>
      </w:r>
      <w:bookmarkStart w:id="146" w:name="_Toc28598"/>
      <w:bookmarkStart w:id="147" w:name="_Toc15698"/>
    </w:p>
    <w:p>
      <w:pPr>
        <w:pStyle w:val="Heading2"/>
        <w:bidi w:val="0"/>
        <w:jc w:val="both"/>
        <w:outlineLvl w:val="9"/>
        <w:rPr>
          <w:rFonts w:ascii="Times New Roman" w:eastAsia="仿宋_GB2312" w:hAnsi="Times New Roman" w:cs="Times New Roman" w:hint="default"/>
          <w:bCs/>
          <w:iCs/>
          <w:color w:val="auto"/>
          <w:highlight w:val="none"/>
        </w:rPr>
      </w:pPr>
    </w:p>
    <w:p>
      <w:pPr>
        <w:rPr>
          <w:rFonts w:hint="default"/>
          <w:color w:val="auto"/>
          <w:highlight w:val="none"/>
        </w:rPr>
      </w:pPr>
    </w:p>
    <w:p>
      <w:pPr>
        <w:pStyle w:val="Heading2"/>
        <w:bidi w:val="0"/>
        <w:jc w:val="both"/>
        <w:outlineLvl w:val="9"/>
        <w:rPr>
          <w:rFonts w:ascii="Times New Roman" w:eastAsia="仿宋_GB2312" w:hAnsi="Times New Roman" w:cs="Times New Roman" w:hint="default"/>
          <w:bCs/>
          <w:iCs/>
          <w:color w:val="auto"/>
          <w:highlight w:val="none"/>
        </w:rPr>
      </w:pPr>
    </w:p>
    <w:p>
      <w:pPr>
        <w:pStyle w:val="Heading2"/>
        <w:bidi w:val="0"/>
        <w:jc w:val="both"/>
        <w:outlineLvl w:val="9"/>
        <w:rPr>
          <w:rFonts w:ascii="Times New Roman" w:eastAsia="仿宋_GB2312" w:hAnsi="Times New Roman" w:cs="Times New Roman" w:hint="default"/>
          <w:bCs/>
          <w:iCs/>
          <w:color w:val="auto"/>
          <w:highlight w:val="none"/>
        </w:rPr>
        <w:sectPr>
          <w:footerReference w:type="default" r:id="rId4"/>
          <w:pgSz w:w="11906" w:h="16838" w:orient="portrait"/>
          <w:pgMar w:top="1440" w:right="1757" w:bottom="1440" w:left="1746" w:header="851" w:footer="992" w:gutter="0"/>
          <w:pgBorders/>
          <w:pgNumType w:fmt="decimal" w:start="1"/>
          <w:cols w:num="1" w:space="720">
            <w:col w:w="8403" w:space="720"/>
          </w:cols>
          <w:docGrid w:type="lines" w:linePitch="312" w:charSpace="0"/>
        </w:sectPr>
      </w:pPr>
    </w:p>
    <w:p>
      <w:pPr>
        <w:pStyle w:val="Heading2"/>
        <w:bidi w:val="0"/>
        <w:jc w:val="both"/>
        <w:outlineLvl w:val="0"/>
        <w:rPr>
          <w:rFonts w:ascii="Times New Roman" w:eastAsia="仿宋_GB2312" w:hAnsi="Times New Roman" w:cs="Times New Roman" w:hint="default"/>
          <w:b/>
          <w:bCs w:val="0"/>
          <w:color w:val="auto"/>
          <w:highlight w:val="none"/>
        </w:rPr>
      </w:pPr>
      <w:bookmarkStart w:id="148" w:name="_Toc561"/>
      <w:r>
        <w:rPr>
          <w:rFonts w:ascii="Times New Roman" w:eastAsia="仿宋_GB2312" w:hAnsi="Times New Roman" w:cs="Times New Roman" w:hint="default"/>
          <w:b/>
          <w:bCs w:val="0"/>
          <w:iCs/>
          <w:color w:val="auto"/>
          <w:highlight w:val="none"/>
        </w:rPr>
        <w:t xml:space="preserve">附件1：</w:t>
      </w:r>
      <w:bookmarkEnd w:id="146"/>
      <w:bookmarkEnd w:id="147"/>
      <w:r>
        <w:rPr>
          <w:rFonts w:ascii="Times New Roman" w:eastAsia="仿宋_GB2312" w:hAnsi="Times New Roman" w:cs="Times New Roman" w:hint="default"/>
          <w:b/>
          <w:bCs w:val="0"/>
          <w:color w:val="auto"/>
          <w:highlight w:val="none"/>
        </w:rPr>
        <w:t xml:space="preserve">项目支出绩效自评表</w:t>
      </w:r>
      <w:bookmarkEnd w:id="148"/>
    </w:p>
    <w:p>
      <w:pPr>
        <w:ind w:left="0" w:firstLine="0" w:leftChars="0" w:firstLineChars="0"/>
        <w:jc w:val="both"/>
        <w:rPr>
          <w:rFonts w:ascii="Times New Roman" w:eastAsia="仿宋_GB2312" w:hAnsi="Times New Roman" w:cs="Times New Roman" w:hint="default"/>
          <w:color w:val="auto"/>
          <w:sz w:val="18"/>
          <w:szCs w:val="18"/>
          <w:highlight w:val="none"/>
        </w:rPr>
      </w:pPr>
    </w:p>
    <w:tbl>
      <w:tblPr>
        <w:tblStyle w:val="NormalTable"/>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firstRow="0" w:lastRow="0" w:firstColumn="0" w:lastColumn="0" w:noHBand="1" w:noVBand="1"/>
      </w:tblPr>
      <w:tblGrid>
        <w:gridCol w:w="728"/>
        <w:gridCol w:w="803"/>
        <w:gridCol w:w="947"/>
        <w:gridCol w:w="1515"/>
        <w:gridCol w:w="1286"/>
        <w:gridCol w:w="857"/>
        <w:gridCol w:w="857"/>
        <w:gridCol w:w="857"/>
        <w:gridCol w:w="1097"/>
        <w:gridCol w:w="960"/>
        <w:gridCol w:w="1090"/>
        <w:gridCol w:w="1240"/>
        <w:gridCol w:w="989"/>
        <w:gridCol w:w="948"/>
      </w:tblGrid>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20"/>
        </w:trPr>
        <w:tc>
          <w:tcPr>
            <w:tcW w:w="14174" w:type="dxa"/>
            <w:gridSpan w:val="14"/>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Times New Roman" w:eastAsia="仿宋_GB2312" w:hAnsi="Times New Roman" w:cs="方正仿宋_GBK" w:hint="eastAsia"/>
                <w:color w:val="auto"/>
                <w:sz w:val="21"/>
                <w:szCs w:val="21"/>
                <w:highlight w:val="none"/>
              </w:rPr>
            </w:pPr>
            <w:bookmarkStart w:id="149" w:name="_Toc28099"/>
            <w:bookmarkStart w:id="150" w:name="_Toc1641"/>
            <w:bookmarkStart w:id="151" w:name="_Toc22143"/>
            <w:bookmarkStart w:id="152" w:name="_Toc5134"/>
            <w:r>
              <w:rPr>
                <w:rFonts w:ascii="Times New Roman" w:eastAsia="仿宋_GB2312" w:hAnsi="Times New Roman" w:cs="方正仿宋_GBK" w:hint="eastAsia"/>
                <w:b/>
                <w:i w:val="0"/>
                <w:color w:val="auto"/>
                <w:kern w:val="0"/>
                <w:sz w:val="32"/>
                <w:szCs w:val="32"/>
                <w:highlight w:val="none"/>
                <w:u w:val="none"/>
                <w:lang w:val="en-US" w:eastAsia="zh-CN"/>
              </w:rPr>
              <w:t xml:space="preserve">项目支出绩效自评表</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98"/>
        </w:trPr>
        <w:tc>
          <w:tcPr>
            <w:tcW w:w="14174" w:type="dxa"/>
            <w:gridSpan w:val="14"/>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b/>
                <w:i w:val="0"/>
                <w:color w:val="auto"/>
                <w:kern w:val="0"/>
                <w:sz w:val="21"/>
                <w:szCs w:val="21"/>
                <w:highlight w:val="none"/>
                <w:u w:val="none"/>
                <w:lang w:val="en-US" w:eastAsia="zh-CN"/>
              </w:rPr>
              <w:t xml:space="preserve">(2024年度)</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270"/>
        </w:trPr>
        <w:tc>
          <w:tcPr>
            <w:tcW w:w="1531" w:type="dxa"/>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项目名称</w:t>
            </w:r>
          </w:p>
        </w:tc>
        <w:tc>
          <w:tcPr>
            <w:tcW w:w="12643" w:type="dxa"/>
            <w:gridSpan w:val="12"/>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2024年政府办驻村工作队为民办实事经费</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314"/>
        </w:trPr>
        <w:tc>
          <w:tcPr>
            <w:tcW w:w="1531" w:type="dxa"/>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主管部门</w:t>
            </w:r>
          </w:p>
        </w:tc>
        <w:tc>
          <w:tcPr>
            <w:tcW w:w="5462" w:type="dxa"/>
            <w:gridSpan w:val="5"/>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尉犁县人民政府办公室</w:t>
            </w:r>
          </w:p>
        </w:tc>
        <w:tc>
          <w:tcPr>
            <w:tcW w:w="1954" w:type="dxa"/>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实施单位</w:t>
            </w:r>
          </w:p>
        </w:tc>
        <w:tc>
          <w:tcPr>
            <w:tcW w:w="5227" w:type="dxa"/>
            <w:gridSpan w:val="5"/>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lang w:eastAsia="zh-CN"/>
              </w:rPr>
            </w:pPr>
            <w:r>
              <w:rPr>
                <w:rFonts w:ascii="Times New Roman" w:eastAsia="仿宋_GB2312" w:hAnsi="Times New Roman" w:cs="方正仿宋_GBK" w:hint="eastAsia"/>
                <w:i w:val="0"/>
                <w:color w:val="auto"/>
                <w:kern w:val="0"/>
                <w:sz w:val="21"/>
                <w:szCs w:val="21"/>
                <w:highlight w:val="none"/>
                <w:u w:val="none"/>
                <w:lang w:val="en-US" w:eastAsia="zh-CN"/>
              </w:rPr>
              <w:t xml:space="preserve">尉犁县人民政府办公室</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62"/>
        </w:trPr>
        <w:tc>
          <w:tcPr>
            <w:tcW w:w="1531" w:type="dxa"/>
            <w:gridSpan w:val="2"/>
            <w:vMerge w:val="restar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项目资金</w:t>
            </w:r>
            <w:r>
              <w:rPr>
                <w:rFonts w:ascii="Times New Roman" w:eastAsia="仿宋_GB2312" w:hAnsi="Times New Roman" w:cs="方正仿宋_GBK" w:hint="eastAsia"/>
                <w:i w:val="0"/>
                <w:color w:val="auto"/>
                <w:kern w:val="0"/>
                <w:sz w:val="21"/>
                <w:szCs w:val="21"/>
                <w:highlight w:val="none"/>
                <w:u w:val="none"/>
                <w:lang w:val="en-US" w:eastAsia="zh-CN"/>
              </w:rPr>
              <w:br/>
            </w:r>
            <w:r>
              <w:rPr>
                <w:rFonts w:ascii="Times New Roman" w:eastAsia="仿宋_GB2312" w:hAnsi="Times New Roman" w:cs="方正仿宋_GBK" w:hint="eastAsia"/>
                <w:i w:val="0"/>
                <w:color w:val="auto"/>
                <w:kern w:val="0"/>
                <w:sz w:val="21"/>
                <w:szCs w:val="21"/>
                <w:highlight w:val="none"/>
                <w:u w:val="none"/>
                <w:lang w:val="en-US" w:eastAsia="zh-CN"/>
              </w:rPr>
              <w:t xml:space="preserve">（万元）</w:t>
            </w:r>
          </w:p>
        </w:tc>
        <w:tc>
          <w:tcPr>
            <w:tcW w:w="2462" w:type="dxa"/>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资金来源</w:t>
            </w:r>
          </w:p>
        </w:tc>
        <w:tc>
          <w:tcPr>
            <w:tcW w:w="1286"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年初预算数</w:t>
            </w:r>
          </w:p>
        </w:tc>
        <w:tc>
          <w:tcPr>
            <w:tcW w:w="1714" w:type="dxa"/>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全年预算数</w:t>
            </w:r>
          </w:p>
        </w:tc>
        <w:tc>
          <w:tcPr>
            <w:tcW w:w="1954" w:type="dxa"/>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全年执行数</w:t>
            </w:r>
          </w:p>
        </w:tc>
        <w:tc>
          <w:tcPr>
            <w:tcW w:w="2050" w:type="dxa"/>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分值权重</w:t>
            </w:r>
          </w:p>
        </w:tc>
        <w:tc>
          <w:tcPr>
            <w:tcW w:w="2229" w:type="dxa"/>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执行率</w:t>
            </w:r>
          </w:p>
        </w:tc>
        <w:tc>
          <w:tcPr>
            <w:tcW w:w="948"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得分</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830"/>
        </w:trPr>
        <w:tc>
          <w:tcPr>
            <w:tcW w:w="1531" w:type="dxa"/>
            <w:gridSpan w:val="2"/>
            <w:vMerge/>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rPr>
                <w:rFonts w:ascii="Times New Roman" w:eastAsia="仿宋_GB2312" w:hAnsi="Times New Roman" w:cs="方正仿宋_GBK" w:hint="eastAsia"/>
                <w:color w:val="auto"/>
                <w:sz w:val="21"/>
                <w:szCs w:val="21"/>
                <w:highlight w:val="none"/>
              </w:rPr>
            </w:pPr>
          </w:p>
        </w:tc>
        <w:tc>
          <w:tcPr>
            <w:tcW w:w="2462" w:type="dxa"/>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lang w:val="en-US" w:eastAsia="zh-CN"/>
              </w:rPr>
            </w:pPr>
            <w:r>
              <w:rPr>
                <w:rFonts w:ascii="Times New Roman" w:eastAsia="仿宋_GB2312" w:hAnsi="Times New Roman" w:cs="方正仿宋_GBK" w:hint="eastAsia"/>
                <w:i w:val="0"/>
                <w:color w:val="auto"/>
                <w:kern w:val="0"/>
                <w:sz w:val="21"/>
                <w:szCs w:val="21"/>
                <w:highlight w:val="none"/>
                <w:u w:val="none"/>
                <w:lang w:val="en-US" w:eastAsia="zh-CN"/>
              </w:rPr>
              <w:t xml:space="preserve">年度资金总额</w:t>
            </w:r>
          </w:p>
        </w:tc>
        <w:tc>
          <w:tcPr>
            <w:tcW w:w="1286"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lang w:val="en-US" w:eastAsia="zh-CN"/>
              </w:rPr>
            </w:pPr>
            <w:r>
              <w:rPr>
                <w:rFonts w:ascii="Times New Roman" w:eastAsia="仿宋_GB2312" w:hAnsi="Times New Roman" w:cs="方正仿宋_GBK" w:hint="eastAsia"/>
                <w:i w:val="0"/>
                <w:color w:val="auto"/>
                <w:kern w:val="0"/>
                <w:sz w:val="21"/>
                <w:szCs w:val="21"/>
                <w:highlight w:val="none"/>
                <w:u w:val="none"/>
                <w:lang w:val="en-US" w:eastAsia="zh-CN"/>
              </w:rPr>
              <w:t xml:space="preserve">15.00</w:t>
            </w:r>
          </w:p>
        </w:tc>
        <w:tc>
          <w:tcPr>
            <w:tcW w:w="1714" w:type="dxa"/>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lang w:val="en-US" w:eastAsia="zh-CN"/>
              </w:rPr>
            </w:pPr>
            <w:r>
              <w:rPr>
                <w:rFonts w:ascii="Times New Roman" w:eastAsia="仿宋_GB2312" w:hAnsi="Times New Roman" w:cs="方正仿宋_GBK" w:hint="eastAsia"/>
                <w:i w:val="0"/>
                <w:color w:val="auto"/>
                <w:kern w:val="0"/>
                <w:sz w:val="21"/>
                <w:szCs w:val="21"/>
                <w:highlight w:val="none"/>
                <w:u w:val="none"/>
                <w:lang w:val="en-US" w:eastAsia="zh-CN"/>
              </w:rPr>
              <w:t xml:space="preserve">15.00</w:t>
            </w:r>
          </w:p>
        </w:tc>
        <w:tc>
          <w:tcPr>
            <w:tcW w:w="1954" w:type="dxa"/>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14.32</w:t>
            </w:r>
          </w:p>
        </w:tc>
        <w:tc>
          <w:tcPr>
            <w:tcW w:w="2050" w:type="dxa"/>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10</w:t>
            </w:r>
          </w:p>
        </w:tc>
        <w:tc>
          <w:tcPr>
            <w:tcW w:w="2229" w:type="dxa"/>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95.47%</w:t>
            </w:r>
          </w:p>
        </w:tc>
        <w:tc>
          <w:tcPr>
            <w:tcW w:w="948"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hAnsi="Times New Roman" w:cs="方正仿宋_GBK" w:hint="eastAsia"/>
                <w:i w:val="0"/>
                <w:color w:val="auto"/>
                <w:kern w:val="0"/>
                <w:sz w:val="21"/>
                <w:szCs w:val="21"/>
                <w:highlight w:val="none"/>
                <w:u w:val="none"/>
                <w:lang w:val="en-US" w:eastAsia="zh-CN"/>
              </w:rPr>
              <w:t xml:space="preserve">8.87</w:t>
            </w:r>
            <w:r>
              <w:rPr>
                <w:rFonts w:ascii="Times New Roman" w:eastAsia="仿宋_GB2312" w:hAnsi="Times New Roman" w:cs="方正仿宋_GBK" w:hint="eastAsia"/>
                <w:i w:val="0"/>
                <w:color w:val="auto"/>
                <w:kern w:val="0"/>
                <w:sz w:val="21"/>
                <w:szCs w:val="21"/>
                <w:highlight w:val="none"/>
                <w:u w:val="none"/>
                <w:lang w:val="en-US" w:eastAsia="zh-CN"/>
              </w:rPr>
              <w:t xml:space="preserve">分</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22"/>
        </w:trPr>
        <w:tc>
          <w:tcPr>
            <w:tcW w:w="1531" w:type="dxa"/>
            <w:gridSpan w:val="2"/>
            <w:vMerge/>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rPr>
                <w:rFonts w:ascii="Times New Roman" w:eastAsia="仿宋_GB2312" w:hAnsi="Times New Roman" w:cs="方正仿宋_GBK" w:hint="eastAsia"/>
                <w:color w:val="auto"/>
                <w:sz w:val="21"/>
                <w:szCs w:val="21"/>
                <w:highlight w:val="none"/>
              </w:rPr>
            </w:pPr>
          </w:p>
        </w:tc>
        <w:tc>
          <w:tcPr>
            <w:tcW w:w="2462" w:type="dxa"/>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lang w:val="en-US" w:eastAsia="zh-CN"/>
              </w:rPr>
            </w:pPr>
            <w:r>
              <w:rPr>
                <w:rFonts w:ascii="Times New Roman" w:eastAsia="仿宋_GB2312" w:hAnsi="Times New Roman" w:cs="方正仿宋_GBK" w:hint="eastAsia"/>
                <w:i w:val="0"/>
                <w:color w:val="auto"/>
                <w:kern w:val="0"/>
                <w:sz w:val="21"/>
                <w:szCs w:val="21"/>
                <w:highlight w:val="none"/>
                <w:u w:val="none"/>
                <w:lang w:val="en-US" w:eastAsia="zh-CN"/>
              </w:rPr>
              <w:t xml:space="preserve">其中：当年财政拨款</w:t>
            </w:r>
          </w:p>
        </w:tc>
        <w:tc>
          <w:tcPr>
            <w:tcW w:w="1286"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lang w:val="en-US" w:eastAsia="zh-CN"/>
              </w:rPr>
            </w:pPr>
            <w:r>
              <w:rPr>
                <w:rFonts w:ascii="Times New Roman" w:eastAsia="仿宋_GB2312" w:hAnsi="Times New Roman" w:cs="方正仿宋_GBK" w:hint="eastAsia"/>
                <w:i w:val="0"/>
                <w:color w:val="auto"/>
                <w:kern w:val="0"/>
                <w:sz w:val="21"/>
                <w:szCs w:val="21"/>
                <w:highlight w:val="none"/>
                <w:u w:val="none"/>
                <w:lang w:val="en-US" w:eastAsia="zh-CN"/>
              </w:rPr>
              <w:t xml:space="preserve">15</w:t>
            </w:r>
          </w:p>
        </w:tc>
        <w:tc>
          <w:tcPr>
            <w:tcW w:w="1714" w:type="dxa"/>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lang w:val="en-US" w:eastAsia="zh-CN"/>
              </w:rPr>
            </w:pPr>
            <w:r>
              <w:rPr>
                <w:rFonts w:ascii="Times New Roman" w:eastAsia="仿宋_GB2312" w:hAnsi="Times New Roman" w:cs="方正仿宋_GBK" w:hint="eastAsia"/>
                <w:i w:val="0"/>
                <w:color w:val="auto"/>
                <w:kern w:val="0"/>
                <w:sz w:val="21"/>
                <w:szCs w:val="21"/>
                <w:highlight w:val="none"/>
                <w:u w:val="none"/>
                <w:lang w:val="en-US" w:eastAsia="zh-CN"/>
              </w:rPr>
              <w:t xml:space="preserve">15</w:t>
            </w:r>
          </w:p>
        </w:tc>
        <w:tc>
          <w:tcPr>
            <w:tcW w:w="1954" w:type="dxa"/>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14.32</w:t>
            </w:r>
          </w:p>
        </w:tc>
        <w:tc>
          <w:tcPr>
            <w:tcW w:w="2050" w:type="dxa"/>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w:t>
            </w:r>
          </w:p>
        </w:tc>
        <w:tc>
          <w:tcPr>
            <w:tcW w:w="2229" w:type="dxa"/>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w:t>
            </w:r>
          </w:p>
        </w:tc>
        <w:tc>
          <w:tcPr>
            <w:tcW w:w="948"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40"/>
        </w:trPr>
        <w:tc>
          <w:tcPr>
            <w:tcW w:w="1531" w:type="dxa"/>
            <w:gridSpan w:val="2"/>
            <w:vMerge/>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rPr>
                <w:rFonts w:ascii="Times New Roman" w:eastAsia="仿宋_GB2312" w:hAnsi="Times New Roman" w:cs="方正仿宋_GBK" w:hint="eastAsia"/>
                <w:color w:val="auto"/>
                <w:sz w:val="21"/>
                <w:szCs w:val="21"/>
                <w:highlight w:val="none"/>
              </w:rPr>
            </w:pPr>
          </w:p>
        </w:tc>
        <w:tc>
          <w:tcPr>
            <w:tcW w:w="2462" w:type="dxa"/>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lang w:val="en-US" w:eastAsia="zh-CN"/>
              </w:rPr>
            </w:pPr>
            <w:r>
              <w:rPr>
                <w:rFonts w:ascii="Times New Roman" w:eastAsia="仿宋_GB2312" w:hAnsi="Times New Roman" w:cs="方正仿宋_GBK" w:hint="eastAsia"/>
                <w:i w:val="0"/>
                <w:color w:val="auto"/>
                <w:kern w:val="0"/>
                <w:sz w:val="21"/>
                <w:szCs w:val="21"/>
                <w:highlight w:val="none"/>
                <w:u w:val="none"/>
                <w:lang w:val="en-US" w:eastAsia="zh-CN"/>
              </w:rPr>
              <w:t xml:space="preserve">其他资金</w:t>
            </w:r>
          </w:p>
        </w:tc>
        <w:tc>
          <w:tcPr>
            <w:tcW w:w="1286"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lang w:val="en-US" w:eastAsia="zh-CN"/>
              </w:rPr>
            </w:pPr>
            <w:r>
              <w:rPr>
                <w:rFonts w:ascii="Times New Roman" w:eastAsia="仿宋_GB2312" w:hAnsi="Times New Roman" w:cs="方正仿宋_GBK" w:hint="eastAsia"/>
                <w:i w:val="0"/>
                <w:color w:val="auto"/>
                <w:kern w:val="0"/>
                <w:sz w:val="21"/>
                <w:szCs w:val="21"/>
                <w:highlight w:val="none"/>
                <w:u w:val="none"/>
                <w:lang w:val="en-US" w:eastAsia="zh-CN"/>
              </w:rPr>
              <w:t xml:space="preserve">0</w:t>
            </w:r>
          </w:p>
        </w:tc>
        <w:tc>
          <w:tcPr>
            <w:tcW w:w="1714" w:type="dxa"/>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lang w:val="en-US" w:eastAsia="zh-CN"/>
              </w:rPr>
            </w:pPr>
            <w:r>
              <w:rPr>
                <w:rFonts w:ascii="Times New Roman" w:eastAsia="仿宋_GB2312" w:hAnsi="Times New Roman" w:cs="方正仿宋_GBK" w:hint="eastAsia"/>
                <w:i w:val="0"/>
                <w:color w:val="auto"/>
                <w:kern w:val="0"/>
                <w:sz w:val="21"/>
                <w:szCs w:val="21"/>
                <w:highlight w:val="none"/>
                <w:u w:val="none"/>
                <w:lang w:val="en-US" w:eastAsia="zh-CN"/>
              </w:rPr>
              <w:t xml:space="preserve">0</w:t>
            </w:r>
          </w:p>
        </w:tc>
        <w:tc>
          <w:tcPr>
            <w:tcW w:w="1954" w:type="dxa"/>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rPr>
                <w:rFonts w:ascii="Times New Roman" w:eastAsia="仿宋_GB2312" w:hAnsi="Times New Roman" w:cs="方正仿宋_GBK" w:hint="eastAsia"/>
                <w:color w:val="auto"/>
                <w:sz w:val="21"/>
                <w:szCs w:val="21"/>
                <w:highlight w:val="none"/>
              </w:rPr>
            </w:pPr>
          </w:p>
        </w:tc>
        <w:tc>
          <w:tcPr>
            <w:tcW w:w="2050" w:type="dxa"/>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w:t>
            </w:r>
          </w:p>
        </w:tc>
        <w:tc>
          <w:tcPr>
            <w:tcW w:w="2229" w:type="dxa"/>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w:t>
            </w:r>
          </w:p>
        </w:tc>
        <w:tc>
          <w:tcPr>
            <w:tcW w:w="948"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40"/>
        </w:trPr>
        <w:tc>
          <w:tcPr>
            <w:tcW w:w="728" w:type="dxa"/>
            <w:vMerge w:val="restar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年度总体目标</w:t>
            </w:r>
          </w:p>
        </w:tc>
        <w:tc>
          <w:tcPr>
            <w:tcW w:w="8219" w:type="dxa"/>
            <w:gridSpan w:val="8"/>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lang w:val="en-US" w:eastAsia="zh-CN"/>
              </w:rPr>
            </w:pPr>
            <w:r>
              <w:rPr>
                <w:rFonts w:ascii="Times New Roman" w:eastAsia="仿宋_GB2312" w:hAnsi="Times New Roman" w:cs="方正仿宋_GBK" w:hint="eastAsia"/>
                <w:i w:val="0"/>
                <w:color w:val="auto"/>
                <w:kern w:val="0"/>
                <w:sz w:val="21"/>
                <w:szCs w:val="21"/>
                <w:highlight w:val="none"/>
                <w:u w:val="none"/>
                <w:lang w:val="en-US" w:eastAsia="zh-CN"/>
              </w:rPr>
              <w:t xml:space="preserve">总体目标</w:t>
            </w:r>
          </w:p>
        </w:tc>
        <w:tc>
          <w:tcPr>
            <w:tcW w:w="5227" w:type="dxa"/>
            <w:gridSpan w:val="5"/>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总体目标完成情况</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459"/>
        </w:trPr>
        <w:tc>
          <w:tcPr>
            <w:tcW w:w="728" w:type="dxa"/>
            <w:vMerge/>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rPr>
                <w:rFonts w:ascii="Times New Roman" w:eastAsia="仿宋_GB2312" w:hAnsi="Times New Roman" w:cs="方正仿宋_GBK" w:hint="eastAsia"/>
                <w:color w:val="auto"/>
                <w:sz w:val="21"/>
                <w:szCs w:val="21"/>
                <w:highlight w:val="none"/>
              </w:rPr>
            </w:pPr>
          </w:p>
        </w:tc>
        <w:tc>
          <w:tcPr>
            <w:tcW w:w="8219" w:type="dxa"/>
            <w:gridSpan w:val="8"/>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1、为民办实事工作，普惠各族群众，更好的开展群众工作，访贫问苦，为群众送温暖，慰问困难群众50户，及时将党和政府的温暖送到各族群众的心坎上；2、为丰富村民业余文化生活，采购活动用品4批，开展各种活动；3、加强农村环境整治，粉刷墙体，整体提升村容村貌，提升村民生活居住质量。</w:t>
            </w:r>
          </w:p>
        </w:tc>
        <w:tc>
          <w:tcPr>
            <w:tcW w:w="5227" w:type="dxa"/>
            <w:gridSpan w:val="5"/>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为民办实事工作项目自开展至结束，普惠各族群众，更好的开展群众工作，访贫问苦，为群众送温暖，慰问困难群众50户，及时将党和政府的温暖送到各族群众的心坎上；加强农村环境整治，为东海子村和阿克其开村村民粉刷墙体2917平方，整体提升村容村貌，提升村民生活居住质量，为丰富村民业余文化生活，采购活动用品4批，开展了各种活动；</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924"/>
        </w:trPr>
        <w:tc>
          <w:tcPr>
            <w:tcW w:w="728"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rPr>
                <w:rFonts w:ascii="Times New Roman" w:eastAsia="仿宋_GB2312" w:hAnsi="Times New Roman" w:cs="方正仿宋_GBK" w:hint="eastAsia"/>
                <w:color w:val="auto"/>
                <w:sz w:val="21"/>
                <w:szCs w:val="21"/>
                <w:highlight w:val="none"/>
              </w:rPr>
            </w:pPr>
          </w:p>
        </w:tc>
        <w:tc>
          <w:tcPr>
            <w:tcW w:w="803"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一级指标</w:t>
            </w:r>
          </w:p>
        </w:tc>
        <w:tc>
          <w:tcPr>
            <w:tcW w:w="94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二级指标</w:t>
            </w:r>
          </w:p>
        </w:tc>
        <w:tc>
          <w:tcPr>
            <w:tcW w:w="1515"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三级指标</w:t>
            </w:r>
          </w:p>
        </w:tc>
        <w:tc>
          <w:tcPr>
            <w:tcW w:w="1286"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指标值</w:t>
            </w:r>
          </w:p>
        </w:tc>
        <w:tc>
          <w:tcPr>
            <w:tcW w:w="85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指标值设置依据</w:t>
            </w:r>
          </w:p>
        </w:tc>
        <w:tc>
          <w:tcPr>
            <w:tcW w:w="85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上年完成值</w:t>
            </w:r>
          </w:p>
        </w:tc>
        <w:tc>
          <w:tcPr>
            <w:tcW w:w="85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指标分值权重</w:t>
            </w:r>
          </w:p>
        </w:tc>
        <w:tc>
          <w:tcPr>
            <w:tcW w:w="109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lang w:eastAsia="zh-CN"/>
              </w:rPr>
            </w:pPr>
            <w:r>
              <w:rPr>
                <w:rFonts w:ascii="Times New Roman" w:eastAsia="仿宋_GB2312" w:hAnsi="Times New Roman" w:cs="方正仿宋_GBK" w:hint="eastAsia"/>
                <w:i w:val="0"/>
                <w:color w:val="auto"/>
                <w:kern w:val="0"/>
                <w:sz w:val="21"/>
                <w:szCs w:val="21"/>
                <w:highlight w:val="none"/>
                <w:u w:val="none"/>
                <w:lang w:val="en-US" w:eastAsia="zh-CN"/>
              </w:rPr>
              <w:t xml:space="preserve">指标赋分规则</w:t>
            </w:r>
          </w:p>
        </w:tc>
        <w:tc>
          <w:tcPr>
            <w:tcW w:w="960"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佐证资料</w:t>
            </w:r>
          </w:p>
        </w:tc>
        <w:tc>
          <w:tcPr>
            <w:tcW w:w="1090"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指标实际完成值</w:t>
            </w:r>
          </w:p>
        </w:tc>
        <w:tc>
          <w:tcPr>
            <w:tcW w:w="1240"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完成率</w:t>
            </w:r>
          </w:p>
        </w:tc>
        <w:tc>
          <w:tcPr>
            <w:tcW w:w="989"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指标得分</w:t>
            </w:r>
          </w:p>
        </w:tc>
        <w:tc>
          <w:tcPr>
            <w:tcW w:w="948"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偏差原因分析及改进措施</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700"/>
        </w:trPr>
        <w:tc>
          <w:tcPr>
            <w:tcW w:w="728" w:type="dxa"/>
            <w:vMerge w:val="restar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年度绩效指标完成情况</w:t>
            </w:r>
          </w:p>
        </w:tc>
        <w:tc>
          <w:tcPr>
            <w:tcW w:w="803" w:type="dxa"/>
            <w:vMerge w:val="restar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产出指标</w:t>
            </w:r>
          </w:p>
        </w:tc>
        <w:tc>
          <w:tcPr>
            <w:tcW w:w="94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数量指标</w:t>
            </w:r>
          </w:p>
        </w:tc>
        <w:tc>
          <w:tcPr>
            <w:tcW w:w="1515"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慰问群众户数</w:t>
            </w:r>
          </w:p>
        </w:tc>
        <w:tc>
          <w:tcPr>
            <w:tcW w:w="1286"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&gt;=50户</w:t>
            </w:r>
          </w:p>
        </w:tc>
        <w:tc>
          <w:tcPr>
            <w:tcW w:w="85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计划标准</w:t>
            </w:r>
          </w:p>
        </w:tc>
        <w:tc>
          <w:tcPr>
            <w:tcW w:w="85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w:t>
            </w:r>
          </w:p>
        </w:tc>
        <w:tc>
          <w:tcPr>
            <w:tcW w:w="85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5</w:t>
            </w:r>
          </w:p>
        </w:tc>
        <w:tc>
          <w:tcPr>
            <w:tcW w:w="109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bookmarkStart w:id="153" w:name="OLE_LINK2"/>
            <w:r>
              <w:rPr>
                <w:rFonts w:ascii="Times New Roman" w:eastAsia="仿宋_GB2312" w:hAnsi="Times New Roman" w:cs="方正仿宋_GBK" w:hint="eastAsia"/>
                <w:i w:val="0"/>
                <w:color w:val="auto"/>
                <w:kern w:val="0"/>
                <w:sz w:val="21"/>
                <w:szCs w:val="21"/>
                <w:highlight w:val="none"/>
                <w:u w:val="none"/>
                <w:lang w:val="en-US" w:eastAsia="zh-CN"/>
              </w:rPr>
              <w:t xml:space="preserve">按照完成比例赋分</w:t>
            </w:r>
            <w:bookmarkEnd w:id="153"/>
          </w:p>
        </w:tc>
        <w:tc>
          <w:tcPr>
            <w:tcW w:w="960"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工作资料</w:t>
            </w:r>
          </w:p>
        </w:tc>
        <w:tc>
          <w:tcPr>
            <w:tcW w:w="1090"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=50户</w:t>
            </w:r>
          </w:p>
        </w:tc>
        <w:tc>
          <w:tcPr>
            <w:tcW w:w="1240"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100%</w:t>
            </w:r>
          </w:p>
        </w:tc>
        <w:tc>
          <w:tcPr>
            <w:tcW w:w="989"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5</w:t>
            </w:r>
          </w:p>
        </w:tc>
        <w:tc>
          <w:tcPr>
            <w:tcW w:w="948"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rPr>
                <w:rFonts w:ascii="Times New Roman" w:eastAsia="仿宋_GB2312" w:hAnsi="Times New Roman" w:cs="方正仿宋_GBK" w:hint="eastAsia"/>
                <w:color w:val="auto"/>
                <w:sz w:val="21"/>
                <w:szCs w:val="21"/>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728" w:type="dxa"/>
            <w:vMerge/>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rPr>
                <w:rFonts w:ascii="Times New Roman" w:eastAsia="仿宋_GB2312" w:hAnsi="Times New Roman" w:cs="方正仿宋_GBK" w:hint="eastAsia"/>
                <w:color w:val="auto"/>
                <w:sz w:val="21"/>
                <w:szCs w:val="21"/>
                <w:highlight w:val="none"/>
              </w:rPr>
            </w:pPr>
          </w:p>
        </w:tc>
        <w:tc>
          <w:tcPr>
            <w:tcW w:w="803" w:type="dxa"/>
            <w:vMerge/>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rPr>
                <w:rFonts w:ascii="Times New Roman" w:eastAsia="仿宋_GB2312" w:hAnsi="Times New Roman" w:cs="方正仿宋_GBK" w:hint="eastAsia"/>
                <w:color w:val="auto"/>
                <w:sz w:val="21"/>
                <w:szCs w:val="21"/>
                <w:highlight w:val="none"/>
              </w:rPr>
            </w:pPr>
          </w:p>
        </w:tc>
        <w:tc>
          <w:tcPr>
            <w:tcW w:w="94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数量指标</w:t>
            </w:r>
          </w:p>
        </w:tc>
        <w:tc>
          <w:tcPr>
            <w:tcW w:w="1515"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采购活动用品批次</w:t>
            </w:r>
          </w:p>
        </w:tc>
        <w:tc>
          <w:tcPr>
            <w:tcW w:w="1286"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&gt;=4批</w:t>
            </w:r>
          </w:p>
        </w:tc>
        <w:tc>
          <w:tcPr>
            <w:tcW w:w="85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计划标准</w:t>
            </w:r>
          </w:p>
        </w:tc>
        <w:tc>
          <w:tcPr>
            <w:tcW w:w="85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w:t>
            </w:r>
          </w:p>
        </w:tc>
        <w:tc>
          <w:tcPr>
            <w:tcW w:w="85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5</w:t>
            </w:r>
          </w:p>
        </w:tc>
        <w:tc>
          <w:tcPr>
            <w:tcW w:w="109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i w:val="0"/>
                <w:color w:val="auto"/>
                <w:kern w:val="0"/>
                <w:sz w:val="21"/>
                <w:szCs w:val="21"/>
                <w:highlight w:val="none"/>
                <w:u w:val="none"/>
                <w:lang w:val="en-US" w:eastAsia="zh-CN"/>
              </w:rPr>
            </w:pPr>
            <w:r>
              <w:rPr>
                <w:rFonts w:ascii="Times New Roman" w:eastAsia="仿宋_GB2312" w:hAnsi="Times New Roman" w:cs="方正仿宋_GBK" w:hint="eastAsia"/>
                <w:i w:val="0"/>
                <w:color w:val="auto"/>
                <w:kern w:val="0"/>
                <w:sz w:val="21"/>
                <w:szCs w:val="21"/>
                <w:highlight w:val="none"/>
                <w:u w:val="none"/>
                <w:lang w:val="en-US" w:eastAsia="zh-CN"/>
              </w:rPr>
              <w:t xml:space="preserve">按照完成比例赋分</w:t>
            </w:r>
          </w:p>
        </w:tc>
        <w:tc>
          <w:tcPr>
            <w:tcW w:w="960"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工作资料</w:t>
            </w:r>
          </w:p>
        </w:tc>
        <w:tc>
          <w:tcPr>
            <w:tcW w:w="1090"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=4批</w:t>
            </w:r>
          </w:p>
        </w:tc>
        <w:tc>
          <w:tcPr>
            <w:tcW w:w="1240"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100%</w:t>
            </w:r>
          </w:p>
        </w:tc>
        <w:tc>
          <w:tcPr>
            <w:tcW w:w="989"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5</w:t>
            </w:r>
          </w:p>
        </w:tc>
        <w:tc>
          <w:tcPr>
            <w:tcW w:w="948"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rPr>
                <w:rFonts w:ascii="Times New Roman" w:eastAsia="仿宋_GB2312" w:hAnsi="Times New Roman" w:cs="方正仿宋_GBK" w:hint="eastAsia"/>
                <w:color w:val="auto"/>
                <w:sz w:val="21"/>
                <w:szCs w:val="21"/>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728" w:type="dxa"/>
            <w:vMerge/>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rPr>
                <w:rFonts w:ascii="Times New Roman" w:eastAsia="仿宋_GB2312" w:hAnsi="Times New Roman" w:cs="方正仿宋_GBK" w:hint="eastAsia"/>
                <w:color w:val="auto"/>
                <w:sz w:val="21"/>
                <w:szCs w:val="21"/>
                <w:highlight w:val="none"/>
              </w:rPr>
            </w:pPr>
          </w:p>
        </w:tc>
        <w:tc>
          <w:tcPr>
            <w:tcW w:w="803" w:type="dxa"/>
            <w:vMerge/>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rPr>
                <w:rFonts w:ascii="Times New Roman" w:eastAsia="仿宋_GB2312" w:hAnsi="Times New Roman" w:cs="方正仿宋_GBK" w:hint="eastAsia"/>
                <w:color w:val="auto"/>
                <w:sz w:val="21"/>
                <w:szCs w:val="21"/>
                <w:highlight w:val="none"/>
              </w:rPr>
            </w:pPr>
          </w:p>
        </w:tc>
        <w:tc>
          <w:tcPr>
            <w:tcW w:w="94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数量指标</w:t>
            </w:r>
          </w:p>
        </w:tc>
        <w:tc>
          <w:tcPr>
            <w:tcW w:w="1515"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粉刷墙面积</w:t>
            </w:r>
          </w:p>
        </w:tc>
        <w:tc>
          <w:tcPr>
            <w:tcW w:w="1286"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=2917平方</w:t>
            </w:r>
          </w:p>
        </w:tc>
        <w:tc>
          <w:tcPr>
            <w:tcW w:w="85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计划标准</w:t>
            </w:r>
          </w:p>
        </w:tc>
        <w:tc>
          <w:tcPr>
            <w:tcW w:w="85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w:t>
            </w:r>
          </w:p>
        </w:tc>
        <w:tc>
          <w:tcPr>
            <w:tcW w:w="85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10</w:t>
            </w:r>
          </w:p>
        </w:tc>
        <w:tc>
          <w:tcPr>
            <w:tcW w:w="109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i w:val="0"/>
                <w:color w:val="auto"/>
                <w:kern w:val="0"/>
                <w:sz w:val="21"/>
                <w:szCs w:val="21"/>
                <w:highlight w:val="none"/>
                <w:u w:val="none"/>
                <w:lang w:val="en-US" w:eastAsia="zh-CN"/>
              </w:rPr>
            </w:pPr>
            <w:r>
              <w:rPr>
                <w:rFonts w:ascii="Times New Roman" w:eastAsia="仿宋_GB2312" w:hAnsi="Times New Roman" w:cs="方正仿宋_GBK" w:hint="eastAsia"/>
                <w:i w:val="0"/>
                <w:color w:val="auto"/>
                <w:kern w:val="0"/>
                <w:sz w:val="21"/>
                <w:szCs w:val="21"/>
                <w:highlight w:val="none"/>
                <w:u w:val="none"/>
                <w:lang w:val="en-US" w:eastAsia="zh-CN"/>
              </w:rPr>
              <w:t xml:space="preserve">按照完成比例赋分</w:t>
            </w:r>
          </w:p>
        </w:tc>
        <w:tc>
          <w:tcPr>
            <w:tcW w:w="960"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工作资料</w:t>
            </w:r>
          </w:p>
        </w:tc>
        <w:tc>
          <w:tcPr>
            <w:tcW w:w="1090"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=2917平方</w:t>
            </w:r>
          </w:p>
        </w:tc>
        <w:tc>
          <w:tcPr>
            <w:tcW w:w="1240"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100%</w:t>
            </w:r>
          </w:p>
        </w:tc>
        <w:tc>
          <w:tcPr>
            <w:tcW w:w="989"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10</w:t>
            </w:r>
          </w:p>
        </w:tc>
        <w:tc>
          <w:tcPr>
            <w:tcW w:w="948"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rPr>
                <w:rFonts w:ascii="Times New Roman" w:eastAsia="仿宋_GB2312" w:hAnsi="Times New Roman" w:cs="方正仿宋_GBK" w:hint="eastAsia"/>
                <w:color w:val="auto"/>
                <w:sz w:val="21"/>
                <w:szCs w:val="21"/>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728" w:type="dxa"/>
            <w:vMerge/>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rPr>
                <w:rFonts w:ascii="Times New Roman" w:eastAsia="仿宋_GB2312" w:hAnsi="Times New Roman" w:cs="方正仿宋_GBK" w:hint="eastAsia"/>
                <w:color w:val="auto"/>
                <w:sz w:val="21"/>
                <w:szCs w:val="21"/>
                <w:highlight w:val="none"/>
              </w:rPr>
            </w:pPr>
          </w:p>
        </w:tc>
        <w:tc>
          <w:tcPr>
            <w:tcW w:w="803" w:type="dxa"/>
            <w:vMerge/>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rPr>
                <w:rFonts w:ascii="Times New Roman" w:eastAsia="仿宋_GB2312" w:hAnsi="Times New Roman" w:cs="方正仿宋_GBK" w:hint="eastAsia"/>
                <w:color w:val="auto"/>
                <w:sz w:val="21"/>
                <w:szCs w:val="21"/>
                <w:highlight w:val="none"/>
              </w:rPr>
            </w:pPr>
          </w:p>
        </w:tc>
        <w:tc>
          <w:tcPr>
            <w:tcW w:w="94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质量指标</w:t>
            </w:r>
          </w:p>
        </w:tc>
        <w:tc>
          <w:tcPr>
            <w:tcW w:w="1515"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采购验收合格率</w:t>
            </w:r>
          </w:p>
        </w:tc>
        <w:tc>
          <w:tcPr>
            <w:tcW w:w="1286"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=100%</w:t>
            </w:r>
          </w:p>
        </w:tc>
        <w:tc>
          <w:tcPr>
            <w:tcW w:w="85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计划标准</w:t>
            </w:r>
          </w:p>
        </w:tc>
        <w:tc>
          <w:tcPr>
            <w:tcW w:w="85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w:t>
            </w:r>
          </w:p>
        </w:tc>
        <w:tc>
          <w:tcPr>
            <w:tcW w:w="85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10</w:t>
            </w:r>
          </w:p>
        </w:tc>
        <w:tc>
          <w:tcPr>
            <w:tcW w:w="109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i w:val="0"/>
                <w:color w:val="auto"/>
                <w:kern w:val="0"/>
                <w:sz w:val="21"/>
                <w:szCs w:val="21"/>
                <w:highlight w:val="none"/>
                <w:u w:val="none"/>
                <w:lang w:val="en-US" w:eastAsia="zh-CN"/>
              </w:rPr>
            </w:pPr>
            <w:r>
              <w:rPr>
                <w:rFonts w:ascii="Times New Roman" w:eastAsia="仿宋_GB2312" w:hAnsi="Times New Roman" w:cs="方正仿宋_GBK" w:hint="eastAsia"/>
                <w:i w:val="0"/>
                <w:color w:val="auto"/>
                <w:kern w:val="0"/>
                <w:sz w:val="21"/>
                <w:szCs w:val="21"/>
                <w:highlight w:val="none"/>
                <w:u w:val="none"/>
                <w:lang w:val="en-US" w:eastAsia="zh-CN"/>
              </w:rPr>
              <w:t xml:space="preserve">按照完成比例赋分</w:t>
            </w:r>
          </w:p>
        </w:tc>
        <w:tc>
          <w:tcPr>
            <w:tcW w:w="960"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工作资料</w:t>
            </w:r>
          </w:p>
        </w:tc>
        <w:tc>
          <w:tcPr>
            <w:tcW w:w="1090"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=100%</w:t>
            </w:r>
          </w:p>
        </w:tc>
        <w:tc>
          <w:tcPr>
            <w:tcW w:w="1240"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100%</w:t>
            </w:r>
          </w:p>
        </w:tc>
        <w:tc>
          <w:tcPr>
            <w:tcW w:w="989"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10</w:t>
            </w:r>
          </w:p>
        </w:tc>
        <w:tc>
          <w:tcPr>
            <w:tcW w:w="948"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rPr>
                <w:rFonts w:ascii="Times New Roman" w:eastAsia="仿宋_GB2312" w:hAnsi="Times New Roman" w:cs="方正仿宋_GBK" w:hint="eastAsia"/>
                <w:color w:val="auto"/>
                <w:sz w:val="21"/>
                <w:szCs w:val="21"/>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728" w:type="dxa"/>
            <w:vMerge/>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rPr>
                <w:rFonts w:ascii="Times New Roman" w:eastAsia="仿宋_GB2312" w:hAnsi="Times New Roman" w:cs="方正仿宋_GBK" w:hint="eastAsia"/>
                <w:color w:val="auto"/>
                <w:sz w:val="21"/>
                <w:szCs w:val="21"/>
                <w:highlight w:val="none"/>
              </w:rPr>
            </w:pPr>
          </w:p>
        </w:tc>
        <w:tc>
          <w:tcPr>
            <w:tcW w:w="803" w:type="dxa"/>
            <w:vMerge/>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rPr>
                <w:rFonts w:ascii="Times New Roman" w:eastAsia="仿宋_GB2312" w:hAnsi="Times New Roman" w:cs="方正仿宋_GBK" w:hint="eastAsia"/>
                <w:color w:val="auto"/>
                <w:sz w:val="21"/>
                <w:szCs w:val="21"/>
                <w:highlight w:val="none"/>
              </w:rPr>
            </w:pPr>
          </w:p>
        </w:tc>
        <w:tc>
          <w:tcPr>
            <w:tcW w:w="94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时效指标</w:t>
            </w:r>
          </w:p>
        </w:tc>
        <w:tc>
          <w:tcPr>
            <w:tcW w:w="1515"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活动用品采购及时率</w:t>
            </w:r>
          </w:p>
        </w:tc>
        <w:tc>
          <w:tcPr>
            <w:tcW w:w="1286"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=100%</w:t>
            </w:r>
          </w:p>
        </w:tc>
        <w:tc>
          <w:tcPr>
            <w:tcW w:w="85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计划标准</w:t>
            </w:r>
          </w:p>
        </w:tc>
        <w:tc>
          <w:tcPr>
            <w:tcW w:w="85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w:t>
            </w:r>
          </w:p>
        </w:tc>
        <w:tc>
          <w:tcPr>
            <w:tcW w:w="85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10</w:t>
            </w:r>
          </w:p>
        </w:tc>
        <w:tc>
          <w:tcPr>
            <w:tcW w:w="109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i w:val="0"/>
                <w:color w:val="auto"/>
                <w:kern w:val="0"/>
                <w:sz w:val="21"/>
                <w:szCs w:val="21"/>
                <w:highlight w:val="none"/>
                <w:u w:val="none"/>
                <w:lang w:val="en-US" w:eastAsia="zh-CN"/>
              </w:rPr>
            </w:pPr>
            <w:r>
              <w:rPr>
                <w:rFonts w:ascii="Times New Roman" w:eastAsia="仿宋_GB2312" w:hAnsi="Times New Roman" w:cs="方正仿宋_GBK" w:hint="eastAsia"/>
                <w:i w:val="0"/>
                <w:color w:val="auto"/>
                <w:kern w:val="0"/>
                <w:sz w:val="21"/>
                <w:szCs w:val="21"/>
                <w:highlight w:val="none"/>
                <w:u w:val="none"/>
                <w:lang w:val="en-US" w:eastAsia="zh-CN"/>
              </w:rPr>
              <w:t xml:space="preserve">按照完成比例赋分</w:t>
            </w:r>
          </w:p>
        </w:tc>
        <w:tc>
          <w:tcPr>
            <w:tcW w:w="960"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工作资料</w:t>
            </w:r>
          </w:p>
        </w:tc>
        <w:tc>
          <w:tcPr>
            <w:tcW w:w="1090"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=100%</w:t>
            </w:r>
          </w:p>
        </w:tc>
        <w:tc>
          <w:tcPr>
            <w:tcW w:w="1240"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100%</w:t>
            </w:r>
          </w:p>
        </w:tc>
        <w:tc>
          <w:tcPr>
            <w:tcW w:w="989"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10</w:t>
            </w:r>
          </w:p>
        </w:tc>
        <w:tc>
          <w:tcPr>
            <w:tcW w:w="948"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rPr>
                <w:rFonts w:ascii="Times New Roman" w:eastAsia="仿宋_GB2312" w:hAnsi="Times New Roman" w:cs="方正仿宋_GBK" w:hint="eastAsia"/>
                <w:color w:val="auto"/>
                <w:sz w:val="21"/>
                <w:szCs w:val="21"/>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728" w:type="dxa"/>
            <w:vMerge/>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rPr>
                <w:rFonts w:ascii="Times New Roman" w:eastAsia="仿宋_GB2312" w:hAnsi="Times New Roman" w:cs="方正仿宋_GBK" w:hint="eastAsia"/>
                <w:color w:val="auto"/>
                <w:sz w:val="21"/>
                <w:szCs w:val="21"/>
                <w:highlight w:val="none"/>
              </w:rPr>
            </w:pPr>
          </w:p>
        </w:tc>
        <w:tc>
          <w:tcPr>
            <w:tcW w:w="803" w:type="dxa"/>
            <w:vMerge w:val="restar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成本指标</w:t>
            </w:r>
          </w:p>
        </w:tc>
        <w:tc>
          <w:tcPr>
            <w:tcW w:w="94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经济成本指标</w:t>
            </w:r>
          </w:p>
        </w:tc>
        <w:tc>
          <w:tcPr>
            <w:tcW w:w="1515"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慰问群众费用</w:t>
            </w:r>
          </w:p>
        </w:tc>
        <w:tc>
          <w:tcPr>
            <w:tcW w:w="1286"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&lt;=3.75万元</w:t>
            </w:r>
          </w:p>
        </w:tc>
        <w:tc>
          <w:tcPr>
            <w:tcW w:w="85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计划标准</w:t>
            </w:r>
          </w:p>
        </w:tc>
        <w:tc>
          <w:tcPr>
            <w:tcW w:w="85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w:t>
            </w:r>
          </w:p>
        </w:tc>
        <w:tc>
          <w:tcPr>
            <w:tcW w:w="85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5</w:t>
            </w:r>
          </w:p>
        </w:tc>
        <w:tc>
          <w:tcPr>
            <w:tcW w:w="109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i w:val="0"/>
                <w:color w:val="auto"/>
                <w:kern w:val="0"/>
                <w:sz w:val="21"/>
                <w:szCs w:val="21"/>
                <w:highlight w:val="none"/>
                <w:u w:val="none"/>
                <w:lang w:val="en-US" w:eastAsia="zh-CN"/>
              </w:rPr>
            </w:pPr>
            <w:r>
              <w:rPr>
                <w:rFonts w:ascii="Times New Roman" w:eastAsia="仿宋_GB2312" w:hAnsi="Times New Roman" w:cs="方正仿宋_GBK" w:hint="eastAsia"/>
                <w:i w:val="0"/>
                <w:color w:val="auto"/>
                <w:kern w:val="0"/>
                <w:sz w:val="21"/>
                <w:szCs w:val="21"/>
                <w:highlight w:val="none"/>
                <w:u w:val="none"/>
                <w:lang w:val="en-US" w:eastAsia="zh-CN"/>
              </w:rPr>
              <w:t xml:space="preserve">按照完成比例赋分</w:t>
            </w:r>
          </w:p>
        </w:tc>
        <w:tc>
          <w:tcPr>
            <w:tcW w:w="960"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原始凭证</w:t>
            </w:r>
          </w:p>
        </w:tc>
        <w:tc>
          <w:tcPr>
            <w:tcW w:w="1090"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=3.59万元</w:t>
            </w:r>
          </w:p>
        </w:tc>
        <w:tc>
          <w:tcPr>
            <w:tcW w:w="1240"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95.73%</w:t>
            </w:r>
          </w:p>
        </w:tc>
        <w:tc>
          <w:tcPr>
            <w:tcW w:w="989"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4.47</w:t>
            </w:r>
          </w:p>
        </w:tc>
        <w:tc>
          <w:tcPr>
            <w:tcW w:w="948"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采购优惠率造成资金结余</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728" w:type="dxa"/>
            <w:vMerge/>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rPr>
                <w:rFonts w:ascii="Times New Roman" w:eastAsia="仿宋_GB2312" w:hAnsi="Times New Roman" w:cs="方正仿宋_GBK" w:hint="eastAsia"/>
                <w:color w:val="auto"/>
                <w:sz w:val="21"/>
                <w:szCs w:val="21"/>
                <w:highlight w:val="none"/>
              </w:rPr>
            </w:pPr>
          </w:p>
        </w:tc>
        <w:tc>
          <w:tcPr>
            <w:tcW w:w="803" w:type="dxa"/>
            <w:vMerge/>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rPr>
                <w:rFonts w:ascii="Times New Roman" w:eastAsia="仿宋_GB2312" w:hAnsi="Times New Roman" w:cs="方正仿宋_GBK" w:hint="eastAsia"/>
                <w:color w:val="auto"/>
                <w:sz w:val="21"/>
                <w:szCs w:val="21"/>
                <w:highlight w:val="none"/>
              </w:rPr>
            </w:pPr>
          </w:p>
        </w:tc>
        <w:tc>
          <w:tcPr>
            <w:tcW w:w="94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经济成本指标</w:t>
            </w:r>
          </w:p>
        </w:tc>
        <w:tc>
          <w:tcPr>
            <w:tcW w:w="1515"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粉刷墙面成本</w:t>
            </w:r>
          </w:p>
        </w:tc>
        <w:tc>
          <w:tcPr>
            <w:tcW w:w="1286"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&lt;=7.50万元</w:t>
            </w:r>
          </w:p>
        </w:tc>
        <w:tc>
          <w:tcPr>
            <w:tcW w:w="85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计划标准</w:t>
            </w:r>
          </w:p>
        </w:tc>
        <w:tc>
          <w:tcPr>
            <w:tcW w:w="85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w:t>
            </w:r>
          </w:p>
        </w:tc>
        <w:tc>
          <w:tcPr>
            <w:tcW w:w="85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5</w:t>
            </w:r>
          </w:p>
        </w:tc>
        <w:tc>
          <w:tcPr>
            <w:tcW w:w="109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i w:val="0"/>
                <w:color w:val="auto"/>
                <w:kern w:val="0"/>
                <w:sz w:val="21"/>
                <w:szCs w:val="21"/>
                <w:highlight w:val="none"/>
                <w:u w:val="none"/>
                <w:lang w:val="en-US" w:eastAsia="zh-CN"/>
              </w:rPr>
            </w:pPr>
            <w:r>
              <w:rPr>
                <w:rFonts w:ascii="Times New Roman" w:eastAsia="仿宋_GB2312" w:hAnsi="Times New Roman" w:cs="方正仿宋_GBK" w:hint="eastAsia"/>
                <w:i w:val="0"/>
                <w:color w:val="auto"/>
                <w:kern w:val="0"/>
                <w:sz w:val="21"/>
                <w:szCs w:val="21"/>
                <w:highlight w:val="none"/>
                <w:u w:val="none"/>
                <w:lang w:val="en-US" w:eastAsia="zh-CN"/>
              </w:rPr>
              <w:t xml:space="preserve">按照完成比例赋分</w:t>
            </w:r>
          </w:p>
        </w:tc>
        <w:tc>
          <w:tcPr>
            <w:tcW w:w="960"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原始凭证</w:t>
            </w:r>
          </w:p>
        </w:tc>
        <w:tc>
          <w:tcPr>
            <w:tcW w:w="1090"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=7.15万元</w:t>
            </w:r>
          </w:p>
        </w:tc>
        <w:tc>
          <w:tcPr>
            <w:tcW w:w="1240"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95.33%</w:t>
            </w:r>
          </w:p>
        </w:tc>
        <w:tc>
          <w:tcPr>
            <w:tcW w:w="989"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4.42</w:t>
            </w:r>
          </w:p>
        </w:tc>
        <w:tc>
          <w:tcPr>
            <w:tcW w:w="948"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采购优惠率造成资金结余</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728" w:type="dxa"/>
            <w:vMerge/>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rPr>
                <w:rFonts w:ascii="Times New Roman" w:eastAsia="仿宋_GB2312" w:hAnsi="Times New Roman" w:cs="方正仿宋_GBK" w:hint="eastAsia"/>
                <w:color w:val="auto"/>
                <w:sz w:val="21"/>
                <w:szCs w:val="21"/>
                <w:highlight w:val="none"/>
              </w:rPr>
            </w:pPr>
          </w:p>
        </w:tc>
        <w:tc>
          <w:tcPr>
            <w:tcW w:w="803" w:type="dxa"/>
            <w:vMerge/>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rPr>
                <w:rFonts w:ascii="Times New Roman" w:eastAsia="仿宋_GB2312" w:hAnsi="Times New Roman" w:cs="方正仿宋_GBK" w:hint="eastAsia"/>
                <w:color w:val="auto"/>
                <w:sz w:val="21"/>
                <w:szCs w:val="21"/>
                <w:highlight w:val="none"/>
              </w:rPr>
            </w:pPr>
          </w:p>
        </w:tc>
        <w:tc>
          <w:tcPr>
            <w:tcW w:w="94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经济成本指标</w:t>
            </w:r>
          </w:p>
        </w:tc>
        <w:tc>
          <w:tcPr>
            <w:tcW w:w="1515"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采购活动用品支出成本</w:t>
            </w:r>
          </w:p>
        </w:tc>
        <w:tc>
          <w:tcPr>
            <w:tcW w:w="1286"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&lt;=3.75万元</w:t>
            </w:r>
          </w:p>
        </w:tc>
        <w:tc>
          <w:tcPr>
            <w:tcW w:w="85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计划标准</w:t>
            </w:r>
          </w:p>
        </w:tc>
        <w:tc>
          <w:tcPr>
            <w:tcW w:w="85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w:t>
            </w:r>
          </w:p>
        </w:tc>
        <w:tc>
          <w:tcPr>
            <w:tcW w:w="85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10</w:t>
            </w:r>
          </w:p>
        </w:tc>
        <w:tc>
          <w:tcPr>
            <w:tcW w:w="109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i w:val="0"/>
                <w:color w:val="auto"/>
                <w:kern w:val="0"/>
                <w:sz w:val="21"/>
                <w:szCs w:val="21"/>
                <w:highlight w:val="none"/>
                <w:u w:val="none"/>
                <w:lang w:val="en-US" w:eastAsia="zh-CN"/>
              </w:rPr>
            </w:pPr>
            <w:r>
              <w:rPr>
                <w:rFonts w:ascii="Times New Roman" w:eastAsia="仿宋_GB2312" w:hAnsi="Times New Roman" w:cs="方正仿宋_GBK" w:hint="eastAsia"/>
                <w:i w:val="0"/>
                <w:color w:val="auto"/>
                <w:kern w:val="0"/>
                <w:sz w:val="21"/>
                <w:szCs w:val="21"/>
                <w:highlight w:val="none"/>
                <w:u w:val="none"/>
                <w:lang w:val="en-US" w:eastAsia="zh-CN"/>
              </w:rPr>
              <w:t xml:space="preserve">按照完成比例赋分</w:t>
            </w:r>
          </w:p>
        </w:tc>
        <w:tc>
          <w:tcPr>
            <w:tcW w:w="960"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原始凭证</w:t>
            </w:r>
          </w:p>
        </w:tc>
        <w:tc>
          <w:tcPr>
            <w:tcW w:w="1090"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=3.58万元</w:t>
            </w:r>
          </w:p>
        </w:tc>
        <w:tc>
          <w:tcPr>
            <w:tcW w:w="1240"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95.47%</w:t>
            </w:r>
          </w:p>
        </w:tc>
        <w:tc>
          <w:tcPr>
            <w:tcW w:w="989"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8.87</w:t>
            </w:r>
          </w:p>
        </w:tc>
        <w:tc>
          <w:tcPr>
            <w:tcW w:w="948"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采购优惠率造成资金结余</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728" w:type="dxa"/>
            <w:vMerge/>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rPr>
                <w:rFonts w:ascii="Times New Roman" w:eastAsia="仿宋_GB2312" w:hAnsi="Times New Roman" w:cs="方正仿宋_GBK" w:hint="eastAsia"/>
                <w:color w:val="auto"/>
                <w:sz w:val="21"/>
                <w:szCs w:val="21"/>
                <w:highlight w:val="none"/>
              </w:rPr>
            </w:pPr>
          </w:p>
        </w:tc>
        <w:tc>
          <w:tcPr>
            <w:tcW w:w="803"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效益指标</w:t>
            </w:r>
          </w:p>
        </w:tc>
        <w:tc>
          <w:tcPr>
            <w:tcW w:w="94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社会效益指标</w:t>
            </w:r>
          </w:p>
        </w:tc>
        <w:tc>
          <w:tcPr>
            <w:tcW w:w="1515"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提升农村居住环境</w:t>
            </w:r>
          </w:p>
        </w:tc>
        <w:tc>
          <w:tcPr>
            <w:tcW w:w="1286"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有效提升</w:t>
            </w:r>
          </w:p>
        </w:tc>
        <w:tc>
          <w:tcPr>
            <w:tcW w:w="85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计划标准</w:t>
            </w:r>
          </w:p>
        </w:tc>
        <w:tc>
          <w:tcPr>
            <w:tcW w:w="85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w:t>
            </w:r>
          </w:p>
        </w:tc>
        <w:tc>
          <w:tcPr>
            <w:tcW w:w="85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30</w:t>
            </w:r>
          </w:p>
        </w:tc>
        <w:tc>
          <w:tcPr>
            <w:tcW w:w="109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按评判等级赋分</w:t>
            </w:r>
          </w:p>
        </w:tc>
        <w:tc>
          <w:tcPr>
            <w:tcW w:w="960"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工作资料</w:t>
            </w:r>
          </w:p>
        </w:tc>
        <w:tc>
          <w:tcPr>
            <w:tcW w:w="1090"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达成目标</w:t>
            </w:r>
          </w:p>
        </w:tc>
        <w:tc>
          <w:tcPr>
            <w:tcW w:w="1240"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100%</w:t>
            </w:r>
          </w:p>
        </w:tc>
        <w:tc>
          <w:tcPr>
            <w:tcW w:w="989"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30</w:t>
            </w:r>
          </w:p>
        </w:tc>
        <w:tc>
          <w:tcPr>
            <w:tcW w:w="948"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rPr>
                <w:rFonts w:ascii="Times New Roman" w:eastAsia="仿宋_GB2312" w:hAnsi="Times New Roman" w:cs="方正仿宋_GBK" w:hint="eastAsia"/>
                <w:color w:val="auto"/>
                <w:sz w:val="21"/>
                <w:szCs w:val="21"/>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500"/>
        </w:trPr>
        <w:tc>
          <w:tcPr>
            <w:tcW w:w="3993" w:type="dxa"/>
            <w:gridSpan w:val="4"/>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总分</w:t>
            </w:r>
          </w:p>
        </w:tc>
        <w:tc>
          <w:tcPr>
            <w:tcW w:w="1286"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rPr>
                <w:rFonts w:ascii="Times New Roman" w:eastAsia="仿宋_GB2312" w:hAnsi="Times New Roman" w:cs="方正仿宋_GBK" w:hint="eastAsia"/>
                <w:color w:val="auto"/>
                <w:sz w:val="21"/>
                <w:szCs w:val="21"/>
                <w:highlight w:val="none"/>
              </w:rPr>
            </w:pPr>
          </w:p>
        </w:tc>
        <w:tc>
          <w:tcPr>
            <w:tcW w:w="85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rPr>
                <w:rFonts w:ascii="Times New Roman" w:eastAsia="仿宋_GB2312" w:hAnsi="Times New Roman" w:cs="方正仿宋_GBK" w:hint="eastAsia"/>
                <w:color w:val="auto"/>
                <w:sz w:val="21"/>
                <w:szCs w:val="21"/>
                <w:highlight w:val="none"/>
              </w:rPr>
            </w:pPr>
          </w:p>
        </w:tc>
        <w:tc>
          <w:tcPr>
            <w:tcW w:w="85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rPr>
                <w:rFonts w:ascii="Times New Roman" w:eastAsia="仿宋_GB2312" w:hAnsi="Times New Roman" w:cs="方正仿宋_GBK" w:hint="eastAsia"/>
                <w:color w:val="auto"/>
                <w:sz w:val="21"/>
                <w:szCs w:val="21"/>
                <w:highlight w:val="none"/>
              </w:rPr>
            </w:pPr>
          </w:p>
        </w:tc>
        <w:tc>
          <w:tcPr>
            <w:tcW w:w="85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rPr>
                <w:rFonts w:ascii="Times New Roman" w:eastAsia="仿宋_GB2312" w:hAnsi="Times New Roman" w:cs="方正仿宋_GBK" w:hint="eastAsia"/>
                <w:color w:val="auto"/>
                <w:sz w:val="21"/>
                <w:szCs w:val="21"/>
                <w:highlight w:val="none"/>
              </w:rPr>
            </w:pPr>
          </w:p>
        </w:tc>
        <w:tc>
          <w:tcPr>
            <w:tcW w:w="109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rPr>
                <w:rFonts w:ascii="Times New Roman" w:eastAsia="仿宋_GB2312" w:hAnsi="Times New Roman" w:cs="方正仿宋_GBK" w:hint="eastAsia"/>
                <w:color w:val="auto"/>
                <w:sz w:val="21"/>
                <w:szCs w:val="21"/>
                <w:highlight w:val="none"/>
              </w:rPr>
            </w:pPr>
          </w:p>
        </w:tc>
        <w:tc>
          <w:tcPr>
            <w:tcW w:w="960"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rPr>
                <w:rFonts w:ascii="Times New Roman" w:eastAsia="仿宋_GB2312" w:hAnsi="Times New Roman" w:cs="方正仿宋_GBK" w:hint="eastAsia"/>
                <w:color w:val="auto"/>
                <w:sz w:val="21"/>
                <w:szCs w:val="21"/>
                <w:highlight w:val="none"/>
              </w:rPr>
            </w:pPr>
          </w:p>
        </w:tc>
        <w:tc>
          <w:tcPr>
            <w:tcW w:w="1090"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rPr>
                <w:rFonts w:ascii="Times New Roman" w:eastAsia="仿宋_GB2312" w:hAnsi="Times New Roman" w:cs="方正仿宋_GBK" w:hint="eastAsia"/>
                <w:color w:val="auto"/>
                <w:sz w:val="21"/>
                <w:szCs w:val="21"/>
                <w:highlight w:val="none"/>
              </w:rPr>
            </w:pPr>
          </w:p>
        </w:tc>
        <w:tc>
          <w:tcPr>
            <w:tcW w:w="1240"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rPr>
                <w:rFonts w:ascii="Times New Roman" w:eastAsia="仿宋_GB2312" w:hAnsi="Times New Roman" w:cs="方正仿宋_GBK" w:hint="eastAsia"/>
                <w:color w:val="auto"/>
                <w:sz w:val="21"/>
                <w:szCs w:val="21"/>
                <w:highlight w:val="none"/>
              </w:rPr>
            </w:pPr>
          </w:p>
        </w:tc>
        <w:tc>
          <w:tcPr>
            <w:tcW w:w="989"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Times New Roman" w:eastAsia="仿宋_GB2312" w:hAnsi="Times New Roman" w:cs="方正仿宋_GBK" w:hint="eastAsia"/>
                <w:color w:val="auto"/>
                <w:sz w:val="21"/>
                <w:szCs w:val="21"/>
                <w:highlight w:val="none"/>
              </w:rPr>
            </w:pPr>
            <w:r>
              <w:rPr>
                <w:rFonts w:ascii="Times New Roman" w:eastAsia="仿宋_GB2312" w:hAnsi="Times New Roman" w:cs="方正仿宋_GBK" w:hint="eastAsia"/>
                <w:i w:val="0"/>
                <w:color w:val="auto"/>
                <w:kern w:val="0"/>
                <w:sz w:val="21"/>
                <w:szCs w:val="21"/>
                <w:highlight w:val="none"/>
                <w:u w:val="none"/>
                <w:lang w:val="en-US" w:eastAsia="zh-CN"/>
              </w:rPr>
              <w:t xml:space="preserve">9</w:t>
            </w:r>
            <w:r>
              <w:rPr>
                <w:rFonts w:ascii="Times New Roman" w:hAnsi="Times New Roman" w:cs="方正仿宋_GBK" w:hint="eastAsia"/>
                <w:i w:val="0"/>
                <w:color w:val="auto"/>
                <w:kern w:val="0"/>
                <w:sz w:val="21"/>
                <w:szCs w:val="21"/>
                <w:highlight w:val="none"/>
                <w:u w:val="none"/>
                <w:lang w:val="en-US" w:eastAsia="zh-CN"/>
              </w:rPr>
              <w:t xml:space="preserve">6.63</w:t>
            </w:r>
            <w:r>
              <w:rPr>
                <w:rFonts w:ascii="Times New Roman" w:eastAsia="仿宋_GB2312" w:hAnsi="Times New Roman" w:cs="方正仿宋_GBK" w:hint="eastAsia"/>
                <w:i w:val="0"/>
                <w:color w:val="auto"/>
                <w:kern w:val="0"/>
                <w:sz w:val="21"/>
                <w:szCs w:val="21"/>
                <w:highlight w:val="none"/>
                <w:u w:val="none"/>
                <w:lang w:val="en-US" w:eastAsia="zh-CN"/>
              </w:rPr>
              <w:t xml:space="preserve">分</w:t>
            </w:r>
          </w:p>
        </w:tc>
        <w:tc>
          <w:tcPr>
            <w:tcW w:w="948" w:type="dxa"/>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rPr>
                <w:rFonts w:ascii="Times New Roman" w:eastAsia="仿宋_GB2312" w:hAnsi="Times New Roman" w:cs="方正仿宋_GBK" w:hint="eastAsia"/>
                <w:color w:val="auto"/>
                <w:sz w:val="21"/>
                <w:szCs w:val="21"/>
                <w:highlight w:val="none"/>
              </w:rPr>
            </w:pPr>
            <w:bookmarkEnd w:id="149"/>
            <w:bookmarkEnd w:id="150"/>
            <w:bookmarkEnd w:id="151"/>
            <w:bookmarkEnd w:id="152"/>
          </w:p>
        </w:tc>
      </w:tr>
    </w:tbl>
    <w:p>
      <w:pPr>
        <w:ind w:left="0" w:firstLine="0" w:leftChars="0" w:firstLineChars="0"/>
        <w:jc w:val="both"/>
        <w:rPr>
          <w:rFonts w:ascii="Times New Roman" w:eastAsia="仿宋_GB2312" w:hAnsi="Times New Roman" w:cs="Times New Roman" w:hint="default"/>
          <w:color w:val="auto"/>
          <w:highlight w:val="none"/>
        </w:rPr>
      </w:pPr>
    </w:p>
    <w:p>
      <w:pPr>
        <w:ind w:left="0" w:firstLine="0" w:leftChars="0" w:firstLineChars="0"/>
        <w:rPr>
          <w:rFonts w:ascii="Times New Roman" w:eastAsia="仿宋_GB2312" w:hAnsi="Times New Roman" w:cs="Times New Roman" w:hint="default"/>
          <w:color w:val="auto"/>
          <w:highlight w:val="none"/>
        </w:rPr>
        <w:sectPr>
          <w:pgSz w:w="16838" w:h="11906" w:orient="landscape"/>
          <w:pgMar w:top="1800" w:right="1440" w:bottom="1800" w:left="1440" w:header="851" w:footer="992" w:gutter="0"/>
          <w:pgBorders/>
          <w:pgNumType w:fmt="decimal"/>
          <w:cols w:num="1" w:space="720">
            <w:col w:w="13958" w:space="720"/>
          </w:cols>
          <w:docGrid w:type="lines" w:linePitch="312" w:charSpace="0"/>
        </w:sectPr>
      </w:pPr>
    </w:p>
    <w:p>
      <w:pPr>
        <w:pStyle w:val="Heading3"/>
        <w:numPr>
          <w:ilvl w:val="0"/>
          <w:numId w:val="0"/>
        </w:numPr>
        <w:outlineLvl w:val="0"/>
        <w:rPr>
          <w:rFonts w:ascii="Times New Roman" w:eastAsia="仿宋_GB2312" w:hAnsi="Times New Roman" w:cs="Times New Roman" w:hint="default"/>
          <w:color w:val="auto"/>
          <w:highlight w:val="none"/>
        </w:rPr>
      </w:pPr>
      <w:bookmarkStart w:id="154" w:name="_Toc8296"/>
      <w:r>
        <w:rPr>
          <w:rFonts w:ascii="Times New Roman" w:eastAsia="仿宋_GB2312" w:hAnsi="Times New Roman" w:cs="Times New Roman" w:hint="eastAsia"/>
          <w:color w:val="auto"/>
          <w:highlight w:val="none"/>
          <w:lang w:val="en-US" w:eastAsia="zh-CN"/>
        </w:rPr>
        <w:t xml:space="preserve">附件2：</w:t>
      </w:r>
      <w:r>
        <w:rPr>
          <w:rFonts w:ascii="Times New Roman" w:eastAsia="仿宋_GB2312" w:hAnsi="Times New Roman" w:cs="Times New Roman" w:hint="default"/>
          <w:color w:val="auto"/>
          <w:highlight w:val="none"/>
        </w:rPr>
        <w:t xml:space="preserve">项目支出绩效评价指标体系及评分</w:t>
      </w:r>
      <w:bookmarkEnd w:id="154"/>
    </w:p>
    <w:tbl>
      <w:tblPr>
        <w:tblStyle w:val="NormalTable"/>
        <w:tblpPr w:leftFromText="180" w:rightFromText="180" w:vertAnchor="text" w:horzAnchor="page" w:tblpX="1823" w:tblpY="857"/>
        <w:tblOverlap w:val="neve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firstRow="0" w:lastRow="0" w:firstColumn="0" w:lastColumn="0" w:noHBand="1" w:noVBand="1"/>
      </w:tblPr>
      <w:tblGrid>
        <w:gridCol w:w="593"/>
        <w:gridCol w:w="792"/>
        <w:gridCol w:w="680"/>
        <w:gridCol w:w="1660"/>
        <w:gridCol w:w="3572"/>
        <w:gridCol w:w="532"/>
        <w:gridCol w:w="690"/>
      </w:tblGrid>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563"/>
          <w:jc w:val="center"/>
        </w:trPr>
        <w:tc>
          <w:tcPr>
            <w:tcW w:w="365" w:type="pct"/>
            <w:shd w:val="clear" w:color="auto" w:fill="FFFFFF"/>
            <w:noWrap w:val="0"/>
            <w:vAlign w:val="center"/>
          </w:tcPr>
          <w:p>
            <w:pPr>
              <w:pStyle w:val="表格内容"/>
              <w:bidi w:val="0"/>
              <w:rPr>
                <w:color w:val="auto"/>
                <w:highlight w:val="none"/>
              </w:rPr>
            </w:pPr>
            <w:r>
              <w:rPr>
                <w:color w:val="auto"/>
                <w:highlight w:val="none"/>
              </w:rPr>
              <w:t xml:space="preserve">一级指标</w:t>
            </w:r>
          </w:p>
        </w:tc>
        <w:tc>
          <w:tcPr>
            <w:tcW w:w="482" w:type="pct"/>
            <w:shd w:val="clear" w:color="auto" w:fill="FFFFFF"/>
            <w:noWrap w:val="0"/>
            <w:vAlign w:val="center"/>
          </w:tcPr>
          <w:p>
            <w:pPr>
              <w:pStyle w:val="表格内容"/>
              <w:bidi w:val="0"/>
              <w:rPr>
                <w:color w:val="auto"/>
                <w:highlight w:val="none"/>
              </w:rPr>
            </w:pPr>
            <w:r>
              <w:rPr>
                <w:color w:val="auto"/>
                <w:highlight w:val="none"/>
              </w:rPr>
              <w:t xml:space="preserve">二级指标</w:t>
            </w:r>
          </w:p>
        </w:tc>
        <w:tc>
          <w:tcPr>
            <w:tcW w:w="416" w:type="pct"/>
            <w:shd w:val="clear" w:color="auto" w:fill="FFFFFF"/>
            <w:noWrap w:val="0"/>
            <w:vAlign w:val="center"/>
          </w:tcPr>
          <w:p>
            <w:pPr>
              <w:pStyle w:val="表格内容"/>
              <w:bidi w:val="0"/>
              <w:rPr>
                <w:color w:val="auto"/>
                <w:highlight w:val="none"/>
              </w:rPr>
            </w:pPr>
            <w:r>
              <w:rPr>
                <w:color w:val="auto"/>
                <w:highlight w:val="none"/>
              </w:rPr>
              <w:t xml:space="preserve">三级指标</w:t>
            </w:r>
          </w:p>
        </w:tc>
        <w:tc>
          <w:tcPr>
            <w:tcW w:w="991" w:type="pct"/>
            <w:shd w:val="clear" w:color="auto" w:fill="FFFFFF"/>
            <w:noWrap w:val="0"/>
            <w:vAlign w:val="center"/>
          </w:tcPr>
          <w:p>
            <w:pPr>
              <w:pStyle w:val="表格内容"/>
              <w:bidi w:val="0"/>
              <w:rPr>
                <w:color w:val="auto"/>
                <w:highlight w:val="none"/>
              </w:rPr>
            </w:pPr>
            <w:r>
              <w:rPr>
                <w:color w:val="auto"/>
                <w:highlight w:val="none"/>
              </w:rPr>
              <w:t xml:space="preserve">指标解释</w:t>
            </w:r>
          </w:p>
        </w:tc>
        <w:tc>
          <w:tcPr>
            <w:tcW w:w="2111" w:type="pct"/>
            <w:shd w:val="clear" w:color="auto" w:fill="FFFFFF"/>
            <w:noWrap w:val="0"/>
            <w:vAlign w:val="center"/>
          </w:tcPr>
          <w:p>
            <w:pPr>
              <w:pStyle w:val="表格内容"/>
              <w:bidi w:val="0"/>
              <w:rPr>
                <w:color w:val="auto"/>
                <w:highlight w:val="none"/>
              </w:rPr>
            </w:pPr>
            <w:r>
              <w:rPr>
                <w:color w:val="auto"/>
                <w:highlight w:val="none"/>
              </w:rPr>
              <w:t xml:space="preserve">指标说明</w:t>
            </w:r>
          </w:p>
        </w:tc>
        <w:tc>
          <w:tcPr>
            <w:tcW w:w="316" w:type="pct"/>
            <w:shd w:val="clear" w:color="auto" w:fill="FFFFFF"/>
            <w:noWrap w:val="0"/>
            <w:vAlign w:val="center"/>
          </w:tcPr>
          <w:p>
            <w:pPr>
              <w:pStyle w:val="表格内容"/>
              <w:bidi w:val="0"/>
              <w:rPr>
                <w:color w:val="auto"/>
                <w:highlight w:val="none"/>
              </w:rPr>
            </w:pPr>
            <w:r>
              <w:rPr>
                <w:color w:val="auto"/>
                <w:highlight w:val="none"/>
              </w:rPr>
              <w:t xml:space="preserve">分值</w:t>
            </w:r>
          </w:p>
        </w:tc>
        <w:tc>
          <w:tcPr>
            <w:tcW w:w="316" w:type="pct"/>
            <w:shd w:val="clear" w:color="auto" w:fill="FFFFFF"/>
            <w:noWrap w:val="0"/>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365" w:type="pct"/>
            <w:vMerge w:val="restart"/>
            <w:shd w:val="clear" w:color="auto" w:fill="FFFFFF"/>
            <w:noWrap w:val="0"/>
            <w:vAlign w:val="center"/>
          </w:tcPr>
          <w:p>
            <w:pPr>
              <w:pStyle w:val="表格内容"/>
              <w:bidi w:val="0"/>
              <w:rPr>
                <w:color w:val="auto"/>
                <w:highlight w:val="none"/>
              </w:rPr>
            </w:pPr>
            <w:r>
              <w:rPr>
                <w:color w:val="auto"/>
                <w:highlight w:val="none"/>
              </w:rPr>
              <w:t xml:space="preserve">决策</w:t>
            </w:r>
          </w:p>
        </w:tc>
        <w:tc>
          <w:tcPr>
            <w:tcW w:w="482" w:type="pct"/>
            <w:vMerge w:val="restart"/>
            <w:shd w:val="clear" w:color="auto" w:fill="FFFFFF"/>
            <w:noWrap w:val="0"/>
            <w:vAlign w:val="center"/>
          </w:tcPr>
          <w:p>
            <w:pPr>
              <w:pStyle w:val="表格内容"/>
              <w:bidi w:val="0"/>
              <w:rPr>
                <w:color w:val="auto"/>
                <w:highlight w:val="none"/>
              </w:rPr>
            </w:pPr>
            <w:r>
              <w:rPr>
                <w:color w:val="auto"/>
                <w:highlight w:val="none"/>
              </w:rPr>
              <w:t xml:space="preserve">项目</w:t>
            </w:r>
            <w:r>
              <w:rPr>
                <w:rFonts w:hint="eastAsia"/>
                <w:color w:val="auto"/>
                <w:highlight w:val="none"/>
              </w:rPr>
              <w:t xml:space="preserve">实施</w:t>
            </w:r>
          </w:p>
        </w:tc>
        <w:tc>
          <w:tcPr>
            <w:tcW w:w="416" w:type="pct"/>
            <w:vMerge w:val="restart"/>
            <w:shd w:val="clear" w:color="auto" w:fill="FFFFFF"/>
            <w:noWrap w:val="0"/>
            <w:vAlign w:val="center"/>
          </w:tcPr>
          <w:p>
            <w:pPr>
              <w:pStyle w:val="表格内容"/>
              <w:bidi w:val="0"/>
              <w:rPr>
                <w:color w:val="auto"/>
                <w:highlight w:val="none"/>
              </w:rPr>
            </w:pPr>
            <w:r>
              <w:rPr>
                <w:rFonts w:hint="eastAsia"/>
                <w:color w:val="auto"/>
                <w:highlight w:val="none"/>
              </w:rPr>
              <w:t xml:space="preserve">实施</w:t>
            </w:r>
            <w:r>
              <w:rPr>
                <w:color w:val="auto"/>
                <w:highlight w:val="none"/>
              </w:rPr>
              <w:t xml:space="preserve">依据充分性</w:t>
            </w:r>
          </w:p>
        </w:tc>
        <w:tc>
          <w:tcPr>
            <w:tcW w:w="991" w:type="pct"/>
            <w:vMerge w:val="restart"/>
            <w:shd w:val="clear" w:color="auto" w:fill="FFFFFF"/>
            <w:noWrap w:val="0"/>
            <w:vAlign w:val="center"/>
          </w:tcPr>
          <w:p>
            <w:pPr>
              <w:pStyle w:val="表格内容"/>
              <w:bidi w:val="0"/>
              <w:rPr>
                <w:color w:val="auto"/>
                <w:highlight w:val="none"/>
              </w:rPr>
            </w:pPr>
            <w:r>
              <w:rPr>
                <w:color w:val="auto"/>
                <w:highlight w:val="none"/>
              </w:rPr>
              <w:t xml:space="preserve">项目</w:t>
            </w:r>
            <w:r>
              <w:rPr>
                <w:rFonts w:hint="eastAsia"/>
                <w:color w:val="auto"/>
                <w:highlight w:val="none"/>
              </w:rPr>
              <w:t xml:space="preserve">实施</w:t>
            </w:r>
            <w:r>
              <w:rPr>
                <w:color w:val="auto"/>
                <w:highlight w:val="none"/>
              </w:rPr>
              <w:t xml:space="preserve">是否符合法律法规、相关政策、发展规划以及部门职责，用以反映和考核项目</w:t>
            </w:r>
            <w:r>
              <w:rPr>
                <w:rFonts w:hint="eastAsia"/>
                <w:color w:val="auto"/>
                <w:highlight w:val="none"/>
              </w:rPr>
              <w:t xml:space="preserve">实施</w:t>
            </w:r>
            <w:r>
              <w:rPr>
                <w:color w:val="auto"/>
                <w:highlight w:val="none"/>
              </w:rPr>
              <w:t xml:space="preserve">依据情况。</w:t>
            </w:r>
          </w:p>
        </w:tc>
        <w:tc>
          <w:tcPr>
            <w:tcW w:w="2111" w:type="pct"/>
            <w:shd w:val="clear" w:color="auto" w:fill="FFFFFF"/>
            <w:noWrap w:val="0"/>
            <w:vAlign w:val="center"/>
          </w:tcPr>
          <w:p>
            <w:pPr>
              <w:pStyle w:val="表格内容"/>
              <w:bidi w:val="0"/>
              <w:rPr>
                <w:color w:val="auto"/>
                <w:highlight w:val="none"/>
              </w:rPr>
            </w:pPr>
            <w:r>
              <w:rPr>
                <w:color w:val="auto"/>
                <w:highlight w:val="none"/>
              </w:rPr>
              <w:t xml:space="preserve">评价要点：</w:t>
            </w:r>
          </w:p>
        </w:tc>
        <w:tc>
          <w:tcPr>
            <w:tcW w:w="316" w:type="pct"/>
            <w:vMerge w:val="restart"/>
            <w:noWrap w:val="1"/>
            <w:vAlign w:val="center"/>
          </w:tcPr>
          <w:p>
            <w:pPr>
              <w:pStyle w:val="表格内容"/>
              <w:bidi w:val="0"/>
              <w:rPr>
                <w:color w:val="auto"/>
                <w:highlight w:val="none"/>
              </w:rPr>
            </w:pPr>
            <w:r>
              <w:rPr>
                <w:color w:val="auto"/>
                <w:highlight w:val="none"/>
              </w:rPr>
              <w:t xml:space="preserve">3</w:t>
            </w:r>
          </w:p>
        </w:tc>
        <w:tc>
          <w:tcPr>
            <w:tcW w:w="316" w:type="pct"/>
            <w:vMerge w:val="restart"/>
            <w:noWrap w:val="1"/>
            <w:vAlign w:val="center"/>
          </w:tcPr>
          <w:p>
            <w:pPr>
              <w:pStyle w:val="表格内容"/>
              <w:bidi w:val="0"/>
              <w:rPr>
                <w:rFonts w:eastAsia="仿宋_GB2312" w:hint="eastAsia"/>
                <w:color w:val="auto"/>
                <w:highlight w:val="none"/>
                <w:lang w:val="en-US" w:eastAsia="zh-CN"/>
              </w:rPr>
            </w:pPr>
            <w:r>
              <w:rPr>
                <w:rFonts w:hint="eastAsia"/>
                <w:color w:val="auto"/>
                <w:highlight w:val="none"/>
                <w:lang w:val="en-US" w:eastAsia="zh-CN"/>
              </w:rPr>
              <w:t xml:space="preserve">3</w:t>
            </w: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365" w:type="pct"/>
            <w:vMerge/>
            <w:shd w:val="clear" w:color="auto" w:fill="FFFFFF"/>
            <w:noWrap w:val="0"/>
            <w:vAlign w:val="center"/>
          </w:tcPr>
          <w:p>
            <w:pPr>
              <w:pStyle w:val="表格内容"/>
              <w:bidi w:val="0"/>
              <w:rPr>
                <w:color w:val="auto"/>
                <w:highlight w:val="none"/>
              </w:rPr>
            </w:pPr>
          </w:p>
        </w:tc>
        <w:tc>
          <w:tcPr>
            <w:tcW w:w="482" w:type="pct"/>
            <w:vMerge/>
            <w:shd w:val="clear" w:color="auto" w:fill="FFFFFF"/>
            <w:noWrap w:val="0"/>
            <w:vAlign w:val="center"/>
          </w:tcPr>
          <w:p>
            <w:pPr>
              <w:pStyle w:val="表格内容"/>
              <w:bidi w:val="0"/>
              <w:rPr>
                <w:color w:val="auto"/>
                <w:highlight w:val="none"/>
              </w:rPr>
            </w:pPr>
          </w:p>
        </w:tc>
        <w:tc>
          <w:tcPr>
            <w:tcW w:w="416" w:type="pct"/>
            <w:vMerge/>
            <w:shd w:val="clear" w:color="auto" w:fill="FFFFFF"/>
            <w:noWrap w:val="0"/>
            <w:vAlign w:val="center"/>
          </w:tcPr>
          <w:p>
            <w:pPr>
              <w:pStyle w:val="表格内容"/>
              <w:bidi w:val="0"/>
              <w:rPr>
                <w:color w:val="auto"/>
                <w:highlight w:val="none"/>
              </w:rPr>
            </w:pPr>
          </w:p>
        </w:tc>
        <w:tc>
          <w:tcPr>
            <w:tcW w:w="991" w:type="pct"/>
            <w:vMerge/>
            <w:shd w:val="clear" w:color="auto" w:fill="FFFFFF"/>
            <w:noWrap w:val="0"/>
            <w:vAlign w:val="center"/>
          </w:tcPr>
          <w:p>
            <w:pPr>
              <w:pStyle w:val="表格内容"/>
              <w:bidi w:val="0"/>
              <w:rPr>
                <w:color w:val="auto"/>
                <w:highlight w:val="none"/>
              </w:rPr>
            </w:pPr>
          </w:p>
        </w:tc>
        <w:tc>
          <w:tcPr>
            <w:tcW w:w="2111" w:type="pct"/>
            <w:shd w:val="clear" w:color="auto" w:fill="FFFFFF"/>
            <w:noWrap w:val="0"/>
            <w:vAlign w:val="center"/>
          </w:tcPr>
          <w:p>
            <w:pPr>
              <w:pStyle w:val="表格内容"/>
              <w:bidi w:val="0"/>
              <w:rPr>
                <w:color w:val="auto"/>
                <w:highlight w:val="none"/>
              </w:rPr>
            </w:pPr>
            <w:r>
              <w:rPr>
                <w:color w:val="auto"/>
                <w:highlight w:val="none"/>
              </w:rPr>
              <w:t xml:space="preserve">①项目</w:t>
            </w:r>
            <w:r>
              <w:rPr>
                <w:rFonts w:hint="eastAsia"/>
                <w:color w:val="auto"/>
                <w:highlight w:val="none"/>
              </w:rPr>
              <w:t xml:space="preserve">实施</w:t>
            </w:r>
            <w:r>
              <w:rPr>
                <w:color w:val="auto"/>
                <w:highlight w:val="none"/>
              </w:rPr>
              <w:t xml:space="preserve">是否符合国家法律法规、国民经济发展规划和相关政策；</w:t>
            </w:r>
          </w:p>
        </w:tc>
        <w:tc>
          <w:tcPr>
            <w:tcW w:w="316" w:type="pct"/>
            <w:vMerge/>
            <w:noWrap w:val="1"/>
            <w:vAlign w:val="center"/>
          </w:tcPr>
          <w:p>
            <w:pPr>
              <w:pStyle w:val="表格内容"/>
              <w:bidi w:val="0"/>
              <w:rPr>
                <w:color w:val="auto"/>
                <w:highlight w:val="none"/>
              </w:rPr>
            </w:pPr>
          </w:p>
        </w:tc>
        <w:tc>
          <w:tcPr>
            <w:tcW w:w="316"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365" w:type="pct"/>
            <w:vMerge/>
            <w:shd w:val="clear" w:color="auto" w:fill="FFFFFF"/>
            <w:noWrap w:val="0"/>
            <w:vAlign w:val="center"/>
          </w:tcPr>
          <w:p>
            <w:pPr>
              <w:pStyle w:val="表格内容"/>
              <w:bidi w:val="0"/>
              <w:rPr>
                <w:color w:val="auto"/>
                <w:highlight w:val="none"/>
              </w:rPr>
            </w:pPr>
          </w:p>
        </w:tc>
        <w:tc>
          <w:tcPr>
            <w:tcW w:w="482" w:type="pct"/>
            <w:vMerge/>
            <w:shd w:val="clear" w:color="auto" w:fill="FFFFFF"/>
            <w:noWrap w:val="0"/>
            <w:vAlign w:val="center"/>
          </w:tcPr>
          <w:p>
            <w:pPr>
              <w:pStyle w:val="表格内容"/>
              <w:bidi w:val="0"/>
              <w:rPr>
                <w:color w:val="auto"/>
                <w:highlight w:val="none"/>
              </w:rPr>
            </w:pPr>
          </w:p>
        </w:tc>
        <w:tc>
          <w:tcPr>
            <w:tcW w:w="416" w:type="pct"/>
            <w:vMerge/>
            <w:shd w:val="clear" w:color="auto" w:fill="FFFFFF"/>
            <w:noWrap w:val="0"/>
            <w:vAlign w:val="center"/>
          </w:tcPr>
          <w:p>
            <w:pPr>
              <w:pStyle w:val="表格内容"/>
              <w:bidi w:val="0"/>
              <w:rPr>
                <w:color w:val="auto"/>
                <w:highlight w:val="none"/>
              </w:rPr>
            </w:pPr>
          </w:p>
        </w:tc>
        <w:tc>
          <w:tcPr>
            <w:tcW w:w="991" w:type="pct"/>
            <w:vMerge/>
            <w:shd w:val="clear" w:color="auto" w:fill="FFFFFF"/>
            <w:noWrap w:val="0"/>
            <w:vAlign w:val="center"/>
          </w:tcPr>
          <w:p>
            <w:pPr>
              <w:pStyle w:val="表格内容"/>
              <w:bidi w:val="0"/>
              <w:rPr>
                <w:color w:val="auto"/>
                <w:highlight w:val="none"/>
              </w:rPr>
            </w:pPr>
          </w:p>
        </w:tc>
        <w:tc>
          <w:tcPr>
            <w:tcW w:w="2111" w:type="pct"/>
            <w:shd w:val="clear" w:color="auto" w:fill="FFFFFF"/>
            <w:noWrap w:val="0"/>
            <w:vAlign w:val="center"/>
          </w:tcPr>
          <w:p>
            <w:pPr>
              <w:pStyle w:val="表格内容"/>
              <w:bidi w:val="0"/>
              <w:rPr>
                <w:color w:val="auto"/>
                <w:highlight w:val="none"/>
              </w:rPr>
            </w:pPr>
            <w:r>
              <w:rPr>
                <w:color w:val="auto"/>
                <w:highlight w:val="none"/>
              </w:rPr>
              <w:t xml:space="preserve">②项目</w:t>
            </w:r>
            <w:r>
              <w:rPr>
                <w:rFonts w:hint="eastAsia"/>
                <w:color w:val="auto"/>
                <w:highlight w:val="none"/>
              </w:rPr>
              <w:t xml:space="preserve">实施</w:t>
            </w:r>
            <w:r>
              <w:rPr>
                <w:color w:val="auto"/>
                <w:highlight w:val="none"/>
              </w:rPr>
              <w:t xml:space="preserve">是否符合行业发展规划和政策要求；</w:t>
            </w:r>
          </w:p>
        </w:tc>
        <w:tc>
          <w:tcPr>
            <w:tcW w:w="316" w:type="pct"/>
            <w:vMerge/>
            <w:noWrap w:val="1"/>
            <w:vAlign w:val="center"/>
          </w:tcPr>
          <w:p>
            <w:pPr>
              <w:pStyle w:val="表格内容"/>
              <w:bidi w:val="0"/>
              <w:rPr>
                <w:color w:val="auto"/>
                <w:highlight w:val="none"/>
              </w:rPr>
            </w:pPr>
          </w:p>
        </w:tc>
        <w:tc>
          <w:tcPr>
            <w:tcW w:w="316"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365" w:type="pct"/>
            <w:vMerge/>
            <w:shd w:val="clear" w:color="auto" w:fill="FFFFFF"/>
            <w:noWrap w:val="0"/>
            <w:vAlign w:val="center"/>
          </w:tcPr>
          <w:p>
            <w:pPr>
              <w:pStyle w:val="表格内容"/>
              <w:bidi w:val="0"/>
              <w:rPr>
                <w:color w:val="auto"/>
                <w:highlight w:val="none"/>
              </w:rPr>
            </w:pPr>
          </w:p>
        </w:tc>
        <w:tc>
          <w:tcPr>
            <w:tcW w:w="482" w:type="pct"/>
            <w:vMerge/>
            <w:shd w:val="clear" w:color="auto" w:fill="FFFFFF"/>
            <w:noWrap w:val="0"/>
            <w:vAlign w:val="center"/>
          </w:tcPr>
          <w:p>
            <w:pPr>
              <w:pStyle w:val="表格内容"/>
              <w:bidi w:val="0"/>
              <w:rPr>
                <w:color w:val="auto"/>
                <w:highlight w:val="none"/>
              </w:rPr>
            </w:pPr>
          </w:p>
        </w:tc>
        <w:tc>
          <w:tcPr>
            <w:tcW w:w="416" w:type="pct"/>
            <w:vMerge/>
            <w:shd w:val="clear" w:color="auto" w:fill="FFFFFF"/>
            <w:noWrap w:val="0"/>
            <w:vAlign w:val="center"/>
          </w:tcPr>
          <w:p>
            <w:pPr>
              <w:pStyle w:val="表格内容"/>
              <w:bidi w:val="0"/>
              <w:rPr>
                <w:color w:val="auto"/>
                <w:highlight w:val="none"/>
              </w:rPr>
            </w:pPr>
          </w:p>
        </w:tc>
        <w:tc>
          <w:tcPr>
            <w:tcW w:w="991" w:type="pct"/>
            <w:vMerge/>
            <w:shd w:val="clear" w:color="auto" w:fill="FFFFFF"/>
            <w:noWrap w:val="0"/>
            <w:vAlign w:val="center"/>
          </w:tcPr>
          <w:p>
            <w:pPr>
              <w:pStyle w:val="表格内容"/>
              <w:bidi w:val="0"/>
              <w:rPr>
                <w:color w:val="auto"/>
                <w:highlight w:val="none"/>
              </w:rPr>
            </w:pPr>
          </w:p>
        </w:tc>
        <w:tc>
          <w:tcPr>
            <w:tcW w:w="2111" w:type="pct"/>
            <w:shd w:val="clear" w:color="auto" w:fill="FFFFFF"/>
            <w:noWrap w:val="0"/>
            <w:vAlign w:val="center"/>
          </w:tcPr>
          <w:p>
            <w:pPr>
              <w:pStyle w:val="表格内容"/>
              <w:bidi w:val="0"/>
              <w:rPr>
                <w:color w:val="auto"/>
                <w:highlight w:val="none"/>
              </w:rPr>
            </w:pPr>
            <w:r>
              <w:rPr>
                <w:color w:val="auto"/>
                <w:highlight w:val="none"/>
              </w:rPr>
              <w:t xml:space="preserve">③项目</w:t>
            </w:r>
            <w:r>
              <w:rPr>
                <w:rFonts w:hint="eastAsia"/>
                <w:color w:val="auto"/>
                <w:highlight w:val="none"/>
              </w:rPr>
              <w:t xml:space="preserve">实施</w:t>
            </w:r>
            <w:r>
              <w:rPr>
                <w:color w:val="auto"/>
                <w:highlight w:val="none"/>
              </w:rPr>
              <w:t xml:space="preserve">是否与部门职责范围相符，属于部门履职所需；</w:t>
            </w:r>
          </w:p>
        </w:tc>
        <w:tc>
          <w:tcPr>
            <w:tcW w:w="316" w:type="pct"/>
            <w:vMerge/>
            <w:noWrap w:val="1"/>
            <w:vAlign w:val="center"/>
          </w:tcPr>
          <w:p>
            <w:pPr>
              <w:pStyle w:val="表格内容"/>
              <w:bidi w:val="0"/>
              <w:rPr>
                <w:color w:val="auto"/>
                <w:highlight w:val="none"/>
              </w:rPr>
            </w:pPr>
          </w:p>
        </w:tc>
        <w:tc>
          <w:tcPr>
            <w:tcW w:w="316"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365" w:type="pct"/>
            <w:vMerge/>
            <w:shd w:val="clear" w:color="auto" w:fill="FFFFFF"/>
            <w:noWrap w:val="0"/>
            <w:vAlign w:val="center"/>
          </w:tcPr>
          <w:p>
            <w:pPr>
              <w:pStyle w:val="表格内容"/>
              <w:bidi w:val="0"/>
              <w:rPr>
                <w:color w:val="auto"/>
                <w:highlight w:val="none"/>
              </w:rPr>
            </w:pPr>
          </w:p>
        </w:tc>
        <w:tc>
          <w:tcPr>
            <w:tcW w:w="482" w:type="pct"/>
            <w:vMerge/>
            <w:shd w:val="clear" w:color="auto" w:fill="FFFFFF"/>
            <w:noWrap w:val="0"/>
            <w:vAlign w:val="center"/>
          </w:tcPr>
          <w:p>
            <w:pPr>
              <w:pStyle w:val="表格内容"/>
              <w:bidi w:val="0"/>
              <w:rPr>
                <w:color w:val="auto"/>
                <w:highlight w:val="none"/>
              </w:rPr>
            </w:pPr>
          </w:p>
        </w:tc>
        <w:tc>
          <w:tcPr>
            <w:tcW w:w="416" w:type="pct"/>
            <w:vMerge/>
            <w:shd w:val="clear" w:color="auto" w:fill="FFFFFF"/>
            <w:noWrap w:val="0"/>
            <w:vAlign w:val="center"/>
          </w:tcPr>
          <w:p>
            <w:pPr>
              <w:pStyle w:val="表格内容"/>
              <w:bidi w:val="0"/>
              <w:rPr>
                <w:color w:val="auto"/>
                <w:highlight w:val="none"/>
              </w:rPr>
            </w:pPr>
          </w:p>
        </w:tc>
        <w:tc>
          <w:tcPr>
            <w:tcW w:w="991" w:type="pct"/>
            <w:vMerge/>
            <w:shd w:val="clear" w:color="auto" w:fill="FFFFFF"/>
            <w:noWrap w:val="0"/>
            <w:vAlign w:val="center"/>
          </w:tcPr>
          <w:p>
            <w:pPr>
              <w:pStyle w:val="表格内容"/>
              <w:bidi w:val="0"/>
              <w:rPr>
                <w:color w:val="auto"/>
                <w:highlight w:val="none"/>
              </w:rPr>
            </w:pPr>
          </w:p>
        </w:tc>
        <w:tc>
          <w:tcPr>
            <w:tcW w:w="2111" w:type="pct"/>
            <w:shd w:val="clear" w:color="auto" w:fill="FFFFFF"/>
            <w:noWrap w:val="0"/>
            <w:vAlign w:val="center"/>
          </w:tcPr>
          <w:p>
            <w:pPr>
              <w:pStyle w:val="表格内容"/>
              <w:bidi w:val="0"/>
              <w:rPr>
                <w:color w:val="auto"/>
                <w:highlight w:val="none"/>
              </w:rPr>
            </w:pPr>
            <w:r>
              <w:rPr>
                <w:color w:val="auto"/>
                <w:highlight w:val="none"/>
              </w:rPr>
              <w:t xml:space="preserve">④项目是否属于公共财政支持范围，是否符合中央、地方事权支出责任划分原则；</w:t>
            </w:r>
          </w:p>
        </w:tc>
        <w:tc>
          <w:tcPr>
            <w:tcW w:w="316" w:type="pct"/>
            <w:vMerge/>
            <w:noWrap w:val="1"/>
            <w:vAlign w:val="center"/>
          </w:tcPr>
          <w:p>
            <w:pPr>
              <w:pStyle w:val="表格内容"/>
              <w:bidi w:val="0"/>
              <w:rPr>
                <w:color w:val="auto"/>
                <w:highlight w:val="none"/>
              </w:rPr>
            </w:pPr>
          </w:p>
        </w:tc>
        <w:tc>
          <w:tcPr>
            <w:tcW w:w="316"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365" w:type="pct"/>
            <w:vMerge/>
            <w:shd w:val="clear" w:color="auto" w:fill="FFFFFF"/>
            <w:noWrap w:val="0"/>
            <w:vAlign w:val="center"/>
          </w:tcPr>
          <w:p>
            <w:pPr>
              <w:pStyle w:val="表格内容"/>
              <w:bidi w:val="0"/>
              <w:rPr>
                <w:color w:val="auto"/>
                <w:highlight w:val="none"/>
              </w:rPr>
            </w:pPr>
          </w:p>
        </w:tc>
        <w:tc>
          <w:tcPr>
            <w:tcW w:w="482" w:type="pct"/>
            <w:vMerge/>
            <w:shd w:val="clear" w:color="auto" w:fill="FFFFFF"/>
            <w:noWrap w:val="0"/>
            <w:vAlign w:val="center"/>
          </w:tcPr>
          <w:p>
            <w:pPr>
              <w:pStyle w:val="表格内容"/>
              <w:bidi w:val="0"/>
              <w:rPr>
                <w:color w:val="auto"/>
                <w:highlight w:val="none"/>
              </w:rPr>
            </w:pPr>
          </w:p>
        </w:tc>
        <w:tc>
          <w:tcPr>
            <w:tcW w:w="416" w:type="pct"/>
            <w:vMerge/>
            <w:shd w:val="clear" w:color="auto" w:fill="FFFFFF"/>
            <w:noWrap w:val="0"/>
            <w:vAlign w:val="center"/>
          </w:tcPr>
          <w:p>
            <w:pPr>
              <w:pStyle w:val="表格内容"/>
              <w:bidi w:val="0"/>
              <w:rPr>
                <w:color w:val="auto"/>
                <w:highlight w:val="none"/>
              </w:rPr>
            </w:pPr>
          </w:p>
        </w:tc>
        <w:tc>
          <w:tcPr>
            <w:tcW w:w="991" w:type="pct"/>
            <w:vMerge/>
            <w:shd w:val="clear" w:color="auto" w:fill="FFFFFF"/>
            <w:noWrap w:val="0"/>
            <w:vAlign w:val="center"/>
          </w:tcPr>
          <w:p>
            <w:pPr>
              <w:pStyle w:val="表格内容"/>
              <w:bidi w:val="0"/>
              <w:rPr>
                <w:color w:val="auto"/>
                <w:highlight w:val="none"/>
              </w:rPr>
            </w:pPr>
          </w:p>
        </w:tc>
        <w:tc>
          <w:tcPr>
            <w:tcW w:w="2111" w:type="pct"/>
            <w:shd w:val="clear" w:color="auto" w:fill="FFFFFF"/>
            <w:noWrap w:val="0"/>
            <w:vAlign w:val="center"/>
          </w:tcPr>
          <w:p>
            <w:pPr>
              <w:pStyle w:val="表格内容"/>
              <w:bidi w:val="0"/>
              <w:rPr>
                <w:color w:val="auto"/>
                <w:highlight w:val="none"/>
              </w:rPr>
            </w:pPr>
            <w:r>
              <w:rPr>
                <w:color w:val="auto"/>
                <w:highlight w:val="none"/>
              </w:rPr>
              <w:t xml:space="preserve">⑤项目是否与相关部门同类项目或部门内部相关项目重复。</w:t>
            </w:r>
          </w:p>
        </w:tc>
        <w:tc>
          <w:tcPr>
            <w:tcW w:w="316" w:type="pct"/>
            <w:vMerge/>
            <w:noWrap w:val="1"/>
            <w:vAlign w:val="center"/>
          </w:tcPr>
          <w:p>
            <w:pPr>
              <w:pStyle w:val="表格内容"/>
              <w:bidi w:val="0"/>
              <w:rPr>
                <w:color w:val="auto"/>
                <w:highlight w:val="none"/>
              </w:rPr>
            </w:pPr>
          </w:p>
        </w:tc>
        <w:tc>
          <w:tcPr>
            <w:tcW w:w="316"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365" w:type="pct"/>
            <w:vMerge/>
            <w:shd w:val="clear" w:color="auto" w:fill="FFFFFF"/>
            <w:noWrap w:val="0"/>
            <w:vAlign w:val="center"/>
          </w:tcPr>
          <w:p>
            <w:pPr>
              <w:pStyle w:val="表格内容"/>
              <w:bidi w:val="0"/>
              <w:rPr>
                <w:color w:val="auto"/>
                <w:highlight w:val="none"/>
              </w:rPr>
            </w:pPr>
          </w:p>
        </w:tc>
        <w:tc>
          <w:tcPr>
            <w:tcW w:w="482" w:type="pct"/>
            <w:vMerge/>
            <w:shd w:val="clear" w:color="auto" w:fill="FFFFFF"/>
            <w:noWrap w:val="0"/>
            <w:vAlign w:val="center"/>
          </w:tcPr>
          <w:p>
            <w:pPr>
              <w:pStyle w:val="表格内容"/>
              <w:bidi w:val="0"/>
              <w:rPr>
                <w:color w:val="auto"/>
                <w:highlight w:val="none"/>
              </w:rPr>
            </w:pPr>
          </w:p>
        </w:tc>
        <w:tc>
          <w:tcPr>
            <w:tcW w:w="416" w:type="pct"/>
            <w:vMerge w:val="restart"/>
            <w:shd w:val="clear" w:color="auto" w:fill="FFFFFF"/>
            <w:noWrap w:val="0"/>
            <w:vAlign w:val="center"/>
          </w:tcPr>
          <w:p>
            <w:pPr>
              <w:pStyle w:val="表格内容"/>
              <w:bidi w:val="0"/>
              <w:rPr>
                <w:color w:val="auto"/>
                <w:highlight w:val="none"/>
              </w:rPr>
            </w:pPr>
            <w:r>
              <w:rPr>
                <w:rFonts w:hint="eastAsia"/>
                <w:color w:val="auto"/>
                <w:highlight w:val="none"/>
              </w:rPr>
              <w:t xml:space="preserve">实施</w:t>
            </w:r>
            <w:r>
              <w:rPr>
                <w:color w:val="auto"/>
                <w:highlight w:val="none"/>
              </w:rPr>
              <w:t xml:space="preserve">程序规范性</w:t>
            </w:r>
          </w:p>
        </w:tc>
        <w:tc>
          <w:tcPr>
            <w:tcW w:w="991" w:type="pct"/>
            <w:vMerge w:val="restart"/>
            <w:shd w:val="clear" w:color="auto" w:fill="FFFFFF"/>
            <w:noWrap w:val="0"/>
            <w:vAlign w:val="center"/>
          </w:tcPr>
          <w:p>
            <w:pPr>
              <w:pStyle w:val="表格内容"/>
              <w:bidi w:val="0"/>
              <w:rPr>
                <w:color w:val="auto"/>
                <w:highlight w:val="none"/>
              </w:rPr>
            </w:pPr>
            <w:r>
              <w:rPr>
                <w:color w:val="auto"/>
                <w:highlight w:val="none"/>
              </w:rPr>
              <w:t xml:space="preserve">项目申请、设立过程是否符合相关要求，用以反映和考核项目</w:t>
            </w:r>
            <w:r>
              <w:rPr>
                <w:rFonts w:hint="eastAsia"/>
                <w:color w:val="auto"/>
                <w:highlight w:val="none"/>
              </w:rPr>
              <w:t xml:space="preserve">实施</w:t>
            </w:r>
            <w:r>
              <w:rPr>
                <w:color w:val="auto"/>
                <w:highlight w:val="none"/>
              </w:rPr>
              <w:t xml:space="preserve">的规范情况。</w:t>
            </w:r>
          </w:p>
        </w:tc>
        <w:tc>
          <w:tcPr>
            <w:tcW w:w="2111" w:type="pct"/>
            <w:shd w:val="clear" w:color="auto" w:fill="FFFFFF"/>
            <w:noWrap w:val="0"/>
            <w:vAlign w:val="center"/>
          </w:tcPr>
          <w:p>
            <w:pPr>
              <w:pStyle w:val="表格内容"/>
              <w:bidi w:val="0"/>
              <w:rPr>
                <w:color w:val="auto"/>
                <w:highlight w:val="none"/>
              </w:rPr>
            </w:pPr>
            <w:r>
              <w:rPr>
                <w:color w:val="auto"/>
                <w:highlight w:val="none"/>
              </w:rPr>
              <w:t xml:space="preserve">评价要点：</w:t>
            </w:r>
          </w:p>
        </w:tc>
        <w:tc>
          <w:tcPr>
            <w:tcW w:w="316" w:type="pct"/>
            <w:vMerge w:val="restart"/>
            <w:noWrap w:val="1"/>
            <w:vAlign w:val="center"/>
          </w:tcPr>
          <w:p>
            <w:pPr>
              <w:pStyle w:val="表格内容"/>
              <w:bidi w:val="0"/>
              <w:rPr>
                <w:color w:val="auto"/>
                <w:highlight w:val="none"/>
              </w:rPr>
            </w:pPr>
            <w:r>
              <w:rPr>
                <w:color w:val="auto"/>
                <w:highlight w:val="none"/>
              </w:rPr>
              <w:t xml:space="preserve">3</w:t>
            </w:r>
          </w:p>
        </w:tc>
        <w:tc>
          <w:tcPr>
            <w:tcW w:w="316" w:type="pct"/>
            <w:vMerge w:val="restart"/>
            <w:noWrap w:val="1"/>
            <w:vAlign w:val="center"/>
          </w:tcPr>
          <w:p>
            <w:pPr>
              <w:pStyle w:val="表格内容"/>
              <w:bidi w:val="0"/>
              <w:rPr>
                <w:rFonts w:eastAsia="仿宋_GB2312" w:hint="eastAsia"/>
                <w:color w:val="auto"/>
                <w:highlight w:val="none"/>
                <w:lang w:val="en-US" w:eastAsia="zh-CN"/>
              </w:rPr>
            </w:pPr>
            <w:r>
              <w:rPr>
                <w:rFonts w:hint="eastAsia"/>
                <w:color w:val="auto"/>
                <w:highlight w:val="none"/>
                <w:lang w:val="en-US" w:eastAsia="zh-CN"/>
              </w:rPr>
              <w:t xml:space="preserve">3</w:t>
            </w: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365" w:type="pct"/>
            <w:vMerge/>
            <w:shd w:val="clear" w:color="auto" w:fill="FFFFFF"/>
            <w:noWrap w:val="0"/>
            <w:vAlign w:val="center"/>
          </w:tcPr>
          <w:p>
            <w:pPr>
              <w:pStyle w:val="表格内容"/>
              <w:bidi w:val="0"/>
              <w:rPr>
                <w:color w:val="auto"/>
                <w:highlight w:val="none"/>
              </w:rPr>
            </w:pPr>
          </w:p>
        </w:tc>
        <w:tc>
          <w:tcPr>
            <w:tcW w:w="482" w:type="pct"/>
            <w:vMerge/>
            <w:shd w:val="clear" w:color="auto" w:fill="FFFFFF"/>
            <w:noWrap w:val="0"/>
            <w:vAlign w:val="center"/>
          </w:tcPr>
          <w:p>
            <w:pPr>
              <w:pStyle w:val="表格内容"/>
              <w:bidi w:val="0"/>
              <w:rPr>
                <w:color w:val="auto"/>
                <w:highlight w:val="none"/>
              </w:rPr>
            </w:pPr>
          </w:p>
        </w:tc>
        <w:tc>
          <w:tcPr>
            <w:tcW w:w="416" w:type="pct"/>
            <w:vMerge/>
            <w:shd w:val="clear" w:color="auto" w:fill="FFFFFF"/>
            <w:noWrap w:val="0"/>
            <w:vAlign w:val="center"/>
          </w:tcPr>
          <w:p>
            <w:pPr>
              <w:pStyle w:val="表格内容"/>
              <w:bidi w:val="0"/>
              <w:rPr>
                <w:color w:val="auto"/>
                <w:highlight w:val="none"/>
              </w:rPr>
            </w:pPr>
          </w:p>
        </w:tc>
        <w:tc>
          <w:tcPr>
            <w:tcW w:w="991" w:type="pct"/>
            <w:vMerge/>
            <w:shd w:val="clear" w:color="auto" w:fill="FFFFFF"/>
            <w:noWrap w:val="0"/>
            <w:vAlign w:val="center"/>
          </w:tcPr>
          <w:p>
            <w:pPr>
              <w:pStyle w:val="表格内容"/>
              <w:bidi w:val="0"/>
              <w:rPr>
                <w:color w:val="auto"/>
                <w:highlight w:val="none"/>
              </w:rPr>
            </w:pPr>
          </w:p>
        </w:tc>
        <w:tc>
          <w:tcPr>
            <w:tcW w:w="2111" w:type="pct"/>
            <w:shd w:val="clear" w:color="auto" w:fill="FFFFFF"/>
            <w:noWrap w:val="0"/>
            <w:vAlign w:val="center"/>
          </w:tcPr>
          <w:p>
            <w:pPr>
              <w:pStyle w:val="表格内容"/>
              <w:bidi w:val="0"/>
              <w:rPr>
                <w:color w:val="auto"/>
                <w:highlight w:val="none"/>
              </w:rPr>
            </w:pPr>
            <w:r>
              <w:rPr>
                <w:color w:val="auto"/>
                <w:highlight w:val="none"/>
              </w:rPr>
              <w:t xml:space="preserve">①项目是否按照规定的程序申请设立；</w:t>
            </w:r>
          </w:p>
        </w:tc>
        <w:tc>
          <w:tcPr>
            <w:tcW w:w="316" w:type="pct"/>
            <w:vMerge/>
            <w:noWrap w:val="1"/>
            <w:vAlign w:val="center"/>
          </w:tcPr>
          <w:p>
            <w:pPr>
              <w:pStyle w:val="表格内容"/>
              <w:bidi w:val="0"/>
              <w:rPr>
                <w:color w:val="auto"/>
                <w:highlight w:val="none"/>
              </w:rPr>
            </w:pPr>
          </w:p>
        </w:tc>
        <w:tc>
          <w:tcPr>
            <w:tcW w:w="316"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365" w:type="pct"/>
            <w:vMerge/>
            <w:shd w:val="clear" w:color="auto" w:fill="FFFFFF"/>
            <w:noWrap w:val="0"/>
            <w:vAlign w:val="center"/>
          </w:tcPr>
          <w:p>
            <w:pPr>
              <w:pStyle w:val="表格内容"/>
              <w:bidi w:val="0"/>
              <w:rPr>
                <w:color w:val="auto"/>
                <w:highlight w:val="none"/>
              </w:rPr>
            </w:pPr>
          </w:p>
        </w:tc>
        <w:tc>
          <w:tcPr>
            <w:tcW w:w="482" w:type="pct"/>
            <w:vMerge/>
            <w:shd w:val="clear" w:color="auto" w:fill="FFFFFF"/>
            <w:noWrap w:val="0"/>
            <w:vAlign w:val="center"/>
          </w:tcPr>
          <w:p>
            <w:pPr>
              <w:pStyle w:val="表格内容"/>
              <w:bidi w:val="0"/>
              <w:rPr>
                <w:color w:val="auto"/>
                <w:highlight w:val="none"/>
              </w:rPr>
            </w:pPr>
          </w:p>
        </w:tc>
        <w:tc>
          <w:tcPr>
            <w:tcW w:w="416" w:type="pct"/>
            <w:vMerge/>
            <w:shd w:val="clear" w:color="auto" w:fill="FFFFFF"/>
            <w:noWrap w:val="0"/>
            <w:vAlign w:val="center"/>
          </w:tcPr>
          <w:p>
            <w:pPr>
              <w:pStyle w:val="表格内容"/>
              <w:bidi w:val="0"/>
              <w:rPr>
                <w:color w:val="auto"/>
                <w:highlight w:val="none"/>
              </w:rPr>
            </w:pPr>
          </w:p>
        </w:tc>
        <w:tc>
          <w:tcPr>
            <w:tcW w:w="991" w:type="pct"/>
            <w:vMerge/>
            <w:shd w:val="clear" w:color="auto" w:fill="FFFFFF"/>
            <w:noWrap w:val="0"/>
            <w:vAlign w:val="center"/>
          </w:tcPr>
          <w:p>
            <w:pPr>
              <w:pStyle w:val="表格内容"/>
              <w:bidi w:val="0"/>
              <w:rPr>
                <w:color w:val="auto"/>
                <w:highlight w:val="none"/>
              </w:rPr>
            </w:pPr>
          </w:p>
        </w:tc>
        <w:tc>
          <w:tcPr>
            <w:tcW w:w="2111" w:type="pct"/>
            <w:shd w:val="clear" w:color="auto" w:fill="FFFFFF"/>
            <w:noWrap w:val="0"/>
            <w:vAlign w:val="center"/>
          </w:tcPr>
          <w:p>
            <w:pPr>
              <w:pStyle w:val="表格内容"/>
              <w:bidi w:val="0"/>
              <w:rPr>
                <w:color w:val="auto"/>
                <w:highlight w:val="none"/>
              </w:rPr>
            </w:pPr>
            <w:r>
              <w:rPr>
                <w:color w:val="auto"/>
                <w:highlight w:val="none"/>
              </w:rPr>
              <w:t xml:space="preserve">②审批文件、材料是否符合相关要求；</w:t>
            </w:r>
          </w:p>
        </w:tc>
        <w:tc>
          <w:tcPr>
            <w:tcW w:w="316" w:type="pct"/>
            <w:vMerge/>
            <w:noWrap w:val="1"/>
            <w:vAlign w:val="center"/>
          </w:tcPr>
          <w:p>
            <w:pPr>
              <w:pStyle w:val="表格内容"/>
              <w:bidi w:val="0"/>
              <w:rPr>
                <w:color w:val="auto"/>
                <w:highlight w:val="none"/>
              </w:rPr>
            </w:pPr>
          </w:p>
        </w:tc>
        <w:tc>
          <w:tcPr>
            <w:tcW w:w="316"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365" w:type="pct"/>
            <w:vMerge/>
            <w:shd w:val="clear" w:color="auto" w:fill="FFFFFF"/>
            <w:noWrap w:val="0"/>
            <w:vAlign w:val="center"/>
          </w:tcPr>
          <w:p>
            <w:pPr>
              <w:pStyle w:val="表格内容"/>
              <w:bidi w:val="0"/>
              <w:rPr>
                <w:color w:val="auto"/>
                <w:highlight w:val="none"/>
              </w:rPr>
            </w:pPr>
          </w:p>
        </w:tc>
        <w:tc>
          <w:tcPr>
            <w:tcW w:w="482" w:type="pct"/>
            <w:vMerge w:val="restart"/>
            <w:shd w:val="clear" w:color="auto" w:fill="FFFFFF"/>
            <w:noWrap w:val="0"/>
            <w:vAlign w:val="center"/>
          </w:tcPr>
          <w:p>
            <w:pPr>
              <w:pStyle w:val="表格内容"/>
              <w:bidi w:val="0"/>
              <w:rPr>
                <w:color w:val="auto"/>
                <w:highlight w:val="none"/>
              </w:rPr>
            </w:pPr>
            <w:r>
              <w:rPr>
                <w:color w:val="auto"/>
                <w:highlight w:val="none"/>
              </w:rPr>
              <w:t xml:space="preserve">绩效目标</w:t>
            </w:r>
          </w:p>
        </w:tc>
        <w:tc>
          <w:tcPr>
            <w:tcW w:w="416" w:type="pct"/>
            <w:vMerge w:val="restart"/>
            <w:shd w:val="clear" w:color="auto" w:fill="FFFFFF"/>
            <w:noWrap w:val="0"/>
            <w:vAlign w:val="center"/>
          </w:tcPr>
          <w:p>
            <w:pPr>
              <w:pStyle w:val="表格内容"/>
              <w:bidi w:val="0"/>
              <w:rPr>
                <w:color w:val="auto"/>
                <w:highlight w:val="none"/>
              </w:rPr>
            </w:pPr>
            <w:r>
              <w:rPr>
                <w:color w:val="auto"/>
                <w:highlight w:val="none"/>
              </w:rPr>
              <w:t xml:space="preserve">绩效目标合理性</w:t>
            </w:r>
          </w:p>
        </w:tc>
        <w:tc>
          <w:tcPr>
            <w:tcW w:w="991" w:type="pct"/>
            <w:vMerge w:val="restart"/>
            <w:shd w:val="clear" w:color="auto" w:fill="FFFFFF"/>
            <w:noWrap w:val="0"/>
            <w:vAlign w:val="center"/>
          </w:tcPr>
          <w:p>
            <w:pPr>
              <w:pStyle w:val="表格内容"/>
              <w:bidi w:val="0"/>
              <w:rPr>
                <w:color w:val="auto"/>
                <w:highlight w:val="none"/>
              </w:rPr>
            </w:pPr>
            <w:r>
              <w:rPr>
                <w:color w:val="auto"/>
                <w:highlight w:val="none"/>
              </w:rPr>
              <w:t xml:space="preserve">项目所设定的绩效目标是否依据充分，是否符合客观实际，用以反映和考核项目绩效目标与项目实施的相符情况。</w:t>
            </w:r>
          </w:p>
        </w:tc>
        <w:tc>
          <w:tcPr>
            <w:tcW w:w="2111" w:type="pct"/>
            <w:shd w:val="clear" w:color="auto" w:fill="FFFFFF"/>
            <w:noWrap w:val="0"/>
            <w:vAlign w:val="center"/>
          </w:tcPr>
          <w:p>
            <w:pPr>
              <w:pStyle w:val="表格内容"/>
              <w:bidi w:val="0"/>
              <w:rPr>
                <w:color w:val="auto"/>
                <w:highlight w:val="none"/>
              </w:rPr>
            </w:pPr>
            <w:r>
              <w:rPr>
                <w:color w:val="auto"/>
                <w:highlight w:val="none"/>
              </w:rPr>
              <w:t xml:space="preserve">评价要点：</w:t>
            </w:r>
          </w:p>
        </w:tc>
        <w:tc>
          <w:tcPr>
            <w:tcW w:w="316" w:type="pct"/>
            <w:vMerge w:val="restart"/>
            <w:noWrap w:val="1"/>
            <w:vAlign w:val="center"/>
          </w:tcPr>
          <w:p>
            <w:pPr>
              <w:pStyle w:val="表格内容"/>
              <w:bidi w:val="0"/>
              <w:rPr>
                <w:color w:val="auto"/>
                <w:highlight w:val="none"/>
              </w:rPr>
            </w:pPr>
            <w:r>
              <w:rPr>
                <w:color w:val="auto"/>
                <w:highlight w:val="none"/>
              </w:rPr>
              <w:t xml:space="preserve">4</w:t>
            </w:r>
          </w:p>
        </w:tc>
        <w:tc>
          <w:tcPr>
            <w:tcW w:w="316" w:type="pct"/>
            <w:vMerge w:val="restart"/>
            <w:noWrap w:val="1"/>
            <w:vAlign w:val="center"/>
          </w:tcPr>
          <w:p>
            <w:pPr>
              <w:pStyle w:val="表格内容"/>
              <w:bidi w:val="0"/>
              <w:rPr>
                <w:rFonts w:eastAsia="仿宋_GB2312" w:hint="eastAsia"/>
                <w:color w:val="auto"/>
                <w:highlight w:val="none"/>
                <w:lang w:val="en-US" w:eastAsia="zh-CN"/>
              </w:rPr>
            </w:pPr>
            <w:r>
              <w:rPr>
                <w:rFonts w:hint="eastAsia"/>
                <w:color w:val="auto"/>
                <w:highlight w:val="none"/>
                <w:lang w:val="en-US" w:eastAsia="zh-CN"/>
              </w:rPr>
              <w:t xml:space="preserve">4</w:t>
            </w: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365" w:type="pct"/>
            <w:vMerge/>
            <w:shd w:val="clear" w:color="auto" w:fill="FFFFFF"/>
            <w:noWrap w:val="0"/>
            <w:vAlign w:val="center"/>
          </w:tcPr>
          <w:p>
            <w:pPr>
              <w:pStyle w:val="表格内容"/>
              <w:bidi w:val="0"/>
              <w:rPr>
                <w:color w:val="auto"/>
                <w:highlight w:val="none"/>
              </w:rPr>
            </w:pPr>
          </w:p>
        </w:tc>
        <w:tc>
          <w:tcPr>
            <w:tcW w:w="482" w:type="pct"/>
            <w:vMerge/>
            <w:shd w:val="clear" w:color="auto" w:fill="FFFFFF"/>
            <w:noWrap w:val="0"/>
            <w:vAlign w:val="center"/>
          </w:tcPr>
          <w:p>
            <w:pPr>
              <w:pStyle w:val="表格内容"/>
              <w:bidi w:val="0"/>
              <w:rPr>
                <w:color w:val="auto"/>
                <w:highlight w:val="none"/>
              </w:rPr>
            </w:pPr>
          </w:p>
        </w:tc>
        <w:tc>
          <w:tcPr>
            <w:tcW w:w="416" w:type="pct"/>
            <w:vMerge/>
            <w:shd w:val="clear" w:color="auto" w:fill="FFFFFF"/>
            <w:noWrap w:val="0"/>
            <w:vAlign w:val="center"/>
          </w:tcPr>
          <w:p>
            <w:pPr>
              <w:pStyle w:val="表格内容"/>
              <w:bidi w:val="0"/>
              <w:rPr>
                <w:color w:val="auto"/>
                <w:highlight w:val="none"/>
              </w:rPr>
            </w:pPr>
          </w:p>
        </w:tc>
        <w:tc>
          <w:tcPr>
            <w:tcW w:w="991" w:type="pct"/>
            <w:vMerge/>
            <w:shd w:val="clear" w:color="auto" w:fill="FFFFFF"/>
            <w:noWrap w:val="0"/>
            <w:vAlign w:val="center"/>
          </w:tcPr>
          <w:p>
            <w:pPr>
              <w:pStyle w:val="表格内容"/>
              <w:bidi w:val="0"/>
              <w:rPr>
                <w:color w:val="auto"/>
                <w:highlight w:val="none"/>
              </w:rPr>
            </w:pPr>
          </w:p>
        </w:tc>
        <w:tc>
          <w:tcPr>
            <w:tcW w:w="2111" w:type="pct"/>
            <w:shd w:val="clear" w:color="auto" w:fill="FFFFFF"/>
            <w:noWrap w:val="0"/>
            <w:vAlign w:val="center"/>
          </w:tcPr>
          <w:p>
            <w:pPr>
              <w:pStyle w:val="表格内容"/>
              <w:bidi w:val="0"/>
              <w:rPr>
                <w:color w:val="auto"/>
                <w:highlight w:val="none"/>
              </w:rPr>
            </w:pPr>
            <w:r>
              <w:rPr>
                <w:color w:val="auto"/>
                <w:highlight w:val="none"/>
              </w:rPr>
              <w:t xml:space="preserve">①项目是否有绩效目标；</w:t>
            </w:r>
          </w:p>
        </w:tc>
        <w:tc>
          <w:tcPr>
            <w:tcW w:w="316" w:type="pct"/>
            <w:vMerge/>
            <w:noWrap w:val="1"/>
            <w:vAlign w:val="center"/>
          </w:tcPr>
          <w:p>
            <w:pPr>
              <w:pStyle w:val="表格内容"/>
              <w:bidi w:val="0"/>
              <w:rPr>
                <w:color w:val="auto"/>
                <w:highlight w:val="none"/>
              </w:rPr>
            </w:pPr>
          </w:p>
        </w:tc>
        <w:tc>
          <w:tcPr>
            <w:tcW w:w="316"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365" w:type="pct"/>
            <w:vMerge/>
            <w:shd w:val="clear" w:color="auto" w:fill="FFFFFF"/>
            <w:noWrap w:val="0"/>
            <w:vAlign w:val="center"/>
          </w:tcPr>
          <w:p>
            <w:pPr>
              <w:pStyle w:val="表格内容"/>
              <w:bidi w:val="0"/>
              <w:rPr>
                <w:color w:val="auto"/>
                <w:highlight w:val="none"/>
              </w:rPr>
            </w:pPr>
          </w:p>
        </w:tc>
        <w:tc>
          <w:tcPr>
            <w:tcW w:w="482" w:type="pct"/>
            <w:vMerge/>
            <w:shd w:val="clear" w:color="auto" w:fill="FFFFFF"/>
            <w:noWrap w:val="0"/>
            <w:vAlign w:val="center"/>
          </w:tcPr>
          <w:p>
            <w:pPr>
              <w:pStyle w:val="表格内容"/>
              <w:bidi w:val="0"/>
              <w:rPr>
                <w:color w:val="auto"/>
                <w:highlight w:val="none"/>
              </w:rPr>
            </w:pPr>
          </w:p>
        </w:tc>
        <w:tc>
          <w:tcPr>
            <w:tcW w:w="416" w:type="pct"/>
            <w:vMerge/>
            <w:shd w:val="clear" w:color="auto" w:fill="FFFFFF"/>
            <w:noWrap w:val="0"/>
            <w:vAlign w:val="center"/>
          </w:tcPr>
          <w:p>
            <w:pPr>
              <w:pStyle w:val="表格内容"/>
              <w:bidi w:val="0"/>
              <w:rPr>
                <w:color w:val="auto"/>
                <w:highlight w:val="none"/>
              </w:rPr>
            </w:pPr>
          </w:p>
        </w:tc>
        <w:tc>
          <w:tcPr>
            <w:tcW w:w="991" w:type="pct"/>
            <w:vMerge/>
            <w:shd w:val="clear" w:color="auto" w:fill="FFFFFF"/>
            <w:noWrap w:val="0"/>
            <w:vAlign w:val="center"/>
          </w:tcPr>
          <w:p>
            <w:pPr>
              <w:pStyle w:val="表格内容"/>
              <w:bidi w:val="0"/>
              <w:rPr>
                <w:color w:val="auto"/>
                <w:highlight w:val="none"/>
              </w:rPr>
            </w:pPr>
          </w:p>
        </w:tc>
        <w:tc>
          <w:tcPr>
            <w:tcW w:w="2111" w:type="pct"/>
            <w:shd w:val="clear" w:color="auto" w:fill="FFFFFF"/>
            <w:noWrap w:val="0"/>
            <w:vAlign w:val="center"/>
          </w:tcPr>
          <w:p>
            <w:pPr>
              <w:pStyle w:val="表格内容"/>
              <w:bidi w:val="0"/>
              <w:rPr>
                <w:color w:val="auto"/>
                <w:highlight w:val="none"/>
              </w:rPr>
            </w:pPr>
            <w:r>
              <w:rPr>
                <w:color w:val="auto"/>
                <w:highlight w:val="none"/>
              </w:rPr>
              <w:t xml:space="preserve">②项目绩效目标与实际工作内容是否具有相关性；</w:t>
            </w:r>
          </w:p>
        </w:tc>
        <w:tc>
          <w:tcPr>
            <w:tcW w:w="316" w:type="pct"/>
            <w:vMerge/>
            <w:noWrap w:val="1"/>
            <w:vAlign w:val="center"/>
          </w:tcPr>
          <w:p>
            <w:pPr>
              <w:pStyle w:val="表格内容"/>
              <w:bidi w:val="0"/>
              <w:rPr>
                <w:color w:val="auto"/>
                <w:highlight w:val="none"/>
              </w:rPr>
            </w:pPr>
          </w:p>
        </w:tc>
        <w:tc>
          <w:tcPr>
            <w:tcW w:w="316"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365" w:type="pct"/>
            <w:vMerge/>
            <w:shd w:val="clear" w:color="auto" w:fill="FFFFFF"/>
            <w:noWrap w:val="0"/>
            <w:vAlign w:val="center"/>
          </w:tcPr>
          <w:p>
            <w:pPr>
              <w:pStyle w:val="表格内容"/>
              <w:bidi w:val="0"/>
              <w:rPr>
                <w:color w:val="auto"/>
                <w:highlight w:val="none"/>
              </w:rPr>
            </w:pPr>
          </w:p>
        </w:tc>
        <w:tc>
          <w:tcPr>
            <w:tcW w:w="482" w:type="pct"/>
            <w:vMerge/>
            <w:shd w:val="clear" w:color="auto" w:fill="FFFFFF"/>
            <w:noWrap w:val="0"/>
            <w:vAlign w:val="center"/>
          </w:tcPr>
          <w:p>
            <w:pPr>
              <w:pStyle w:val="表格内容"/>
              <w:bidi w:val="0"/>
              <w:rPr>
                <w:color w:val="auto"/>
                <w:highlight w:val="none"/>
              </w:rPr>
            </w:pPr>
          </w:p>
        </w:tc>
        <w:tc>
          <w:tcPr>
            <w:tcW w:w="416" w:type="pct"/>
            <w:vMerge/>
            <w:shd w:val="clear" w:color="auto" w:fill="FFFFFF"/>
            <w:noWrap w:val="0"/>
            <w:vAlign w:val="center"/>
          </w:tcPr>
          <w:p>
            <w:pPr>
              <w:pStyle w:val="表格内容"/>
              <w:bidi w:val="0"/>
              <w:rPr>
                <w:color w:val="auto"/>
                <w:highlight w:val="none"/>
              </w:rPr>
            </w:pPr>
          </w:p>
        </w:tc>
        <w:tc>
          <w:tcPr>
            <w:tcW w:w="991" w:type="pct"/>
            <w:vMerge/>
            <w:shd w:val="clear" w:color="auto" w:fill="FFFFFF"/>
            <w:noWrap w:val="0"/>
            <w:vAlign w:val="center"/>
          </w:tcPr>
          <w:p>
            <w:pPr>
              <w:pStyle w:val="表格内容"/>
              <w:bidi w:val="0"/>
              <w:rPr>
                <w:color w:val="auto"/>
                <w:highlight w:val="none"/>
              </w:rPr>
            </w:pPr>
          </w:p>
        </w:tc>
        <w:tc>
          <w:tcPr>
            <w:tcW w:w="2111" w:type="pct"/>
            <w:shd w:val="clear" w:color="auto" w:fill="FFFFFF"/>
            <w:noWrap w:val="0"/>
            <w:vAlign w:val="center"/>
          </w:tcPr>
          <w:p>
            <w:pPr>
              <w:pStyle w:val="表格内容"/>
              <w:bidi w:val="0"/>
              <w:rPr>
                <w:color w:val="auto"/>
                <w:highlight w:val="none"/>
              </w:rPr>
            </w:pPr>
            <w:r>
              <w:rPr>
                <w:color w:val="auto"/>
                <w:highlight w:val="none"/>
              </w:rPr>
              <w:t xml:space="preserve">③项目预期产出效益和效果是否符合正常的业绩水平；</w:t>
            </w:r>
          </w:p>
        </w:tc>
        <w:tc>
          <w:tcPr>
            <w:tcW w:w="316" w:type="pct"/>
            <w:vMerge/>
            <w:noWrap w:val="1"/>
            <w:vAlign w:val="center"/>
          </w:tcPr>
          <w:p>
            <w:pPr>
              <w:pStyle w:val="表格内容"/>
              <w:bidi w:val="0"/>
              <w:rPr>
                <w:color w:val="auto"/>
                <w:highlight w:val="none"/>
              </w:rPr>
            </w:pPr>
          </w:p>
        </w:tc>
        <w:tc>
          <w:tcPr>
            <w:tcW w:w="316"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365" w:type="pct"/>
            <w:vMerge/>
            <w:shd w:val="clear" w:color="auto" w:fill="FFFFFF"/>
            <w:noWrap w:val="0"/>
            <w:vAlign w:val="center"/>
          </w:tcPr>
          <w:p>
            <w:pPr>
              <w:pStyle w:val="表格内容"/>
              <w:bidi w:val="0"/>
              <w:rPr>
                <w:color w:val="auto"/>
                <w:highlight w:val="none"/>
              </w:rPr>
            </w:pPr>
          </w:p>
        </w:tc>
        <w:tc>
          <w:tcPr>
            <w:tcW w:w="482" w:type="pct"/>
            <w:vMerge/>
            <w:shd w:val="clear" w:color="auto" w:fill="FFFFFF"/>
            <w:noWrap w:val="0"/>
            <w:vAlign w:val="center"/>
          </w:tcPr>
          <w:p>
            <w:pPr>
              <w:pStyle w:val="表格内容"/>
              <w:bidi w:val="0"/>
              <w:rPr>
                <w:color w:val="auto"/>
                <w:highlight w:val="none"/>
              </w:rPr>
            </w:pPr>
          </w:p>
        </w:tc>
        <w:tc>
          <w:tcPr>
            <w:tcW w:w="416" w:type="pct"/>
            <w:vMerge/>
            <w:shd w:val="clear" w:color="auto" w:fill="FFFFFF"/>
            <w:noWrap w:val="0"/>
            <w:vAlign w:val="center"/>
          </w:tcPr>
          <w:p>
            <w:pPr>
              <w:pStyle w:val="表格内容"/>
              <w:bidi w:val="0"/>
              <w:rPr>
                <w:color w:val="auto"/>
                <w:highlight w:val="none"/>
              </w:rPr>
            </w:pPr>
          </w:p>
        </w:tc>
        <w:tc>
          <w:tcPr>
            <w:tcW w:w="991" w:type="pct"/>
            <w:vMerge/>
            <w:shd w:val="clear" w:color="auto" w:fill="FFFFFF"/>
            <w:noWrap w:val="0"/>
            <w:vAlign w:val="center"/>
          </w:tcPr>
          <w:p>
            <w:pPr>
              <w:pStyle w:val="表格内容"/>
              <w:bidi w:val="0"/>
              <w:rPr>
                <w:color w:val="auto"/>
                <w:highlight w:val="none"/>
              </w:rPr>
            </w:pPr>
          </w:p>
        </w:tc>
        <w:tc>
          <w:tcPr>
            <w:tcW w:w="2111" w:type="pct"/>
            <w:shd w:val="clear" w:color="auto" w:fill="FFFFFF"/>
            <w:noWrap w:val="0"/>
            <w:vAlign w:val="center"/>
          </w:tcPr>
          <w:p>
            <w:pPr>
              <w:pStyle w:val="表格内容"/>
              <w:bidi w:val="0"/>
              <w:rPr>
                <w:color w:val="auto"/>
                <w:highlight w:val="none"/>
              </w:rPr>
            </w:pPr>
            <w:r>
              <w:rPr>
                <w:color w:val="auto"/>
                <w:highlight w:val="none"/>
              </w:rPr>
              <w:t xml:space="preserve">④是否与预算确定的项目投资额或资金量相匹配。</w:t>
            </w:r>
          </w:p>
        </w:tc>
        <w:tc>
          <w:tcPr>
            <w:tcW w:w="316" w:type="pct"/>
            <w:vMerge/>
            <w:noWrap w:val="1"/>
            <w:vAlign w:val="center"/>
          </w:tcPr>
          <w:p>
            <w:pPr>
              <w:pStyle w:val="表格内容"/>
              <w:bidi w:val="0"/>
              <w:rPr>
                <w:color w:val="auto"/>
                <w:highlight w:val="none"/>
              </w:rPr>
            </w:pPr>
          </w:p>
        </w:tc>
        <w:tc>
          <w:tcPr>
            <w:tcW w:w="316"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365" w:type="pct"/>
            <w:vMerge/>
            <w:shd w:val="clear" w:color="auto" w:fill="FFFFFF"/>
            <w:noWrap w:val="0"/>
            <w:vAlign w:val="center"/>
          </w:tcPr>
          <w:p>
            <w:pPr>
              <w:pStyle w:val="表格内容"/>
              <w:bidi w:val="0"/>
              <w:rPr>
                <w:color w:val="auto"/>
                <w:highlight w:val="none"/>
              </w:rPr>
            </w:pPr>
          </w:p>
        </w:tc>
        <w:tc>
          <w:tcPr>
            <w:tcW w:w="482" w:type="pct"/>
            <w:vMerge/>
            <w:shd w:val="clear" w:color="auto" w:fill="FFFFFF"/>
            <w:noWrap w:val="0"/>
            <w:vAlign w:val="center"/>
          </w:tcPr>
          <w:p>
            <w:pPr>
              <w:pStyle w:val="表格内容"/>
              <w:bidi w:val="0"/>
              <w:rPr>
                <w:color w:val="auto"/>
                <w:highlight w:val="none"/>
              </w:rPr>
            </w:pPr>
          </w:p>
        </w:tc>
        <w:tc>
          <w:tcPr>
            <w:tcW w:w="416" w:type="pct"/>
            <w:vMerge w:val="restart"/>
            <w:shd w:val="clear" w:color="auto" w:fill="FFFFFF"/>
            <w:noWrap w:val="0"/>
            <w:vAlign w:val="center"/>
          </w:tcPr>
          <w:p>
            <w:pPr>
              <w:pStyle w:val="表格内容"/>
              <w:bidi w:val="0"/>
              <w:rPr>
                <w:color w:val="auto"/>
                <w:highlight w:val="none"/>
              </w:rPr>
            </w:pPr>
            <w:r>
              <w:rPr>
                <w:color w:val="auto"/>
                <w:highlight w:val="none"/>
              </w:rPr>
              <w:t xml:space="preserve">绩效指标明确性</w:t>
            </w:r>
          </w:p>
        </w:tc>
        <w:tc>
          <w:tcPr>
            <w:tcW w:w="991" w:type="pct"/>
            <w:vMerge w:val="restart"/>
            <w:shd w:val="clear" w:color="auto" w:fill="FFFFFF"/>
            <w:noWrap w:val="0"/>
            <w:vAlign w:val="center"/>
          </w:tcPr>
          <w:p>
            <w:pPr>
              <w:pStyle w:val="表格内容"/>
              <w:bidi w:val="0"/>
              <w:rPr>
                <w:color w:val="auto"/>
                <w:highlight w:val="none"/>
              </w:rPr>
            </w:pPr>
            <w:r>
              <w:rPr>
                <w:color w:val="auto"/>
                <w:highlight w:val="none"/>
              </w:rPr>
              <w:t xml:space="preserve">依据绩效目标设定的绩效指标是否清晰、细化、可衡量等，用以反映和考核项目绩效目标的明细化情况。</w:t>
            </w:r>
          </w:p>
        </w:tc>
        <w:tc>
          <w:tcPr>
            <w:tcW w:w="2111" w:type="pct"/>
            <w:shd w:val="clear" w:color="auto" w:fill="FFFFFF"/>
            <w:noWrap w:val="0"/>
            <w:vAlign w:val="center"/>
          </w:tcPr>
          <w:p>
            <w:pPr>
              <w:pStyle w:val="表格内容"/>
              <w:bidi w:val="0"/>
              <w:rPr>
                <w:color w:val="auto"/>
                <w:highlight w:val="none"/>
              </w:rPr>
            </w:pPr>
            <w:r>
              <w:rPr>
                <w:color w:val="auto"/>
                <w:highlight w:val="none"/>
              </w:rPr>
              <w:t xml:space="preserve">评价要点：</w:t>
            </w:r>
          </w:p>
        </w:tc>
        <w:tc>
          <w:tcPr>
            <w:tcW w:w="316" w:type="pct"/>
            <w:vMerge w:val="restart"/>
            <w:noWrap w:val="1"/>
            <w:vAlign w:val="center"/>
          </w:tcPr>
          <w:p>
            <w:pPr>
              <w:pStyle w:val="表格内容"/>
              <w:bidi w:val="0"/>
              <w:rPr>
                <w:color w:val="auto"/>
                <w:highlight w:val="none"/>
              </w:rPr>
            </w:pPr>
            <w:r>
              <w:rPr>
                <w:color w:val="auto"/>
                <w:highlight w:val="none"/>
              </w:rPr>
              <w:t xml:space="preserve">4</w:t>
            </w:r>
          </w:p>
        </w:tc>
        <w:tc>
          <w:tcPr>
            <w:tcW w:w="316" w:type="pct"/>
            <w:vMerge w:val="restart"/>
            <w:noWrap w:val="1"/>
            <w:vAlign w:val="center"/>
          </w:tcPr>
          <w:p>
            <w:pPr>
              <w:pStyle w:val="表格内容"/>
              <w:bidi w:val="0"/>
              <w:rPr>
                <w:rFonts w:eastAsia="仿宋_GB2312" w:hint="eastAsia"/>
                <w:color w:val="auto"/>
                <w:highlight w:val="none"/>
                <w:lang w:val="en-US" w:eastAsia="zh-CN"/>
              </w:rPr>
            </w:pPr>
            <w:r>
              <w:rPr>
                <w:rFonts w:hint="eastAsia"/>
                <w:color w:val="auto"/>
                <w:highlight w:val="none"/>
                <w:lang w:val="en-US" w:eastAsia="zh-CN"/>
              </w:rPr>
              <w:t xml:space="preserve">4</w:t>
            </w: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365" w:type="pct"/>
            <w:vMerge/>
            <w:shd w:val="clear" w:color="auto" w:fill="FFFFFF"/>
            <w:noWrap w:val="0"/>
            <w:vAlign w:val="center"/>
          </w:tcPr>
          <w:p>
            <w:pPr>
              <w:pStyle w:val="表格内容"/>
              <w:bidi w:val="0"/>
              <w:rPr>
                <w:color w:val="auto"/>
                <w:highlight w:val="none"/>
              </w:rPr>
            </w:pPr>
          </w:p>
        </w:tc>
        <w:tc>
          <w:tcPr>
            <w:tcW w:w="482" w:type="pct"/>
            <w:vMerge/>
            <w:shd w:val="clear" w:color="auto" w:fill="FFFFFF"/>
            <w:noWrap w:val="0"/>
            <w:vAlign w:val="center"/>
          </w:tcPr>
          <w:p>
            <w:pPr>
              <w:pStyle w:val="表格内容"/>
              <w:bidi w:val="0"/>
              <w:rPr>
                <w:color w:val="auto"/>
                <w:highlight w:val="none"/>
              </w:rPr>
            </w:pPr>
          </w:p>
        </w:tc>
        <w:tc>
          <w:tcPr>
            <w:tcW w:w="416" w:type="pct"/>
            <w:vMerge/>
            <w:shd w:val="clear" w:color="auto" w:fill="FFFFFF"/>
            <w:noWrap w:val="0"/>
            <w:vAlign w:val="center"/>
          </w:tcPr>
          <w:p>
            <w:pPr>
              <w:pStyle w:val="表格内容"/>
              <w:bidi w:val="0"/>
              <w:rPr>
                <w:color w:val="auto"/>
                <w:highlight w:val="none"/>
              </w:rPr>
            </w:pPr>
          </w:p>
        </w:tc>
        <w:tc>
          <w:tcPr>
            <w:tcW w:w="991" w:type="pct"/>
            <w:vMerge/>
            <w:shd w:val="clear" w:color="auto" w:fill="FFFFFF"/>
            <w:noWrap w:val="0"/>
            <w:vAlign w:val="center"/>
          </w:tcPr>
          <w:p>
            <w:pPr>
              <w:pStyle w:val="表格内容"/>
              <w:bidi w:val="0"/>
              <w:rPr>
                <w:color w:val="auto"/>
                <w:highlight w:val="none"/>
              </w:rPr>
            </w:pPr>
          </w:p>
        </w:tc>
        <w:tc>
          <w:tcPr>
            <w:tcW w:w="2111" w:type="pct"/>
            <w:shd w:val="clear" w:color="auto" w:fill="FFFFFF"/>
            <w:noWrap w:val="0"/>
            <w:vAlign w:val="center"/>
          </w:tcPr>
          <w:p>
            <w:pPr>
              <w:pStyle w:val="表格内容"/>
              <w:bidi w:val="0"/>
              <w:rPr>
                <w:color w:val="auto"/>
                <w:highlight w:val="none"/>
              </w:rPr>
            </w:pPr>
            <w:r>
              <w:rPr>
                <w:color w:val="auto"/>
                <w:highlight w:val="none"/>
              </w:rPr>
              <w:t xml:space="preserve">①是否将项目绩效目标细化分解为具体的绩效指标；</w:t>
            </w:r>
          </w:p>
        </w:tc>
        <w:tc>
          <w:tcPr>
            <w:tcW w:w="316" w:type="pct"/>
            <w:vMerge/>
            <w:noWrap w:val="1"/>
            <w:vAlign w:val="center"/>
          </w:tcPr>
          <w:p>
            <w:pPr>
              <w:pStyle w:val="表格内容"/>
              <w:bidi w:val="0"/>
              <w:rPr>
                <w:color w:val="auto"/>
                <w:highlight w:val="none"/>
              </w:rPr>
            </w:pPr>
          </w:p>
        </w:tc>
        <w:tc>
          <w:tcPr>
            <w:tcW w:w="316"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365" w:type="pct"/>
            <w:vMerge/>
            <w:shd w:val="clear" w:color="auto" w:fill="FFFFFF"/>
            <w:noWrap w:val="0"/>
            <w:vAlign w:val="center"/>
          </w:tcPr>
          <w:p>
            <w:pPr>
              <w:pStyle w:val="表格内容"/>
              <w:bidi w:val="0"/>
              <w:rPr>
                <w:color w:val="auto"/>
                <w:highlight w:val="none"/>
              </w:rPr>
            </w:pPr>
          </w:p>
        </w:tc>
        <w:tc>
          <w:tcPr>
            <w:tcW w:w="482" w:type="pct"/>
            <w:vMerge/>
            <w:shd w:val="clear" w:color="auto" w:fill="FFFFFF"/>
            <w:noWrap w:val="0"/>
            <w:vAlign w:val="center"/>
          </w:tcPr>
          <w:p>
            <w:pPr>
              <w:pStyle w:val="表格内容"/>
              <w:bidi w:val="0"/>
              <w:rPr>
                <w:color w:val="auto"/>
                <w:highlight w:val="none"/>
              </w:rPr>
            </w:pPr>
          </w:p>
        </w:tc>
        <w:tc>
          <w:tcPr>
            <w:tcW w:w="416" w:type="pct"/>
            <w:vMerge/>
            <w:shd w:val="clear" w:color="auto" w:fill="FFFFFF"/>
            <w:noWrap w:val="0"/>
            <w:vAlign w:val="center"/>
          </w:tcPr>
          <w:p>
            <w:pPr>
              <w:pStyle w:val="表格内容"/>
              <w:bidi w:val="0"/>
              <w:rPr>
                <w:color w:val="auto"/>
                <w:highlight w:val="none"/>
              </w:rPr>
            </w:pPr>
          </w:p>
        </w:tc>
        <w:tc>
          <w:tcPr>
            <w:tcW w:w="991" w:type="pct"/>
            <w:vMerge/>
            <w:shd w:val="clear" w:color="auto" w:fill="FFFFFF"/>
            <w:noWrap w:val="0"/>
            <w:vAlign w:val="center"/>
          </w:tcPr>
          <w:p>
            <w:pPr>
              <w:pStyle w:val="表格内容"/>
              <w:bidi w:val="0"/>
              <w:rPr>
                <w:color w:val="auto"/>
                <w:highlight w:val="none"/>
              </w:rPr>
            </w:pPr>
          </w:p>
        </w:tc>
        <w:tc>
          <w:tcPr>
            <w:tcW w:w="2111" w:type="pct"/>
            <w:shd w:val="clear" w:color="auto" w:fill="FFFFFF"/>
            <w:noWrap w:val="0"/>
            <w:vAlign w:val="center"/>
          </w:tcPr>
          <w:p>
            <w:pPr>
              <w:pStyle w:val="表格内容"/>
              <w:bidi w:val="0"/>
              <w:rPr>
                <w:color w:val="auto"/>
                <w:highlight w:val="none"/>
              </w:rPr>
            </w:pPr>
            <w:r>
              <w:rPr>
                <w:color w:val="auto"/>
                <w:highlight w:val="none"/>
              </w:rPr>
              <w:t xml:space="preserve">②是否通过清晰、可衡量的指标值予以体现；</w:t>
            </w:r>
          </w:p>
        </w:tc>
        <w:tc>
          <w:tcPr>
            <w:tcW w:w="316" w:type="pct"/>
            <w:vMerge/>
            <w:noWrap w:val="1"/>
            <w:vAlign w:val="center"/>
          </w:tcPr>
          <w:p>
            <w:pPr>
              <w:pStyle w:val="表格内容"/>
              <w:bidi w:val="0"/>
              <w:rPr>
                <w:color w:val="auto"/>
                <w:highlight w:val="none"/>
              </w:rPr>
            </w:pPr>
          </w:p>
        </w:tc>
        <w:tc>
          <w:tcPr>
            <w:tcW w:w="316"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365" w:type="pct"/>
            <w:vMerge/>
            <w:shd w:val="clear" w:color="auto" w:fill="FFFFFF"/>
            <w:noWrap w:val="0"/>
            <w:vAlign w:val="center"/>
          </w:tcPr>
          <w:p>
            <w:pPr>
              <w:pStyle w:val="表格内容"/>
              <w:bidi w:val="0"/>
              <w:rPr>
                <w:color w:val="auto"/>
                <w:highlight w:val="none"/>
              </w:rPr>
            </w:pPr>
          </w:p>
        </w:tc>
        <w:tc>
          <w:tcPr>
            <w:tcW w:w="482" w:type="pct"/>
            <w:vMerge/>
            <w:shd w:val="clear" w:color="auto" w:fill="FFFFFF"/>
            <w:noWrap w:val="0"/>
            <w:vAlign w:val="center"/>
          </w:tcPr>
          <w:p>
            <w:pPr>
              <w:pStyle w:val="表格内容"/>
              <w:bidi w:val="0"/>
              <w:rPr>
                <w:color w:val="auto"/>
                <w:highlight w:val="none"/>
              </w:rPr>
            </w:pPr>
          </w:p>
        </w:tc>
        <w:tc>
          <w:tcPr>
            <w:tcW w:w="416" w:type="pct"/>
            <w:vMerge/>
            <w:shd w:val="clear" w:color="auto" w:fill="FFFFFF"/>
            <w:noWrap w:val="0"/>
            <w:vAlign w:val="center"/>
          </w:tcPr>
          <w:p>
            <w:pPr>
              <w:pStyle w:val="表格内容"/>
              <w:bidi w:val="0"/>
              <w:rPr>
                <w:color w:val="auto"/>
                <w:highlight w:val="none"/>
              </w:rPr>
            </w:pPr>
          </w:p>
        </w:tc>
        <w:tc>
          <w:tcPr>
            <w:tcW w:w="991" w:type="pct"/>
            <w:vMerge/>
            <w:shd w:val="clear" w:color="auto" w:fill="FFFFFF"/>
            <w:noWrap w:val="0"/>
            <w:vAlign w:val="center"/>
          </w:tcPr>
          <w:p>
            <w:pPr>
              <w:pStyle w:val="表格内容"/>
              <w:bidi w:val="0"/>
              <w:rPr>
                <w:color w:val="auto"/>
                <w:highlight w:val="none"/>
              </w:rPr>
            </w:pPr>
          </w:p>
        </w:tc>
        <w:tc>
          <w:tcPr>
            <w:tcW w:w="2111" w:type="pct"/>
            <w:shd w:val="clear" w:color="auto" w:fill="FFFFFF"/>
            <w:noWrap w:val="0"/>
            <w:vAlign w:val="center"/>
          </w:tcPr>
          <w:p>
            <w:pPr>
              <w:pStyle w:val="表格内容"/>
              <w:bidi w:val="0"/>
              <w:rPr>
                <w:color w:val="auto"/>
                <w:highlight w:val="none"/>
              </w:rPr>
            </w:pPr>
            <w:r>
              <w:rPr>
                <w:color w:val="auto"/>
                <w:highlight w:val="none"/>
              </w:rPr>
              <w:t xml:space="preserve">③是否与项目目标任务数或计划数相对应。</w:t>
            </w:r>
          </w:p>
        </w:tc>
        <w:tc>
          <w:tcPr>
            <w:tcW w:w="316" w:type="pct"/>
            <w:vMerge/>
            <w:noWrap w:val="1"/>
            <w:vAlign w:val="center"/>
          </w:tcPr>
          <w:p>
            <w:pPr>
              <w:pStyle w:val="表格内容"/>
              <w:bidi w:val="0"/>
              <w:rPr>
                <w:color w:val="auto"/>
                <w:highlight w:val="none"/>
              </w:rPr>
            </w:pPr>
          </w:p>
        </w:tc>
        <w:tc>
          <w:tcPr>
            <w:tcW w:w="316"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365" w:type="pct"/>
            <w:vMerge/>
            <w:shd w:val="clear" w:color="auto" w:fill="FFFFFF"/>
            <w:noWrap w:val="0"/>
            <w:vAlign w:val="center"/>
          </w:tcPr>
          <w:p>
            <w:pPr>
              <w:pStyle w:val="表格内容"/>
              <w:bidi w:val="0"/>
              <w:rPr>
                <w:color w:val="auto"/>
                <w:highlight w:val="none"/>
              </w:rPr>
            </w:pPr>
          </w:p>
        </w:tc>
        <w:tc>
          <w:tcPr>
            <w:tcW w:w="482" w:type="pct"/>
            <w:vMerge w:val="restart"/>
            <w:shd w:val="clear" w:color="auto" w:fill="FFFFFF"/>
            <w:noWrap w:val="0"/>
            <w:vAlign w:val="center"/>
          </w:tcPr>
          <w:p>
            <w:pPr>
              <w:pStyle w:val="表格内容"/>
              <w:bidi w:val="0"/>
              <w:rPr>
                <w:color w:val="auto"/>
                <w:highlight w:val="none"/>
              </w:rPr>
            </w:pPr>
            <w:r>
              <w:rPr>
                <w:color w:val="auto"/>
                <w:highlight w:val="none"/>
              </w:rPr>
              <w:t xml:space="preserve">资金投入</w:t>
            </w:r>
          </w:p>
        </w:tc>
        <w:tc>
          <w:tcPr>
            <w:tcW w:w="416" w:type="pct"/>
            <w:vMerge w:val="restart"/>
            <w:shd w:val="clear" w:color="auto" w:fill="FFFFFF"/>
            <w:noWrap w:val="0"/>
            <w:vAlign w:val="center"/>
          </w:tcPr>
          <w:p>
            <w:pPr>
              <w:pStyle w:val="表格内容"/>
              <w:bidi w:val="0"/>
              <w:rPr>
                <w:color w:val="auto"/>
                <w:highlight w:val="none"/>
              </w:rPr>
            </w:pPr>
            <w:r>
              <w:rPr>
                <w:color w:val="auto"/>
                <w:highlight w:val="none"/>
              </w:rPr>
              <w:t xml:space="preserve">预算编制科学性</w:t>
            </w:r>
          </w:p>
        </w:tc>
        <w:tc>
          <w:tcPr>
            <w:tcW w:w="991" w:type="pct"/>
            <w:vMerge w:val="restart"/>
            <w:shd w:val="clear" w:color="auto" w:fill="FFFFFF"/>
            <w:noWrap w:val="0"/>
            <w:vAlign w:val="center"/>
          </w:tcPr>
          <w:p>
            <w:pPr>
              <w:pStyle w:val="表格内容"/>
              <w:bidi w:val="0"/>
              <w:rPr>
                <w:color w:val="auto"/>
                <w:highlight w:val="none"/>
              </w:rPr>
            </w:pPr>
            <w:r>
              <w:rPr>
                <w:color w:val="auto"/>
                <w:highlight w:val="none"/>
              </w:rPr>
              <w:t xml:space="preserve">项目预算编制是否经过科学论证、有明确标准，资金额度与年度目标是否相适应，用以反映和考核项目预算编制的科学性、合理性情况。</w:t>
            </w:r>
          </w:p>
        </w:tc>
        <w:tc>
          <w:tcPr>
            <w:tcW w:w="2111" w:type="pct"/>
            <w:shd w:val="clear" w:color="auto" w:fill="FFFFFF"/>
            <w:noWrap w:val="0"/>
            <w:vAlign w:val="center"/>
          </w:tcPr>
          <w:p>
            <w:pPr>
              <w:pStyle w:val="表格内容"/>
              <w:bidi w:val="0"/>
              <w:rPr>
                <w:color w:val="auto"/>
                <w:highlight w:val="none"/>
              </w:rPr>
            </w:pPr>
            <w:r>
              <w:rPr>
                <w:color w:val="auto"/>
                <w:highlight w:val="none"/>
              </w:rPr>
              <w:t xml:space="preserve">评价要点：</w:t>
            </w:r>
          </w:p>
        </w:tc>
        <w:tc>
          <w:tcPr>
            <w:tcW w:w="316" w:type="pct"/>
            <w:vMerge w:val="restart"/>
            <w:noWrap w:val="1"/>
            <w:vAlign w:val="center"/>
          </w:tcPr>
          <w:p>
            <w:pPr>
              <w:pStyle w:val="表格内容"/>
              <w:bidi w:val="0"/>
              <w:rPr>
                <w:color w:val="auto"/>
                <w:highlight w:val="none"/>
              </w:rPr>
            </w:pPr>
            <w:r>
              <w:rPr>
                <w:color w:val="auto"/>
                <w:highlight w:val="none"/>
              </w:rPr>
              <w:t xml:space="preserve">4</w:t>
            </w:r>
          </w:p>
        </w:tc>
        <w:tc>
          <w:tcPr>
            <w:tcW w:w="316" w:type="pct"/>
            <w:vMerge w:val="restart"/>
            <w:noWrap w:val="1"/>
            <w:vAlign w:val="center"/>
          </w:tcPr>
          <w:p>
            <w:pPr>
              <w:pStyle w:val="表格内容"/>
              <w:bidi w:val="0"/>
              <w:rPr>
                <w:rFonts w:eastAsia="仿宋_GB2312" w:hint="eastAsia"/>
                <w:color w:val="auto"/>
                <w:highlight w:val="none"/>
                <w:lang w:val="en-US" w:eastAsia="zh-CN"/>
              </w:rPr>
            </w:pPr>
            <w:r>
              <w:rPr>
                <w:rFonts w:hint="eastAsia"/>
                <w:color w:val="auto"/>
                <w:highlight w:val="none"/>
                <w:lang w:val="en-US" w:eastAsia="zh-CN"/>
              </w:rPr>
              <w:t xml:space="preserve">4</w:t>
            </w: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365" w:type="pct"/>
            <w:vMerge/>
            <w:shd w:val="clear" w:color="auto" w:fill="FFFFFF"/>
            <w:noWrap w:val="0"/>
            <w:vAlign w:val="center"/>
          </w:tcPr>
          <w:p>
            <w:pPr>
              <w:pStyle w:val="表格内容"/>
              <w:bidi w:val="0"/>
              <w:rPr>
                <w:color w:val="auto"/>
                <w:highlight w:val="none"/>
              </w:rPr>
            </w:pPr>
          </w:p>
        </w:tc>
        <w:tc>
          <w:tcPr>
            <w:tcW w:w="482" w:type="pct"/>
            <w:vMerge/>
            <w:shd w:val="clear" w:color="auto" w:fill="FFFFFF"/>
            <w:noWrap w:val="0"/>
            <w:vAlign w:val="center"/>
          </w:tcPr>
          <w:p>
            <w:pPr>
              <w:pStyle w:val="表格内容"/>
              <w:bidi w:val="0"/>
              <w:rPr>
                <w:color w:val="auto"/>
                <w:highlight w:val="none"/>
              </w:rPr>
            </w:pPr>
          </w:p>
        </w:tc>
        <w:tc>
          <w:tcPr>
            <w:tcW w:w="416" w:type="pct"/>
            <w:vMerge/>
            <w:shd w:val="clear" w:color="auto" w:fill="FFFFFF"/>
            <w:noWrap w:val="0"/>
            <w:vAlign w:val="center"/>
          </w:tcPr>
          <w:p>
            <w:pPr>
              <w:pStyle w:val="表格内容"/>
              <w:bidi w:val="0"/>
              <w:rPr>
                <w:color w:val="auto"/>
                <w:highlight w:val="none"/>
              </w:rPr>
            </w:pPr>
          </w:p>
        </w:tc>
        <w:tc>
          <w:tcPr>
            <w:tcW w:w="991" w:type="pct"/>
            <w:vMerge/>
            <w:shd w:val="clear" w:color="auto" w:fill="FFFFFF"/>
            <w:noWrap w:val="0"/>
            <w:vAlign w:val="center"/>
          </w:tcPr>
          <w:p>
            <w:pPr>
              <w:pStyle w:val="表格内容"/>
              <w:bidi w:val="0"/>
              <w:rPr>
                <w:color w:val="auto"/>
                <w:highlight w:val="none"/>
              </w:rPr>
            </w:pPr>
          </w:p>
        </w:tc>
        <w:tc>
          <w:tcPr>
            <w:tcW w:w="2111" w:type="pct"/>
            <w:shd w:val="clear" w:color="auto" w:fill="FFFFFF"/>
            <w:noWrap w:val="0"/>
            <w:vAlign w:val="center"/>
          </w:tcPr>
          <w:p>
            <w:pPr>
              <w:pStyle w:val="表格内容"/>
              <w:bidi w:val="0"/>
              <w:rPr>
                <w:color w:val="auto"/>
                <w:highlight w:val="none"/>
              </w:rPr>
            </w:pPr>
            <w:r>
              <w:rPr>
                <w:color w:val="auto"/>
                <w:highlight w:val="none"/>
              </w:rPr>
              <w:t xml:space="preserve">①预算编制是否经过科学论证；</w:t>
            </w:r>
          </w:p>
        </w:tc>
        <w:tc>
          <w:tcPr>
            <w:tcW w:w="316" w:type="pct"/>
            <w:vMerge/>
            <w:noWrap w:val="1"/>
            <w:vAlign w:val="center"/>
          </w:tcPr>
          <w:p>
            <w:pPr>
              <w:pStyle w:val="表格内容"/>
              <w:bidi w:val="0"/>
              <w:rPr>
                <w:color w:val="auto"/>
                <w:highlight w:val="none"/>
              </w:rPr>
            </w:pPr>
          </w:p>
        </w:tc>
        <w:tc>
          <w:tcPr>
            <w:tcW w:w="316"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365" w:type="pct"/>
            <w:vMerge/>
            <w:shd w:val="clear" w:color="auto" w:fill="FFFFFF"/>
            <w:noWrap w:val="0"/>
            <w:vAlign w:val="center"/>
          </w:tcPr>
          <w:p>
            <w:pPr>
              <w:pStyle w:val="表格内容"/>
              <w:bidi w:val="0"/>
              <w:rPr>
                <w:color w:val="auto"/>
                <w:highlight w:val="none"/>
              </w:rPr>
            </w:pPr>
          </w:p>
        </w:tc>
        <w:tc>
          <w:tcPr>
            <w:tcW w:w="482" w:type="pct"/>
            <w:vMerge/>
            <w:shd w:val="clear" w:color="auto" w:fill="FFFFFF"/>
            <w:noWrap w:val="0"/>
            <w:vAlign w:val="center"/>
          </w:tcPr>
          <w:p>
            <w:pPr>
              <w:pStyle w:val="表格内容"/>
              <w:bidi w:val="0"/>
              <w:rPr>
                <w:color w:val="auto"/>
                <w:highlight w:val="none"/>
              </w:rPr>
            </w:pPr>
          </w:p>
        </w:tc>
        <w:tc>
          <w:tcPr>
            <w:tcW w:w="416" w:type="pct"/>
            <w:vMerge/>
            <w:shd w:val="clear" w:color="auto" w:fill="FFFFFF"/>
            <w:noWrap w:val="0"/>
            <w:vAlign w:val="center"/>
          </w:tcPr>
          <w:p>
            <w:pPr>
              <w:pStyle w:val="表格内容"/>
              <w:bidi w:val="0"/>
              <w:rPr>
                <w:color w:val="auto"/>
                <w:highlight w:val="none"/>
              </w:rPr>
            </w:pPr>
          </w:p>
        </w:tc>
        <w:tc>
          <w:tcPr>
            <w:tcW w:w="991" w:type="pct"/>
            <w:vMerge/>
            <w:shd w:val="clear" w:color="auto" w:fill="FFFFFF"/>
            <w:noWrap w:val="0"/>
            <w:vAlign w:val="center"/>
          </w:tcPr>
          <w:p>
            <w:pPr>
              <w:pStyle w:val="表格内容"/>
              <w:bidi w:val="0"/>
              <w:rPr>
                <w:color w:val="auto"/>
                <w:highlight w:val="none"/>
              </w:rPr>
            </w:pPr>
          </w:p>
        </w:tc>
        <w:tc>
          <w:tcPr>
            <w:tcW w:w="2111" w:type="pct"/>
            <w:shd w:val="clear" w:color="auto" w:fill="FFFFFF"/>
            <w:noWrap w:val="0"/>
            <w:vAlign w:val="center"/>
          </w:tcPr>
          <w:p>
            <w:pPr>
              <w:pStyle w:val="表格内容"/>
              <w:bidi w:val="0"/>
              <w:rPr>
                <w:color w:val="auto"/>
                <w:highlight w:val="none"/>
              </w:rPr>
            </w:pPr>
            <w:r>
              <w:rPr>
                <w:color w:val="auto"/>
                <w:highlight w:val="none"/>
              </w:rPr>
              <w:t xml:space="preserve">②预算内容与项目内容是否匹配；</w:t>
            </w:r>
          </w:p>
        </w:tc>
        <w:tc>
          <w:tcPr>
            <w:tcW w:w="316" w:type="pct"/>
            <w:vMerge/>
            <w:noWrap w:val="1"/>
            <w:vAlign w:val="center"/>
          </w:tcPr>
          <w:p>
            <w:pPr>
              <w:pStyle w:val="表格内容"/>
              <w:bidi w:val="0"/>
              <w:rPr>
                <w:color w:val="auto"/>
                <w:highlight w:val="none"/>
              </w:rPr>
            </w:pPr>
          </w:p>
        </w:tc>
        <w:tc>
          <w:tcPr>
            <w:tcW w:w="316"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365" w:type="pct"/>
            <w:vMerge/>
            <w:shd w:val="clear" w:color="auto" w:fill="FFFFFF"/>
            <w:noWrap w:val="0"/>
            <w:vAlign w:val="center"/>
          </w:tcPr>
          <w:p>
            <w:pPr>
              <w:pStyle w:val="表格内容"/>
              <w:bidi w:val="0"/>
              <w:rPr>
                <w:color w:val="auto"/>
                <w:highlight w:val="none"/>
              </w:rPr>
            </w:pPr>
          </w:p>
        </w:tc>
        <w:tc>
          <w:tcPr>
            <w:tcW w:w="482" w:type="pct"/>
            <w:vMerge/>
            <w:shd w:val="clear" w:color="auto" w:fill="FFFFFF"/>
            <w:noWrap w:val="0"/>
            <w:vAlign w:val="center"/>
          </w:tcPr>
          <w:p>
            <w:pPr>
              <w:pStyle w:val="表格内容"/>
              <w:bidi w:val="0"/>
              <w:rPr>
                <w:color w:val="auto"/>
                <w:highlight w:val="none"/>
              </w:rPr>
            </w:pPr>
          </w:p>
        </w:tc>
        <w:tc>
          <w:tcPr>
            <w:tcW w:w="416" w:type="pct"/>
            <w:vMerge/>
            <w:shd w:val="clear" w:color="auto" w:fill="FFFFFF"/>
            <w:noWrap w:val="0"/>
            <w:vAlign w:val="center"/>
          </w:tcPr>
          <w:p>
            <w:pPr>
              <w:pStyle w:val="表格内容"/>
              <w:bidi w:val="0"/>
              <w:rPr>
                <w:color w:val="auto"/>
                <w:highlight w:val="none"/>
              </w:rPr>
            </w:pPr>
          </w:p>
        </w:tc>
        <w:tc>
          <w:tcPr>
            <w:tcW w:w="991" w:type="pct"/>
            <w:vMerge/>
            <w:shd w:val="clear" w:color="auto" w:fill="FFFFFF"/>
            <w:noWrap w:val="0"/>
            <w:vAlign w:val="center"/>
          </w:tcPr>
          <w:p>
            <w:pPr>
              <w:pStyle w:val="表格内容"/>
              <w:bidi w:val="0"/>
              <w:rPr>
                <w:color w:val="auto"/>
                <w:highlight w:val="none"/>
              </w:rPr>
            </w:pPr>
          </w:p>
        </w:tc>
        <w:tc>
          <w:tcPr>
            <w:tcW w:w="2111" w:type="pct"/>
            <w:shd w:val="clear" w:color="auto" w:fill="FFFFFF"/>
            <w:noWrap w:val="0"/>
            <w:vAlign w:val="center"/>
          </w:tcPr>
          <w:p>
            <w:pPr>
              <w:pStyle w:val="表格内容"/>
              <w:bidi w:val="0"/>
              <w:rPr>
                <w:color w:val="auto"/>
                <w:highlight w:val="none"/>
              </w:rPr>
            </w:pPr>
            <w:r>
              <w:rPr>
                <w:color w:val="auto"/>
                <w:highlight w:val="none"/>
              </w:rPr>
              <w:t xml:space="preserve">③预算额度测算依据是否充分，是否按照标准编制；</w:t>
            </w:r>
          </w:p>
        </w:tc>
        <w:tc>
          <w:tcPr>
            <w:tcW w:w="316" w:type="pct"/>
            <w:vMerge/>
            <w:noWrap w:val="1"/>
            <w:vAlign w:val="center"/>
          </w:tcPr>
          <w:p>
            <w:pPr>
              <w:pStyle w:val="表格内容"/>
              <w:bidi w:val="0"/>
              <w:rPr>
                <w:color w:val="auto"/>
                <w:highlight w:val="none"/>
              </w:rPr>
            </w:pPr>
          </w:p>
        </w:tc>
        <w:tc>
          <w:tcPr>
            <w:tcW w:w="316"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365" w:type="pct"/>
            <w:vMerge/>
            <w:shd w:val="clear" w:color="auto" w:fill="FFFFFF"/>
            <w:noWrap w:val="0"/>
            <w:vAlign w:val="center"/>
          </w:tcPr>
          <w:p>
            <w:pPr>
              <w:pStyle w:val="表格内容"/>
              <w:bidi w:val="0"/>
              <w:rPr>
                <w:color w:val="auto"/>
                <w:highlight w:val="none"/>
              </w:rPr>
            </w:pPr>
          </w:p>
        </w:tc>
        <w:tc>
          <w:tcPr>
            <w:tcW w:w="482" w:type="pct"/>
            <w:vMerge/>
            <w:shd w:val="clear" w:color="auto" w:fill="FFFFFF"/>
            <w:noWrap w:val="0"/>
            <w:vAlign w:val="center"/>
          </w:tcPr>
          <w:p>
            <w:pPr>
              <w:pStyle w:val="表格内容"/>
              <w:bidi w:val="0"/>
              <w:rPr>
                <w:color w:val="auto"/>
                <w:highlight w:val="none"/>
              </w:rPr>
            </w:pPr>
          </w:p>
        </w:tc>
        <w:tc>
          <w:tcPr>
            <w:tcW w:w="416" w:type="pct"/>
            <w:vMerge/>
            <w:shd w:val="clear" w:color="auto" w:fill="FFFFFF"/>
            <w:noWrap w:val="0"/>
            <w:vAlign w:val="center"/>
          </w:tcPr>
          <w:p>
            <w:pPr>
              <w:pStyle w:val="表格内容"/>
              <w:bidi w:val="0"/>
              <w:rPr>
                <w:color w:val="auto"/>
                <w:highlight w:val="none"/>
              </w:rPr>
            </w:pPr>
          </w:p>
        </w:tc>
        <w:tc>
          <w:tcPr>
            <w:tcW w:w="991" w:type="pct"/>
            <w:vMerge/>
            <w:shd w:val="clear" w:color="auto" w:fill="FFFFFF"/>
            <w:noWrap w:val="0"/>
            <w:vAlign w:val="center"/>
          </w:tcPr>
          <w:p>
            <w:pPr>
              <w:pStyle w:val="表格内容"/>
              <w:bidi w:val="0"/>
              <w:rPr>
                <w:color w:val="auto"/>
                <w:highlight w:val="none"/>
              </w:rPr>
            </w:pPr>
          </w:p>
        </w:tc>
        <w:tc>
          <w:tcPr>
            <w:tcW w:w="2111" w:type="pct"/>
            <w:shd w:val="clear" w:color="auto" w:fill="FFFFFF"/>
            <w:noWrap w:val="0"/>
            <w:vAlign w:val="center"/>
          </w:tcPr>
          <w:p>
            <w:pPr>
              <w:pStyle w:val="表格内容"/>
              <w:bidi w:val="0"/>
              <w:rPr>
                <w:color w:val="auto"/>
                <w:highlight w:val="none"/>
              </w:rPr>
            </w:pPr>
            <w:r>
              <w:rPr>
                <w:color w:val="auto"/>
                <w:highlight w:val="none"/>
              </w:rPr>
              <w:t xml:space="preserve">④预算确定的项目投资额或资金量是否与工作任务相匹配。</w:t>
            </w:r>
          </w:p>
        </w:tc>
        <w:tc>
          <w:tcPr>
            <w:tcW w:w="316" w:type="pct"/>
            <w:vMerge/>
            <w:noWrap w:val="1"/>
            <w:vAlign w:val="center"/>
          </w:tcPr>
          <w:p>
            <w:pPr>
              <w:pStyle w:val="表格内容"/>
              <w:bidi w:val="0"/>
              <w:rPr>
                <w:color w:val="auto"/>
                <w:highlight w:val="none"/>
              </w:rPr>
            </w:pPr>
          </w:p>
        </w:tc>
        <w:tc>
          <w:tcPr>
            <w:tcW w:w="316"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365" w:type="pct"/>
            <w:vMerge/>
            <w:shd w:val="clear" w:color="auto" w:fill="FFFFFF"/>
            <w:noWrap w:val="0"/>
            <w:vAlign w:val="center"/>
          </w:tcPr>
          <w:p>
            <w:pPr>
              <w:pStyle w:val="表格内容"/>
              <w:bidi w:val="0"/>
              <w:rPr>
                <w:color w:val="auto"/>
                <w:highlight w:val="none"/>
              </w:rPr>
            </w:pPr>
          </w:p>
        </w:tc>
        <w:tc>
          <w:tcPr>
            <w:tcW w:w="482" w:type="pct"/>
            <w:vMerge/>
            <w:shd w:val="clear" w:color="auto" w:fill="FFFFFF"/>
            <w:noWrap w:val="0"/>
            <w:vAlign w:val="center"/>
          </w:tcPr>
          <w:p>
            <w:pPr>
              <w:pStyle w:val="表格内容"/>
              <w:bidi w:val="0"/>
              <w:rPr>
                <w:color w:val="auto"/>
                <w:highlight w:val="none"/>
              </w:rPr>
            </w:pPr>
          </w:p>
        </w:tc>
        <w:tc>
          <w:tcPr>
            <w:tcW w:w="416" w:type="pct"/>
            <w:vMerge w:val="restart"/>
            <w:shd w:val="clear" w:color="auto" w:fill="FFFFFF"/>
            <w:noWrap w:val="0"/>
            <w:vAlign w:val="center"/>
          </w:tcPr>
          <w:p>
            <w:pPr>
              <w:pStyle w:val="表格内容"/>
              <w:bidi w:val="0"/>
              <w:rPr>
                <w:color w:val="auto"/>
                <w:highlight w:val="none"/>
              </w:rPr>
            </w:pPr>
            <w:r>
              <w:rPr>
                <w:color w:val="auto"/>
                <w:highlight w:val="none"/>
              </w:rPr>
              <w:t xml:space="preserve">资金分配合理性</w:t>
            </w:r>
          </w:p>
        </w:tc>
        <w:tc>
          <w:tcPr>
            <w:tcW w:w="991" w:type="pct"/>
            <w:vMerge w:val="restart"/>
            <w:shd w:val="clear" w:color="auto" w:fill="FFFFFF"/>
            <w:noWrap w:val="0"/>
            <w:vAlign w:val="center"/>
          </w:tcPr>
          <w:p>
            <w:pPr>
              <w:pStyle w:val="表格内容"/>
              <w:bidi w:val="0"/>
              <w:rPr>
                <w:color w:val="auto"/>
                <w:highlight w:val="none"/>
              </w:rPr>
            </w:pPr>
            <w:r>
              <w:rPr>
                <w:color w:val="auto"/>
                <w:highlight w:val="none"/>
              </w:rPr>
              <w:t xml:space="preserve">项目预算资金分配是否有测算依据，与补助单位或地方实际是否相适应，用以反映和考核项目预算资金分配的科学性、合理性情况。</w:t>
            </w:r>
          </w:p>
        </w:tc>
        <w:tc>
          <w:tcPr>
            <w:tcW w:w="2111" w:type="pct"/>
            <w:shd w:val="clear" w:color="auto" w:fill="FFFFFF"/>
            <w:noWrap w:val="0"/>
            <w:vAlign w:val="center"/>
          </w:tcPr>
          <w:p>
            <w:pPr>
              <w:pStyle w:val="表格内容"/>
              <w:bidi w:val="0"/>
              <w:rPr>
                <w:color w:val="auto"/>
                <w:highlight w:val="none"/>
              </w:rPr>
            </w:pPr>
            <w:r>
              <w:rPr>
                <w:color w:val="auto"/>
                <w:highlight w:val="none"/>
              </w:rPr>
              <w:t xml:space="preserve">评价要点：</w:t>
            </w:r>
          </w:p>
        </w:tc>
        <w:tc>
          <w:tcPr>
            <w:tcW w:w="316" w:type="pct"/>
            <w:vMerge w:val="restart"/>
            <w:noWrap w:val="1"/>
            <w:vAlign w:val="center"/>
          </w:tcPr>
          <w:p>
            <w:pPr>
              <w:pStyle w:val="表格内容"/>
              <w:bidi w:val="0"/>
              <w:rPr>
                <w:color w:val="auto"/>
                <w:highlight w:val="none"/>
              </w:rPr>
            </w:pPr>
            <w:r>
              <w:rPr>
                <w:color w:val="auto"/>
                <w:highlight w:val="none"/>
              </w:rPr>
              <w:t xml:space="preserve">4</w:t>
            </w:r>
          </w:p>
        </w:tc>
        <w:tc>
          <w:tcPr>
            <w:tcW w:w="316" w:type="pct"/>
            <w:vMerge w:val="restart"/>
            <w:noWrap w:val="1"/>
            <w:vAlign w:val="center"/>
          </w:tcPr>
          <w:p>
            <w:pPr>
              <w:pStyle w:val="表格内容"/>
              <w:bidi w:val="0"/>
              <w:rPr>
                <w:rFonts w:eastAsia="仿宋_GB2312" w:hint="eastAsia"/>
                <w:color w:val="auto"/>
                <w:highlight w:val="none"/>
                <w:lang w:val="en-US" w:eastAsia="zh-CN"/>
              </w:rPr>
            </w:pPr>
            <w:r>
              <w:rPr>
                <w:rFonts w:hint="eastAsia"/>
                <w:color w:val="auto"/>
                <w:highlight w:val="none"/>
                <w:lang w:val="en-US" w:eastAsia="zh-CN"/>
              </w:rPr>
              <w:t xml:space="preserve">4</w:t>
            </w: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365" w:type="pct"/>
            <w:vMerge/>
            <w:shd w:val="clear" w:color="auto" w:fill="FFFFFF"/>
            <w:noWrap w:val="0"/>
            <w:vAlign w:val="center"/>
          </w:tcPr>
          <w:p>
            <w:pPr>
              <w:pStyle w:val="表格内容"/>
              <w:bidi w:val="0"/>
              <w:rPr>
                <w:color w:val="auto"/>
                <w:highlight w:val="none"/>
              </w:rPr>
            </w:pPr>
          </w:p>
        </w:tc>
        <w:tc>
          <w:tcPr>
            <w:tcW w:w="482" w:type="pct"/>
            <w:vMerge/>
            <w:shd w:val="clear" w:color="auto" w:fill="FFFFFF"/>
            <w:noWrap w:val="0"/>
            <w:vAlign w:val="center"/>
          </w:tcPr>
          <w:p>
            <w:pPr>
              <w:pStyle w:val="表格内容"/>
              <w:bidi w:val="0"/>
              <w:rPr>
                <w:color w:val="auto"/>
                <w:highlight w:val="none"/>
              </w:rPr>
            </w:pPr>
          </w:p>
        </w:tc>
        <w:tc>
          <w:tcPr>
            <w:tcW w:w="416" w:type="pct"/>
            <w:vMerge/>
            <w:shd w:val="clear" w:color="auto" w:fill="FFFFFF"/>
            <w:noWrap w:val="0"/>
            <w:vAlign w:val="center"/>
          </w:tcPr>
          <w:p>
            <w:pPr>
              <w:pStyle w:val="表格内容"/>
              <w:bidi w:val="0"/>
              <w:rPr>
                <w:color w:val="auto"/>
                <w:highlight w:val="none"/>
              </w:rPr>
            </w:pPr>
          </w:p>
        </w:tc>
        <w:tc>
          <w:tcPr>
            <w:tcW w:w="991" w:type="pct"/>
            <w:vMerge/>
            <w:shd w:val="clear" w:color="auto" w:fill="FFFFFF"/>
            <w:noWrap w:val="0"/>
            <w:vAlign w:val="center"/>
          </w:tcPr>
          <w:p>
            <w:pPr>
              <w:pStyle w:val="表格内容"/>
              <w:bidi w:val="0"/>
              <w:rPr>
                <w:color w:val="auto"/>
                <w:highlight w:val="none"/>
              </w:rPr>
            </w:pPr>
          </w:p>
        </w:tc>
        <w:tc>
          <w:tcPr>
            <w:tcW w:w="2111" w:type="pct"/>
            <w:shd w:val="clear" w:color="auto" w:fill="FFFFFF"/>
            <w:noWrap w:val="0"/>
            <w:vAlign w:val="center"/>
          </w:tcPr>
          <w:p>
            <w:pPr>
              <w:pStyle w:val="表格内容"/>
              <w:bidi w:val="0"/>
              <w:rPr>
                <w:color w:val="auto"/>
                <w:highlight w:val="none"/>
              </w:rPr>
            </w:pPr>
            <w:r>
              <w:rPr>
                <w:color w:val="auto"/>
                <w:highlight w:val="none"/>
              </w:rPr>
              <w:t xml:space="preserve">①预算资金分配依据是否充分；</w:t>
            </w:r>
          </w:p>
        </w:tc>
        <w:tc>
          <w:tcPr>
            <w:tcW w:w="316" w:type="pct"/>
            <w:vMerge/>
            <w:noWrap w:val="1"/>
            <w:vAlign w:val="center"/>
          </w:tcPr>
          <w:p>
            <w:pPr>
              <w:pStyle w:val="表格内容"/>
              <w:bidi w:val="0"/>
              <w:rPr>
                <w:color w:val="auto"/>
                <w:highlight w:val="none"/>
              </w:rPr>
            </w:pPr>
          </w:p>
        </w:tc>
        <w:tc>
          <w:tcPr>
            <w:tcW w:w="316"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365" w:type="pct"/>
            <w:vMerge/>
            <w:shd w:val="clear" w:color="auto" w:fill="FFFFFF"/>
            <w:noWrap w:val="0"/>
            <w:vAlign w:val="center"/>
          </w:tcPr>
          <w:p>
            <w:pPr>
              <w:pStyle w:val="表格内容"/>
              <w:bidi w:val="0"/>
              <w:rPr>
                <w:color w:val="auto"/>
                <w:highlight w:val="none"/>
              </w:rPr>
            </w:pPr>
          </w:p>
        </w:tc>
        <w:tc>
          <w:tcPr>
            <w:tcW w:w="482" w:type="pct"/>
            <w:vMerge/>
            <w:shd w:val="clear" w:color="auto" w:fill="FFFFFF"/>
            <w:noWrap w:val="0"/>
            <w:vAlign w:val="center"/>
          </w:tcPr>
          <w:p>
            <w:pPr>
              <w:pStyle w:val="表格内容"/>
              <w:bidi w:val="0"/>
              <w:rPr>
                <w:color w:val="auto"/>
                <w:highlight w:val="none"/>
              </w:rPr>
            </w:pPr>
          </w:p>
        </w:tc>
        <w:tc>
          <w:tcPr>
            <w:tcW w:w="416" w:type="pct"/>
            <w:vMerge/>
            <w:shd w:val="clear" w:color="auto" w:fill="FFFFFF"/>
            <w:noWrap w:val="0"/>
            <w:vAlign w:val="center"/>
          </w:tcPr>
          <w:p>
            <w:pPr>
              <w:pStyle w:val="表格内容"/>
              <w:bidi w:val="0"/>
              <w:rPr>
                <w:color w:val="auto"/>
                <w:highlight w:val="none"/>
              </w:rPr>
            </w:pPr>
          </w:p>
        </w:tc>
        <w:tc>
          <w:tcPr>
            <w:tcW w:w="991" w:type="pct"/>
            <w:vMerge/>
            <w:shd w:val="clear" w:color="auto" w:fill="FFFFFF"/>
            <w:noWrap w:val="0"/>
            <w:vAlign w:val="center"/>
          </w:tcPr>
          <w:p>
            <w:pPr>
              <w:pStyle w:val="表格内容"/>
              <w:bidi w:val="0"/>
              <w:rPr>
                <w:color w:val="auto"/>
                <w:highlight w:val="none"/>
              </w:rPr>
            </w:pPr>
          </w:p>
        </w:tc>
        <w:tc>
          <w:tcPr>
            <w:tcW w:w="2111" w:type="pct"/>
            <w:shd w:val="clear" w:color="auto" w:fill="FFFFFF"/>
            <w:noWrap w:val="0"/>
            <w:vAlign w:val="center"/>
          </w:tcPr>
          <w:p>
            <w:pPr>
              <w:pStyle w:val="表格内容"/>
              <w:bidi w:val="0"/>
              <w:rPr>
                <w:color w:val="auto"/>
                <w:highlight w:val="none"/>
              </w:rPr>
            </w:pPr>
            <w:r>
              <w:rPr>
                <w:color w:val="auto"/>
                <w:highlight w:val="none"/>
              </w:rPr>
              <w:t xml:space="preserve">②资金分配额度是否合理，与</w:t>
            </w:r>
            <w:r>
              <w:rPr>
                <w:rFonts w:hint="eastAsia"/>
                <w:color w:val="auto"/>
                <w:highlight w:val="none"/>
              </w:rPr>
              <w:t xml:space="preserve">补助</w:t>
            </w:r>
            <w:r>
              <w:rPr>
                <w:color w:val="auto"/>
                <w:highlight w:val="none"/>
              </w:rPr>
              <w:t xml:space="preserve">项目单位或地方实际是否相适应。</w:t>
            </w:r>
          </w:p>
        </w:tc>
        <w:tc>
          <w:tcPr>
            <w:tcW w:w="316" w:type="pct"/>
            <w:vMerge/>
            <w:noWrap w:val="1"/>
            <w:vAlign w:val="center"/>
          </w:tcPr>
          <w:p>
            <w:pPr>
              <w:pStyle w:val="表格内容"/>
              <w:bidi w:val="0"/>
              <w:rPr>
                <w:color w:val="auto"/>
                <w:highlight w:val="none"/>
              </w:rPr>
            </w:pPr>
          </w:p>
        </w:tc>
        <w:tc>
          <w:tcPr>
            <w:tcW w:w="316"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365" w:type="pct"/>
            <w:vMerge w:val="restart"/>
            <w:shd w:val="clear" w:color="auto" w:fill="FFFFFF"/>
            <w:noWrap w:val="0"/>
            <w:vAlign w:val="center"/>
          </w:tcPr>
          <w:p>
            <w:pPr>
              <w:pStyle w:val="表格内容"/>
              <w:bidi w:val="0"/>
              <w:rPr>
                <w:color w:val="auto"/>
                <w:highlight w:val="none"/>
              </w:rPr>
            </w:pPr>
            <w:r>
              <w:rPr>
                <w:color w:val="auto"/>
                <w:highlight w:val="none"/>
              </w:rPr>
              <w:t xml:space="preserve">过程</w:t>
            </w:r>
          </w:p>
        </w:tc>
        <w:tc>
          <w:tcPr>
            <w:tcW w:w="482" w:type="pct"/>
            <w:vMerge w:val="restart"/>
            <w:shd w:val="clear" w:color="auto" w:fill="FFFFFF"/>
            <w:noWrap w:val="0"/>
            <w:vAlign w:val="center"/>
          </w:tcPr>
          <w:p>
            <w:pPr>
              <w:pStyle w:val="表格内容"/>
              <w:bidi w:val="0"/>
              <w:rPr>
                <w:color w:val="auto"/>
                <w:highlight w:val="none"/>
              </w:rPr>
            </w:pPr>
            <w:r>
              <w:rPr>
                <w:color w:val="auto"/>
                <w:highlight w:val="none"/>
              </w:rPr>
              <w:t xml:space="preserve">资金管理</w:t>
            </w:r>
          </w:p>
        </w:tc>
        <w:tc>
          <w:tcPr>
            <w:tcW w:w="416" w:type="pct"/>
            <w:vMerge w:val="restart"/>
            <w:shd w:val="clear" w:color="auto" w:fill="FFFFFF"/>
            <w:noWrap w:val="0"/>
            <w:vAlign w:val="center"/>
          </w:tcPr>
          <w:p>
            <w:pPr>
              <w:pStyle w:val="表格内容"/>
              <w:bidi w:val="0"/>
              <w:rPr>
                <w:color w:val="auto"/>
                <w:highlight w:val="none"/>
              </w:rPr>
            </w:pPr>
            <w:r>
              <w:rPr>
                <w:color w:val="auto"/>
                <w:highlight w:val="none"/>
              </w:rPr>
              <w:t xml:space="preserve">资金到位率</w:t>
            </w:r>
          </w:p>
        </w:tc>
        <w:tc>
          <w:tcPr>
            <w:tcW w:w="991" w:type="pct"/>
            <w:vMerge w:val="restart"/>
            <w:shd w:val="clear" w:color="auto" w:fill="FFFFFF"/>
            <w:noWrap w:val="0"/>
            <w:vAlign w:val="center"/>
          </w:tcPr>
          <w:p>
            <w:pPr>
              <w:pStyle w:val="表格内容"/>
              <w:bidi w:val="0"/>
              <w:rPr>
                <w:color w:val="auto"/>
                <w:highlight w:val="none"/>
              </w:rPr>
            </w:pPr>
            <w:r>
              <w:rPr>
                <w:color w:val="auto"/>
                <w:highlight w:val="none"/>
              </w:rPr>
              <w:t xml:space="preserve">实际到位资金与预算资金的比率，用以反映和考核资金落实情况对项目实施的总体保障程度。</w:t>
            </w:r>
          </w:p>
        </w:tc>
        <w:tc>
          <w:tcPr>
            <w:tcW w:w="2111" w:type="pct"/>
            <w:shd w:val="clear" w:color="auto" w:fill="FFFFFF"/>
            <w:noWrap w:val="0"/>
            <w:vAlign w:val="center"/>
          </w:tcPr>
          <w:p>
            <w:pPr>
              <w:pStyle w:val="表格内容"/>
              <w:bidi w:val="0"/>
              <w:rPr>
                <w:color w:val="auto"/>
                <w:highlight w:val="none"/>
              </w:rPr>
            </w:pPr>
            <w:r>
              <w:rPr>
                <w:color w:val="auto"/>
                <w:highlight w:val="none"/>
              </w:rPr>
              <w:t xml:space="preserve">资金到位率=（实际到位资金/预算资金）×100%。</w:t>
            </w:r>
          </w:p>
        </w:tc>
        <w:tc>
          <w:tcPr>
            <w:tcW w:w="316" w:type="pct"/>
            <w:vMerge w:val="restart"/>
            <w:noWrap w:val="1"/>
            <w:vAlign w:val="center"/>
          </w:tcPr>
          <w:p>
            <w:pPr>
              <w:pStyle w:val="表格内容"/>
              <w:bidi w:val="0"/>
              <w:rPr>
                <w:color w:val="auto"/>
                <w:highlight w:val="none"/>
              </w:rPr>
            </w:pPr>
            <w:r>
              <w:rPr>
                <w:color w:val="auto"/>
                <w:highlight w:val="none"/>
              </w:rPr>
              <w:t xml:space="preserve">4</w:t>
            </w:r>
          </w:p>
        </w:tc>
        <w:tc>
          <w:tcPr>
            <w:tcW w:w="316" w:type="pct"/>
            <w:vMerge w:val="restart"/>
            <w:noWrap w:val="1"/>
            <w:vAlign w:val="center"/>
          </w:tcPr>
          <w:p>
            <w:pPr>
              <w:pStyle w:val="表格内容"/>
              <w:bidi w:val="0"/>
              <w:rPr>
                <w:rFonts w:eastAsia="仿宋_GB2312" w:hint="eastAsia"/>
                <w:color w:val="auto"/>
                <w:highlight w:val="none"/>
                <w:lang w:val="en-US" w:eastAsia="zh-CN"/>
              </w:rPr>
            </w:pPr>
            <w:r>
              <w:rPr>
                <w:rFonts w:hint="eastAsia"/>
                <w:color w:val="auto"/>
                <w:highlight w:val="none"/>
                <w:lang w:val="en-US" w:eastAsia="zh-CN"/>
              </w:rPr>
              <w:t xml:space="preserve">4</w:t>
            </w: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365" w:type="pct"/>
            <w:vMerge/>
            <w:shd w:val="clear" w:color="auto" w:fill="FFFFFF"/>
            <w:noWrap w:val="0"/>
            <w:vAlign w:val="center"/>
          </w:tcPr>
          <w:p>
            <w:pPr>
              <w:pStyle w:val="表格内容"/>
              <w:bidi w:val="0"/>
              <w:rPr>
                <w:color w:val="auto"/>
                <w:highlight w:val="none"/>
              </w:rPr>
            </w:pPr>
          </w:p>
        </w:tc>
        <w:tc>
          <w:tcPr>
            <w:tcW w:w="482" w:type="pct"/>
            <w:vMerge/>
            <w:shd w:val="clear" w:color="auto" w:fill="FFFFFF"/>
            <w:noWrap w:val="0"/>
            <w:vAlign w:val="center"/>
          </w:tcPr>
          <w:p>
            <w:pPr>
              <w:pStyle w:val="表格内容"/>
              <w:bidi w:val="0"/>
              <w:rPr>
                <w:color w:val="auto"/>
                <w:highlight w:val="none"/>
              </w:rPr>
            </w:pPr>
          </w:p>
        </w:tc>
        <w:tc>
          <w:tcPr>
            <w:tcW w:w="416" w:type="pct"/>
            <w:vMerge/>
            <w:shd w:val="clear" w:color="auto" w:fill="FFFFFF"/>
            <w:noWrap w:val="0"/>
            <w:vAlign w:val="center"/>
          </w:tcPr>
          <w:p>
            <w:pPr>
              <w:pStyle w:val="表格内容"/>
              <w:bidi w:val="0"/>
              <w:rPr>
                <w:color w:val="auto"/>
                <w:highlight w:val="none"/>
              </w:rPr>
            </w:pPr>
          </w:p>
        </w:tc>
        <w:tc>
          <w:tcPr>
            <w:tcW w:w="991" w:type="pct"/>
            <w:vMerge/>
            <w:shd w:val="clear" w:color="auto" w:fill="FFFFFF"/>
            <w:noWrap w:val="0"/>
            <w:vAlign w:val="center"/>
          </w:tcPr>
          <w:p>
            <w:pPr>
              <w:pStyle w:val="表格内容"/>
              <w:bidi w:val="0"/>
              <w:rPr>
                <w:color w:val="auto"/>
                <w:highlight w:val="none"/>
              </w:rPr>
            </w:pPr>
          </w:p>
        </w:tc>
        <w:tc>
          <w:tcPr>
            <w:tcW w:w="2111" w:type="pct"/>
            <w:shd w:val="clear" w:color="auto" w:fill="FFFFFF"/>
            <w:noWrap w:val="0"/>
            <w:vAlign w:val="center"/>
          </w:tcPr>
          <w:p>
            <w:pPr>
              <w:pStyle w:val="表格内容"/>
              <w:bidi w:val="0"/>
              <w:rPr>
                <w:color w:val="auto"/>
                <w:highlight w:val="none"/>
              </w:rPr>
            </w:pPr>
            <w:r>
              <w:rPr>
                <w:color w:val="auto"/>
                <w:highlight w:val="none"/>
              </w:rPr>
              <w:t xml:space="preserve">实际到位资金：一定时期（本年度或项目期）内落实到具体项目的资金。</w:t>
            </w:r>
          </w:p>
        </w:tc>
        <w:tc>
          <w:tcPr>
            <w:tcW w:w="316" w:type="pct"/>
            <w:vMerge/>
            <w:noWrap w:val="1"/>
            <w:vAlign w:val="center"/>
          </w:tcPr>
          <w:p>
            <w:pPr>
              <w:pStyle w:val="表格内容"/>
              <w:bidi w:val="0"/>
              <w:rPr>
                <w:color w:val="auto"/>
                <w:highlight w:val="none"/>
              </w:rPr>
            </w:pPr>
          </w:p>
        </w:tc>
        <w:tc>
          <w:tcPr>
            <w:tcW w:w="316"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365" w:type="pct"/>
            <w:vMerge/>
            <w:shd w:val="clear" w:color="auto" w:fill="FFFFFF"/>
            <w:noWrap w:val="0"/>
            <w:vAlign w:val="center"/>
          </w:tcPr>
          <w:p>
            <w:pPr>
              <w:pStyle w:val="表格内容"/>
              <w:bidi w:val="0"/>
              <w:rPr>
                <w:color w:val="auto"/>
                <w:highlight w:val="none"/>
              </w:rPr>
            </w:pPr>
          </w:p>
        </w:tc>
        <w:tc>
          <w:tcPr>
            <w:tcW w:w="482" w:type="pct"/>
            <w:vMerge/>
            <w:shd w:val="clear" w:color="auto" w:fill="FFFFFF"/>
            <w:noWrap w:val="0"/>
            <w:vAlign w:val="center"/>
          </w:tcPr>
          <w:p>
            <w:pPr>
              <w:pStyle w:val="表格内容"/>
              <w:bidi w:val="0"/>
              <w:rPr>
                <w:color w:val="auto"/>
                <w:highlight w:val="none"/>
              </w:rPr>
            </w:pPr>
          </w:p>
        </w:tc>
        <w:tc>
          <w:tcPr>
            <w:tcW w:w="416" w:type="pct"/>
            <w:vMerge/>
            <w:shd w:val="clear" w:color="auto" w:fill="FFFFFF"/>
            <w:noWrap w:val="0"/>
            <w:vAlign w:val="center"/>
          </w:tcPr>
          <w:p>
            <w:pPr>
              <w:pStyle w:val="表格内容"/>
              <w:bidi w:val="0"/>
              <w:rPr>
                <w:color w:val="auto"/>
                <w:highlight w:val="none"/>
              </w:rPr>
            </w:pPr>
          </w:p>
        </w:tc>
        <w:tc>
          <w:tcPr>
            <w:tcW w:w="991" w:type="pct"/>
            <w:vMerge/>
            <w:shd w:val="clear" w:color="auto" w:fill="FFFFFF"/>
            <w:noWrap w:val="0"/>
            <w:vAlign w:val="center"/>
          </w:tcPr>
          <w:p>
            <w:pPr>
              <w:pStyle w:val="表格内容"/>
              <w:bidi w:val="0"/>
              <w:rPr>
                <w:color w:val="auto"/>
                <w:highlight w:val="none"/>
              </w:rPr>
            </w:pPr>
          </w:p>
        </w:tc>
        <w:tc>
          <w:tcPr>
            <w:tcW w:w="2111" w:type="pct"/>
            <w:shd w:val="clear" w:color="auto" w:fill="FFFFFF"/>
            <w:noWrap w:val="0"/>
            <w:vAlign w:val="center"/>
          </w:tcPr>
          <w:p>
            <w:pPr>
              <w:pStyle w:val="表格内容"/>
              <w:bidi w:val="0"/>
              <w:rPr>
                <w:color w:val="auto"/>
                <w:highlight w:val="none"/>
              </w:rPr>
            </w:pPr>
            <w:r>
              <w:rPr>
                <w:color w:val="auto"/>
                <w:highlight w:val="none"/>
              </w:rPr>
              <w:t xml:space="preserve">预算资金：一定时期（本年度或项目期）内预算安排到具体项目的资金。</w:t>
            </w:r>
          </w:p>
        </w:tc>
        <w:tc>
          <w:tcPr>
            <w:tcW w:w="316" w:type="pct"/>
            <w:vMerge/>
            <w:noWrap w:val="1"/>
            <w:vAlign w:val="center"/>
          </w:tcPr>
          <w:p>
            <w:pPr>
              <w:pStyle w:val="表格内容"/>
              <w:bidi w:val="0"/>
              <w:rPr>
                <w:color w:val="auto"/>
                <w:highlight w:val="none"/>
              </w:rPr>
            </w:pPr>
          </w:p>
        </w:tc>
        <w:tc>
          <w:tcPr>
            <w:tcW w:w="316"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365" w:type="pct"/>
            <w:vMerge/>
            <w:shd w:val="clear" w:color="auto" w:fill="FFFFFF"/>
            <w:noWrap w:val="0"/>
            <w:vAlign w:val="center"/>
          </w:tcPr>
          <w:p>
            <w:pPr>
              <w:pStyle w:val="表格内容"/>
              <w:bidi w:val="0"/>
              <w:rPr>
                <w:color w:val="auto"/>
                <w:highlight w:val="none"/>
              </w:rPr>
            </w:pPr>
          </w:p>
        </w:tc>
        <w:tc>
          <w:tcPr>
            <w:tcW w:w="482" w:type="pct"/>
            <w:vMerge/>
            <w:shd w:val="clear" w:color="auto" w:fill="FFFFFF"/>
            <w:noWrap w:val="0"/>
            <w:vAlign w:val="center"/>
          </w:tcPr>
          <w:p>
            <w:pPr>
              <w:pStyle w:val="表格内容"/>
              <w:bidi w:val="0"/>
              <w:rPr>
                <w:color w:val="auto"/>
                <w:highlight w:val="none"/>
              </w:rPr>
            </w:pPr>
          </w:p>
        </w:tc>
        <w:tc>
          <w:tcPr>
            <w:tcW w:w="416" w:type="pct"/>
            <w:vMerge w:val="restart"/>
            <w:shd w:val="clear" w:color="auto" w:fill="FFFFFF"/>
            <w:noWrap w:val="0"/>
            <w:vAlign w:val="center"/>
          </w:tcPr>
          <w:p>
            <w:pPr>
              <w:pStyle w:val="表格内容"/>
              <w:bidi w:val="0"/>
              <w:rPr>
                <w:color w:val="auto"/>
                <w:highlight w:val="none"/>
              </w:rPr>
            </w:pPr>
            <w:r>
              <w:rPr>
                <w:color w:val="auto"/>
                <w:highlight w:val="none"/>
              </w:rPr>
              <w:t xml:space="preserve">预算执行率</w:t>
            </w:r>
          </w:p>
        </w:tc>
        <w:tc>
          <w:tcPr>
            <w:tcW w:w="991" w:type="pct"/>
            <w:vMerge w:val="restart"/>
            <w:shd w:val="clear" w:color="auto" w:fill="FFFFFF"/>
            <w:noWrap w:val="0"/>
            <w:vAlign w:val="center"/>
          </w:tcPr>
          <w:p>
            <w:pPr>
              <w:pStyle w:val="表格内容"/>
              <w:bidi w:val="0"/>
              <w:rPr>
                <w:color w:val="auto"/>
                <w:highlight w:val="none"/>
              </w:rPr>
            </w:pPr>
            <w:r>
              <w:rPr>
                <w:color w:val="auto"/>
                <w:highlight w:val="none"/>
              </w:rPr>
              <w:t xml:space="preserve">项目预算资金是否按照计划执行，用以反映或考核项目预算执行情况。</w:t>
            </w:r>
          </w:p>
        </w:tc>
        <w:tc>
          <w:tcPr>
            <w:tcW w:w="2111" w:type="pct"/>
            <w:shd w:val="clear" w:color="auto" w:fill="FFFFFF"/>
            <w:noWrap w:val="0"/>
            <w:vAlign w:val="center"/>
          </w:tcPr>
          <w:p>
            <w:pPr>
              <w:pStyle w:val="表格内容"/>
              <w:bidi w:val="0"/>
              <w:rPr>
                <w:color w:val="auto"/>
                <w:highlight w:val="none"/>
              </w:rPr>
            </w:pPr>
            <w:r>
              <w:rPr>
                <w:color w:val="auto"/>
                <w:highlight w:val="none"/>
              </w:rPr>
              <w:t xml:space="preserve">预算执行率=（实际支出资金/实际到位资金）×100%。</w:t>
            </w:r>
          </w:p>
        </w:tc>
        <w:tc>
          <w:tcPr>
            <w:tcW w:w="316" w:type="pct"/>
            <w:vMerge w:val="restart"/>
            <w:noWrap w:val="1"/>
            <w:vAlign w:val="center"/>
          </w:tcPr>
          <w:p>
            <w:pPr>
              <w:pStyle w:val="表格内容"/>
              <w:bidi w:val="0"/>
              <w:rPr>
                <w:color w:val="auto"/>
                <w:highlight w:val="none"/>
              </w:rPr>
            </w:pPr>
            <w:r>
              <w:rPr>
                <w:color w:val="auto"/>
                <w:highlight w:val="none"/>
              </w:rPr>
              <w:t xml:space="preserve">4</w:t>
            </w:r>
          </w:p>
        </w:tc>
        <w:tc>
          <w:tcPr>
            <w:tcW w:w="316" w:type="pct"/>
            <w:vMerge w:val="restart"/>
            <w:noWrap w:val="1"/>
            <w:vAlign w:val="center"/>
          </w:tcPr>
          <w:p>
            <w:pPr>
              <w:pStyle w:val="表格内容"/>
              <w:bidi w:val="0"/>
              <w:rPr>
                <w:rFonts w:eastAsia="仿宋_GB2312" w:hint="default"/>
                <w:color w:val="auto"/>
                <w:highlight w:val="none"/>
                <w:lang w:val="en-US" w:eastAsia="zh-CN"/>
              </w:rPr>
            </w:pPr>
            <w:r>
              <w:rPr>
                <w:rFonts w:hint="eastAsia"/>
                <w:color w:val="auto"/>
                <w:highlight w:val="none"/>
                <w:lang w:val="en-US" w:eastAsia="zh-CN"/>
              </w:rPr>
              <w:t xml:space="preserve">3.82</w:t>
            </w: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365" w:type="pct"/>
            <w:vMerge/>
            <w:shd w:val="clear" w:color="auto" w:fill="FFFFFF"/>
            <w:noWrap w:val="0"/>
            <w:vAlign w:val="center"/>
          </w:tcPr>
          <w:p>
            <w:pPr>
              <w:pStyle w:val="表格内容"/>
              <w:bidi w:val="0"/>
              <w:rPr>
                <w:color w:val="auto"/>
                <w:highlight w:val="none"/>
              </w:rPr>
            </w:pPr>
          </w:p>
        </w:tc>
        <w:tc>
          <w:tcPr>
            <w:tcW w:w="482" w:type="pct"/>
            <w:vMerge/>
            <w:shd w:val="clear" w:color="auto" w:fill="FFFFFF"/>
            <w:noWrap w:val="0"/>
            <w:vAlign w:val="center"/>
          </w:tcPr>
          <w:p>
            <w:pPr>
              <w:pStyle w:val="表格内容"/>
              <w:bidi w:val="0"/>
              <w:rPr>
                <w:color w:val="auto"/>
                <w:highlight w:val="none"/>
              </w:rPr>
            </w:pPr>
          </w:p>
        </w:tc>
        <w:tc>
          <w:tcPr>
            <w:tcW w:w="416" w:type="pct"/>
            <w:vMerge/>
            <w:shd w:val="clear" w:color="auto" w:fill="FFFFFF"/>
            <w:noWrap w:val="0"/>
            <w:vAlign w:val="center"/>
          </w:tcPr>
          <w:p>
            <w:pPr>
              <w:pStyle w:val="表格内容"/>
              <w:bidi w:val="0"/>
              <w:rPr>
                <w:color w:val="auto"/>
                <w:highlight w:val="none"/>
              </w:rPr>
            </w:pPr>
          </w:p>
        </w:tc>
        <w:tc>
          <w:tcPr>
            <w:tcW w:w="991" w:type="pct"/>
            <w:vMerge/>
            <w:shd w:val="clear" w:color="auto" w:fill="FFFFFF"/>
            <w:noWrap w:val="0"/>
            <w:vAlign w:val="center"/>
          </w:tcPr>
          <w:p>
            <w:pPr>
              <w:pStyle w:val="表格内容"/>
              <w:bidi w:val="0"/>
              <w:rPr>
                <w:color w:val="auto"/>
                <w:highlight w:val="none"/>
              </w:rPr>
            </w:pPr>
          </w:p>
        </w:tc>
        <w:tc>
          <w:tcPr>
            <w:tcW w:w="2111" w:type="pct"/>
            <w:shd w:val="clear" w:color="auto" w:fill="FFFFFF"/>
            <w:noWrap w:val="0"/>
            <w:vAlign w:val="center"/>
          </w:tcPr>
          <w:p>
            <w:pPr>
              <w:pStyle w:val="表格内容"/>
              <w:bidi w:val="0"/>
              <w:rPr>
                <w:color w:val="auto"/>
                <w:highlight w:val="none"/>
              </w:rPr>
            </w:pPr>
            <w:r>
              <w:rPr>
                <w:color w:val="auto"/>
                <w:highlight w:val="none"/>
              </w:rPr>
              <w:t xml:space="preserve">实际支出资金：一定时期（本年度或项目期）内项目实际拨付的资金。</w:t>
            </w:r>
          </w:p>
        </w:tc>
        <w:tc>
          <w:tcPr>
            <w:tcW w:w="316" w:type="pct"/>
            <w:vMerge/>
            <w:noWrap w:val="1"/>
            <w:vAlign w:val="center"/>
          </w:tcPr>
          <w:p>
            <w:pPr>
              <w:pStyle w:val="表格内容"/>
              <w:bidi w:val="0"/>
              <w:rPr>
                <w:color w:val="auto"/>
                <w:highlight w:val="none"/>
              </w:rPr>
            </w:pPr>
          </w:p>
        </w:tc>
        <w:tc>
          <w:tcPr>
            <w:tcW w:w="316"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365" w:type="pct"/>
            <w:vMerge/>
            <w:shd w:val="clear" w:color="auto" w:fill="FFFFFF"/>
            <w:noWrap w:val="0"/>
            <w:vAlign w:val="center"/>
          </w:tcPr>
          <w:p>
            <w:pPr>
              <w:pStyle w:val="表格内容"/>
              <w:bidi w:val="0"/>
              <w:rPr>
                <w:color w:val="auto"/>
                <w:highlight w:val="none"/>
              </w:rPr>
            </w:pPr>
          </w:p>
        </w:tc>
        <w:tc>
          <w:tcPr>
            <w:tcW w:w="482" w:type="pct"/>
            <w:vMerge/>
            <w:shd w:val="clear" w:color="auto" w:fill="FFFFFF"/>
            <w:noWrap w:val="0"/>
            <w:vAlign w:val="center"/>
          </w:tcPr>
          <w:p>
            <w:pPr>
              <w:pStyle w:val="表格内容"/>
              <w:bidi w:val="0"/>
              <w:rPr>
                <w:color w:val="auto"/>
                <w:highlight w:val="none"/>
              </w:rPr>
            </w:pPr>
          </w:p>
        </w:tc>
        <w:tc>
          <w:tcPr>
            <w:tcW w:w="416" w:type="pct"/>
            <w:vMerge w:val="restart"/>
            <w:shd w:val="clear" w:color="auto" w:fill="FFFFFF"/>
            <w:noWrap w:val="0"/>
            <w:vAlign w:val="center"/>
          </w:tcPr>
          <w:p>
            <w:pPr>
              <w:pStyle w:val="表格内容"/>
              <w:bidi w:val="0"/>
              <w:rPr>
                <w:color w:val="auto"/>
                <w:highlight w:val="none"/>
              </w:rPr>
            </w:pPr>
            <w:r>
              <w:rPr>
                <w:color w:val="auto"/>
                <w:highlight w:val="none"/>
              </w:rPr>
              <w:t xml:space="preserve">资金使用合规性</w:t>
            </w:r>
          </w:p>
        </w:tc>
        <w:tc>
          <w:tcPr>
            <w:tcW w:w="991" w:type="pct"/>
            <w:vMerge w:val="restart"/>
            <w:shd w:val="clear" w:color="auto" w:fill="FFFFFF"/>
            <w:noWrap w:val="0"/>
            <w:vAlign w:val="center"/>
          </w:tcPr>
          <w:p>
            <w:pPr>
              <w:pStyle w:val="表格内容"/>
              <w:bidi w:val="0"/>
              <w:rPr>
                <w:color w:val="auto"/>
                <w:highlight w:val="none"/>
              </w:rPr>
            </w:pPr>
            <w:r>
              <w:rPr>
                <w:color w:val="auto"/>
                <w:highlight w:val="none"/>
              </w:rPr>
              <w:t xml:space="preserve">项目资金使用是否符合相关的财务管理制度规定，用以反映和考核项目资金的规范运行情况。</w:t>
            </w:r>
          </w:p>
        </w:tc>
        <w:tc>
          <w:tcPr>
            <w:tcW w:w="2111" w:type="pct"/>
            <w:shd w:val="clear" w:color="auto" w:fill="FFFFFF"/>
            <w:noWrap w:val="0"/>
            <w:vAlign w:val="center"/>
          </w:tcPr>
          <w:p>
            <w:pPr>
              <w:pStyle w:val="表格内容"/>
              <w:bidi w:val="0"/>
              <w:rPr>
                <w:color w:val="auto"/>
                <w:highlight w:val="none"/>
              </w:rPr>
            </w:pPr>
            <w:r>
              <w:rPr>
                <w:color w:val="auto"/>
                <w:highlight w:val="none"/>
              </w:rPr>
              <w:t xml:space="preserve">评价要点：</w:t>
            </w:r>
          </w:p>
        </w:tc>
        <w:tc>
          <w:tcPr>
            <w:tcW w:w="316" w:type="pct"/>
            <w:vMerge w:val="restart"/>
            <w:noWrap w:val="1"/>
            <w:vAlign w:val="center"/>
          </w:tcPr>
          <w:p>
            <w:pPr>
              <w:pStyle w:val="表格内容"/>
              <w:bidi w:val="0"/>
              <w:rPr>
                <w:color w:val="auto"/>
                <w:highlight w:val="none"/>
              </w:rPr>
            </w:pPr>
            <w:r>
              <w:rPr>
                <w:color w:val="auto"/>
                <w:highlight w:val="none"/>
              </w:rPr>
              <w:t xml:space="preserve">4</w:t>
            </w:r>
          </w:p>
        </w:tc>
        <w:tc>
          <w:tcPr>
            <w:tcW w:w="316" w:type="pct"/>
            <w:vMerge w:val="restart"/>
            <w:noWrap w:val="1"/>
            <w:vAlign w:val="center"/>
          </w:tcPr>
          <w:p>
            <w:pPr>
              <w:pStyle w:val="表格内容"/>
              <w:bidi w:val="0"/>
              <w:rPr>
                <w:rFonts w:eastAsia="仿宋_GB2312" w:hint="eastAsia"/>
                <w:color w:val="auto"/>
                <w:highlight w:val="none"/>
                <w:lang w:val="en-US" w:eastAsia="zh-CN"/>
              </w:rPr>
            </w:pPr>
            <w:r>
              <w:rPr>
                <w:rFonts w:hint="eastAsia"/>
                <w:color w:val="auto"/>
                <w:highlight w:val="none"/>
                <w:lang w:val="en-US" w:eastAsia="zh-CN"/>
              </w:rPr>
              <w:t xml:space="preserve">4</w:t>
            </w: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365" w:type="pct"/>
            <w:vMerge/>
            <w:shd w:val="clear" w:color="auto" w:fill="FFFFFF"/>
            <w:noWrap w:val="0"/>
            <w:vAlign w:val="center"/>
          </w:tcPr>
          <w:p>
            <w:pPr>
              <w:pStyle w:val="表格内容"/>
              <w:bidi w:val="0"/>
              <w:rPr>
                <w:color w:val="auto"/>
                <w:highlight w:val="none"/>
              </w:rPr>
            </w:pPr>
          </w:p>
        </w:tc>
        <w:tc>
          <w:tcPr>
            <w:tcW w:w="482" w:type="pct"/>
            <w:vMerge/>
            <w:shd w:val="clear" w:color="auto" w:fill="FFFFFF"/>
            <w:noWrap w:val="0"/>
            <w:vAlign w:val="center"/>
          </w:tcPr>
          <w:p>
            <w:pPr>
              <w:pStyle w:val="表格内容"/>
              <w:bidi w:val="0"/>
              <w:rPr>
                <w:color w:val="auto"/>
                <w:highlight w:val="none"/>
              </w:rPr>
            </w:pPr>
          </w:p>
        </w:tc>
        <w:tc>
          <w:tcPr>
            <w:tcW w:w="416" w:type="pct"/>
            <w:vMerge/>
            <w:shd w:val="clear" w:color="auto" w:fill="FFFFFF"/>
            <w:noWrap w:val="0"/>
            <w:vAlign w:val="center"/>
          </w:tcPr>
          <w:p>
            <w:pPr>
              <w:pStyle w:val="表格内容"/>
              <w:bidi w:val="0"/>
              <w:rPr>
                <w:color w:val="auto"/>
                <w:highlight w:val="none"/>
              </w:rPr>
            </w:pPr>
          </w:p>
        </w:tc>
        <w:tc>
          <w:tcPr>
            <w:tcW w:w="991" w:type="pct"/>
            <w:vMerge/>
            <w:shd w:val="clear" w:color="auto" w:fill="FFFFFF"/>
            <w:noWrap w:val="0"/>
            <w:vAlign w:val="center"/>
          </w:tcPr>
          <w:p>
            <w:pPr>
              <w:pStyle w:val="表格内容"/>
              <w:bidi w:val="0"/>
              <w:rPr>
                <w:color w:val="auto"/>
                <w:highlight w:val="none"/>
              </w:rPr>
            </w:pPr>
          </w:p>
        </w:tc>
        <w:tc>
          <w:tcPr>
            <w:tcW w:w="2111" w:type="pct"/>
            <w:shd w:val="clear" w:color="auto" w:fill="FFFFFF"/>
            <w:noWrap w:val="0"/>
            <w:vAlign w:val="center"/>
          </w:tcPr>
          <w:p>
            <w:pPr>
              <w:pStyle w:val="表格内容"/>
              <w:bidi w:val="0"/>
              <w:rPr>
                <w:color w:val="auto"/>
                <w:highlight w:val="none"/>
              </w:rPr>
            </w:pPr>
            <w:r>
              <w:rPr>
                <w:color w:val="auto"/>
                <w:highlight w:val="none"/>
              </w:rPr>
              <w:t xml:space="preserve">①是否符合国家财经法规和财务管理制度以及有关专项资金管理办法的规定；</w:t>
            </w:r>
          </w:p>
        </w:tc>
        <w:tc>
          <w:tcPr>
            <w:tcW w:w="316" w:type="pct"/>
            <w:vMerge/>
            <w:noWrap w:val="1"/>
            <w:vAlign w:val="center"/>
          </w:tcPr>
          <w:p>
            <w:pPr>
              <w:pStyle w:val="表格内容"/>
              <w:bidi w:val="0"/>
              <w:rPr>
                <w:color w:val="auto"/>
                <w:highlight w:val="none"/>
              </w:rPr>
            </w:pPr>
          </w:p>
        </w:tc>
        <w:tc>
          <w:tcPr>
            <w:tcW w:w="316"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365" w:type="pct"/>
            <w:vMerge/>
            <w:shd w:val="clear" w:color="auto" w:fill="FFFFFF"/>
            <w:noWrap w:val="0"/>
            <w:vAlign w:val="center"/>
          </w:tcPr>
          <w:p>
            <w:pPr>
              <w:pStyle w:val="表格内容"/>
              <w:bidi w:val="0"/>
              <w:rPr>
                <w:color w:val="auto"/>
                <w:highlight w:val="none"/>
              </w:rPr>
            </w:pPr>
          </w:p>
        </w:tc>
        <w:tc>
          <w:tcPr>
            <w:tcW w:w="482" w:type="pct"/>
            <w:vMerge/>
            <w:shd w:val="clear" w:color="auto" w:fill="FFFFFF"/>
            <w:noWrap w:val="0"/>
            <w:vAlign w:val="center"/>
          </w:tcPr>
          <w:p>
            <w:pPr>
              <w:pStyle w:val="表格内容"/>
              <w:bidi w:val="0"/>
              <w:rPr>
                <w:color w:val="auto"/>
                <w:highlight w:val="none"/>
              </w:rPr>
            </w:pPr>
          </w:p>
        </w:tc>
        <w:tc>
          <w:tcPr>
            <w:tcW w:w="416" w:type="pct"/>
            <w:vMerge/>
            <w:shd w:val="clear" w:color="auto" w:fill="FFFFFF"/>
            <w:noWrap w:val="0"/>
            <w:vAlign w:val="center"/>
          </w:tcPr>
          <w:p>
            <w:pPr>
              <w:pStyle w:val="表格内容"/>
              <w:bidi w:val="0"/>
              <w:rPr>
                <w:color w:val="auto"/>
                <w:highlight w:val="none"/>
              </w:rPr>
            </w:pPr>
          </w:p>
        </w:tc>
        <w:tc>
          <w:tcPr>
            <w:tcW w:w="991" w:type="pct"/>
            <w:vMerge/>
            <w:shd w:val="clear" w:color="auto" w:fill="FFFFFF"/>
            <w:noWrap w:val="0"/>
            <w:vAlign w:val="center"/>
          </w:tcPr>
          <w:p>
            <w:pPr>
              <w:pStyle w:val="表格内容"/>
              <w:bidi w:val="0"/>
              <w:rPr>
                <w:color w:val="auto"/>
                <w:highlight w:val="none"/>
              </w:rPr>
            </w:pPr>
          </w:p>
        </w:tc>
        <w:tc>
          <w:tcPr>
            <w:tcW w:w="2111" w:type="pct"/>
            <w:shd w:val="clear" w:color="auto" w:fill="FFFFFF"/>
            <w:noWrap w:val="0"/>
            <w:vAlign w:val="center"/>
          </w:tcPr>
          <w:p>
            <w:pPr>
              <w:pStyle w:val="表格内容"/>
              <w:bidi w:val="0"/>
              <w:rPr>
                <w:color w:val="auto"/>
                <w:highlight w:val="none"/>
              </w:rPr>
            </w:pPr>
            <w:r>
              <w:rPr>
                <w:color w:val="auto"/>
                <w:highlight w:val="none"/>
              </w:rPr>
              <w:t xml:space="preserve">②资金的拨付是否有完整的审批程序和手续；</w:t>
            </w:r>
          </w:p>
        </w:tc>
        <w:tc>
          <w:tcPr>
            <w:tcW w:w="316" w:type="pct"/>
            <w:vMerge/>
            <w:noWrap w:val="1"/>
            <w:vAlign w:val="center"/>
          </w:tcPr>
          <w:p>
            <w:pPr>
              <w:pStyle w:val="表格内容"/>
              <w:bidi w:val="0"/>
              <w:rPr>
                <w:color w:val="auto"/>
                <w:highlight w:val="none"/>
              </w:rPr>
            </w:pPr>
          </w:p>
        </w:tc>
        <w:tc>
          <w:tcPr>
            <w:tcW w:w="316"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365" w:type="pct"/>
            <w:vMerge/>
            <w:shd w:val="clear" w:color="auto" w:fill="FFFFFF"/>
            <w:noWrap w:val="0"/>
            <w:vAlign w:val="center"/>
          </w:tcPr>
          <w:p>
            <w:pPr>
              <w:pStyle w:val="表格内容"/>
              <w:bidi w:val="0"/>
              <w:rPr>
                <w:color w:val="auto"/>
                <w:highlight w:val="none"/>
              </w:rPr>
            </w:pPr>
          </w:p>
        </w:tc>
        <w:tc>
          <w:tcPr>
            <w:tcW w:w="482" w:type="pct"/>
            <w:vMerge/>
            <w:shd w:val="clear" w:color="auto" w:fill="FFFFFF"/>
            <w:noWrap w:val="0"/>
            <w:vAlign w:val="center"/>
          </w:tcPr>
          <w:p>
            <w:pPr>
              <w:pStyle w:val="表格内容"/>
              <w:bidi w:val="0"/>
              <w:rPr>
                <w:color w:val="auto"/>
                <w:highlight w:val="none"/>
              </w:rPr>
            </w:pPr>
          </w:p>
        </w:tc>
        <w:tc>
          <w:tcPr>
            <w:tcW w:w="416" w:type="pct"/>
            <w:vMerge/>
            <w:shd w:val="clear" w:color="auto" w:fill="FFFFFF"/>
            <w:noWrap w:val="0"/>
            <w:vAlign w:val="center"/>
          </w:tcPr>
          <w:p>
            <w:pPr>
              <w:pStyle w:val="表格内容"/>
              <w:bidi w:val="0"/>
              <w:rPr>
                <w:color w:val="auto"/>
                <w:highlight w:val="none"/>
              </w:rPr>
            </w:pPr>
          </w:p>
        </w:tc>
        <w:tc>
          <w:tcPr>
            <w:tcW w:w="991" w:type="pct"/>
            <w:vMerge/>
            <w:shd w:val="clear" w:color="auto" w:fill="FFFFFF"/>
            <w:noWrap w:val="0"/>
            <w:vAlign w:val="center"/>
          </w:tcPr>
          <w:p>
            <w:pPr>
              <w:pStyle w:val="表格内容"/>
              <w:bidi w:val="0"/>
              <w:rPr>
                <w:color w:val="auto"/>
                <w:highlight w:val="none"/>
              </w:rPr>
            </w:pPr>
          </w:p>
        </w:tc>
        <w:tc>
          <w:tcPr>
            <w:tcW w:w="2111" w:type="pct"/>
            <w:shd w:val="clear" w:color="auto" w:fill="FFFFFF"/>
            <w:noWrap w:val="0"/>
            <w:vAlign w:val="center"/>
          </w:tcPr>
          <w:p>
            <w:pPr>
              <w:pStyle w:val="表格内容"/>
              <w:bidi w:val="0"/>
              <w:rPr>
                <w:color w:val="auto"/>
                <w:highlight w:val="none"/>
              </w:rPr>
            </w:pPr>
            <w:r>
              <w:rPr>
                <w:color w:val="auto"/>
                <w:highlight w:val="none"/>
              </w:rPr>
              <w:t xml:space="preserve">③是否符合项目预算批复或合同规定的用途；</w:t>
            </w:r>
          </w:p>
        </w:tc>
        <w:tc>
          <w:tcPr>
            <w:tcW w:w="316" w:type="pct"/>
            <w:vMerge/>
            <w:noWrap w:val="1"/>
            <w:vAlign w:val="center"/>
          </w:tcPr>
          <w:p>
            <w:pPr>
              <w:pStyle w:val="表格内容"/>
              <w:bidi w:val="0"/>
              <w:rPr>
                <w:color w:val="auto"/>
                <w:highlight w:val="none"/>
              </w:rPr>
            </w:pPr>
          </w:p>
        </w:tc>
        <w:tc>
          <w:tcPr>
            <w:tcW w:w="316"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365" w:type="pct"/>
            <w:vMerge/>
            <w:shd w:val="clear" w:color="auto" w:fill="FFFFFF"/>
            <w:noWrap w:val="0"/>
            <w:vAlign w:val="center"/>
          </w:tcPr>
          <w:p>
            <w:pPr>
              <w:pStyle w:val="表格内容"/>
              <w:bidi w:val="0"/>
              <w:rPr>
                <w:color w:val="auto"/>
                <w:highlight w:val="none"/>
              </w:rPr>
            </w:pPr>
          </w:p>
        </w:tc>
        <w:tc>
          <w:tcPr>
            <w:tcW w:w="482" w:type="pct"/>
            <w:vMerge/>
            <w:shd w:val="clear" w:color="auto" w:fill="FFFFFF"/>
            <w:noWrap w:val="0"/>
            <w:vAlign w:val="center"/>
          </w:tcPr>
          <w:p>
            <w:pPr>
              <w:pStyle w:val="表格内容"/>
              <w:bidi w:val="0"/>
              <w:rPr>
                <w:color w:val="auto"/>
                <w:highlight w:val="none"/>
              </w:rPr>
            </w:pPr>
          </w:p>
        </w:tc>
        <w:tc>
          <w:tcPr>
            <w:tcW w:w="416" w:type="pct"/>
            <w:vMerge/>
            <w:shd w:val="clear" w:color="auto" w:fill="FFFFFF"/>
            <w:noWrap w:val="0"/>
            <w:vAlign w:val="center"/>
          </w:tcPr>
          <w:p>
            <w:pPr>
              <w:pStyle w:val="表格内容"/>
              <w:bidi w:val="0"/>
              <w:rPr>
                <w:color w:val="auto"/>
                <w:highlight w:val="none"/>
              </w:rPr>
            </w:pPr>
          </w:p>
        </w:tc>
        <w:tc>
          <w:tcPr>
            <w:tcW w:w="991" w:type="pct"/>
            <w:vMerge/>
            <w:shd w:val="clear" w:color="auto" w:fill="FFFFFF"/>
            <w:noWrap w:val="0"/>
            <w:vAlign w:val="center"/>
          </w:tcPr>
          <w:p>
            <w:pPr>
              <w:pStyle w:val="表格内容"/>
              <w:bidi w:val="0"/>
              <w:rPr>
                <w:color w:val="auto"/>
                <w:highlight w:val="none"/>
              </w:rPr>
            </w:pPr>
          </w:p>
        </w:tc>
        <w:tc>
          <w:tcPr>
            <w:tcW w:w="2111" w:type="pct"/>
            <w:shd w:val="clear" w:color="auto" w:fill="FFFFFF"/>
            <w:noWrap w:val="0"/>
            <w:vAlign w:val="center"/>
          </w:tcPr>
          <w:p>
            <w:pPr>
              <w:pStyle w:val="表格内容"/>
              <w:bidi w:val="0"/>
              <w:rPr>
                <w:color w:val="auto"/>
                <w:highlight w:val="none"/>
              </w:rPr>
            </w:pPr>
            <w:r>
              <w:rPr>
                <w:color w:val="auto"/>
                <w:highlight w:val="none"/>
              </w:rPr>
              <w:t xml:space="preserve">④是否存在截留、挤占、挪用、虚列支出等情况。</w:t>
            </w:r>
          </w:p>
        </w:tc>
        <w:tc>
          <w:tcPr>
            <w:tcW w:w="316" w:type="pct"/>
            <w:vMerge/>
            <w:noWrap w:val="1"/>
            <w:vAlign w:val="center"/>
          </w:tcPr>
          <w:p>
            <w:pPr>
              <w:pStyle w:val="表格内容"/>
              <w:bidi w:val="0"/>
              <w:rPr>
                <w:color w:val="auto"/>
                <w:highlight w:val="none"/>
              </w:rPr>
            </w:pPr>
          </w:p>
        </w:tc>
        <w:tc>
          <w:tcPr>
            <w:tcW w:w="316"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365" w:type="pct"/>
            <w:vMerge/>
            <w:shd w:val="clear" w:color="auto" w:fill="FFFFFF"/>
            <w:noWrap w:val="0"/>
            <w:vAlign w:val="center"/>
          </w:tcPr>
          <w:p>
            <w:pPr>
              <w:pStyle w:val="表格内容"/>
              <w:bidi w:val="0"/>
              <w:rPr>
                <w:color w:val="auto"/>
                <w:highlight w:val="none"/>
              </w:rPr>
            </w:pPr>
          </w:p>
        </w:tc>
        <w:tc>
          <w:tcPr>
            <w:tcW w:w="482" w:type="pct"/>
            <w:vMerge w:val="restart"/>
            <w:shd w:val="clear" w:color="auto" w:fill="FFFFFF"/>
            <w:noWrap w:val="0"/>
            <w:vAlign w:val="center"/>
          </w:tcPr>
          <w:p>
            <w:pPr>
              <w:pStyle w:val="表格内容"/>
              <w:bidi w:val="0"/>
              <w:rPr>
                <w:color w:val="auto"/>
                <w:highlight w:val="none"/>
              </w:rPr>
            </w:pPr>
            <w:r>
              <w:rPr>
                <w:color w:val="auto"/>
                <w:highlight w:val="none"/>
              </w:rPr>
              <w:t xml:space="preserve">组织实施</w:t>
            </w:r>
          </w:p>
        </w:tc>
        <w:tc>
          <w:tcPr>
            <w:tcW w:w="416" w:type="pct"/>
            <w:vMerge w:val="restart"/>
            <w:shd w:val="clear" w:color="auto" w:fill="FFFFFF"/>
            <w:noWrap w:val="0"/>
            <w:vAlign w:val="center"/>
          </w:tcPr>
          <w:p>
            <w:pPr>
              <w:pStyle w:val="表格内容"/>
              <w:bidi w:val="0"/>
              <w:rPr>
                <w:color w:val="auto"/>
                <w:highlight w:val="none"/>
              </w:rPr>
            </w:pPr>
            <w:r>
              <w:rPr>
                <w:color w:val="auto"/>
                <w:highlight w:val="none"/>
              </w:rPr>
              <w:t xml:space="preserve">管理制度健全性</w:t>
            </w:r>
          </w:p>
        </w:tc>
        <w:tc>
          <w:tcPr>
            <w:tcW w:w="991" w:type="pct"/>
            <w:vMerge w:val="restart"/>
            <w:shd w:val="clear" w:color="auto" w:fill="FFFFFF"/>
            <w:noWrap w:val="0"/>
            <w:vAlign w:val="center"/>
          </w:tcPr>
          <w:p>
            <w:pPr>
              <w:pStyle w:val="表格内容"/>
              <w:bidi w:val="0"/>
              <w:rPr>
                <w:color w:val="auto"/>
                <w:highlight w:val="none"/>
              </w:rPr>
            </w:pPr>
            <w:r>
              <w:rPr>
                <w:color w:val="auto"/>
                <w:highlight w:val="none"/>
              </w:rPr>
              <w:t xml:space="preserve">项目实施单位的财务和业务管理制度是否健全，用以反映和考核财务和业务管理制度对项目顺利实施的保障情况。</w:t>
            </w:r>
          </w:p>
        </w:tc>
        <w:tc>
          <w:tcPr>
            <w:tcW w:w="2111" w:type="pct"/>
            <w:shd w:val="clear" w:color="auto" w:fill="FFFFFF"/>
            <w:noWrap w:val="0"/>
            <w:vAlign w:val="center"/>
          </w:tcPr>
          <w:p>
            <w:pPr>
              <w:pStyle w:val="表格内容"/>
              <w:bidi w:val="0"/>
              <w:rPr>
                <w:color w:val="auto"/>
                <w:highlight w:val="none"/>
              </w:rPr>
            </w:pPr>
            <w:r>
              <w:rPr>
                <w:color w:val="auto"/>
                <w:highlight w:val="none"/>
              </w:rPr>
              <w:t xml:space="preserve">评价要点：</w:t>
            </w:r>
          </w:p>
        </w:tc>
        <w:tc>
          <w:tcPr>
            <w:tcW w:w="316" w:type="pct"/>
            <w:vMerge w:val="restart"/>
            <w:noWrap w:val="1"/>
            <w:vAlign w:val="center"/>
          </w:tcPr>
          <w:p>
            <w:pPr>
              <w:pStyle w:val="表格内容"/>
              <w:bidi w:val="0"/>
              <w:rPr>
                <w:color w:val="auto"/>
                <w:highlight w:val="none"/>
              </w:rPr>
            </w:pPr>
            <w:r>
              <w:rPr>
                <w:color w:val="auto"/>
                <w:highlight w:val="none"/>
              </w:rPr>
              <w:t xml:space="preserve">3</w:t>
            </w:r>
          </w:p>
        </w:tc>
        <w:tc>
          <w:tcPr>
            <w:tcW w:w="316" w:type="pct"/>
            <w:vMerge w:val="restart"/>
            <w:noWrap w:val="1"/>
            <w:vAlign w:val="center"/>
          </w:tcPr>
          <w:p>
            <w:pPr>
              <w:pStyle w:val="表格内容"/>
              <w:bidi w:val="0"/>
              <w:rPr>
                <w:rFonts w:eastAsia="仿宋_GB2312" w:hint="eastAsia"/>
                <w:color w:val="auto"/>
                <w:highlight w:val="none"/>
                <w:lang w:val="en-US" w:eastAsia="zh-CN"/>
              </w:rPr>
            </w:pPr>
            <w:r>
              <w:rPr>
                <w:rFonts w:hint="eastAsia"/>
                <w:color w:val="auto"/>
                <w:highlight w:val="none"/>
                <w:lang w:val="en-US" w:eastAsia="zh-CN"/>
              </w:rPr>
              <w:t xml:space="preserve">3</w:t>
            </w: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365" w:type="pct"/>
            <w:vMerge/>
            <w:shd w:val="clear" w:color="auto" w:fill="FFFFFF"/>
            <w:noWrap w:val="0"/>
            <w:vAlign w:val="center"/>
          </w:tcPr>
          <w:p>
            <w:pPr>
              <w:pStyle w:val="表格内容"/>
              <w:bidi w:val="0"/>
              <w:rPr>
                <w:color w:val="auto"/>
                <w:highlight w:val="none"/>
              </w:rPr>
            </w:pPr>
          </w:p>
        </w:tc>
        <w:tc>
          <w:tcPr>
            <w:tcW w:w="482" w:type="pct"/>
            <w:vMerge/>
            <w:shd w:val="clear" w:color="auto" w:fill="FFFFFF"/>
            <w:noWrap w:val="0"/>
            <w:vAlign w:val="center"/>
          </w:tcPr>
          <w:p>
            <w:pPr>
              <w:pStyle w:val="表格内容"/>
              <w:bidi w:val="0"/>
              <w:rPr>
                <w:color w:val="auto"/>
                <w:highlight w:val="none"/>
              </w:rPr>
            </w:pPr>
          </w:p>
        </w:tc>
        <w:tc>
          <w:tcPr>
            <w:tcW w:w="416" w:type="pct"/>
            <w:vMerge/>
            <w:shd w:val="clear" w:color="auto" w:fill="FFFFFF"/>
            <w:noWrap w:val="0"/>
            <w:vAlign w:val="center"/>
          </w:tcPr>
          <w:p>
            <w:pPr>
              <w:pStyle w:val="表格内容"/>
              <w:bidi w:val="0"/>
              <w:rPr>
                <w:color w:val="auto"/>
                <w:highlight w:val="none"/>
              </w:rPr>
            </w:pPr>
          </w:p>
        </w:tc>
        <w:tc>
          <w:tcPr>
            <w:tcW w:w="991" w:type="pct"/>
            <w:vMerge/>
            <w:shd w:val="clear" w:color="auto" w:fill="FFFFFF"/>
            <w:noWrap w:val="0"/>
            <w:vAlign w:val="center"/>
          </w:tcPr>
          <w:p>
            <w:pPr>
              <w:pStyle w:val="表格内容"/>
              <w:bidi w:val="0"/>
              <w:rPr>
                <w:color w:val="auto"/>
                <w:highlight w:val="none"/>
              </w:rPr>
            </w:pPr>
          </w:p>
        </w:tc>
        <w:tc>
          <w:tcPr>
            <w:tcW w:w="2111" w:type="pct"/>
            <w:shd w:val="clear" w:color="auto" w:fill="FFFFFF"/>
            <w:noWrap w:val="0"/>
            <w:vAlign w:val="center"/>
          </w:tcPr>
          <w:p>
            <w:pPr>
              <w:pStyle w:val="表格内容"/>
              <w:bidi w:val="0"/>
              <w:rPr>
                <w:color w:val="auto"/>
                <w:highlight w:val="none"/>
              </w:rPr>
            </w:pPr>
            <w:r>
              <w:rPr>
                <w:color w:val="auto"/>
                <w:highlight w:val="none"/>
              </w:rPr>
              <w:t xml:space="preserve">①是否已制定或具有相应的财务和业务管理制度；</w:t>
            </w:r>
          </w:p>
        </w:tc>
        <w:tc>
          <w:tcPr>
            <w:tcW w:w="316" w:type="pct"/>
            <w:vMerge/>
            <w:noWrap w:val="1"/>
            <w:vAlign w:val="center"/>
          </w:tcPr>
          <w:p>
            <w:pPr>
              <w:pStyle w:val="表格内容"/>
              <w:bidi w:val="0"/>
              <w:rPr>
                <w:color w:val="auto"/>
                <w:highlight w:val="none"/>
              </w:rPr>
            </w:pPr>
          </w:p>
        </w:tc>
        <w:tc>
          <w:tcPr>
            <w:tcW w:w="316"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365" w:type="pct"/>
            <w:vMerge/>
            <w:shd w:val="clear" w:color="auto" w:fill="FFFFFF"/>
            <w:noWrap w:val="0"/>
            <w:vAlign w:val="center"/>
          </w:tcPr>
          <w:p>
            <w:pPr>
              <w:pStyle w:val="表格内容"/>
              <w:bidi w:val="0"/>
              <w:rPr>
                <w:color w:val="auto"/>
                <w:highlight w:val="none"/>
              </w:rPr>
            </w:pPr>
          </w:p>
        </w:tc>
        <w:tc>
          <w:tcPr>
            <w:tcW w:w="482" w:type="pct"/>
            <w:vMerge/>
            <w:shd w:val="clear" w:color="auto" w:fill="FFFFFF"/>
            <w:noWrap w:val="0"/>
            <w:vAlign w:val="center"/>
          </w:tcPr>
          <w:p>
            <w:pPr>
              <w:pStyle w:val="表格内容"/>
              <w:bidi w:val="0"/>
              <w:rPr>
                <w:color w:val="auto"/>
                <w:highlight w:val="none"/>
              </w:rPr>
            </w:pPr>
          </w:p>
        </w:tc>
        <w:tc>
          <w:tcPr>
            <w:tcW w:w="416" w:type="pct"/>
            <w:vMerge/>
            <w:shd w:val="clear" w:color="auto" w:fill="FFFFFF"/>
            <w:noWrap w:val="0"/>
            <w:vAlign w:val="center"/>
          </w:tcPr>
          <w:p>
            <w:pPr>
              <w:pStyle w:val="表格内容"/>
              <w:bidi w:val="0"/>
              <w:rPr>
                <w:color w:val="auto"/>
                <w:highlight w:val="none"/>
              </w:rPr>
            </w:pPr>
          </w:p>
        </w:tc>
        <w:tc>
          <w:tcPr>
            <w:tcW w:w="991" w:type="pct"/>
            <w:vMerge/>
            <w:shd w:val="clear" w:color="auto" w:fill="FFFFFF"/>
            <w:noWrap w:val="0"/>
            <w:vAlign w:val="center"/>
          </w:tcPr>
          <w:p>
            <w:pPr>
              <w:pStyle w:val="表格内容"/>
              <w:bidi w:val="0"/>
              <w:rPr>
                <w:color w:val="auto"/>
                <w:highlight w:val="none"/>
              </w:rPr>
            </w:pPr>
          </w:p>
        </w:tc>
        <w:tc>
          <w:tcPr>
            <w:tcW w:w="2111" w:type="pct"/>
            <w:shd w:val="clear" w:color="auto" w:fill="FFFFFF"/>
            <w:noWrap w:val="0"/>
            <w:vAlign w:val="center"/>
          </w:tcPr>
          <w:p>
            <w:pPr>
              <w:pStyle w:val="表格内容"/>
              <w:bidi w:val="0"/>
              <w:rPr>
                <w:color w:val="auto"/>
                <w:highlight w:val="none"/>
              </w:rPr>
            </w:pPr>
            <w:r>
              <w:rPr>
                <w:color w:val="auto"/>
                <w:highlight w:val="none"/>
              </w:rPr>
              <w:t xml:space="preserve">②财务和业务管理制度是否合法、合规、完整。</w:t>
            </w:r>
          </w:p>
        </w:tc>
        <w:tc>
          <w:tcPr>
            <w:tcW w:w="316" w:type="pct"/>
            <w:vMerge/>
            <w:noWrap w:val="1"/>
            <w:vAlign w:val="center"/>
          </w:tcPr>
          <w:p>
            <w:pPr>
              <w:pStyle w:val="表格内容"/>
              <w:bidi w:val="0"/>
              <w:rPr>
                <w:color w:val="auto"/>
                <w:highlight w:val="none"/>
              </w:rPr>
            </w:pPr>
          </w:p>
        </w:tc>
        <w:tc>
          <w:tcPr>
            <w:tcW w:w="316"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365" w:type="pct"/>
            <w:vMerge/>
            <w:shd w:val="clear" w:color="auto" w:fill="FFFFFF"/>
            <w:noWrap w:val="0"/>
            <w:vAlign w:val="center"/>
          </w:tcPr>
          <w:p>
            <w:pPr>
              <w:pStyle w:val="表格内容"/>
              <w:bidi w:val="0"/>
              <w:rPr>
                <w:color w:val="auto"/>
                <w:highlight w:val="none"/>
              </w:rPr>
            </w:pPr>
          </w:p>
        </w:tc>
        <w:tc>
          <w:tcPr>
            <w:tcW w:w="482" w:type="pct"/>
            <w:vMerge/>
            <w:shd w:val="clear" w:color="auto" w:fill="FFFFFF"/>
            <w:noWrap w:val="0"/>
            <w:vAlign w:val="center"/>
          </w:tcPr>
          <w:p>
            <w:pPr>
              <w:pStyle w:val="表格内容"/>
              <w:bidi w:val="0"/>
              <w:rPr>
                <w:color w:val="auto"/>
                <w:highlight w:val="none"/>
              </w:rPr>
            </w:pPr>
          </w:p>
        </w:tc>
        <w:tc>
          <w:tcPr>
            <w:tcW w:w="416" w:type="pct"/>
            <w:vMerge w:val="restart"/>
            <w:shd w:val="clear" w:color="auto" w:fill="FFFFFF"/>
            <w:noWrap w:val="0"/>
            <w:vAlign w:val="center"/>
          </w:tcPr>
          <w:p>
            <w:pPr>
              <w:pStyle w:val="表格内容"/>
              <w:bidi w:val="0"/>
              <w:rPr>
                <w:color w:val="auto"/>
                <w:highlight w:val="none"/>
              </w:rPr>
            </w:pPr>
            <w:r>
              <w:rPr>
                <w:color w:val="auto"/>
                <w:highlight w:val="none"/>
              </w:rPr>
              <w:t xml:space="preserve">制度执行有效性</w:t>
            </w:r>
          </w:p>
        </w:tc>
        <w:tc>
          <w:tcPr>
            <w:tcW w:w="991" w:type="pct"/>
            <w:vMerge w:val="restart"/>
            <w:shd w:val="clear" w:color="auto" w:fill="FFFFFF"/>
            <w:noWrap w:val="0"/>
            <w:vAlign w:val="center"/>
          </w:tcPr>
          <w:p>
            <w:pPr>
              <w:pStyle w:val="表格内容"/>
              <w:bidi w:val="0"/>
              <w:rPr>
                <w:color w:val="auto"/>
                <w:highlight w:val="none"/>
              </w:rPr>
            </w:pPr>
            <w:r>
              <w:rPr>
                <w:color w:val="auto"/>
                <w:highlight w:val="none"/>
              </w:rPr>
              <w:t xml:space="preserve">项目实施是否符合相关管理规定，用以反映和考核相关管理制度的有效执行情况。</w:t>
            </w:r>
          </w:p>
        </w:tc>
        <w:tc>
          <w:tcPr>
            <w:tcW w:w="2111" w:type="pct"/>
            <w:shd w:val="clear" w:color="auto" w:fill="FFFFFF"/>
            <w:noWrap w:val="0"/>
            <w:vAlign w:val="center"/>
          </w:tcPr>
          <w:p>
            <w:pPr>
              <w:pStyle w:val="表格内容"/>
              <w:bidi w:val="0"/>
              <w:rPr>
                <w:color w:val="auto"/>
                <w:highlight w:val="none"/>
              </w:rPr>
            </w:pPr>
            <w:r>
              <w:rPr>
                <w:color w:val="auto"/>
                <w:highlight w:val="none"/>
              </w:rPr>
              <w:t xml:space="preserve">评价要点：</w:t>
            </w:r>
          </w:p>
        </w:tc>
        <w:tc>
          <w:tcPr>
            <w:tcW w:w="316" w:type="pct"/>
            <w:vMerge w:val="restart"/>
            <w:noWrap w:val="1"/>
            <w:vAlign w:val="center"/>
          </w:tcPr>
          <w:p>
            <w:pPr>
              <w:pStyle w:val="表格内容"/>
              <w:bidi w:val="0"/>
              <w:rPr>
                <w:color w:val="auto"/>
                <w:highlight w:val="none"/>
              </w:rPr>
            </w:pPr>
            <w:r>
              <w:rPr>
                <w:color w:val="auto"/>
                <w:highlight w:val="none"/>
              </w:rPr>
              <w:t xml:space="preserve">3</w:t>
            </w:r>
          </w:p>
        </w:tc>
        <w:tc>
          <w:tcPr>
            <w:tcW w:w="316" w:type="pct"/>
            <w:vMerge w:val="restart"/>
            <w:noWrap w:val="1"/>
            <w:vAlign w:val="center"/>
          </w:tcPr>
          <w:p>
            <w:pPr>
              <w:pStyle w:val="表格内容"/>
              <w:bidi w:val="0"/>
              <w:rPr>
                <w:rFonts w:eastAsia="仿宋_GB2312" w:hint="eastAsia"/>
                <w:color w:val="auto"/>
                <w:highlight w:val="none"/>
                <w:lang w:val="en-US" w:eastAsia="zh-CN"/>
              </w:rPr>
            </w:pPr>
            <w:r>
              <w:rPr>
                <w:rFonts w:hint="eastAsia"/>
                <w:color w:val="auto"/>
                <w:highlight w:val="none"/>
                <w:lang w:val="en-US" w:eastAsia="zh-CN"/>
              </w:rPr>
              <w:t xml:space="preserve">3</w:t>
            </w: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365" w:type="pct"/>
            <w:vMerge/>
            <w:shd w:val="clear" w:color="auto" w:fill="FFFFFF"/>
            <w:noWrap w:val="0"/>
            <w:vAlign w:val="center"/>
          </w:tcPr>
          <w:p>
            <w:pPr>
              <w:pStyle w:val="表格内容"/>
              <w:bidi w:val="0"/>
              <w:rPr>
                <w:color w:val="auto"/>
                <w:highlight w:val="none"/>
              </w:rPr>
            </w:pPr>
          </w:p>
        </w:tc>
        <w:tc>
          <w:tcPr>
            <w:tcW w:w="482" w:type="pct"/>
            <w:vMerge/>
            <w:shd w:val="clear" w:color="auto" w:fill="FFFFFF"/>
            <w:noWrap w:val="0"/>
            <w:vAlign w:val="center"/>
          </w:tcPr>
          <w:p>
            <w:pPr>
              <w:pStyle w:val="表格内容"/>
              <w:bidi w:val="0"/>
              <w:rPr>
                <w:color w:val="auto"/>
                <w:highlight w:val="none"/>
              </w:rPr>
            </w:pPr>
          </w:p>
        </w:tc>
        <w:tc>
          <w:tcPr>
            <w:tcW w:w="416" w:type="pct"/>
            <w:vMerge/>
            <w:shd w:val="clear" w:color="auto" w:fill="FFFFFF"/>
            <w:noWrap w:val="0"/>
            <w:vAlign w:val="center"/>
          </w:tcPr>
          <w:p>
            <w:pPr>
              <w:pStyle w:val="表格内容"/>
              <w:bidi w:val="0"/>
              <w:rPr>
                <w:color w:val="auto"/>
                <w:highlight w:val="none"/>
              </w:rPr>
            </w:pPr>
          </w:p>
        </w:tc>
        <w:tc>
          <w:tcPr>
            <w:tcW w:w="991" w:type="pct"/>
            <w:vMerge/>
            <w:shd w:val="clear" w:color="auto" w:fill="FFFFFF"/>
            <w:noWrap w:val="0"/>
            <w:vAlign w:val="center"/>
          </w:tcPr>
          <w:p>
            <w:pPr>
              <w:pStyle w:val="表格内容"/>
              <w:bidi w:val="0"/>
              <w:rPr>
                <w:color w:val="auto"/>
                <w:highlight w:val="none"/>
              </w:rPr>
            </w:pPr>
          </w:p>
        </w:tc>
        <w:tc>
          <w:tcPr>
            <w:tcW w:w="2111" w:type="pct"/>
            <w:shd w:val="clear" w:color="auto" w:fill="FFFFFF"/>
            <w:noWrap w:val="0"/>
            <w:vAlign w:val="center"/>
          </w:tcPr>
          <w:p>
            <w:pPr>
              <w:pStyle w:val="表格内容"/>
              <w:bidi w:val="0"/>
              <w:rPr>
                <w:color w:val="auto"/>
                <w:highlight w:val="none"/>
              </w:rPr>
            </w:pPr>
            <w:r>
              <w:rPr>
                <w:color w:val="auto"/>
                <w:highlight w:val="none"/>
              </w:rPr>
              <w:t xml:space="preserve">①是否遵守相关法律法规和相关管理规定；</w:t>
            </w:r>
          </w:p>
        </w:tc>
        <w:tc>
          <w:tcPr>
            <w:tcW w:w="316" w:type="pct"/>
            <w:vMerge/>
            <w:noWrap w:val="1"/>
            <w:vAlign w:val="center"/>
          </w:tcPr>
          <w:p>
            <w:pPr>
              <w:pStyle w:val="表格内容"/>
              <w:bidi w:val="0"/>
              <w:rPr>
                <w:color w:val="auto"/>
                <w:highlight w:val="none"/>
              </w:rPr>
            </w:pPr>
          </w:p>
        </w:tc>
        <w:tc>
          <w:tcPr>
            <w:tcW w:w="316"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365" w:type="pct"/>
            <w:vMerge/>
            <w:shd w:val="clear" w:color="auto" w:fill="FFFFFF"/>
            <w:noWrap w:val="0"/>
            <w:vAlign w:val="center"/>
          </w:tcPr>
          <w:p>
            <w:pPr>
              <w:pStyle w:val="表格内容"/>
              <w:bidi w:val="0"/>
              <w:rPr>
                <w:color w:val="auto"/>
                <w:highlight w:val="none"/>
              </w:rPr>
            </w:pPr>
          </w:p>
        </w:tc>
        <w:tc>
          <w:tcPr>
            <w:tcW w:w="482" w:type="pct"/>
            <w:vMerge/>
            <w:shd w:val="clear" w:color="auto" w:fill="FFFFFF"/>
            <w:noWrap w:val="0"/>
            <w:vAlign w:val="center"/>
          </w:tcPr>
          <w:p>
            <w:pPr>
              <w:pStyle w:val="表格内容"/>
              <w:bidi w:val="0"/>
              <w:rPr>
                <w:color w:val="auto"/>
                <w:highlight w:val="none"/>
              </w:rPr>
            </w:pPr>
          </w:p>
        </w:tc>
        <w:tc>
          <w:tcPr>
            <w:tcW w:w="416" w:type="pct"/>
            <w:vMerge/>
            <w:shd w:val="clear" w:color="auto" w:fill="FFFFFF"/>
            <w:noWrap w:val="0"/>
            <w:vAlign w:val="center"/>
          </w:tcPr>
          <w:p>
            <w:pPr>
              <w:pStyle w:val="表格内容"/>
              <w:bidi w:val="0"/>
              <w:rPr>
                <w:color w:val="auto"/>
                <w:highlight w:val="none"/>
              </w:rPr>
            </w:pPr>
          </w:p>
        </w:tc>
        <w:tc>
          <w:tcPr>
            <w:tcW w:w="991" w:type="pct"/>
            <w:vMerge/>
            <w:shd w:val="clear" w:color="auto" w:fill="FFFFFF"/>
            <w:noWrap w:val="0"/>
            <w:vAlign w:val="center"/>
          </w:tcPr>
          <w:p>
            <w:pPr>
              <w:pStyle w:val="表格内容"/>
              <w:bidi w:val="0"/>
              <w:rPr>
                <w:color w:val="auto"/>
                <w:highlight w:val="none"/>
              </w:rPr>
            </w:pPr>
          </w:p>
        </w:tc>
        <w:tc>
          <w:tcPr>
            <w:tcW w:w="2111" w:type="pct"/>
            <w:shd w:val="clear" w:color="auto" w:fill="FFFFFF"/>
            <w:noWrap w:val="0"/>
            <w:vAlign w:val="center"/>
          </w:tcPr>
          <w:p>
            <w:pPr>
              <w:pStyle w:val="表格内容"/>
              <w:bidi w:val="0"/>
              <w:rPr>
                <w:color w:val="auto"/>
                <w:highlight w:val="none"/>
              </w:rPr>
            </w:pPr>
            <w:r>
              <w:rPr>
                <w:color w:val="auto"/>
                <w:highlight w:val="none"/>
              </w:rPr>
              <w:t xml:space="preserve">②项目调整及支出调整手续是否完备；</w:t>
            </w:r>
          </w:p>
        </w:tc>
        <w:tc>
          <w:tcPr>
            <w:tcW w:w="316" w:type="pct"/>
            <w:vMerge/>
            <w:noWrap w:val="1"/>
            <w:vAlign w:val="center"/>
          </w:tcPr>
          <w:p>
            <w:pPr>
              <w:pStyle w:val="表格内容"/>
              <w:bidi w:val="0"/>
              <w:rPr>
                <w:color w:val="auto"/>
                <w:highlight w:val="none"/>
              </w:rPr>
            </w:pPr>
          </w:p>
        </w:tc>
        <w:tc>
          <w:tcPr>
            <w:tcW w:w="316"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365" w:type="pct"/>
            <w:vMerge w:val="restart"/>
            <w:shd w:val="clear" w:color="auto" w:fill="FFFFFF"/>
            <w:noWrap w:val="0"/>
            <w:vAlign w:val="center"/>
          </w:tcPr>
          <w:p>
            <w:pPr>
              <w:pStyle w:val="表格内容"/>
              <w:bidi w:val="0"/>
              <w:rPr>
                <w:color w:val="auto"/>
                <w:highlight w:val="none"/>
              </w:rPr>
            </w:pPr>
            <w:r>
              <w:rPr>
                <w:color w:val="auto"/>
                <w:highlight w:val="none"/>
              </w:rPr>
              <w:t xml:space="preserve">产出</w:t>
            </w:r>
          </w:p>
        </w:tc>
        <w:tc>
          <w:tcPr>
            <w:tcW w:w="482" w:type="pct"/>
            <w:vMerge w:val="restart"/>
            <w:shd w:val="clear" w:color="auto" w:fill="FFFFFF"/>
            <w:noWrap w:val="0"/>
            <w:vAlign w:val="center"/>
          </w:tcPr>
          <w:p>
            <w:pPr>
              <w:pStyle w:val="表格内容"/>
              <w:bidi w:val="0"/>
              <w:rPr>
                <w:color w:val="auto"/>
                <w:highlight w:val="none"/>
              </w:rPr>
            </w:pPr>
            <w:r>
              <w:rPr>
                <w:color w:val="auto"/>
                <w:highlight w:val="none"/>
              </w:rPr>
              <w:t xml:space="preserve">产出数量</w:t>
            </w:r>
          </w:p>
        </w:tc>
        <w:tc>
          <w:tcPr>
            <w:tcW w:w="416" w:type="pct"/>
            <w:vMerge w:val="restart"/>
            <w:shd w:val="clear" w:color="auto" w:fill="FFFFFF"/>
            <w:noWrap w:val="0"/>
            <w:vAlign w:val="center"/>
          </w:tcPr>
          <w:p>
            <w:pPr>
              <w:pStyle w:val="表格内容"/>
              <w:bidi w:val="0"/>
              <w:rPr>
                <w:color w:val="auto"/>
                <w:highlight w:val="none"/>
              </w:rPr>
            </w:pPr>
            <w:r>
              <w:rPr>
                <w:color w:val="auto"/>
                <w:highlight w:val="none"/>
              </w:rPr>
              <w:t xml:space="preserve">实际完成率</w:t>
            </w:r>
          </w:p>
        </w:tc>
        <w:tc>
          <w:tcPr>
            <w:tcW w:w="991" w:type="pct"/>
            <w:vMerge w:val="restart"/>
            <w:shd w:val="clear" w:color="auto" w:fill="FFFFFF"/>
            <w:noWrap w:val="0"/>
            <w:vAlign w:val="center"/>
          </w:tcPr>
          <w:p>
            <w:pPr>
              <w:pStyle w:val="表格内容"/>
              <w:bidi w:val="0"/>
              <w:rPr>
                <w:color w:val="auto"/>
                <w:highlight w:val="none"/>
              </w:rPr>
            </w:pPr>
            <w:r>
              <w:rPr>
                <w:color w:val="auto"/>
                <w:highlight w:val="none"/>
              </w:rPr>
              <w:t xml:space="preserve">项目实施的实际产出数与计划产出数的比率，用以反映和考核项目产出数量目标的实现程度。</w:t>
            </w:r>
          </w:p>
        </w:tc>
        <w:tc>
          <w:tcPr>
            <w:tcW w:w="2111" w:type="pct"/>
            <w:shd w:val="clear" w:color="auto" w:fill="FFFFFF"/>
            <w:noWrap w:val="0"/>
            <w:vAlign w:val="center"/>
          </w:tcPr>
          <w:p>
            <w:pPr>
              <w:pStyle w:val="表格内容"/>
              <w:bidi w:val="0"/>
              <w:rPr>
                <w:color w:val="auto"/>
                <w:highlight w:val="none"/>
              </w:rPr>
            </w:pPr>
            <w:r>
              <w:rPr>
                <w:color w:val="auto"/>
                <w:highlight w:val="none"/>
              </w:rPr>
              <w:t xml:space="preserve">实际完成率=（实际产出数/计划产出数）×100%。</w:t>
            </w:r>
          </w:p>
        </w:tc>
        <w:tc>
          <w:tcPr>
            <w:tcW w:w="316" w:type="pct"/>
            <w:vMerge w:val="restart"/>
            <w:noWrap w:val="1"/>
            <w:vAlign w:val="center"/>
          </w:tcPr>
          <w:p>
            <w:pPr>
              <w:pStyle w:val="表格内容"/>
              <w:bidi w:val="0"/>
              <w:ind w:firstLine="0" w:firstLineChars="0"/>
              <w:rPr>
                <w:color w:val="auto"/>
                <w:highlight w:val="none"/>
              </w:rPr>
            </w:pPr>
            <w:r>
              <w:rPr>
                <w:rFonts w:hint="eastAsia"/>
                <w:color w:val="auto"/>
                <w:highlight w:val="none"/>
                <w:lang w:val="en-US" w:eastAsia="zh-CN"/>
              </w:rPr>
              <w:t xml:space="preserve">12</w:t>
            </w:r>
          </w:p>
        </w:tc>
        <w:tc>
          <w:tcPr>
            <w:tcW w:w="316" w:type="pct"/>
            <w:vMerge w:val="restart"/>
            <w:noWrap w:val="1"/>
            <w:vAlign w:val="center"/>
          </w:tcPr>
          <w:p>
            <w:pPr>
              <w:pStyle w:val="表格内容"/>
              <w:bidi w:val="0"/>
              <w:ind w:firstLine="0" w:firstLineChars="0"/>
              <w:rPr>
                <w:rFonts w:hint="default"/>
                <w:color w:val="auto"/>
                <w:highlight w:val="none"/>
                <w:lang w:val="en-US" w:eastAsia="zh-CN"/>
              </w:rPr>
            </w:pPr>
            <w:r>
              <w:rPr>
                <w:rFonts w:hint="eastAsia"/>
                <w:color w:val="auto"/>
                <w:highlight w:val="none"/>
                <w:lang w:val="en-US" w:eastAsia="zh-CN"/>
              </w:rPr>
              <w:t xml:space="preserve">12</w:t>
            </w: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365" w:type="pct"/>
            <w:vMerge/>
            <w:shd w:val="clear" w:color="auto" w:fill="FFFFFF"/>
            <w:noWrap w:val="0"/>
            <w:vAlign w:val="center"/>
          </w:tcPr>
          <w:p>
            <w:pPr>
              <w:pStyle w:val="表格内容"/>
              <w:bidi w:val="0"/>
              <w:rPr>
                <w:color w:val="auto"/>
                <w:highlight w:val="none"/>
              </w:rPr>
            </w:pPr>
          </w:p>
        </w:tc>
        <w:tc>
          <w:tcPr>
            <w:tcW w:w="482" w:type="pct"/>
            <w:vMerge/>
            <w:shd w:val="clear" w:color="auto" w:fill="FFFFFF"/>
            <w:noWrap w:val="0"/>
            <w:vAlign w:val="center"/>
          </w:tcPr>
          <w:p>
            <w:pPr>
              <w:pStyle w:val="表格内容"/>
              <w:bidi w:val="0"/>
              <w:rPr>
                <w:color w:val="auto"/>
                <w:highlight w:val="none"/>
              </w:rPr>
            </w:pPr>
          </w:p>
        </w:tc>
        <w:tc>
          <w:tcPr>
            <w:tcW w:w="416" w:type="pct"/>
            <w:vMerge/>
            <w:shd w:val="clear" w:color="auto" w:fill="FFFFFF"/>
            <w:noWrap w:val="0"/>
            <w:vAlign w:val="center"/>
          </w:tcPr>
          <w:p>
            <w:pPr>
              <w:pStyle w:val="表格内容"/>
              <w:bidi w:val="0"/>
              <w:rPr>
                <w:color w:val="auto"/>
                <w:highlight w:val="none"/>
              </w:rPr>
            </w:pPr>
          </w:p>
        </w:tc>
        <w:tc>
          <w:tcPr>
            <w:tcW w:w="991" w:type="pct"/>
            <w:vMerge/>
            <w:shd w:val="clear" w:color="auto" w:fill="FFFFFF"/>
            <w:noWrap w:val="0"/>
            <w:vAlign w:val="center"/>
          </w:tcPr>
          <w:p>
            <w:pPr>
              <w:pStyle w:val="表格内容"/>
              <w:bidi w:val="0"/>
              <w:rPr>
                <w:color w:val="auto"/>
                <w:highlight w:val="none"/>
              </w:rPr>
            </w:pPr>
          </w:p>
        </w:tc>
        <w:tc>
          <w:tcPr>
            <w:tcW w:w="2111" w:type="pct"/>
            <w:shd w:val="clear" w:color="auto" w:fill="FFFFFF"/>
            <w:noWrap w:val="0"/>
            <w:vAlign w:val="center"/>
          </w:tcPr>
          <w:p>
            <w:pPr>
              <w:pStyle w:val="表格内容"/>
              <w:bidi w:val="0"/>
              <w:rPr>
                <w:color w:val="auto"/>
                <w:highlight w:val="none"/>
              </w:rPr>
            </w:pPr>
            <w:r>
              <w:rPr>
                <w:color w:val="auto"/>
                <w:highlight w:val="none"/>
              </w:rPr>
              <w:t xml:space="preserve">实际产出数：一定时期（本年度或项目期）内项目实际产出的产品或提供的服务数量。</w:t>
            </w:r>
          </w:p>
        </w:tc>
        <w:tc>
          <w:tcPr>
            <w:tcW w:w="316" w:type="pct"/>
            <w:vMerge/>
            <w:noWrap w:val="1"/>
            <w:vAlign w:val="center"/>
          </w:tcPr>
          <w:p>
            <w:pPr>
              <w:pStyle w:val="表格内容"/>
              <w:bidi w:val="0"/>
              <w:rPr>
                <w:color w:val="auto"/>
                <w:highlight w:val="none"/>
              </w:rPr>
            </w:pPr>
          </w:p>
        </w:tc>
        <w:tc>
          <w:tcPr>
            <w:tcW w:w="316"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365" w:type="pct"/>
            <w:vMerge/>
            <w:shd w:val="clear" w:color="auto" w:fill="FFFFFF"/>
            <w:noWrap w:val="0"/>
            <w:vAlign w:val="center"/>
          </w:tcPr>
          <w:p>
            <w:pPr>
              <w:pStyle w:val="表格内容"/>
              <w:bidi w:val="0"/>
              <w:rPr>
                <w:color w:val="auto"/>
                <w:highlight w:val="none"/>
              </w:rPr>
            </w:pPr>
          </w:p>
        </w:tc>
        <w:tc>
          <w:tcPr>
            <w:tcW w:w="482" w:type="pct"/>
            <w:vMerge/>
            <w:shd w:val="clear" w:color="auto" w:fill="FFFFFF"/>
            <w:noWrap w:val="0"/>
            <w:vAlign w:val="center"/>
          </w:tcPr>
          <w:p>
            <w:pPr>
              <w:pStyle w:val="表格内容"/>
              <w:bidi w:val="0"/>
              <w:rPr>
                <w:color w:val="auto"/>
                <w:highlight w:val="none"/>
              </w:rPr>
            </w:pPr>
          </w:p>
        </w:tc>
        <w:tc>
          <w:tcPr>
            <w:tcW w:w="416" w:type="pct"/>
            <w:vMerge/>
            <w:shd w:val="clear" w:color="auto" w:fill="FFFFFF"/>
            <w:noWrap w:val="0"/>
            <w:vAlign w:val="center"/>
          </w:tcPr>
          <w:p>
            <w:pPr>
              <w:pStyle w:val="表格内容"/>
              <w:bidi w:val="0"/>
              <w:rPr>
                <w:color w:val="auto"/>
                <w:highlight w:val="none"/>
              </w:rPr>
            </w:pPr>
          </w:p>
        </w:tc>
        <w:tc>
          <w:tcPr>
            <w:tcW w:w="991" w:type="pct"/>
            <w:vMerge/>
            <w:shd w:val="clear" w:color="auto" w:fill="FFFFFF"/>
            <w:noWrap w:val="0"/>
            <w:vAlign w:val="center"/>
          </w:tcPr>
          <w:p>
            <w:pPr>
              <w:pStyle w:val="表格内容"/>
              <w:bidi w:val="0"/>
              <w:rPr>
                <w:color w:val="auto"/>
                <w:highlight w:val="none"/>
              </w:rPr>
            </w:pPr>
          </w:p>
        </w:tc>
        <w:tc>
          <w:tcPr>
            <w:tcW w:w="2111" w:type="pct"/>
            <w:shd w:val="clear" w:color="auto" w:fill="FFFFFF"/>
            <w:noWrap w:val="0"/>
            <w:vAlign w:val="center"/>
          </w:tcPr>
          <w:p>
            <w:pPr>
              <w:pStyle w:val="表格内容"/>
              <w:bidi w:val="0"/>
              <w:rPr>
                <w:color w:val="auto"/>
                <w:highlight w:val="none"/>
              </w:rPr>
            </w:pPr>
            <w:r>
              <w:rPr>
                <w:color w:val="auto"/>
                <w:highlight w:val="none"/>
              </w:rPr>
              <w:t xml:space="preserve">计划产出数：项目绩效目标确定的在一定时期（本年度或项目期）内计划产出的产品或提供的服务数量。</w:t>
            </w:r>
          </w:p>
        </w:tc>
        <w:tc>
          <w:tcPr>
            <w:tcW w:w="316" w:type="pct"/>
            <w:vMerge/>
            <w:noWrap w:val="1"/>
            <w:vAlign w:val="center"/>
          </w:tcPr>
          <w:p>
            <w:pPr>
              <w:pStyle w:val="表格内容"/>
              <w:bidi w:val="0"/>
              <w:rPr>
                <w:color w:val="auto"/>
                <w:highlight w:val="none"/>
              </w:rPr>
            </w:pPr>
          </w:p>
        </w:tc>
        <w:tc>
          <w:tcPr>
            <w:tcW w:w="316"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780"/>
          <w:jc w:val="center"/>
        </w:trPr>
        <w:tc>
          <w:tcPr>
            <w:tcW w:w="365" w:type="pct"/>
            <w:vMerge/>
            <w:shd w:val="clear" w:color="auto" w:fill="FFFFFF"/>
            <w:noWrap w:val="0"/>
            <w:vAlign w:val="center"/>
          </w:tcPr>
          <w:p>
            <w:pPr>
              <w:pStyle w:val="表格内容"/>
              <w:bidi w:val="0"/>
              <w:rPr>
                <w:color w:val="auto"/>
                <w:highlight w:val="none"/>
              </w:rPr>
            </w:pPr>
          </w:p>
        </w:tc>
        <w:tc>
          <w:tcPr>
            <w:tcW w:w="482" w:type="pct"/>
            <w:vMerge w:val="restart"/>
            <w:shd w:val="clear" w:color="auto" w:fill="FFFFFF"/>
            <w:noWrap w:val="0"/>
            <w:vAlign w:val="center"/>
          </w:tcPr>
          <w:p>
            <w:pPr>
              <w:pStyle w:val="表格内容"/>
              <w:bidi w:val="0"/>
              <w:rPr>
                <w:color w:val="auto"/>
                <w:highlight w:val="none"/>
              </w:rPr>
            </w:pPr>
            <w:r>
              <w:rPr>
                <w:color w:val="auto"/>
                <w:highlight w:val="none"/>
              </w:rPr>
              <w:t xml:space="preserve">产出质量</w:t>
            </w:r>
          </w:p>
        </w:tc>
        <w:tc>
          <w:tcPr>
            <w:tcW w:w="416" w:type="pct"/>
            <w:vMerge w:val="restart"/>
            <w:shd w:val="clear" w:color="auto" w:fill="FFFFFF"/>
            <w:noWrap w:val="0"/>
            <w:vAlign w:val="center"/>
          </w:tcPr>
          <w:p>
            <w:pPr>
              <w:pStyle w:val="表格内容"/>
              <w:bidi w:val="0"/>
              <w:rPr>
                <w:color w:val="auto"/>
                <w:highlight w:val="none"/>
              </w:rPr>
            </w:pPr>
            <w:r>
              <w:rPr>
                <w:color w:val="auto"/>
                <w:highlight w:val="none"/>
              </w:rPr>
              <w:t xml:space="preserve">质量达标率</w:t>
            </w:r>
          </w:p>
        </w:tc>
        <w:tc>
          <w:tcPr>
            <w:tcW w:w="991" w:type="pct"/>
            <w:vMerge w:val="restart"/>
            <w:shd w:val="clear" w:color="auto" w:fill="FFFFFF"/>
            <w:noWrap w:val="0"/>
            <w:vAlign w:val="center"/>
          </w:tcPr>
          <w:p>
            <w:pPr>
              <w:pStyle w:val="表格内容"/>
              <w:bidi w:val="0"/>
              <w:rPr>
                <w:color w:val="auto"/>
                <w:highlight w:val="none"/>
              </w:rPr>
            </w:pPr>
            <w:r>
              <w:rPr>
                <w:color w:val="auto"/>
                <w:highlight w:val="none"/>
              </w:rPr>
              <w:t xml:space="preserve">项目完成的质量达标产出数与实际产出数的比率，用以反映和考核项目产出质量目标的实现程度。</w:t>
            </w:r>
          </w:p>
        </w:tc>
        <w:tc>
          <w:tcPr>
            <w:tcW w:w="2111" w:type="pct"/>
            <w:shd w:val="clear" w:color="auto" w:fill="FFFFFF"/>
            <w:noWrap w:val="0"/>
            <w:vAlign w:val="center"/>
          </w:tcPr>
          <w:p>
            <w:pPr>
              <w:pStyle w:val="表格内容"/>
              <w:bidi w:val="0"/>
              <w:rPr>
                <w:color w:val="auto"/>
                <w:highlight w:val="none"/>
              </w:rPr>
            </w:pPr>
            <w:r>
              <w:rPr>
                <w:color w:val="auto"/>
                <w:highlight w:val="none"/>
              </w:rPr>
              <w:t xml:space="preserve">质量达标率=（质量达标产出数/实际产出数）×100%。</w:t>
            </w:r>
          </w:p>
        </w:tc>
        <w:tc>
          <w:tcPr>
            <w:tcW w:w="316" w:type="pct"/>
            <w:vMerge w:val="restart"/>
            <w:noWrap w:val="1"/>
            <w:vAlign w:val="center"/>
          </w:tcPr>
          <w:p>
            <w:pPr>
              <w:pStyle w:val="表格内容"/>
              <w:bidi w:val="0"/>
              <w:ind w:firstLine="0" w:firstLineChars="0"/>
              <w:rPr>
                <w:color w:val="auto"/>
                <w:highlight w:val="none"/>
              </w:rPr>
            </w:pPr>
            <w:r>
              <w:rPr>
                <w:rFonts w:hint="eastAsia"/>
                <w:color w:val="auto"/>
                <w:highlight w:val="none"/>
                <w:lang w:val="en-US" w:eastAsia="zh-CN"/>
              </w:rPr>
              <w:t xml:space="preserve">12</w:t>
            </w:r>
          </w:p>
        </w:tc>
        <w:tc>
          <w:tcPr>
            <w:tcW w:w="316" w:type="pct"/>
            <w:vMerge w:val="restart"/>
            <w:noWrap w:val="1"/>
            <w:vAlign w:val="center"/>
          </w:tcPr>
          <w:p>
            <w:pPr>
              <w:pStyle w:val="表格内容"/>
              <w:bidi w:val="0"/>
              <w:ind w:firstLine="0" w:firstLineChars="0"/>
              <w:rPr>
                <w:rFonts w:hint="default"/>
                <w:color w:val="auto"/>
                <w:highlight w:val="none"/>
                <w:lang w:val="en-US" w:eastAsia="zh-CN"/>
              </w:rPr>
            </w:pPr>
            <w:r>
              <w:rPr>
                <w:rFonts w:hint="eastAsia"/>
                <w:color w:val="auto"/>
                <w:highlight w:val="none"/>
                <w:lang w:val="en-US" w:eastAsia="zh-CN"/>
              </w:rPr>
              <w:t xml:space="preserve">12</w:t>
            </w: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880"/>
          <w:jc w:val="center"/>
        </w:trPr>
        <w:tc>
          <w:tcPr>
            <w:tcW w:w="365" w:type="pct"/>
            <w:vMerge/>
            <w:shd w:val="clear" w:color="auto" w:fill="FFFFFF"/>
            <w:noWrap w:val="0"/>
            <w:vAlign w:val="center"/>
          </w:tcPr>
          <w:p>
            <w:pPr>
              <w:pStyle w:val="表格内容"/>
              <w:bidi w:val="0"/>
              <w:rPr>
                <w:color w:val="auto"/>
                <w:highlight w:val="none"/>
              </w:rPr>
            </w:pPr>
          </w:p>
        </w:tc>
        <w:tc>
          <w:tcPr>
            <w:tcW w:w="482" w:type="pct"/>
            <w:vMerge/>
            <w:shd w:val="clear" w:color="auto" w:fill="FFFFFF"/>
            <w:noWrap w:val="0"/>
            <w:vAlign w:val="center"/>
          </w:tcPr>
          <w:p>
            <w:pPr>
              <w:pStyle w:val="表格内容"/>
              <w:bidi w:val="0"/>
              <w:rPr>
                <w:color w:val="auto"/>
                <w:highlight w:val="none"/>
              </w:rPr>
            </w:pPr>
          </w:p>
        </w:tc>
        <w:tc>
          <w:tcPr>
            <w:tcW w:w="416" w:type="pct"/>
            <w:vMerge/>
            <w:shd w:val="clear" w:color="auto" w:fill="FFFFFF"/>
            <w:noWrap w:val="0"/>
            <w:vAlign w:val="center"/>
          </w:tcPr>
          <w:p>
            <w:pPr>
              <w:pStyle w:val="表格内容"/>
              <w:bidi w:val="0"/>
              <w:rPr>
                <w:color w:val="auto"/>
                <w:highlight w:val="none"/>
              </w:rPr>
            </w:pPr>
          </w:p>
        </w:tc>
        <w:tc>
          <w:tcPr>
            <w:tcW w:w="991" w:type="pct"/>
            <w:vMerge/>
            <w:shd w:val="clear" w:color="auto" w:fill="FFFFFF"/>
            <w:noWrap w:val="0"/>
            <w:vAlign w:val="center"/>
          </w:tcPr>
          <w:p>
            <w:pPr>
              <w:pStyle w:val="表格内容"/>
              <w:bidi w:val="0"/>
              <w:rPr>
                <w:color w:val="auto"/>
                <w:highlight w:val="none"/>
              </w:rPr>
            </w:pPr>
          </w:p>
        </w:tc>
        <w:tc>
          <w:tcPr>
            <w:tcW w:w="2111" w:type="pct"/>
            <w:shd w:val="clear" w:color="auto" w:fill="FFFFFF"/>
            <w:noWrap w:val="0"/>
            <w:vAlign w:val="center"/>
          </w:tcPr>
          <w:p>
            <w:pPr>
              <w:pStyle w:val="表格内容"/>
              <w:bidi w:val="0"/>
              <w:rPr>
                <w:color w:val="auto"/>
                <w:highlight w:val="none"/>
              </w:rPr>
            </w:pPr>
            <w:r>
              <w:rPr>
                <w:color w:val="auto"/>
                <w:highlight w:val="none"/>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6" w:type="pct"/>
            <w:vMerge/>
            <w:noWrap w:val="1"/>
            <w:vAlign w:val="center"/>
          </w:tcPr>
          <w:p>
            <w:pPr>
              <w:pStyle w:val="表格内容"/>
              <w:bidi w:val="0"/>
              <w:rPr>
                <w:color w:val="auto"/>
                <w:highlight w:val="none"/>
              </w:rPr>
            </w:pPr>
          </w:p>
        </w:tc>
        <w:tc>
          <w:tcPr>
            <w:tcW w:w="316"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365" w:type="pct"/>
            <w:vMerge/>
            <w:shd w:val="clear" w:color="auto" w:fill="FFFFFF"/>
            <w:noWrap w:val="0"/>
            <w:vAlign w:val="center"/>
          </w:tcPr>
          <w:p>
            <w:pPr>
              <w:pStyle w:val="表格内容"/>
              <w:bidi w:val="0"/>
              <w:rPr>
                <w:color w:val="auto"/>
                <w:highlight w:val="none"/>
              </w:rPr>
            </w:pPr>
          </w:p>
        </w:tc>
        <w:tc>
          <w:tcPr>
            <w:tcW w:w="482" w:type="pct"/>
            <w:vMerge w:val="restart"/>
            <w:shd w:val="clear" w:color="auto" w:fill="FFFFFF"/>
            <w:noWrap w:val="0"/>
            <w:vAlign w:val="center"/>
          </w:tcPr>
          <w:p>
            <w:pPr>
              <w:pStyle w:val="表格内容"/>
              <w:bidi w:val="0"/>
              <w:rPr>
                <w:color w:val="auto"/>
                <w:highlight w:val="none"/>
              </w:rPr>
            </w:pPr>
            <w:r>
              <w:rPr>
                <w:color w:val="auto"/>
                <w:highlight w:val="none"/>
              </w:rPr>
              <w:t xml:space="preserve">产出时效</w:t>
            </w:r>
          </w:p>
        </w:tc>
        <w:tc>
          <w:tcPr>
            <w:tcW w:w="416" w:type="pct"/>
            <w:vMerge w:val="restart"/>
            <w:shd w:val="clear" w:color="auto" w:fill="FFFFFF"/>
            <w:noWrap w:val="0"/>
            <w:vAlign w:val="center"/>
          </w:tcPr>
          <w:p>
            <w:pPr>
              <w:pStyle w:val="表格内容"/>
              <w:bidi w:val="0"/>
              <w:rPr>
                <w:color w:val="auto"/>
                <w:highlight w:val="none"/>
              </w:rPr>
            </w:pPr>
            <w:r>
              <w:rPr>
                <w:color w:val="auto"/>
                <w:highlight w:val="none"/>
              </w:rPr>
              <w:t xml:space="preserve">完成及时性</w:t>
            </w:r>
          </w:p>
        </w:tc>
        <w:tc>
          <w:tcPr>
            <w:tcW w:w="991" w:type="pct"/>
            <w:vMerge w:val="restart"/>
            <w:shd w:val="clear" w:color="auto" w:fill="FFFFFF"/>
            <w:noWrap w:val="0"/>
            <w:vAlign w:val="center"/>
          </w:tcPr>
          <w:p>
            <w:pPr>
              <w:pStyle w:val="表格内容"/>
              <w:bidi w:val="0"/>
              <w:rPr>
                <w:color w:val="auto"/>
                <w:highlight w:val="none"/>
              </w:rPr>
            </w:pPr>
            <w:r>
              <w:rPr>
                <w:color w:val="auto"/>
                <w:highlight w:val="none"/>
              </w:rPr>
              <w:t xml:space="preserve">项目实际完成时间与计划完成时间的比较，用以反映和考核项目产出时效目标的实现程度。</w:t>
            </w:r>
          </w:p>
        </w:tc>
        <w:tc>
          <w:tcPr>
            <w:tcW w:w="2111" w:type="pct"/>
            <w:shd w:val="clear" w:color="auto" w:fill="FFFFFF"/>
            <w:noWrap w:val="0"/>
            <w:vAlign w:val="center"/>
          </w:tcPr>
          <w:p>
            <w:pPr>
              <w:pStyle w:val="表格内容"/>
              <w:bidi w:val="0"/>
              <w:rPr>
                <w:color w:val="auto"/>
                <w:highlight w:val="none"/>
              </w:rPr>
            </w:pPr>
            <w:r>
              <w:rPr>
                <w:color w:val="auto"/>
                <w:highlight w:val="none"/>
              </w:rPr>
              <w:t xml:space="preserve">实际完成时间：项目实施单位完成该项目实际所耗用的时间。</w:t>
            </w:r>
          </w:p>
        </w:tc>
        <w:tc>
          <w:tcPr>
            <w:tcW w:w="532" w:type="dxa"/>
            <w:vMerge w:val="restart"/>
            <w:noWrap w:val="1"/>
            <w:vAlign w:val="center"/>
          </w:tcPr>
          <w:p>
            <w:pPr>
              <w:pStyle w:val="表格内容"/>
              <w:bidi w:val="0"/>
              <w:ind w:firstLine="0" w:firstLineChars="0"/>
              <w:rPr>
                <w:rFonts w:hint="default"/>
                <w:color w:val="auto"/>
                <w:highlight w:val="none"/>
                <w:lang w:val="en-US"/>
              </w:rPr>
            </w:pPr>
            <w:r>
              <w:rPr>
                <w:rFonts w:hint="eastAsia"/>
                <w:color w:val="auto"/>
                <w:highlight w:val="none"/>
                <w:lang w:val="en-US" w:eastAsia="zh-CN"/>
              </w:rPr>
              <w:t xml:space="preserve">12</w:t>
            </w:r>
          </w:p>
        </w:tc>
        <w:tc>
          <w:tcPr>
            <w:tcW w:w="585" w:type="dxa"/>
            <w:vMerge w:val="restart"/>
            <w:noWrap w:val="1"/>
            <w:vAlign w:val="center"/>
          </w:tcPr>
          <w:p>
            <w:pPr>
              <w:pStyle w:val="表格内容"/>
              <w:bidi w:val="0"/>
              <w:ind w:firstLine="0" w:firstLineChars="0"/>
              <w:rPr>
                <w:rFonts w:hint="default"/>
                <w:color w:val="auto"/>
                <w:highlight w:val="none"/>
                <w:lang w:val="en-US" w:eastAsia="zh-CN"/>
              </w:rPr>
            </w:pPr>
            <w:r>
              <w:rPr>
                <w:rFonts w:hint="eastAsia"/>
                <w:color w:val="auto"/>
                <w:highlight w:val="none"/>
                <w:lang w:val="en-US" w:eastAsia="zh-CN"/>
              </w:rPr>
              <w:t xml:space="preserve">12</w:t>
            </w: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90"/>
          <w:jc w:val="center"/>
        </w:trPr>
        <w:tc>
          <w:tcPr>
            <w:tcW w:w="365" w:type="pct"/>
            <w:vMerge/>
            <w:shd w:val="clear" w:color="auto" w:fill="FFFFFF"/>
            <w:noWrap w:val="0"/>
            <w:vAlign w:val="center"/>
          </w:tcPr>
          <w:p>
            <w:pPr>
              <w:pStyle w:val="表格内容"/>
              <w:bidi w:val="0"/>
              <w:rPr>
                <w:color w:val="auto"/>
                <w:highlight w:val="none"/>
              </w:rPr>
            </w:pPr>
          </w:p>
        </w:tc>
        <w:tc>
          <w:tcPr>
            <w:tcW w:w="482" w:type="pct"/>
            <w:vMerge/>
            <w:shd w:val="clear" w:color="auto" w:fill="FFFFFF"/>
            <w:noWrap w:val="0"/>
            <w:vAlign w:val="center"/>
          </w:tcPr>
          <w:p>
            <w:pPr>
              <w:pStyle w:val="表格内容"/>
              <w:bidi w:val="0"/>
              <w:rPr>
                <w:color w:val="auto"/>
                <w:highlight w:val="none"/>
              </w:rPr>
            </w:pPr>
          </w:p>
        </w:tc>
        <w:tc>
          <w:tcPr>
            <w:tcW w:w="416" w:type="pct"/>
            <w:vMerge/>
            <w:shd w:val="clear" w:color="auto" w:fill="FFFFFF"/>
            <w:noWrap w:val="0"/>
            <w:vAlign w:val="center"/>
          </w:tcPr>
          <w:p>
            <w:pPr>
              <w:pStyle w:val="表格内容"/>
              <w:bidi w:val="0"/>
              <w:rPr>
                <w:color w:val="auto"/>
                <w:highlight w:val="none"/>
              </w:rPr>
            </w:pPr>
          </w:p>
        </w:tc>
        <w:tc>
          <w:tcPr>
            <w:tcW w:w="991" w:type="pct"/>
            <w:vMerge/>
            <w:shd w:val="clear" w:color="auto" w:fill="FFFFFF"/>
            <w:noWrap w:val="0"/>
            <w:vAlign w:val="center"/>
          </w:tcPr>
          <w:p>
            <w:pPr>
              <w:pStyle w:val="表格内容"/>
              <w:bidi w:val="0"/>
              <w:rPr>
                <w:color w:val="auto"/>
                <w:highlight w:val="none"/>
              </w:rPr>
            </w:pPr>
          </w:p>
        </w:tc>
        <w:tc>
          <w:tcPr>
            <w:tcW w:w="2111" w:type="pct"/>
            <w:shd w:val="clear" w:color="auto" w:fill="FFFFFF"/>
            <w:noWrap w:val="0"/>
            <w:vAlign w:val="center"/>
          </w:tcPr>
          <w:p>
            <w:pPr>
              <w:pStyle w:val="表格内容"/>
              <w:bidi w:val="0"/>
              <w:rPr>
                <w:color w:val="auto"/>
                <w:highlight w:val="none"/>
              </w:rPr>
            </w:pPr>
            <w:r>
              <w:rPr>
                <w:color w:val="auto"/>
                <w:highlight w:val="none"/>
              </w:rPr>
              <w:t xml:space="preserve">计划完成时间：按照项目实施计划或相关规定完成该项目所需的时间。</w:t>
            </w:r>
          </w:p>
        </w:tc>
        <w:tc>
          <w:tcPr>
            <w:tcW w:w="316" w:type="pct"/>
            <w:vMerge/>
            <w:noWrap w:val="1"/>
            <w:vAlign w:val="center"/>
          </w:tcPr>
          <w:p>
            <w:pPr>
              <w:pStyle w:val="表格内容"/>
              <w:bidi w:val="0"/>
              <w:rPr>
                <w:color w:val="auto"/>
                <w:highlight w:val="none"/>
              </w:rPr>
            </w:pPr>
          </w:p>
        </w:tc>
        <w:tc>
          <w:tcPr>
            <w:tcW w:w="316"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780"/>
          <w:jc w:val="center"/>
        </w:trPr>
        <w:tc>
          <w:tcPr>
            <w:tcW w:w="365" w:type="pct"/>
            <w:vMerge/>
            <w:shd w:val="clear" w:color="auto" w:fill="FFFFFF"/>
            <w:noWrap w:val="0"/>
            <w:vAlign w:val="center"/>
          </w:tcPr>
          <w:p>
            <w:pPr>
              <w:pStyle w:val="表格内容"/>
              <w:bidi w:val="0"/>
              <w:rPr>
                <w:color w:val="auto"/>
                <w:highlight w:val="none"/>
              </w:rPr>
            </w:pPr>
          </w:p>
        </w:tc>
        <w:tc>
          <w:tcPr>
            <w:tcW w:w="482" w:type="pct"/>
            <w:shd w:val="clear" w:color="auto" w:fill="FFFFFF"/>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Times New Roman" w:eastAsia="仿宋_GB2312" w:hAnsi="Times New Roman" w:cs="Times New Roman" w:hint="default"/>
                <w:color w:val="auto"/>
                <w:kern w:val="44"/>
                <w:sz w:val="18"/>
                <w:szCs w:val="18"/>
                <w:highlight w:val="none"/>
                <w:lang w:val="en-US" w:eastAsia="zh-CN" w:bidi="ar-SA"/>
              </w:rPr>
            </w:pPr>
            <w:r>
              <w:rPr>
                <w:rFonts w:ascii="Times New Roman" w:eastAsia="仿宋_GB2312" w:hAnsi="Times New Roman" w:cs="Times New Roman" w:hint="default"/>
                <w:color w:val="auto"/>
                <w:sz w:val="18"/>
                <w:szCs w:val="18"/>
                <w:highlight w:val="none"/>
              </w:rPr>
              <w:t xml:space="preserve">产出成本</w:t>
            </w:r>
          </w:p>
        </w:tc>
        <w:tc>
          <w:tcPr>
            <w:tcW w:w="416" w:type="pct"/>
            <w:shd w:val="clear" w:color="auto" w:fill="FFFFFF"/>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Times New Roman" w:eastAsia="仿宋_GB2312" w:hAnsi="Times New Roman" w:cs="Times New Roman" w:hint="default"/>
                <w:color w:val="auto"/>
                <w:kern w:val="44"/>
                <w:sz w:val="18"/>
                <w:szCs w:val="18"/>
                <w:highlight w:val="none"/>
                <w:lang w:val="en-US" w:eastAsia="zh-CN" w:bidi="ar-SA"/>
              </w:rPr>
            </w:pPr>
            <w:r>
              <w:rPr>
                <w:rFonts w:ascii="Times New Roman" w:eastAsia="仿宋_GB2312" w:hAnsi="Times New Roman" w:cs="Times New Roman" w:hint="default"/>
                <w:color w:val="auto"/>
                <w:sz w:val="18"/>
                <w:szCs w:val="18"/>
                <w:highlight w:val="none"/>
              </w:rPr>
              <w:t xml:space="preserve">成本节约率</w:t>
            </w:r>
          </w:p>
        </w:tc>
        <w:tc>
          <w:tcPr>
            <w:tcW w:w="991" w:type="pct"/>
            <w:shd w:val="clear" w:color="auto" w:fill="FFFFFF"/>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ascii="Times New Roman" w:eastAsia="仿宋_GB2312" w:hAnsi="Times New Roman" w:cs="Times New Roman" w:hint="default"/>
                <w:color w:val="auto"/>
                <w:kern w:val="44"/>
                <w:sz w:val="18"/>
                <w:szCs w:val="18"/>
                <w:highlight w:val="none"/>
                <w:lang w:val="en-US" w:eastAsia="zh-CN" w:bidi="ar-SA"/>
              </w:rPr>
            </w:pPr>
            <w:r>
              <w:rPr>
                <w:rFonts w:ascii="Times New Roman" w:eastAsia="仿宋_GB2312" w:hAnsi="Times New Roman" w:cs="Times New Roman" w:hint="default"/>
                <w:color w:val="auto"/>
                <w:sz w:val="18"/>
                <w:szCs w:val="18"/>
                <w:highlight w:val="none"/>
              </w:rPr>
              <w:t xml:space="preserve">完成项目计划工作目标的实际节约成本与计划成本的比率，用以反映和考核项目的成本节约程度。</w:t>
            </w:r>
          </w:p>
        </w:tc>
        <w:tc>
          <w:tcPr>
            <w:tcW w:w="2111" w:type="pct"/>
            <w:shd w:val="clear" w:color="auto" w:fill="FFFFFF"/>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成本节约率=〔（计划成本</w:t>
            </w:r>
            <w:r>
              <w:rPr>
                <w:rFonts w:ascii="Times New Roman" w:eastAsia="仿宋_GB2312" w:hAnsi="Times New Roman" w:cs="Times New Roman" w:hint="default"/>
                <w:color w:val="auto"/>
                <w:sz w:val="18"/>
                <w:szCs w:val="18"/>
                <w:highlight w:val="none"/>
                <w:lang w:eastAsia="zh-CN"/>
              </w:rPr>
              <w:t xml:space="preserve">－</w:t>
            </w:r>
            <w:r>
              <w:rPr>
                <w:rFonts w:ascii="Times New Roman" w:eastAsia="仿宋_GB2312" w:hAnsi="Times New Roman" w:cs="Times New Roman" w:hint="default"/>
                <w:color w:val="auto"/>
                <w:sz w:val="18"/>
                <w:szCs w:val="18"/>
                <w:highlight w:val="none"/>
              </w:rPr>
              <w:t xml:space="preserve">实际成本）/计划成本〕×100%。</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实际成本：项目实施单位如期、保质、保量完成既定工作目标实际所耗费的支出。</w:t>
            </w:r>
          </w:p>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ascii="Times New Roman" w:eastAsia="仿宋_GB2312" w:hAnsi="Times New Roman" w:cs="Times New Roman" w:hint="default"/>
                <w:color w:val="auto"/>
                <w:kern w:val="44"/>
                <w:sz w:val="18"/>
                <w:szCs w:val="18"/>
                <w:highlight w:val="none"/>
                <w:lang w:val="en-US" w:eastAsia="zh-CN" w:bidi="ar-SA"/>
              </w:rPr>
            </w:pPr>
            <w:r>
              <w:rPr>
                <w:rFonts w:ascii="Times New Roman" w:eastAsia="仿宋_GB2312" w:hAnsi="Times New Roman" w:cs="Times New Roman" w:hint="default"/>
                <w:color w:val="auto"/>
                <w:sz w:val="18"/>
                <w:szCs w:val="18"/>
                <w:highlight w:val="none"/>
              </w:rPr>
              <w:t xml:space="preserve">计划成本：项目实施单位为完成工作目标计划安排的支出，一般以项目预算为参考。</w:t>
            </w:r>
          </w:p>
        </w:tc>
        <w:tc>
          <w:tcPr>
            <w:tcW w:w="316" w:type="pct"/>
            <w:noWrap w:val="1"/>
            <w:vAlign w:val="center"/>
          </w:tcPr>
          <w:p>
            <w:pPr>
              <w:pStyle w:val="表格内容"/>
              <w:bidi w:val="0"/>
              <w:ind w:firstLine="0" w:firstLineChars="0"/>
              <w:rPr>
                <w:rFonts w:ascii="Times New Roman" w:eastAsia="仿宋_GB2312" w:hAnsi="Times New Roman" w:cs="Times New Roman" w:hint="default"/>
                <w:color w:val="auto"/>
                <w:kern w:val="44"/>
                <w:sz w:val="18"/>
                <w:szCs w:val="18"/>
                <w:highlight w:val="none"/>
                <w:lang w:val="en-US" w:eastAsia="zh-CN" w:bidi="ar-SA"/>
              </w:rPr>
            </w:pPr>
            <w:r>
              <w:rPr>
                <w:rFonts w:hint="eastAsia"/>
                <w:color w:val="auto"/>
                <w:highlight w:val="none"/>
                <w:lang w:val="en-US" w:eastAsia="zh-CN"/>
              </w:rPr>
              <w:t xml:space="preserve">4</w:t>
            </w:r>
          </w:p>
        </w:tc>
        <w:tc>
          <w:tcPr>
            <w:tcW w:w="316" w:type="pct"/>
            <w:noWrap w:val="1"/>
            <w:vAlign w:val="center"/>
          </w:tcPr>
          <w:p>
            <w:pPr>
              <w:pStyle w:val="表格内容"/>
              <w:bidi w:val="0"/>
              <w:ind w:firstLine="0" w:firstLineChars="0"/>
              <w:rPr>
                <w:rFonts w:hint="default"/>
                <w:color w:val="auto"/>
                <w:highlight w:val="none"/>
                <w:lang w:val="en-US" w:eastAsia="zh-CN"/>
              </w:rPr>
            </w:pPr>
            <w:r>
              <w:rPr>
                <w:rFonts w:hint="eastAsia"/>
                <w:color w:val="auto"/>
                <w:highlight w:val="none"/>
                <w:lang w:val="en-US" w:eastAsia="zh-CN"/>
              </w:rPr>
              <w:t xml:space="preserve">3.82</w:t>
            </w: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780"/>
          <w:jc w:val="center"/>
        </w:trPr>
        <w:tc>
          <w:tcPr>
            <w:tcW w:w="365" w:type="pct"/>
            <w:vMerge w:val="restart"/>
            <w:shd w:val="clear" w:color="auto" w:fill="FFFFFF"/>
            <w:noWrap w:val="0"/>
            <w:vAlign w:val="center"/>
          </w:tcPr>
          <w:p>
            <w:pPr>
              <w:pStyle w:val="表格内容"/>
              <w:bidi w:val="0"/>
              <w:rPr>
                <w:color w:val="auto"/>
                <w:highlight w:val="none"/>
              </w:rPr>
            </w:pPr>
            <w:r>
              <w:rPr>
                <w:color w:val="auto"/>
                <w:highlight w:val="none"/>
              </w:rPr>
              <w:t xml:space="preserve">效益</w:t>
            </w:r>
          </w:p>
        </w:tc>
        <w:tc>
          <w:tcPr>
            <w:tcW w:w="482" w:type="pct"/>
            <w:vMerge w:val="restart"/>
            <w:shd w:val="clear" w:color="auto" w:fill="FFFFFF"/>
            <w:noWrap w:val="0"/>
            <w:vAlign w:val="center"/>
          </w:tcPr>
          <w:p>
            <w:pPr>
              <w:pStyle w:val="表格内容"/>
              <w:bidi w:val="0"/>
              <w:rPr>
                <w:color w:val="auto"/>
                <w:highlight w:val="none"/>
              </w:rPr>
            </w:pPr>
            <w:r>
              <w:rPr>
                <w:color w:val="auto"/>
                <w:highlight w:val="none"/>
              </w:rPr>
              <w:t xml:space="preserve">项目效益</w:t>
            </w:r>
          </w:p>
        </w:tc>
        <w:tc>
          <w:tcPr>
            <w:tcW w:w="416" w:type="pct"/>
            <w:shd w:val="clear" w:color="auto" w:fill="FFFFFF"/>
            <w:noWrap w:val="0"/>
            <w:vAlign w:val="center"/>
          </w:tcPr>
          <w:p>
            <w:pPr>
              <w:pStyle w:val="表格内容"/>
              <w:bidi w:val="0"/>
              <w:rPr>
                <w:color w:val="auto"/>
                <w:highlight w:val="none"/>
              </w:rPr>
            </w:pPr>
            <w:r>
              <w:rPr>
                <w:color w:val="auto"/>
                <w:highlight w:val="none"/>
              </w:rPr>
              <w:t xml:space="preserve">实施效益</w:t>
            </w:r>
          </w:p>
        </w:tc>
        <w:tc>
          <w:tcPr>
            <w:tcW w:w="991" w:type="pct"/>
            <w:shd w:val="clear" w:color="auto" w:fill="FFFFFF"/>
            <w:noWrap w:val="0"/>
            <w:vAlign w:val="center"/>
          </w:tcPr>
          <w:p>
            <w:pPr>
              <w:pStyle w:val="表格内容"/>
              <w:bidi w:val="0"/>
              <w:rPr>
                <w:color w:val="auto"/>
                <w:highlight w:val="none"/>
              </w:rPr>
            </w:pPr>
            <w:r>
              <w:rPr>
                <w:color w:val="auto"/>
                <w:highlight w:val="none"/>
              </w:rPr>
              <w:t xml:space="preserve">项目实施所产生的效益。</w:t>
            </w:r>
          </w:p>
        </w:tc>
        <w:tc>
          <w:tcPr>
            <w:tcW w:w="2111" w:type="pct"/>
            <w:shd w:val="clear" w:color="auto" w:fill="FFFFFF"/>
            <w:noWrap w:val="0"/>
            <w:vAlign w:val="center"/>
          </w:tcPr>
          <w:p>
            <w:pPr>
              <w:pStyle w:val="表格内容"/>
              <w:bidi w:val="0"/>
              <w:rPr>
                <w:color w:val="auto"/>
                <w:highlight w:val="none"/>
              </w:rPr>
            </w:pPr>
            <w:r>
              <w:rPr>
                <w:color w:val="auto"/>
                <w:highlight w:val="none"/>
              </w:rPr>
              <w:t xml:space="preserve">项目实施所产生的社会效益、经济效益、生态效益、可持续影响等。可根据项目实际情况有选择地设置和细化。</w:t>
            </w:r>
          </w:p>
        </w:tc>
        <w:tc>
          <w:tcPr>
            <w:tcW w:w="316" w:type="pct"/>
            <w:noWrap w:val="1"/>
            <w:vAlign w:val="center"/>
          </w:tcPr>
          <w:p>
            <w:pPr>
              <w:pStyle w:val="表格内容"/>
              <w:bidi w:val="0"/>
              <w:rPr>
                <w:color w:val="auto"/>
                <w:highlight w:val="none"/>
              </w:rPr>
            </w:pPr>
            <w:r>
              <w:rPr>
                <w:color w:val="auto"/>
                <w:highlight w:val="none"/>
              </w:rPr>
              <w:t xml:space="preserve">10</w:t>
            </w:r>
          </w:p>
        </w:tc>
        <w:tc>
          <w:tcPr>
            <w:tcW w:w="316" w:type="pct"/>
            <w:noWrap w:val="1"/>
            <w:vAlign w:val="center"/>
          </w:tcPr>
          <w:p>
            <w:pPr>
              <w:pStyle w:val="表格内容"/>
              <w:bidi w:val="0"/>
              <w:rPr>
                <w:rFonts w:eastAsia="仿宋_GB2312" w:hint="default"/>
                <w:color w:val="auto"/>
                <w:highlight w:val="none"/>
                <w:lang w:val="en-US" w:eastAsia="zh-CN"/>
              </w:rPr>
            </w:pPr>
            <w:r>
              <w:rPr>
                <w:rFonts w:hint="eastAsia"/>
                <w:color w:val="auto"/>
                <w:highlight w:val="none"/>
                <w:lang w:val="en-US" w:eastAsia="zh-CN"/>
              </w:rPr>
              <w:t xml:space="preserve">10</w:t>
            </w: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860"/>
          <w:jc w:val="center"/>
        </w:trPr>
        <w:tc>
          <w:tcPr>
            <w:tcW w:w="365" w:type="pct"/>
            <w:vMerge/>
            <w:shd w:val="clear" w:color="auto" w:fill="FFFFFF"/>
            <w:noWrap w:val="0"/>
            <w:vAlign w:val="center"/>
          </w:tcPr>
          <w:p>
            <w:pPr>
              <w:pStyle w:val="表格内容"/>
              <w:bidi w:val="0"/>
              <w:rPr>
                <w:color w:val="auto"/>
                <w:highlight w:val="none"/>
              </w:rPr>
            </w:pPr>
          </w:p>
        </w:tc>
        <w:tc>
          <w:tcPr>
            <w:tcW w:w="482" w:type="pct"/>
            <w:vMerge/>
            <w:shd w:val="clear" w:color="auto" w:fill="FFFFFF"/>
            <w:noWrap w:val="0"/>
            <w:vAlign w:val="center"/>
          </w:tcPr>
          <w:p>
            <w:pPr>
              <w:pStyle w:val="表格内容"/>
              <w:bidi w:val="0"/>
              <w:rPr>
                <w:color w:val="auto"/>
                <w:highlight w:val="none"/>
              </w:rPr>
            </w:pPr>
          </w:p>
        </w:tc>
        <w:tc>
          <w:tcPr>
            <w:tcW w:w="416" w:type="pct"/>
            <w:shd w:val="clear" w:color="auto" w:fill="FFFFFF"/>
            <w:noWrap w:val="0"/>
            <w:vAlign w:val="center"/>
          </w:tcPr>
          <w:p>
            <w:pPr>
              <w:pStyle w:val="表格内容"/>
              <w:bidi w:val="0"/>
              <w:rPr>
                <w:color w:val="auto"/>
                <w:highlight w:val="none"/>
              </w:rPr>
            </w:pPr>
            <w:r>
              <w:rPr>
                <w:color w:val="auto"/>
                <w:highlight w:val="none"/>
              </w:rPr>
              <w:t xml:space="preserve">满意度</w:t>
            </w:r>
          </w:p>
        </w:tc>
        <w:tc>
          <w:tcPr>
            <w:tcW w:w="991" w:type="pct"/>
            <w:shd w:val="clear" w:color="auto" w:fill="FFFFFF"/>
            <w:noWrap w:val="0"/>
            <w:vAlign w:val="center"/>
          </w:tcPr>
          <w:p>
            <w:pPr>
              <w:pStyle w:val="表格内容"/>
              <w:bidi w:val="0"/>
              <w:rPr>
                <w:color w:val="auto"/>
                <w:highlight w:val="none"/>
              </w:rPr>
            </w:pPr>
            <w:r>
              <w:rPr>
                <w:color w:val="auto"/>
                <w:highlight w:val="none"/>
              </w:rPr>
              <w:t xml:space="preserve">社会公众或服务对象对项目实施效果的满意程度。</w:t>
            </w:r>
          </w:p>
        </w:tc>
        <w:tc>
          <w:tcPr>
            <w:tcW w:w="2111" w:type="pct"/>
            <w:shd w:val="clear" w:color="auto" w:fill="FFFFFF"/>
            <w:noWrap w:val="0"/>
            <w:vAlign w:val="center"/>
          </w:tcPr>
          <w:p>
            <w:pPr>
              <w:pStyle w:val="表格内容"/>
              <w:bidi w:val="0"/>
              <w:rPr>
                <w:color w:val="auto"/>
                <w:highlight w:val="none"/>
              </w:rPr>
            </w:pPr>
            <w:r>
              <w:rPr>
                <w:color w:val="auto"/>
                <w:highlight w:val="none"/>
              </w:rPr>
              <w:t xml:space="preserve">社会公众或服务对象是指因该项目实施而受到影响的部门（单位）、群体或个人。一般采取社会调查的方式。</w:t>
            </w:r>
          </w:p>
        </w:tc>
        <w:tc>
          <w:tcPr>
            <w:tcW w:w="316" w:type="pct"/>
            <w:noWrap w:val="1"/>
            <w:vAlign w:val="center"/>
          </w:tcPr>
          <w:p>
            <w:pPr>
              <w:pStyle w:val="表格内容"/>
              <w:bidi w:val="0"/>
              <w:rPr>
                <w:color w:val="auto"/>
                <w:highlight w:val="none"/>
              </w:rPr>
            </w:pPr>
            <w:r>
              <w:rPr>
                <w:color w:val="auto"/>
                <w:highlight w:val="none"/>
              </w:rPr>
              <w:t xml:space="preserve">10</w:t>
            </w:r>
          </w:p>
        </w:tc>
        <w:tc>
          <w:tcPr>
            <w:tcW w:w="316" w:type="pct"/>
            <w:noWrap w:val="1"/>
            <w:vAlign w:val="center"/>
          </w:tcPr>
          <w:p>
            <w:pPr>
              <w:pStyle w:val="表格内容"/>
              <w:bidi w:val="0"/>
              <w:rPr>
                <w:rFonts w:eastAsia="仿宋_GB2312" w:hint="default"/>
                <w:color w:val="auto"/>
                <w:highlight w:val="none"/>
                <w:lang w:val="en-US" w:eastAsia="zh-CN"/>
              </w:rPr>
            </w:pPr>
            <w:r>
              <w:rPr>
                <w:rFonts w:hint="eastAsia"/>
                <w:color w:val="auto"/>
                <w:highlight w:val="none"/>
                <w:lang w:val="en-US" w:eastAsia="zh-CN"/>
              </w:rPr>
              <w:t xml:space="preserve">10</w:t>
            </w: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367" w:type="pct"/>
            <w:gridSpan w:val="5"/>
            <w:noWrap w:val="1"/>
            <w:vAlign w:val="center"/>
          </w:tcPr>
          <w:p>
            <w:pPr>
              <w:pStyle w:val="表格内容"/>
              <w:bidi w:val="0"/>
              <w:rPr>
                <w:color w:val="auto"/>
                <w:highlight w:val="none"/>
              </w:rPr>
            </w:pPr>
            <w:r>
              <w:rPr>
                <w:color w:val="auto"/>
                <w:highlight w:val="none"/>
              </w:rPr>
              <w:t xml:space="preserve">合计</w:t>
            </w:r>
          </w:p>
        </w:tc>
        <w:tc>
          <w:tcPr>
            <w:tcW w:w="316" w:type="pct"/>
            <w:noWrap w:val="1"/>
            <w:vAlign w:val="center"/>
          </w:tcPr>
          <w:p>
            <w:pPr>
              <w:pStyle w:val="表格内容"/>
              <w:bidi w:val="0"/>
              <w:rPr>
                <w:color w:val="auto"/>
                <w:highlight w:val="none"/>
              </w:rPr>
            </w:pPr>
            <w:r>
              <w:rPr>
                <w:color w:val="auto"/>
                <w:highlight w:val="none"/>
              </w:rPr>
              <w:t xml:space="preserve">100</w:t>
            </w:r>
          </w:p>
        </w:tc>
        <w:tc>
          <w:tcPr>
            <w:tcW w:w="316" w:type="pct"/>
            <w:noWrap w:val="1"/>
            <w:vAlign w:val="center"/>
          </w:tcPr>
          <w:p>
            <w:pPr>
              <w:pStyle w:val="表格内容"/>
              <w:bidi w:val="0"/>
              <w:rPr>
                <w:rFonts w:eastAsia="仿宋_GB2312" w:hint="default"/>
                <w:color w:val="auto"/>
                <w:highlight w:val="none"/>
                <w:lang w:val="en-US" w:eastAsia="zh-CN"/>
              </w:rPr>
            </w:pPr>
            <w:r>
              <w:rPr>
                <w:rFonts w:hint="eastAsia"/>
                <w:color w:val="auto"/>
                <w:highlight w:val="none"/>
                <w:lang w:val="en-US" w:eastAsia="zh-CN"/>
              </w:rPr>
              <w:t xml:space="preserve">99.64</w:t>
            </w:r>
            <w:bookmarkEnd w:id="1"/>
          </w:p>
        </w:tc>
      </w:tr>
    </w:tbl>
    <w:p>
      <w:pPr>
        <w:numPr>
          <w:ilvl w:val="0"/>
          <w:numId w:val="0"/>
        </w:numPr>
        <w:rPr>
          <w:rFonts w:hint="default"/>
          <w:color w:val="auto"/>
          <w:highlight w:val="none"/>
        </w:rPr>
      </w:pPr>
    </w:p>
    <w:sectPr>
      <w:pgSz w:w="11906" w:h="16838" w:orient="portrait"/>
      <w:pgMar w:top="1440" w:right="1800" w:bottom="1440" w:left="1800" w:header="851" w:footer="992" w:gutter="0"/>
      <w:pgBorders/>
      <w:pgNumType w:fmt="decimal"/>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DE33520-4AA9-485A-A8F7-63676FD5B59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18521935-A513-4CCF-84FB-E63837304C41}"/>
  </w:font>
  <w:font w:name="方正小标宋_GBK">
    <w:altName w:val="微软雅黑"/>
    <w:panose1 w:val="02000000000000000000"/>
    <w:charset w:val="86"/>
    <w:family w:val="auto"/>
    <w:pitch w:val="default"/>
    <w:sig w:usb0="00000001" w:usb1="08000000" w:usb2="00000000" w:usb3="00000000" w:csb0="00040000" w:csb1="00000000"/>
  </w:font>
  <w:font w:name="楷体_GB2312">
    <w:altName w:val="楷体"/>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auto"/>
    <w:pitch w:val="default"/>
    <w:sig w:usb0="800002BF" w:usb1="38CF7CFA" w:usb2="00000016" w:usb3="00000000" w:csb0="00040001" w:csb1="00000000"/>
    <w:embedRegular r:id="rId3" w:fontKey="{CC73CA33-592B-4A9A-AD2D-7642088687C7}"/>
  </w:font>
  <w:font w:name="方正仿宋_GBK">
    <w:altName w:val="微软雅黑"/>
    <w:panose1 w:val="02000000000000000000"/>
    <w:charset w:val="86"/>
    <w:family w:val="auto"/>
    <w:pitch w:val="default"/>
    <w:sig w:usb0="00000000" w:usb1="00000000" w:usb2="00000000" w:usb3="00000000" w:csb0="00040001" w:csb1="00000000"/>
    <w:embedRegular r:id="rId4" w:fontKey="{1BBC4290-68E2-42F1-A554-A96C1D817935}"/>
  </w:font>
  <w:font w:name="仿宋">
    <w:panose1 w:val="00000000000000000000"/>
    <w:charset w:val="01"/>
    <w:family w:val="auto"/>
    <w:pitch w:val="default"/>
    <w:sig w:usb0="00000000" w:usb1="00000000" w:usb2="00000000" w:usb3="00000000" w:csb0="00000000" w:csb1="00000000"/>
  </w:font>
  <w:font w:name="方正仿宋">
    <w:panose1 w:val="00000000000000000000"/>
    <w:charset w:val="01"/>
    <w:family w:val="auto"/>
    <w:pitch w:val="default"/>
    <w:sig w:usb0="00000000" w:usb1="00000000" w:usb2="00000000" w:usb3="00000000" w:csb0="00000000" w:csb1="00000000"/>
  </w:font>
  <w:font w:name="方正小标宋">
    <w:panose1 w:val="00000000000000000000"/>
    <w:charset w:val="01"/>
    <w:family w:val="auto"/>
    <w:pitch w:val="default"/>
    <w:sig w:usb0="00000000" w:usb1="00000000" w:usb2="00000000" w:usb3="00000000" w:csb0="00000000"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r>
      <w:pict>
        <v:shapetype id="_x0000_t202" coordsize="21600,21600" o:spt="202" path="m,l,21600r21600,l21600,xe">
          <v:stroke joinstyle="miter"/>
          <v:path gradientshapeok="t" o:connecttype="rect"/>
        </v:shapetype>
        <v:shape id="_x0000_s2059" o:spid="_x0000_s2049" type="#_x0000_t202" style="width:2in;height:2in;margin-top:0;margin-left:0;mso-height-relative:page;mso-position-horizontal:center;mso-position-horizontal-relative:margin;mso-width-relative:page;mso-wrap-style:none;position:absolute;z-index:251658240" coordsize="21600,21600" filled="f" stroked="f">
          <o:lock v:ext="edit" aspectratio="f"/>
          <v:textbox style="mso-fit-shape-to-text:t" inset="0,0,0,0">
            <w:txbxContent>
              <w:p>
                <w:pPr>
                  <w:pStyle w:val="Footer"/>
                  <w:rPr>
                    <w:rFonts w:eastAsia="仿宋_GB2312"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xml:space="preserve">3</w:t>
                </w:r>
                <w:r>
                  <w:rPr>
                    <w:rFonts w:hint="eastAsia"/>
                    <w:lang w:eastAsia="zh-CN"/>
                  </w:rPr>
                  <w:fldChar w:fldCharType="end"/>
                </w:r>
              </w:p>
            </w:txbxContent>
          </v:textbox>
          <w10:wrap anchorx="margin"/>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w:zoom w:percent="110"/>
  <w:embedTrueTypeFonts/>
  <w:saveSubsetFonts/>
  <w:bordersDoNotSurroundFooter w:val="0"/>
  <w:bordersDoNotSurroundHeader w:val="0"/>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qFormat="1"/>
    <w:lsdException w:name="annotation text" w:semiHidden="0" w:uiPriority="0" w:unhideWhenUsed="0"/>
    <w:lsdException w:name="header" w:semiHidden="0"/>
    <w:lsdException w:name="footer" w:semiHidden="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1"/>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2"/>
    <w:qFormat/>
    <w:pPr>
      <w:widowControl w:val="0"/>
      <w:spacing w:line="360" w:lineRule="auto"/>
      <w:ind w:firstLine="880" w:firstLineChars="200"/>
      <w:jc w:val="both"/>
    </w:pPr>
    <w:rPr>
      <w:rFonts w:eastAsia="仿宋_GB2312"/>
      <w:kern w:val="2"/>
      <w:sz w:val="32"/>
      <w:szCs w:val="22"/>
      <w:lang w:val="en-US" w:eastAsia="zh-CN" w:bidi="ar-SA"/>
    </w:rPr>
  </w:style>
  <w:style w:type="paragraph" w:styleId="Heading1">
    <w:name w:val="Heading 1"/>
    <w:basedOn w:val="Normal"/>
    <w:next w:val="Normal"/>
    <w:uiPriority w:val="9"/>
    <w:qFormat/>
    <w:pPr>
      <w:keepNext/>
      <w:keepLines/>
      <w:ind w:firstLine="0" w:firstLineChars="0"/>
      <w:jc w:val="center"/>
      <w:outlineLvl w:val="0"/>
    </w:pPr>
    <w:rPr>
      <w:rFonts w:eastAsia="方正小标宋_GBK"/>
      <w:kern w:val="44"/>
      <w:sz w:val="36"/>
    </w:rPr>
  </w:style>
  <w:style w:type="paragraph" w:styleId="Heading2">
    <w:name w:val="Heading 2"/>
    <w:basedOn w:val="Normal"/>
    <w:next w:val="Normal"/>
    <w:link w:val="标题2字符"/>
    <w:uiPriority w:val="99"/>
    <w:qFormat/>
    <w:pPr>
      <w:keepNext/>
      <w:outlineLvl w:val="1"/>
    </w:pPr>
    <w:rPr>
      <w:rFonts w:eastAsia="黑体" w:cs="Times New Roman"/>
      <w:bCs/>
      <w:iCs/>
      <w:szCs w:val="21"/>
    </w:rPr>
  </w:style>
  <w:style w:type="paragraph" w:styleId="Heading3">
    <w:name w:val="Heading 3"/>
    <w:basedOn w:val="Normal"/>
    <w:next w:val="Normal"/>
    <w:link w:val="标题3字符"/>
    <w:uiPriority w:val="9"/>
    <w:unhideWhenUsed/>
    <w:qFormat/>
    <w:pPr>
      <w:keepNext/>
      <w:keepLines/>
      <w:outlineLvl w:val="2"/>
    </w:pPr>
    <w:rPr>
      <w:rFonts w:eastAsia="楷体_GB2312"/>
      <w:b/>
    </w:rPr>
  </w:style>
  <w:style w:type="paragraph" w:styleId="Heading4">
    <w:name w:val="Heading 4"/>
    <w:basedOn w:val="Normal"/>
    <w:next w:val="Normal"/>
    <w:qFormat/>
    <w:pPr>
      <w:keepNext/>
      <w:keepLines/>
      <w:spacing w:before="280" w:after="290" w:line="376" w:lineRule="auto"/>
      <w:outlineLvl w:val="3"/>
    </w:pPr>
    <w:rPr>
      <w:rFonts w:ascii="Cambria" w:eastAsia="宋体" w:hAnsi="Cambria"/>
      <w:b/>
      <w:bCs/>
      <w:sz w:val="28"/>
      <w:szCs w:val="28"/>
    </w:rPr>
  </w:style>
  <w:style w:type="character" w:default="1" w:styleId="DefaultParagraphFont">
    <w:name w:val="Default Paragraph Font"/>
    <w:uiPriority w:val="1"/>
    <w:unhideWhenUsed/>
    <w:rPr/>
  </w:style>
  <w:style w:type="table" w:default="1" w:styleId="NormalTable">
    <w:name w:val="Normal Table"/>
    <w:semiHidden/>
    <w:qFormat/>
    <w:rPr/>
    <w:tblPr>
      <w:tblCellMar>
        <w:top w:w="0" w:type="dxa"/>
        <w:left w:w="108" w:type="dxa"/>
        <w:bottom w:w="0" w:type="dxa"/>
        <w:right w:w="108" w:type="dxa"/>
      </w:tblCellMar>
    </w:tblPr>
  </w:style>
  <w:style w:type="paragraph" w:styleId="CommentText">
    <w:name w:val="Comment Text"/>
    <w:basedOn w:val="Normal"/>
    <w:qFormat/>
    <w:pPr>
      <w:jc w:val="left"/>
    </w:pPr>
    <w:rPr/>
  </w:style>
  <w:style w:type="paragraph" w:styleId="TOC3">
    <w:name w:val="TOC 3"/>
    <w:basedOn w:val="Normal"/>
    <w:next w:val="Normal"/>
    <w:uiPriority w:val="39"/>
    <w:qFormat/>
    <w:pPr>
      <w:ind w:left="840" w:leftChars="400"/>
    </w:pPr>
    <w:rPr/>
  </w:style>
  <w:style w:type="paragraph" w:styleId="Footer">
    <w:name w:val="Footer"/>
    <w:basedOn w:val="Normal"/>
    <w:link w:val="页脚字符"/>
    <w:uiPriority w:val="99"/>
    <w:unhideWhenUsed/>
    <w:qFormat/>
    <w:pPr>
      <w:tabs>
        <w:tab w:val="center" w:pos="4153"/>
        <w:tab w:val="right" w:pos="8306"/>
      </w:tabs>
      <w:snapToGrid w:val="0"/>
      <w:jc w:val="left"/>
    </w:pPr>
    <w:rPr>
      <w:sz w:val="18"/>
    </w:rPr>
  </w:style>
  <w:style w:type="paragraph" w:styleId="Header">
    <w:name w:val="Header"/>
    <w:basedOn w:val="Normal"/>
    <w:link w:val="页眉字符"/>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TOC1">
    <w:name w:val="TOC 1"/>
    <w:basedOn w:val="Normal"/>
    <w:next w:val="Normal"/>
    <w:uiPriority w:val="39"/>
    <w:qFormat/>
    <w:rPr/>
  </w:style>
  <w:style w:type="paragraph" w:styleId="TOC2">
    <w:name w:val="TOC 2"/>
    <w:basedOn w:val="Normal"/>
    <w:next w:val="Normal"/>
    <w:uiPriority w:val="39"/>
    <w:qFormat/>
    <w:pPr>
      <w:ind w:left="420" w:leftChars="200"/>
    </w:pPr>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Strong">
    <w:name w:val="Strong"/>
    <w:basedOn w:val="DefaultParagraphFont"/>
    <w:qFormat/>
    <w:rPr>
      <w:b/>
    </w:rPr>
  </w:style>
  <w:style w:type="character" w:customStyle="1" w:styleId="页眉字符">
    <w:name w:val="页眉 字符"/>
    <w:link w:val="Header"/>
    <w:uiPriority w:val="99"/>
    <w:rPr>
      <w:rFonts w:eastAsia="仿宋_GB2312" w:cs="Times New Roman"/>
      <w:kern w:val="2"/>
      <w:sz w:val="18"/>
      <w:szCs w:val="22"/>
    </w:rPr>
  </w:style>
  <w:style w:type="character" w:customStyle="1" w:styleId="标题2字符">
    <w:name w:val="标题 2 字符"/>
    <w:link w:val="Heading2"/>
    <w:uiPriority w:val="99"/>
    <w:qFormat/>
    <w:rPr>
      <w:rFonts w:eastAsia="黑体"/>
      <w:bCs/>
      <w:iCs/>
      <w:kern w:val="2"/>
      <w:sz w:val="32"/>
      <w:szCs w:val="21"/>
    </w:rPr>
  </w:style>
  <w:style w:type="character" w:customStyle="1" w:styleId="标题3字符">
    <w:name w:val="标题 3 字符"/>
    <w:link w:val="Heading3"/>
    <w:uiPriority w:val="9"/>
    <w:qFormat/>
    <w:rPr>
      <w:rFonts w:eastAsia="楷体_GB2312" w:cs="Times New Roman"/>
      <w:b/>
      <w:kern w:val="2"/>
      <w:sz w:val="32"/>
      <w:szCs w:val="22"/>
    </w:rPr>
  </w:style>
  <w:style w:type="character" w:customStyle="1" w:styleId="font101">
    <w:name w:val="font101"/>
    <w:basedOn w:val="DefaultParagraphFont"/>
    <w:rPr>
      <w:rFonts w:ascii="宋体" w:eastAsia="宋体" w:hAnsi="宋体" w:cs="宋体" w:hint="eastAsia"/>
      <w:color w:val="000000"/>
      <w:sz w:val="18"/>
      <w:szCs w:val="18"/>
      <w:u w:val="none"/>
    </w:rPr>
  </w:style>
  <w:style w:type="character" w:customStyle="1" w:styleId="font71">
    <w:name w:val="font71"/>
    <w:basedOn w:val="DefaultParagraphFont"/>
    <w:rPr>
      <w:rFonts w:ascii="宋体" w:eastAsia="宋体" w:hAnsi="宋体" w:cs="宋体" w:hint="eastAsia"/>
      <w:color w:val="000000"/>
      <w:sz w:val="22"/>
      <w:szCs w:val="22"/>
      <w:u w:val="none"/>
    </w:rPr>
  </w:style>
  <w:style w:type="character" w:customStyle="1" w:styleId="font112">
    <w:name w:val="font112"/>
    <w:basedOn w:val="DefaultParagraphFont"/>
    <w:rPr>
      <w:rFonts w:ascii="宋体" w:eastAsia="宋体" w:hAnsi="宋体" w:cs="宋体" w:hint="eastAsia"/>
      <w:color w:val="000000"/>
      <w:sz w:val="22"/>
      <w:szCs w:val="22"/>
      <w:u w:val="none"/>
    </w:rPr>
  </w:style>
  <w:style w:type="character" w:customStyle="1" w:styleId="font41">
    <w:name w:val="font41"/>
    <w:basedOn w:val="DefaultParagraphFont"/>
    <w:rPr>
      <w:rFonts w:ascii="宋体" w:eastAsia="宋体" w:hAnsi="宋体" w:cs="宋体" w:hint="eastAsia"/>
      <w:color w:val="000000"/>
      <w:sz w:val="22"/>
      <w:szCs w:val="22"/>
      <w:u w:val="none"/>
    </w:rPr>
  </w:style>
  <w:style w:type="character" w:customStyle="1" w:styleId="font91">
    <w:name w:val="font91"/>
    <w:basedOn w:val="DefaultParagraphFont"/>
    <w:rPr>
      <w:rFonts w:ascii="Times New Roman" w:hAnsi="Times New Roman" w:cs="Times New Roman" w:hint="default"/>
      <w:color w:val="000000"/>
      <w:sz w:val="18"/>
      <w:szCs w:val="18"/>
      <w:u w:val="none"/>
    </w:rPr>
  </w:style>
  <w:style w:type="character" w:customStyle="1" w:styleId="页脚字符">
    <w:name w:val="页脚 字符"/>
    <w:link w:val="Footer"/>
    <w:uiPriority w:val="99"/>
    <w:rPr>
      <w:rFonts w:eastAsia="仿宋_GB2312" w:cs="Times New Roman"/>
      <w:kern w:val="2"/>
      <w:sz w:val="18"/>
      <w:szCs w:val="22"/>
    </w:rPr>
  </w:style>
  <w:style w:type="character" w:customStyle="1" w:styleId="font81">
    <w:name w:val="font81"/>
    <w:basedOn w:val="DefaultParagraphFont"/>
    <w:rPr>
      <w:rFonts w:ascii="宋体" w:eastAsia="宋体" w:hAnsi="宋体" w:cs="宋体" w:hint="eastAsia"/>
      <w:color w:val="000000"/>
      <w:sz w:val="22"/>
      <w:szCs w:val="22"/>
      <w:u w:val="none"/>
    </w:rPr>
  </w:style>
  <w:style w:type="character" w:customStyle="1" w:styleId="font131">
    <w:name w:val="font131"/>
    <w:basedOn w:val="DefaultParagraphFont"/>
    <w:rPr>
      <w:rFonts w:ascii="宋体" w:eastAsia="宋体" w:hAnsi="宋体" w:cs="宋体" w:hint="eastAsia"/>
      <w:color w:val="000000"/>
      <w:sz w:val="18"/>
      <w:szCs w:val="18"/>
      <w:u w:val="none"/>
    </w:rPr>
  </w:style>
  <w:style w:type="character" w:customStyle="1" w:styleId="font21">
    <w:name w:val="font21"/>
    <w:basedOn w:val="DefaultParagraphFont"/>
    <w:rPr>
      <w:rFonts w:ascii="Times New Roman" w:hAnsi="Times New Roman" w:cs="Times New Roman" w:hint="default"/>
      <w:color w:val="000000"/>
      <w:sz w:val="22"/>
      <w:szCs w:val="22"/>
      <w:u w:val="none"/>
    </w:rPr>
  </w:style>
  <w:style w:type="paragraph" w:customStyle="1" w:styleId="WPSOffice手动目录1">
    <w:name w:val="WPSOffice手动目录 1"/>
    <w:qFormat/>
    <w:pPr>
      <w:ind w:leftChars="0"/>
    </w:pPr>
    <w:rPr>
      <w:sz w:val="20"/>
      <w:szCs w:val="20"/>
    </w:rPr>
  </w:style>
  <w:style w:type="paragraph" w:customStyle="1" w:styleId="表格标题">
    <w:name w:val="表格标题"/>
    <w:basedOn w:val="Normal"/>
    <w:next w:val="Normal"/>
    <w:qFormat/>
    <w:pPr>
      <w:keepNext/>
      <w:keepLines/>
      <w:ind w:firstLine="0" w:firstLineChars="0"/>
      <w:jc w:val="center"/>
      <w:outlineLvl w:val="0"/>
    </w:pPr>
    <w:rPr>
      <w:rFonts w:hint="eastAsia"/>
      <w:b/>
      <w:kern w:val="44"/>
    </w:rPr>
  </w:style>
  <w:style w:type="paragraph" w:customStyle="1" w:styleId="表格内容">
    <w:name w:val="表格内容"/>
    <w:basedOn w:val="Normal"/>
    <w:next w:val="Normal"/>
    <w:qFormat/>
    <w:pPr>
      <w:keepNext w:val="0"/>
      <w:keepLines/>
      <w:spacing w:line="240" w:lineRule="auto"/>
      <w:ind w:firstLine="0" w:firstLineChars="0"/>
      <w:jc w:val="center"/>
      <w:outlineLvl w:val="9"/>
    </w:pPr>
    <w:rPr>
      <w:rFonts w:ascii="Times New Roman" w:hAnsi="Times New Roman" w:hint="eastAsia"/>
      <w:kern w:val="44"/>
      <w:sz w:val="21"/>
    </w:rPr>
  </w:style>
  <w:style w:type="paragraph" w:customStyle="1" w:styleId="WPSOffice手动目录2">
    <w:name w:val="WPSOffice手动目录 2"/>
    <w:qFormat/>
    <w:pPr>
      <w:ind w:leftChars="200"/>
    </w:pPr>
    <w:rPr>
      <w:sz w:val="20"/>
      <w:szCs w:val="20"/>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theme" Target="theme/theme1.xml"/><Relationship Id="rId6" Type="http://schemas.openxmlformats.org/officeDocument/2006/relationships/styles" Target="styles.xml"/><Relationship Id="rId7" Type="http://schemas.openxmlformats.org/officeDocument/2006/relationships/webSettings" Target="webSettings.xml"/><Relationship Id="rId8" Type="http://schemas.openxmlformats.org/officeDocument/2006/relationships/fontTable" Target="fontTable.xml"/><Relationship Id="rId9" Type="http://schemas.openxmlformats.org/officeDocument/2006/relationships/settings" Target="setting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 Id="rId2" Type="http://schemas.openxmlformats.org/officeDocument/2006/relationships/font" Target="fonts/font2.odttf"/><Relationship Id="rId3" Type="http://schemas.openxmlformats.org/officeDocument/2006/relationships/font" Target="fonts/font3.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A8B4A07A42C64C498C35C8116A476F49_13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9" textRotate="1"/>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88</TotalTime>
  <Pages>27</Pages>
  <Words>8565</Words>
  <Characters>9028</Characters>
  <Application>WPS Office_12.1.0.15120_F1E327BC-269C-435d-A152-05C5408002CA</Application>
  <DocSecurity>0</DocSecurity>
  <Lines>110</Lines>
  <Paragraphs>31</Paragraphs>
  <Company>Microsoft</Company>
  <CharactersWithSpaces>9053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郭子歪</cp:lastModifiedBy>
  <cp:revision>3</cp:revision>
  <dcterms:created xsi:type="dcterms:W3CDTF">2019-11-25T12:51:00Z</dcterms:created>
  <dcterms:modified xsi:type="dcterms:W3CDTF">2025-09-04T07:44:18Z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2052-12.1.0.15120</vt:lpwstr>
  </property>
  <property fmtid="{D5CDD505-2E9C-101B-9397-08002B2CF9AE}" pid="3" name="ICV">
    <vt:lpwstr>A8B4A07A42C64C498C35C8116A476F49_13</vt:lpwstr>
  </property>
  <property fmtid="{D5CDD505-2E9C-101B-9397-08002B2CF9AE}" pid="4" name="commondata">
    <vt:lpwstr>eyJoZGlkIjoiMzFhODQ1NGNmNGU5ZTQ0MGUxMDEzMGEzNzMxNWFjNDkifQ_x003D__x003D_</vt:lpwstr>
  </property>
  <property fmtid="{D5CDD505-2E9C-101B-9397-08002B2CF9AE}" pid="5" name="KSOTemplateDocerSaveRecord">
    <vt:lpwstr>eyJoZGlkIjoiODRhYjhkNzI4OGQ5M2E5NzE5YzFiNzg2M2ZlMzkxMWUiLCJ1c2VySWQiOiIxMTQ4NTc0MTIzIn0_x003D_</vt:lpwstr>
  </property>
</Properties>
</file>