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51D6" w:rsidRDefault="001B51D6">
      <w:pPr>
        <w:ind w:firstLine="640"/>
      </w:pPr>
    </w:p>
    <w:p w:rsidR="001B51D6" w:rsidRDefault="001B51D6">
      <w:pPr>
        <w:ind w:firstLine="640"/>
        <w:rPr>
          <w:rFonts w:eastAsia="宋体"/>
        </w:rPr>
      </w:pPr>
    </w:p>
    <w:p w:rsidR="001B51D6" w:rsidRDefault="001B51D6">
      <w:pPr>
        <w:ind w:firstLine="640"/>
        <w:rPr>
          <w:rFonts w:eastAsia="宋体"/>
        </w:rPr>
      </w:pPr>
    </w:p>
    <w:p w:rsidR="001B51D6" w:rsidRDefault="00CD1800">
      <w:pPr>
        <w:pStyle w:val="1"/>
        <w:rPr>
          <w:sz w:val="44"/>
          <w:szCs w:val="44"/>
        </w:rPr>
      </w:pPr>
      <w:bookmarkStart w:id="0" w:name="_Toc28201"/>
      <w:bookmarkStart w:id="1" w:name="_Toc14038"/>
      <w:bookmarkStart w:id="2" w:name="_Toc7269"/>
      <w:bookmarkStart w:id="3" w:name="_Toc2854"/>
      <w:bookmarkStart w:id="4" w:name="_Toc24054"/>
      <w:bookmarkStart w:id="5" w:name="_Toc32123"/>
      <w:r>
        <w:rPr>
          <w:sz w:val="44"/>
          <w:szCs w:val="44"/>
        </w:rPr>
        <w:t>项目支出绩效评价报告</w:t>
      </w:r>
      <w:bookmarkEnd w:id="0"/>
      <w:bookmarkEnd w:id="1"/>
      <w:bookmarkEnd w:id="2"/>
      <w:bookmarkEnd w:id="3"/>
      <w:bookmarkEnd w:id="4"/>
      <w:bookmarkEnd w:id="5"/>
    </w:p>
    <w:p w:rsidR="001B51D6" w:rsidRDefault="001B51D6">
      <w:pPr>
        <w:ind w:firstLine="883"/>
        <w:rPr>
          <w:rFonts w:eastAsia="宋体"/>
          <w:b/>
          <w:bCs/>
          <w:sz w:val="44"/>
          <w:szCs w:val="44"/>
          <w:highlight w:val="yellow"/>
        </w:rPr>
      </w:pPr>
    </w:p>
    <w:p w:rsidR="001B51D6" w:rsidRDefault="001B51D6">
      <w:pPr>
        <w:ind w:firstLine="640"/>
        <w:rPr>
          <w:rFonts w:eastAsia="宋体"/>
        </w:rPr>
      </w:pPr>
    </w:p>
    <w:p w:rsidR="001B51D6" w:rsidRDefault="00CD1800">
      <w:pPr>
        <w:ind w:firstLineChars="0" w:firstLine="0"/>
        <w:jc w:val="center"/>
        <w:rPr>
          <w:rFonts w:eastAsia="宋体"/>
        </w:rPr>
      </w:pPr>
      <w:r>
        <w:rPr>
          <w:sz w:val="28"/>
          <w:szCs w:val="28"/>
        </w:rPr>
        <w:t>（</w:t>
      </w:r>
      <w:r>
        <w:rPr>
          <w:sz w:val="28"/>
          <w:szCs w:val="28"/>
        </w:rPr>
        <w:t>202</w:t>
      </w:r>
      <w:r>
        <w:rPr>
          <w:rFonts w:hint="eastAsia"/>
          <w:sz w:val="28"/>
          <w:szCs w:val="28"/>
        </w:rPr>
        <w:t>4</w:t>
      </w:r>
      <w:r>
        <w:rPr>
          <w:sz w:val="28"/>
          <w:szCs w:val="28"/>
        </w:rPr>
        <w:t>年度）</w:t>
      </w:r>
    </w:p>
    <w:p w:rsidR="001B51D6" w:rsidRDefault="001B51D6">
      <w:pPr>
        <w:ind w:firstLine="640"/>
        <w:rPr>
          <w:rFonts w:eastAsia="宋体"/>
        </w:rPr>
      </w:pPr>
    </w:p>
    <w:p w:rsidR="001B51D6" w:rsidRDefault="001B51D6">
      <w:pPr>
        <w:ind w:firstLine="640"/>
        <w:rPr>
          <w:rFonts w:eastAsia="宋体"/>
        </w:rPr>
      </w:pPr>
    </w:p>
    <w:p w:rsidR="001B51D6" w:rsidRDefault="001B51D6">
      <w:pPr>
        <w:ind w:firstLine="640"/>
        <w:rPr>
          <w:rFonts w:eastAsia="宋体"/>
        </w:rPr>
      </w:pPr>
    </w:p>
    <w:p w:rsidR="001B51D6" w:rsidRDefault="001B51D6">
      <w:pPr>
        <w:pStyle w:val="2"/>
        <w:ind w:firstLine="640"/>
        <w:rPr>
          <w:rFonts w:eastAsia="宋体"/>
        </w:rPr>
      </w:pPr>
    </w:p>
    <w:p w:rsidR="001B51D6" w:rsidRDefault="001B51D6">
      <w:pPr>
        <w:ind w:firstLine="640"/>
      </w:pPr>
    </w:p>
    <w:p w:rsidR="001B51D6" w:rsidRDefault="001B51D6">
      <w:pPr>
        <w:ind w:firstLine="640"/>
        <w:rPr>
          <w:rFonts w:eastAsia="宋体"/>
        </w:rPr>
      </w:pPr>
    </w:p>
    <w:p w:rsidR="001B51D6" w:rsidRDefault="001B51D6">
      <w:pPr>
        <w:ind w:firstLine="643"/>
        <w:rPr>
          <w:rFonts w:eastAsia="宋体"/>
          <w:b/>
          <w:bCs/>
        </w:rPr>
      </w:pPr>
    </w:p>
    <w:p w:rsidR="001B51D6" w:rsidRDefault="00CD1800">
      <w:pPr>
        <w:ind w:firstLine="640"/>
        <w:rPr>
          <w:rFonts w:ascii="仿宋_GB2312" w:hAnsi="仿宋_GB2312" w:cs="仿宋_GB2312"/>
        </w:rPr>
      </w:pPr>
      <w:r>
        <w:rPr>
          <w:rFonts w:ascii="仿宋_GB2312" w:hAnsi="仿宋_GB2312" w:cs="仿宋_GB2312" w:hint="eastAsia"/>
        </w:rPr>
        <w:t>项目名称：</w:t>
      </w:r>
      <w:r>
        <w:rPr>
          <w:rFonts w:ascii="仿宋_GB2312" w:hAnsi="仿宋_GB2312" w:cs="仿宋_GB2312" w:hint="eastAsia"/>
        </w:rPr>
        <w:t>2024</w:t>
      </w:r>
      <w:r>
        <w:rPr>
          <w:rFonts w:ascii="仿宋_GB2312" w:hAnsi="仿宋_GB2312" w:cs="仿宋_GB2312" w:hint="eastAsia"/>
        </w:rPr>
        <w:t>年园林绿化服务费</w:t>
      </w:r>
    </w:p>
    <w:p w:rsidR="001B51D6" w:rsidRDefault="00CD1800">
      <w:pPr>
        <w:ind w:firstLine="640"/>
        <w:rPr>
          <w:rFonts w:ascii="仿宋_GB2312" w:hAnsi="仿宋_GB2312" w:cs="仿宋_GB2312"/>
        </w:rPr>
      </w:pPr>
      <w:r>
        <w:rPr>
          <w:rFonts w:ascii="仿宋_GB2312" w:hAnsi="仿宋_GB2312" w:cs="仿宋_GB2312" w:hint="eastAsia"/>
        </w:rPr>
        <w:t>实施单位（公章）：</w:t>
      </w:r>
      <w:r>
        <w:rPr>
          <w:rFonts w:ascii="仿宋_GB2312" w:hAnsi="仿宋_GB2312" w:cs="仿宋_GB2312" w:hint="eastAsia"/>
        </w:rPr>
        <w:t>尉犁县住房和城乡建设局</w:t>
      </w:r>
    </w:p>
    <w:p w:rsidR="001B51D6" w:rsidRDefault="00CD1800">
      <w:pPr>
        <w:ind w:firstLine="640"/>
        <w:rPr>
          <w:rFonts w:ascii="仿宋_GB2312" w:hAnsi="仿宋_GB2312" w:cs="仿宋_GB2312"/>
        </w:rPr>
      </w:pPr>
      <w:r>
        <w:rPr>
          <w:rFonts w:ascii="仿宋_GB2312" w:hAnsi="仿宋_GB2312" w:cs="仿宋_GB2312" w:hint="eastAsia"/>
        </w:rPr>
        <w:t>主管部门（公章）：</w:t>
      </w:r>
      <w:r>
        <w:rPr>
          <w:rFonts w:ascii="仿宋_GB2312" w:hAnsi="仿宋_GB2312" w:cs="仿宋_GB2312" w:hint="eastAsia"/>
        </w:rPr>
        <w:t>尉犁县住房和城乡建设局</w:t>
      </w:r>
    </w:p>
    <w:p w:rsidR="001B51D6" w:rsidRDefault="00CD1800">
      <w:pPr>
        <w:ind w:firstLine="640"/>
        <w:rPr>
          <w:rFonts w:ascii="仿宋_GB2312" w:hAnsi="仿宋_GB2312" w:cs="仿宋_GB2312"/>
        </w:rPr>
      </w:pPr>
      <w:r>
        <w:rPr>
          <w:rFonts w:ascii="仿宋_GB2312" w:hAnsi="仿宋_GB2312" w:cs="仿宋_GB2312" w:hint="eastAsia"/>
        </w:rPr>
        <w:t>项目负责人（签章）：</w:t>
      </w:r>
      <w:r>
        <w:rPr>
          <w:rFonts w:ascii="仿宋_GB2312" w:hAnsi="仿宋_GB2312" w:cs="仿宋_GB2312" w:hint="eastAsia"/>
        </w:rPr>
        <w:t>买合木提·哈斯木</w:t>
      </w:r>
    </w:p>
    <w:p w:rsidR="001B51D6" w:rsidRDefault="00CD1800">
      <w:pPr>
        <w:ind w:firstLine="640"/>
        <w:rPr>
          <w:rFonts w:ascii="仿宋_GB2312" w:hAnsi="仿宋_GB2312" w:cs="仿宋_GB2312"/>
        </w:rPr>
      </w:pPr>
      <w:r>
        <w:rPr>
          <w:rFonts w:ascii="仿宋_GB2312" w:hAnsi="仿宋_GB2312" w:cs="仿宋_GB2312" w:hint="eastAsia"/>
        </w:rPr>
        <w:t>填报时间：</w:t>
      </w:r>
      <w:r>
        <w:rPr>
          <w:rFonts w:ascii="仿宋_GB2312" w:hAnsi="仿宋_GB2312" w:cs="仿宋_GB2312" w:hint="eastAsia"/>
        </w:rPr>
        <w:t>2025</w:t>
      </w:r>
      <w:r>
        <w:rPr>
          <w:rFonts w:ascii="仿宋_GB2312" w:hAnsi="仿宋_GB2312" w:cs="仿宋_GB2312" w:hint="eastAsia"/>
        </w:rPr>
        <w:t>年</w:t>
      </w:r>
      <w:r>
        <w:rPr>
          <w:rFonts w:ascii="仿宋_GB2312" w:hAnsi="仿宋_GB2312" w:cs="仿宋_GB2312" w:hint="eastAsia"/>
        </w:rPr>
        <w:t>4</w:t>
      </w:r>
      <w:r>
        <w:rPr>
          <w:rFonts w:ascii="仿宋_GB2312" w:hAnsi="仿宋_GB2312" w:cs="仿宋_GB2312" w:hint="eastAsia"/>
        </w:rPr>
        <w:t>月</w:t>
      </w:r>
      <w:r>
        <w:rPr>
          <w:rFonts w:ascii="仿宋_GB2312" w:hAnsi="仿宋_GB2312" w:cs="仿宋_GB2312" w:hint="eastAsia"/>
        </w:rPr>
        <w:t>2</w:t>
      </w:r>
      <w:r>
        <w:rPr>
          <w:rFonts w:ascii="仿宋_GB2312" w:hAnsi="仿宋_GB2312" w:cs="仿宋_GB2312" w:hint="eastAsia"/>
        </w:rPr>
        <w:t>日</w:t>
      </w:r>
    </w:p>
    <w:p w:rsidR="001B51D6" w:rsidRDefault="001B51D6">
      <w:pPr>
        <w:ind w:firstLine="640"/>
        <w:rPr>
          <w:rFonts w:eastAsia="宋体"/>
        </w:rPr>
      </w:pPr>
    </w:p>
    <w:p w:rsidR="001B51D6" w:rsidRDefault="001B51D6">
      <w:pPr>
        <w:ind w:firstLine="640"/>
        <w:rPr>
          <w:rFonts w:eastAsia="宋体"/>
        </w:rPr>
        <w:sectPr w:rsidR="001B51D6">
          <w:pgSz w:w="11906" w:h="16838"/>
          <w:pgMar w:top="1440" w:right="1800" w:bottom="1440" w:left="1800" w:header="851" w:footer="992" w:gutter="0"/>
          <w:pgNumType w:start="1"/>
          <w:cols w:space="720"/>
          <w:docGrid w:type="lines" w:linePitch="312"/>
        </w:sectPr>
      </w:pPr>
    </w:p>
    <w:p w:rsidR="001B51D6" w:rsidRDefault="00CD1800">
      <w:pPr>
        <w:spacing w:line="240" w:lineRule="auto"/>
        <w:ind w:leftChars="200" w:left="640" w:firstLineChars="0" w:firstLine="0"/>
        <w:jc w:val="center"/>
        <w:rPr>
          <w:b/>
          <w:bCs/>
          <w:szCs w:val="32"/>
        </w:rPr>
      </w:pPr>
      <w:bookmarkStart w:id="6" w:name="_Toc18707"/>
      <w:bookmarkStart w:id="7" w:name="_Toc5473"/>
      <w:bookmarkStart w:id="8" w:name="_Toc1891"/>
      <w:bookmarkStart w:id="9" w:name="_Toc15542"/>
      <w:bookmarkStart w:id="10" w:name="_Toc11827"/>
      <w:bookmarkStart w:id="11" w:name="_Toc14721"/>
      <w:r>
        <w:rPr>
          <w:rFonts w:ascii="宋体" w:eastAsia="宋体" w:hAnsi="宋体"/>
          <w:b/>
          <w:bCs/>
          <w:szCs w:val="32"/>
        </w:rPr>
        <w:lastRenderedPageBreak/>
        <w:t>目</w:t>
      </w:r>
      <w:r>
        <w:rPr>
          <w:rFonts w:ascii="宋体" w:eastAsia="宋体" w:hAnsi="宋体" w:hint="eastAsia"/>
          <w:b/>
          <w:bCs/>
          <w:szCs w:val="32"/>
        </w:rPr>
        <w:t xml:space="preserve">  </w:t>
      </w:r>
      <w:r>
        <w:rPr>
          <w:rFonts w:ascii="宋体" w:eastAsia="宋体" w:hAnsi="宋体"/>
          <w:b/>
          <w:bCs/>
          <w:szCs w:val="32"/>
        </w:rPr>
        <w:t>录</w:t>
      </w:r>
    </w:p>
    <w:p w:rsidR="001B51D6" w:rsidRDefault="00CD1800">
      <w:pPr>
        <w:pStyle w:val="10"/>
        <w:tabs>
          <w:tab w:val="right" w:leader="dot" w:pos="8414"/>
        </w:tabs>
        <w:ind w:firstLineChars="0" w:firstLine="0"/>
      </w:pPr>
      <w:r>
        <w:fldChar w:fldCharType="begin"/>
      </w:r>
      <w:r>
        <w:instrText>TOC \o "1-3" \h \u</w:instrText>
      </w:r>
      <w:r>
        <w:fldChar w:fldCharType="separate"/>
      </w:r>
      <w:hyperlink w:anchor="_Toc31466" w:history="1">
        <w:r>
          <w:rPr>
            <w:rFonts w:eastAsia="黑体"/>
            <w:bCs/>
            <w:iCs/>
            <w:szCs w:val="21"/>
          </w:rPr>
          <w:t>一、基本情况</w:t>
        </w:r>
        <w:r>
          <w:tab/>
        </w:r>
        <w:r>
          <w:fldChar w:fldCharType="begin"/>
        </w:r>
        <w:r>
          <w:instrText xml:space="preserve"> PAGEREF _Toc31466 \h </w:instrText>
        </w:r>
        <w:r>
          <w:fldChar w:fldCharType="separate"/>
        </w:r>
        <w:r>
          <w:t>1</w:t>
        </w:r>
        <w:r>
          <w:fldChar w:fldCharType="end"/>
        </w:r>
      </w:hyperlink>
    </w:p>
    <w:p w:rsidR="001B51D6" w:rsidRDefault="00CD1800">
      <w:pPr>
        <w:pStyle w:val="30"/>
        <w:tabs>
          <w:tab w:val="right" w:leader="dot" w:pos="8414"/>
        </w:tabs>
        <w:ind w:leftChars="200" w:left="640" w:firstLineChars="0" w:firstLine="0"/>
      </w:pPr>
      <w:hyperlink w:anchor="_Toc25333" w:history="1">
        <w:r>
          <w:rPr>
            <w:rFonts w:eastAsia="楷体"/>
          </w:rPr>
          <w:t>（一）项目概况</w:t>
        </w:r>
        <w:r>
          <w:rPr>
            <w:rFonts w:eastAsia="楷体"/>
          </w:rPr>
          <w:tab/>
        </w:r>
        <w:r>
          <w:fldChar w:fldCharType="begin"/>
        </w:r>
        <w:r>
          <w:instrText xml:space="preserve"> PAGEREF _Toc25333 \h </w:instrText>
        </w:r>
        <w:r>
          <w:fldChar w:fldCharType="separate"/>
        </w:r>
        <w:r>
          <w:t>1</w:t>
        </w:r>
        <w:r>
          <w:fldChar w:fldCharType="end"/>
        </w:r>
      </w:hyperlink>
    </w:p>
    <w:p w:rsidR="001B51D6" w:rsidRDefault="00CD1800">
      <w:pPr>
        <w:pStyle w:val="30"/>
        <w:tabs>
          <w:tab w:val="right" w:leader="dot" w:pos="8414"/>
        </w:tabs>
        <w:ind w:leftChars="200" w:left="640" w:firstLineChars="0" w:firstLine="0"/>
      </w:pPr>
      <w:hyperlink w:anchor="_Toc27764" w:history="1">
        <w:r>
          <w:rPr>
            <w:rFonts w:eastAsia="楷体"/>
          </w:rPr>
          <w:t>（二）项目绩效目标</w:t>
        </w:r>
        <w:r>
          <w:tab/>
        </w:r>
        <w:r>
          <w:fldChar w:fldCharType="begin"/>
        </w:r>
        <w:r>
          <w:instrText xml:space="preserve"> PAGEREF _Toc27764 \h </w:instrText>
        </w:r>
        <w:r>
          <w:fldChar w:fldCharType="separate"/>
        </w:r>
        <w:r>
          <w:t>5</w:t>
        </w:r>
        <w:r>
          <w:fldChar w:fldCharType="end"/>
        </w:r>
      </w:hyperlink>
    </w:p>
    <w:p w:rsidR="001B51D6" w:rsidRDefault="00CD1800">
      <w:pPr>
        <w:pStyle w:val="20"/>
        <w:tabs>
          <w:tab w:val="right" w:leader="dot" w:pos="8414"/>
        </w:tabs>
        <w:ind w:leftChars="0" w:left="0" w:firstLineChars="0" w:firstLine="0"/>
      </w:pPr>
      <w:hyperlink w:anchor="_Toc12225" w:history="1">
        <w:r>
          <w:rPr>
            <w:rFonts w:eastAsia="黑体"/>
          </w:rPr>
          <w:t>二、绩效评价工作开展情况</w:t>
        </w:r>
        <w:r>
          <w:tab/>
        </w:r>
        <w:r>
          <w:fldChar w:fldCharType="begin"/>
        </w:r>
        <w:r>
          <w:instrText xml:space="preserve"> PAGEREF _Toc12225 \h </w:instrText>
        </w:r>
        <w:r>
          <w:fldChar w:fldCharType="separate"/>
        </w:r>
        <w:r>
          <w:t>6</w:t>
        </w:r>
        <w:r>
          <w:fldChar w:fldCharType="end"/>
        </w:r>
      </w:hyperlink>
    </w:p>
    <w:p w:rsidR="001B51D6" w:rsidRDefault="00CD1800">
      <w:pPr>
        <w:pStyle w:val="30"/>
        <w:tabs>
          <w:tab w:val="right" w:leader="dot" w:pos="8414"/>
        </w:tabs>
        <w:ind w:leftChars="200" w:left="640" w:firstLineChars="0" w:firstLine="0"/>
      </w:pPr>
      <w:hyperlink w:anchor="_Toc6248" w:history="1">
        <w:r>
          <w:rPr>
            <w:rFonts w:eastAsia="楷体"/>
          </w:rPr>
          <w:t>（一）绩效评价目的、对象和范围</w:t>
        </w:r>
        <w:r>
          <w:tab/>
        </w:r>
        <w:r>
          <w:fldChar w:fldCharType="begin"/>
        </w:r>
        <w:r>
          <w:instrText xml:space="preserve"> PAGEREF _Toc6248 \h </w:instrText>
        </w:r>
        <w:r>
          <w:fldChar w:fldCharType="separate"/>
        </w:r>
        <w:r>
          <w:t>6</w:t>
        </w:r>
        <w:r>
          <w:fldChar w:fldCharType="end"/>
        </w:r>
      </w:hyperlink>
    </w:p>
    <w:p w:rsidR="001B51D6" w:rsidRDefault="00CD1800">
      <w:pPr>
        <w:pStyle w:val="30"/>
        <w:tabs>
          <w:tab w:val="right" w:leader="dot" w:pos="8414"/>
        </w:tabs>
        <w:ind w:leftChars="200" w:left="640" w:firstLineChars="0" w:firstLine="0"/>
      </w:pPr>
      <w:hyperlink w:anchor="_Toc4350" w:history="1">
        <w:r>
          <w:rPr>
            <w:rFonts w:ascii="楷体" w:eastAsia="楷体" w:hAnsi="楷体" w:cs="楷体" w:hint="eastAsia"/>
          </w:rPr>
          <w:t>（二）绩效评价原则、评价指标体系、评价方法、评价标准</w:t>
        </w:r>
        <w:r>
          <w:tab/>
        </w:r>
        <w:r>
          <w:fldChar w:fldCharType="begin"/>
        </w:r>
        <w:r>
          <w:instrText xml:space="preserve"> PAGEREF _Toc4350 \h </w:instrText>
        </w:r>
        <w:r>
          <w:fldChar w:fldCharType="separate"/>
        </w:r>
        <w:r>
          <w:t>7</w:t>
        </w:r>
        <w:r>
          <w:fldChar w:fldCharType="end"/>
        </w:r>
      </w:hyperlink>
    </w:p>
    <w:p w:rsidR="001B51D6" w:rsidRDefault="00CD1800">
      <w:pPr>
        <w:pStyle w:val="30"/>
        <w:tabs>
          <w:tab w:val="right" w:leader="dot" w:pos="8414"/>
        </w:tabs>
        <w:ind w:leftChars="200" w:left="640" w:firstLineChars="0" w:firstLine="0"/>
      </w:pPr>
      <w:hyperlink w:anchor="_Toc28943" w:history="1">
        <w:r>
          <w:rPr>
            <w:rFonts w:ascii="楷体" w:eastAsia="楷体" w:hAnsi="楷体" w:cs="楷体" w:hint="eastAsia"/>
          </w:rPr>
          <w:t>（三）绩效评价工作过程</w:t>
        </w:r>
        <w:r>
          <w:tab/>
        </w:r>
        <w:r>
          <w:fldChar w:fldCharType="begin"/>
        </w:r>
        <w:r>
          <w:instrText xml:space="preserve"> PAGEREF _Toc28943 \h </w:instrText>
        </w:r>
        <w:r>
          <w:fldChar w:fldCharType="separate"/>
        </w:r>
        <w:r>
          <w:t>10</w:t>
        </w:r>
        <w:r>
          <w:fldChar w:fldCharType="end"/>
        </w:r>
      </w:hyperlink>
    </w:p>
    <w:p w:rsidR="001B51D6" w:rsidRDefault="00CD1800">
      <w:pPr>
        <w:pStyle w:val="20"/>
        <w:tabs>
          <w:tab w:val="right" w:leader="dot" w:pos="8414"/>
        </w:tabs>
        <w:ind w:leftChars="0" w:left="0" w:firstLineChars="0" w:firstLine="0"/>
      </w:pPr>
      <w:hyperlink w:anchor="_Toc3859" w:history="1">
        <w:r>
          <w:rPr>
            <w:rFonts w:ascii="黑体" w:eastAsia="黑体" w:hAnsi="黑体" w:cs="黑体" w:hint="eastAsia"/>
          </w:rPr>
          <w:t>三、综合评价情况及评价结论</w:t>
        </w:r>
        <w:r>
          <w:tab/>
        </w:r>
        <w:r>
          <w:fldChar w:fldCharType="begin"/>
        </w:r>
        <w:r>
          <w:instrText xml:space="preserve"> PAGEREF _Toc3859 \h </w:instrText>
        </w:r>
        <w:r>
          <w:fldChar w:fldCharType="separate"/>
        </w:r>
        <w:r>
          <w:t>13</w:t>
        </w:r>
        <w:r>
          <w:fldChar w:fldCharType="end"/>
        </w:r>
      </w:hyperlink>
    </w:p>
    <w:p w:rsidR="001B51D6" w:rsidRDefault="00CD1800">
      <w:pPr>
        <w:pStyle w:val="20"/>
        <w:tabs>
          <w:tab w:val="right" w:leader="dot" w:pos="8414"/>
        </w:tabs>
        <w:ind w:leftChars="0" w:left="0" w:firstLineChars="0" w:firstLine="0"/>
      </w:pPr>
      <w:hyperlink w:anchor="_Toc25039" w:history="1">
        <w:r>
          <w:rPr>
            <w:rFonts w:ascii="黑体" w:eastAsia="黑体" w:hAnsi="黑体" w:cs="黑体" w:hint="eastAsia"/>
          </w:rPr>
          <w:t>四、绩效评价指标分析</w:t>
        </w:r>
        <w:r>
          <w:tab/>
        </w:r>
        <w:r>
          <w:fldChar w:fldCharType="begin"/>
        </w:r>
        <w:r>
          <w:instrText xml:space="preserve"> PAGEREF _Toc25039 \h </w:instrText>
        </w:r>
        <w:r>
          <w:fldChar w:fldCharType="separate"/>
        </w:r>
        <w:r>
          <w:t>13</w:t>
        </w:r>
        <w:r>
          <w:fldChar w:fldCharType="end"/>
        </w:r>
      </w:hyperlink>
    </w:p>
    <w:p w:rsidR="001B51D6" w:rsidRDefault="00CD1800">
      <w:pPr>
        <w:pStyle w:val="30"/>
        <w:tabs>
          <w:tab w:val="right" w:leader="dot" w:pos="8414"/>
        </w:tabs>
        <w:ind w:leftChars="200" w:left="640" w:firstLineChars="0" w:firstLine="0"/>
      </w:pPr>
      <w:hyperlink w:anchor="_Toc14583" w:history="1">
        <w:r>
          <w:rPr>
            <w:rFonts w:ascii="楷体" w:eastAsia="楷体" w:hAnsi="楷体" w:cs="楷体" w:hint="eastAsia"/>
          </w:rPr>
          <w:t>（一）项目决策情况</w:t>
        </w:r>
        <w:r>
          <w:tab/>
        </w:r>
        <w:r>
          <w:fldChar w:fldCharType="begin"/>
        </w:r>
        <w:r>
          <w:instrText xml:space="preserve"> PAGEREF _Toc14583 \h </w:instrText>
        </w:r>
        <w:r>
          <w:fldChar w:fldCharType="separate"/>
        </w:r>
        <w:r>
          <w:t>13</w:t>
        </w:r>
        <w:r>
          <w:fldChar w:fldCharType="end"/>
        </w:r>
      </w:hyperlink>
    </w:p>
    <w:p w:rsidR="001B51D6" w:rsidRDefault="00CD1800">
      <w:pPr>
        <w:pStyle w:val="30"/>
        <w:tabs>
          <w:tab w:val="right" w:leader="dot" w:pos="8414"/>
        </w:tabs>
        <w:ind w:leftChars="200" w:left="640" w:firstLineChars="0" w:firstLine="0"/>
      </w:pPr>
      <w:hyperlink w:anchor="_Toc32118" w:history="1">
        <w:r>
          <w:rPr>
            <w:rFonts w:ascii="楷体" w:eastAsia="楷体" w:hAnsi="楷体" w:cs="楷体" w:hint="eastAsia"/>
          </w:rPr>
          <w:t>（二）项目过程情况</w:t>
        </w:r>
        <w:r>
          <w:tab/>
        </w:r>
        <w:r>
          <w:fldChar w:fldCharType="begin"/>
        </w:r>
        <w:r>
          <w:instrText xml:space="preserve"> PAGEREF _Toc32118 \h </w:instrText>
        </w:r>
        <w:r>
          <w:fldChar w:fldCharType="separate"/>
        </w:r>
        <w:r>
          <w:t>15</w:t>
        </w:r>
        <w:r>
          <w:fldChar w:fldCharType="end"/>
        </w:r>
      </w:hyperlink>
    </w:p>
    <w:p w:rsidR="001B51D6" w:rsidRDefault="00CD1800">
      <w:pPr>
        <w:pStyle w:val="30"/>
        <w:tabs>
          <w:tab w:val="right" w:leader="dot" w:pos="8414"/>
        </w:tabs>
        <w:ind w:leftChars="200" w:left="640" w:firstLineChars="0" w:firstLine="0"/>
      </w:pPr>
      <w:hyperlink w:anchor="_Toc10818" w:history="1">
        <w:r>
          <w:rPr>
            <w:rFonts w:ascii="楷体" w:eastAsia="楷体" w:hAnsi="楷体" w:cs="楷体" w:hint="eastAsia"/>
          </w:rPr>
          <w:t>（三）项目产出情况</w:t>
        </w:r>
        <w:r>
          <w:tab/>
        </w:r>
        <w:r>
          <w:fldChar w:fldCharType="begin"/>
        </w:r>
        <w:r>
          <w:instrText xml:space="preserve"> PAGEREF _Toc10818 \h </w:instrText>
        </w:r>
        <w:r>
          <w:fldChar w:fldCharType="separate"/>
        </w:r>
        <w:r>
          <w:t>16</w:t>
        </w:r>
        <w:r>
          <w:fldChar w:fldCharType="end"/>
        </w:r>
      </w:hyperlink>
    </w:p>
    <w:p w:rsidR="001B51D6" w:rsidRDefault="00CD1800">
      <w:pPr>
        <w:pStyle w:val="30"/>
        <w:tabs>
          <w:tab w:val="right" w:leader="dot" w:pos="8414"/>
        </w:tabs>
        <w:ind w:leftChars="200" w:left="640" w:firstLineChars="0" w:firstLine="0"/>
      </w:pPr>
      <w:hyperlink w:anchor="_Toc27768" w:history="1">
        <w:r>
          <w:rPr>
            <w:rFonts w:ascii="楷体" w:eastAsia="楷体" w:hAnsi="楷体" w:cs="楷体" w:hint="eastAsia"/>
          </w:rPr>
          <w:t>（四）项目效益情况</w:t>
        </w:r>
        <w:r>
          <w:tab/>
        </w:r>
        <w:r>
          <w:fldChar w:fldCharType="begin"/>
        </w:r>
        <w:r>
          <w:instrText xml:space="preserve"> PAGEREF _Toc27768 \h </w:instrText>
        </w:r>
        <w:r>
          <w:fldChar w:fldCharType="separate"/>
        </w:r>
        <w:r>
          <w:t>17</w:t>
        </w:r>
        <w:r>
          <w:fldChar w:fldCharType="end"/>
        </w:r>
      </w:hyperlink>
    </w:p>
    <w:p w:rsidR="001B51D6" w:rsidRDefault="00CD1800">
      <w:pPr>
        <w:pStyle w:val="20"/>
        <w:tabs>
          <w:tab w:val="right" w:leader="dot" w:pos="8414"/>
        </w:tabs>
        <w:ind w:leftChars="0" w:left="0" w:firstLineChars="0" w:firstLine="0"/>
      </w:pPr>
      <w:hyperlink w:anchor="_Toc26038" w:history="1">
        <w:r>
          <w:rPr>
            <w:rFonts w:ascii="黑体" w:eastAsia="黑体" w:hAnsi="黑体" w:cs="黑体" w:hint="eastAsia"/>
          </w:rPr>
          <w:t>五、主要经验及做法、存在的问题及原因分析</w:t>
        </w:r>
        <w:r>
          <w:tab/>
        </w:r>
        <w:r>
          <w:fldChar w:fldCharType="begin"/>
        </w:r>
        <w:r>
          <w:instrText xml:space="preserve"> PAGEREF _Toc26038 \h </w:instrText>
        </w:r>
        <w:r>
          <w:fldChar w:fldCharType="separate"/>
        </w:r>
        <w:r>
          <w:t>18</w:t>
        </w:r>
        <w:r>
          <w:fldChar w:fldCharType="end"/>
        </w:r>
      </w:hyperlink>
    </w:p>
    <w:p w:rsidR="001B51D6" w:rsidRDefault="00CD1800">
      <w:pPr>
        <w:pStyle w:val="30"/>
        <w:tabs>
          <w:tab w:val="right" w:leader="dot" w:pos="8414"/>
        </w:tabs>
        <w:ind w:leftChars="200" w:left="640" w:firstLineChars="0" w:firstLine="0"/>
      </w:pPr>
      <w:hyperlink w:anchor="_Toc11597" w:history="1">
        <w:r>
          <w:rPr>
            <w:rFonts w:ascii="楷体" w:eastAsia="楷体" w:hAnsi="楷体" w:cs="楷体" w:hint="eastAsia"/>
          </w:rPr>
          <w:t>（一）主要经验及做法</w:t>
        </w:r>
        <w:r>
          <w:tab/>
        </w:r>
        <w:r>
          <w:fldChar w:fldCharType="begin"/>
        </w:r>
        <w:r>
          <w:instrText xml:space="preserve"> PAGEREF _Toc11597 \h </w:instrText>
        </w:r>
        <w:r>
          <w:fldChar w:fldCharType="separate"/>
        </w:r>
        <w:r>
          <w:t>18</w:t>
        </w:r>
        <w:r>
          <w:fldChar w:fldCharType="end"/>
        </w:r>
      </w:hyperlink>
    </w:p>
    <w:p w:rsidR="001B51D6" w:rsidRDefault="00CD1800">
      <w:pPr>
        <w:pStyle w:val="30"/>
        <w:tabs>
          <w:tab w:val="right" w:leader="dot" w:pos="8414"/>
        </w:tabs>
        <w:ind w:leftChars="200" w:left="640" w:firstLineChars="0" w:firstLine="0"/>
      </w:pPr>
      <w:hyperlink w:anchor="_Toc9159" w:history="1">
        <w:r>
          <w:rPr>
            <w:rFonts w:ascii="楷体" w:eastAsia="楷体" w:hAnsi="楷体" w:cs="楷体" w:hint="eastAsia"/>
          </w:rPr>
          <w:t>（二）存在的问题及分析</w:t>
        </w:r>
        <w:r>
          <w:tab/>
        </w:r>
        <w:r>
          <w:fldChar w:fldCharType="begin"/>
        </w:r>
        <w:r>
          <w:instrText xml:space="preserve"> PAGEREF _Toc9159 \h </w:instrText>
        </w:r>
        <w:r>
          <w:fldChar w:fldCharType="separate"/>
        </w:r>
        <w:r>
          <w:t>19</w:t>
        </w:r>
        <w:r>
          <w:fldChar w:fldCharType="end"/>
        </w:r>
      </w:hyperlink>
    </w:p>
    <w:p w:rsidR="001B51D6" w:rsidRDefault="00CD1800">
      <w:pPr>
        <w:pStyle w:val="20"/>
        <w:tabs>
          <w:tab w:val="right" w:leader="dot" w:pos="8414"/>
        </w:tabs>
        <w:ind w:leftChars="0" w:left="0" w:firstLineChars="0" w:firstLine="0"/>
      </w:pPr>
      <w:hyperlink w:anchor="_Toc26038" w:history="1">
        <w:r>
          <w:rPr>
            <w:rFonts w:ascii="黑体" w:eastAsia="黑体" w:hAnsi="黑体" w:cs="黑体" w:hint="eastAsia"/>
          </w:rPr>
          <w:t>六</w:t>
        </w:r>
        <w:r>
          <w:rPr>
            <w:rFonts w:ascii="黑体" w:eastAsia="黑体" w:hAnsi="黑体" w:cs="黑体" w:hint="eastAsia"/>
          </w:rPr>
          <w:t>、</w:t>
        </w:r>
        <w:r>
          <w:rPr>
            <w:rFonts w:ascii="黑体" w:eastAsia="黑体" w:hAnsi="黑体" w:cs="黑体" w:hint="eastAsia"/>
          </w:rPr>
          <w:t>有关建议</w:t>
        </w:r>
        <w:r>
          <w:tab/>
        </w:r>
        <w:r>
          <w:fldChar w:fldCharType="begin"/>
        </w:r>
        <w:r>
          <w:instrText xml:space="preserve"> PAGEREF _Toc26038 \h </w:instrText>
        </w:r>
        <w:r>
          <w:fldChar w:fldCharType="separate"/>
        </w:r>
        <w:r>
          <w:t>18</w:t>
        </w:r>
        <w:r>
          <w:fldChar w:fldCharType="end"/>
        </w:r>
      </w:hyperlink>
    </w:p>
    <w:p w:rsidR="001B51D6" w:rsidRDefault="00CD1800">
      <w:pPr>
        <w:pStyle w:val="20"/>
        <w:tabs>
          <w:tab w:val="right" w:leader="dot" w:pos="8414"/>
        </w:tabs>
        <w:ind w:leftChars="0" w:left="0" w:firstLineChars="0" w:firstLine="0"/>
      </w:pPr>
      <w:hyperlink w:anchor="_Toc25353" w:history="1">
        <w:r>
          <w:rPr>
            <w:rFonts w:ascii="黑体" w:eastAsia="黑体" w:hAnsi="黑体" w:cs="黑体"/>
            <w:bCs/>
            <w:iCs/>
          </w:rPr>
          <w:t>七、其他需要说明的问题</w:t>
        </w:r>
        <w:r>
          <w:tab/>
        </w:r>
        <w:r>
          <w:fldChar w:fldCharType="begin"/>
        </w:r>
        <w:r>
          <w:instrText xml:space="preserve"> PAGEREF _Toc25353 \h </w:instrText>
        </w:r>
        <w:r>
          <w:fldChar w:fldCharType="separate"/>
        </w:r>
        <w:r>
          <w:t>20</w:t>
        </w:r>
        <w:r>
          <w:fldChar w:fldCharType="end"/>
        </w:r>
      </w:hyperlink>
    </w:p>
    <w:p w:rsidR="001B51D6" w:rsidRDefault="00CD1800">
      <w:pPr>
        <w:pStyle w:val="20"/>
        <w:tabs>
          <w:tab w:val="right" w:leader="dot" w:pos="8414"/>
        </w:tabs>
        <w:ind w:leftChars="0" w:left="0" w:firstLineChars="0" w:firstLine="0"/>
      </w:pPr>
      <w:hyperlink w:anchor="_Toc24034" w:history="1">
        <w:r>
          <w:rPr>
            <w:rFonts w:ascii="黑体" w:eastAsia="黑体" w:hAnsi="黑体" w:cs="黑体"/>
            <w:bCs/>
            <w:iCs/>
          </w:rPr>
          <w:t>八、附件</w:t>
        </w:r>
        <w:r>
          <w:tab/>
        </w:r>
        <w:r>
          <w:fldChar w:fldCharType="begin"/>
        </w:r>
        <w:r>
          <w:instrText xml:space="preserve"> PAGEREF _Toc24034 \h </w:instrText>
        </w:r>
        <w:r>
          <w:fldChar w:fldCharType="separate"/>
        </w:r>
        <w:r>
          <w:t>20</w:t>
        </w:r>
        <w:r>
          <w:fldChar w:fldCharType="end"/>
        </w:r>
      </w:hyperlink>
    </w:p>
    <w:p w:rsidR="001B51D6" w:rsidRDefault="00CD1800">
      <w:pPr>
        <w:pStyle w:val="20"/>
        <w:tabs>
          <w:tab w:val="right" w:leader="dot" w:pos="8414"/>
        </w:tabs>
        <w:ind w:left="640" w:firstLineChars="0" w:firstLine="0"/>
      </w:pPr>
      <w:hyperlink w:anchor="_Toc8554" w:history="1">
        <w:r>
          <w:rPr>
            <w:bCs/>
            <w:iCs/>
          </w:rPr>
          <w:t>附件</w:t>
        </w:r>
        <w:r>
          <w:rPr>
            <w:bCs/>
            <w:iCs/>
          </w:rPr>
          <w:t>1</w:t>
        </w:r>
        <w:r>
          <w:rPr>
            <w:bCs/>
            <w:iCs/>
          </w:rPr>
          <w:t>：</w:t>
        </w:r>
        <w:r>
          <w:t>项目支出绩效自评表</w:t>
        </w:r>
        <w:r>
          <w:tab/>
        </w:r>
        <w:r>
          <w:fldChar w:fldCharType="begin"/>
        </w:r>
        <w:r>
          <w:instrText xml:space="preserve"> PAGEREF _Toc8554 \h </w:instrText>
        </w:r>
        <w:r>
          <w:fldChar w:fldCharType="separate"/>
        </w:r>
        <w:r>
          <w:t>21</w:t>
        </w:r>
        <w:r>
          <w:fldChar w:fldCharType="end"/>
        </w:r>
      </w:hyperlink>
    </w:p>
    <w:p w:rsidR="001B51D6" w:rsidRDefault="00CD1800">
      <w:pPr>
        <w:pStyle w:val="20"/>
        <w:tabs>
          <w:tab w:val="right" w:leader="dot" w:pos="8414"/>
        </w:tabs>
        <w:ind w:left="640" w:firstLineChars="0" w:firstLine="0"/>
      </w:pPr>
      <w:hyperlink w:anchor="_Toc21055" w:history="1">
        <w:r>
          <w:t>附件</w:t>
        </w:r>
        <w:r>
          <w:t>2</w:t>
        </w:r>
        <w:r>
          <w:t>：项目支出绩效评价指标体系及评分</w:t>
        </w:r>
        <w:r>
          <w:tab/>
        </w:r>
        <w:r>
          <w:fldChar w:fldCharType="begin"/>
        </w:r>
        <w:r>
          <w:instrText xml:space="preserve"> PAGEREF _Toc21055 \h </w:instrText>
        </w:r>
        <w:r>
          <w:fldChar w:fldCharType="separate"/>
        </w:r>
        <w:r>
          <w:t>23</w:t>
        </w:r>
        <w:r>
          <w:fldChar w:fldCharType="end"/>
        </w:r>
      </w:hyperlink>
    </w:p>
    <w:p w:rsidR="001B51D6" w:rsidRDefault="00CD1800">
      <w:pPr>
        <w:tabs>
          <w:tab w:val="right" w:leader="dot" w:pos="8306"/>
        </w:tabs>
        <w:ind w:leftChars="200" w:left="640" w:firstLineChars="0" w:firstLine="0"/>
        <w:rPr>
          <w:rFonts w:eastAsia="黑体"/>
          <w:bCs/>
          <w:iCs/>
          <w:szCs w:val="21"/>
        </w:rPr>
        <w:sectPr w:rsidR="001B51D6">
          <w:footerReference w:type="default" r:id="rId8"/>
          <w:pgSz w:w="11906" w:h="16838"/>
          <w:pgMar w:top="816" w:right="1519" w:bottom="1043" w:left="1973" w:header="851" w:footer="992" w:gutter="0"/>
          <w:cols w:space="720"/>
          <w:docGrid w:type="lines" w:linePitch="312"/>
        </w:sectPr>
      </w:pPr>
      <w:r>
        <w:fldChar w:fldCharType="end"/>
      </w:r>
      <w:bookmarkStart w:id="12" w:name="_Toc9202"/>
    </w:p>
    <w:p w:rsidR="001B51D6" w:rsidRDefault="00CD1800">
      <w:pPr>
        <w:spacing w:line="500" w:lineRule="exact"/>
        <w:ind w:firstLine="640"/>
        <w:outlineLvl w:val="1"/>
        <w:rPr>
          <w:rFonts w:eastAsia="黑体"/>
          <w:bCs/>
          <w:iCs/>
          <w:szCs w:val="21"/>
        </w:rPr>
      </w:pPr>
      <w:bookmarkStart w:id="13" w:name="_Toc7949"/>
      <w:bookmarkStart w:id="14" w:name="_Toc31466"/>
      <w:bookmarkStart w:id="15" w:name="_Toc30945"/>
      <w:r>
        <w:rPr>
          <w:rFonts w:eastAsia="黑体"/>
          <w:bCs/>
          <w:iCs/>
          <w:szCs w:val="21"/>
        </w:rPr>
        <w:lastRenderedPageBreak/>
        <w:t>一、基本情况</w:t>
      </w:r>
      <w:bookmarkStart w:id="16" w:name="_Toc27593"/>
      <w:bookmarkEnd w:id="6"/>
      <w:bookmarkEnd w:id="7"/>
      <w:bookmarkEnd w:id="8"/>
      <w:bookmarkEnd w:id="9"/>
      <w:bookmarkEnd w:id="10"/>
      <w:bookmarkEnd w:id="11"/>
      <w:bookmarkEnd w:id="12"/>
      <w:bookmarkEnd w:id="13"/>
      <w:bookmarkEnd w:id="14"/>
      <w:bookmarkEnd w:id="15"/>
    </w:p>
    <w:p w:rsidR="001B51D6" w:rsidRDefault="00CD1800">
      <w:pPr>
        <w:pStyle w:val="3"/>
        <w:ind w:firstLine="643"/>
      </w:pPr>
      <w:bookmarkStart w:id="17" w:name="_Toc9236"/>
      <w:bookmarkStart w:id="18" w:name="_Toc24048"/>
      <w:bookmarkStart w:id="19" w:name="_Toc24706"/>
      <w:bookmarkStart w:id="20" w:name="_Toc26183"/>
      <w:bookmarkStart w:id="21" w:name="_Toc25333"/>
      <w:r>
        <w:t>（一）项目概况</w:t>
      </w:r>
      <w:bookmarkEnd w:id="16"/>
      <w:bookmarkEnd w:id="17"/>
      <w:bookmarkEnd w:id="18"/>
      <w:bookmarkEnd w:id="19"/>
      <w:bookmarkEnd w:id="20"/>
      <w:bookmarkEnd w:id="21"/>
    </w:p>
    <w:p w:rsidR="001B51D6" w:rsidRDefault="00CD1800">
      <w:pPr>
        <w:ind w:firstLine="643"/>
        <w:rPr>
          <w:b/>
          <w:bCs/>
        </w:rPr>
      </w:pPr>
      <w:bookmarkStart w:id="22" w:name="_Toc11427"/>
      <w:bookmarkStart w:id="23" w:name="_Toc19984"/>
      <w:r>
        <w:rPr>
          <w:b/>
          <w:bCs/>
        </w:rPr>
        <w:t>1.</w:t>
      </w:r>
      <w:r>
        <w:rPr>
          <w:b/>
          <w:bCs/>
        </w:rPr>
        <w:t>项目背景</w:t>
      </w:r>
      <w:bookmarkEnd w:id="22"/>
      <w:bookmarkEnd w:id="23"/>
    </w:p>
    <w:p w:rsidR="001B51D6" w:rsidRDefault="00CD1800">
      <w:pPr>
        <w:ind w:firstLine="640"/>
      </w:pPr>
      <w:bookmarkStart w:id="24" w:name="_Toc22216"/>
      <w:r>
        <w:rPr>
          <w:rFonts w:hint="eastAsia"/>
        </w:rPr>
        <w:t>《新疆重要生态系统保护和修复重大工程总体规划</w:t>
      </w:r>
      <w:r>
        <w:rPr>
          <w:rFonts w:hint="eastAsia"/>
        </w:rPr>
        <w:t>(2021-2035</w:t>
      </w:r>
      <w:r>
        <w:rPr>
          <w:rFonts w:hint="eastAsia"/>
        </w:rPr>
        <w:t>年</w:t>
      </w:r>
      <w:r>
        <w:rPr>
          <w:rFonts w:hint="eastAsia"/>
        </w:rPr>
        <w:t>)</w:t>
      </w:r>
      <w:r>
        <w:rPr>
          <w:rFonts w:hint="eastAsia"/>
        </w:rPr>
        <w:t>》提出</w:t>
      </w:r>
      <w:r>
        <w:rPr>
          <w:rFonts w:hint="eastAsia"/>
        </w:rPr>
        <w:t>:</w:t>
      </w:r>
      <w:r>
        <w:rPr>
          <w:rFonts w:hint="eastAsia"/>
        </w:rPr>
        <w:t>为聚焦推动经济社会高质量发展，针对新疆重要生态系统保护和修复面临的新挑战新要求新任务，提出了到</w:t>
      </w:r>
      <w:r>
        <w:rPr>
          <w:rFonts w:hint="eastAsia"/>
        </w:rPr>
        <w:t>2035</w:t>
      </w:r>
      <w:r>
        <w:rPr>
          <w:rFonts w:hint="eastAsia"/>
        </w:rPr>
        <w:t>年推进森林、草原、荒漠、河湖、湿地等自然生态系统保护和修复的主要目标、重点任务、重大工程及保障措施，是当前和今后一段时期内推进新疆重要生态系统保护和修复工作的重要依据。园林绿化作为城市具有生命的基础设施，为广大人民群众提供休息、游览，开展科学文化活动的园地，增进人民身心健康。随着社会经济发展和人民生活水平的提高，城镇园林绿化在城市的</w:t>
      </w:r>
      <w:r>
        <w:rPr>
          <w:rFonts w:hint="eastAsia"/>
        </w:rPr>
        <w:t>建设中越来越显示出它的重要性，园林绿化与城市建设的关系越来越紧密，绿化水平也成为评判城市生态宜居的重要指标。尉犁县人民政府根据《住房城乡建设部关于促进城市园林绿化事业健康发展的指导意见》提出“强化专业化、精细化管护。各地要结合实际情况，制定完善园林绿化养护管理技术规范和养护定额标准，加快培养养护专业技术人员，加大养护资金投入”的要求，通过将城区公共绿化区域进行分区，并以市场化运转形式，引入专业养护公司及团队，对不同片区的公共绿化区域进行精细化的日常养护管理，提高本地绿化养护水平，为城市创造了优美的绿化景观，</w:t>
      </w:r>
      <w:r>
        <w:rPr>
          <w:rFonts w:hint="eastAsia"/>
        </w:rPr>
        <w:t>提高了城市的人文温度。</w:t>
      </w:r>
    </w:p>
    <w:p w:rsidR="001B51D6" w:rsidRDefault="00CD1800">
      <w:pPr>
        <w:ind w:firstLine="640"/>
      </w:pPr>
      <w:r>
        <w:rPr>
          <w:rFonts w:hint="eastAsia"/>
        </w:rPr>
        <w:lastRenderedPageBreak/>
        <w:t>推进园林绿化管护的精细化，对道路绿篱进行精细修剪，及时对绿化带乔木和行道树进行抹芽剪枝，勤除草、勤施肥打药防虫灭虫</w:t>
      </w:r>
      <w:r>
        <w:rPr>
          <w:rFonts w:hint="eastAsia"/>
        </w:rPr>
        <w:t>;</w:t>
      </w:r>
      <w:r>
        <w:rPr>
          <w:rFonts w:hint="eastAsia"/>
        </w:rPr>
        <w:t>突出城市道路主要节点的美化提升，对县城重要道路节点更换种植花卉，彩化城市环境，丰富城市景观效果</w:t>
      </w:r>
      <w:r>
        <w:rPr>
          <w:rFonts w:hint="eastAsia"/>
        </w:rPr>
        <w:t>;</w:t>
      </w:r>
      <w:r>
        <w:rPr>
          <w:rFonts w:hint="eastAsia"/>
        </w:rPr>
        <w:t>加强城市生态修复工作，对城市裸露地块进行</w:t>
      </w:r>
      <w:proofErr w:type="gramStart"/>
      <w:r>
        <w:rPr>
          <w:rFonts w:hint="eastAsia"/>
        </w:rPr>
        <w:t>绿化复绿建设</w:t>
      </w:r>
      <w:proofErr w:type="gramEnd"/>
      <w:r>
        <w:rPr>
          <w:rFonts w:hint="eastAsia"/>
        </w:rPr>
        <w:t>，对绿化带苗木老化枯死区块进行更换补植</w:t>
      </w:r>
      <w:r>
        <w:rPr>
          <w:rFonts w:hint="eastAsia"/>
        </w:rPr>
        <w:t>;</w:t>
      </w:r>
      <w:r>
        <w:rPr>
          <w:rFonts w:hint="eastAsia"/>
        </w:rPr>
        <w:t>实施</w:t>
      </w:r>
      <w:r>
        <w:rPr>
          <w:rFonts w:hint="eastAsia"/>
        </w:rPr>
        <w:t>2024</w:t>
      </w:r>
      <w:r>
        <w:rPr>
          <w:rFonts w:hint="eastAsia"/>
        </w:rPr>
        <w:t>年园林绿化服务费项目，开展绿化环境整治，对县城主、</w:t>
      </w:r>
      <w:proofErr w:type="gramStart"/>
      <w:r>
        <w:rPr>
          <w:rFonts w:hint="eastAsia"/>
        </w:rPr>
        <w:t>园区次</w:t>
      </w:r>
      <w:proofErr w:type="gramEnd"/>
      <w:r>
        <w:rPr>
          <w:rFonts w:hint="eastAsia"/>
        </w:rPr>
        <w:t>干道绿化带中堆积的建筑垃圾、枯枝余土进行清理，维护优美的绿化环境。</w:t>
      </w:r>
      <w:bookmarkStart w:id="25" w:name="_Toc22079"/>
    </w:p>
    <w:p w:rsidR="001B51D6" w:rsidRDefault="00CD1800">
      <w:pPr>
        <w:ind w:firstLine="643"/>
        <w:rPr>
          <w:b/>
          <w:bCs/>
        </w:rPr>
      </w:pPr>
      <w:r>
        <w:rPr>
          <w:b/>
          <w:bCs/>
        </w:rPr>
        <w:t>2.</w:t>
      </w:r>
      <w:r>
        <w:rPr>
          <w:b/>
          <w:bCs/>
        </w:rPr>
        <w:t>项目主要内容</w:t>
      </w:r>
      <w:bookmarkEnd w:id="24"/>
      <w:bookmarkEnd w:id="25"/>
    </w:p>
    <w:p w:rsidR="001B51D6" w:rsidRDefault="00CD1800">
      <w:pPr>
        <w:ind w:firstLine="640"/>
      </w:pPr>
      <w:bookmarkStart w:id="26" w:name="_Toc21529"/>
      <w:r>
        <w:rPr>
          <w:rFonts w:hint="eastAsia"/>
        </w:rPr>
        <w:t>加强对尉犁县城市绿化植物的养护</w:t>
      </w:r>
      <w:r>
        <w:rPr>
          <w:rFonts w:hint="eastAsia"/>
        </w:rPr>
        <w:t>管理，尉犁县县城区、园区内已建成</w:t>
      </w:r>
      <w:r>
        <w:rPr>
          <w:rFonts w:hint="eastAsia"/>
        </w:rPr>
        <w:t>4678.9</w:t>
      </w:r>
      <w:r>
        <w:rPr>
          <w:rFonts w:hint="eastAsia"/>
        </w:rPr>
        <w:t>亩公共绿地，其中一级管护面积</w:t>
      </w:r>
      <w:r>
        <w:rPr>
          <w:rFonts w:hint="eastAsia"/>
        </w:rPr>
        <w:t xml:space="preserve">: 519.46 </w:t>
      </w:r>
      <w:r>
        <w:rPr>
          <w:rFonts w:hint="eastAsia"/>
        </w:rPr>
        <w:t>亩</w:t>
      </w:r>
      <w:r>
        <w:rPr>
          <w:rFonts w:hint="eastAsia"/>
        </w:rPr>
        <w:t>( 346303.2</w:t>
      </w:r>
      <w:r>
        <w:rPr>
          <w:rFonts w:hint="eastAsia"/>
        </w:rPr>
        <w:t>㎡</w:t>
      </w:r>
      <w:r>
        <w:rPr>
          <w:rFonts w:hint="eastAsia"/>
        </w:rPr>
        <w:t>)</w:t>
      </w:r>
      <w:r>
        <w:rPr>
          <w:rFonts w:hint="eastAsia"/>
        </w:rPr>
        <w:t>，二级管护面积</w:t>
      </w:r>
      <w:r>
        <w:rPr>
          <w:rFonts w:hint="eastAsia"/>
        </w:rPr>
        <w:t xml:space="preserve"> 345.96</w:t>
      </w:r>
      <w:r>
        <w:rPr>
          <w:rFonts w:hint="eastAsia"/>
        </w:rPr>
        <w:t>亩</w:t>
      </w:r>
      <w:r>
        <w:rPr>
          <w:rFonts w:hint="eastAsia"/>
        </w:rPr>
        <w:t xml:space="preserve">(230637.69 </w:t>
      </w:r>
      <w:r>
        <w:rPr>
          <w:rFonts w:hint="eastAsia"/>
        </w:rPr>
        <w:t>㎡</w:t>
      </w:r>
      <w:r>
        <w:rPr>
          <w:rFonts w:hint="eastAsia"/>
        </w:rPr>
        <w:t>)</w:t>
      </w:r>
      <w:r>
        <w:rPr>
          <w:rFonts w:hint="eastAsia"/>
        </w:rPr>
        <w:t>，三级管护面积</w:t>
      </w:r>
      <w:r>
        <w:rPr>
          <w:rFonts w:hint="eastAsia"/>
        </w:rPr>
        <w:t xml:space="preserve">1869.58 </w:t>
      </w:r>
      <w:r>
        <w:rPr>
          <w:rFonts w:hint="eastAsia"/>
        </w:rPr>
        <w:t>亩</w:t>
      </w:r>
      <w:r>
        <w:rPr>
          <w:rFonts w:hint="eastAsia"/>
        </w:rPr>
        <w:t xml:space="preserve">( 1246374.202 </w:t>
      </w:r>
      <w:r>
        <w:rPr>
          <w:rFonts w:hint="eastAsia"/>
        </w:rPr>
        <w:t>㎡</w:t>
      </w:r>
      <w:r>
        <w:rPr>
          <w:rFonts w:hint="eastAsia"/>
        </w:rPr>
        <w:t>)</w:t>
      </w:r>
      <w:r>
        <w:rPr>
          <w:rFonts w:hint="eastAsia"/>
        </w:rPr>
        <w:t>，四级管护面积</w:t>
      </w:r>
      <w:r>
        <w:rPr>
          <w:rFonts w:hint="eastAsia"/>
        </w:rPr>
        <w:t>1943.9</w:t>
      </w:r>
      <w:r>
        <w:rPr>
          <w:rFonts w:hint="eastAsia"/>
        </w:rPr>
        <w:t>亩</w:t>
      </w:r>
      <w:r>
        <w:rPr>
          <w:rFonts w:hint="eastAsia"/>
        </w:rPr>
        <w:t>(1295920.372 m).</w:t>
      </w:r>
      <w:r>
        <w:rPr>
          <w:rFonts w:hint="eastAsia"/>
        </w:rPr>
        <w:t>。</w:t>
      </w:r>
    </w:p>
    <w:p w:rsidR="001B51D6" w:rsidRDefault="00CD1800">
      <w:pPr>
        <w:ind w:firstLine="643"/>
        <w:rPr>
          <w:b/>
          <w:bCs/>
        </w:rPr>
      </w:pPr>
      <w:bookmarkStart w:id="27" w:name="_Toc31519"/>
      <w:r>
        <w:rPr>
          <w:b/>
          <w:bCs/>
        </w:rPr>
        <w:t>3.</w:t>
      </w:r>
      <w:r>
        <w:rPr>
          <w:b/>
          <w:bCs/>
        </w:rPr>
        <w:t>项目实施情况</w:t>
      </w:r>
      <w:bookmarkStart w:id="28" w:name="_Toc20138"/>
      <w:bookmarkEnd w:id="26"/>
      <w:bookmarkEnd w:id="27"/>
    </w:p>
    <w:p w:rsidR="001B51D6" w:rsidRDefault="00CD1800">
      <w:pPr>
        <w:ind w:firstLine="640"/>
      </w:pPr>
      <w:r>
        <w:rPr>
          <w:rFonts w:hint="eastAsia"/>
        </w:rPr>
        <w:t>项目主管单位为尉犁县住房和城乡建设局，实施单位为尉犁县住房和城乡建设局。根据《尉犁县第十八届人民政府第</w:t>
      </w:r>
      <w:r>
        <w:rPr>
          <w:rFonts w:hint="eastAsia"/>
        </w:rPr>
        <w:t>26</w:t>
      </w:r>
      <w:r>
        <w:rPr>
          <w:rFonts w:hint="eastAsia"/>
        </w:rPr>
        <w:t>次常务会议纪要</w:t>
      </w:r>
      <w:r>
        <w:rPr>
          <w:rFonts w:hint="eastAsia"/>
        </w:rPr>
        <w:t>(</w:t>
      </w:r>
      <w:r>
        <w:rPr>
          <w:rFonts w:hint="eastAsia"/>
        </w:rPr>
        <w:t>摘要</w:t>
      </w:r>
      <w:r>
        <w:rPr>
          <w:rFonts w:hint="eastAsia"/>
        </w:rPr>
        <w:t>)</w:t>
      </w:r>
      <w:r>
        <w:rPr>
          <w:rFonts w:hint="eastAsia"/>
        </w:rPr>
        <w:t>》</w:t>
      </w:r>
      <w:r>
        <w:rPr>
          <w:rFonts w:hint="eastAsia"/>
        </w:rPr>
        <w:t>(</w:t>
      </w:r>
      <w:proofErr w:type="gramStart"/>
      <w:r>
        <w:rPr>
          <w:rFonts w:hint="eastAsia"/>
        </w:rPr>
        <w:t>尉</w:t>
      </w:r>
      <w:proofErr w:type="gramEnd"/>
      <w:r>
        <w:rPr>
          <w:rFonts w:hint="eastAsia"/>
        </w:rPr>
        <w:t>政纪要</w:t>
      </w:r>
      <w:r>
        <w:rPr>
          <w:rFonts w:hint="eastAsia"/>
        </w:rPr>
        <w:t>(2023)134</w:t>
      </w:r>
      <w:r>
        <w:rPr>
          <w:rFonts w:hint="eastAsia"/>
        </w:rPr>
        <w:t>号</w:t>
      </w:r>
      <w:r>
        <w:rPr>
          <w:rFonts w:hint="eastAsia"/>
        </w:rPr>
        <w:t>)</w:t>
      </w:r>
      <w:r>
        <w:rPr>
          <w:rFonts w:hint="eastAsia"/>
        </w:rPr>
        <w:t>文件精神，将建成区园园林绿化区域</w:t>
      </w:r>
      <w:r>
        <w:rPr>
          <w:rFonts w:hint="eastAsia"/>
        </w:rPr>
        <w:t>分为主城区、工业园区</w:t>
      </w:r>
      <w:r>
        <w:rPr>
          <w:rFonts w:hint="eastAsia"/>
        </w:rPr>
        <w:t>2</w:t>
      </w:r>
      <w:r>
        <w:rPr>
          <w:rFonts w:hint="eastAsia"/>
        </w:rPr>
        <w:t>个养护区。通过尉犁县政府采购中心采取公开招标方式完成园林绿地养护服务招标采购工作，其中于</w:t>
      </w:r>
      <w:r>
        <w:rPr>
          <w:rFonts w:hint="eastAsia"/>
        </w:rPr>
        <w:t>2023</w:t>
      </w:r>
      <w:r>
        <w:rPr>
          <w:rFonts w:hint="eastAsia"/>
        </w:rPr>
        <w:t>年</w:t>
      </w:r>
      <w:r>
        <w:rPr>
          <w:rFonts w:hint="eastAsia"/>
        </w:rPr>
        <w:t>12</w:t>
      </w:r>
      <w:r>
        <w:rPr>
          <w:rFonts w:hint="eastAsia"/>
        </w:rPr>
        <w:t>月</w:t>
      </w:r>
      <w:r>
        <w:rPr>
          <w:rFonts w:hint="eastAsia"/>
        </w:rPr>
        <w:t>11</w:t>
      </w:r>
      <w:r>
        <w:rPr>
          <w:rFonts w:hint="eastAsia"/>
        </w:rPr>
        <w:t>日确定中标单位为重庆高洁环境绿化工程有限公司和新疆八方景生</w:t>
      </w:r>
      <w:r>
        <w:rPr>
          <w:rFonts w:hint="eastAsia"/>
        </w:rPr>
        <w:lastRenderedPageBreak/>
        <w:t>态工程有限公司，并送达《中标</w:t>
      </w:r>
      <w:r>
        <w:rPr>
          <w:rFonts w:hint="eastAsia"/>
        </w:rPr>
        <w:t>(</w:t>
      </w:r>
      <w:r>
        <w:rPr>
          <w:rFonts w:hint="eastAsia"/>
        </w:rPr>
        <w:t>成交</w:t>
      </w:r>
      <w:r>
        <w:rPr>
          <w:rFonts w:hint="eastAsia"/>
        </w:rPr>
        <w:t>)</w:t>
      </w:r>
      <w:r>
        <w:rPr>
          <w:rFonts w:hint="eastAsia"/>
        </w:rPr>
        <w:t>通知书》，中标价分别为</w:t>
      </w:r>
      <w:r>
        <w:rPr>
          <w:rFonts w:hint="eastAsia"/>
        </w:rPr>
        <w:t>17951310.57</w:t>
      </w:r>
      <w:r>
        <w:rPr>
          <w:rFonts w:hint="eastAsia"/>
        </w:rPr>
        <w:t>元和</w:t>
      </w:r>
      <w:r>
        <w:rPr>
          <w:rFonts w:hint="eastAsia"/>
        </w:rPr>
        <w:t>21521896.77</w:t>
      </w:r>
      <w:r>
        <w:rPr>
          <w:rFonts w:hint="eastAsia"/>
        </w:rPr>
        <w:t>元。于</w:t>
      </w:r>
      <w:r>
        <w:rPr>
          <w:rFonts w:hint="eastAsia"/>
        </w:rPr>
        <w:t>2024</w:t>
      </w:r>
      <w:r>
        <w:rPr>
          <w:rFonts w:hint="eastAsia"/>
        </w:rPr>
        <w:t>年</w:t>
      </w:r>
      <w:r>
        <w:rPr>
          <w:rFonts w:hint="eastAsia"/>
        </w:rPr>
        <w:t>1</w:t>
      </w:r>
      <w:r>
        <w:rPr>
          <w:rFonts w:hint="eastAsia"/>
        </w:rPr>
        <w:t>月</w:t>
      </w:r>
      <w:r>
        <w:rPr>
          <w:rFonts w:hint="eastAsia"/>
        </w:rPr>
        <w:t>1</w:t>
      </w:r>
      <w:r>
        <w:rPr>
          <w:rFonts w:hint="eastAsia"/>
        </w:rPr>
        <w:t>日，尉犁县住房和城乡建设局与重庆高洁环境绿化工程有限公司和新疆八方景生态工程有限公司分别签订了《尉犁县园林绿化服务合同》。按照合同约定，重庆高洁环境绿化工程有限公司养护面积</w:t>
      </w:r>
      <w:r>
        <w:rPr>
          <w:rFonts w:hint="eastAsia"/>
        </w:rPr>
        <w:t>2506.48</w:t>
      </w:r>
      <w:r>
        <w:rPr>
          <w:rFonts w:hint="eastAsia"/>
        </w:rPr>
        <w:t>亩，合同期</w:t>
      </w:r>
      <w:r>
        <w:rPr>
          <w:rFonts w:hint="eastAsia"/>
        </w:rPr>
        <w:t>限</w:t>
      </w:r>
      <w:r>
        <w:rPr>
          <w:rFonts w:hint="eastAsia"/>
        </w:rPr>
        <w:t>3</w:t>
      </w:r>
      <w:r>
        <w:rPr>
          <w:rFonts w:hint="eastAsia"/>
        </w:rPr>
        <w:t>年，合同总价</w:t>
      </w:r>
      <w:r>
        <w:rPr>
          <w:rFonts w:hint="eastAsia"/>
        </w:rPr>
        <w:t>17951310.57</w:t>
      </w:r>
      <w:r>
        <w:rPr>
          <w:rFonts w:hint="eastAsia"/>
        </w:rPr>
        <w:t>元</w:t>
      </w:r>
      <w:r>
        <w:rPr>
          <w:rFonts w:hint="eastAsia"/>
        </w:rPr>
        <w:t>,</w:t>
      </w:r>
      <w:r>
        <w:rPr>
          <w:rFonts w:hint="eastAsia"/>
        </w:rPr>
        <w:t>每年</w:t>
      </w:r>
      <w:r>
        <w:rPr>
          <w:rFonts w:hint="eastAsia"/>
        </w:rPr>
        <w:t>5983770.19</w:t>
      </w:r>
      <w:r>
        <w:rPr>
          <w:rFonts w:hint="eastAsia"/>
        </w:rPr>
        <w:t>元，每月支付金额</w:t>
      </w:r>
      <w:r>
        <w:rPr>
          <w:rFonts w:hint="eastAsia"/>
        </w:rPr>
        <w:t>498647.51</w:t>
      </w:r>
      <w:r>
        <w:rPr>
          <w:rFonts w:hint="eastAsia"/>
        </w:rPr>
        <w:t>元。新疆八方景生态工程有限公司养护面积</w:t>
      </w:r>
      <w:r>
        <w:rPr>
          <w:rFonts w:hint="eastAsia"/>
        </w:rPr>
        <w:t>2215</w:t>
      </w:r>
      <w:r>
        <w:rPr>
          <w:rFonts w:hint="eastAsia"/>
        </w:rPr>
        <w:t>亩，合同期限</w:t>
      </w:r>
      <w:r>
        <w:rPr>
          <w:rFonts w:hint="eastAsia"/>
        </w:rPr>
        <w:t>3</w:t>
      </w:r>
      <w:r>
        <w:rPr>
          <w:rFonts w:hint="eastAsia"/>
        </w:rPr>
        <w:t>年，合同总价</w:t>
      </w:r>
      <w:r>
        <w:rPr>
          <w:rFonts w:hint="eastAsia"/>
        </w:rPr>
        <w:t>21521896.77</w:t>
      </w:r>
      <w:r>
        <w:rPr>
          <w:rFonts w:hint="eastAsia"/>
        </w:rPr>
        <w:t>元</w:t>
      </w:r>
      <w:r>
        <w:rPr>
          <w:rFonts w:hint="eastAsia"/>
        </w:rPr>
        <w:t>,</w:t>
      </w:r>
      <w:r>
        <w:rPr>
          <w:rFonts w:hint="eastAsia"/>
        </w:rPr>
        <w:t>每年</w:t>
      </w:r>
      <w:r>
        <w:rPr>
          <w:rFonts w:hint="eastAsia"/>
        </w:rPr>
        <w:t>7173965.532</w:t>
      </w:r>
      <w:r>
        <w:rPr>
          <w:rFonts w:hint="eastAsia"/>
        </w:rPr>
        <w:t>元，每月支付金额</w:t>
      </w:r>
      <w:r>
        <w:rPr>
          <w:rFonts w:hint="eastAsia"/>
        </w:rPr>
        <w:t>597830.46</w:t>
      </w:r>
      <w:r>
        <w:rPr>
          <w:rFonts w:hint="eastAsia"/>
        </w:rPr>
        <w:t>元。</w:t>
      </w:r>
    </w:p>
    <w:p w:rsidR="001B51D6" w:rsidRDefault="00CD1800">
      <w:pPr>
        <w:ind w:firstLine="640"/>
      </w:pPr>
      <w:bookmarkStart w:id="29" w:name="_Toc1111"/>
      <w:r>
        <w:rPr>
          <w:rFonts w:hint="eastAsia"/>
        </w:rPr>
        <w:t>根据《尉犁县绿地养护标准》《尉犁县园区绿地养护管理检查评分标准》每月不定时对园林养护情况进行监管考核，按照每月考核结果，进行付款。</w:t>
      </w:r>
    </w:p>
    <w:p w:rsidR="001B51D6" w:rsidRDefault="00CD1800">
      <w:pPr>
        <w:ind w:firstLine="643"/>
        <w:rPr>
          <w:b/>
          <w:bCs/>
        </w:rPr>
      </w:pPr>
      <w:r>
        <w:rPr>
          <w:b/>
          <w:bCs/>
        </w:rPr>
        <w:t>4.</w:t>
      </w:r>
      <w:r>
        <w:rPr>
          <w:b/>
          <w:bCs/>
        </w:rPr>
        <w:t>资金投入情况</w:t>
      </w:r>
      <w:bookmarkEnd w:id="28"/>
      <w:bookmarkEnd w:id="29"/>
    </w:p>
    <w:p w:rsidR="001B51D6" w:rsidRDefault="00CD1800">
      <w:pPr>
        <w:ind w:firstLine="640"/>
        <w:rPr>
          <w:color w:val="FF0000"/>
        </w:rPr>
      </w:pPr>
      <w:bookmarkStart w:id="30" w:name="_Toc7324"/>
      <w:r>
        <w:rPr>
          <w:rFonts w:hint="eastAsia"/>
        </w:rPr>
        <w:t>本项目</w:t>
      </w:r>
      <w:r>
        <w:t>以</w:t>
      </w:r>
      <w:r>
        <w:rPr>
          <w:rFonts w:hint="eastAsia"/>
        </w:rPr>
        <w:t>园林绿化中心每月</w:t>
      </w:r>
      <w:r>
        <w:t>给财经委员会打报告形式</w:t>
      </w:r>
      <w:r>
        <w:rPr>
          <w:rFonts w:hint="eastAsia"/>
        </w:rPr>
        <w:t>申请资金，用于支付</w:t>
      </w:r>
      <w:r>
        <w:t>园林绿化服务费</w:t>
      </w:r>
      <w:r>
        <w:rPr>
          <w:rFonts w:hint="eastAsia"/>
        </w:rPr>
        <w:t>，</w:t>
      </w:r>
      <w:r>
        <w:t>共计</w:t>
      </w:r>
      <w:r>
        <w:rPr>
          <w:rFonts w:hint="eastAsia"/>
        </w:rPr>
        <w:t>申请拨付</w:t>
      </w:r>
      <w:r>
        <w:t xml:space="preserve"> 202</w:t>
      </w:r>
      <w:r>
        <w:rPr>
          <w:rFonts w:hint="eastAsia"/>
        </w:rPr>
        <w:t>4</w:t>
      </w:r>
      <w:r>
        <w:t xml:space="preserve"> </w:t>
      </w:r>
      <w:r>
        <w:t>年园林绿化服务费资金</w:t>
      </w:r>
      <w:r>
        <w:t>1087.08</w:t>
      </w:r>
      <w:r>
        <w:t>万元</w:t>
      </w:r>
      <w:r>
        <w:t>,</w:t>
      </w:r>
      <w:r>
        <w:t>其中本级财政资金</w:t>
      </w:r>
      <w:r>
        <w:t>1087.08</w:t>
      </w:r>
      <w:r>
        <w:t>万元</w:t>
      </w:r>
      <w:r>
        <w:rPr>
          <w:color w:val="FF0000"/>
        </w:rPr>
        <w:t>。</w:t>
      </w:r>
    </w:p>
    <w:p w:rsidR="001B51D6" w:rsidRDefault="00CD1800">
      <w:pPr>
        <w:ind w:firstLine="643"/>
        <w:rPr>
          <w:b/>
          <w:bCs/>
        </w:rPr>
      </w:pPr>
      <w:bookmarkStart w:id="31" w:name="_Toc10837"/>
      <w:r>
        <w:rPr>
          <w:b/>
          <w:bCs/>
        </w:rPr>
        <w:t>5.</w:t>
      </w:r>
      <w:r>
        <w:rPr>
          <w:b/>
          <w:bCs/>
        </w:rPr>
        <w:t>资金使用情况</w:t>
      </w:r>
      <w:bookmarkEnd w:id="30"/>
      <w:bookmarkEnd w:id="31"/>
    </w:p>
    <w:p w:rsidR="001B51D6" w:rsidRDefault="00CD1800">
      <w:pPr>
        <w:ind w:firstLine="640"/>
        <w:rPr>
          <w:szCs w:val="32"/>
        </w:rPr>
      </w:pPr>
      <w:r>
        <w:rPr>
          <w:szCs w:val="32"/>
        </w:rPr>
        <w:t>202</w:t>
      </w:r>
      <w:r>
        <w:rPr>
          <w:rFonts w:hint="eastAsia"/>
          <w:szCs w:val="32"/>
        </w:rPr>
        <w:t>4</w:t>
      </w:r>
      <w:r>
        <w:rPr>
          <w:szCs w:val="32"/>
        </w:rPr>
        <w:t xml:space="preserve"> </w:t>
      </w:r>
      <w:r>
        <w:rPr>
          <w:szCs w:val="32"/>
        </w:rPr>
        <w:t>年园林绿化服务费</w:t>
      </w:r>
      <w:r>
        <w:rPr>
          <w:rFonts w:hint="eastAsia"/>
          <w:szCs w:val="32"/>
        </w:rPr>
        <w:t>，</w:t>
      </w:r>
      <w:r>
        <w:rPr>
          <w:szCs w:val="32"/>
        </w:rPr>
        <w:t>年初预算数</w:t>
      </w:r>
      <w:r>
        <w:rPr>
          <w:szCs w:val="32"/>
        </w:rPr>
        <w:t>218.29</w:t>
      </w:r>
      <w:r>
        <w:rPr>
          <w:szCs w:val="32"/>
        </w:rPr>
        <w:t>万元，</w:t>
      </w:r>
      <w:r>
        <w:rPr>
          <w:rFonts w:hint="eastAsia"/>
          <w:szCs w:val="32"/>
        </w:rPr>
        <w:t>全年预算数</w:t>
      </w:r>
      <w:r>
        <w:rPr>
          <w:szCs w:val="32"/>
        </w:rPr>
        <w:t>1087.08</w:t>
      </w:r>
      <w:r>
        <w:rPr>
          <w:szCs w:val="32"/>
        </w:rPr>
        <w:t>万元</w:t>
      </w:r>
      <w:r>
        <w:rPr>
          <w:rFonts w:hint="eastAsia"/>
          <w:szCs w:val="32"/>
        </w:rPr>
        <w:t>，</w:t>
      </w:r>
      <w:r>
        <w:rPr>
          <w:szCs w:val="32"/>
        </w:rPr>
        <w:t>实际到位资金</w:t>
      </w:r>
      <w:r>
        <w:rPr>
          <w:szCs w:val="32"/>
        </w:rPr>
        <w:t>1087.08</w:t>
      </w:r>
      <w:r>
        <w:rPr>
          <w:szCs w:val="32"/>
        </w:rPr>
        <w:t>万元。截止</w:t>
      </w:r>
      <w:r>
        <w:rPr>
          <w:szCs w:val="32"/>
        </w:rPr>
        <w:t>202</w:t>
      </w:r>
      <w:r>
        <w:rPr>
          <w:rFonts w:hint="eastAsia"/>
          <w:szCs w:val="32"/>
        </w:rPr>
        <w:t>4</w:t>
      </w:r>
      <w:r>
        <w:rPr>
          <w:szCs w:val="32"/>
        </w:rPr>
        <w:t>年</w:t>
      </w:r>
      <w:r>
        <w:rPr>
          <w:szCs w:val="32"/>
        </w:rPr>
        <w:t>12</w:t>
      </w:r>
      <w:r>
        <w:rPr>
          <w:szCs w:val="32"/>
        </w:rPr>
        <w:t>月</w:t>
      </w:r>
      <w:r>
        <w:rPr>
          <w:szCs w:val="32"/>
        </w:rPr>
        <w:t>31</w:t>
      </w:r>
      <w:r>
        <w:rPr>
          <w:szCs w:val="32"/>
        </w:rPr>
        <w:t>日，项目实际使用资金</w:t>
      </w:r>
      <w:r>
        <w:rPr>
          <w:szCs w:val="32"/>
        </w:rPr>
        <w:t>1087.08</w:t>
      </w:r>
      <w:r>
        <w:rPr>
          <w:szCs w:val="32"/>
        </w:rPr>
        <w:t>万元，资金</w:t>
      </w:r>
      <w:r>
        <w:rPr>
          <w:szCs w:val="32"/>
        </w:rPr>
        <w:t>使用</w:t>
      </w:r>
      <w:r>
        <w:rPr>
          <w:szCs w:val="32"/>
        </w:rPr>
        <w:t>率达到了</w:t>
      </w:r>
      <w:r>
        <w:rPr>
          <w:szCs w:val="32"/>
        </w:rPr>
        <w:t>100</w:t>
      </w:r>
      <w:r>
        <w:rPr>
          <w:szCs w:val="32"/>
        </w:rPr>
        <w:t>%</w:t>
      </w:r>
      <w:r>
        <w:rPr>
          <w:szCs w:val="32"/>
        </w:rPr>
        <w:t>。</w:t>
      </w:r>
      <w:proofErr w:type="gramStart"/>
      <w:r>
        <w:rPr>
          <w:szCs w:val="32"/>
        </w:rPr>
        <w:t>具体资金</w:t>
      </w:r>
      <w:proofErr w:type="gramEnd"/>
      <w:r>
        <w:rPr>
          <w:szCs w:val="32"/>
        </w:rPr>
        <w:t>支付情况：</w:t>
      </w:r>
    </w:p>
    <w:p w:rsidR="001B51D6" w:rsidRDefault="00CD1800">
      <w:pPr>
        <w:ind w:firstLine="640"/>
        <w:rPr>
          <w:szCs w:val="32"/>
        </w:rPr>
      </w:pPr>
      <w:r>
        <w:rPr>
          <w:szCs w:val="32"/>
        </w:rPr>
        <w:lastRenderedPageBreak/>
        <w:t>2024</w:t>
      </w:r>
      <w:r>
        <w:rPr>
          <w:rFonts w:hint="eastAsia"/>
          <w:szCs w:val="32"/>
        </w:rPr>
        <w:t>年</w:t>
      </w:r>
      <w:r>
        <w:rPr>
          <w:szCs w:val="32"/>
        </w:rPr>
        <w:t>3</w:t>
      </w:r>
      <w:r>
        <w:rPr>
          <w:rFonts w:hint="eastAsia"/>
          <w:szCs w:val="32"/>
        </w:rPr>
        <w:t>月</w:t>
      </w:r>
      <w:r>
        <w:rPr>
          <w:szCs w:val="32"/>
        </w:rPr>
        <w:t>13</w:t>
      </w:r>
      <w:r>
        <w:rPr>
          <w:rFonts w:hint="eastAsia"/>
          <w:szCs w:val="32"/>
        </w:rPr>
        <w:t>年</w:t>
      </w:r>
      <w:r>
        <w:rPr>
          <w:szCs w:val="32"/>
        </w:rPr>
        <w:t>3</w:t>
      </w:r>
      <w:r>
        <w:rPr>
          <w:rFonts w:hint="eastAsia"/>
          <w:szCs w:val="32"/>
        </w:rPr>
        <w:t>月日</w:t>
      </w:r>
      <w:r>
        <w:rPr>
          <w:szCs w:val="32"/>
        </w:rPr>
        <w:t>，支付</w:t>
      </w:r>
      <w:r>
        <w:rPr>
          <w:rFonts w:hint="eastAsia"/>
          <w:szCs w:val="32"/>
        </w:rPr>
        <w:t>尉犁高洁环境绿化工程有限公司</w:t>
      </w:r>
      <w:r>
        <w:rPr>
          <w:rFonts w:hint="eastAsia"/>
          <w:szCs w:val="32"/>
        </w:rPr>
        <w:t>496647.51</w:t>
      </w:r>
      <w:r>
        <w:rPr>
          <w:szCs w:val="32"/>
        </w:rPr>
        <w:t>元</w:t>
      </w:r>
      <w:r>
        <w:rPr>
          <w:rFonts w:hint="eastAsia"/>
          <w:szCs w:val="32"/>
        </w:rPr>
        <w:t>。</w:t>
      </w:r>
    </w:p>
    <w:p w:rsidR="001B51D6" w:rsidRDefault="00CD1800">
      <w:pPr>
        <w:ind w:firstLine="640"/>
        <w:rPr>
          <w:szCs w:val="32"/>
        </w:rPr>
      </w:pPr>
      <w:r>
        <w:rPr>
          <w:szCs w:val="32"/>
        </w:rPr>
        <w:t>2024</w:t>
      </w:r>
      <w:r>
        <w:rPr>
          <w:rFonts w:hint="eastAsia"/>
          <w:szCs w:val="32"/>
        </w:rPr>
        <w:t>年</w:t>
      </w:r>
      <w:r>
        <w:rPr>
          <w:szCs w:val="32"/>
        </w:rPr>
        <w:t>3</w:t>
      </w:r>
      <w:r>
        <w:rPr>
          <w:rFonts w:hint="eastAsia"/>
          <w:szCs w:val="32"/>
        </w:rPr>
        <w:t>月</w:t>
      </w:r>
      <w:r>
        <w:rPr>
          <w:szCs w:val="32"/>
        </w:rPr>
        <w:t>13</w:t>
      </w:r>
      <w:r>
        <w:rPr>
          <w:rFonts w:hint="eastAsia"/>
          <w:szCs w:val="32"/>
        </w:rPr>
        <w:t>年</w:t>
      </w:r>
      <w:r>
        <w:rPr>
          <w:szCs w:val="32"/>
        </w:rPr>
        <w:t>3</w:t>
      </w:r>
      <w:r>
        <w:rPr>
          <w:rFonts w:hint="eastAsia"/>
          <w:szCs w:val="32"/>
        </w:rPr>
        <w:t>月日</w:t>
      </w:r>
      <w:r>
        <w:rPr>
          <w:szCs w:val="32"/>
        </w:rPr>
        <w:t>，支付</w:t>
      </w:r>
      <w:r>
        <w:rPr>
          <w:rFonts w:hint="eastAsia"/>
          <w:szCs w:val="32"/>
        </w:rPr>
        <w:t>尉犁县八方景生态工程有限公司</w:t>
      </w:r>
      <w:r>
        <w:rPr>
          <w:rFonts w:hint="eastAsia"/>
          <w:szCs w:val="32"/>
        </w:rPr>
        <w:t>597830.46</w:t>
      </w:r>
      <w:r>
        <w:rPr>
          <w:rFonts w:hint="eastAsia"/>
          <w:szCs w:val="32"/>
        </w:rPr>
        <w:t>元。</w:t>
      </w:r>
    </w:p>
    <w:p w:rsidR="001B51D6" w:rsidRDefault="00CD1800">
      <w:pPr>
        <w:ind w:firstLine="640"/>
        <w:rPr>
          <w:szCs w:val="32"/>
        </w:rPr>
      </w:pPr>
      <w:r>
        <w:rPr>
          <w:szCs w:val="32"/>
        </w:rPr>
        <w:t>202</w:t>
      </w:r>
      <w:r>
        <w:rPr>
          <w:rFonts w:hint="eastAsia"/>
          <w:szCs w:val="32"/>
        </w:rPr>
        <w:t>4</w:t>
      </w:r>
      <w:r>
        <w:rPr>
          <w:szCs w:val="32"/>
        </w:rPr>
        <w:t>年</w:t>
      </w:r>
      <w:r>
        <w:rPr>
          <w:rFonts w:hint="eastAsia"/>
          <w:szCs w:val="32"/>
        </w:rPr>
        <w:t>5</w:t>
      </w:r>
      <w:r>
        <w:rPr>
          <w:szCs w:val="32"/>
        </w:rPr>
        <w:t>月</w:t>
      </w:r>
      <w:r>
        <w:rPr>
          <w:rFonts w:hint="eastAsia"/>
          <w:szCs w:val="32"/>
        </w:rPr>
        <w:t>27</w:t>
      </w:r>
      <w:r>
        <w:rPr>
          <w:szCs w:val="32"/>
        </w:rPr>
        <w:t>日，支付尉犁高洁环境绿化工程有限公司</w:t>
      </w:r>
      <w:r>
        <w:rPr>
          <w:rFonts w:hint="eastAsia"/>
          <w:szCs w:val="32"/>
        </w:rPr>
        <w:t>493647.51</w:t>
      </w:r>
      <w:r>
        <w:rPr>
          <w:szCs w:val="32"/>
        </w:rPr>
        <w:t>元</w:t>
      </w:r>
      <w:r>
        <w:rPr>
          <w:rFonts w:hint="eastAsia"/>
          <w:szCs w:val="32"/>
        </w:rPr>
        <w:t>。</w:t>
      </w:r>
    </w:p>
    <w:p w:rsidR="001B51D6" w:rsidRDefault="00CD1800">
      <w:pPr>
        <w:ind w:firstLine="640"/>
        <w:rPr>
          <w:szCs w:val="32"/>
        </w:rPr>
      </w:pPr>
      <w:r>
        <w:rPr>
          <w:szCs w:val="32"/>
        </w:rPr>
        <w:t>202</w:t>
      </w:r>
      <w:r>
        <w:rPr>
          <w:rFonts w:hint="eastAsia"/>
          <w:szCs w:val="32"/>
        </w:rPr>
        <w:t>4</w:t>
      </w:r>
      <w:r>
        <w:rPr>
          <w:szCs w:val="32"/>
        </w:rPr>
        <w:t>年</w:t>
      </w:r>
      <w:r>
        <w:rPr>
          <w:rFonts w:hint="eastAsia"/>
          <w:szCs w:val="32"/>
        </w:rPr>
        <w:t>5</w:t>
      </w:r>
      <w:r>
        <w:rPr>
          <w:szCs w:val="32"/>
        </w:rPr>
        <w:t>月</w:t>
      </w:r>
      <w:r>
        <w:rPr>
          <w:rFonts w:hint="eastAsia"/>
          <w:szCs w:val="32"/>
        </w:rPr>
        <w:t>27</w:t>
      </w:r>
      <w:r>
        <w:rPr>
          <w:szCs w:val="32"/>
        </w:rPr>
        <w:t>日，支付尉犁高洁环境绿化工程有限公司</w:t>
      </w:r>
      <w:r>
        <w:rPr>
          <w:rFonts w:hint="eastAsia"/>
          <w:szCs w:val="32"/>
        </w:rPr>
        <w:t>494647.51</w:t>
      </w:r>
      <w:r>
        <w:rPr>
          <w:szCs w:val="32"/>
        </w:rPr>
        <w:t>元</w:t>
      </w:r>
      <w:r>
        <w:rPr>
          <w:rFonts w:hint="eastAsia"/>
          <w:szCs w:val="32"/>
        </w:rPr>
        <w:t>。</w:t>
      </w:r>
    </w:p>
    <w:p w:rsidR="001B51D6" w:rsidRDefault="00CD1800">
      <w:pPr>
        <w:ind w:firstLine="640"/>
        <w:rPr>
          <w:szCs w:val="32"/>
        </w:rPr>
      </w:pPr>
      <w:r>
        <w:rPr>
          <w:szCs w:val="32"/>
        </w:rPr>
        <w:t>202</w:t>
      </w:r>
      <w:r>
        <w:rPr>
          <w:rFonts w:hint="eastAsia"/>
          <w:szCs w:val="32"/>
        </w:rPr>
        <w:t>4</w:t>
      </w:r>
      <w:r>
        <w:rPr>
          <w:szCs w:val="32"/>
        </w:rPr>
        <w:t>年</w:t>
      </w:r>
      <w:r>
        <w:rPr>
          <w:rFonts w:hint="eastAsia"/>
          <w:szCs w:val="32"/>
        </w:rPr>
        <w:t>5</w:t>
      </w:r>
      <w:r>
        <w:rPr>
          <w:szCs w:val="32"/>
        </w:rPr>
        <w:t>月</w:t>
      </w:r>
      <w:r>
        <w:rPr>
          <w:rFonts w:hint="eastAsia"/>
          <w:szCs w:val="32"/>
        </w:rPr>
        <w:t>27</w:t>
      </w:r>
      <w:r>
        <w:rPr>
          <w:szCs w:val="32"/>
        </w:rPr>
        <w:t>日，支付</w:t>
      </w:r>
      <w:r>
        <w:rPr>
          <w:rFonts w:hint="eastAsia"/>
          <w:szCs w:val="32"/>
        </w:rPr>
        <w:t>尉犁县八方景生态工程有限公司</w:t>
      </w:r>
      <w:r>
        <w:rPr>
          <w:rFonts w:hint="eastAsia"/>
          <w:szCs w:val="32"/>
        </w:rPr>
        <w:t>594830.46</w:t>
      </w:r>
      <w:r>
        <w:rPr>
          <w:rFonts w:hint="eastAsia"/>
          <w:szCs w:val="32"/>
        </w:rPr>
        <w:t>元。</w:t>
      </w:r>
    </w:p>
    <w:p w:rsidR="001B51D6" w:rsidRDefault="00CD1800">
      <w:pPr>
        <w:ind w:firstLine="640"/>
        <w:rPr>
          <w:szCs w:val="32"/>
        </w:rPr>
      </w:pPr>
      <w:r>
        <w:rPr>
          <w:szCs w:val="32"/>
        </w:rPr>
        <w:t>202</w:t>
      </w:r>
      <w:r>
        <w:rPr>
          <w:rFonts w:hint="eastAsia"/>
          <w:szCs w:val="32"/>
        </w:rPr>
        <w:t>4</w:t>
      </w:r>
      <w:r>
        <w:rPr>
          <w:szCs w:val="32"/>
        </w:rPr>
        <w:t>年</w:t>
      </w:r>
      <w:r>
        <w:rPr>
          <w:rFonts w:hint="eastAsia"/>
          <w:szCs w:val="32"/>
        </w:rPr>
        <w:t>7</w:t>
      </w:r>
      <w:r>
        <w:rPr>
          <w:szCs w:val="32"/>
        </w:rPr>
        <w:t>月</w:t>
      </w:r>
      <w:r>
        <w:rPr>
          <w:rFonts w:hint="eastAsia"/>
          <w:szCs w:val="32"/>
        </w:rPr>
        <w:t>3</w:t>
      </w:r>
      <w:r>
        <w:rPr>
          <w:szCs w:val="32"/>
        </w:rPr>
        <w:t>日，支付</w:t>
      </w:r>
      <w:r>
        <w:rPr>
          <w:rFonts w:hint="eastAsia"/>
          <w:szCs w:val="32"/>
        </w:rPr>
        <w:t>尉犁县八方景生态工程有限公司</w:t>
      </w:r>
      <w:r>
        <w:rPr>
          <w:rFonts w:hint="eastAsia"/>
          <w:szCs w:val="32"/>
        </w:rPr>
        <w:t>593830.46</w:t>
      </w:r>
      <w:r>
        <w:rPr>
          <w:rFonts w:hint="eastAsia"/>
          <w:szCs w:val="32"/>
        </w:rPr>
        <w:t>元。</w:t>
      </w:r>
    </w:p>
    <w:p w:rsidR="001B51D6" w:rsidRDefault="00CD1800">
      <w:pPr>
        <w:ind w:firstLine="640"/>
        <w:rPr>
          <w:szCs w:val="32"/>
        </w:rPr>
      </w:pPr>
      <w:r>
        <w:rPr>
          <w:szCs w:val="32"/>
        </w:rPr>
        <w:t>202</w:t>
      </w:r>
      <w:r>
        <w:rPr>
          <w:rFonts w:hint="eastAsia"/>
          <w:szCs w:val="32"/>
        </w:rPr>
        <w:t>4</w:t>
      </w:r>
      <w:r>
        <w:rPr>
          <w:szCs w:val="32"/>
        </w:rPr>
        <w:t>年</w:t>
      </w:r>
      <w:r>
        <w:rPr>
          <w:rFonts w:hint="eastAsia"/>
          <w:szCs w:val="32"/>
        </w:rPr>
        <w:t>8</w:t>
      </w:r>
      <w:r>
        <w:rPr>
          <w:szCs w:val="32"/>
        </w:rPr>
        <w:t>月</w:t>
      </w:r>
      <w:r>
        <w:rPr>
          <w:rFonts w:hint="eastAsia"/>
          <w:szCs w:val="32"/>
        </w:rPr>
        <w:t>26</w:t>
      </w:r>
      <w:r>
        <w:rPr>
          <w:szCs w:val="32"/>
        </w:rPr>
        <w:t>日，支付尉犁高洁环境绿化工程有限公司</w:t>
      </w:r>
      <w:r>
        <w:rPr>
          <w:rFonts w:hint="eastAsia"/>
          <w:szCs w:val="32"/>
        </w:rPr>
        <w:t>496647.51</w:t>
      </w:r>
      <w:r>
        <w:rPr>
          <w:szCs w:val="32"/>
        </w:rPr>
        <w:t>元</w:t>
      </w:r>
      <w:r>
        <w:rPr>
          <w:rFonts w:hint="eastAsia"/>
          <w:szCs w:val="32"/>
        </w:rPr>
        <w:t>。</w:t>
      </w:r>
    </w:p>
    <w:p w:rsidR="001B51D6" w:rsidRDefault="00CD1800">
      <w:pPr>
        <w:ind w:firstLine="640"/>
        <w:rPr>
          <w:szCs w:val="32"/>
        </w:rPr>
      </w:pPr>
      <w:r>
        <w:rPr>
          <w:szCs w:val="32"/>
        </w:rPr>
        <w:t>202</w:t>
      </w:r>
      <w:r>
        <w:rPr>
          <w:rFonts w:hint="eastAsia"/>
          <w:szCs w:val="32"/>
        </w:rPr>
        <w:t>4</w:t>
      </w:r>
      <w:r>
        <w:rPr>
          <w:szCs w:val="32"/>
        </w:rPr>
        <w:t>年</w:t>
      </w:r>
      <w:r>
        <w:rPr>
          <w:rFonts w:hint="eastAsia"/>
          <w:szCs w:val="32"/>
        </w:rPr>
        <w:t>8</w:t>
      </w:r>
      <w:r>
        <w:rPr>
          <w:szCs w:val="32"/>
        </w:rPr>
        <w:t>月</w:t>
      </w:r>
      <w:r>
        <w:rPr>
          <w:rFonts w:hint="eastAsia"/>
          <w:szCs w:val="32"/>
        </w:rPr>
        <w:t>26</w:t>
      </w:r>
      <w:r>
        <w:rPr>
          <w:szCs w:val="32"/>
        </w:rPr>
        <w:t>日</w:t>
      </w:r>
      <w:r>
        <w:rPr>
          <w:rFonts w:hint="eastAsia"/>
          <w:szCs w:val="32"/>
        </w:rPr>
        <w:t>，</w:t>
      </w:r>
      <w:r>
        <w:rPr>
          <w:szCs w:val="32"/>
        </w:rPr>
        <w:t>支付</w:t>
      </w:r>
      <w:r>
        <w:rPr>
          <w:rFonts w:hint="eastAsia"/>
          <w:szCs w:val="32"/>
        </w:rPr>
        <w:t>尉犁县八方景生态工程有限公司</w:t>
      </w:r>
      <w:r>
        <w:rPr>
          <w:rFonts w:hint="eastAsia"/>
          <w:szCs w:val="32"/>
        </w:rPr>
        <w:t>595830.46</w:t>
      </w:r>
      <w:r>
        <w:rPr>
          <w:rFonts w:hint="eastAsia"/>
          <w:szCs w:val="32"/>
        </w:rPr>
        <w:t>元。</w:t>
      </w:r>
    </w:p>
    <w:p w:rsidR="001B51D6" w:rsidRDefault="00CD1800">
      <w:pPr>
        <w:ind w:firstLine="640"/>
        <w:rPr>
          <w:szCs w:val="32"/>
        </w:rPr>
      </w:pPr>
      <w:r>
        <w:rPr>
          <w:szCs w:val="32"/>
        </w:rPr>
        <w:t>202</w:t>
      </w:r>
      <w:r>
        <w:rPr>
          <w:rFonts w:hint="eastAsia"/>
          <w:szCs w:val="32"/>
        </w:rPr>
        <w:t>4</w:t>
      </w:r>
      <w:r>
        <w:rPr>
          <w:szCs w:val="32"/>
        </w:rPr>
        <w:t>年</w:t>
      </w:r>
      <w:r>
        <w:rPr>
          <w:rFonts w:hint="eastAsia"/>
          <w:szCs w:val="32"/>
        </w:rPr>
        <w:t>9</w:t>
      </w:r>
      <w:r>
        <w:rPr>
          <w:szCs w:val="32"/>
        </w:rPr>
        <w:t>月</w:t>
      </w:r>
      <w:r>
        <w:rPr>
          <w:rFonts w:hint="eastAsia"/>
          <w:szCs w:val="32"/>
        </w:rPr>
        <w:t>14</w:t>
      </w:r>
      <w:r>
        <w:rPr>
          <w:szCs w:val="32"/>
        </w:rPr>
        <w:t>日，支付尉犁高洁环境绿化工程有限公司</w:t>
      </w:r>
      <w:r>
        <w:rPr>
          <w:rFonts w:hint="eastAsia"/>
          <w:szCs w:val="32"/>
        </w:rPr>
        <w:t>1476142.53</w:t>
      </w:r>
      <w:r>
        <w:rPr>
          <w:szCs w:val="32"/>
        </w:rPr>
        <w:t>元</w:t>
      </w:r>
      <w:r>
        <w:rPr>
          <w:rFonts w:hint="eastAsia"/>
          <w:szCs w:val="32"/>
        </w:rPr>
        <w:t>。</w:t>
      </w:r>
    </w:p>
    <w:p w:rsidR="001B51D6" w:rsidRDefault="00CD1800">
      <w:pPr>
        <w:ind w:firstLine="640"/>
        <w:rPr>
          <w:szCs w:val="32"/>
        </w:rPr>
      </w:pPr>
      <w:r>
        <w:rPr>
          <w:szCs w:val="32"/>
        </w:rPr>
        <w:t>202</w:t>
      </w:r>
      <w:r>
        <w:rPr>
          <w:rFonts w:hint="eastAsia"/>
          <w:szCs w:val="32"/>
        </w:rPr>
        <w:t>4</w:t>
      </w:r>
      <w:r>
        <w:rPr>
          <w:szCs w:val="32"/>
        </w:rPr>
        <w:t>年</w:t>
      </w:r>
      <w:r>
        <w:rPr>
          <w:rFonts w:hint="eastAsia"/>
          <w:szCs w:val="32"/>
        </w:rPr>
        <w:t>9</w:t>
      </w:r>
      <w:r>
        <w:rPr>
          <w:szCs w:val="32"/>
        </w:rPr>
        <w:t>月</w:t>
      </w:r>
      <w:r>
        <w:rPr>
          <w:rFonts w:hint="eastAsia"/>
          <w:szCs w:val="32"/>
        </w:rPr>
        <w:t>14</w:t>
      </w:r>
      <w:r>
        <w:rPr>
          <w:szCs w:val="32"/>
        </w:rPr>
        <w:t>日，支付</w:t>
      </w:r>
      <w:r>
        <w:rPr>
          <w:rFonts w:hint="eastAsia"/>
          <w:szCs w:val="32"/>
        </w:rPr>
        <w:t>尉犁县八方景生态工程有限公司</w:t>
      </w:r>
      <w:r>
        <w:rPr>
          <w:rFonts w:hint="eastAsia"/>
          <w:szCs w:val="32"/>
        </w:rPr>
        <w:t>1767891.38</w:t>
      </w:r>
      <w:r>
        <w:rPr>
          <w:rFonts w:hint="eastAsia"/>
          <w:szCs w:val="32"/>
        </w:rPr>
        <w:t>元。</w:t>
      </w:r>
    </w:p>
    <w:p w:rsidR="001B51D6" w:rsidRDefault="00CD1800">
      <w:pPr>
        <w:ind w:firstLine="640"/>
        <w:rPr>
          <w:szCs w:val="32"/>
        </w:rPr>
      </w:pPr>
      <w:r>
        <w:rPr>
          <w:szCs w:val="32"/>
        </w:rPr>
        <w:t>202</w:t>
      </w:r>
      <w:r>
        <w:rPr>
          <w:rFonts w:hint="eastAsia"/>
          <w:szCs w:val="32"/>
        </w:rPr>
        <w:t>4</w:t>
      </w:r>
      <w:r>
        <w:rPr>
          <w:szCs w:val="32"/>
        </w:rPr>
        <w:t>年</w:t>
      </w:r>
      <w:r>
        <w:rPr>
          <w:rFonts w:hint="eastAsia"/>
          <w:szCs w:val="32"/>
        </w:rPr>
        <w:t>11</w:t>
      </w:r>
      <w:r>
        <w:rPr>
          <w:szCs w:val="32"/>
        </w:rPr>
        <w:t>月</w:t>
      </w:r>
      <w:r>
        <w:rPr>
          <w:rFonts w:hint="eastAsia"/>
          <w:szCs w:val="32"/>
        </w:rPr>
        <w:t>19</w:t>
      </w:r>
      <w:r>
        <w:rPr>
          <w:szCs w:val="32"/>
        </w:rPr>
        <w:t>日，支付尉犁高洁环境绿化工程有限公司</w:t>
      </w:r>
      <w:r>
        <w:rPr>
          <w:rFonts w:hint="eastAsia"/>
          <w:szCs w:val="32"/>
        </w:rPr>
        <w:t>497447.51</w:t>
      </w:r>
      <w:r>
        <w:rPr>
          <w:szCs w:val="32"/>
        </w:rPr>
        <w:t>元</w:t>
      </w:r>
      <w:r>
        <w:rPr>
          <w:rFonts w:hint="eastAsia"/>
          <w:szCs w:val="32"/>
        </w:rPr>
        <w:t>。</w:t>
      </w:r>
    </w:p>
    <w:p w:rsidR="001B51D6" w:rsidRDefault="00CD1800">
      <w:pPr>
        <w:ind w:firstLine="640"/>
        <w:rPr>
          <w:szCs w:val="32"/>
        </w:rPr>
      </w:pPr>
      <w:r>
        <w:rPr>
          <w:szCs w:val="32"/>
        </w:rPr>
        <w:t>202</w:t>
      </w:r>
      <w:r>
        <w:rPr>
          <w:rFonts w:hint="eastAsia"/>
          <w:szCs w:val="32"/>
        </w:rPr>
        <w:t>4</w:t>
      </w:r>
      <w:r>
        <w:rPr>
          <w:szCs w:val="32"/>
        </w:rPr>
        <w:t>年</w:t>
      </w:r>
      <w:r>
        <w:rPr>
          <w:rFonts w:hint="eastAsia"/>
          <w:szCs w:val="32"/>
        </w:rPr>
        <w:t>11</w:t>
      </w:r>
      <w:r>
        <w:rPr>
          <w:szCs w:val="32"/>
        </w:rPr>
        <w:t>月</w:t>
      </w:r>
      <w:r>
        <w:rPr>
          <w:rFonts w:hint="eastAsia"/>
          <w:szCs w:val="32"/>
        </w:rPr>
        <w:t>19</w:t>
      </w:r>
      <w:r>
        <w:rPr>
          <w:szCs w:val="32"/>
        </w:rPr>
        <w:t>日，支付尉犁高洁环境绿化工程有限公</w:t>
      </w:r>
      <w:r>
        <w:rPr>
          <w:szCs w:val="32"/>
        </w:rPr>
        <w:lastRenderedPageBreak/>
        <w:t>司</w:t>
      </w:r>
      <w:r>
        <w:rPr>
          <w:rFonts w:hint="eastAsia"/>
          <w:szCs w:val="32"/>
        </w:rPr>
        <w:t>495647.51</w:t>
      </w:r>
      <w:r>
        <w:rPr>
          <w:szCs w:val="32"/>
        </w:rPr>
        <w:t>元</w:t>
      </w:r>
      <w:r>
        <w:rPr>
          <w:rFonts w:hint="eastAsia"/>
          <w:szCs w:val="32"/>
        </w:rPr>
        <w:t>。</w:t>
      </w:r>
    </w:p>
    <w:p w:rsidR="001B51D6" w:rsidRDefault="00CD1800">
      <w:pPr>
        <w:ind w:firstLine="640"/>
        <w:rPr>
          <w:szCs w:val="32"/>
        </w:rPr>
      </w:pPr>
      <w:r>
        <w:rPr>
          <w:szCs w:val="32"/>
        </w:rPr>
        <w:t>202</w:t>
      </w:r>
      <w:r>
        <w:rPr>
          <w:rFonts w:hint="eastAsia"/>
          <w:szCs w:val="32"/>
        </w:rPr>
        <w:t>4</w:t>
      </w:r>
      <w:r>
        <w:rPr>
          <w:szCs w:val="32"/>
        </w:rPr>
        <w:t>年</w:t>
      </w:r>
      <w:r>
        <w:rPr>
          <w:rFonts w:hint="eastAsia"/>
          <w:szCs w:val="32"/>
        </w:rPr>
        <w:t>11</w:t>
      </w:r>
      <w:r>
        <w:rPr>
          <w:szCs w:val="32"/>
        </w:rPr>
        <w:t>月</w:t>
      </w:r>
      <w:r>
        <w:rPr>
          <w:rFonts w:hint="eastAsia"/>
          <w:szCs w:val="32"/>
        </w:rPr>
        <w:t>19</w:t>
      </w:r>
      <w:r>
        <w:rPr>
          <w:szCs w:val="32"/>
        </w:rPr>
        <w:t>日，支付</w:t>
      </w:r>
      <w:r>
        <w:rPr>
          <w:rFonts w:hint="eastAsia"/>
          <w:szCs w:val="32"/>
        </w:rPr>
        <w:t>尉犁县八方景生态工程有限公司</w:t>
      </w:r>
      <w:r>
        <w:rPr>
          <w:rFonts w:hint="eastAsia"/>
          <w:szCs w:val="32"/>
        </w:rPr>
        <w:t>588530.46</w:t>
      </w:r>
      <w:r>
        <w:rPr>
          <w:rFonts w:hint="eastAsia"/>
          <w:szCs w:val="32"/>
        </w:rPr>
        <w:t>元。</w:t>
      </w:r>
    </w:p>
    <w:p w:rsidR="001B51D6" w:rsidRDefault="00CD1800">
      <w:pPr>
        <w:ind w:firstLine="640"/>
        <w:rPr>
          <w:szCs w:val="32"/>
        </w:rPr>
      </w:pPr>
      <w:r>
        <w:rPr>
          <w:szCs w:val="32"/>
        </w:rPr>
        <w:t>202</w:t>
      </w:r>
      <w:r>
        <w:rPr>
          <w:rFonts w:hint="eastAsia"/>
          <w:szCs w:val="32"/>
        </w:rPr>
        <w:t>4</w:t>
      </w:r>
      <w:r>
        <w:rPr>
          <w:szCs w:val="32"/>
        </w:rPr>
        <w:t>年</w:t>
      </w:r>
      <w:r>
        <w:rPr>
          <w:rFonts w:hint="eastAsia"/>
          <w:szCs w:val="32"/>
        </w:rPr>
        <w:t>11</w:t>
      </w:r>
      <w:r>
        <w:rPr>
          <w:szCs w:val="32"/>
        </w:rPr>
        <w:t>月</w:t>
      </w:r>
      <w:r>
        <w:rPr>
          <w:rFonts w:hint="eastAsia"/>
          <w:szCs w:val="32"/>
        </w:rPr>
        <w:t>19</w:t>
      </w:r>
      <w:r>
        <w:rPr>
          <w:szCs w:val="32"/>
        </w:rPr>
        <w:t>日，支付</w:t>
      </w:r>
      <w:r>
        <w:rPr>
          <w:rFonts w:hint="eastAsia"/>
          <w:szCs w:val="32"/>
        </w:rPr>
        <w:t>尉犁县八方景生态工程有限公司</w:t>
      </w:r>
      <w:r>
        <w:rPr>
          <w:rFonts w:hint="eastAsia"/>
          <w:szCs w:val="32"/>
        </w:rPr>
        <w:t>590830.46</w:t>
      </w:r>
      <w:r>
        <w:rPr>
          <w:rFonts w:hint="eastAsia"/>
          <w:szCs w:val="32"/>
        </w:rPr>
        <w:t>元。</w:t>
      </w:r>
    </w:p>
    <w:p w:rsidR="001B51D6" w:rsidRDefault="00CD1800">
      <w:pPr>
        <w:ind w:firstLine="640"/>
        <w:rPr>
          <w:szCs w:val="32"/>
        </w:rPr>
      </w:pPr>
      <w:r>
        <w:rPr>
          <w:szCs w:val="32"/>
        </w:rPr>
        <w:t>202</w:t>
      </w:r>
      <w:r>
        <w:rPr>
          <w:rFonts w:hint="eastAsia"/>
          <w:szCs w:val="32"/>
        </w:rPr>
        <w:t>4</w:t>
      </w:r>
      <w:r>
        <w:rPr>
          <w:szCs w:val="32"/>
        </w:rPr>
        <w:t>年</w:t>
      </w:r>
      <w:r>
        <w:rPr>
          <w:rFonts w:hint="eastAsia"/>
          <w:szCs w:val="32"/>
        </w:rPr>
        <w:t>12</w:t>
      </w:r>
      <w:r>
        <w:rPr>
          <w:szCs w:val="32"/>
        </w:rPr>
        <w:t>月</w:t>
      </w:r>
      <w:r>
        <w:rPr>
          <w:rFonts w:hint="eastAsia"/>
          <w:szCs w:val="32"/>
        </w:rPr>
        <w:t>17</w:t>
      </w:r>
      <w:r>
        <w:rPr>
          <w:szCs w:val="32"/>
        </w:rPr>
        <w:t>日，支付尉犁高洁环境绿化工程有限公司</w:t>
      </w:r>
      <w:r>
        <w:rPr>
          <w:rFonts w:hint="eastAsia"/>
          <w:szCs w:val="32"/>
        </w:rPr>
        <w:t>496767.51</w:t>
      </w:r>
      <w:r>
        <w:rPr>
          <w:szCs w:val="32"/>
        </w:rPr>
        <w:t>元</w:t>
      </w:r>
      <w:r>
        <w:rPr>
          <w:rFonts w:hint="eastAsia"/>
          <w:szCs w:val="32"/>
        </w:rPr>
        <w:t>。</w:t>
      </w:r>
    </w:p>
    <w:p w:rsidR="001B51D6" w:rsidRDefault="00CD1800">
      <w:pPr>
        <w:ind w:firstLine="640"/>
        <w:rPr>
          <w:szCs w:val="32"/>
        </w:rPr>
      </w:pPr>
      <w:r>
        <w:rPr>
          <w:szCs w:val="32"/>
        </w:rPr>
        <w:t>202</w:t>
      </w:r>
      <w:r>
        <w:rPr>
          <w:rFonts w:hint="eastAsia"/>
          <w:szCs w:val="32"/>
        </w:rPr>
        <w:t>4</w:t>
      </w:r>
      <w:r>
        <w:rPr>
          <w:szCs w:val="32"/>
        </w:rPr>
        <w:t>年</w:t>
      </w:r>
      <w:r>
        <w:rPr>
          <w:rFonts w:hint="eastAsia"/>
          <w:szCs w:val="32"/>
        </w:rPr>
        <w:t>12</w:t>
      </w:r>
      <w:r>
        <w:rPr>
          <w:szCs w:val="32"/>
        </w:rPr>
        <w:t>月</w:t>
      </w:r>
      <w:r>
        <w:rPr>
          <w:rFonts w:hint="eastAsia"/>
          <w:szCs w:val="32"/>
        </w:rPr>
        <w:t>16</w:t>
      </w:r>
      <w:r>
        <w:rPr>
          <w:szCs w:val="32"/>
        </w:rPr>
        <w:t>日，支付</w:t>
      </w:r>
      <w:r>
        <w:rPr>
          <w:rFonts w:hint="eastAsia"/>
          <w:szCs w:val="32"/>
        </w:rPr>
        <w:t>尉犁县八方景生态工程有限公司</w:t>
      </w:r>
      <w:r>
        <w:rPr>
          <w:rFonts w:hint="eastAsia"/>
          <w:szCs w:val="32"/>
        </w:rPr>
        <w:t>593630.46</w:t>
      </w:r>
      <w:r>
        <w:rPr>
          <w:rFonts w:hint="eastAsia"/>
          <w:szCs w:val="32"/>
        </w:rPr>
        <w:t>元。</w:t>
      </w:r>
    </w:p>
    <w:p w:rsidR="001B51D6" w:rsidRDefault="00CD1800">
      <w:pPr>
        <w:pStyle w:val="3"/>
        <w:ind w:firstLine="643"/>
        <w:rPr>
          <w:rFonts w:eastAsia="楷体"/>
        </w:rPr>
      </w:pPr>
      <w:bookmarkStart w:id="32" w:name="_Toc31302"/>
      <w:bookmarkStart w:id="33" w:name="_Toc26395"/>
      <w:bookmarkStart w:id="34" w:name="_Toc27764"/>
      <w:bookmarkStart w:id="35" w:name="_Toc9567"/>
      <w:bookmarkStart w:id="36" w:name="_Toc11967"/>
      <w:bookmarkStart w:id="37" w:name="_Toc14296"/>
      <w:r>
        <w:rPr>
          <w:rFonts w:eastAsia="楷体"/>
        </w:rPr>
        <w:t>（二）项目绩效目标</w:t>
      </w:r>
      <w:bookmarkEnd w:id="32"/>
      <w:bookmarkEnd w:id="33"/>
      <w:bookmarkEnd w:id="34"/>
      <w:bookmarkEnd w:id="35"/>
      <w:bookmarkEnd w:id="36"/>
      <w:bookmarkEnd w:id="37"/>
    </w:p>
    <w:p w:rsidR="001B51D6" w:rsidRDefault="00CD1800">
      <w:pPr>
        <w:ind w:firstLine="643"/>
        <w:rPr>
          <w:b/>
          <w:bCs/>
        </w:rPr>
      </w:pPr>
      <w:bookmarkStart w:id="38" w:name="_Toc18809"/>
      <w:bookmarkStart w:id="39" w:name="_Toc905"/>
      <w:r>
        <w:rPr>
          <w:b/>
          <w:bCs/>
        </w:rPr>
        <w:t>1.</w:t>
      </w:r>
      <w:r>
        <w:rPr>
          <w:b/>
          <w:bCs/>
        </w:rPr>
        <w:t>总体目标</w:t>
      </w:r>
      <w:bookmarkEnd w:id="38"/>
      <w:bookmarkEnd w:id="39"/>
    </w:p>
    <w:p w:rsidR="001B51D6" w:rsidRDefault="00CD1800">
      <w:pPr>
        <w:ind w:firstLine="640"/>
      </w:pPr>
      <w:bookmarkStart w:id="40" w:name="_Toc10045"/>
      <w:bookmarkStart w:id="41" w:name="_Toc11195"/>
      <w:r>
        <w:rPr>
          <w:rFonts w:hint="eastAsia"/>
        </w:rPr>
        <w:t>加强对尉犁县城市绿化植物的养护管理，园林作业绿化面积</w:t>
      </w:r>
      <w:r>
        <w:rPr>
          <w:rFonts w:hint="eastAsia"/>
        </w:rPr>
        <w:t>4678.9</w:t>
      </w:r>
      <w:r>
        <w:rPr>
          <w:rFonts w:hint="eastAsia"/>
        </w:rPr>
        <w:t>亩，绿化覆盖率达</w:t>
      </w:r>
      <w:r>
        <w:rPr>
          <w:rFonts w:hint="eastAsia"/>
        </w:rPr>
        <w:t>95%</w:t>
      </w:r>
      <w:r>
        <w:rPr>
          <w:rFonts w:hint="eastAsia"/>
        </w:rPr>
        <w:t>；补栽苗木</w:t>
      </w:r>
      <w:r>
        <w:rPr>
          <w:rFonts w:hint="eastAsia"/>
        </w:rPr>
        <w:t>19.64</w:t>
      </w:r>
      <w:r>
        <w:rPr>
          <w:rFonts w:hint="eastAsia"/>
        </w:rPr>
        <w:t>万株。促进城市绿化事业的发展，改善生态环境、人居环境、美化生活环境。</w:t>
      </w:r>
    </w:p>
    <w:p w:rsidR="001B51D6" w:rsidRDefault="00CD1800">
      <w:pPr>
        <w:ind w:firstLine="643"/>
        <w:rPr>
          <w:b/>
          <w:bCs/>
        </w:rPr>
      </w:pPr>
      <w:r>
        <w:rPr>
          <w:b/>
          <w:bCs/>
        </w:rPr>
        <w:t>2.</w:t>
      </w:r>
      <w:r>
        <w:rPr>
          <w:b/>
          <w:bCs/>
        </w:rPr>
        <w:t>阶段性目标</w:t>
      </w:r>
      <w:bookmarkEnd w:id="40"/>
      <w:bookmarkEnd w:id="41"/>
    </w:p>
    <w:p w:rsidR="001B51D6" w:rsidRDefault="00CD1800">
      <w:pPr>
        <w:ind w:firstLine="640"/>
        <w:rPr>
          <w:rFonts w:ascii="仿宋_GB2312" w:hAnsi="仿宋_GB2312" w:cs="仿宋_GB2312"/>
          <w:szCs w:val="32"/>
          <w:highlight w:val="yellow"/>
        </w:rPr>
      </w:pPr>
      <w:bookmarkStart w:id="42" w:name="_Toc31122"/>
      <w:bookmarkStart w:id="43" w:name="_Toc6156"/>
      <w:bookmarkStart w:id="44" w:name="_Toc6534"/>
      <w:bookmarkStart w:id="45" w:name="_Toc25321"/>
      <w:bookmarkStart w:id="46" w:name="_Toc857"/>
      <w:r>
        <w:rPr>
          <w:rFonts w:ascii="仿宋_GB2312" w:hAnsi="仿宋_GB2312" w:cs="仿宋_GB2312" w:hint="eastAsia"/>
          <w:szCs w:val="32"/>
        </w:rPr>
        <w:t>计划每月完成尉犁县县城</w:t>
      </w:r>
      <w:proofErr w:type="gramStart"/>
      <w:r>
        <w:rPr>
          <w:rFonts w:ascii="仿宋_GB2312" w:hAnsi="仿宋_GB2312" w:cs="仿宋_GB2312" w:hint="eastAsia"/>
          <w:szCs w:val="32"/>
        </w:rPr>
        <w:t>以内已</w:t>
      </w:r>
      <w:proofErr w:type="gramEnd"/>
      <w:r>
        <w:rPr>
          <w:rFonts w:ascii="仿宋_GB2312" w:hAnsi="仿宋_GB2312" w:cs="仿宋_GB2312" w:hint="eastAsia"/>
          <w:szCs w:val="32"/>
        </w:rPr>
        <w:t>建成所有道路，即从国道华荣驾校路口至屠宰场以北</w:t>
      </w:r>
      <w:proofErr w:type="gramStart"/>
      <w:r>
        <w:rPr>
          <w:rFonts w:ascii="仿宋_GB2312" w:hAnsi="仿宋_GB2312" w:cs="仿宋_GB2312" w:hint="eastAsia"/>
          <w:szCs w:val="32"/>
        </w:rPr>
        <w:t>老渠道</w:t>
      </w:r>
      <w:proofErr w:type="gramEnd"/>
      <w:r>
        <w:rPr>
          <w:rFonts w:ascii="仿宋_GB2312" w:hAnsi="仿宋_GB2312" w:cs="仿宋_GB2312" w:hint="eastAsia"/>
          <w:szCs w:val="32"/>
        </w:rPr>
        <w:t>为界，县城内所有路段，达西村各路段、尉北工业园区内各道路、尉北农业产业园所属各路段、光明路、幸福路以及达西电子商</w:t>
      </w:r>
      <w:proofErr w:type="gramStart"/>
      <w:r>
        <w:rPr>
          <w:rFonts w:ascii="仿宋_GB2312" w:hAnsi="仿宋_GB2312" w:cs="仿宋_GB2312" w:hint="eastAsia"/>
          <w:szCs w:val="32"/>
        </w:rPr>
        <w:t>城范围</w:t>
      </w:r>
      <w:proofErr w:type="gramEnd"/>
      <w:r>
        <w:rPr>
          <w:rFonts w:ascii="仿宋_GB2312" w:hAnsi="仿宋_GB2312" w:cs="仿宋_GB2312" w:hint="eastAsia"/>
          <w:szCs w:val="32"/>
        </w:rPr>
        <w:t>的各路段绿化管护，包括</w:t>
      </w:r>
      <w:r>
        <w:rPr>
          <w:rFonts w:ascii="仿宋_GB2312" w:hAnsi="仿宋_GB2312" w:cs="仿宋_GB2312" w:hint="eastAsia"/>
          <w:szCs w:val="32"/>
        </w:rPr>
        <w:t>:</w:t>
      </w:r>
      <w:r>
        <w:rPr>
          <w:rFonts w:ascii="仿宋_GB2312" w:hAnsi="仿宋_GB2312" w:cs="仿宋_GB2312" w:hint="eastAsia"/>
          <w:szCs w:val="32"/>
        </w:rPr>
        <w:t>路边绿化带，公共绿地等。及公共绿地的乔木、灌木、草坪、花卉及苗圃基地的日常管理养护工作。全县城范围内绿化管护面积</w:t>
      </w:r>
      <w:r>
        <w:rPr>
          <w:rFonts w:ascii="仿宋_GB2312" w:hAnsi="仿宋_GB2312" w:cs="仿宋_GB2312" w:hint="eastAsia"/>
          <w:szCs w:val="32"/>
        </w:rPr>
        <w:t>4678.9</w:t>
      </w:r>
      <w:r>
        <w:rPr>
          <w:rFonts w:ascii="仿宋_GB2312" w:hAnsi="仿宋_GB2312" w:cs="仿宋_GB2312" w:hint="eastAsia"/>
          <w:szCs w:val="32"/>
        </w:rPr>
        <w:t>亩，补栽苗木</w:t>
      </w:r>
      <w:r>
        <w:rPr>
          <w:rFonts w:ascii="仿宋_GB2312" w:hAnsi="仿宋_GB2312" w:cs="仿宋_GB2312" w:hint="eastAsia"/>
          <w:szCs w:val="32"/>
        </w:rPr>
        <w:t>19.64</w:t>
      </w:r>
      <w:r>
        <w:rPr>
          <w:rFonts w:ascii="仿宋_GB2312" w:hAnsi="仿宋_GB2312" w:cs="仿宋_GB2312" w:hint="eastAsia"/>
          <w:szCs w:val="32"/>
        </w:rPr>
        <w:t>万株。</w:t>
      </w:r>
    </w:p>
    <w:p w:rsidR="001B51D6" w:rsidRDefault="00CD1800">
      <w:pPr>
        <w:pStyle w:val="2"/>
        <w:ind w:firstLine="640"/>
      </w:pPr>
      <w:bookmarkStart w:id="47" w:name="_Toc6318"/>
      <w:bookmarkStart w:id="48" w:name="_Toc12225"/>
      <w:bookmarkStart w:id="49" w:name="_Toc24713"/>
      <w:bookmarkStart w:id="50" w:name="_Toc17578"/>
      <w:r>
        <w:lastRenderedPageBreak/>
        <w:t>二、绩效评价工作开展情况</w:t>
      </w:r>
      <w:bookmarkEnd w:id="42"/>
      <w:bookmarkEnd w:id="43"/>
      <w:bookmarkEnd w:id="44"/>
      <w:bookmarkEnd w:id="45"/>
      <w:bookmarkEnd w:id="46"/>
      <w:bookmarkEnd w:id="47"/>
      <w:bookmarkEnd w:id="48"/>
      <w:bookmarkEnd w:id="49"/>
      <w:bookmarkEnd w:id="50"/>
    </w:p>
    <w:p w:rsidR="001B51D6" w:rsidRDefault="00CD1800">
      <w:pPr>
        <w:pStyle w:val="3"/>
        <w:ind w:firstLine="643"/>
        <w:rPr>
          <w:rFonts w:eastAsia="楷体"/>
        </w:rPr>
      </w:pPr>
      <w:bookmarkStart w:id="51" w:name="_Toc6248"/>
      <w:bookmarkStart w:id="52" w:name="_Toc30569"/>
      <w:bookmarkStart w:id="53" w:name="_Toc10300"/>
      <w:bookmarkStart w:id="54" w:name="_Toc17516"/>
      <w:bookmarkStart w:id="55" w:name="_Toc32557"/>
      <w:r>
        <w:rPr>
          <w:rFonts w:eastAsia="楷体"/>
        </w:rPr>
        <w:t>（一）绩效评价目的、对象和范围</w:t>
      </w:r>
      <w:bookmarkEnd w:id="51"/>
      <w:bookmarkEnd w:id="52"/>
      <w:bookmarkEnd w:id="53"/>
      <w:bookmarkEnd w:id="54"/>
      <w:bookmarkEnd w:id="55"/>
    </w:p>
    <w:p w:rsidR="001B51D6" w:rsidRDefault="00CD1800">
      <w:pPr>
        <w:ind w:firstLine="643"/>
        <w:rPr>
          <w:b/>
          <w:bCs/>
        </w:rPr>
      </w:pPr>
      <w:bookmarkStart w:id="56" w:name="_Toc11562"/>
      <w:bookmarkStart w:id="57" w:name="_Toc12440"/>
      <w:r>
        <w:rPr>
          <w:b/>
          <w:bCs/>
        </w:rPr>
        <w:t>1.</w:t>
      </w:r>
      <w:r>
        <w:rPr>
          <w:b/>
          <w:bCs/>
        </w:rPr>
        <w:t>绩效评价目的</w:t>
      </w:r>
      <w:bookmarkEnd w:id="56"/>
      <w:bookmarkEnd w:id="57"/>
    </w:p>
    <w:p w:rsidR="001B51D6" w:rsidRDefault="00CD1800">
      <w:pPr>
        <w:ind w:firstLine="640"/>
      </w:pPr>
      <w:r>
        <w:t>本次绩效评价遵循财政部《关于印发</w:t>
      </w:r>
      <w:r>
        <w:t>〈</w:t>
      </w:r>
      <w:r>
        <w:t>项目支出绩效评价管理办法</w:t>
      </w:r>
      <w:r>
        <w:t>〉</w:t>
      </w:r>
      <w:r>
        <w:t>的通知》（财预〔</w:t>
      </w:r>
      <w:r>
        <w:t>2020</w:t>
      </w:r>
      <w:r>
        <w:t>〕</w:t>
      </w:r>
      <w:r>
        <w:t>10</w:t>
      </w:r>
      <w:r>
        <w:t>号）文件精神，对</w:t>
      </w:r>
      <w:r>
        <w:t>202</w:t>
      </w:r>
      <w:r>
        <w:rPr>
          <w:rFonts w:hint="eastAsia"/>
        </w:rPr>
        <w:t>4</w:t>
      </w:r>
      <w:r>
        <w:t>年园林绿化服务费</w:t>
      </w:r>
      <w:r>
        <w:t>预算编制合理性、资金使用合</w:t>
      </w:r>
      <w:proofErr w:type="gramStart"/>
      <w:r>
        <w:t>规</w:t>
      </w:r>
      <w:proofErr w:type="gramEnd"/>
      <w:r>
        <w:t>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58" w:name="OLE_LINK7"/>
      <w:bookmarkStart w:id="59" w:name="OLE_LINK1"/>
      <w:r>
        <w:t>具体绩效评价的目的细分如下：</w:t>
      </w:r>
    </w:p>
    <w:p w:rsidR="001B51D6" w:rsidRDefault="00CD1800">
      <w:pPr>
        <w:ind w:firstLine="640"/>
      </w:pPr>
      <w:r>
        <w:t>一是：通过部门项目支出绩效评价，进一步严格落实《中华人民共和国预算法》以及党中央、国务院关于加强预算绩效管理的指示精神，建立健全</w:t>
      </w:r>
      <w:r>
        <w:t>“</w:t>
      </w:r>
      <w:r>
        <w:t>花钱必问效、无效必问责</w:t>
      </w:r>
      <w:r>
        <w:t>”</w:t>
      </w:r>
      <w:r>
        <w:t>的绩效预算管理机制</w:t>
      </w:r>
      <w:r>
        <w:t>，</w:t>
      </w:r>
      <w:r>
        <w:t>提升财政资金的使用效能。</w:t>
      </w:r>
    </w:p>
    <w:p w:rsidR="001B51D6" w:rsidRDefault="00CD1800">
      <w:pPr>
        <w:ind w:firstLine="640"/>
      </w:pPr>
      <w: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1B51D6" w:rsidRDefault="00CD1800">
      <w:pPr>
        <w:ind w:firstLine="640"/>
      </w:pPr>
      <w:r>
        <w:t>三是：通过部门项目支出绩效评价，进一步纠正对绩效管理理解上的偏差，建立更加全面科学的绩效指标体系，督</w:t>
      </w:r>
      <w:r>
        <w:lastRenderedPageBreak/>
        <w:t>促在预算编制中，将资金申请、绩效目标和具体指标统筹考虑，形成</w:t>
      </w:r>
      <w:r>
        <w:t>“</w:t>
      </w:r>
      <w:r>
        <w:t>花钱问效</w:t>
      </w:r>
      <w:r>
        <w:t>”</w:t>
      </w:r>
      <w:r>
        <w:t>的责任契约</w:t>
      </w:r>
      <w:r>
        <w:t>机制，进一步强化预算绩效管理的严肃性和约束力，推动绩效管理向全方位的绩效预算转变，逐步建立</w:t>
      </w:r>
      <w:r>
        <w:t>“</w:t>
      </w:r>
      <w:r>
        <w:t>以绩效目标为导向，以绩效评价为手段，以评价结果应用为保障，全方位、全覆盖、全过程</w:t>
      </w:r>
      <w:r>
        <w:t>”</w:t>
      </w:r>
      <w:r>
        <w:t>的绩效预算管理新体制。</w:t>
      </w:r>
    </w:p>
    <w:p w:rsidR="001B51D6" w:rsidRDefault="00CD1800">
      <w:pPr>
        <w:ind w:firstLine="640"/>
      </w:pPr>
      <w: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8"/>
      <w:bookmarkEnd w:id="59"/>
    </w:p>
    <w:p w:rsidR="001B51D6" w:rsidRDefault="00CD1800">
      <w:pPr>
        <w:ind w:firstLine="643"/>
        <w:rPr>
          <w:b/>
          <w:bCs/>
        </w:rPr>
      </w:pPr>
      <w:bookmarkStart w:id="60" w:name="_Toc8924"/>
      <w:bookmarkStart w:id="61" w:name="_Toc2159"/>
      <w:r>
        <w:rPr>
          <w:b/>
          <w:bCs/>
        </w:rPr>
        <w:t>2.</w:t>
      </w:r>
      <w:r>
        <w:rPr>
          <w:b/>
          <w:bCs/>
        </w:rPr>
        <w:t>绩效评价对象</w:t>
      </w:r>
      <w:bookmarkEnd w:id="60"/>
      <w:r>
        <w:rPr>
          <w:b/>
          <w:bCs/>
        </w:rPr>
        <w:t>和范围</w:t>
      </w:r>
      <w:bookmarkEnd w:id="61"/>
    </w:p>
    <w:p w:rsidR="001B51D6" w:rsidRDefault="00CD1800">
      <w:pPr>
        <w:ind w:firstLine="640"/>
      </w:pPr>
      <w:r>
        <w:t>根据《财政支出绩效评价管理办法》（财预〔</w:t>
      </w:r>
      <w:r>
        <w:t>2020</w:t>
      </w:r>
      <w:r>
        <w:t>〕</w:t>
      </w:r>
      <w:r>
        <w:t>10</w:t>
      </w:r>
      <w:r>
        <w:t>号）文件要求，对</w:t>
      </w:r>
      <w:r>
        <w:t>20</w:t>
      </w:r>
      <w:r>
        <w:t>2</w:t>
      </w:r>
      <w:r>
        <w:rPr>
          <w:rFonts w:hint="eastAsia"/>
        </w:rPr>
        <w:t>4</w:t>
      </w:r>
      <w:r>
        <w:t>年园林绿化服务费</w:t>
      </w:r>
      <w:r>
        <w:t>开展绩效评价，本次绩效评价范围主要围绕项目决策（包括项目</w:t>
      </w:r>
      <w:r>
        <w:rPr>
          <w:rFonts w:hint="eastAsia"/>
        </w:rPr>
        <w:t>实施</w:t>
      </w:r>
      <w:r>
        <w:t>、绩效目标、资金投入）、项目过程（包括资金管理、组织实施）、项目产出（包括产出数量、质量、时效、成本）和项目效益等进行评价。</w:t>
      </w:r>
    </w:p>
    <w:p w:rsidR="001B51D6" w:rsidRDefault="00CD1800">
      <w:pPr>
        <w:pStyle w:val="3"/>
        <w:ind w:firstLine="643"/>
        <w:rPr>
          <w:rFonts w:ascii="楷体" w:eastAsia="楷体" w:hAnsi="楷体" w:cs="楷体"/>
        </w:rPr>
      </w:pPr>
      <w:bookmarkStart w:id="62" w:name="_Toc13496"/>
      <w:bookmarkStart w:id="63" w:name="_Toc19566"/>
      <w:bookmarkStart w:id="64" w:name="_Toc17158"/>
      <w:bookmarkStart w:id="65" w:name="_Toc4350"/>
      <w:bookmarkStart w:id="66" w:name="_Toc15409"/>
      <w:r>
        <w:rPr>
          <w:rFonts w:ascii="楷体" w:eastAsia="楷体" w:hAnsi="楷体" w:cs="楷体" w:hint="eastAsia"/>
        </w:rPr>
        <w:t>（二）绩效评价原则、评价指标体系、评价方法、评价标准</w:t>
      </w:r>
      <w:bookmarkEnd w:id="62"/>
      <w:bookmarkEnd w:id="63"/>
      <w:bookmarkEnd w:id="64"/>
      <w:bookmarkEnd w:id="65"/>
      <w:bookmarkEnd w:id="66"/>
    </w:p>
    <w:p w:rsidR="001B51D6" w:rsidRDefault="00CD1800">
      <w:pPr>
        <w:ind w:firstLine="643"/>
        <w:rPr>
          <w:b/>
          <w:bCs/>
        </w:rPr>
      </w:pPr>
      <w:bookmarkStart w:id="67" w:name="_Toc18268"/>
      <w:bookmarkStart w:id="68" w:name="_Toc23487"/>
      <w:r>
        <w:rPr>
          <w:b/>
          <w:bCs/>
        </w:rPr>
        <w:t>1.</w:t>
      </w:r>
      <w:r>
        <w:rPr>
          <w:b/>
          <w:bCs/>
        </w:rPr>
        <w:t>绩效评价原则</w:t>
      </w:r>
      <w:bookmarkEnd w:id="67"/>
      <w:bookmarkEnd w:id="68"/>
    </w:p>
    <w:p w:rsidR="001B51D6" w:rsidRDefault="00CD1800">
      <w:pPr>
        <w:ind w:firstLine="640"/>
      </w:pPr>
      <w:bookmarkStart w:id="69" w:name="OLE_LINK8"/>
      <w:bookmarkStart w:id="70" w:name="OLE_LINK2"/>
      <w:r>
        <w:t>依据《中华人民共和国预算法》《中共</w:t>
      </w:r>
      <w:r>
        <w:t xml:space="preserve"> </w:t>
      </w:r>
      <w:r>
        <w:t>中央国务院关于全面实施预算绩效管理的意见》（中发〔</w:t>
      </w:r>
      <w:r>
        <w:t>2018</w:t>
      </w:r>
      <w:r>
        <w:t>〕</w:t>
      </w:r>
      <w:r>
        <w:t>34</w:t>
      </w:r>
      <w:r>
        <w:t>号）《项</w:t>
      </w:r>
      <w:r>
        <w:lastRenderedPageBreak/>
        <w:t>目支出绩效评价管理办法》（财预〔</w:t>
      </w:r>
      <w:r>
        <w:t>2020</w:t>
      </w:r>
      <w:r>
        <w:t>〕</w:t>
      </w:r>
      <w:r>
        <w:t>10</w:t>
      </w:r>
      <w:r>
        <w:t>号</w:t>
      </w:r>
      <w:r>
        <w:t>）</w:t>
      </w:r>
      <w:r>
        <w:t>《自治区党委自治区人民政府关于全面实施预算绩效管理的实施意见》（新党发〔</w:t>
      </w:r>
      <w:r>
        <w:t>2018</w:t>
      </w:r>
      <w:r>
        <w:t>〕</w:t>
      </w:r>
      <w:r>
        <w:t>30</w:t>
      </w:r>
      <w:r>
        <w:t>号）《自治区财政支出绩效评价管理暂行办法》（新财预〔</w:t>
      </w:r>
      <w:r>
        <w:t>2018</w:t>
      </w:r>
      <w:r>
        <w:t>〕</w:t>
      </w:r>
      <w:r>
        <w:t>189</w:t>
      </w:r>
      <w:r>
        <w:t>号）等要求，绩效评价应遵循如下原则：</w:t>
      </w:r>
      <w:bookmarkEnd w:id="69"/>
      <w:bookmarkEnd w:id="70"/>
    </w:p>
    <w:p w:rsidR="001B51D6" w:rsidRDefault="00CD1800">
      <w:pPr>
        <w:ind w:firstLine="640"/>
      </w:pPr>
      <w:r>
        <w:t>（</w:t>
      </w:r>
      <w:r>
        <w:t>1</w:t>
      </w:r>
      <w:r>
        <w:t>）科学公正。绩效评价应当运用科学合理的方法，按</w:t>
      </w:r>
      <w:r>
        <w:t>照规范的程序，对项目绩效进行客观、</w:t>
      </w:r>
      <w:r>
        <w:t>公正地反映</w:t>
      </w:r>
      <w:r>
        <w:t>。</w:t>
      </w:r>
    </w:p>
    <w:p w:rsidR="001B51D6" w:rsidRDefault="00CD1800">
      <w:pPr>
        <w:ind w:firstLine="640"/>
      </w:pPr>
      <w:r>
        <w:t>（</w:t>
      </w:r>
      <w:r>
        <w:t>2</w:t>
      </w:r>
      <w:r>
        <w:t>）统筹兼顾。单位自评应由项目单位自主实施，即</w:t>
      </w:r>
      <w:r>
        <w:t>“</w:t>
      </w:r>
      <w:r>
        <w:t>谁支出、谁自评</w:t>
      </w:r>
      <w:r>
        <w:t>”</w:t>
      </w:r>
      <w:r>
        <w:t>。</w:t>
      </w:r>
    </w:p>
    <w:p w:rsidR="001B51D6" w:rsidRDefault="00CD1800">
      <w:pPr>
        <w:ind w:firstLine="640"/>
      </w:pPr>
      <w:r>
        <w:t>（</w:t>
      </w:r>
      <w:r>
        <w:t>3</w:t>
      </w:r>
      <w:r>
        <w:t>）激励约束。绩效评价结果应与预算安排、政策调整、改进管理实质性挂钩，体现奖优罚劣和激励相容导向，有效要安排、低效要</w:t>
      </w:r>
      <w:r>
        <w:t>压减、无效要问责。</w:t>
      </w:r>
    </w:p>
    <w:p w:rsidR="001B51D6" w:rsidRDefault="00CD1800">
      <w:pPr>
        <w:ind w:firstLine="640"/>
      </w:pPr>
      <w:r>
        <w:t>（</w:t>
      </w:r>
      <w:r>
        <w:t>4</w:t>
      </w:r>
      <w:r>
        <w:t>）公开透明</w:t>
      </w:r>
      <w:r>
        <w:t>。</w:t>
      </w:r>
      <w:r>
        <w:t>本次项目支出绩效评价结果已依法依规在</w:t>
      </w:r>
      <w:r>
        <w:rPr>
          <w:rFonts w:hint="eastAsia"/>
        </w:rPr>
        <w:t>尉犁</w:t>
      </w:r>
      <w:r>
        <w:t>县</w:t>
      </w:r>
      <w:r>
        <w:t>人民政府网站上公开，并自觉接受社会监督</w:t>
      </w:r>
      <w:r>
        <w:t>。</w:t>
      </w:r>
    </w:p>
    <w:p w:rsidR="001B51D6" w:rsidRDefault="00CD1800">
      <w:pPr>
        <w:ind w:firstLine="640"/>
      </w:pPr>
      <w:bookmarkStart w:id="71" w:name="OLE_LINK9"/>
      <w:bookmarkStart w:id="72" w:name="OLE_LINK3"/>
      <w:bookmarkStart w:id="73" w:name="_Toc28342"/>
      <w:bookmarkStart w:id="74" w:name="_Toc23112"/>
      <w:r>
        <w:t>根据以上原则</w:t>
      </w:r>
      <w:r>
        <w:t>，</w:t>
      </w:r>
      <w:r>
        <w:t>绩效评价应遵循如下要求</w:t>
      </w:r>
      <w:r>
        <w:t>:</w:t>
      </w:r>
    </w:p>
    <w:p w:rsidR="001B51D6" w:rsidRDefault="00CD1800">
      <w:pPr>
        <w:ind w:firstLine="640"/>
      </w:pPr>
      <w:r>
        <w:t>（</w:t>
      </w:r>
      <w:r>
        <w:t>1</w:t>
      </w:r>
      <w:r>
        <w:t>）在数据采集时</w:t>
      </w:r>
      <w:r>
        <w:t>，</w:t>
      </w:r>
      <w:r>
        <w:t>采取客观数据</w:t>
      </w:r>
      <w:r>
        <w:t>，</w:t>
      </w:r>
      <w:r>
        <w:t>主管部门审查、社会中介组织复查</w:t>
      </w:r>
      <w:r>
        <w:t>，</w:t>
      </w:r>
      <w:r>
        <w:t>与问卷调查相结合的形式</w:t>
      </w:r>
      <w:r>
        <w:t>，</w:t>
      </w:r>
      <w:r>
        <w:t>以保证各项指标的真实性。</w:t>
      </w:r>
    </w:p>
    <w:p w:rsidR="001B51D6" w:rsidRDefault="00CD1800">
      <w:pPr>
        <w:ind w:firstLine="640"/>
      </w:pPr>
      <w:r>
        <w:t>（</w:t>
      </w:r>
      <w:r>
        <w:t>2</w:t>
      </w:r>
      <w:r>
        <w:t>）保证评价结果的真实性、公正性</w:t>
      </w:r>
      <w:r>
        <w:t>，</w:t>
      </w:r>
      <w:r>
        <w:t>提高评价报告的公信力。</w:t>
      </w:r>
    </w:p>
    <w:p w:rsidR="001B51D6" w:rsidRDefault="00CD1800">
      <w:pPr>
        <w:ind w:firstLine="640"/>
      </w:pPr>
      <w:r>
        <w:t>（</w:t>
      </w:r>
      <w:r>
        <w:t>3</w:t>
      </w:r>
      <w:r>
        <w:t>）</w:t>
      </w:r>
      <w:r>
        <w:t>绩效</w:t>
      </w:r>
      <w:r>
        <w:t>评价报告应当简明扼要</w:t>
      </w:r>
      <w:r>
        <w:t>，</w:t>
      </w:r>
      <w:r>
        <w:t>除了对绩效评价的过程、结果描述外</w:t>
      </w:r>
      <w:r>
        <w:t>，</w:t>
      </w:r>
      <w:r>
        <w:t>还应总结经验</w:t>
      </w:r>
      <w:r>
        <w:t>，</w:t>
      </w:r>
      <w:r>
        <w:t>指出问题</w:t>
      </w:r>
      <w:r>
        <w:t>，</w:t>
      </w:r>
      <w:r>
        <w:t>并就共性问题提出可操作性改进建议。评价工作组本着科学规范、公平公</w:t>
      </w:r>
      <w:r>
        <w:lastRenderedPageBreak/>
        <w:t>正、绩效相关的原则，采用全面、重点、现场和非现场相结合的方式进行评价。</w:t>
      </w:r>
      <w:bookmarkEnd w:id="71"/>
      <w:bookmarkEnd w:id="72"/>
    </w:p>
    <w:p w:rsidR="001B51D6" w:rsidRDefault="00CD1800">
      <w:pPr>
        <w:ind w:firstLine="643"/>
        <w:rPr>
          <w:b/>
          <w:bCs/>
        </w:rPr>
      </w:pPr>
      <w:r>
        <w:rPr>
          <w:b/>
          <w:bCs/>
        </w:rPr>
        <w:t>2.</w:t>
      </w:r>
      <w:r>
        <w:rPr>
          <w:b/>
          <w:bCs/>
        </w:rPr>
        <w:t>评价指标体系</w:t>
      </w:r>
      <w:bookmarkEnd w:id="73"/>
      <w:bookmarkEnd w:id="74"/>
    </w:p>
    <w:p w:rsidR="001B51D6" w:rsidRDefault="00CD1800">
      <w:pPr>
        <w:ind w:firstLine="640"/>
      </w:pPr>
      <w:r>
        <w:t>202</w:t>
      </w:r>
      <w:r>
        <w:rPr>
          <w:rFonts w:hint="eastAsia"/>
        </w:rPr>
        <w:t>4</w:t>
      </w:r>
      <w:r>
        <w:t>年园林绿化服务费</w:t>
      </w:r>
      <w:r>
        <w:t>绩效评价（部门自评）指标体系的设计，是在充分掌握项目状况的基础上，形成了</w:t>
      </w:r>
      <w:r>
        <w:t>202</w:t>
      </w:r>
      <w:r>
        <w:rPr>
          <w:rFonts w:hint="eastAsia"/>
        </w:rPr>
        <w:t>4</w:t>
      </w:r>
      <w:r>
        <w:t>年园林绿化服务费的</w:t>
      </w:r>
      <w:r>
        <w:t>项目支出绩效评价指标体系（部门自评）。本项目设计绩效评价指标体系满分</w:t>
      </w:r>
      <w:r>
        <w:t>100</w:t>
      </w:r>
      <w:r>
        <w:t>分。四个级别分别是：优、良、中、差，</w:t>
      </w:r>
      <w:r>
        <w:t>90</w:t>
      </w:r>
      <w:r>
        <w:t>（含）</w:t>
      </w:r>
      <w:r>
        <w:t>-100</w:t>
      </w:r>
      <w:r>
        <w:t>分为优、</w:t>
      </w:r>
      <w:r>
        <w:t>80</w:t>
      </w:r>
      <w:r>
        <w:t>（含）</w:t>
      </w:r>
      <w:r>
        <w:t>-90</w:t>
      </w:r>
      <w:r>
        <w:t>分为良、</w:t>
      </w:r>
      <w:r>
        <w:t>60</w:t>
      </w:r>
      <w:r>
        <w:t>（含）</w:t>
      </w:r>
      <w:r>
        <w:t>-80</w:t>
      </w:r>
      <w:r>
        <w:t>分为中、</w:t>
      </w:r>
      <w:r>
        <w:t>60</w:t>
      </w:r>
      <w:r>
        <w:t>分以下为差。</w:t>
      </w:r>
    </w:p>
    <w:p w:rsidR="001B51D6" w:rsidRDefault="00CD1800">
      <w:pPr>
        <w:ind w:firstLine="640"/>
      </w:pPr>
      <w:r>
        <w:t>按照财预〔</w:t>
      </w:r>
      <w:r>
        <w:t>2020</w:t>
      </w:r>
      <w:r>
        <w:t>〕</w:t>
      </w:r>
      <w:r>
        <w:t>10</w:t>
      </w:r>
      <w:r>
        <w:t>号文件关于</w:t>
      </w:r>
      <w:r>
        <w:t>“</w:t>
      </w:r>
      <w:r>
        <w:t>原则上产出、效益指标权重不低于</w:t>
      </w:r>
      <w:r>
        <w:t>60%”</w:t>
      </w:r>
      <w:r>
        <w:t>的要求，本项目产出、效益指标权重</w:t>
      </w:r>
      <w:r>
        <w:t>60%</w:t>
      </w:r>
      <w:r>
        <w:t>（即</w:t>
      </w:r>
      <w:r>
        <w:t>60</w:t>
      </w:r>
      <w:r>
        <w:t>分）。</w:t>
      </w:r>
      <w:bookmarkStart w:id="75" w:name="_Toc15680"/>
      <w:bookmarkStart w:id="76" w:name="_Toc10631"/>
    </w:p>
    <w:p w:rsidR="001B51D6" w:rsidRDefault="00CD1800">
      <w:pPr>
        <w:ind w:firstLine="643"/>
        <w:rPr>
          <w:b/>
          <w:bCs/>
        </w:rPr>
      </w:pPr>
      <w:r>
        <w:rPr>
          <w:b/>
          <w:bCs/>
        </w:rPr>
        <w:t>3.</w:t>
      </w:r>
      <w:r>
        <w:rPr>
          <w:b/>
          <w:bCs/>
        </w:rPr>
        <w:t>绩效评价方法</w:t>
      </w:r>
      <w:bookmarkEnd w:id="75"/>
      <w:bookmarkEnd w:id="76"/>
    </w:p>
    <w:p w:rsidR="001B51D6" w:rsidRDefault="00CD1800">
      <w:pPr>
        <w:ind w:firstLine="640"/>
      </w:pPr>
      <w:bookmarkStart w:id="77" w:name="OLE_LINK10"/>
      <w:r>
        <w:t>绩效评价从项目决策、项目过程、项目产出、项目效益四个维度进行评价。评价对象为项目目标实施情况，评价核心为资金的支出完成情况和项目的产出效益。</w:t>
      </w:r>
      <w:bookmarkEnd w:id="77"/>
    </w:p>
    <w:p w:rsidR="001B51D6" w:rsidRDefault="00CD1800">
      <w:pPr>
        <w:ind w:firstLine="640"/>
      </w:pPr>
      <w:r>
        <w:t>结合</w:t>
      </w:r>
      <w:r>
        <w:t>202</w:t>
      </w:r>
      <w:r>
        <w:rPr>
          <w:rFonts w:hint="eastAsia"/>
        </w:rPr>
        <w:t>4</w:t>
      </w:r>
      <w:r>
        <w:t xml:space="preserve"> </w:t>
      </w:r>
      <w:r>
        <w:t>年园林绿化服务费的特点，</w:t>
      </w:r>
      <w:r>
        <w:t>本项目绩效评价将项目实施情况即实际完成的</w:t>
      </w:r>
      <w:r>
        <w:rPr>
          <w:rFonts w:hint="eastAsia"/>
        </w:rPr>
        <w:t>园林作业绿化面积</w:t>
      </w:r>
      <w:r>
        <w:t>、</w:t>
      </w:r>
      <w:r>
        <w:rPr>
          <w:rFonts w:hint="eastAsia"/>
        </w:rPr>
        <w:t>补栽苗木树数量、苗木成活率、园林绿化达标考核合格率、提高全县绿化率</w:t>
      </w:r>
      <w:r>
        <w:t>等指标与年初设定的目标值进行比较</w:t>
      </w:r>
      <w:r>
        <w:t>。</w:t>
      </w:r>
      <w:r>
        <w:t>因此，采取的</w:t>
      </w:r>
      <w:r>
        <w:t>绩效评价方法</w:t>
      </w:r>
      <w:r>
        <w:t>是</w:t>
      </w:r>
      <w:r>
        <w:t>：比较法</w:t>
      </w:r>
      <w:r>
        <w:t>。</w:t>
      </w:r>
    </w:p>
    <w:p w:rsidR="001B51D6" w:rsidRDefault="00CD1800">
      <w:pPr>
        <w:ind w:firstLine="640"/>
      </w:pPr>
      <w:r>
        <w:rPr>
          <w:rFonts w:hint="eastAsia"/>
        </w:rPr>
        <w:t>公众评判法：本项目公众评判法主要是采取问卷调查的方式，问卷调查广泛采纳服务对象的评价。</w:t>
      </w:r>
    </w:p>
    <w:p w:rsidR="001B51D6" w:rsidRDefault="00CD1800">
      <w:pPr>
        <w:ind w:firstLine="640"/>
      </w:pPr>
      <w:r>
        <w:rPr>
          <w:rFonts w:hint="eastAsia"/>
        </w:rPr>
        <w:lastRenderedPageBreak/>
        <w:t>2024</w:t>
      </w:r>
      <w:r>
        <w:rPr>
          <w:rFonts w:hint="eastAsia"/>
        </w:rPr>
        <w:t>年园林绿化服务费具有较为清晰的服务群体，且该项目绩效状况的优劣，很大程度上体现在绿化面积，提高园林绿化养护覆盖范围等等方面。为此，与该项目评价的具体指标相对应，设计了调查问卷，按照一定比例，以电话、现场询问等方式进行问卷调查，收集、分析所取得的样本数据，从而推断确定目标群体的满意度，进而评价满意度指标。</w:t>
      </w:r>
    </w:p>
    <w:p w:rsidR="001B51D6" w:rsidRDefault="00CD1800">
      <w:pPr>
        <w:ind w:firstLine="643"/>
        <w:rPr>
          <w:b/>
          <w:bCs/>
        </w:rPr>
      </w:pPr>
      <w:bookmarkStart w:id="78" w:name="_Toc3155"/>
      <w:bookmarkStart w:id="79" w:name="_Toc15525"/>
      <w:r>
        <w:rPr>
          <w:b/>
          <w:bCs/>
        </w:rPr>
        <w:t>4.</w:t>
      </w:r>
      <w:r>
        <w:rPr>
          <w:b/>
          <w:bCs/>
        </w:rPr>
        <w:t>绩效评价标准</w:t>
      </w:r>
      <w:bookmarkEnd w:id="78"/>
      <w:bookmarkEnd w:id="79"/>
    </w:p>
    <w:p w:rsidR="001B51D6" w:rsidRDefault="00CD1800">
      <w:pPr>
        <w:ind w:firstLine="640"/>
      </w:pPr>
      <w:r>
        <w:t>绩效评价标准通常包括计划标准、行业标准、历史标准等，用于对绩效指标完成情况进行比较。</w:t>
      </w:r>
    </w:p>
    <w:p w:rsidR="001B51D6" w:rsidRDefault="00CD1800">
      <w:pPr>
        <w:pStyle w:val="CommentText"/>
        <w:ind w:firstLine="640"/>
        <w:jc w:val="both"/>
      </w:pPr>
      <w:r>
        <w:t>结合</w:t>
      </w:r>
      <w:r>
        <w:t>2</w:t>
      </w:r>
      <w:r>
        <w:t>02</w:t>
      </w:r>
      <w:r>
        <w:rPr>
          <w:rFonts w:hint="eastAsia"/>
        </w:rPr>
        <w:t>4</w:t>
      </w:r>
      <w:r>
        <w:t>年园林绿化服务费</w:t>
      </w:r>
      <w:r>
        <w:t>的特点，</w:t>
      </w:r>
      <w:bookmarkStart w:id="80" w:name="_Toc17851"/>
      <w:bookmarkStart w:id="81" w:name="_Toc15381"/>
      <w:bookmarkStart w:id="82" w:name="_Toc26411"/>
      <w:bookmarkStart w:id="83" w:name="_Toc30219"/>
      <w:r>
        <w:rPr>
          <w:bCs/>
          <w:szCs w:val="32"/>
        </w:rPr>
        <w:t>本项目绩效评价以预先制定的</w:t>
      </w:r>
      <w:r>
        <w:rPr>
          <w:rFonts w:hint="eastAsia"/>
          <w:bCs/>
          <w:szCs w:val="32"/>
        </w:rPr>
        <w:t>园林作业绿化面积</w:t>
      </w:r>
      <w:r>
        <w:rPr>
          <w:bCs/>
          <w:szCs w:val="32"/>
        </w:rPr>
        <w:t>、</w:t>
      </w:r>
      <w:r>
        <w:rPr>
          <w:rFonts w:hint="eastAsia"/>
          <w:bCs/>
          <w:szCs w:val="32"/>
        </w:rPr>
        <w:t>补种苗木数量作为目标为计划数作为评价标准。因此，本项目采取的绩效评价标准为：计划标准。</w:t>
      </w:r>
    </w:p>
    <w:p w:rsidR="001B51D6" w:rsidRDefault="00CD1800">
      <w:pPr>
        <w:pStyle w:val="3"/>
        <w:ind w:firstLine="643"/>
        <w:rPr>
          <w:rFonts w:ascii="楷体" w:eastAsia="楷体" w:hAnsi="楷体" w:cs="楷体"/>
        </w:rPr>
      </w:pPr>
      <w:bookmarkStart w:id="84" w:name="_Toc28943"/>
      <w:r>
        <w:rPr>
          <w:rFonts w:ascii="楷体" w:eastAsia="楷体" w:hAnsi="楷体" w:cs="楷体" w:hint="eastAsia"/>
        </w:rPr>
        <w:t>（三）绩效评价工作过程</w:t>
      </w:r>
      <w:bookmarkEnd w:id="80"/>
      <w:bookmarkEnd w:id="81"/>
      <w:bookmarkEnd w:id="82"/>
      <w:bookmarkEnd w:id="83"/>
      <w:bookmarkEnd w:id="84"/>
    </w:p>
    <w:p w:rsidR="001B51D6" w:rsidRDefault="00CD1800">
      <w:pPr>
        <w:ind w:firstLine="643"/>
        <w:rPr>
          <w:b/>
          <w:bCs/>
        </w:rPr>
      </w:pPr>
      <w:bookmarkStart w:id="85" w:name="_Toc30911"/>
      <w:bookmarkStart w:id="86" w:name="_Toc22987"/>
      <w:bookmarkStart w:id="87" w:name="_Toc27442"/>
      <w:bookmarkStart w:id="88" w:name="_Toc31054"/>
      <w:bookmarkStart w:id="89" w:name="_Toc17595"/>
      <w:r>
        <w:rPr>
          <w:b/>
          <w:bCs/>
        </w:rPr>
        <w:t>1.</w:t>
      </w:r>
      <w:r>
        <w:rPr>
          <w:b/>
          <w:bCs/>
        </w:rPr>
        <w:t>前期准备</w:t>
      </w:r>
      <w:bookmarkEnd w:id="85"/>
      <w:bookmarkEnd w:id="86"/>
      <w:bookmarkEnd w:id="87"/>
      <w:bookmarkEnd w:id="88"/>
      <w:bookmarkEnd w:id="89"/>
      <w:r>
        <w:rPr>
          <w:rFonts w:hint="eastAsia"/>
          <w:b/>
          <w:bCs/>
        </w:rPr>
        <w:t>（</w:t>
      </w:r>
      <w:r>
        <w:rPr>
          <w:rFonts w:hint="eastAsia"/>
          <w:b/>
          <w:bCs/>
        </w:rPr>
        <w:t>2025</w:t>
      </w:r>
      <w:r>
        <w:rPr>
          <w:rFonts w:hint="eastAsia"/>
          <w:b/>
          <w:bCs/>
        </w:rPr>
        <w:t>年</w:t>
      </w:r>
      <w:r>
        <w:rPr>
          <w:rFonts w:hint="eastAsia"/>
          <w:b/>
          <w:bCs/>
        </w:rPr>
        <w:t>2</w:t>
      </w:r>
      <w:r>
        <w:rPr>
          <w:rFonts w:hint="eastAsia"/>
          <w:b/>
          <w:bCs/>
        </w:rPr>
        <w:t>月</w:t>
      </w:r>
      <w:r>
        <w:rPr>
          <w:rFonts w:hint="eastAsia"/>
          <w:b/>
          <w:bCs/>
        </w:rPr>
        <w:t>10</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r>
        <w:rPr>
          <w:rFonts w:hint="eastAsia"/>
          <w:b/>
          <w:bCs/>
        </w:rPr>
        <w:t>）</w:t>
      </w:r>
    </w:p>
    <w:p w:rsidR="001B51D6" w:rsidRDefault="00CD1800">
      <w:pPr>
        <w:spacing w:line="600" w:lineRule="exact"/>
        <w:ind w:firstLine="640"/>
        <w:rPr>
          <w:bCs/>
          <w:szCs w:val="32"/>
        </w:rPr>
      </w:pPr>
      <w:bookmarkStart w:id="90" w:name="_Toc2579"/>
      <w:r>
        <w:rPr>
          <w:bCs/>
          <w:szCs w:val="32"/>
        </w:rPr>
        <w:t>按照《项目支出绩效评价管理办法》（财预〔</w:t>
      </w:r>
      <w:r>
        <w:rPr>
          <w:bCs/>
          <w:szCs w:val="32"/>
        </w:rPr>
        <w:t>2020</w:t>
      </w:r>
      <w:r>
        <w:rPr>
          <w:bCs/>
          <w:szCs w:val="32"/>
        </w:rPr>
        <w:t>〕</w:t>
      </w:r>
      <w:r>
        <w:rPr>
          <w:bCs/>
          <w:szCs w:val="32"/>
        </w:rPr>
        <w:t>10</w:t>
      </w:r>
      <w:r>
        <w:rPr>
          <w:bCs/>
          <w:szCs w:val="32"/>
        </w:rPr>
        <w:t>号）文件要求，</w:t>
      </w:r>
      <w:r>
        <w:rPr>
          <w:rFonts w:hint="eastAsia"/>
          <w:bCs/>
          <w:szCs w:val="32"/>
        </w:rPr>
        <w:t>尉犁</w:t>
      </w:r>
      <w:r>
        <w:rPr>
          <w:bCs/>
          <w:szCs w:val="32"/>
        </w:rPr>
        <w:t>县</w:t>
      </w:r>
      <w:r>
        <w:rPr>
          <w:rFonts w:hint="eastAsia"/>
          <w:bCs/>
          <w:szCs w:val="32"/>
        </w:rPr>
        <w:t>住房和城乡建设局</w:t>
      </w:r>
      <w:r>
        <w:rPr>
          <w:bCs/>
          <w:szCs w:val="32"/>
        </w:rPr>
        <w:t>成立了绩效评价小组，对项目实施的全过程，收集、整理项目实施的相关资料，了解项目实施情况和资金支付情况。从项目内容出发，结合项目预期目标，制定绩效评价的指标体系。</w:t>
      </w:r>
    </w:p>
    <w:p w:rsidR="001B51D6" w:rsidRDefault="00CD1800">
      <w:pPr>
        <w:spacing w:line="600" w:lineRule="exact"/>
        <w:ind w:firstLine="640"/>
        <w:rPr>
          <w:bCs/>
          <w:szCs w:val="32"/>
        </w:rPr>
      </w:pPr>
      <w:r>
        <w:rPr>
          <w:rFonts w:hint="eastAsia"/>
          <w:bCs/>
          <w:szCs w:val="32"/>
        </w:rPr>
        <w:t>绩效评价工作小组人员名单及分工如下：</w:t>
      </w:r>
    </w:p>
    <w:p w:rsidR="001B51D6" w:rsidRDefault="00CD1800">
      <w:pPr>
        <w:ind w:firstLine="640"/>
      </w:pPr>
      <w:r>
        <w:rPr>
          <w:rFonts w:hint="eastAsia"/>
        </w:rPr>
        <w:t>评价小组组长：王</w:t>
      </w:r>
      <w:proofErr w:type="gramStart"/>
      <w:r>
        <w:rPr>
          <w:rFonts w:hint="eastAsia"/>
        </w:rPr>
        <w:t>世</w:t>
      </w:r>
      <w:proofErr w:type="gramEnd"/>
      <w:r>
        <w:rPr>
          <w:rFonts w:hint="eastAsia"/>
        </w:rPr>
        <w:t>军，主要负责协调相关科室、部门对项目整体运行情况进行验收、评估。</w:t>
      </w:r>
    </w:p>
    <w:p w:rsidR="001B51D6" w:rsidRDefault="00CD1800">
      <w:pPr>
        <w:ind w:firstLine="640"/>
      </w:pPr>
      <w:r>
        <w:rPr>
          <w:rFonts w:hint="eastAsia"/>
        </w:rPr>
        <w:lastRenderedPageBreak/>
        <w:t>评价小组组员：李静，主要负责制</w:t>
      </w:r>
      <w:proofErr w:type="gramStart"/>
      <w:r>
        <w:rPr>
          <w:rFonts w:hint="eastAsia"/>
        </w:rPr>
        <w:t>定评价</w:t>
      </w:r>
      <w:proofErr w:type="gramEnd"/>
      <w:r>
        <w:rPr>
          <w:rFonts w:hint="eastAsia"/>
        </w:rPr>
        <w:t>指标体系及评价标准。</w:t>
      </w:r>
    </w:p>
    <w:p w:rsidR="001B51D6" w:rsidRDefault="00CD1800">
      <w:pPr>
        <w:ind w:firstLine="640"/>
      </w:pPr>
      <w:r>
        <w:rPr>
          <w:rFonts w:hint="eastAsia"/>
        </w:rPr>
        <w:t>评价小组组员：吾尔古力，主要负责</w:t>
      </w:r>
      <w:r>
        <w:rPr>
          <w:rFonts w:hint="eastAsia"/>
        </w:rPr>
        <w:t>2024</w:t>
      </w:r>
      <w:r>
        <w:rPr>
          <w:rFonts w:hint="eastAsia"/>
        </w:rPr>
        <w:t>年园林绿化服务费项目实施、监督、评估工作。</w:t>
      </w:r>
    </w:p>
    <w:p w:rsidR="001B51D6" w:rsidRDefault="00CD1800">
      <w:pPr>
        <w:ind w:firstLine="643"/>
        <w:rPr>
          <w:b/>
          <w:bCs/>
        </w:rPr>
      </w:pPr>
      <w:r>
        <w:rPr>
          <w:b/>
          <w:bCs/>
        </w:rPr>
        <w:t>2.</w:t>
      </w:r>
      <w:r>
        <w:rPr>
          <w:b/>
          <w:bCs/>
        </w:rPr>
        <w:t>组织实施</w:t>
      </w:r>
      <w:bookmarkEnd w:id="90"/>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r>
        <w:rPr>
          <w:rFonts w:hint="eastAsia"/>
          <w:b/>
          <w:bCs/>
        </w:rPr>
        <w:t>）</w:t>
      </w:r>
    </w:p>
    <w:p w:rsidR="001B51D6" w:rsidRDefault="00CD1800">
      <w:pPr>
        <w:ind w:firstLine="640"/>
      </w:pPr>
      <w:r>
        <w:t>评价的具体实施根据评价指标及评价工作要求，对具体评价内容和不同环节，采用以下取得的资料与评价方式。</w:t>
      </w:r>
    </w:p>
    <w:p w:rsidR="001B51D6" w:rsidRDefault="00CD1800">
      <w:pPr>
        <w:ind w:firstLine="640"/>
      </w:pPr>
      <w:r>
        <w:rPr>
          <w:rFonts w:hint="eastAsia"/>
        </w:rPr>
        <w:t>（</w:t>
      </w:r>
      <w:r>
        <w:rPr>
          <w:rFonts w:hint="eastAsia"/>
        </w:rPr>
        <w:t>1</w:t>
      </w:r>
      <w:r>
        <w:rPr>
          <w:rFonts w:hint="eastAsia"/>
        </w:rPr>
        <w:t>）</w:t>
      </w:r>
      <w:r>
        <w:rPr>
          <w:rFonts w:hint="eastAsia"/>
        </w:rPr>
        <w:t>根据绩效管理的要求，本单位成立项目评价小组，全过程跟踪监管项目实施过程，包括项目资金到位时绩效工作的安排、年中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1B51D6" w:rsidRDefault="00CD1800">
      <w:pPr>
        <w:ind w:firstLine="640"/>
      </w:pPr>
      <w:r>
        <w:t>（</w:t>
      </w:r>
      <w:r>
        <w:rPr>
          <w:rFonts w:hint="eastAsia"/>
        </w:rPr>
        <w:t>2</w:t>
      </w:r>
      <w: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1B51D6" w:rsidRDefault="00CD1800">
      <w:pPr>
        <w:ind w:firstLine="640"/>
      </w:pPr>
      <w:r>
        <w:t>（</w:t>
      </w:r>
      <w:r>
        <w:rPr>
          <w:rFonts w:hint="eastAsia"/>
        </w:rPr>
        <w:t>3</w:t>
      </w:r>
      <w:r>
        <w:t>）问卷调查。选择与项目评价有关的调查对象，设计调查问卷。通过问卷调查，对有关评价内容完成情况进行打分，并根据分值评价绩效目标完成情况，作为对项目评价的依据。</w:t>
      </w:r>
    </w:p>
    <w:p w:rsidR="001B51D6" w:rsidRDefault="00CD1800">
      <w:pPr>
        <w:ind w:firstLine="640"/>
      </w:pPr>
      <w:r>
        <w:t>（</w:t>
      </w:r>
      <w:r>
        <w:rPr>
          <w:rFonts w:hint="eastAsia"/>
        </w:rPr>
        <w:t>4</w:t>
      </w:r>
      <w:r>
        <w:t>）项目评价小组人员与专业技术人员相结合评价。对</w:t>
      </w:r>
      <w:r>
        <w:lastRenderedPageBreak/>
        <w:t>绩效评价工作专业性较强的内容，在评价工作过程中，采用以专业技术人员与有关科（股）室、其他部门专业人员进行评价相结合的方式，分别对相关专业指标进行现场问询、检验和考查。</w:t>
      </w:r>
    </w:p>
    <w:p w:rsidR="001B51D6" w:rsidRDefault="00CD1800">
      <w:pPr>
        <w:ind w:firstLine="643"/>
        <w:rPr>
          <w:b/>
          <w:bCs/>
        </w:rPr>
      </w:pPr>
      <w:bookmarkStart w:id="91" w:name="_Toc19781"/>
      <w:r>
        <w:rPr>
          <w:b/>
          <w:bCs/>
        </w:rPr>
        <w:t>3.</w:t>
      </w:r>
      <w:r>
        <w:rPr>
          <w:b/>
          <w:bCs/>
        </w:rPr>
        <w:t>数据集中分析</w:t>
      </w:r>
      <w:bookmarkEnd w:id="91"/>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20</w:t>
      </w:r>
      <w:r>
        <w:rPr>
          <w:rFonts w:hint="eastAsia"/>
          <w:b/>
          <w:bCs/>
        </w:rPr>
        <w:t>日</w:t>
      </w:r>
      <w:r>
        <w:rPr>
          <w:rFonts w:hint="eastAsia"/>
          <w:b/>
          <w:bCs/>
        </w:rPr>
        <w:t>）</w:t>
      </w:r>
    </w:p>
    <w:p w:rsidR="001B51D6" w:rsidRDefault="00CD1800">
      <w:pPr>
        <w:ind w:firstLine="640"/>
      </w:pPr>
      <w:r>
        <w:t>对相关资料，包括资金文件、项目实施方案、相关管理办法，问卷调查等进行集中</w:t>
      </w:r>
      <w:r>
        <w:t>分析。在查阅大量项目资料的基础上，根据考察、考评的结果进行整理、分析。</w:t>
      </w:r>
    </w:p>
    <w:p w:rsidR="001B51D6" w:rsidRDefault="00CD1800">
      <w:pPr>
        <w:ind w:firstLine="643"/>
        <w:rPr>
          <w:b/>
          <w:bCs/>
        </w:rPr>
      </w:pPr>
      <w:bookmarkStart w:id="92" w:name="_Toc5021"/>
      <w:r>
        <w:rPr>
          <w:b/>
          <w:bCs/>
        </w:rPr>
        <w:t>4.</w:t>
      </w:r>
      <w:r>
        <w:rPr>
          <w:b/>
          <w:bCs/>
        </w:rPr>
        <w:t>分析总结</w:t>
      </w:r>
      <w:bookmarkEnd w:id="92"/>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21</w:t>
      </w:r>
      <w:r>
        <w:rPr>
          <w:rFonts w:hint="eastAsia"/>
          <w:b/>
          <w:bCs/>
        </w:rPr>
        <w:t>日</w:t>
      </w:r>
      <w:r>
        <w:rPr>
          <w:rFonts w:hint="eastAsia"/>
          <w:b/>
          <w:bCs/>
        </w:rPr>
        <w:t>-2025</w:t>
      </w:r>
      <w:r>
        <w:rPr>
          <w:rFonts w:hint="eastAsia"/>
          <w:b/>
          <w:bCs/>
        </w:rPr>
        <w:t>年</w:t>
      </w:r>
      <w:r>
        <w:rPr>
          <w:rFonts w:hint="eastAsia"/>
          <w:b/>
          <w:bCs/>
        </w:rPr>
        <w:t>4</w:t>
      </w:r>
      <w:r>
        <w:rPr>
          <w:rFonts w:hint="eastAsia"/>
          <w:b/>
          <w:bCs/>
        </w:rPr>
        <w:t>月</w:t>
      </w:r>
      <w:r>
        <w:rPr>
          <w:rFonts w:hint="eastAsia"/>
          <w:b/>
          <w:bCs/>
        </w:rPr>
        <w:t>2</w:t>
      </w:r>
      <w:r>
        <w:rPr>
          <w:rFonts w:hint="eastAsia"/>
          <w:b/>
          <w:bCs/>
        </w:rPr>
        <w:t>日</w:t>
      </w:r>
      <w:r>
        <w:rPr>
          <w:rFonts w:hint="eastAsia"/>
          <w:b/>
          <w:bCs/>
        </w:rPr>
        <w:t>）</w:t>
      </w:r>
    </w:p>
    <w:p w:rsidR="001B51D6" w:rsidRDefault="00CD1800">
      <w:pPr>
        <w:ind w:firstLine="640"/>
      </w:pPr>
      <w:r>
        <w:t>（</w:t>
      </w:r>
      <w:r>
        <w:t>1</w:t>
      </w:r>
      <w:r>
        <w:t>）根据部门自评的意见及考察、考评的结果进行整理、分析，撰写绩效评价报告初稿；</w:t>
      </w:r>
    </w:p>
    <w:p w:rsidR="001B51D6" w:rsidRDefault="00CD1800">
      <w:pPr>
        <w:ind w:firstLine="640"/>
      </w:pPr>
      <w:r>
        <w:t>（</w:t>
      </w:r>
      <w:r>
        <w:t>2</w:t>
      </w:r>
      <w:r>
        <w:t>）就</w:t>
      </w:r>
      <w:r>
        <w:t>部门</w:t>
      </w:r>
      <w:r>
        <w:t>自评报告与部门具体有关股室征求意见，形成最终的绩效评价报告。</w:t>
      </w:r>
    </w:p>
    <w:p w:rsidR="001B51D6" w:rsidRDefault="00CD1800">
      <w:pPr>
        <w:ind w:firstLine="643"/>
        <w:rPr>
          <w:b/>
          <w:bCs/>
        </w:rPr>
      </w:pPr>
      <w:bookmarkStart w:id="93" w:name="OLE_LINK11"/>
      <w:bookmarkStart w:id="94" w:name="OLE_LINK4"/>
      <w:r>
        <w:rPr>
          <w:rFonts w:hint="eastAsia"/>
          <w:b/>
          <w:bCs/>
        </w:rPr>
        <w:t>5</w:t>
      </w:r>
      <w:r>
        <w:rPr>
          <w:rFonts w:hint="eastAsia"/>
          <w:b/>
          <w:bCs/>
        </w:rPr>
        <w:t>.</w:t>
      </w:r>
      <w:r>
        <w:rPr>
          <w:rFonts w:hint="eastAsia"/>
          <w:b/>
          <w:bCs/>
        </w:rPr>
        <w:t>问题整改</w:t>
      </w:r>
    </w:p>
    <w:p w:rsidR="001B51D6" w:rsidRDefault="00CD1800">
      <w:pPr>
        <w:ind w:firstLine="640"/>
      </w:pPr>
      <w:r>
        <w:rPr>
          <w:rFonts w:hint="eastAsia"/>
        </w:rPr>
        <w:t>经审核通过后，</w:t>
      </w:r>
      <w:proofErr w:type="gramStart"/>
      <w:r>
        <w:rPr>
          <w:rFonts w:hint="eastAsia"/>
        </w:rPr>
        <w:t>由评价</w:t>
      </w:r>
      <w:proofErr w:type="gramEnd"/>
      <w:r>
        <w:rPr>
          <w:rFonts w:hint="eastAsia"/>
        </w:rPr>
        <w:t>小组将报告推送至项目实施人员，由项目实施人员根据报告评价结论、存在的问题以及改进建议落实问题整改，并形成整改报告，</w:t>
      </w:r>
      <w:proofErr w:type="gramStart"/>
      <w:r>
        <w:rPr>
          <w:rFonts w:hint="eastAsia"/>
        </w:rPr>
        <w:t>由评价</w:t>
      </w:r>
      <w:proofErr w:type="gramEnd"/>
      <w:r>
        <w:rPr>
          <w:rFonts w:hint="eastAsia"/>
        </w:rPr>
        <w:t>小组负责监督和核查整改落实情况，确保绩效评价落到实处。</w:t>
      </w:r>
    </w:p>
    <w:p w:rsidR="001B51D6" w:rsidRDefault="00CD1800">
      <w:pPr>
        <w:ind w:firstLine="643"/>
        <w:rPr>
          <w:b/>
          <w:bCs/>
        </w:rPr>
      </w:pPr>
      <w:r>
        <w:rPr>
          <w:rFonts w:hint="eastAsia"/>
          <w:b/>
          <w:bCs/>
        </w:rPr>
        <w:t>6</w:t>
      </w:r>
      <w:r>
        <w:rPr>
          <w:rFonts w:hint="eastAsia"/>
          <w:b/>
          <w:bCs/>
        </w:rPr>
        <w:t>.</w:t>
      </w:r>
      <w:r>
        <w:rPr>
          <w:rFonts w:hint="eastAsia"/>
          <w:b/>
          <w:bCs/>
        </w:rPr>
        <w:t>档案整理</w:t>
      </w:r>
    </w:p>
    <w:p w:rsidR="001B51D6" w:rsidRDefault="00CD1800">
      <w:pPr>
        <w:ind w:firstLine="640"/>
      </w:pPr>
      <w:r>
        <w:t>建</w:t>
      </w:r>
      <w:r>
        <w:t>立和落实档案管理制度，将项目相关资料存档，包括但不限于：评价项目基本情况和相关文件、评价实施方案、项目支付资料等相关档案。</w:t>
      </w:r>
      <w:bookmarkEnd w:id="93"/>
      <w:bookmarkEnd w:id="94"/>
    </w:p>
    <w:p w:rsidR="001B51D6" w:rsidRDefault="00CD1800">
      <w:pPr>
        <w:pStyle w:val="2"/>
        <w:ind w:firstLine="640"/>
        <w:rPr>
          <w:rFonts w:ascii="黑体" w:hAnsi="黑体" w:cs="黑体"/>
        </w:rPr>
      </w:pPr>
      <w:bookmarkStart w:id="95" w:name="_Toc32641"/>
      <w:bookmarkStart w:id="96" w:name="_Toc31492"/>
      <w:bookmarkStart w:id="97" w:name="_Toc1808"/>
      <w:bookmarkStart w:id="98" w:name="_Toc31058"/>
      <w:bookmarkStart w:id="99" w:name="_Toc3859"/>
      <w:bookmarkStart w:id="100" w:name="_Toc25201"/>
      <w:bookmarkStart w:id="101" w:name="_Toc3987"/>
      <w:bookmarkStart w:id="102" w:name="_Toc17199"/>
      <w:bookmarkStart w:id="103" w:name="_Toc21627"/>
      <w:r>
        <w:rPr>
          <w:rFonts w:ascii="黑体" w:hAnsi="黑体" w:cs="黑体" w:hint="eastAsia"/>
        </w:rPr>
        <w:lastRenderedPageBreak/>
        <w:t>三、综合评价情况及评价结论</w:t>
      </w:r>
      <w:bookmarkEnd w:id="95"/>
      <w:bookmarkEnd w:id="96"/>
      <w:bookmarkEnd w:id="97"/>
      <w:bookmarkEnd w:id="98"/>
      <w:bookmarkEnd w:id="99"/>
      <w:bookmarkEnd w:id="100"/>
      <w:bookmarkEnd w:id="101"/>
      <w:bookmarkEnd w:id="102"/>
      <w:bookmarkEnd w:id="103"/>
    </w:p>
    <w:p w:rsidR="001B51D6" w:rsidRDefault="00CD1800">
      <w:pPr>
        <w:ind w:firstLine="640"/>
      </w:pPr>
      <w:r>
        <w:t>本项目的绩效评价结果为</w:t>
      </w:r>
      <w:r>
        <w:t>“</w:t>
      </w:r>
      <w:r>
        <w:t>优</w:t>
      </w:r>
      <w:r>
        <w:t>”</w:t>
      </w:r>
      <w:r>
        <w:t>，综合评分</w:t>
      </w:r>
      <w:r>
        <w:t>100</w:t>
      </w:r>
      <w:r>
        <w:t>分。其中项目决策</w:t>
      </w:r>
      <w:r>
        <w:t>22</w:t>
      </w:r>
      <w:r>
        <w:t>分，项目过程</w:t>
      </w:r>
      <w:r>
        <w:t>1</w:t>
      </w:r>
      <w:r>
        <w:t>8</w:t>
      </w:r>
      <w:r>
        <w:t>分，项目产出管理得分</w:t>
      </w:r>
      <w:r>
        <w:t>40</w:t>
      </w:r>
      <w:r>
        <w:t>分，项目效益</w:t>
      </w:r>
      <w:r>
        <w:t>20</w:t>
      </w:r>
      <w:r>
        <w:t>分</w:t>
      </w:r>
      <w:r>
        <w:t>。各部分权重和绩效汇总分值如下表所示：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1B51D6">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1B51D6" w:rsidRDefault="00CD1800">
            <w:pPr>
              <w:pStyle w:val="a7"/>
              <w:rPr>
                <w:rFonts w:hint="default"/>
              </w:rPr>
            </w:pPr>
            <w:bookmarkStart w:id="104" w:name="_Toc26863"/>
            <w:bookmarkStart w:id="105" w:name="_Toc23105"/>
            <w:bookmarkStart w:id="106" w:name="_Toc7293"/>
            <w:bookmarkStart w:id="107" w:name="_Toc26451"/>
            <w:bookmarkStart w:id="108" w:name="_Toc3703"/>
            <w:bookmarkStart w:id="109" w:name="_Toc16086"/>
            <w:bookmarkStart w:id="110" w:name="_Toc17356"/>
            <w:bookmarkStart w:id="111" w:name="_Toc30727"/>
            <w:r>
              <w:rPr>
                <w:rFonts w:hint="default"/>
              </w:rPr>
              <w:t>202</w:t>
            </w:r>
            <w:r>
              <w:t>4</w:t>
            </w:r>
            <w:r>
              <w:rPr>
                <w:rFonts w:hint="default"/>
              </w:rPr>
              <w:t>年园林绿化服务费</w:t>
            </w:r>
            <w:bookmarkEnd w:id="104"/>
            <w:bookmarkEnd w:id="105"/>
            <w:bookmarkEnd w:id="106"/>
            <w:bookmarkEnd w:id="107"/>
          </w:p>
          <w:p w:rsidR="001B51D6" w:rsidRDefault="00CD1800">
            <w:pPr>
              <w:pStyle w:val="a7"/>
              <w:rPr>
                <w:rFonts w:hint="default"/>
              </w:rPr>
            </w:pPr>
            <w:bookmarkStart w:id="112" w:name="_Toc4659"/>
            <w:bookmarkStart w:id="113" w:name="_Toc894"/>
            <w:bookmarkStart w:id="114" w:name="_Toc16605"/>
            <w:bookmarkStart w:id="115" w:name="_Toc1428"/>
            <w:r>
              <w:rPr>
                <w:rFonts w:hint="default"/>
              </w:rPr>
              <w:t>绩效评价</w:t>
            </w:r>
            <w:r>
              <w:rPr>
                <w:rFonts w:hint="default"/>
                <w:lang w:val="zh-TW" w:eastAsia="zh-TW"/>
              </w:rPr>
              <w:t>得分表</w:t>
            </w:r>
            <w:bookmarkEnd w:id="108"/>
            <w:bookmarkEnd w:id="109"/>
            <w:bookmarkEnd w:id="112"/>
            <w:bookmarkEnd w:id="113"/>
            <w:bookmarkEnd w:id="114"/>
            <w:bookmarkEnd w:id="115"/>
          </w:p>
        </w:tc>
      </w:tr>
      <w:tr w:rsidR="001B51D6">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B51D6" w:rsidRDefault="00CD1800">
            <w:pPr>
              <w:pStyle w:val="a8"/>
              <w:rPr>
                <w:rFonts w:hint="default"/>
              </w:rPr>
            </w:pPr>
            <w:r>
              <w:rPr>
                <w:rFonts w:hint="default"/>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B51D6" w:rsidRDefault="00CD1800">
            <w:pPr>
              <w:pStyle w:val="a8"/>
              <w:rPr>
                <w:rFonts w:hint="default"/>
              </w:rPr>
            </w:pPr>
            <w:r>
              <w:rPr>
                <w:rFonts w:hint="default"/>
              </w:rPr>
              <w:t>1.</w:t>
            </w:r>
            <w:r>
              <w:rPr>
                <w:rFonts w:hint="default"/>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B51D6" w:rsidRDefault="00CD1800">
            <w:pPr>
              <w:pStyle w:val="a8"/>
              <w:rPr>
                <w:rFonts w:hint="default"/>
              </w:rPr>
            </w:pPr>
            <w:r>
              <w:rPr>
                <w:rFonts w:hint="default"/>
              </w:rPr>
              <w:t>2.</w:t>
            </w:r>
            <w:r>
              <w:rPr>
                <w:rFonts w:hint="default"/>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B51D6" w:rsidRDefault="00CD1800">
            <w:pPr>
              <w:pStyle w:val="a8"/>
              <w:rPr>
                <w:rFonts w:hint="default"/>
              </w:rPr>
            </w:pPr>
            <w:r>
              <w:rPr>
                <w:rFonts w:hint="default"/>
              </w:rPr>
              <w:t>3.</w:t>
            </w:r>
            <w:r>
              <w:rPr>
                <w:rFonts w:hint="default"/>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B51D6" w:rsidRDefault="00CD1800">
            <w:pPr>
              <w:pStyle w:val="a8"/>
              <w:rPr>
                <w:rFonts w:hint="default"/>
              </w:rPr>
            </w:pPr>
            <w:r>
              <w:rPr>
                <w:rFonts w:hint="default"/>
              </w:rPr>
              <w:t>4.</w:t>
            </w:r>
            <w:r>
              <w:rPr>
                <w:rFonts w:hint="default"/>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B51D6" w:rsidRDefault="00CD1800">
            <w:pPr>
              <w:pStyle w:val="a8"/>
              <w:rPr>
                <w:rFonts w:hint="default"/>
              </w:rPr>
            </w:pPr>
            <w:r>
              <w:rPr>
                <w:rFonts w:hint="default"/>
              </w:rPr>
              <w:t>合计</w:t>
            </w:r>
          </w:p>
        </w:tc>
      </w:tr>
      <w:tr w:rsidR="001B51D6">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B51D6" w:rsidRDefault="00CD1800">
            <w:pPr>
              <w:pStyle w:val="a8"/>
              <w:rPr>
                <w:rFonts w:hint="default"/>
              </w:rPr>
            </w:pPr>
            <w:r>
              <w:rPr>
                <w:rFonts w:hint="default"/>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B51D6" w:rsidRDefault="00CD1800">
            <w:pPr>
              <w:pStyle w:val="a8"/>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B51D6" w:rsidRDefault="00CD1800">
            <w:pPr>
              <w:pStyle w:val="a8"/>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B51D6" w:rsidRDefault="00CD1800">
            <w:pPr>
              <w:pStyle w:val="a8"/>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B51D6" w:rsidRDefault="00CD1800">
            <w:pPr>
              <w:pStyle w:val="a8"/>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B51D6" w:rsidRDefault="00CD1800">
            <w:pPr>
              <w:pStyle w:val="a8"/>
              <w:rPr>
                <w:rFonts w:hint="default"/>
              </w:rPr>
            </w:pPr>
            <w:r>
              <w:rPr>
                <w:rFonts w:hint="default"/>
              </w:rPr>
              <w:t>100</w:t>
            </w:r>
            <w:r>
              <w:t>%</w:t>
            </w:r>
          </w:p>
        </w:tc>
      </w:tr>
      <w:tr w:rsidR="001B51D6">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B51D6" w:rsidRDefault="00CD1800">
            <w:pPr>
              <w:pStyle w:val="a8"/>
              <w:rPr>
                <w:rFonts w:hint="default"/>
              </w:rPr>
            </w:pPr>
            <w:r>
              <w:rPr>
                <w:rFonts w:hint="default"/>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B51D6" w:rsidRDefault="00CD1800">
            <w:pPr>
              <w:pStyle w:val="a8"/>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B51D6" w:rsidRDefault="00CD1800">
            <w:pPr>
              <w:pStyle w:val="a8"/>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B51D6" w:rsidRDefault="00CD1800">
            <w:pPr>
              <w:pStyle w:val="a8"/>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B51D6" w:rsidRDefault="00CD1800">
            <w:pPr>
              <w:pStyle w:val="a8"/>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B51D6" w:rsidRDefault="00CD1800">
            <w:pPr>
              <w:pStyle w:val="a8"/>
              <w:rPr>
                <w:rFonts w:hint="default"/>
              </w:rPr>
            </w:pPr>
            <w:r>
              <w:rPr>
                <w:rFonts w:hint="default"/>
              </w:rPr>
              <w:t>100</w:t>
            </w:r>
          </w:p>
        </w:tc>
      </w:tr>
      <w:tr w:rsidR="001B51D6">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B51D6" w:rsidRDefault="00CD1800">
            <w:pPr>
              <w:pStyle w:val="a8"/>
              <w:rPr>
                <w:rFonts w:hint="default"/>
              </w:rPr>
            </w:pPr>
            <w:r>
              <w:rPr>
                <w:rFonts w:hint="default"/>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B51D6" w:rsidRDefault="00CD1800">
            <w:pPr>
              <w:pStyle w:val="a8"/>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B51D6" w:rsidRDefault="00CD1800">
            <w:pPr>
              <w:pStyle w:val="a8"/>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B51D6" w:rsidRDefault="00CD1800">
            <w:pPr>
              <w:pStyle w:val="a8"/>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B51D6" w:rsidRDefault="00CD1800">
            <w:pPr>
              <w:pStyle w:val="a8"/>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B51D6" w:rsidRDefault="00CD1800">
            <w:pPr>
              <w:pStyle w:val="a8"/>
              <w:rPr>
                <w:rFonts w:hint="default"/>
              </w:rPr>
            </w:pPr>
            <w:r>
              <w:rPr>
                <w:rFonts w:hint="default"/>
              </w:rPr>
              <w:t>100</w:t>
            </w:r>
          </w:p>
        </w:tc>
      </w:tr>
    </w:tbl>
    <w:p w:rsidR="001B51D6" w:rsidRDefault="00CD1800">
      <w:pPr>
        <w:pStyle w:val="2"/>
        <w:ind w:firstLine="640"/>
        <w:rPr>
          <w:rFonts w:ascii="黑体" w:hAnsi="黑体" w:cs="黑体"/>
        </w:rPr>
      </w:pPr>
      <w:bookmarkStart w:id="116" w:name="_Toc13630"/>
      <w:bookmarkStart w:id="117" w:name="_Toc25039"/>
      <w:bookmarkStart w:id="118" w:name="_Toc1101"/>
      <w:bookmarkStart w:id="119" w:name="_Toc19685"/>
      <w:bookmarkStart w:id="120" w:name="_Toc24879"/>
      <w:bookmarkStart w:id="121" w:name="_Toc4904"/>
      <w:bookmarkStart w:id="122" w:name="_Toc29439"/>
      <w:r>
        <w:rPr>
          <w:rFonts w:ascii="黑体" w:hAnsi="黑体" w:cs="黑体" w:hint="eastAsia"/>
        </w:rPr>
        <w:t>四、绩效评价指标分析</w:t>
      </w:r>
      <w:bookmarkEnd w:id="110"/>
      <w:bookmarkEnd w:id="111"/>
      <w:bookmarkEnd w:id="116"/>
      <w:bookmarkEnd w:id="117"/>
      <w:bookmarkEnd w:id="118"/>
      <w:bookmarkEnd w:id="119"/>
      <w:bookmarkEnd w:id="120"/>
      <w:bookmarkEnd w:id="121"/>
      <w:bookmarkEnd w:id="122"/>
    </w:p>
    <w:p w:rsidR="001B51D6" w:rsidRDefault="00CD1800">
      <w:pPr>
        <w:pStyle w:val="3"/>
        <w:ind w:firstLine="643"/>
        <w:rPr>
          <w:rFonts w:ascii="楷体" w:eastAsia="楷体" w:hAnsi="楷体" w:cs="楷体"/>
        </w:rPr>
      </w:pPr>
      <w:bookmarkStart w:id="123" w:name="_Toc28477"/>
      <w:bookmarkStart w:id="124" w:name="_Toc2901"/>
      <w:bookmarkStart w:id="125" w:name="_Toc22323"/>
      <w:bookmarkStart w:id="126" w:name="_Toc14583"/>
      <w:bookmarkStart w:id="127" w:name="_Toc1968"/>
      <w:r>
        <w:rPr>
          <w:rFonts w:ascii="楷体" w:eastAsia="楷体" w:hAnsi="楷体" w:cs="楷体" w:hint="eastAsia"/>
        </w:rPr>
        <w:t>（一）项目决策情况</w:t>
      </w:r>
      <w:bookmarkEnd w:id="123"/>
      <w:bookmarkEnd w:id="124"/>
      <w:bookmarkEnd w:id="125"/>
      <w:bookmarkEnd w:id="126"/>
      <w:bookmarkEnd w:id="127"/>
    </w:p>
    <w:p w:rsidR="001B51D6" w:rsidRDefault="00CD1800">
      <w:pPr>
        <w:ind w:firstLine="643"/>
        <w:rPr>
          <w:b/>
          <w:bCs/>
        </w:rPr>
      </w:pPr>
      <w:bookmarkStart w:id="128" w:name="_Toc510"/>
      <w:bookmarkStart w:id="129" w:name="_Toc22511"/>
      <w:r>
        <w:rPr>
          <w:b/>
          <w:bCs/>
        </w:rPr>
        <w:t>1.</w:t>
      </w:r>
      <w:r>
        <w:rPr>
          <w:rFonts w:hint="eastAsia"/>
          <w:b/>
          <w:bCs/>
        </w:rPr>
        <w:t>实施</w:t>
      </w:r>
      <w:r>
        <w:rPr>
          <w:b/>
          <w:bCs/>
        </w:rPr>
        <w:t>依据充分性</w:t>
      </w:r>
      <w:bookmarkEnd w:id="128"/>
      <w:bookmarkEnd w:id="129"/>
    </w:p>
    <w:p w:rsidR="001B51D6" w:rsidRDefault="00CD1800">
      <w:pPr>
        <w:ind w:firstLine="640"/>
      </w:pPr>
      <w:r>
        <w:rPr>
          <w:rFonts w:hint="eastAsia"/>
        </w:rPr>
        <w:t>根据《城市绿化条例》《全国绿化委员会国家林业和草原局关于积极推进大规模国土绿化行动的意见》等文件对城镇绿化建设与养护的要求制定本项目。</w:t>
      </w:r>
    </w:p>
    <w:p w:rsidR="001B51D6" w:rsidRDefault="00CD1800">
      <w:pPr>
        <w:ind w:firstLine="640"/>
      </w:pPr>
      <w:r>
        <w:rPr>
          <w:rFonts w:hint="eastAsia"/>
        </w:rPr>
        <w:t>因此，本项目</w:t>
      </w:r>
      <w:r>
        <w:t>实施</w:t>
      </w:r>
      <w:r>
        <w:t>符合国家法律法规、国民经济发展规划和相关政策；符合行业发展规划和政策要求；与部门职责范围相符，属于</w:t>
      </w:r>
      <w:bookmarkStart w:id="130" w:name="_GoBack"/>
      <w:bookmarkEnd w:id="130"/>
      <w:r>
        <w:t>部门履职所需；属于公共财政支持范围，符合中央、地方事权支出责任划分原则；</w:t>
      </w:r>
      <w:r>
        <w:t>不存在</w:t>
      </w:r>
      <w:r>
        <w:t>与相关部门同类项目或部门内部相关项目重复</w:t>
      </w:r>
      <w:r>
        <w:t>的现象</w:t>
      </w:r>
      <w:r>
        <w:t>。</w:t>
      </w:r>
      <w:r>
        <w:t>项目</w:t>
      </w:r>
      <w:r>
        <w:rPr>
          <w:rFonts w:hint="eastAsia"/>
        </w:rPr>
        <w:t>实施</w:t>
      </w:r>
      <w:r>
        <w:t>依据充分。</w:t>
      </w:r>
    </w:p>
    <w:p w:rsidR="001B51D6" w:rsidRDefault="00CD1800">
      <w:pPr>
        <w:ind w:firstLine="640"/>
      </w:pPr>
      <w:r>
        <w:t>本项满分</w:t>
      </w:r>
      <w:r>
        <w:t>3</w:t>
      </w:r>
      <w:r>
        <w:t>分，评估得分</w:t>
      </w:r>
      <w:r>
        <w:t>3</w:t>
      </w:r>
      <w:r>
        <w:t>分。</w:t>
      </w:r>
    </w:p>
    <w:p w:rsidR="001B51D6" w:rsidRDefault="00CD1800">
      <w:pPr>
        <w:ind w:firstLine="643"/>
        <w:rPr>
          <w:b/>
          <w:bCs/>
        </w:rPr>
      </w:pPr>
      <w:bookmarkStart w:id="131" w:name="_Toc27895"/>
      <w:bookmarkStart w:id="132" w:name="_Toc283"/>
      <w:r>
        <w:rPr>
          <w:rFonts w:hint="eastAsia"/>
          <w:b/>
          <w:bCs/>
        </w:rPr>
        <w:t>2.</w:t>
      </w:r>
      <w:r>
        <w:rPr>
          <w:rFonts w:hint="eastAsia"/>
          <w:b/>
          <w:bCs/>
        </w:rPr>
        <w:t>实施</w:t>
      </w:r>
      <w:r>
        <w:rPr>
          <w:b/>
          <w:bCs/>
        </w:rPr>
        <w:t>程序规范性</w:t>
      </w:r>
      <w:bookmarkEnd w:id="131"/>
      <w:bookmarkEnd w:id="132"/>
    </w:p>
    <w:p w:rsidR="001B51D6" w:rsidRDefault="00CD1800">
      <w:pPr>
        <w:ind w:firstLine="640"/>
      </w:pPr>
      <w:r>
        <w:t>本项目主管单位为尉犁县住房和城乡建设局，实施单位为尉犁县住房和城乡建设局。项目经过尉犁县人民政府、尉</w:t>
      </w:r>
      <w:r>
        <w:lastRenderedPageBreak/>
        <w:t>犁县住房和城乡建设局等审批，实施审批手续齐全</w:t>
      </w:r>
      <w:r>
        <w:t>;</w:t>
      </w:r>
      <w:r>
        <w:t>项目实施所需材料齐全，包括请示、中标文件、合同等资料并且符合相关要求，实施手续完整</w:t>
      </w:r>
      <w:r>
        <w:t>;</w:t>
      </w:r>
      <w:r>
        <w:t>项目经过科室领导、分管领导等签字流程，实施程序基本规范。</w:t>
      </w:r>
    </w:p>
    <w:p w:rsidR="001B51D6" w:rsidRDefault="00CD1800">
      <w:pPr>
        <w:ind w:firstLine="640"/>
      </w:pPr>
      <w:r>
        <w:t>本项满分</w:t>
      </w:r>
      <w:r>
        <w:t>3</w:t>
      </w:r>
      <w:r>
        <w:t>分，评估得分</w:t>
      </w:r>
      <w:r>
        <w:t>3</w:t>
      </w:r>
      <w:r>
        <w:t>分。</w:t>
      </w:r>
    </w:p>
    <w:p w:rsidR="001B51D6" w:rsidRDefault="00CD1800">
      <w:pPr>
        <w:pStyle w:val="a7"/>
        <w:keepNext w:val="0"/>
        <w:keepLines w:val="0"/>
        <w:ind w:firstLineChars="200" w:firstLine="643"/>
        <w:jc w:val="both"/>
        <w:outlineLvl w:val="9"/>
        <w:rPr>
          <w:rFonts w:hint="default"/>
          <w:bCs/>
        </w:rPr>
      </w:pPr>
      <w:bookmarkStart w:id="133" w:name="_Toc13368"/>
      <w:bookmarkStart w:id="134" w:name="_Toc20471"/>
      <w:r>
        <w:rPr>
          <w:rFonts w:hint="default"/>
          <w:bCs/>
        </w:rPr>
        <w:t>3.</w:t>
      </w:r>
      <w:r>
        <w:rPr>
          <w:rFonts w:hint="default"/>
          <w:bCs/>
        </w:rPr>
        <w:t>绩效目标合理性</w:t>
      </w:r>
      <w:bookmarkEnd w:id="133"/>
      <w:bookmarkEnd w:id="134"/>
    </w:p>
    <w:p w:rsidR="001B51D6" w:rsidRDefault="00CD1800">
      <w:pPr>
        <w:pStyle w:val="a7"/>
        <w:keepNext w:val="0"/>
        <w:keepLines w:val="0"/>
        <w:ind w:firstLineChars="200" w:firstLine="640"/>
        <w:jc w:val="left"/>
        <w:outlineLvl w:val="9"/>
        <w:rPr>
          <w:rFonts w:hint="default"/>
        </w:rPr>
      </w:pPr>
      <w:r>
        <w:rPr>
          <w:rFonts w:hint="default"/>
          <w:b w:val="0"/>
          <w:kern w:val="2"/>
        </w:rPr>
        <w:t>202</w:t>
      </w:r>
      <w:r>
        <w:rPr>
          <w:b w:val="0"/>
          <w:kern w:val="2"/>
        </w:rPr>
        <w:t>4</w:t>
      </w:r>
      <w:r>
        <w:rPr>
          <w:rFonts w:hint="default"/>
          <w:b w:val="0"/>
          <w:kern w:val="2"/>
        </w:rPr>
        <w:t>年园林绿化服务费设立了项目绩效目标，绩效目标指标设置合理，项目绩效目标与实际工作内容相关性较强；项目预期产出效益和效果符合正常的业绩水平；绩效目标与预算确定的项目投资额相匹配。</w:t>
      </w:r>
    </w:p>
    <w:p w:rsidR="001B51D6" w:rsidRDefault="00CD1800">
      <w:pPr>
        <w:ind w:firstLine="640"/>
      </w:pPr>
      <w:r>
        <w:t>本项满分</w:t>
      </w:r>
      <w:r>
        <w:t>4</w:t>
      </w:r>
      <w:r>
        <w:t>分，评估得分</w:t>
      </w:r>
      <w:r>
        <w:t>4</w:t>
      </w:r>
      <w:r>
        <w:t>分。</w:t>
      </w:r>
    </w:p>
    <w:p w:rsidR="001B51D6" w:rsidRDefault="00CD1800">
      <w:pPr>
        <w:ind w:firstLine="643"/>
        <w:rPr>
          <w:b/>
          <w:bCs/>
        </w:rPr>
      </w:pPr>
      <w:bookmarkStart w:id="135" w:name="_Toc15543"/>
      <w:bookmarkStart w:id="136" w:name="_Toc21087"/>
      <w:r>
        <w:rPr>
          <w:b/>
          <w:bCs/>
        </w:rPr>
        <w:t>4.</w:t>
      </w:r>
      <w:r>
        <w:rPr>
          <w:b/>
          <w:bCs/>
        </w:rPr>
        <w:t>绩效指标明确性</w:t>
      </w:r>
      <w:bookmarkEnd w:id="135"/>
      <w:bookmarkEnd w:id="136"/>
    </w:p>
    <w:p w:rsidR="001B51D6" w:rsidRDefault="00CD1800">
      <w:pPr>
        <w:pStyle w:val="a7"/>
        <w:keepNext w:val="0"/>
        <w:keepLines w:val="0"/>
        <w:ind w:firstLineChars="200" w:firstLine="640"/>
        <w:jc w:val="both"/>
        <w:outlineLvl w:val="9"/>
        <w:rPr>
          <w:rFonts w:hint="default"/>
          <w:b w:val="0"/>
          <w:bCs/>
        </w:rPr>
      </w:pPr>
      <w:r>
        <w:rPr>
          <w:rFonts w:hint="default"/>
          <w:b w:val="0"/>
          <w:kern w:val="2"/>
        </w:rPr>
        <w:t>202</w:t>
      </w:r>
      <w:r>
        <w:rPr>
          <w:b w:val="0"/>
          <w:kern w:val="2"/>
        </w:rPr>
        <w:t>4</w:t>
      </w:r>
      <w:r>
        <w:rPr>
          <w:rFonts w:hint="default"/>
          <w:b w:val="0"/>
          <w:kern w:val="2"/>
        </w:rPr>
        <w:t xml:space="preserve"> </w:t>
      </w:r>
      <w:r>
        <w:rPr>
          <w:rFonts w:hint="default"/>
          <w:b w:val="0"/>
          <w:kern w:val="2"/>
        </w:rPr>
        <w:t>年园林绿化服务费</w:t>
      </w:r>
      <w:r>
        <w:rPr>
          <w:rFonts w:hint="default"/>
        </w:rPr>
        <w:t>，</w:t>
      </w:r>
      <w:r>
        <w:rPr>
          <w:rFonts w:hint="default"/>
          <w:b w:val="0"/>
          <w:bCs/>
        </w:rPr>
        <w:t>设置一级指标</w:t>
      </w:r>
      <w:r>
        <w:rPr>
          <w:b w:val="0"/>
          <w:bCs/>
        </w:rPr>
        <w:t>4</w:t>
      </w:r>
      <w:r>
        <w:rPr>
          <w:rFonts w:hint="default"/>
          <w:b w:val="0"/>
          <w:bCs/>
        </w:rPr>
        <w:t>条，二级指标</w:t>
      </w:r>
      <w:r>
        <w:rPr>
          <w:b w:val="0"/>
          <w:bCs/>
        </w:rPr>
        <w:t>8</w:t>
      </w:r>
      <w:r>
        <w:rPr>
          <w:rFonts w:hint="default"/>
          <w:b w:val="0"/>
          <w:bCs/>
        </w:rPr>
        <w:t>条，三级指标</w:t>
      </w:r>
      <w:r>
        <w:rPr>
          <w:b w:val="0"/>
          <w:bCs/>
        </w:rPr>
        <w:t>8</w:t>
      </w:r>
      <w:r>
        <w:rPr>
          <w:rFonts w:hint="default"/>
          <w:b w:val="0"/>
          <w:bCs/>
        </w:rPr>
        <w:t>条，其中量化指标</w:t>
      </w:r>
      <w:r>
        <w:rPr>
          <w:b w:val="0"/>
          <w:bCs/>
        </w:rPr>
        <w:t>7</w:t>
      </w:r>
      <w:r>
        <w:rPr>
          <w:rFonts w:hint="default"/>
          <w:b w:val="0"/>
          <w:bCs/>
        </w:rPr>
        <w:t>条，绩效目标指标设定清晰、可衡量性较强，与项目目标任务计划数对应性较强。</w:t>
      </w:r>
    </w:p>
    <w:p w:rsidR="001B51D6" w:rsidRDefault="00CD1800">
      <w:pPr>
        <w:ind w:firstLine="640"/>
      </w:pPr>
      <w:r>
        <w:t>本项满分</w:t>
      </w:r>
      <w:r>
        <w:t>4</w:t>
      </w:r>
      <w:r>
        <w:t>分，评估得分</w:t>
      </w:r>
      <w:r>
        <w:t>4</w:t>
      </w:r>
      <w:r>
        <w:t>分。</w:t>
      </w:r>
    </w:p>
    <w:p w:rsidR="001B51D6" w:rsidRDefault="00CD1800">
      <w:pPr>
        <w:ind w:firstLine="643"/>
        <w:rPr>
          <w:b/>
          <w:bCs/>
        </w:rPr>
      </w:pPr>
      <w:bookmarkStart w:id="137" w:name="_Toc21476"/>
      <w:bookmarkStart w:id="138" w:name="_Toc25638"/>
      <w:r>
        <w:rPr>
          <w:b/>
          <w:bCs/>
        </w:rPr>
        <w:t>5.</w:t>
      </w:r>
      <w:r>
        <w:rPr>
          <w:b/>
          <w:bCs/>
        </w:rPr>
        <w:t>预算编制科学性</w:t>
      </w:r>
      <w:bookmarkEnd w:id="137"/>
      <w:bookmarkEnd w:id="138"/>
    </w:p>
    <w:p w:rsidR="001B51D6" w:rsidRDefault="00CD1800">
      <w:pPr>
        <w:ind w:firstLine="640"/>
      </w:pPr>
      <w:r>
        <w:t>本项目预算资金</w:t>
      </w:r>
      <w:r>
        <w:rPr>
          <w:rFonts w:hint="eastAsia"/>
        </w:rPr>
        <w:t>1087.08</w:t>
      </w:r>
      <w:r>
        <w:t>万元，来源为</w:t>
      </w:r>
      <w:r>
        <w:rPr>
          <w:rFonts w:hint="eastAsia"/>
        </w:rPr>
        <w:t>本级财政</w:t>
      </w:r>
      <w:r>
        <w:t>资金</w:t>
      </w:r>
      <w:r>
        <w:rPr>
          <w:rFonts w:hint="eastAsia"/>
        </w:rPr>
        <w:t>1087.08</w:t>
      </w:r>
      <w:r>
        <w:t>万元，</w:t>
      </w:r>
      <w:r>
        <w:t>预算编制较为科学，预算内容与项目建设内容相匹配，预算额</w:t>
      </w:r>
      <w:r>
        <w:t>度测算依据充分，预算确定的资金量与工程量相匹配。</w:t>
      </w:r>
    </w:p>
    <w:p w:rsidR="001B51D6" w:rsidRDefault="00CD1800">
      <w:pPr>
        <w:ind w:firstLine="640"/>
        <w:rPr>
          <w:color w:val="FF0000"/>
        </w:rPr>
      </w:pPr>
      <w:r>
        <w:t>本项满分</w:t>
      </w:r>
      <w:r>
        <w:t>4</w:t>
      </w:r>
      <w:r>
        <w:t>分，评估得分</w:t>
      </w:r>
      <w:r>
        <w:t>4</w:t>
      </w:r>
      <w:r>
        <w:t>分。</w:t>
      </w:r>
    </w:p>
    <w:p w:rsidR="001B51D6" w:rsidRDefault="00CD1800">
      <w:pPr>
        <w:ind w:firstLine="643"/>
        <w:rPr>
          <w:b/>
          <w:bCs/>
        </w:rPr>
      </w:pPr>
      <w:bookmarkStart w:id="139" w:name="_Toc30661"/>
      <w:bookmarkStart w:id="140" w:name="_Toc21577"/>
      <w:r>
        <w:rPr>
          <w:b/>
          <w:bCs/>
        </w:rPr>
        <w:t>6.</w:t>
      </w:r>
      <w:r>
        <w:rPr>
          <w:b/>
          <w:bCs/>
        </w:rPr>
        <w:t>资金分配合理性</w:t>
      </w:r>
      <w:bookmarkEnd w:id="139"/>
      <w:bookmarkEnd w:id="140"/>
    </w:p>
    <w:p w:rsidR="001B51D6" w:rsidRDefault="00CD1800">
      <w:pPr>
        <w:ind w:firstLine="640"/>
      </w:pPr>
      <w:r>
        <w:lastRenderedPageBreak/>
        <w:t>本项目预算资金分配依据充分；资金分配额度合理，与项目单位实际相适应。</w:t>
      </w:r>
    </w:p>
    <w:p w:rsidR="001B51D6" w:rsidRDefault="00CD1800">
      <w:pPr>
        <w:ind w:firstLine="640"/>
      </w:pPr>
      <w:r>
        <w:t>本项满分</w:t>
      </w:r>
      <w:r>
        <w:t>4</w:t>
      </w:r>
      <w:r>
        <w:t>分，评估得分</w:t>
      </w:r>
      <w:r>
        <w:t>4</w:t>
      </w:r>
      <w:r>
        <w:t>分。</w:t>
      </w:r>
    </w:p>
    <w:p w:rsidR="001B51D6" w:rsidRDefault="00CD1800">
      <w:pPr>
        <w:pStyle w:val="3"/>
        <w:ind w:firstLine="643"/>
        <w:rPr>
          <w:rFonts w:ascii="楷体" w:eastAsia="楷体" w:hAnsi="楷体" w:cs="楷体"/>
        </w:rPr>
      </w:pPr>
      <w:bookmarkStart w:id="141" w:name="_Toc13442"/>
      <w:bookmarkStart w:id="142" w:name="_Toc27855"/>
      <w:bookmarkStart w:id="143" w:name="_Toc9897"/>
      <w:bookmarkStart w:id="144" w:name="_Toc32118"/>
      <w:bookmarkStart w:id="145" w:name="_Toc30992"/>
      <w:r>
        <w:rPr>
          <w:rFonts w:ascii="楷体" w:eastAsia="楷体" w:hAnsi="楷体" w:cs="楷体" w:hint="eastAsia"/>
        </w:rPr>
        <w:t>（二）项目过程情况</w:t>
      </w:r>
      <w:bookmarkEnd w:id="141"/>
      <w:bookmarkEnd w:id="142"/>
      <w:bookmarkEnd w:id="143"/>
      <w:bookmarkEnd w:id="144"/>
      <w:bookmarkEnd w:id="145"/>
    </w:p>
    <w:p w:rsidR="001B51D6" w:rsidRDefault="00CD1800">
      <w:pPr>
        <w:ind w:firstLine="643"/>
        <w:rPr>
          <w:b/>
          <w:bCs/>
        </w:rPr>
      </w:pPr>
      <w:bookmarkStart w:id="146" w:name="_Toc29417"/>
      <w:bookmarkStart w:id="147" w:name="_Toc19854"/>
      <w:r>
        <w:rPr>
          <w:b/>
          <w:bCs/>
        </w:rPr>
        <w:t>1.</w:t>
      </w:r>
      <w:r>
        <w:rPr>
          <w:b/>
          <w:bCs/>
        </w:rPr>
        <w:t>资金到位率</w:t>
      </w:r>
      <w:bookmarkEnd w:id="146"/>
      <w:bookmarkEnd w:id="147"/>
    </w:p>
    <w:p w:rsidR="001B51D6" w:rsidRDefault="00CD1800">
      <w:pPr>
        <w:ind w:firstLine="640"/>
      </w:pPr>
      <w:r>
        <w:t>本项目预算资金</w:t>
      </w:r>
      <w:r>
        <w:rPr>
          <w:rFonts w:hint="eastAsia"/>
        </w:rPr>
        <w:t>1087.08</w:t>
      </w:r>
      <w:r>
        <w:t>万元，实际到位资金</w:t>
      </w:r>
      <w:r>
        <w:rPr>
          <w:rFonts w:hint="eastAsia"/>
        </w:rPr>
        <w:t>1087.08</w:t>
      </w:r>
      <w:r>
        <w:t>万元，资金到位率</w:t>
      </w:r>
      <w:r>
        <w:t>100%</w:t>
      </w:r>
      <w:r>
        <w:t>。</w:t>
      </w:r>
    </w:p>
    <w:p w:rsidR="001B51D6" w:rsidRDefault="00CD1800">
      <w:pPr>
        <w:ind w:firstLine="640"/>
      </w:pPr>
      <w:r>
        <w:t>本项满分</w:t>
      </w:r>
      <w:r>
        <w:t>4</w:t>
      </w:r>
      <w:r>
        <w:t>分，评估得分</w:t>
      </w:r>
      <w:r>
        <w:t>4</w:t>
      </w:r>
      <w:r>
        <w:t>分。</w:t>
      </w:r>
    </w:p>
    <w:p w:rsidR="001B51D6" w:rsidRDefault="00CD1800">
      <w:pPr>
        <w:ind w:firstLine="643"/>
        <w:rPr>
          <w:b/>
          <w:bCs/>
        </w:rPr>
      </w:pPr>
      <w:bookmarkStart w:id="148" w:name="_Toc29889"/>
      <w:bookmarkStart w:id="149" w:name="_Toc13724"/>
      <w:r>
        <w:rPr>
          <w:b/>
          <w:bCs/>
        </w:rPr>
        <w:t>2.</w:t>
      </w:r>
      <w:r>
        <w:rPr>
          <w:b/>
          <w:bCs/>
        </w:rPr>
        <w:t>预算执行率</w:t>
      </w:r>
      <w:bookmarkEnd w:id="148"/>
      <w:bookmarkEnd w:id="149"/>
    </w:p>
    <w:p w:rsidR="001B51D6" w:rsidRDefault="00CD1800">
      <w:pPr>
        <w:ind w:firstLine="640"/>
      </w:pPr>
      <w:r>
        <w:t>本项目到位资金</w:t>
      </w:r>
      <w:r>
        <w:rPr>
          <w:rFonts w:hint="eastAsia"/>
        </w:rPr>
        <w:t>1087.08</w:t>
      </w:r>
      <w:r>
        <w:t>万元，实际支付资金</w:t>
      </w:r>
      <w:r>
        <w:rPr>
          <w:rFonts w:hint="eastAsia"/>
        </w:rPr>
        <w:t>1087.08</w:t>
      </w:r>
      <w:r>
        <w:t>万元，预算执行率为</w:t>
      </w:r>
      <w:r>
        <w:t>100</w:t>
      </w:r>
      <w:r>
        <w:t>%</w:t>
      </w:r>
      <w:r>
        <w:t>。</w:t>
      </w:r>
    </w:p>
    <w:p w:rsidR="001B51D6" w:rsidRDefault="00CD1800">
      <w:pPr>
        <w:ind w:firstLine="640"/>
      </w:pPr>
      <w:r>
        <w:t>本项满分</w:t>
      </w:r>
      <w:r>
        <w:t>4</w:t>
      </w:r>
      <w:r>
        <w:t>分，评估得分</w:t>
      </w:r>
      <w:r>
        <w:t>4</w:t>
      </w:r>
      <w:r>
        <w:t>分。</w:t>
      </w:r>
    </w:p>
    <w:p w:rsidR="001B51D6" w:rsidRDefault="00CD1800">
      <w:pPr>
        <w:ind w:firstLine="643"/>
        <w:rPr>
          <w:b/>
          <w:bCs/>
        </w:rPr>
      </w:pPr>
      <w:bookmarkStart w:id="150" w:name="_Toc8316"/>
      <w:bookmarkStart w:id="151" w:name="_Toc2484"/>
      <w:r>
        <w:rPr>
          <w:b/>
          <w:bCs/>
        </w:rPr>
        <w:t>3.</w:t>
      </w:r>
      <w:r>
        <w:rPr>
          <w:b/>
          <w:bCs/>
        </w:rPr>
        <w:t>资金使用合</w:t>
      </w:r>
      <w:proofErr w:type="gramStart"/>
      <w:r>
        <w:rPr>
          <w:b/>
          <w:bCs/>
        </w:rPr>
        <w:t>规</w:t>
      </w:r>
      <w:proofErr w:type="gramEnd"/>
      <w:r>
        <w:rPr>
          <w:b/>
          <w:bCs/>
        </w:rPr>
        <w:t>性</w:t>
      </w:r>
      <w:bookmarkEnd w:id="150"/>
      <w:bookmarkEnd w:id="151"/>
    </w:p>
    <w:p w:rsidR="001B51D6" w:rsidRDefault="00CD1800">
      <w:pPr>
        <w:ind w:firstLine="640"/>
      </w:pPr>
      <w:r>
        <w:t>本项目资金的</w:t>
      </w:r>
      <w:r>
        <w:t>使用符合</w:t>
      </w:r>
      <w:r>
        <w:t>《中华人民共和国预算法》《中华人民共和国会计法》《中华人民共和国招标投标法》等</w:t>
      </w:r>
      <w:r>
        <w:t>国家</w:t>
      </w:r>
      <w:r>
        <w:t>有关</w:t>
      </w:r>
      <w:r>
        <w:t>财经法规</w:t>
      </w:r>
      <w:r>
        <w:t>以及预算管理制度。</w:t>
      </w:r>
      <w:r>
        <w:t>资金的</w:t>
      </w:r>
      <w:r>
        <w:t>审批和</w:t>
      </w:r>
      <w:r>
        <w:t>拨付</w:t>
      </w:r>
      <w:r>
        <w:t>按照《</w:t>
      </w:r>
      <w:r>
        <w:rPr>
          <w:rFonts w:hint="eastAsia"/>
        </w:rPr>
        <w:t>尉犁</w:t>
      </w:r>
      <w:r>
        <w:t>县财</w:t>
      </w:r>
      <w:r>
        <w:t>政资金审批管理办法》执行</w:t>
      </w:r>
      <w:r>
        <w:t>。资金的拨付有完整的审批程序和手续；资金使用符合专项资金支持的范围。不存在截留、挤占、挪用、虚列支出等情况。</w:t>
      </w:r>
    </w:p>
    <w:p w:rsidR="001B51D6" w:rsidRDefault="00CD1800">
      <w:pPr>
        <w:ind w:firstLine="640"/>
      </w:pPr>
      <w:r>
        <w:t>本项满分</w:t>
      </w:r>
      <w:r>
        <w:t>4</w:t>
      </w:r>
      <w:r>
        <w:t>分，评估得分</w:t>
      </w:r>
      <w:r>
        <w:t>4</w:t>
      </w:r>
      <w:r>
        <w:t>分。</w:t>
      </w:r>
    </w:p>
    <w:p w:rsidR="001B51D6" w:rsidRDefault="00CD1800">
      <w:pPr>
        <w:ind w:firstLine="643"/>
        <w:rPr>
          <w:b/>
          <w:bCs/>
        </w:rPr>
      </w:pPr>
      <w:bookmarkStart w:id="152" w:name="_Toc15332"/>
      <w:bookmarkStart w:id="153" w:name="_Toc20651"/>
      <w:r>
        <w:rPr>
          <w:b/>
          <w:bCs/>
        </w:rPr>
        <w:t>4.</w:t>
      </w:r>
      <w:r>
        <w:rPr>
          <w:b/>
          <w:bCs/>
        </w:rPr>
        <w:t>管理制度健全性</w:t>
      </w:r>
      <w:bookmarkEnd w:id="152"/>
      <w:bookmarkEnd w:id="153"/>
    </w:p>
    <w:p w:rsidR="001B51D6" w:rsidRDefault="00CD1800">
      <w:pPr>
        <w:ind w:firstLine="640"/>
      </w:pPr>
      <w:r>
        <w:rPr>
          <w:rFonts w:hint="eastAsia"/>
        </w:rPr>
        <w:t>尉犁</w:t>
      </w:r>
      <w:r>
        <w:t>县</w:t>
      </w:r>
      <w:r>
        <w:rPr>
          <w:rFonts w:hint="eastAsia"/>
        </w:rPr>
        <w:t>住房和城乡建设局</w:t>
      </w:r>
      <w:r>
        <w:t>制定了</w:t>
      </w:r>
      <w:r>
        <w:t>《</w:t>
      </w:r>
      <w:r>
        <w:rPr>
          <w:rFonts w:hint="eastAsia"/>
        </w:rPr>
        <w:t>尉犁</w:t>
      </w:r>
      <w:r>
        <w:t>县</w:t>
      </w:r>
      <w:r>
        <w:rPr>
          <w:rFonts w:hint="eastAsia"/>
        </w:rPr>
        <w:t>住房和城乡建设局</w:t>
      </w:r>
      <w:r>
        <w:t>财务管理制度》和《</w:t>
      </w:r>
      <w:r>
        <w:rPr>
          <w:rFonts w:hint="eastAsia"/>
        </w:rPr>
        <w:t>尉犁</w:t>
      </w:r>
      <w:r>
        <w:t>县</w:t>
      </w:r>
      <w:r>
        <w:rPr>
          <w:rFonts w:hint="eastAsia"/>
        </w:rPr>
        <w:t>住房和城乡建设局</w:t>
      </w:r>
      <w:r>
        <w:t>内控</w:t>
      </w:r>
      <w:r>
        <w:rPr>
          <w:rFonts w:hint="eastAsia"/>
        </w:rPr>
        <w:t>管理</w:t>
      </w:r>
      <w:r>
        <w:lastRenderedPageBreak/>
        <w:t>制度》，</w:t>
      </w:r>
      <w:r>
        <w:t>制定了较为全面的项目管理制度，对项目实施、组织与管理、跟踪与验收、监督与评价以及资金管理等方面都做出明确的规范要求。同时，项目的实施严格遵守《中华人民共和国预算法》《中华人民共和国会计法》《中华人民共和国招标投标法》《政府投资条例》等法律法规、财经制度的要求，</w:t>
      </w:r>
      <w:r>
        <w:t>资金管理等方面都做出明确的规范的要求</w:t>
      </w:r>
      <w:r>
        <w:t>，</w:t>
      </w:r>
      <w:r>
        <w:t>财务制度和</w:t>
      </w:r>
      <w:r>
        <w:t>业务管理制度</w:t>
      </w:r>
      <w:r>
        <w:t>健全</w:t>
      </w:r>
      <w:r>
        <w:t>。</w:t>
      </w:r>
    </w:p>
    <w:p w:rsidR="001B51D6" w:rsidRDefault="00CD1800">
      <w:pPr>
        <w:ind w:firstLine="640"/>
      </w:pPr>
      <w:r>
        <w:t>本项满分</w:t>
      </w:r>
      <w:r>
        <w:t>3</w:t>
      </w:r>
      <w:r>
        <w:t>分，评估得分</w:t>
      </w:r>
      <w:r>
        <w:t>3</w:t>
      </w:r>
      <w:r>
        <w:t>分。</w:t>
      </w:r>
    </w:p>
    <w:p w:rsidR="001B51D6" w:rsidRDefault="00CD1800">
      <w:pPr>
        <w:ind w:firstLine="643"/>
        <w:rPr>
          <w:b/>
          <w:bCs/>
        </w:rPr>
      </w:pPr>
      <w:bookmarkStart w:id="154" w:name="_Toc14853"/>
      <w:bookmarkStart w:id="155" w:name="_Toc14023"/>
      <w:r>
        <w:rPr>
          <w:b/>
          <w:bCs/>
        </w:rPr>
        <w:t>5.</w:t>
      </w:r>
      <w:r>
        <w:rPr>
          <w:b/>
          <w:bCs/>
        </w:rPr>
        <w:t>制度执行有效性</w:t>
      </w:r>
      <w:bookmarkEnd w:id="154"/>
      <w:bookmarkEnd w:id="155"/>
    </w:p>
    <w:p w:rsidR="001B51D6" w:rsidRDefault="00CD1800">
      <w:pPr>
        <w:ind w:firstLine="640"/>
      </w:pPr>
      <w:r>
        <w:t>本项目在实施过程中严格遵守相关法律法规和相关管理规定，如《中华人民共和国预算法》《中华人民共和国会计法》《中华人民共和国政府采购法》等，严格执行审批、采购等工作程序，按照《尉犁县新增绿地分级养护规范》《尉犁县园林绿化新增绿地养护管理检查评分标准》要求执行。有关资料齐全，并及时整理归档。</w:t>
      </w:r>
    </w:p>
    <w:p w:rsidR="001B51D6" w:rsidRDefault="00CD1800">
      <w:pPr>
        <w:ind w:firstLine="640"/>
      </w:pPr>
      <w:r>
        <w:t>本项满分</w:t>
      </w:r>
      <w:r>
        <w:t>3</w:t>
      </w:r>
      <w:r>
        <w:t>分，评估得分</w:t>
      </w:r>
      <w:r>
        <w:t>3</w:t>
      </w:r>
      <w:r>
        <w:t>分。</w:t>
      </w:r>
    </w:p>
    <w:p w:rsidR="001B51D6" w:rsidRDefault="00CD1800">
      <w:pPr>
        <w:pStyle w:val="3"/>
        <w:ind w:firstLine="643"/>
        <w:rPr>
          <w:rFonts w:ascii="楷体" w:eastAsia="楷体" w:hAnsi="楷体" w:cs="楷体"/>
        </w:rPr>
      </w:pPr>
      <w:bookmarkStart w:id="156" w:name="_Toc5161"/>
      <w:bookmarkStart w:id="157" w:name="_Toc10818"/>
      <w:bookmarkStart w:id="158" w:name="_Toc6865"/>
      <w:bookmarkStart w:id="159" w:name="_Toc22156"/>
      <w:bookmarkStart w:id="160" w:name="_Toc31545"/>
      <w:r>
        <w:rPr>
          <w:rFonts w:ascii="楷体" w:eastAsia="楷体" w:hAnsi="楷体" w:cs="楷体" w:hint="eastAsia"/>
        </w:rPr>
        <w:t>（三）项目产出情况</w:t>
      </w:r>
      <w:bookmarkEnd w:id="156"/>
      <w:bookmarkEnd w:id="157"/>
      <w:bookmarkEnd w:id="158"/>
      <w:bookmarkEnd w:id="159"/>
      <w:bookmarkEnd w:id="160"/>
    </w:p>
    <w:p w:rsidR="001B51D6" w:rsidRDefault="00CD1800">
      <w:pPr>
        <w:ind w:firstLine="643"/>
        <w:rPr>
          <w:b/>
          <w:bCs/>
        </w:rPr>
      </w:pPr>
      <w:bookmarkStart w:id="161" w:name="_Toc31041"/>
      <w:bookmarkStart w:id="162" w:name="_Toc4184"/>
      <w:r>
        <w:rPr>
          <w:b/>
          <w:bCs/>
        </w:rPr>
        <w:t>1.</w:t>
      </w:r>
      <w:r>
        <w:rPr>
          <w:b/>
          <w:bCs/>
        </w:rPr>
        <w:t>产出数量</w:t>
      </w:r>
      <w:bookmarkEnd w:id="161"/>
      <w:bookmarkEnd w:id="162"/>
    </w:p>
    <w:p w:rsidR="001B51D6" w:rsidRDefault="00CD1800">
      <w:pPr>
        <w:ind w:firstLine="640"/>
      </w:pPr>
      <w:r>
        <w:rPr>
          <w:rFonts w:hint="eastAsia"/>
          <w:bCs/>
          <w:szCs w:val="32"/>
        </w:rPr>
        <w:t>指标</w:t>
      </w:r>
      <w:r>
        <w:rPr>
          <w:rFonts w:hint="eastAsia"/>
          <w:bCs/>
          <w:szCs w:val="32"/>
        </w:rPr>
        <w:t>1</w:t>
      </w:r>
      <w:r>
        <w:rPr>
          <w:rFonts w:hint="eastAsia"/>
          <w:bCs/>
          <w:szCs w:val="32"/>
        </w:rPr>
        <w:t>：</w:t>
      </w:r>
      <w:r>
        <w:rPr>
          <w:rFonts w:hint="eastAsia"/>
        </w:rPr>
        <w:t>养护绿地面积</w:t>
      </w:r>
      <w:r>
        <w:rPr>
          <w:rFonts w:hint="eastAsia"/>
        </w:rPr>
        <w:t>，</w:t>
      </w:r>
      <w:r>
        <w:t>预期指标值</w:t>
      </w:r>
      <w:r>
        <w:rPr>
          <w:rFonts w:hint="eastAsia"/>
        </w:rPr>
        <w:t>小于等于</w:t>
      </w:r>
      <w:r>
        <w:rPr>
          <w:rFonts w:hint="eastAsia"/>
        </w:rPr>
        <w:t>4678.9</w:t>
      </w:r>
      <w:r>
        <w:rPr>
          <w:rFonts w:hint="eastAsia"/>
        </w:rPr>
        <w:t>亩</w:t>
      </w:r>
      <w:r>
        <w:rPr>
          <w:rFonts w:hint="eastAsia"/>
        </w:rPr>
        <w:t>，</w:t>
      </w:r>
      <w:r>
        <w:t>指标完成值</w:t>
      </w:r>
      <w:r>
        <w:rPr>
          <w:rFonts w:hint="eastAsia"/>
        </w:rPr>
        <w:t>等于</w:t>
      </w:r>
      <w:r>
        <w:rPr>
          <w:rFonts w:hint="eastAsia"/>
        </w:rPr>
        <w:t>4678.9</w:t>
      </w:r>
      <w:r>
        <w:rPr>
          <w:rFonts w:hint="eastAsia"/>
        </w:rPr>
        <w:t>亩</w:t>
      </w:r>
      <w:r>
        <w:rPr>
          <w:rFonts w:hint="eastAsia"/>
        </w:rPr>
        <w:t>，完成率</w:t>
      </w:r>
      <w:r>
        <w:rPr>
          <w:rFonts w:hint="eastAsia"/>
        </w:rPr>
        <w:t>100%</w:t>
      </w:r>
      <w:r>
        <w:rPr>
          <w:rFonts w:hint="eastAsia"/>
        </w:rPr>
        <w:t>；</w:t>
      </w:r>
    </w:p>
    <w:p w:rsidR="001B51D6" w:rsidRDefault="00CD1800">
      <w:pPr>
        <w:ind w:firstLine="640"/>
      </w:pPr>
      <w:r>
        <w:rPr>
          <w:rFonts w:hint="eastAsia"/>
          <w:bCs/>
          <w:szCs w:val="32"/>
        </w:rPr>
        <w:t>指标</w:t>
      </w:r>
      <w:r>
        <w:rPr>
          <w:rFonts w:hint="eastAsia"/>
          <w:bCs/>
          <w:szCs w:val="32"/>
        </w:rPr>
        <w:t>2</w:t>
      </w:r>
      <w:r>
        <w:rPr>
          <w:rFonts w:hint="eastAsia"/>
          <w:bCs/>
          <w:szCs w:val="32"/>
        </w:rPr>
        <w:t>：补栽苗木数量</w:t>
      </w:r>
      <w:r>
        <w:rPr>
          <w:rFonts w:hint="eastAsia"/>
        </w:rPr>
        <w:t>，</w:t>
      </w:r>
      <w:r>
        <w:t>预期指标值</w:t>
      </w:r>
      <w:r>
        <w:rPr>
          <w:rFonts w:hint="eastAsia"/>
        </w:rPr>
        <w:t>小于等于</w:t>
      </w:r>
      <w:r>
        <w:rPr>
          <w:rFonts w:hint="eastAsia"/>
        </w:rPr>
        <w:t>19.64</w:t>
      </w:r>
      <w:r>
        <w:rPr>
          <w:rFonts w:hint="eastAsia"/>
        </w:rPr>
        <w:t>万株，</w:t>
      </w:r>
      <w:r>
        <w:t>指标完成值</w:t>
      </w:r>
      <w:r>
        <w:rPr>
          <w:rFonts w:hint="eastAsia"/>
        </w:rPr>
        <w:t>等于</w:t>
      </w:r>
      <w:r>
        <w:rPr>
          <w:rFonts w:hint="eastAsia"/>
        </w:rPr>
        <w:t>19.64</w:t>
      </w:r>
      <w:r>
        <w:rPr>
          <w:rFonts w:hint="eastAsia"/>
        </w:rPr>
        <w:t>万株，完成率</w:t>
      </w:r>
      <w:r>
        <w:rPr>
          <w:rFonts w:hint="eastAsia"/>
        </w:rPr>
        <w:t>100%</w:t>
      </w:r>
      <w:r>
        <w:rPr>
          <w:rFonts w:hint="eastAsia"/>
        </w:rPr>
        <w:t>；</w:t>
      </w:r>
    </w:p>
    <w:p w:rsidR="001B51D6" w:rsidRDefault="00CD1800">
      <w:pPr>
        <w:ind w:firstLine="640"/>
      </w:pPr>
      <w:r>
        <w:t>本项满分</w:t>
      </w:r>
      <w:r>
        <w:t>12</w:t>
      </w:r>
      <w:r>
        <w:t>分</w:t>
      </w:r>
      <w:r>
        <w:t>，评估得分</w:t>
      </w:r>
      <w:r>
        <w:t>12</w:t>
      </w:r>
      <w:r>
        <w:t>分。</w:t>
      </w:r>
    </w:p>
    <w:p w:rsidR="001B51D6" w:rsidRDefault="00CD1800">
      <w:pPr>
        <w:ind w:firstLine="643"/>
        <w:rPr>
          <w:b/>
          <w:bCs/>
        </w:rPr>
      </w:pPr>
      <w:bookmarkStart w:id="163" w:name="_Toc21607"/>
      <w:bookmarkStart w:id="164" w:name="_Toc7420"/>
      <w:r>
        <w:rPr>
          <w:b/>
          <w:bCs/>
        </w:rPr>
        <w:lastRenderedPageBreak/>
        <w:t>2.</w:t>
      </w:r>
      <w:r>
        <w:rPr>
          <w:b/>
          <w:bCs/>
        </w:rPr>
        <w:t>产出质量</w:t>
      </w:r>
      <w:bookmarkEnd w:id="163"/>
      <w:bookmarkEnd w:id="164"/>
    </w:p>
    <w:p w:rsidR="001B51D6" w:rsidRDefault="00CD1800">
      <w:pPr>
        <w:ind w:firstLine="640"/>
      </w:pPr>
      <w:r>
        <w:rPr>
          <w:rFonts w:hint="eastAsia"/>
          <w:bCs/>
          <w:szCs w:val="32"/>
        </w:rPr>
        <w:t>指标</w:t>
      </w:r>
      <w:r>
        <w:rPr>
          <w:rFonts w:hint="eastAsia"/>
          <w:bCs/>
          <w:szCs w:val="32"/>
        </w:rPr>
        <w:t>1</w:t>
      </w:r>
      <w:r>
        <w:rPr>
          <w:rFonts w:hint="eastAsia"/>
          <w:bCs/>
          <w:szCs w:val="32"/>
        </w:rPr>
        <w:t>：</w:t>
      </w:r>
      <w:r>
        <w:rPr>
          <w:rFonts w:hint="eastAsia"/>
        </w:rPr>
        <w:t>苗木成活率，</w:t>
      </w:r>
      <w:r>
        <w:t>预期指标值</w:t>
      </w:r>
      <w:r>
        <w:rPr>
          <w:rFonts w:hint="eastAsia"/>
        </w:rPr>
        <w:t>小于等于</w:t>
      </w:r>
      <w:r>
        <w:rPr>
          <w:rFonts w:hint="eastAsia"/>
        </w:rPr>
        <w:t>95</w:t>
      </w:r>
      <w:r>
        <w:rPr>
          <w:rFonts w:hint="eastAsia"/>
        </w:rPr>
        <w:t>%</w:t>
      </w:r>
      <w:r>
        <w:rPr>
          <w:rFonts w:hint="eastAsia"/>
        </w:rPr>
        <w:t>，</w:t>
      </w:r>
      <w:r>
        <w:t>指标完成值</w:t>
      </w:r>
      <w:r>
        <w:rPr>
          <w:rFonts w:hint="eastAsia"/>
        </w:rPr>
        <w:t>等于</w:t>
      </w:r>
      <w:r>
        <w:rPr>
          <w:rFonts w:hint="eastAsia"/>
        </w:rPr>
        <w:t>95</w:t>
      </w:r>
      <w:r>
        <w:rPr>
          <w:rFonts w:hint="eastAsia"/>
        </w:rPr>
        <w:t>%</w:t>
      </w:r>
      <w:r>
        <w:rPr>
          <w:rFonts w:hint="eastAsia"/>
        </w:rPr>
        <w:t>，完成率</w:t>
      </w:r>
      <w:r>
        <w:rPr>
          <w:rFonts w:hint="eastAsia"/>
        </w:rPr>
        <w:t>100%</w:t>
      </w:r>
      <w:r>
        <w:rPr>
          <w:rFonts w:hint="eastAsia"/>
        </w:rPr>
        <w:t>；</w:t>
      </w:r>
    </w:p>
    <w:p w:rsidR="001B51D6" w:rsidRDefault="00CD1800">
      <w:pPr>
        <w:ind w:firstLine="640"/>
      </w:pPr>
      <w:r>
        <w:t>本项满分</w:t>
      </w:r>
      <w:r>
        <w:t>12</w:t>
      </w:r>
      <w:r>
        <w:t>分，评估得分</w:t>
      </w:r>
      <w:r>
        <w:t>12</w:t>
      </w:r>
      <w:r>
        <w:t>分。</w:t>
      </w:r>
    </w:p>
    <w:p w:rsidR="001B51D6" w:rsidRDefault="00CD1800">
      <w:pPr>
        <w:ind w:firstLine="643"/>
        <w:rPr>
          <w:b/>
          <w:bCs/>
        </w:rPr>
      </w:pPr>
      <w:bookmarkStart w:id="165" w:name="_Toc5394"/>
      <w:bookmarkStart w:id="166" w:name="_Toc6277"/>
      <w:r>
        <w:rPr>
          <w:b/>
          <w:bCs/>
        </w:rPr>
        <w:t>3.</w:t>
      </w:r>
      <w:r>
        <w:rPr>
          <w:b/>
          <w:bCs/>
        </w:rPr>
        <w:t>产出时效</w:t>
      </w:r>
      <w:bookmarkEnd w:id="165"/>
      <w:bookmarkEnd w:id="166"/>
    </w:p>
    <w:p w:rsidR="001B51D6" w:rsidRDefault="00CD1800">
      <w:pPr>
        <w:ind w:firstLine="640"/>
        <w:rPr>
          <w:bCs/>
          <w:szCs w:val="32"/>
        </w:rPr>
      </w:pPr>
      <w:r>
        <w:rPr>
          <w:rFonts w:hint="eastAsia"/>
          <w:bCs/>
          <w:szCs w:val="32"/>
        </w:rPr>
        <w:t>指标</w:t>
      </w:r>
      <w:r>
        <w:rPr>
          <w:rFonts w:hint="eastAsia"/>
          <w:bCs/>
          <w:szCs w:val="32"/>
        </w:rPr>
        <w:t>1</w:t>
      </w:r>
      <w:r>
        <w:rPr>
          <w:rFonts w:hint="eastAsia"/>
          <w:bCs/>
          <w:szCs w:val="32"/>
        </w:rPr>
        <w:t>：园林绿化达标考核及时率，</w:t>
      </w:r>
      <w:r>
        <w:t>预期指标值</w:t>
      </w:r>
      <w:r>
        <w:rPr>
          <w:rFonts w:hint="eastAsia"/>
        </w:rPr>
        <w:t>等于</w:t>
      </w:r>
      <w:r>
        <w:rPr>
          <w:rFonts w:hint="eastAsia"/>
          <w:bCs/>
          <w:szCs w:val="32"/>
        </w:rPr>
        <w:t>100%</w:t>
      </w:r>
      <w:r>
        <w:rPr>
          <w:rFonts w:hint="eastAsia"/>
          <w:bCs/>
          <w:szCs w:val="32"/>
        </w:rPr>
        <w:t>，</w:t>
      </w:r>
      <w:r>
        <w:t>指标完成值</w:t>
      </w:r>
      <w:r>
        <w:rPr>
          <w:rFonts w:hint="eastAsia"/>
        </w:rPr>
        <w:t>等于</w:t>
      </w:r>
      <w:r>
        <w:rPr>
          <w:rFonts w:hint="eastAsia"/>
          <w:bCs/>
          <w:szCs w:val="32"/>
        </w:rPr>
        <w:t>100%</w:t>
      </w:r>
      <w:r>
        <w:rPr>
          <w:rFonts w:hint="eastAsia"/>
          <w:bCs/>
          <w:szCs w:val="32"/>
        </w:rPr>
        <w:t>，完成率</w:t>
      </w:r>
      <w:r>
        <w:rPr>
          <w:rFonts w:hint="eastAsia"/>
          <w:bCs/>
          <w:szCs w:val="32"/>
        </w:rPr>
        <w:t>100%</w:t>
      </w:r>
      <w:r>
        <w:rPr>
          <w:rFonts w:hint="eastAsia"/>
          <w:bCs/>
          <w:szCs w:val="32"/>
        </w:rPr>
        <w:t>；</w:t>
      </w:r>
    </w:p>
    <w:p w:rsidR="001B51D6" w:rsidRDefault="00CD1800">
      <w:pPr>
        <w:ind w:firstLine="640"/>
      </w:pPr>
      <w:r>
        <w:t>本项满分</w:t>
      </w:r>
      <w:r>
        <w:t>12</w:t>
      </w:r>
      <w:r>
        <w:t>分，评估得分</w:t>
      </w:r>
      <w:r>
        <w:t>12</w:t>
      </w:r>
      <w:r>
        <w:t>分。</w:t>
      </w:r>
    </w:p>
    <w:p w:rsidR="001B51D6" w:rsidRDefault="00CD1800">
      <w:pPr>
        <w:ind w:firstLine="643"/>
        <w:rPr>
          <w:b/>
          <w:bCs/>
        </w:rPr>
      </w:pPr>
      <w:bookmarkStart w:id="167" w:name="_Toc18558"/>
      <w:bookmarkStart w:id="168" w:name="_Toc28975"/>
      <w:r>
        <w:rPr>
          <w:b/>
          <w:bCs/>
        </w:rPr>
        <w:t>4.</w:t>
      </w:r>
      <w:r>
        <w:rPr>
          <w:b/>
          <w:bCs/>
        </w:rPr>
        <w:t>产出成本</w:t>
      </w:r>
      <w:bookmarkEnd w:id="167"/>
      <w:bookmarkEnd w:id="168"/>
    </w:p>
    <w:p w:rsidR="001B51D6" w:rsidRDefault="00CD1800">
      <w:pPr>
        <w:ind w:firstLine="640"/>
      </w:pPr>
      <w:r>
        <w:rPr>
          <w:bCs/>
          <w:szCs w:val="32"/>
        </w:rPr>
        <w:t>指标</w:t>
      </w:r>
      <w:r>
        <w:rPr>
          <w:bCs/>
          <w:szCs w:val="32"/>
        </w:rPr>
        <w:t>1</w:t>
      </w:r>
      <w:r>
        <w:rPr>
          <w:bCs/>
          <w:szCs w:val="32"/>
        </w:rPr>
        <w:t>：</w:t>
      </w:r>
      <w:r>
        <w:rPr>
          <w:rFonts w:hint="eastAsia"/>
        </w:rPr>
        <w:t>高洁公司绿化服务费</w:t>
      </w:r>
      <w:r>
        <w:t>，预期指标值</w:t>
      </w:r>
      <w:r>
        <w:rPr>
          <w:rFonts w:hint="eastAsia"/>
        </w:rPr>
        <w:t>小于等于</w:t>
      </w:r>
      <w:r>
        <w:rPr>
          <w:rFonts w:hint="eastAsia"/>
        </w:rPr>
        <w:t>494.76</w:t>
      </w:r>
      <w:r>
        <w:rPr>
          <w:rFonts w:hint="eastAsia"/>
        </w:rPr>
        <w:t>万元</w:t>
      </w:r>
      <w:r>
        <w:t>，指标完成值：</w:t>
      </w:r>
      <w:r>
        <w:rPr>
          <w:rFonts w:hint="eastAsia"/>
        </w:rPr>
        <w:t>等于</w:t>
      </w:r>
      <w:r>
        <w:rPr>
          <w:rFonts w:hint="eastAsia"/>
        </w:rPr>
        <w:t>494.76</w:t>
      </w:r>
      <w:r>
        <w:rPr>
          <w:rFonts w:hint="eastAsia"/>
        </w:rPr>
        <w:t>万元</w:t>
      </w:r>
      <w:r>
        <w:t>，完成率：</w:t>
      </w:r>
      <w:r>
        <w:t>100</w:t>
      </w:r>
      <w:r>
        <w:rPr>
          <w:rFonts w:hint="eastAsia"/>
        </w:rPr>
        <w:t>%</w:t>
      </w:r>
      <w:r>
        <w:t>；</w:t>
      </w:r>
    </w:p>
    <w:p w:rsidR="001B51D6" w:rsidRDefault="00CD1800">
      <w:pPr>
        <w:ind w:firstLine="640"/>
      </w:pPr>
      <w:r>
        <w:rPr>
          <w:bCs/>
          <w:szCs w:val="32"/>
        </w:rPr>
        <w:t>指标</w:t>
      </w:r>
      <w:r>
        <w:rPr>
          <w:bCs/>
          <w:szCs w:val="32"/>
        </w:rPr>
        <w:t>2</w:t>
      </w:r>
      <w:r>
        <w:rPr>
          <w:bCs/>
          <w:szCs w:val="32"/>
        </w:rPr>
        <w:t>：</w:t>
      </w:r>
      <w:r>
        <w:rPr>
          <w:rFonts w:hint="eastAsia"/>
        </w:rPr>
        <w:t>八方景生态公司绿化服务费</w:t>
      </w:r>
      <w:r>
        <w:t>，预期指标值</w:t>
      </w:r>
      <w:r>
        <w:rPr>
          <w:rFonts w:hint="eastAsia"/>
        </w:rPr>
        <w:t>小于等于</w:t>
      </w:r>
      <w:r>
        <w:rPr>
          <w:rFonts w:hint="eastAsia"/>
        </w:rPr>
        <w:t>592.32</w:t>
      </w:r>
      <w:r>
        <w:rPr>
          <w:rFonts w:hint="eastAsia"/>
        </w:rPr>
        <w:t>万元</w:t>
      </w:r>
      <w:r>
        <w:t>，指标完成值：</w:t>
      </w:r>
      <w:r>
        <w:rPr>
          <w:rFonts w:hint="eastAsia"/>
        </w:rPr>
        <w:t>等于</w:t>
      </w:r>
      <w:r>
        <w:rPr>
          <w:rFonts w:hint="eastAsia"/>
        </w:rPr>
        <w:t>592.32</w:t>
      </w:r>
      <w:r>
        <w:rPr>
          <w:rFonts w:hint="eastAsia"/>
        </w:rPr>
        <w:t>万元</w:t>
      </w:r>
      <w:r>
        <w:t>，完成率：</w:t>
      </w:r>
      <w:r>
        <w:rPr>
          <w:rFonts w:hint="eastAsia"/>
        </w:rPr>
        <w:t>100%</w:t>
      </w:r>
      <w:r>
        <w:t>；</w:t>
      </w:r>
    </w:p>
    <w:p w:rsidR="001B51D6" w:rsidRDefault="00CD1800">
      <w:pPr>
        <w:ind w:firstLine="640"/>
      </w:pPr>
      <w:r>
        <w:t>本项满分</w:t>
      </w:r>
      <w:r>
        <w:t>4</w:t>
      </w:r>
      <w:r>
        <w:t>分，评估得分</w:t>
      </w:r>
      <w:r>
        <w:t>4</w:t>
      </w:r>
      <w:r>
        <w:t>分。</w:t>
      </w:r>
    </w:p>
    <w:p w:rsidR="001B51D6" w:rsidRDefault="00CD1800">
      <w:pPr>
        <w:pStyle w:val="3"/>
        <w:ind w:firstLine="643"/>
        <w:rPr>
          <w:rFonts w:ascii="楷体" w:eastAsia="楷体" w:hAnsi="楷体" w:cs="楷体"/>
        </w:rPr>
      </w:pPr>
      <w:bookmarkStart w:id="169" w:name="_Toc24492"/>
      <w:bookmarkStart w:id="170" w:name="_Toc27548"/>
      <w:bookmarkStart w:id="171" w:name="_Toc27768"/>
      <w:bookmarkStart w:id="172" w:name="_Toc18194"/>
      <w:bookmarkStart w:id="173" w:name="_Toc14881"/>
      <w:r>
        <w:rPr>
          <w:rFonts w:ascii="楷体" w:eastAsia="楷体" w:hAnsi="楷体" w:cs="楷体" w:hint="eastAsia"/>
        </w:rPr>
        <w:t>（四）项目效益情况</w:t>
      </w:r>
      <w:bookmarkEnd w:id="169"/>
      <w:bookmarkEnd w:id="170"/>
      <w:bookmarkEnd w:id="171"/>
      <w:bookmarkEnd w:id="172"/>
      <w:bookmarkEnd w:id="173"/>
    </w:p>
    <w:p w:rsidR="001B51D6" w:rsidRDefault="00CD1800">
      <w:pPr>
        <w:ind w:firstLine="643"/>
        <w:rPr>
          <w:b/>
          <w:bCs/>
        </w:rPr>
      </w:pPr>
      <w:bookmarkStart w:id="174" w:name="_Toc8370"/>
      <w:bookmarkStart w:id="175" w:name="_Toc15599"/>
      <w:r>
        <w:rPr>
          <w:b/>
          <w:bCs/>
        </w:rPr>
        <w:t>1.</w:t>
      </w:r>
      <w:r>
        <w:rPr>
          <w:b/>
          <w:bCs/>
        </w:rPr>
        <w:t>实施效益</w:t>
      </w:r>
      <w:bookmarkEnd w:id="174"/>
      <w:bookmarkEnd w:id="175"/>
    </w:p>
    <w:p w:rsidR="001B51D6" w:rsidRDefault="00CD1800">
      <w:pPr>
        <w:ind w:firstLine="640"/>
      </w:pPr>
      <w:r>
        <w:t>本项目实施所产生的效益主要包括社会效益。</w:t>
      </w:r>
      <w:r>
        <w:rPr>
          <w:rFonts w:hint="eastAsia"/>
        </w:rPr>
        <w:t>园林绿化管护不仅能提升广大人民群众的生活质量、提升居民幸福感，还能留住原住居民、吸引外来人民定居，增加县城人口，县城园林绿化管护社会效益突出。</w:t>
      </w:r>
    </w:p>
    <w:p w:rsidR="001B51D6" w:rsidRDefault="00CD1800">
      <w:pPr>
        <w:ind w:firstLine="640"/>
      </w:pPr>
      <w:r>
        <w:t>本项满分</w:t>
      </w:r>
      <w:r>
        <w:t>10</w:t>
      </w:r>
      <w:r>
        <w:t>分，</w:t>
      </w:r>
      <w:r>
        <w:t>评估得分</w:t>
      </w:r>
      <w:r>
        <w:t>10</w:t>
      </w:r>
      <w:r>
        <w:t>分。</w:t>
      </w:r>
    </w:p>
    <w:p w:rsidR="001B51D6" w:rsidRDefault="00CD1800">
      <w:pPr>
        <w:ind w:firstLine="643"/>
        <w:rPr>
          <w:b/>
          <w:bCs/>
        </w:rPr>
      </w:pPr>
      <w:bookmarkStart w:id="176" w:name="_Toc31503"/>
      <w:bookmarkStart w:id="177" w:name="_Toc20772"/>
      <w:r>
        <w:rPr>
          <w:b/>
          <w:bCs/>
        </w:rPr>
        <w:t>2.</w:t>
      </w:r>
      <w:r>
        <w:rPr>
          <w:b/>
          <w:bCs/>
        </w:rPr>
        <w:t>满意度</w:t>
      </w:r>
      <w:bookmarkEnd w:id="176"/>
      <w:bookmarkEnd w:id="177"/>
    </w:p>
    <w:p w:rsidR="001B51D6" w:rsidRDefault="00CD1800">
      <w:pPr>
        <w:ind w:firstLine="640"/>
      </w:pPr>
      <w:r>
        <w:t>本项目服务对象和受益群众主要是</w:t>
      </w:r>
      <w:r>
        <w:rPr>
          <w:rFonts w:hint="eastAsia"/>
        </w:rPr>
        <w:t>城镇居民</w:t>
      </w:r>
      <w:r>
        <w:t>，通过问卷</w:t>
      </w:r>
      <w:r>
        <w:lastRenderedPageBreak/>
        <w:t>调查方式收集服务对象和受益群众对本项目实施的满意度。调查人群都表示很满意，都认为本项目实施后，</w:t>
      </w:r>
      <w:r>
        <w:rPr>
          <w:rFonts w:hint="eastAsia"/>
        </w:rPr>
        <w:t>提升广大人民群众的生活质量、提升居民幸福感。</w:t>
      </w:r>
    </w:p>
    <w:p w:rsidR="001B51D6" w:rsidRDefault="00CD1800">
      <w:pPr>
        <w:ind w:firstLine="640"/>
      </w:pPr>
      <w:r>
        <w:t>本项满分</w:t>
      </w:r>
      <w:r>
        <w:t>10</w:t>
      </w:r>
      <w:r>
        <w:t>分，评估得分</w:t>
      </w:r>
      <w:r>
        <w:t>10</w:t>
      </w:r>
      <w:r>
        <w:t>分。</w:t>
      </w:r>
    </w:p>
    <w:p w:rsidR="001B51D6" w:rsidRDefault="00CD1800">
      <w:pPr>
        <w:pStyle w:val="2"/>
        <w:ind w:firstLine="640"/>
        <w:rPr>
          <w:rFonts w:eastAsia="仿宋_GB2312"/>
        </w:rPr>
      </w:pPr>
      <w:bookmarkStart w:id="178" w:name="_Toc17413"/>
      <w:bookmarkStart w:id="179" w:name="_Toc2656"/>
      <w:bookmarkStart w:id="180" w:name="_Toc7214"/>
      <w:bookmarkStart w:id="181" w:name="_Toc24261"/>
      <w:bookmarkStart w:id="182" w:name="_Toc26038"/>
      <w:bookmarkStart w:id="183" w:name="_Toc23114"/>
      <w:bookmarkStart w:id="184" w:name="_Toc20314"/>
      <w:bookmarkStart w:id="185" w:name="_Toc3310"/>
      <w:bookmarkStart w:id="186" w:name="_Toc20473"/>
      <w:r>
        <w:rPr>
          <w:rFonts w:ascii="黑体" w:hAnsi="黑体" w:cs="黑体" w:hint="eastAsia"/>
        </w:rPr>
        <w:t>五、主要经验及做法、存在的问题及原因分析</w:t>
      </w:r>
      <w:bookmarkEnd w:id="178"/>
      <w:bookmarkEnd w:id="179"/>
      <w:bookmarkEnd w:id="180"/>
      <w:bookmarkEnd w:id="181"/>
      <w:bookmarkEnd w:id="182"/>
      <w:bookmarkEnd w:id="183"/>
      <w:bookmarkEnd w:id="184"/>
      <w:bookmarkEnd w:id="185"/>
      <w:bookmarkEnd w:id="186"/>
    </w:p>
    <w:p w:rsidR="001B51D6" w:rsidRDefault="00CD1800">
      <w:pPr>
        <w:pStyle w:val="3"/>
        <w:ind w:firstLine="643"/>
        <w:rPr>
          <w:rFonts w:ascii="楷体" w:eastAsia="楷体" w:hAnsi="楷体" w:cs="楷体"/>
        </w:rPr>
      </w:pPr>
      <w:bookmarkStart w:id="187" w:name="_Toc6522"/>
      <w:bookmarkStart w:id="188" w:name="_Toc6741"/>
      <w:bookmarkStart w:id="189" w:name="_Toc10514"/>
      <w:bookmarkStart w:id="190" w:name="_Toc11597"/>
      <w:bookmarkStart w:id="191" w:name="_Toc14362"/>
      <w:r>
        <w:rPr>
          <w:rFonts w:ascii="楷体" w:eastAsia="楷体" w:hAnsi="楷体" w:cs="楷体" w:hint="eastAsia"/>
        </w:rPr>
        <w:t>（一）主要经验及做法</w:t>
      </w:r>
      <w:bookmarkEnd w:id="187"/>
      <w:bookmarkEnd w:id="188"/>
      <w:bookmarkEnd w:id="189"/>
      <w:bookmarkEnd w:id="190"/>
      <w:bookmarkEnd w:id="191"/>
    </w:p>
    <w:p w:rsidR="001B51D6" w:rsidRDefault="00CD1800">
      <w:pPr>
        <w:ind w:firstLine="640"/>
      </w:pPr>
      <w:r>
        <w:rPr>
          <w:rFonts w:hint="eastAsia"/>
        </w:rPr>
        <w:t>1</w:t>
      </w:r>
      <w:r>
        <w:rPr>
          <w:rFonts w:hint="eastAsia"/>
        </w:rPr>
        <w:t>、委托市场化、专业化公司运转，实现绿化养护的日常化及带动本地就业</w:t>
      </w:r>
    </w:p>
    <w:p w:rsidR="001B51D6" w:rsidRDefault="00CD1800">
      <w:pPr>
        <w:ind w:firstLine="640"/>
      </w:pPr>
      <w:r>
        <w:rPr>
          <w:rFonts w:hint="eastAsia"/>
        </w:rPr>
        <w:t>尉犁县</w:t>
      </w:r>
      <w:r>
        <w:rPr>
          <w:rFonts w:hint="eastAsia"/>
        </w:rPr>
        <w:t>住房和城乡建设局</w:t>
      </w:r>
      <w:r>
        <w:rPr>
          <w:rFonts w:hint="eastAsia"/>
        </w:rPr>
        <w:t>通过公开招投标方式对县域园林绿化管护服务进行招投标，完成对县域绿化区域的养护公司筛选确定，引入专业化的市政绿化养护公司参与尉犁县的公共绿化养护工作，通过采用绿化管护服务合同约定管护公司的管护区域、面积、时间、费用标准、管护考核等内容推动管护公司雇佣本地人就业，带动就业，实现公共绿化的日常化管理</w:t>
      </w:r>
      <w:r>
        <w:rPr>
          <w:rFonts w:hint="eastAsia"/>
        </w:rPr>
        <w:t>。</w:t>
      </w:r>
    </w:p>
    <w:p w:rsidR="001B51D6" w:rsidRDefault="00CD1800">
      <w:pPr>
        <w:ind w:firstLine="640"/>
      </w:pPr>
      <w:r>
        <w:rPr>
          <w:rFonts w:hint="eastAsia"/>
        </w:rPr>
        <w:t>2</w:t>
      </w:r>
      <w:r>
        <w:rPr>
          <w:rFonts w:hint="eastAsia"/>
        </w:rPr>
        <w:t>、制定了多维度的管理考核体系予以奖惩，有效保证了绿化的养护质量</w:t>
      </w:r>
    </w:p>
    <w:p w:rsidR="001B51D6" w:rsidRDefault="00CD1800">
      <w:pPr>
        <w:ind w:firstLine="640"/>
      </w:pPr>
      <w:r>
        <w:rPr>
          <w:rFonts w:hint="eastAsia"/>
        </w:rPr>
        <w:t>尉犁县园林绿化服务中心为了更好的落实对县域公共绿地养护的监督管理，从草坪管理、病虫害防治、修剪、日常养护、卫生、管理、考勤等维</w:t>
      </w:r>
      <w:proofErr w:type="gramStart"/>
      <w:r>
        <w:rPr>
          <w:rFonts w:hint="eastAsia"/>
        </w:rPr>
        <w:t>度考核</w:t>
      </w:r>
      <w:proofErr w:type="gramEnd"/>
      <w:r>
        <w:rPr>
          <w:rFonts w:hint="eastAsia"/>
        </w:rPr>
        <w:t>内容</w:t>
      </w:r>
      <w:r>
        <w:rPr>
          <w:rFonts w:hint="eastAsia"/>
        </w:rPr>
        <w:t>,</w:t>
      </w:r>
      <w:r>
        <w:rPr>
          <w:rFonts w:hint="eastAsia"/>
        </w:rPr>
        <w:t>制定考核标</w:t>
      </w:r>
      <w:r>
        <w:rPr>
          <w:rFonts w:hint="eastAsia"/>
        </w:rPr>
        <w:t>准及分配考核权重。并采用养护工作日常考核办法，予以评分考核，将考核结果与管护费挂钩</w:t>
      </w:r>
      <w:r>
        <w:rPr>
          <w:rFonts w:hint="eastAsia"/>
        </w:rPr>
        <w:t>,</w:t>
      </w:r>
      <w:r>
        <w:rPr>
          <w:rFonts w:hint="eastAsia"/>
        </w:rPr>
        <w:t>确定每月养护费的拨付金额。督促养护公司按照《尉犁县园林绿化绿地养护管理检查评分标准》</w:t>
      </w:r>
      <w:r>
        <w:rPr>
          <w:rFonts w:hint="eastAsia"/>
        </w:rPr>
        <w:lastRenderedPageBreak/>
        <w:t>的要求，有效贯彻尉犁县县域公共绿地的养护目标，切实落实预算部门的监督管理职责，为市政管理考核工作提供参考意见，提高市政管理水平。</w:t>
      </w:r>
    </w:p>
    <w:p w:rsidR="001B51D6" w:rsidRDefault="00CD1800">
      <w:pPr>
        <w:ind w:firstLine="640"/>
      </w:pPr>
      <w:r>
        <w:rPr>
          <w:rFonts w:hint="eastAsia"/>
        </w:rPr>
        <w:t>3.</w:t>
      </w:r>
      <w:r>
        <w:rPr>
          <w:rFonts w:hint="eastAsia"/>
        </w:rPr>
        <w:t>落实管养要求，提升管护效益</w:t>
      </w:r>
    </w:p>
    <w:p w:rsidR="001B51D6" w:rsidRDefault="00CD1800">
      <w:pPr>
        <w:ind w:firstLine="640"/>
      </w:pPr>
      <w:r>
        <w:rPr>
          <w:rFonts w:hint="eastAsia"/>
        </w:rPr>
        <w:t>一是单位对县域绿化实行网格化管理，对应片区由园林绿化管理中心工作人员进行监督、指导、考核</w:t>
      </w:r>
      <w:r>
        <w:rPr>
          <w:rFonts w:hint="eastAsia"/>
        </w:rPr>
        <w:t>,</w:t>
      </w:r>
      <w:r>
        <w:rPr>
          <w:rFonts w:hint="eastAsia"/>
        </w:rPr>
        <w:t>做到职责分明、任务层层落实到位，单位直接对接到基层，对接到养护工人，直接对养护工作进行监督、</w:t>
      </w:r>
      <w:r>
        <w:rPr>
          <w:rFonts w:hint="eastAsia"/>
        </w:rPr>
        <w:t>管辖和现场技术指导，能够有效的提高绿化管护质量</w:t>
      </w:r>
      <w:r>
        <w:rPr>
          <w:rFonts w:hint="eastAsia"/>
        </w:rPr>
        <w:t>;</w:t>
      </w:r>
      <w:r>
        <w:rPr>
          <w:rFonts w:hint="eastAsia"/>
        </w:rPr>
        <w:t>二是结合</w:t>
      </w:r>
      <w:proofErr w:type="gramStart"/>
      <w:r>
        <w:rPr>
          <w:rFonts w:hint="eastAsia"/>
        </w:rPr>
        <w:t>绿美城市</w:t>
      </w:r>
      <w:proofErr w:type="gramEnd"/>
      <w:r>
        <w:rPr>
          <w:rFonts w:hint="eastAsia"/>
        </w:rPr>
        <w:t>建设，逐步提高管护要求，提高养护人员工作积极性，开展绿化宣传，动员群众积极参与，提高群众“爱绿”“护绿”意识</w:t>
      </w:r>
      <w:r>
        <w:rPr>
          <w:rFonts w:hint="eastAsia"/>
        </w:rPr>
        <w:t>,</w:t>
      </w:r>
      <w:r>
        <w:rPr>
          <w:rFonts w:hint="eastAsia"/>
        </w:rPr>
        <w:t>凸显绿化管护效益。</w:t>
      </w:r>
    </w:p>
    <w:p w:rsidR="001B51D6" w:rsidRDefault="00CD1800">
      <w:pPr>
        <w:pStyle w:val="3"/>
        <w:ind w:firstLine="643"/>
        <w:rPr>
          <w:rFonts w:ascii="楷体" w:eastAsia="楷体" w:hAnsi="楷体" w:cs="楷体"/>
          <w:color w:val="FF0000"/>
        </w:rPr>
      </w:pPr>
      <w:bookmarkStart w:id="192" w:name="_Toc4673"/>
      <w:bookmarkStart w:id="193" w:name="_Toc11238"/>
      <w:bookmarkStart w:id="194" w:name="_Toc9159"/>
      <w:bookmarkStart w:id="195" w:name="_Toc27408"/>
      <w:bookmarkStart w:id="196" w:name="_Toc6359"/>
      <w:r>
        <w:rPr>
          <w:rFonts w:ascii="楷体" w:eastAsia="楷体" w:hAnsi="楷体" w:cs="楷体" w:hint="eastAsia"/>
        </w:rPr>
        <w:t>（二）存在的问题及分析</w:t>
      </w:r>
      <w:bookmarkEnd w:id="192"/>
      <w:bookmarkEnd w:id="193"/>
      <w:bookmarkEnd w:id="194"/>
      <w:bookmarkEnd w:id="195"/>
      <w:bookmarkEnd w:id="196"/>
    </w:p>
    <w:p w:rsidR="001B51D6" w:rsidRDefault="00CD1800">
      <w:pPr>
        <w:widowControl/>
        <w:spacing w:line="580" w:lineRule="exact"/>
        <w:ind w:firstLine="640"/>
        <w:rPr>
          <w:rFonts w:ascii="仿宋_GB2312"/>
          <w:szCs w:val="32"/>
        </w:rPr>
      </w:pPr>
      <w:bookmarkStart w:id="197" w:name="_Toc13345"/>
      <w:bookmarkStart w:id="198" w:name="_Toc5702"/>
      <w:bookmarkStart w:id="199" w:name="_Toc13270"/>
      <w:bookmarkStart w:id="200" w:name="_Toc22271"/>
      <w:bookmarkStart w:id="201" w:name="_Toc20116"/>
      <w:r>
        <w:rPr>
          <w:rFonts w:hint="eastAsia"/>
        </w:rPr>
        <w:t>1</w:t>
      </w:r>
      <w:r>
        <w:rPr>
          <w:rFonts w:ascii="仿宋_GB2312" w:hint="eastAsia"/>
          <w:szCs w:val="32"/>
        </w:rPr>
        <w:t>、我中心现有专业技术人员较少，管理企业经验方式不足，</w:t>
      </w:r>
      <w:r>
        <w:rPr>
          <w:rFonts w:ascii="仿宋_GB2312" w:hint="eastAsia"/>
          <w:szCs w:val="32"/>
        </w:rPr>
        <w:t>需</w:t>
      </w:r>
      <w:r>
        <w:rPr>
          <w:rFonts w:ascii="仿宋_GB2312" w:hint="eastAsia"/>
          <w:szCs w:val="32"/>
        </w:rPr>
        <w:t>强化学习专业知识，管理知识，加强与公司的沟通交流和指导，提高管理水平。</w:t>
      </w:r>
    </w:p>
    <w:p w:rsidR="001B51D6" w:rsidRDefault="00CD1800">
      <w:pPr>
        <w:ind w:firstLine="640"/>
      </w:pPr>
      <w:r>
        <w:rPr>
          <w:rFonts w:hint="eastAsia"/>
        </w:rPr>
        <w:t>2</w:t>
      </w:r>
      <w:r>
        <w:rPr>
          <w:rFonts w:hint="eastAsia"/>
        </w:rPr>
        <w:t>、</w:t>
      </w:r>
      <w:r>
        <w:rPr>
          <w:rFonts w:hint="eastAsia"/>
        </w:rPr>
        <w:t>公司园林管理人员不够，园林绿化知识不够，管理能力不到位，形成部分节点、绿地退化现象。</w:t>
      </w:r>
    </w:p>
    <w:p w:rsidR="001B51D6" w:rsidRDefault="00CD1800">
      <w:pPr>
        <w:pStyle w:val="2"/>
        <w:ind w:firstLine="640"/>
      </w:pPr>
      <w:r>
        <w:rPr>
          <w:rFonts w:hint="eastAsia"/>
        </w:rPr>
        <w:t>六、有关建议</w:t>
      </w:r>
      <w:bookmarkEnd w:id="197"/>
      <w:bookmarkEnd w:id="198"/>
      <w:bookmarkEnd w:id="199"/>
      <w:bookmarkEnd w:id="200"/>
      <w:bookmarkEnd w:id="201"/>
    </w:p>
    <w:p w:rsidR="001B51D6" w:rsidRDefault="00CD1800">
      <w:pPr>
        <w:pStyle w:val="a6"/>
        <w:spacing w:before="0" w:after="0"/>
        <w:ind w:firstLine="640"/>
        <w:jc w:val="left"/>
        <w:outlineLvl w:val="9"/>
        <w:rPr>
          <w:rFonts w:ascii="Times New Roman" w:hAnsi="Times New Roman"/>
          <w:b w:val="0"/>
          <w:bCs w:val="0"/>
          <w:szCs w:val="22"/>
        </w:rPr>
      </w:pPr>
      <w:r>
        <w:rPr>
          <w:rFonts w:ascii="Times New Roman" w:hAnsi="Times New Roman" w:hint="eastAsia"/>
          <w:b w:val="0"/>
          <w:bCs w:val="0"/>
          <w:szCs w:val="22"/>
        </w:rPr>
        <w:t>1</w:t>
      </w:r>
      <w:r>
        <w:rPr>
          <w:rFonts w:ascii="Times New Roman" w:hAnsi="Times New Roman" w:hint="eastAsia"/>
          <w:b w:val="0"/>
          <w:bCs w:val="0"/>
          <w:szCs w:val="22"/>
        </w:rPr>
        <w:t>、加强专业培训：组织现有专业技术人员参加园林绿化、企业管理等方面的培训课程，提升其专业技能和管理能力。</w:t>
      </w:r>
    </w:p>
    <w:p w:rsidR="001B51D6" w:rsidRDefault="00CD1800">
      <w:pPr>
        <w:pStyle w:val="a6"/>
        <w:spacing w:before="0" w:after="0"/>
        <w:ind w:firstLine="640"/>
        <w:jc w:val="left"/>
        <w:outlineLvl w:val="9"/>
        <w:rPr>
          <w:rFonts w:ascii="Times New Roman" w:hAnsi="Times New Roman"/>
          <w:b w:val="0"/>
          <w:bCs w:val="0"/>
          <w:szCs w:val="22"/>
        </w:rPr>
      </w:pPr>
      <w:r>
        <w:rPr>
          <w:rFonts w:ascii="Times New Roman" w:hAnsi="Times New Roman" w:hint="eastAsia"/>
          <w:b w:val="0"/>
          <w:bCs w:val="0"/>
          <w:szCs w:val="22"/>
        </w:rPr>
        <w:t>2</w:t>
      </w:r>
      <w:r>
        <w:rPr>
          <w:rFonts w:ascii="Times New Roman" w:hAnsi="Times New Roman" w:hint="eastAsia"/>
          <w:b w:val="0"/>
          <w:bCs w:val="0"/>
          <w:szCs w:val="22"/>
        </w:rPr>
        <w:t>、鼓励公司引进外部人才：积极招聘具有丰富园林绿化经验和企业管理能力的外部人才。</w:t>
      </w:r>
    </w:p>
    <w:p w:rsidR="001B51D6" w:rsidRDefault="00CD1800">
      <w:pPr>
        <w:pStyle w:val="a6"/>
        <w:spacing w:before="0" w:after="0"/>
        <w:ind w:firstLine="640"/>
        <w:jc w:val="left"/>
        <w:outlineLvl w:val="9"/>
        <w:rPr>
          <w:rFonts w:ascii="Times New Roman" w:hAnsi="Times New Roman"/>
          <w:b w:val="0"/>
          <w:bCs w:val="0"/>
          <w:szCs w:val="22"/>
        </w:rPr>
      </w:pPr>
      <w:r>
        <w:rPr>
          <w:rFonts w:ascii="Times New Roman" w:hAnsi="Times New Roman" w:hint="eastAsia"/>
          <w:b w:val="0"/>
          <w:bCs w:val="0"/>
          <w:szCs w:val="22"/>
        </w:rPr>
        <w:lastRenderedPageBreak/>
        <w:t>3</w:t>
      </w:r>
      <w:r>
        <w:rPr>
          <w:rFonts w:ascii="Times New Roman" w:hAnsi="Times New Roman" w:hint="eastAsia"/>
          <w:b w:val="0"/>
          <w:bCs w:val="0"/>
          <w:szCs w:val="22"/>
        </w:rPr>
        <w:t>、加强与公司的沟通交流：定期与公司管理层进行沟通交流，了解公司的发展战略和园林绿化的需求，以便更好地调整工作方向和策略。</w:t>
      </w:r>
    </w:p>
    <w:p w:rsidR="001B51D6" w:rsidRDefault="00CD1800">
      <w:pPr>
        <w:pStyle w:val="2"/>
        <w:ind w:firstLine="640"/>
        <w:rPr>
          <w:rFonts w:ascii="黑体" w:hAnsi="黑体" w:cs="黑体"/>
        </w:rPr>
      </w:pPr>
      <w:bookmarkStart w:id="202" w:name="_Toc12100"/>
      <w:bookmarkStart w:id="203" w:name="_Toc5794"/>
      <w:bookmarkStart w:id="204" w:name="_Toc5658"/>
      <w:bookmarkStart w:id="205" w:name="_Toc31892"/>
      <w:bookmarkStart w:id="206" w:name="_Toc25353"/>
      <w:bookmarkStart w:id="207" w:name="_Toc21621"/>
      <w:bookmarkStart w:id="208" w:name="_Toc22823"/>
      <w:bookmarkStart w:id="209" w:name="_Toc2671"/>
      <w:bookmarkStart w:id="210" w:name="_Toc24871"/>
      <w:r>
        <w:rPr>
          <w:rFonts w:ascii="黑体" w:hAnsi="黑体" w:cs="黑体"/>
        </w:rPr>
        <w:t>七、其他需要说明的问题</w:t>
      </w:r>
      <w:bookmarkEnd w:id="202"/>
      <w:bookmarkEnd w:id="203"/>
      <w:bookmarkEnd w:id="204"/>
      <w:bookmarkEnd w:id="205"/>
      <w:bookmarkEnd w:id="206"/>
      <w:bookmarkEnd w:id="207"/>
      <w:bookmarkEnd w:id="208"/>
      <w:bookmarkEnd w:id="209"/>
      <w:bookmarkEnd w:id="210"/>
    </w:p>
    <w:p w:rsidR="001B51D6" w:rsidRDefault="00CD1800">
      <w:pPr>
        <w:ind w:firstLine="640"/>
      </w:pPr>
      <w:bookmarkStart w:id="211" w:name="OLE_LINK6"/>
      <w:bookmarkStart w:id="212" w:name="OLE_LINK5"/>
      <w:bookmarkStart w:id="213" w:name="_Toc28493"/>
      <w:bookmarkStart w:id="214" w:name="_Toc30245"/>
      <w:bookmarkStart w:id="215" w:name="_Toc4210"/>
      <w:r>
        <w:rPr>
          <w:rFonts w:hint="eastAsia"/>
        </w:rPr>
        <w:t>1</w:t>
      </w:r>
      <w:r>
        <w:rPr>
          <w:rFonts w:hint="eastAsia"/>
        </w:rPr>
        <w:t>、</w:t>
      </w:r>
      <w:r>
        <w:t>本项目部分间接产生的效果无法准确在短期内衡量，因此很难认定项目产生的全部效果。通过指标来反映绩效，指标的科学性和全面性需要不断地完善和研究。</w:t>
      </w:r>
    </w:p>
    <w:p w:rsidR="001B51D6" w:rsidRDefault="00CD1800">
      <w:pPr>
        <w:ind w:firstLine="640"/>
      </w:pPr>
      <w:r>
        <w:rPr>
          <w:rFonts w:hint="eastAsia"/>
        </w:rPr>
        <w:t>2</w:t>
      </w:r>
      <w:r>
        <w:rPr>
          <w:rFonts w:hint="eastAsia"/>
        </w:rPr>
        <w:t>、</w:t>
      </w:r>
      <w:r>
        <w:t>评价结果分别编入政府决算和</w:t>
      </w:r>
      <w:r>
        <w:t>部门预算，报送本级人民代表大会常务委员会，并依法予以公开。</w:t>
      </w:r>
      <w:bookmarkEnd w:id="211"/>
      <w:bookmarkEnd w:id="212"/>
    </w:p>
    <w:p w:rsidR="001B51D6" w:rsidRDefault="00CD1800">
      <w:pPr>
        <w:pStyle w:val="2"/>
        <w:ind w:firstLine="640"/>
        <w:rPr>
          <w:rFonts w:ascii="黑体" w:hAnsi="黑体" w:cs="黑体"/>
        </w:rPr>
      </w:pPr>
      <w:bookmarkStart w:id="216" w:name="_Toc27422"/>
      <w:bookmarkStart w:id="217" w:name="_Toc24034"/>
      <w:bookmarkStart w:id="218" w:name="_Toc12911"/>
      <w:bookmarkStart w:id="219" w:name="_Toc20381"/>
      <w:r>
        <w:rPr>
          <w:rFonts w:ascii="黑体" w:hAnsi="黑体" w:cs="黑体"/>
        </w:rPr>
        <w:t>八、附件</w:t>
      </w:r>
      <w:bookmarkEnd w:id="213"/>
      <w:bookmarkEnd w:id="214"/>
      <w:bookmarkEnd w:id="215"/>
      <w:bookmarkEnd w:id="216"/>
      <w:bookmarkEnd w:id="217"/>
      <w:bookmarkEnd w:id="218"/>
      <w:bookmarkEnd w:id="219"/>
    </w:p>
    <w:p w:rsidR="001B51D6" w:rsidRDefault="00CD1800">
      <w:pPr>
        <w:ind w:firstLine="640"/>
      </w:pPr>
      <w:r>
        <w:t>1</w:t>
      </w:r>
      <w:r>
        <w:t>、项目支出绩效自评表</w:t>
      </w:r>
    </w:p>
    <w:p w:rsidR="001B51D6" w:rsidRDefault="00CD1800">
      <w:pPr>
        <w:ind w:firstLine="640"/>
      </w:pPr>
      <w:r>
        <w:t>2</w:t>
      </w:r>
      <w:r>
        <w:t>、项目支出绩效评价指标体系及评分</w:t>
      </w:r>
    </w:p>
    <w:p w:rsidR="001B51D6" w:rsidRDefault="001B51D6">
      <w:pPr>
        <w:pStyle w:val="2"/>
        <w:ind w:firstLineChars="0" w:firstLine="0"/>
        <w:rPr>
          <w:rFonts w:eastAsia="仿宋_GB2312"/>
        </w:rPr>
      </w:pPr>
      <w:bookmarkStart w:id="220" w:name="_Toc15698"/>
      <w:bookmarkStart w:id="221" w:name="_Toc28598"/>
    </w:p>
    <w:p w:rsidR="001B51D6" w:rsidRDefault="001B51D6">
      <w:pPr>
        <w:pStyle w:val="2"/>
        <w:ind w:firstLine="640"/>
        <w:rPr>
          <w:rFonts w:eastAsia="仿宋_GB2312"/>
        </w:rPr>
        <w:sectPr w:rsidR="001B51D6">
          <w:footerReference w:type="default" r:id="rId9"/>
          <w:pgSz w:w="11906" w:h="16838"/>
          <w:pgMar w:top="816" w:right="1519" w:bottom="1043" w:left="1973" w:header="851" w:footer="992" w:gutter="0"/>
          <w:pgNumType w:start="1"/>
          <w:cols w:space="720"/>
          <w:docGrid w:type="lines" w:linePitch="312"/>
        </w:sectPr>
      </w:pPr>
    </w:p>
    <w:p w:rsidR="001B51D6" w:rsidRDefault="00CD1800">
      <w:pPr>
        <w:pStyle w:val="2"/>
        <w:ind w:firstLine="640"/>
        <w:rPr>
          <w:rFonts w:eastAsia="仿宋_GB2312"/>
        </w:rPr>
      </w:pPr>
      <w:bookmarkStart w:id="222" w:name="_Toc8554"/>
      <w:bookmarkStart w:id="223" w:name="_Toc18224"/>
      <w:bookmarkStart w:id="224" w:name="_Toc30055"/>
      <w:bookmarkStart w:id="225" w:name="_Toc24116"/>
      <w:r>
        <w:rPr>
          <w:rFonts w:eastAsia="仿宋_GB2312"/>
        </w:rPr>
        <w:lastRenderedPageBreak/>
        <w:t>附件</w:t>
      </w:r>
      <w:r>
        <w:rPr>
          <w:rFonts w:eastAsia="仿宋_GB2312"/>
        </w:rPr>
        <w:t>1</w:t>
      </w:r>
      <w:r>
        <w:rPr>
          <w:rFonts w:eastAsia="仿宋_GB2312"/>
        </w:rPr>
        <w:t>：</w:t>
      </w:r>
      <w:bookmarkEnd w:id="220"/>
      <w:bookmarkEnd w:id="221"/>
      <w:r>
        <w:rPr>
          <w:rFonts w:eastAsia="仿宋_GB2312"/>
        </w:rPr>
        <w:t>项目支出绩效自评表</w:t>
      </w:r>
      <w:bookmarkEnd w:id="222"/>
      <w:bookmarkEnd w:id="223"/>
      <w:bookmarkEnd w:id="224"/>
      <w:bookmarkEnd w:id="225"/>
    </w:p>
    <w:p w:rsidR="001B51D6" w:rsidRDefault="00CD1800">
      <w:pPr>
        <w:pStyle w:val="a7"/>
        <w:rPr>
          <w:rFonts w:hint="default"/>
        </w:rPr>
      </w:pPr>
      <w:bookmarkStart w:id="226" w:name="_Toc26193"/>
      <w:bookmarkStart w:id="227" w:name="_Toc9405"/>
      <w:bookmarkStart w:id="228" w:name="_Toc24776"/>
      <w:bookmarkStart w:id="229" w:name="_Toc8468"/>
      <w:r>
        <w:rPr>
          <w:rFonts w:hint="default"/>
        </w:rPr>
        <w:t>项目支出绩效自评表</w:t>
      </w:r>
      <w:bookmarkEnd w:id="226"/>
      <w:bookmarkEnd w:id="227"/>
      <w:bookmarkEnd w:id="228"/>
      <w:bookmarkEnd w:id="229"/>
    </w:p>
    <w:tbl>
      <w:tblPr>
        <w:tblW w:w="5000" w:type="pct"/>
        <w:tblLook w:val="0600" w:firstRow="0" w:lastRow="0" w:firstColumn="0" w:lastColumn="0" w:noHBand="1" w:noVBand="1"/>
      </w:tblPr>
      <w:tblGrid>
        <w:gridCol w:w="635"/>
        <w:gridCol w:w="702"/>
        <w:gridCol w:w="1380"/>
        <w:gridCol w:w="1796"/>
        <w:gridCol w:w="1246"/>
        <w:gridCol w:w="1325"/>
        <w:gridCol w:w="887"/>
        <w:gridCol w:w="863"/>
        <w:gridCol w:w="1021"/>
        <w:gridCol w:w="772"/>
        <w:gridCol w:w="1237"/>
        <w:gridCol w:w="1024"/>
        <w:gridCol w:w="1170"/>
        <w:gridCol w:w="1137"/>
      </w:tblGrid>
      <w:tr w:rsidR="001B51D6">
        <w:trPr>
          <w:trHeight w:val="553"/>
        </w:trPr>
        <w:tc>
          <w:tcPr>
            <w:tcW w:w="5000" w:type="pct"/>
            <w:gridSpan w:val="14"/>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(2024</w:t>
            </w:r>
            <w:r>
              <w:t>年度</w:t>
            </w:r>
            <w:r>
              <w:t>)</w:t>
            </w:r>
          </w:p>
        </w:tc>
      </w:tr>
      <w:tr w:rsidR="001B51D6">
        <w:trPr>
          <w:trHeight w:val="270"/>
        </w:trPr>
        <w:tc>
          <w:tcPr>
            <w:tcW w:w="440" w:type="pct"/>
            <w:gridSpan w:val="2"/>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项目名称</w:t>
            </w:r>
          </w:p>
        </w:tc>
        <w:tc>
          <w:tcPr>
            <w:tcW w:w="4559" w:type="pct"/>
            <w:gridSpan w:val="12"/>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2024</w:t>
            </w:r>
            <w:r>
              <w:t>年园林绿化服务费</w:t>
            </w:r>
          </w:p>
        </w:tc>
      </w:tr>
      <w:tr w:rsidR="001B51D6">
        <w:trPr>
          <w:trHeight w:val="600"/>
        </w:trPr>
        <w:tc>
          <w:tcPr>
            <w:tcW w:w="440" w:type="pct"/>
            <w:gridSpan w:val="2"/>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主管部门</w:t>
            </w:r>
          </w:p>
        </w:tc>
        <w:tc>
          <w:tcPr>
            <w:tcW w:w="2182" w:type="pct"/>
            <w:gridSpan w:val="5"/>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尉犁县住房和城乡建设局</w:t>
            </w:r>
          </w:p>
        </w:tc>
        <w:tc>
          <w:tcPr>
            <w:tcW w:w="620" w:type="pct"/>
            <w:gridSpan w:val="2"/>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实施单位</w:t>
            </w:r>
          </w:p>
        </w:tc>
        <w:tc>
          <w:tcPr>
            <w:tcW w:w="1755" w:type="pct"/>
            <w:gridSpan w:val="5"/>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尉犁县住房和城乡建设局</w:t>
            </w:r>
          </w:p>
        </w:tc>
      </w:tr>
      <w:tr w:rsidR="001B51D6">
        <w:trPr>
          <w:trHeight w:val="440"/>
        </w:trPr>
        <w:tc>
          <w:tcPr>
            <w:tcW w:w="440" w:type="pct"/>
            <w:gridSpan w:val="2"/>
            <w:vMerge w:val="restar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项目资金</w:t>
            </w:r>
            <w:r>
              <w:br/>
            </w:r>
            <w:r>
              <w:t>（万元）</w:t>
            </w:r>
          </w:p>
        </w:tc>
        <w:tc>
          <w:tcPr>
            <w:tcW w:w="1044" w:type="pct"/>
            <w:gridSpan w:val="2"/>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资金来源</w:t>
            </w:r>
          </w:p>
        </w:tc>
        <w:tc>
          <w:tcPr>
            <w:tcW w:w="410"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年初预算数</w:t>
            </w:r>
          </w:p>
        </w:tc>
        <w:tc>
          <w:tcPr>
            <w:tcW w:w="728" w:type="pct"/>
            <w:gridSpan w:val="2"/>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全年预算数</w:t>
            </w:r>
          </w:p>
        </w:tc>
        <w:tc>
          <w:tcPr>
            <w:tcW w:w="620" w:type="pct"/>
            <w:gridSpan w:val="2"/>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全年执行数</w:t>
            </w:r>
          </w:p>
        </w:tc>
        <w:tc>
          <w:tcPr>
            <w:tcW w:w="661" w:type="pct"/>
            <w:gridSpan w:val="2"/>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分值权重</w:t>
            </w:r>
          </w:p>
        </w:tc>
        <w:tc>
          <w:tcPr>
            <w:tcW w:w="722" w:type="pct"/>
            <w:gridSpan w:val="2"/>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执行率</w:t>
            </w:r>
          </w:p>
        </w:tc>
        <w:tc>
          <w:tcPr>
            <w:tcW w:w="371"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得分</w:t>
            </w:r>
          </w:p>
        </w:tc>
      </w:tr>
      <w:tr w:rsidR="001B51D6">
        <w:trPr>
          <w:trHeight w:val="440"/>
        </w:trPr>
        <w:tc>
          <w:tcPr>
            <w:tcW w:w="440" w:type="pct"/>
            <w:gridSpan w:val="2"/>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rPr>
                <w:rFonts w:hint="default"/>
              </w:rPr>
            </w:pPr>
          </w:p>
        </w:tc>
        <w:tc>
          <w:tcPr>
            <w:tcW w:w="1044" w:type="pct"/>
            <w:gridSpan w:val="2"/>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年度资金总额</w:t>
            </w:r>
          </w:p>
        </w:tc>
        <w:tc>
          <w:tcPr>
            <w:tcW w:w="410"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218.29</w:t>
            </w:r>
          </w:p>
        </w:tc>
        <w:tc>
          <w:tcPr>
            <w:tcW w:w="728" w:type="pct"/>
            <w:gridSpan w:val="2"/>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1087.08</w:t>
            </w:r>
          </w:p>
        </w:tc>
        <w:tc>
          <w:tcPr>
            <w:tcW w:w="620" w:type="pct"/>
            <w:gridSpan w:val="2"/>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1087.08</w:t>
            </w:r>
          </w:p>
        </w:tc>
        <w:tc>
          <w:tcPr>
            <w:tcW w:w="661" w:type="pct"/>
            <w:gridSpan w:val="2"/>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10</w:t>
            </w:r>
          </w:p>
        </w:tc>
        <w:tc>
          <w:tcPr>
            <w:tcW w:w="722" w:type="pct"/>
            <w:gridSpan w:val="2"/>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100.00%</w:t>
            </w:r>
          </w:p>
        </w:tc>
        <w:tc>
          <w:tcPr>
            <w:tcW w:w="371"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10.00</w:t>
            </w:r>
            <w:r>
              <w:t>分</w:t>
            </w:r>
          </w:p>
        </w:tc>
      </w:tr>
      <w:tr w:rsidR="001B51D6">
        <w:trPr>
          <w:trHeight w:val="440"/>
        </w:trPr>
        <w:tc>
          <w:tcPr>
            <w:tcW w:w="440" w:type="pct"/>
            <w:gridSpan w:val="2"/>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rPr>
                <w:rFonts w:hint="default"/>
              </w:rPr>
            </w:pPr>
          </w:p>
        </w:tc>
        <w:tc>
          <w:tcPr>
            <w:tcW w:w="1044" w:type="pct"/>
            <w:gridSpan w:val="2"/>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其中：当年财政拨款</w:t>
            </w:r>
          </w:p>
        </w:tc>
        <w:tc>
          <w:tcPr>
            <w:tcW w:w="410"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218.29</w:t>
            </w:r>
          </w:p>
        </w:tc>
        <w:tc>
          <w:tcPr>
            <w:tcW w:w="728" w:type="pct"/>
            <w:gridSpan w:val="2"/>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 xml:space="preserve">1087.08 </w:t>
            </w:r>
          </w:p>
        </w:tc>
        <w:tc>
          <w:tcPr>
            <w:tcW w:w="620" w:type="pct"/>
            <w:gridSpan w:val="2"/>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1087.08</w:t>
            </w:r>
          </w:p>
        </w:tc>
        <w:tc>
          <w:tcPr>
            <w:tcW w:w="661" w:type="pct"/>
            <w:gridSpan w:val="2"/>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w:t>
            </w:r>
          </w:p>
        </w:tc>
        <w:tc>
          <w:tcPr>
            <w:tcW w:w="722" w:type="pct"/>
            <w:gridSpan w:val="2"/>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w:t>
            </w:r>
          </w:p>
        </w:tc>
        <w:tc>
          <w:tcPr>
            <w:tcW w:w="371"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w:t>
            </w:r>
          </w:p>
        </w:tc>
      </w:tr>
      <w:tr w:rsidR="001B51D6">
        <w:trPr>
          <w:trHeight w:val="440"/>
        </w:trPr>
        <w:tc>
          <w:tcPr>
            <w:tcW w:w="440" w:type="pct"/>
            <w:gridSpan w:val="2"/>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rPr>
                <w:rFonts w:hint="default"/>
              </w:rPr>
            </w:pPr>
          </w:p>
        </w:tc>
        <w:tc>
          <w:tcPr>
            <w:tcW w:w="1044" w:type="pct"/>
            <w:gridSpan w:val="2"/>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其他资金</w:t>
            </w:r>
          </w:p>
        </w:tc>
        <w:tc>
          <w:tcPr>
            <w:tcW w:w="410"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0.00</w:t>
            </w:r>
          </w:p>
        </w:tc>
        <w:tc>
          <w:tcPr>
            <w:tcW w:w="728" w:type="pct"/>
            <w:gridSpan w:val="2"/>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0.00</w:t>
            </w:r>
          </w:p>
        </w:tc>
        <w:tc>
          <w:tcPr>
            <w:tcW w:w="620" w:type="pct"/>
            <w:gridSpan w:val="2"/>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0</w:t>
            </w:r>
          </w:p>
        </w:tc>
        <w:tc>
          <w:tcPr>
            <w:tcW w:w="661" w:type="pct"/>
            <w:gridSpan w:val="2"/>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w:t>
            </w:r>
          </w:p>
        </w:tc>
        <w:tc>
          <w:tcPr>
            <w:tcW w:w="722" w:type="pct"/>
            <w:gridSpan w:val="2"/>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w:t>
            </w:r>
          </w:p>
        </w:tc>
        <w:tc>
          <w:tcPr>
            <w:tcW w:w="371"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w:t>
            </w:r>
          </w:p>
        </w:tc>
      </w:tr>
      <w:tr w:rsidR="001B51D6">
        <w:trPr>
          <w:trHeight w:val="600"/>
        </w:trPr>
        <w:tc>
          <w:tcPr>
            <w:tcW w:w="209" w:type="pct"/>
            <w:vMerge w:val="restar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年度总体目标</w:t>
            </w:r>
          </w:p>
        </w:tc>
        <w:tc>
          <w:tcPr>
            <w:tcW w:w="3034" w:type="pct"/>
            <w:gridSpan w:val="8"/>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总体目标</w:t>
            </w:r>
          </w:p>
        </w:tc>
        <w:tc>
          <w:tcPr>
            <w:tcW w:w="1755" w:type="pct"/>
            <w:gridSpan w:val="5"/>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总体目标完成情况</w:t>
            </w:r>
          </w:p>
        </w:tc>
      </w:tr>
      <w:tr w:rsidR="001B51D6">
        <w:trPr>
          <w:trHeight w:val="600"/>
        </w:trPr>
        <w:tc>
          <w:tcPr>
            <w:tcW w:w="209"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rPr>
                <w:rFonts w:hint="default"/>
              </w:rPr>
            </w:pPr>
          </w:p>
        </w:tc>
        <w:tc>
          <w:tcPr>
            <w:tcW w:w="3034" w:type="pct"/>
            <w:gridSpan w:val="8"/>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加强对尉犁县城市绿化植物的养护管理，园林作业绿化面积</w:t>
            </w:r>
            <w:r>
              <w:t>4678.9</w:t>
            </w:r>
            <w:r>
              <w:t>亩，绿化覆盖率达</w:t>
            </w:r>
            <w:r>
              <w:t>95%</w:t>
            </w:r>
            <w:r>
              <w:t>；补栽苗木</w:t>
            </w:r>
            <w:r>
              <w:t>19.64</w:t>
            </w:r>
            <w:r>
              <w:t>万株。促进城市绿化事业的发展，改善生态环境、人居环境、美化生活环境。</w:t>
            </w:r>
          </w:p>
        </w:tc>
        <w:tc>
          <w:tcPr>
            <w:tcW w:w="1755" w:type="pct"/>
            <w:gridSpan w:val="5"/>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已完成养护绿化面积达到</w:t>
            </w:r>
            <w:r>
              <w:t>4678.9</w:t>
            </w:r>
            <w:r>
              <w:t>亩，已补栽苗木</w:t>
            </w:r>
            <w:r>
              <w:t>19.64</w:t>
            </w:r>
            <w:r>
              <w:t>万株，促进城市绿化事业的发展，提升了城市美观度、改善了居民生活环境，促进居民健康。</w:t>
            </w:r>
          </w:p>
        </w:tc>
      </w:tr>
      <w:tr w:rsidR="001B51D6">
        <w:trPr>
          <w:trHeight w:val="1268"/>
        </w:trPr>
        <w:tc>
          <w:tcPr>
            <w:tcW w:w="209" w:type="pct"/>
            <w:tcBorders>
              <w:top w:val="single" w:sz="4" w:space="0" w:color="auto"/>
              <w:left w:val="single" w:sz="4" w:space="0" w:color="auto"/>
              <w:bottom w:val="single" w:sz="4" w:space="0" w:color="auto"/>
              <w:right w:val="single" w:sz="4" w:space="0" w:color="auto"/>
            </w:tcBorders>
            <w:vAlign w:val="center"/>
          </w:tcPr>
          <w:p w:rsidR="001B51D6" w:rsidRDefault="001B51D6">
            <w:pPr>
              <w:pStyle w:val="a8"/>
              <w:rPr>
                <w:rFonts w:hint="default"/>
              </w:rPr>
            </w:pPr>
          </w:p>
        </w:tc>
        <w:tc>
          <w:tcPr>
            <w:tcW w:w="230"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一级指标</w:t>
            </w:r>
          </w:p>
        </w:tc>
        <w:tc>
          <w:tcPr>
            <w:tcW w:w="454"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二级指标</w:t>
            </w:r>
          </w:p>
        </w:tc>
        <w:tc>
          <w:tcPr>
            <w:tcW w:w="589"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三级指标</w:t>
            </w:r>
          </w:p>
        </w:tc>
        <w:tc>
          <w:tcPr>
            <w:tcW w:w="410"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指标值</w:t>
            </w:r>
          </w:p>
        </w:tc>
        <w:tc>
          <w:tcPr>
            <w:tcW w:w="436"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指标值设置依据</w:t>
            </w:r>
          </w:p>
        </w:tc>
        <w:tc>
          <w:tcPr>
            <w:tcW w:w="291"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上年完成值</w:t>
            </w:r>
          </w:p>
        </w:tc>
        <w:tc>
          <w:tcPr>
            <w:tcW w:w="284"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指标分值权重</w:t>
            </w:r>
          </w:p>
        </w:tc>
        <w:tc>
          <w:tcPr>
            <w:tcW w:w="335"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proofErr w:type="gramStart"/>
            <w:r>
              <w:t>指标赋分规则</w:t>
            </w:r>
            <w:proofErr w:type="gramEnd"/>
          </w:p>
        </w:tc>
        <w:tc>
          <w:tcPr>
            <w:tcW w:w="254"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佐证资料</w:t>
            </w:r>
          </w:p>
        </w:tc>
        <w:tc>
          <w:tcPr>
            <w:tcW w:w="407"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指标实际完成值</w:t>
            </w:r>
          </w:p>
        </w:tc>
        <w:tc>
          <w:tcPr>
            <w:tcW w:w="337"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完成率</w:t>
            </w:r>
          </w:p>
        </w:tc>
        <w:tc>
          <w:tcPr>
            <w:tcW w:w="384"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指标得分</w:t>
            </w:r>
          </w:p>
        </w:tc>
        <w:tc>
          <w:tcPr>
            <w:tcW w:w="371"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偏差原因分析及改进措施</w:t>
            </w:r>
          </w:p>
        </w:tc>
      </w:tr>
      <w:tr w:rsidR="001B51D6">
        <w:trPr>
          <w:trHeight w:val="600"/>
        </w:trPr>
        <w:tc>
          <w:tcPr>
            <w:tcW w:w="209" w:type="pct"/>
            <w:vMerge w:val="restar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lastRenderedPageBreak/>
              <w:t>年度绩效指标完成情况</w:t>
            </w:r>
          </w:p>
        </w:tc>
        <w:tc>
          <w:tcPr>
            <w:tcW w:w="230" w:type="pct"/>
            <w:vMerge w:val="restar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产出指标</w:t>
            </w:r>
          </w:p>
        </w:tc>
        <w:tc>
          <w:tcPr>
            <w:tcW w:w="454"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数量指标</w:t>
            </w:r>
          </w:p>
        </w:tc>
        <w:tc>
          <w:tcPr>
            <w:tcW w:w="589"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园林作业绿化面积</w:t>
            </w:r>
          </w:p>
        </w:tc>
        <w:tc>
          <w:tcPr>
            <w:tcW w:w="410"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&gt;=4678.9</w:t>
            </w:r>
            <w:r>
              <w:t>亩</w:t>
            </w:r>
          </w:p>
        </w:tc>
        <w:tc>
          <w:tcPr>
            <w:tcW w:w="436"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计划标准</w:t>
            </w:r>
          </w:p>
        </w:tc>
        <w:tc>
          <w:tcPr>
            <w:tcW w:w="291"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w:t>
            </w:r>
          </w:p>
        </w:tc>
        <w:tc>
          <w:tcPr>
            <w:tcW w:w="284"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10</w:t>
            </w:r>
          </w:p>
        </w:tc>
        <w:tc>
          <w:tcPr>
            <w:tcW w:w="335"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按照完成</w:t>
            </w:r>
            <w:proofErr w:type="gramStart"/>
            <w:r>
              <w:t>比例赋分</w:t>
            </w:r>
            <w:proofErr w:type="gramEnd"/>
          </w:p>
        </w:tc>
        <w:tc>
          <w:tcPr>
            <w:tcW w:w="254"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工作资料</w:t>
            </w:r>
          </w:p>
        </w:tc>
        <w:tc>
          <w:tcPr>
            <w:tcW w:w="407"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=4678.9</w:t>
            </w:r>
            <w:r>
              <w:t>亩</w:t>
            </w:r>
          </w:p>
        </w:tc>
        <w:tc>
          <w:tcPr>
            <w:tcW w:w="337"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100%</w:t>
            </w:r>
          </w:p>
        </w:tc>
        <w:tc>
          <w:tcPr>
            <w:tcW w:w="384"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10</w:t>
            </w:r>
          </w:p>
        </w:tc>
        <w:tc>
          <w:tcPr>
            <w:tcW w:w="371" w:type="pct"/>
            <w:tcBorders>
              <w:top w:val="single" w:sz="4" w:space="0" w:color="auto"/>
              <w:left w:val="single" w:sz="4" w:space="0" w:color="auto"/>
              <w:bottom w:val="single" w:sz="4" w:space="0" w:color="auto"/>
              <w:right w:val="single" w:sz="4" w:space="0" w:color="auto"/>
            </w:tcBorders>
            <w:vAlign w:val="center"/>
          </w:tcPr>
          <w:p w:rsidR="001B51D6" w:rsidRDefault="001B51D6">
            <w:pPr>
              <w:pStyle w:val="a8"/>
              <w:rPr>
                <w:rFonts w:hint="default"/>
              </w:rPr>
            </w:pPr>
          </w:p>
        </w:tc>
      </w:tr>
      <w:tr w:rsidR="001B51D6">
        <w:trPr>
          <w:trHeight w:val="600"/>
        </w:trPr>
        <w:tc>
          <w:tcPr>
            <w:tcW w:w="209"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rPr>
                <w:rFonts w:hint="default"/>
              </w:rPr>
            </w:pPr>
          </w:p>
        </w:tc>
        <w:tc>
          <w:tcPr>
            <w:tcW w:w="230"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rPr>
                <w:rFonts w:hint="default"/>
              </w:rPr>
            </w:pPr>
          </w:p>
        </w:tc>
        <w:tc>
          <w:tcPr>
            <w:tcW w:w="454"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数量指标</w:t>
            </w:r>
          </w:p>
        </w:tc>
        <w:tc>
          <w:tcPr>
            <w:tcW w:w="589"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补栽苗木数量</w:t>
            </w:r>
          </w:p>
        </w:tc>
        <w:tc>
          <w:tcPr>
            <w:tcW w:w="410"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&gt;</w:t>
            </w:r>
            <w:r>
              <w:t>=19.64</w:t>
            </w:r>
            <w:r>
              <w:t>万株</w:t>
            </w:r>
          </w:p>
        </w:tc>
        <w:tc>
          <w:tcPr>
            <w:tcW w:w="436"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计划标准</w:t>
            </w:r>
          </w:p>
        </w:tc>
        <w:tc>
          <w:tcPr>
            <w:tcW w:w="291"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w:t>
            </w:r>
          </w:p>
        </w:tc>
        <w:tc>
          <w:tcPr>
            <w:tcW w:w="284"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10</w:t>
            </w:r>
          </w:p>
        </w:tc>
        <w:tc>
          <w:tcPr>
            <w:tcW w:w="335"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按照完成</w:t>
            </w:r>
            <w:proofErr w:type="gramStart"/>
            <w:r>
              <w:t>比例赋分</w:t>
            </w:r>
            <w:proofErr w:type="gramEnd"/>
          </w:p>
        </w:tc>
        <w:tc>
          <w:tcPr>
            <w:tcW w:w="254"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工作资料</w:t>
            </w:r>
          </w:p>
        </w:tc>
        <w:tc>
          <w:tcPr>
            <w:tcW w:w="407"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=19.64</w:t>
            </w:r>
            <w:r>
              <w:t>万株</w:t>
            </w:r>
          </w:p>
        </w:tc>
        <w:tc>
          <w:tcPr>
            <w:tcW w:w="337"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100%</w:t>
            </w:r>
          </w:p>
        </w:tc>
        <w:tc>
          <w:tcPr>
            <w:tcW w:w="384"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10</w:t>
            </w:r>
          </w:p>
        </w:tc>
        <w:tc>
          <w:tcPr>
            <w:tcW w:w="371" w:type="pct"/>
            <w:tcBorders>
              <w:top w:val="single" w:sz="4" w:space="0" w:color="auto"/>
              <w:left w:val="single" w:sz="4" w:space="0" w:color="auto"/>
              <w:bottom w:val="single" w:sz="4" w:space="0" w:color="auto"/>
              <w:right w:val="single" w:sz="4" w:space="0" w:color="auto"/>
            </w:tcBorders>
            <w:vAlign w:val="center"/>
          </w:tcPr>
          <w:p w:rsidR="001B51D6" w:rsidRDefault="001B51D6">
            <w:pPr>
              <w:pStyle w:val="a8"/>
              <w:rPr>
                <w:rFonts w:hint="default"/>
              </w:rPr>
            </w:pPr>
          </w:p>
        </w:tc>
      </w:tr>
      <w:tr w:rsidR="001B51D6">
        <w:trPr>
          <w:trHeight w:val="600"/>
        </w:trPr>
        <w:tc>
          <w:tcPr>
            <w:tcW w:w="209"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rPr>
                <w:rFonts w:hint="default"/>
              </w:rPr>
            </w:pPr>
          </w:p>
        </w:tc>
        <w:tc>
          <w:tcPr>
            <w:tcW w:w="230"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rPr>
                <w:rFonts w:hint="default"/>
              </w:rPr>
            </w:pPr>
          </w:p>
        </w:tc>
        <w:tc>
          <w:tcPr>
            <w:tcW w:w="454"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质量指标</w:t>
            </w:r>
          </w:p>
        </w:tc>
        <w:tc>
          <w:tcPr>
            <w:tcW w:w="589"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苗木成活率</w:t>
            </w:r>
          </w:p>
        </w:tc>
        <w:tc>
          <w:tcPr>
            <w:tcW w:w="410"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&gt;=95%</w:t>
            </w:r>
          </w:p>
        </w:tc>
        <w:tc>
          <w:tcPr>
            <w:tcW w:w="436"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计划标准</w:t>
            </w:r>
          </w:p>
        </w:tc>
        <w:tc>
          <w:tcPr>
            <w:tcW w:w="291"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w:t>
            </w:r>
          </w:p>
        </w:tc>
        <w:tc>
          <w:tcPr>
            <w:tcW w:w="284"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10</w:t>
            </w:r>
          </w:p>
        </w:tc>
        <w:tc>
          <w:tcPr>
            <w:tcW w:w="335"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按照完成</w:t>
            </w:r>
            <w:proofErr w:type="gramStart"/>
            <w:r>
              <w:t>比例赋分</w:t>
            </w:r>
            <w:proofErr w:type="gramEnd"/>
          </w:p>
        </w:tc>
        <w:tc>
          <w:tcPr>
            <w:tcW w:w="254"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工作资料</w:t>
            </w:r>
          </w:p>
        </w:tc>
        <w:tc>
          <w:tcPr>
            <w:tcW w:w="407"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=95%</w:t>
            </w:r>
          </w:p>
        </w:tc>
        <w:tc>
          <w:tcPr>
            <w:tcW w:w="337"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100%</w:t>
            </w:r>
          </w:p>
        </w:tc>
        <w:tc>
          <w:tcPr>
            <w:tcW w:w="384"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10</w:t>
            </w:r>
          </w:p>
        </w:tc>
        <w:tc>
          <w:tcPr>
            <w:tcW w:w="371" w:type="pct"/>
            <w:tcBorders>
              <w:top w:val="single" w:sz="4" w:space="0" w:color="auto"/>
              <w:left w:val="single" w:sz="4" w:space="0" w:color="auto"/>
              <w:bottom w:val="single" w:sz="4" w:space="0" w:color="auto"/>
              <w:right w:val="single" w:sz="4" w:space="0" w:color="auto"/>
            </w:tcBorders>
            <w:vAlign w:val="center"/>
          </w:tcPr>
          <w:p w:rsidR="001B51D6" w:rsidRDefault="001B51D6">
            <w:pPr>
              <w:pStyle w:val="a8"/>
              <w:rPr>
                <w:rFonts w:hint="default"/>
              </w:rPr>
            </w:pPr>
          </w:p>
        </w:tc>
      </w:tr>
      <w:tr w:rsidR="001B51D6">
        <w:trPr>
          <w:trHeight w:val="600"/>
        </w:trPr>
        <w:tc>
          <w:tcPr>
            <w:tcW w:w="209"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rPr>
                <w:rFonts w:hint="default"/>
              </w:rPr>
            </w:pPr>
          </w:p>
        </w:tc>
        <w:tc>
          <w:tcPr>
            <w:tcW w:w="230"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rPr>
                <w:rFonts w:hint="default"/>
              </w:rPr>
            </w:pPr>
          </w:p>
        </w:tc>
        <w:tc>
          <w:tcPr>
            <w:tcW w:w="454"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时效指标</w:t>
            </w:r>
          </w:p>
        </w:tc>
        <w:tc>
          <w:tcPr>
            <w:tcW w:w="589"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园林绿化达标考核及时率</w:t>
            </w:r>
          </w:p>
        </w:tc>
        <w:tc>
          <w:tcPr>
            <w:tcW w:w="410"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=100%</w:t>
            </w:r>
          </w:p>
        </w:tc>
        <w:tc>
          <w:tcPr>
            <w:tcW w:w="436"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计划标准</w:t>
            </w:r>
          </w:p>
        </w:tc>
        <w:tc>
          <w:tcPr>
            <w:tcW w:w="291"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w:t>
            </w:r>
          </w:p>
        </w:tc>
        <w:tc>
          <w:tcPr>
            <w:tcW w:w="284"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10</w:t>
            </w:r>
          </w:p>
        </w:tc>
        <w:tc>
          <w:tcPr>
            <w:tcW w:w="335"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按照完成</w:t>
            </w:r>
            <w:proofErr w:type="gramStart"/>
            <w:r>
              <w:t>比例赋分</w:t>
            </w:r>
            <w:proofErr w:type="gramEnd"/>
          </w:p>
        </w:tc>
        <w:tc>
          <w:tcPr>
            <w:tcW w:w="254"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工作资料</w:t>
            </w:r>
          </w:p>
        </w:tc>
        <w:tc>
          <w:tcPr>
            <w:tcW w:w="407"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=100%</w:t>
            </w:r>
          </w:p>
        </w:tc>
        <w:tc>
          <w:tcPr>
            <w:tcW w:w="337"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100%</w:t>
            </w:r>
          </w:p>
        </w:tc>
        <w:tc>
          <w:tcPr>
            <w:tcW w:w="384"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10</w:t>
            </w:r>
          </w:p>
        </w:tc>
        <w:tc>
          <w:tcPr>
            <w:tcW w:w="371" w:type="pct"/>
            <w:tcBorders>
              <w:top w:val="single" w:sz="4" w:space="0" w:color="auto"/>
              <w:left w:val="single" w:sz="4" w:space="0" w:color="auto"/>
              <w:bottom w:val="single" w:sz="4" w:space="0" w:color="auto"/>
              <w:right w:val="single" w:sz="4" w:space="0" w:color="auto"/>
            </w:tcBorders>
            <w:vAlign w:val="center"/>
          </w:tcPr>
          <w:p w:rsidR="001B51D6" w:rsidRDefault="001B51D6">
            <w:pPr>
              <w:pStyle w:val="a8"/>
              <w:rPr>
                <w:rFonts w:hint="default"/>
              </w:rPr>
            </w:pPr>
          </w:p>
        </w:tc>
      </w:tr>
      <w:tr w:rsidR="001B51D6">
        <w:trPr>
          <w:trHeight w:val="600"/>
        </w:trPr>
        <w:tc>
          <w:tcPr>
            <w:tcW w:w="209"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rPr>
                <w:rFonts w:hint="default"/>
              </w:rPr>
            </w:pPr>
          </w:p>
        </w:tc>
        <w:tc>
          <w:tcPr>
            <w:tcW w:w="230" w:type="pct"/>
            <w:vMerge w:val="restar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成本指标</w:t>
            </w:r>
          </w:p>
        </w:tc>
        <w:tc>
          <w:tcPr>
            <w:tcW w:w="454"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经济成本指标</w:t>
            </w:r>
          </w:p>
        </w:tc>
        <w:tc>
          <w:tcPr>
            <w:tcW w:w="589"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高洁公司绿化服务费</w:t>
            </w:r>
          </w:p>
        </w:tc>
        <w:tc>
          <w:tcPr>
            <w:tcW w:w="410"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&lt;=494.76</w:t>
            </w:r>
            <w:r>
              <w:t>万元</w:t>
            </w:r>
          </w:p>
        </w:tc>
        <w:tc>
          <w:tcPr>
            <w:tcW w:w="436"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计划标准</w:t>
            </w:r>
          </w:p>
        </w:tc>
        <w:tc>
          <w:tcPr>
            <w:tcW w:w="291"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w:t>
            </w:r>
          </w:p>
        </w:tc>
        <w:tc>
          <w:tcPr>
            <w:tcW w:w="284"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10</w:t>
            </w:r>
          </w:p>
        </w:tc>
        <w:tc>
          <w:tcPr>
            <w:tcW w:w="335"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按照完成</w:t>
            </w:r>
            <w:proofErr w:type="gramStart"/>
            <w:r>
              <w:t>比例赋分</w:t>
            </w:r>
            <w:proofErr w:type="gramEnd"/>
          </w:p>
        </w:tc>
        <w:tc>
          <w:tcPr>
            <w:tcW w:w="254"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原始凭证</w:t>
            </w:r>
          </w:p>
        </w:tc>
        <w:tc>
          <w:tcPr>
            <w:tcW w:w="407"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=494.76</w:t>
            </w:r>
            <w:r>
              <w:t>万元</w:t>
            </w:r>
          </w:p>
        </w:tc>
        <w:tc>
          <w:tcPr>
            <w:tcW w:w="337"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100%</w:t>
            </w:r>
          </w:p>
        </w:tc>
        <w:tc>
          <w:tcPr>
            <w:tcW w:w="384"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10</w:t>
            </w:r>
          </w:p>
        </w:tc>
        <w:tc>
          <w:tcPr>
            <w:tcW w:w="371" w:type="pct"/>
            <w:tcBorders>
              <w:top w:val="single" w:sz="4" w:space="0" w:color="auto"/>
              <w:left w:val="single" w:sz="4" w:space="0" w:color="auto"/>
              <w:bottom w:val="single" w:sz="4" w:space="0" w:color="auto"/>
              <w:right w:val="single" w:sz="4" w:space="0" w:color="auto"/>
            </w:tcBorders>
            <w:vAlign w:val="center"/>
          </w:tcPr>
          <w:p w:rsidR="001B51D6" w:rsidRDefault="001B51D6">
            <w:pPr>
              <w:pStyle w:val="a8"/>
              <w:rPr>
                <w:rFonts w:hint="default"/>
              </w:rPr>
            </w:pPr>
          </w:p>
        </w:tc>
      </w:tr>
      <w:tr w:rsidR="001B51D6">
        <w:trPr>
          <w:trHeight w:val="600"/>
        </w:trPr>
        <w:tc>
          <w:tcPr>
            <w:tcW w:w="209"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rPr>
                <w:rFonts w:hint="default"/>
              </w:rPr>
            </w:pPr>
          </w:p>
        </w:tc>
        <w:tc>
          <w:tcPr>
            <w:tcW w:w="230"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rPr>
                <w:rFonts w:hint="default"/>
              </w:rPr>
            </w:pPr>
          </w:p>
        </w:tc>
        <w:tc>
          <w:tcPr>
            <w:tcW w:w="454"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经济成本指标</w:t>
            </w:r>
          </w:p>
        </w:tc>
        <w:tc>
          <w:tcPr>
            <w:tcW w:w="589"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八方景生态公司绿化服务费</w:t>
            </w:r>
          </w:p>
        </w:tc>
        <w:tc>
          <w:tcPr>
            <w:tcW w:w="410"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&lt;=592.32</w:t>
            </w:r>
            <w:r>
              <w:t>万元</w:t>
            </w:r>
          </w:p>
        </w:tc>
        <w:tc>
          <w:tcPr>
            <w:tcW w:w="436"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计划标准</w:t>
            </w:r>
          </w:p>
        </w:tc>
        <w:tc>
          <w:tcPr>
            <w:tcW w:w="291"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w:t>
            </w:r>
          </w:p>
        </w:tc>
        <w:tc>
          <w:tcPr>
            <w:tcW w:w="284"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10</w:t>
            </w:r>
          </w:p>
        </w:tc>
        <w:tc>
          <w:tcPr>
            <w:tcW w:w="335"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按照完成</w:t>
            </w:r>
            <w:proofErr w:type="gramStart"/>
            <w:r>
              <w:t>比例赋分</w:t>
            </w:r>
            <w:proofErr w:type="gramEnd"/>
          </w:p>
        </w:tc>
        <w:tc>
          <w:tcPr>
            <w:tcW w:w="254"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原始凭证</w:t>
            </w:r>
          </w:p>
        </w:tc>
        <w:tc>
          <w:tcPr>
            <w:tcW w:w="407"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=592.32</w:t>
            </w:r>
            <w:r>
              <w:t>万元</w:t>
            </w:r>
          </w:p>
        </w:tc>
        <w:tc>
          <w:tcPr>
            <w:tcW w:w="337"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100%</w:t>
            </w:r>
          </w:p>
        </w:tc>
        <w:tc>
          <w:tcPr>
            <w:tcW w:w="384"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10</w:t>
            </w:r>
          </w:p>
        </w:tc>
        <w:tc>
          <w:tcPr>
            <w:tcW w:w="371" w:type="pct"/>
            <w:tcBorders>
              <w:top w:val="single" w:sz="4" w:space="0" w:color="auto"/>
              <w:left w:val="single" w:sz="4" w:space="0" w:color="auto"/>
              <w:bottom w:val="single" w:sz="4" w:space="0" w:color="auto"/>
              <w:right w:val="single" w:sz="4" w:space="0" w:color="auto"/>
            </w:tcBorders>
            <w:vAlign w:val="center"/>
          </w:tcPr>
          <w:p w:rsidR="001B51D6" w:rsidRDefault="001B51D6">
            <w:pPr>
              <w:pStyle w:val="a8"/>
              <w:rPr>
                <w:rFonts w:hint="default"/>
              </w:rPr>
            </w:pPr>
          </w:p>
        </w:tc>
      </w:tr>
      <w:tr w:rsidR="001B51D6">
        <w:trPr>
          <w:trHeight w:val="600"/>
        </w:trPr>
        <w:tc>
          <w:tcPr>
            <w:tcW w:w="209"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rPr>
                <w:rFonts w:hint="default"/>
              </w:rPr>
            </w:pPr>
          </w:p>
        </w:tc>
        <w:tc>
          <w:tcPr>
            <w:tcW w:w="230"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效益指标</w:t>
            </w:r>
          </w:p>
        </w:tc>
        <w:tc>
          <w:tcPr>
            <w:tcW w:w="454"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社会效益指标</w:t>
            </w:r>
          </w:p>
        </w:tc>
        <w:tc>
          <w:tcPr>
            <w:tcW w:w="589"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提高全县绿化率</w:t>
            </w:r>
          </w:p>
        </w:tc>
        <w:tc>
          <w:tcPr>
            <w:tcW w:w="410"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有效提高</w:t>
            </w:r>
          </w:p>
        </w:tc>
        <w:tc>
          <w:tcPr>
            <w:tcW w:w="436"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计划标准</w:t>
            </w:r>
          </w:p>
        </w:tc>
        <w:tc>
          <w:tcPr>
            <w:tcW w:w="291"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w:t>
            </w:r>
          </w:p>
        </w:tc>
        <w:tc>
          <w:tcPr>
            <w:tcW w:w="284"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20</w:t>
            </w:r>
          </w:p>
        </w:tc>
        <w:tc>
          <w:tcPr>
            <w:tcW w:w="335"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按评判</w:t>
            </w:r>
            <w:proofErr w:type="gramStart"/>
            <w:r>
              <w:t>等级赋分</w:t>
            </w:r>
            <w:proofErr w:type="gramEnd"/>
          </w:p>
        </w:tc>
        <w:tc>
          <w:tcPr>
            <w:tcW w:w="254"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工作资料</w:t>
            </w:r>
          </w:p>
        </w:tc>
        <w:tc>
          <w:tcPr>
            <w:tcW w:w="407"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达成目标</w:t>
            </w:r>
          </w:p>
        </w:tc>
        <w:tc>
          <w:tcPr>
            <w:tcW w:w="337"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100%</w:t>
            </w:r>
          </w:p>
        </w:tc>
        <w:tc>
          <w:tcPr>
            <w:tcW w:w="384"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20</w:t>
            </w:r>
          </w:p>
        </w:tc>
        <w:tc>
          <w:tcPr>
            <w:tcW w:w="371" w:type="pct"/>
            <w:tcBorders>
              <w:top w:val="single" w:sz="4" w:space="0" w:color="auto"/>
              <w:left w:val="single" w:sz="4" w:space="0" w:color="auto"/>
              <w:bottom w:val="single" w:sz="4" w:space="0" w:color="auto"/>
              <w:right w:val="single" w:sz="4" w:space="0" w:color="auto"/>
            </w:tcBorders>
            <w:vAlign w:val="center"/>
          </w:tcPr>
          <w:p w:rsidR="001B51D6" w:rsidRDefault="001B51D6">
            <w:pPr>
              <w:pStyle w:val="a8"/>
              <w:rPr>
                <w:rFonts w:hint="default"/>
              </w:rPr>
            </w:pPr>
          </w:p>
        </w:tc>
      </w:tr>
      <w:tr w:rsidR="001B51D6">
        <w:trPr>
          <w:trHeight w:val="600"/>
        </w:trPr>
        <w:tc>
          <w:tcPr>
            <w:tcW w:w="209"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rPr>
                <w:rFonts w:hint="default"/>
              </w:rPr>
            </w:pPr>
          </w:p>
        </w:tc>
        <w:tc>
          <w:tcPr>
            <w:tcW w:w="230"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满意度指标</w:t>
            </w:r>
          </w:p>
        </w:tc>
        <w:tc>
          <w:tcPr>
            <w:tcW w:w="454"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满意度指标</w:t>
            </w:r>
          </w:p>
        </w:tc>
        <w:tc>
          <w:tcPr>
            <w:tcW w:w="589"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城镇居民满意度</w:t>
            </w:r>
          </w:p>
        </w:tc>
        <w:tc>
          <w:tcPr>
            <w:tcW w:w="410"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&gt;=95%</w:t>
            </w:r>
          </w:p>
        </w:tc>
        <w:tc>
          <w:tcPr>
            <w:tcW w:w="436"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计划标准</w:t>
            </w:r>
          </w:p>
        </w:tc>
        <w:tc>
          <w:tcPr>
            <w:tcW w:w="291"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w:t>
            </w:r>
          </w:p>
        </w:tc>
        <w:tc>
          <w:tcPr>
            <w:tcW w:w="284"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10</w:t>
            </w:r>
          </w:p>
        </w:tc>
        <w:tc>
          <w:tcPr>
            <w:tcW w:w="335"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满意</w:t>
            </w:r>
            <w:proofErr w:type="gramStart"/>
            <w:r>
              <w:t>度赋分</w:t>
            </w:r>
            <w:proofErr w:type="gramEnd"/>
          </w:p>
        </w:tc>
        <w:tc>
          <w:tcPr>
            <w:tcW w:w="254"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工作资料</w:t>
            </w:r>
          </w:p>
        </w:tc>
        <w:tc>
          <w:tcPr>
            <w:tcW w:w="407"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=95%</w:t>
            </w:r>
          </w:p>
        </w:tc>
        <w:tc>
          <w:tcPr>
            <w:tcW w:w="337"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100%</w:t>
            </w:r>
          </w:p>
        </w:tc>
        <w:tc>
          <w:tcPr>
            <w:tcW w:w="384"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10</w:t>
            </w:r>
          </w:p>
        </w:tc>
        <w:tc>
          <w:tcPr>
            <w:tcW w:w="371" w:type="pct"/>
            <w:tcBorders>
              <w:top w:val="single" w:sz="4" w:space="0" w:color="auto"/>
              <w:left w:val="single" w:sz="4" w:space="0" w:color="auto"/>
              <w:bottom w:val="single" w:sz="4" w:space="0" w:color="auto"/>
              <w:right w:val="single" w:sz="4" w:space="0" w:color="auto"/>
            </w:tcBorders>
            <w:vAlign w:val="center"/>
          </w:tcPr>
          <w:p w:rsidR="001B51D6" w:rsidRDefault="001B51D6">
            <w:pPr>
              <w:pStyle w:val="a8"/>
              <w:rPr>
                <w:rFonts w:hint="default"/>
              </w:rPr>
            </w:pPr>
          </w:p>
        </w:tc>
      </w:tr>
      <w:tr w:rsidR="001B51D6">
        <w:trPr>
          <w:trHeight w:val="500"/>
        </w:trPr>
        <w:tc>
          <w:tcPr>
            <w:tcW w:w="1485" w:type="pct"/>
            <w:gridSpan w:val="4"/>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总分</w:t>
            </w:r>
          </w:p>
        </w:tc>
        <w:tc>
          <w:tcPr>
            <w:tcW w:w="410" w:type="pct"/>
            <w:tcBorders>
              <w:top w:val="single" w:sz="4" w:space="0" w:color="auto"/>
              <w:left w:val="single" w:sz="4" w:space="0" w:color="auto"/>
              <w:bottom w:val="single" w:sz="4" w:space="0" w:color="auto"/>
              <w:right w:val="single" w:sz="4" w:space="0" w:color="auto"/>
            </w:tcBorders>
            <w:vAlign w:val="center"/>
          </w:tcPr>
          <w:p w:rsidR="001B51D6" w:rsidRDefault="001B51D6">
            <w:pPr>
              <w:pStyle w:val="a8"/>
              <w:rPr>
                <w:rFonts w:hint="default"/>
              </w:rPr>
            </w:pPr>
          </w:p>
        </w:tc>
        <w:tc>
          <w:tcPr>
            <w:tcW w:w="436" w:type="pct"/>
            <w:tcBorders>
              <w:top w:val="single" w:sz="4" w:space="0" w:color="auto"/>
              <w:left w:val="single" w:sz="4" w:space="0" w:color="auto"/>
              <w:bottom w:val="single" w:sz="4" w:space="0" w:color="auto"/>
              <w:right w:val="single" w:sz="4" w:space="0" w:color="auto"/>
            </w:tcBorders>
            <w:vAlign w:val="center"/>
          </w:tcPr>
          <w:p w:rsidR="001B51D6" w:rsidRDefault="001B51D6">
            <w:pPr>
              <w:pStyle w:val="a8"/>
              <w:rPr>
                <w:rFonts w:hint="default"/>
              </w:rPr>
            </w:pPr>
          </w:p>
        </w:tc>
        <w:tc>
          <w:tcPr>
            <w:tcW w:w="291" w:type="pct"/>
            <w:tcBorders>
              <w:top w:val="single" w:sz="4" w:space="0" w:color="auto"/>
              <w:left w:val="single" w:sz="4" w:space="0" w:color="auto"/>
              <w:bottom w:val="single" w:sz="4" w:space="0" w:color="auto"/>
              <w:right w:val="single" w:sz="4" w:space="0" w:color="auto"/>
            </w:tcBorders>
            <w:vAlign w:val="center"/>
          </w:tcPr>
          <w:p w:rsidR="001B51D6" w:rsidRDefault="001B51D6">
            <w:pPr>
              <w:pStyle w:val="a8"/>
              <w:rPr>
                <w:rFonts w:hint="default"/>
              </w:rPr>
            </w:pPr>
          </w:p>
        </w:tc>
        <w:tc>
          <w:tcPr>
            <w:tcW w:w="284" w:type="pct"/>
            <w:tcBorders>
              <w:top w:val="single" w:sz="4" w:space="0" w:color="auto"/>
              <w:left w:val="single" w:sz="4" w:space="0" w:color="auto"/>
              <w:bottom w:val="single" w:sz="4" w:space="0" w:color="auto"/>
              <w:right w:val="single" w:sz="4" w:space="0" w:color="auto"/>
            </w:tcBorders>
            <w:vAlign w:val="center"/>
          </w:tcPr>
          <w:p w:rsidR="001B51D6" w:rsidRDefault="001B51D6">
            <w:pPr>
              <w:pStyle w:val="a8"/>
              <w:rPr>
                <w:rFonts w:hint="default"/>
              </w:rPr>
            </w:pPr>
          </w:p>
        </w:tc>
        <w:tc>
          <w:tcPr>
            <w:tcW w:w="335" w:type="pct"/>
            <w:tcBorders>
              <w:top w:val="single" w:sz="4" w:space="0" w:color="auto"/>
              <w:left w:val="single" w:sz="4" w:space="0" w:color="auto"/>
              <w:bottom w:val="single" w:sz="4" w:space="0" w:color="auto"/>
              <w:right w:val="single" w:sz="4" w:space="0" w:color="auto"/>
            </w:tcBorders>
            <w:vAlign w:val="center"/>
          </w:tcPr>
          <w:p w:rsidR="001B51D6" w:rsidRDefault="001B51D6">
            <w:pPr>
              <w:pStyle w:val="a8"/>
              <w:rPr>
                <w:rFonts w:hint="default"/>
              </w:rPr>
            </w:pPr>
          </w:p>
        </w:tc>
        <w:tc>
          <w:tcPr>
            <w:tcW w:w="254" w:type="pct"/>
            <w:tcBorders>
              <w:top w:val="single" w:sz="4" w:space="0" w:color="auto"/>
              <w:left w:val="single" w:sz="4" w:space="0" w:color="auto"/>
              <w:bottom w:val="single" w:sz="4" w:space="0" w:color="auto"/>
              <w:right w:val="single" w:sz="4" w:space="0" w:color="auto"/>
            </w:tcBorders>
            <w:vAlign w:val="center"/>
          </w:tcPr>
          <w:p w:rsidR="001B51D6" w:rsidRDefault="001B51D6">
            <w:pPr>
              <w:pStyle w:val="a8"/>
              <w:rPr>
                <w:rFonts w:hint="default"/>
              </w:rPr>
            </w:pPr>
          </w:p>
        </w:tc>
        <w:tc>
          <w:tcPr>
            <w:tcW w:w="407" w:type="pct"/>
            <w:tcBorders>
              <w:top w:val="single" w:sz="4" w:space="0" w:color="auto"/>
              <w:left w:val="single" w:sz="4" w:space="0" w:color="auto"/>
              <w:bottom w:val="single" w:sz="4" w:space="0" w:color="auto"/>
              <w:right w:val="single" w:sz="4" w:space="0" w:color="auto"/>
            </w:tcBorders>
            <w:vAlign w:val="center"/>
          </w:tcPr>
          <w:p w:rsidR="001B51D6" w:rsidRDefault="001B51D6">
            <w:pPr>
              <w:pStyle w:val="a8"/>
              <w:rPr>
                <w:rFonts w:hint="default"/>
              </w:rPr>
            </w:pPr>
          </w:p>
        </w:tc>
        <w:tc>
          <w:tcPr>
            <w:tcW w:w="337" w:type="pct"/>
            <w:tcBorders>
              <w:top w:val="single" w:sz="4" w:space="0" w:color="auto"/>
              <w:left w:val="single" w:sz="4" w:space="0" w:color="auto"/>
              <w:bottom w:val="single" w:sz="4" w:space="0" w:color="auto"/>
              <w:right w:val="single" w:sz="4" w:space="0" w:color="auto"/>
            </w:tcBorders>
            <w:vAlign w:val="center"/>
          </w:tcPr>
          <w:p w:rsidR="001B51D6" w:rsidRDefault="001B51D6">
            <w:pPr>
              <w:pStyle w:val="a8"/>
              <w:rPr>
                <w:rFonts w:hint="default"/>
              </w:rPr>
            </w:pPr>
          </w:p>
        </w:tc>
        <w:tc>
          <w:tcPr>
            <w:tcW w:w="384"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rPr>
                <w:rFonts w:hint="default"/>
              </w:rPr>
            </w:pPr>
            <w:r>
              <w:t>100.00</w:t>
            </w:r>
            <w:r>
              <w:t>分</w:t>
            </w:r>
          </w:p>
        </w:tc>
        <w:tc>
          <w:tcPr>
            <w:tcW w:w="371" w:type="pct"/>
            <w:tcBorders>
              <w:top w:val="single" w:sz="4" w:space="0" w:color="auto"/>
              <w:left w:val="single" w:sz="4" w:space="0" w:color="auto"/>
              <w:bottom w:val="single" w:sz="4" w:space="0" w:color="auto"/>
              <w:right w:val="single" w:sz="4" w:space="0" w:color="auto"/>
            </w:tcBorders>
            <w:vAlign w:val="center"/>
          </w:tcPr>
          <w:p w:rsidR="001B51D6" w:rsidRDefault="001B51D6">
            <w:pPr>
              <w:pStyle w:val="a8"/>
              <w:rPr>
                <w:rFonts w:hint="default"/>
              </w:rPr>
            </w:pPr>
          </w:p>
        </w:tc>
      </w:tr>
    </w:tbl>
    <w:p w:rsidR="001B51D6" w:rsidRDefault="001B51D6">
      <w:pPr>
        <w:ind w:firstLine="640"/>
        <w:sectPr w:rsidR="001B51D6">
          <w:pgSz w:w="16838" w:h="11906" w:orient="landscape"/>
          <w:pgMar w:top="1973" w:right="816" w:bottom="1519" w:left="1043" w:header="851" w:footer="992" w:gutter="0"/>
          <w:cols w:space="720"/>
          <w:docGrid w:type="lines" w:linePitch="312"/>
        </w:sectPr>
      </w:pPr>
    </w:p>
    <w:p w:rsidR="001B51D6" w:rsidRDefault="00CD1800">
      <w:pPr>
        <w:pStyle w:val="2"/>
        <w:ind w:firstLine="640"/>
        <w:rPr>
          <w:rFonts w:eastAsia="仿宋_GB2312"/>
        </w:rPr>
      </w:pPr>
      <w:bookmarkStart w:id="230" w:name="_Toc31300"/>
      <w:bookmarkStart w:id="231" w:name="_Toc1641"/>
      <w:bookmarkStart w:id="232" w:name="_Toc22143"/>
      <w:bookmarkStart w:id="233" w:name="_Toc5134"/>
      <w:bookmarkStart w:id="234" w:name="_Toc29757"/>
      <w:bookmarkStart w:id="235" w:name="_Toc28099"/>
      <w:bookmarkStart w:id="236" w:name="_Toc9683"/>
      <w:bookmarkStart w:id="237" w:name="_Toc21055"/>
      <w:bookmarkStart w:id="238" w:name="_Toc11671"/>
      <w:bookmarkStart w:id="239" w:name="_Toc15194"/>
      <w:r>
        <w:rPr>
          <w:rFonts w:eastAsia="仿宋_GB2312"/>
        </w:rPr>
        <w:lastRenderedPageBreak/>
        <w:t>附件</w:t>
      </w:r>
      <w:r>
        <w:rPr>
          <w:rFonts w:eastAsia="仿宋_GB2312"/>
        </w:rPr>
        <w:t>2</w:t>
      </w:r>
      <w:r>
        <w:rPr>
          <w:rFonts w:eastAsia="仿宋_GB2312"/>
        </w:rPr>
        <w:t>：</w:t>
      </w:r>
      <w:bookmarkEnd w:id="230"/>
      <w:bookmarkEnd w:id="231"/>
      <w:bookmarkEnd w:id="232"/>
      <w:bookmarkEnd w:id="233"/>
      <w:bookmarkEnd w:id="234"/>
      <w:bookmarkEnd w:id="235"/>
      <w:r>
        <w:rPr>
          <w:rFonts w:eastAsia="仿宋_GB2312"/>
        </w:rPr>
        <w:t>项目支出绩效评价指标体系及评分</w:t>
      </w:r>
      <w:bookmarkEnd w:id="236"/>
      <w:bookmarkEnd w:id="237"/>
      <w:bookmarkEnd w:id="238"/>
      <w:bookmarkEnd w:id="239"/>
    </w:p>
    <w:p w:rsidR="001B51D6" w:rsidRDefault="00CD1800">
      <w:pPr>
        <w:pStyle w:val="a7"/>
        <w:rPr>
          <w:rFonts w:hint="default"/>
        </w:rPr>
      </w:pPr>
      <w:bookmarkStart w:id="240" w:name="_Toc25482"/>
      <w:bookmarkStart w:id="241" w:name="_Toc18133"/>
      <w:bookmarkStart w:id="242" w:name="_Toc29561"/>
      <w:bookmarkStart w:id="243" w:name="_Toc2600"/>
      <w:bookmarkStart w:id="244" w:name="_Toc17742"/>
      <w:bookmarkStart w:id="245" w:name="_Toc28172"/>
      <w:r>
        <w:rPr>
          <w:rFonts w:hint="default"/>
        </w:rPr>
        <w:t>项目支出绩效评价指标体系及评分</w:t>
      </w:r>
      <w:bookmarkEnd w:id="240"/>
      <w:bookmarkEnd w:id="241"/>
      <w:bookmarkEnd w:id="242"/>
      <w:bookmarkEnd w:id="243"/>
      <w:bookmarkEnd w:id="244"/>
      <w:bookmarkEnd w:id="245"/>
    </w:p>
    <w:tbl>
      <w:tblPr>
        <w:tblW w:w="5674" w:type="pct"/>
        <w:jc w:val="center"/>
        <w:tblLayout w:type="fixed"/>
        <w:tblLook w:val="0600" w:firstRow="0" w:lastRow="0" w:firstColumn="0" w:lastColumn="0" w:noHBand="1" w:noVBand="1"/>
      </w:tblPr>
      <w:tblGrid>
        <w:gridCol w:w="600"/>
        <w:gridCol w:w="678"/>
        <w:gridCol w:w="827"/>
        <w:gridCol w:w="2200"/>
        <w:gridCol w:w="4234"/>
        <w:gridCol w:w="621"/>
        <w:gridCol w:w="633"/>
      </w:tblGrid>
      <w:tr w:rsidR="001B51D6">
        <w:trPr>
          <w:trHeight w:val="460"/>
          <w:jc w:val="center"/>
        </w:trPr>
        <w:tc>
          <w:tcPr>
            <w:tcW w:w="306"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一级</w:t>
            </w:r>
          </w:p>
          <w:p w:rsidR="001B51D6" w:rsidRDefault="00CD1800">
            <w:pPr>
              <w:pStyle w:val="a8"/>
              <w:spacing w:line="240" w:lineRule="exact"/>
              <w:jc w:val="both"/>
              <w:rPr>
                <w:rFonts w:hint="default"/>
                <w:sz w:val="18"/>
                <w:szCs w:val="18"/>
              </w:rPr>
            </w:pPr>
            <w:r>
              <w:rPr>
                <w:rFonts w:hint="default"/>
                <w:sz w:val="18"/>
                <w:szCs w:val="18"/>
              </w:rPr>
              <w:t>指标</w:t>
            </w:r>
          </w:p>
        </w:tc>
        <w:tc>
          <w:tcPr>
            <w:tcW w:w="346"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二级指标</w:t>
            </w:r>
          </w:p>
        </w:tc>
        <w:tc>
          <w:tcPr>
            <w:tcW w:w="422"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三级</w:t>
            </w:r>
          </w:p>
          <w:p w:rsidR="001B51D6" w:rsidRDefault="00CD1800">
            <w:pPr>
              <w:pStyle w:val="a8"/>
              <w:spacing w:line="240" w:lineRule="exact"/>
              <w:jc w:val="both"/>
              <w:rPr>
                <w:rFonts w:hint="default"/>
                <w:sz w:val="18"/>
                <w:szCs w:val="18"/>
              </w:rPr>
            </w:pPr>
            <w:r>
              <w:rPr>
                <w:rFonts w:hint="default"/>
                <w:sz w:val="18"/>
                <w:szCs w:val="18"/>
              </w:rPr>
              <w:t>指标</w:t>
            </w:r>
          </w:p>
        </w:tc>
        <w:tc>
          <w:tcPr>
            <w:tcW w:w="1123" w:type="pct"/>
            <w:tcBorders>
              <w:top w:val="single" w:sz="4" w:space="0" w:color="auto"/>
              <w:left w:val="single" w:sz="4" w:space="0" w:color="auto"/>
              <w:bottom w:val="single" w:sz="4" w:space="0" w:color="auto"/>
              <w:right w:val="nil"/>
            </w:tcBorders>
            <w:vAlign w:val="center"/>
          </w:tcPr>
          <w:p w:rsidR="001B51D6" w:rsidRDefault="00CD1800">
            <w:pPr>
              <w:pStyle w:val="a8"/>
              <w:spacing w:line="240" w:lineRule="exact"/>
              <w:jc w:val="both"/>
              <w:rPr>
                <w:rFonts w:hint="default"/>
                <w:sz w:val="18"/>
                <w:szCs w:val="18"/>
              </w:rPr>
            </w:pPr>
            <w:r>
              <w:rPr>
                <w:rFonts w:hint="default"/>
                <w:sz w:val="18"/>
                <w:szCs w:val="18"/>
              </w:rPr>
              <w:t>指标解释</w:t>
            </w:r>
          </w:p>
        </w:tc>
        <w:tc>
          <w:tcPr>
            <w:tcW w:w="2160"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指标说明</w:t>
            </w:r>
          </w:p>
        </w:tc>
        <w:tc>
          <w:tcPr>
            <w:tcW w:w="317"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分值</w:t>
            </w:r>
          </w:p>
        </w:tc>
        <w:tc>
          <w:tcPr>
            <w:tcW w:w="323"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得分</w:t>
            </w:r>
          </w:p>
        </w:tc>
      </w:tr>
      <w:tr w:rsidR="001B51D6">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决策</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项目</w:t>
            </w:r>
            <w:r>
              <w:rPr>
                <w:sz w:val="18"/>
                <w:szCs w:val="18"/>
              </w:rPr>
              <w:t>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sz w:val="18"/>
                <w:szCs w:val="18"/>
              </w:rPr>
              <w:t>实施</w:t>
            </w:r>
            <w:r>
              <w:rPr>
                <w:rFonts w:hint="default"/>
                <w:sz w:val="18"/>
                <w:szCs w:val="18"/>
              </w:rPr>
              <w:t>依据充分性</w:t>
            </w:r>
          </w:p>
        </w:tc>
        <w:tc>
          <w:tcPr>
            <w:tcW w:w="1123" w:type="pct"/>
            <w:vMerge w:val="restart"/>
            <w:tcBorders>
              <w:top w:val="single" w:sz="4" w:space="0" w:color="auto"/>
              <w:left w:val="single" w:sz="4" w:space="0" w:color="auto"/>
              <w:bottom w:val="single" w:sz="4" w:space="0" w:color="auto"/>
              <w:right w:val="nil"/>
            </w:tcBorders>
            <w:vAlign w:val="center"/>
          </w:tcPr>
          <w:p w:rsidR="001B51D6" w:rsidRDefault="00CD1800">
            <w:pPr>
              <w:pStyle w:val="a8"/>
              <w:spacing w:line="240" w:lineRule="exact"/>
              <w:jc w:val="both"/>
              <w:rPr>
                <w:rFonts w:hint="default"/>
                <w:sz w:val="18"/>
                <w:szCs w:val="18"/>
              </w:rPr>
            </w:pPr>
            <w:r>
              <w:rPr>
                <w:rFonts w:hint="default"/>
                <w:sz w:val="18"/>
                <w:szCs w:val="18"/>
              </w:rPr>
              <w:t>项目</w:t>
            </w:r>
            <w:r>
              <w:rPr>
                <w:sz w:val="18"/>
                <w:szCs w:val="18"/>
              </w:rPr>
              <w:t>实施</w:t>
            </w:r>
            <w:r>
              <w:rPr>
                <w:rFonts w:hint="default"/>
                <w:sz w:val="18"/>
                <w:szCs w:val="18"/>
              </w:rPr>
              <w:t>是否符合法律法规、相关政策、发展规划以及部门职责，用以反映和考核项目</w:t>
            </w:r>
            <w:r>
              <w:rPr>
                <w:sz w:val="18"/>
                <w:szCs w:val="18"/>
              </w:rPr>
              <w:t>实施</w:t>
            </w:r>
            <w:r>
              <w:rPr>
                <w:rFonts w:hint="default"/>
                <w:sz w:val="18"/>
                <w:szCs w:val="18"/>
              </w:rPr>
              <w:t>依据情况。</w:t>
            </w:r>
          </w:p>
        </w:tc>
        <w:tc>
          <w:tcPr>
            <w:tcW w:w="2160" w:type="pct"/>
            <w:tcBorders>
              <w:top w:val="nil"/>
              <w:left w:val="single" w:sz="4" w:space="0" w:color="auto"/>
              <w:bottom w:val="nil"/>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1B51D6" w:rsidRDefault="00CD1800">
            <w:pPr>
              <w:pStyle w:val="a8"/>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1B51D6" w:rsidRDefault="00CD1800">
            <w:pPr>
              <w:pStyle w:val="a8"/>
              <w:spacing w:line="240" w:lineRule="exact"/>
              <w:jc w:val="both"/>
              <w:rPr>
                <w:rFonts w:hint="default"/>
                <w:sz w:val="18"/>
                <w:szCs w:val="18"/>
              </w:rPr>
            </w:pPr>
            <w:r>
              <w:rPr>
                <w:rFonts w:hint="default"/>
                <w:sz w:val="18"/>
                <w:szCs w:val="18"/>
              </w:rPr>
              <w:t>3</w:t>
            </w:r>
          </w:p>
        </w:tc>
      </w:tr>
      <w:tr w:rsidR="001B51D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B51D6" w:rsidRDefault="001B51D6">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①</w:t>
            </w:r>
            <w:r>
              <w:rPr>
                <w:rFonts w:hint="default"/>
                <w:sz w:val="18"/>
                <w:szCs w:val="18"/>
              </w:rPr>
              <w:t>项目</w:t>
            </w:r>
            <w:r>
              <w:rPr>
                <w:sz w:val="18"/>
                <w:szCs w:val="18"/>
              </w:rPr>
              <w:t>实施</w:t>
            </w:r>
            <w:r>
              <w:rPr>
                <w:rFonts w:hint="default"/>
                <w:sz w:val="18"/>
                <w:szCs w:val="18"/>
              </w:rPr>
              <w:t>是否符合国家法律法规、国民经济发展规划和相关政策；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r>
      <w:tr w:rsidR="001B51D6">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B51D6" w:rsidRDefault="001B51D6">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②</w:t>
            </w:r>
            <w:r>
              <w:rPr>
                <w:rFonts w:hint="default"/>
                <w:sz w:val="18"/>
                <w:szCs w:val="18"/>
              </w:rPr>
              <w:t>项目</w:t>
            </w:r>
            <w:r>
              <w:rPr>
                <w:sz w:val="18"/>
                <w:szCs w:val="18"/>
              </w:rPr>
              <w:t>实施</w:t>
            </w:r>
            <w:r>
              <w:rPr>
                <w:rFonts w:hint="default"/>
                <w:sz w:val="18"/>
                <w:szCs w:val="18"/>
              </w:rPr>
              <w:t>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r>
      <w:tr w:rsidR="001B51D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B51D6" w:rsidRDefault="001B51D6">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③</w:t>
            </w:r>
            <w:r>
              <w:rPr>
                <w:rFonts w:hint="default"/>
                <w:sz w:val="18"/>
                <w:szCs w:val="18"/>
              </w:rPr>
              <w:t>项目</w:t>
            </w:r>
            <w:r>
              <w:rPr>
                <w:sz w:val="18"/>
                <w:szCs w:val="18"/>
              </w:rPr>
              <w:t>实施</w:t>
            </w:r>
            <w:r>
              <w:rPr>
                <w:rFonts w:hint="default"/>
                <w:sz w:val="18"/>
                <w:szCs w:val="18"/>
              </w:rPr>
              <w:t>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r>
      <w:tr w:rsidR="001B51D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B51D6" w:rsidRDefault="001B51D6">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④</w:t>
            </w:r>
            <w:r>
              <w:rPr>
                <w:rFonts w:hint="default"/>
                <w:sz w:val="18"/>
                <w:szCs w:val="18"/>
              </w:rPr>
              <w:t>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r>
      <w:tr w:rsidR="001B51D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B51D6" w:rsidRDefault="001B51D6">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⑤</w:t>
            </w:r>
            <w:r>
              <w:rPr>
                <w:rFonts w:hint="default"/>
                <w:sz w:val="18"/>
                <w:szCs w:val="18"/>
              </w:rPr>
              <w:t>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r>
      <w:tr w:rsidR="001B51D6">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sz w:val="18"/>
                <w:szCs w:val="18"/>
              </w:rPr>
              <w:t>实施</w:t>
            </w:r>
            <w:r>
              <w:rPr>
                <w:rFonts w:hint="default"/>
                <w:sz w:val="18"/>
                <w:szCs w:val="18"/>
              </w:rPr>
              <w:t>程序规范性</w:t>
            </w:r>
          </w:p>
        </w:tc>
        <w:tc>
          <w:tcPr>
            <w:tcW w:w="1123" w:type="pct"/>
            <w:vMerge w:val="restart"/>
            <w:tcBorders>
              <w:top w:val="single" w:sz="4" w:space="0" w:color="auto"/>
              <w:left w:val="single" w:sz="4" w:space="0" w:color="auto"/>
              <w:bottom w:val="single" w:sz="4" w:space="0" w:color="auto"/>
              <w:right w:val="nil"/>
            </w:tcBorders>
            <w:vAlign w:val="center"/>
          </w:tcPr>
          <w:p w:rsidR="001B51D6" w:rsidRDefault="00CD1800">
            <w:pPr>
              <w:pStyle w:val="a8"/>
              <w:spacing w:line="240" w:lineRule="exact"/>
              <w:jc w:val="both"/>
              <w:rPr>
                <w:rFonts w:hint="default"/>
                <w:sz w:val="18"/>
                <w:szCs w:val="18"/>
              </w:rPr>
            </w:pPr>
            <w:r>
              <w:rPr>
                <w:rFonts w:hint="default"/>
                <w:sz w:val="18"/>
                <w:szCs w:val="18"/>
              </w:rPr>
              <w:t>项目申请、设立过程是否符合相关要求，用以反映和考核项目</w:t>
            </w:r>
            <w:r>
              <w:rPr>
                <w:sz w:val="18"/>
                <w:szCs w:val="18"/>
              </w:rPr>
              <w:t>实施</w:t>
            </w:r>
            <w:r>
              <w:rPr>
                <w:rFonts w:hint="default"/>
                <w:sz w:val="18"/>
                <w:szCs w:val="18"/>
              </w:rPr>
              <w:t>的规范情况。</w:t>
            </w:r>
          </w:p>
        </w:tc>
        <w:tc>
          <w:tcPr>
            <w:tcW w:w="2160" w:type="pct"/>
            <w:tcBorders>
              <w:top w:val="single" w:sz="4" w:space="0" w:color="auto"/>
              <w:left w:val="single" w:sz="4" w:space="0" w:color="auto"/>
              <w:bottom w:val="nil"/>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1B51D6" w:rsidRDefault="00CD1800">
            <w:pPr>
              <w:pStyle w:val="a8"/>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1B51D6" w:rsidRDefault="00CD1800">
            <w:pPr>
              <w:pStyle w:val="a8"/>
              <w:spacing w:line="240" w:lineRule="exact"/>
              <w:jc w:val="both"/>
              <w:rPr>
                <w:rFonts w:hint="default"/>
                <w:sz w:val="18"/>
                <w:szCs w:val="18"/>
              </w:rPr>
            </w:pPr>
            <w:r>
              <w:rPr>
                <w:rFonts w:hint="default"/>
                <w:sz w:val="18"/>
                <w:szCs w:val="18"/>
              </w:rPr>
              <w:t>3</w:t>
            </w:r>
          </w:p>
        </w:tc>
      </w:tr>
      <w:tr w:rsidR="001B51D6">
        <w:trPr>
          <w:trHeight w:val="10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B51D6" w:rsidRDefault="001B51D6">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①</w:t>
            </w:r>
            <w:r>
              <w:rPr>
                <w:rFonts w:hint="default"/>
                <w:sz w:val="18"/>
                <w:szCs w:val="18"/>
              </w:rPr>
              <w:t>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r>
      <w:tr w:rsidR="001B51D6">
        <w:trPr>
          <w:trHeight w:val="254"/>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B51D6" w:rsidRDefault="001B51D6">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②</w:t>
            </w:r>
            <w:r>
              <w:rPr>
                <w:rFonts w:hint="default"/>
                <w:sz w:val="18"/>
                <w:szCs w:val="18"/>
              </w:rPr>
              <w:t>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r>
      <w:tr w:rsidR="001B51D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B51D6" w:rsidRDefault="001B51D6">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③</w:t>
            </w:r>
            <w:r>
              <w:rPr>
                <w:rFonts w:hint="default"/>
                <w:sz w:val="18"/>
                <w:szCs w:val="18"/>
              </w:rPr>
              <w:t>事前是否已经过必要的可行性研究、专家论证、风险评估、绩效评估、集体决策。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r>
      <w:tr w:rsidR="001B51D6">
        <w:trPr>
          <w:trHeight w:val="22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绩效目标</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绩效目标合理性</w:t>
            </w:r>
          </w:p>
        </w:tc>
        <w:tc>
          <w:tcPr>
            <w:tcW w:w="1123" w:type="pct"/>
            <w:vMerge w:val="restart"/>
            <w:tcBorders>
              <w:top w:val="single" w:sz="4" w:space="0" w:color="auto"/>
              <w:left w:val="single" w:sz="4" w:space="0" w:color="auto"/>
              <w:bottom w:val="single" w:sz="4" w:space="0" w:color="auto"/>
              <w:right w:val="nil"/>
            </w:tcBorders>
            <w:vAlign w:val="center"/>
          </w:tcPr>
          <w:p w:rsidR="001B51D6" w:rsidRDefault="00CD1800">
            <w:pPr>
              <w:pStyle w:val="a8"/>
              <w:spacing w:line="240" w:lineRule="exact"/>
              <w:jc w:val="both"/>
              <w:rPr>
                <w:rFonts w:hint="default"/>
                <w:sz w:val="18"/>
                <w:szCs w:val="18"/>
              </w:rPr>
            </w:pPr>
            <w:r>
              <w:rPr>
                <w:rFonts w:hint="default"/>
                <w:sz w:val="18"/>
                <w:szCs w:val="18"/>
              </w:rPr>
              <w:t>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1B51D6" w:rsidRDefault="00CD1800">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1B51D6" w:rsidRDefault="00CD1800">
            <w:pPr>
              <w:pStyle w:val="a8"/>
              <w:spacing w:line="240" w:lineRule="exact"/>
              <w:jc w:val="both"/>
              <w:rPr>
                <w:rFonts w:hint="default"/>
                <w:sz w:val="18"/>
                <w:szCs w:val="18"/>
              </w:rPr>
            </w:pPr>
            <w:r>
              <w:rPr>
                <w:rFonts w:hint="default"/>
                <w:sz w:val="18"/>
                <w:szCs w:val="18"/>
              </w:rPr>
              <w:t>4</w:t>
            </w:r>
          </w:p>
        </w:tc>
      </w:tr>
      <w:tr w:rsidR="001B51D6">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B51D6" w:rsidRDefault="001B51D6">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①</w:t>
            </w:r>
            <w:r>
              <w:rPr>
                <w:rFonts w:hint="default"/>
                <w:sz w:val="18"/>
                <w:szCs w:val="18"/>
              </w:rPr>
              <w:t>项目是否有绩效目标；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r>
      <w:tr w:rsidR="001B51D6">
        <w:trPr>
          <w:trHeight w:val="19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B51D6" w:rsidRDefault="001B51D6">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②</w:t>
            </w:r>
            <w:r>
              <w:rPr>
                <w:rFonts w:hint="default"/>
                <w:sz w:val="18"/>
                <w:szCs w:val="18"/>
              </w:rPr>
              <w:t>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r>
      <w:tr w:rsidR="001B51D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B51D6" w:rsidRDefault="001B51D6">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③</w:t>
            </w:r>
            <w:r>
              <w:rPr>
                <w:rFonts w:hint="default"/>
                <w:sz w:val="18"/>
                <w:szCs w:val="18"/>
              </w:rPr>
              <w:t>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r>
      <w:tr w:rsidR="001B51D6">
        <w:trPr>
          <w:trHeight w:val="15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B51D6" w:rsidRDefault="001B51D6">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④</w:t>
            </w:r>
            <w:r>
              <w:rPr>
                <w:rFonts w:hint="default"/>
                <w:sz w:val="18"/>
                <w:szCs w:val="18"/>
              </w:rPr>
              <w:t>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r>
      <w:tr w:rsidR="001B51D6">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绩效指标明确性</w:t>
            </w:r>
          </w:p>
        </w:tc>
        <w:tc>
          <w:tcPr>
            <w:tcW w:w="1123" w:type="pct"/>
            <w:vMerge w:val="restart"/>
            <w:tcBorders>
              <w:top w:val="single" w:sz="4" w:space="0" w:color="auto"/>
              <w:left w:val="single" w:sz="4" w:space="0" w:color="auto"/>
              <w:bottom w:val="single" w:sz="4" w:space="0" w:color="auto"/>
              <w:right w:val="nil"/>
            </w:tcBorders>
            <w:vAlign w:val="center"/>
          </w:tcPr>
          <w:p w:rsidR="001B51D6" w:rsidRDefault="00CD1800">
            <w:pPr>
              <w:pStyle w:val="a8"/>
              <w:spacing w:line="240" w:lineRule="exact"/>
              <w:jc w:val="both"/>
              <w:rPr>
                <w:rFonts w:hint="default"/>
                <w:sz w:val="18"/>
                <w:szCs w:val="18"/>
              </w:rPr>
            </w:pPr>
            <w:r>
              <w:rPr>
                <w:rFonts w:hint="default"/>
                <w:sz w:val="18"/>
                <w:szCs w:val="18"/>
              </w:rPr>
              <w:t>依据绩效目标设定的绩效指标是否清晰、细化、可衡量等，用以反映和考核项目绩效目标的</w:t>
            </w:r>
            <w:proofErr w:type="gramStart"/>
            <w:r>
              <w:rPr>
                <w:rFonts w:hint="default"/>
                <w:sz w:val="18"/>
                <w:szCs w:val="18"/>
              </w:rPr>
              <w:t>明细化</w:t>
            </w:r>
            <w:proofErr w:type="gramEnd"/>
            <w:r>
              <w:rPr>
                <w:rFonts w:hint="default"/>
                <w:sz w:val="18"/>
                <w:szCs w:val="18"/>
              </w:rPr>
              <w:t>情况。</w:t>
            </w:r>
          </w:p>
        </w:tc>
        <w:tc>
          <w:tcPr>
            <w:tcW w:w="2160" w:type="pct"/>
            <w:tcBorders>
              <w:top w:val="single" w:sz="4" w:space="0" w:color="auto"/>
              <w:left w:val="single" w:sz="4" w:space="0" w:color="auto"/>
              <w:bottom w:val="nil"/>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1B51D6" w:rsidRDefault="00CD1800">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1B51D6" w:rsidRDefault="00CD1800">
            <w:pPr>
              <w:pStyle w:val="a8"/>
              <w:spacing w:line="240" w:lineRule="exact"/>
              <w:jc w:val="both"/>
              <w:rPr>
                <w:rFonts w:hint="default"/>
                <w:sz w:val="18"/>
                <w:szCs w:val="18"/>
              </w:rPr>
            </w:pPr>
            <w:r>
              <w:rPr>
                <w:rFonts w:hint="default"/>
                <w:sz w:val="18"/>
                <w:szCs w:val="18"/>
              </w:rPr>
              <w:t>4</w:t>
            </w:r>
          </w:p>
        </w:tc>
      </w:tr>
      <w:tr w:rsidR="001B51D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B51D6" w:rsidRDefault="001B51D6">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①</w:t>
            </w:r>
            <w:r>
              <w:rPr>
                <w:rFonts w:hint="default"/>
                <w:sz w:val="18"/>
                <w:szCs w:val="18"/>
              </w:rPr>
              <w:t>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r>
      <w:tr w:rsidR="001B51D6">
        <w:trPr>
          <w:trHeight w:val="14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B51D6" w:rsidRDefault="001B51D6">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②</w:t>
            </w:r>
            <w:r>
              <w:rPr>
                <w:rFonts w:hint="default"/>
                <w:sz w:val="18"/>
                <w:szCs w:val="18"/>
              </w:rPr>
              <w:t>是否通过清晰、可衡量的指标</w:t>
            </w:r>
            <w:proofErr w:type="gramStart"/>
            <w:r>
              <w:rPr>
                <w:rFonts w:hint="default"/>
                <w:sz w:val="18"/>
                <w:szCs w:val="18"/>
              </w:rPr>
              <w:t>值予以</w:t>
            </w:r>
            <w:proofErr w:type="gramEnd"/>
            <w:r>
              <w:rPr>
                <w:rFonts w:hint="default"/>
                <w:sz w:val="18"/>
                <w:szCs w:val="18"/>
              </w:rPr>
              <w:t>体现；</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r>
      <w:tr w:rsidR="001B51D6">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B51D6" w:rsidRDefault="001B51D6">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③</w:t>
            </w:r>
            <w:r>
              <w:rPr>
                <w:rFonts w:hint="default"/>
                <w:sz w:val="18"/>
                <w:szCs w:val="18"/>
              </w:rPr>
              <w:t>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r>
      <w:tr w:rsidR="001B51D6">
        <w:trPr>
          <w:trHeight w:val="9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资金投入</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预算编制科学性</w:t>
            </w:r>
          </w:p>
        </w:tc>
        <w:tc>
          <w:tcPr>
            <w:tcW w:w="1123" w:type="pct"/>
            <w:vMerge w:val="restart"/>
            <w:tcBorders>
              <w:top w:val="single" w:sz="4" w:space="0" w:color="auto"/>
              <w:left w:val="single" w:sz="4" w:space="0" w:color="auto"/>
              <w:bottom w:val="single" w:sz="4" w:space="0" w:color="auto"/>
              <w:right w:val="nil"/>
            </w:tcBorders>
            <w:vAlign w:val="center"/>
          </w:tcPr>
          <w:p w:rsidR="001B51D6" w:rsidRDefault="00CD1800">
            <w:pPr>
              <w:pStyle w:val="a8"/>
              <w:spacing w:line="240" w:lineRule="exact"/>
              <w:jc w:val="both"/>
              <w:rPr>
                <w:rFonts w:hint="default"/>
                <w:sz w:val="18"/>
                <w:szCs w:val="18"/>
              </w:rPr>
            </w:pPr>
            <w:r>
              <w:rPr>
                <w:rFonts w:hint="default"/>
                <w:sz w:val="18"/>
                <w:szCs w:val="18"/>
              </w:rPr>
              <w:t>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1B51D6" w:rsidRDefault="00CD1800">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1B51D6" w:rsidRDefault="00CD1800">
            <w:pPr>
              <w:pStyle w:val="a8"/>
              <w:spacing w:line="240" w:lineRule="exact"/>
              <w:jc w:val="both"/>
              <w:rPr>
                <w:rFonts w:hint="default"/>
                <w:sz w:val="18"/>
                <w:szCs w:val="18"/>
              </w:rPr>
            </w:pPr>
            <w:r>
              <w:rPr>
                <w:rFonts w:hint="default"/>
                <w:sz w:val="18"/>
                <w:szCs w:val="18"/>
              </w:rPr>
              <w:t>4</w:t>
            </w:r>
          </w:p>
        </w:tc>
      </w:tr>
      <w:tr w:rsidR="001B51D6">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B51D6" w:rsidRDefault="001B51D6">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①</w:t>
            </w:r>
            <w:r>
              <w:rPr>
                <w:rFonts w:hint="default"/>
                <w:sz w:val="18"/>
                <w:szCs w:val="18"/>
              </w:rPr>
              <w:t>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r>
      <w:tr w:rsidR="001B51D6">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B51D6" w:rsidRDefault="001B51D6">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②</w:t>
            </w:r>
            <w:r>
              <w:rPr>
                <w:rFonts w:hint="default"/>
                <w:sz w:val="18"/>
                <w:szCs w:val="18"/>
              </w:rPr>
              <w:t>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r>
      <w:tr w:rsidR="001B51D6">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B51D6" w:rsidRDefault="001B51D6">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③</w:t>
            </w:r>
            <w:r>
              <w:rPr>
                <w:rFonts w:hint="default"/>
                <w:sz w:val="18"/>
                <w:szCs w:val="18"/>
              </w:rPr>
              <w:t>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r>
      <w:tr w:rsidR="001B51D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B51D6" w:rsidRDefault="001B51D6">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④</w:t>
            </w:r>
            <w:r>
              <w:rPr>
                <w:rFonts w:hint="default"/>
                <w:sz w:val="18"/>
                <w:szCs w:val="18"/>
              </w:rPr>
              <w:t>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r>
      <w:tr w:rsidR="001B51D6">
        <w:trPr>
          <w:trHeight w:val="176"/>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资金分配合理性</w:t>
            </w:r>
          </w:p>
        </w:tc>
        <w:tc>
          <w:tcPr>
            <w:tcW w:w="1123" w:type="pct"/>
            <w:vMerge w:val="restart"/>
            <w:tcBorders>
              <w:top w:val="single" w:sz="4" w:space="0" w:color="auto"/>
              <w:left w:val="single" w:sz="4" w:space="0" w:color="auto"/>
              <w:bottom w:val="single" w:sz="4" w:space="0" w:color="auto"/>
              <w:right w:val="nil"/>
            </w:tcBorders>
            <w:vAlign w:val="center"/>
          </w:tcPr>
          <w:p w:rsidR="001B51D6" w:rsidRDefault="00CD1800">
            <w:pPr>
              <w:pStyle w:val="a8"/>
              <w:spacing w:line="240" w:lineRule="exact"/>
              <w:jc w:val="both"/>
              <w:rPr>
                <w:rFonts w:hint="default"/>
                <w:sz w:val="18"/>
                <w:szCs w:val="18"/>
              </w:rPr>
            </w:pPr>
            <w:r>
              <w:rPr>
                <w:rFonts w:hint="default"/>
                <w:sz w:val="18"/>
                <w:szCs w:val="18"/>
              </w:rPr>
              <w:t>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1B51D6" w:rsidRDefault="00CD1800">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1B51D6" w:rsidRDefault="00CD1800">
            <w:pPr>
              <w:pStyle w:val="a8"/>
              <w:spacing w:line="240" w:lineRule="exact"/>
              <w:jc w:val="both"/>
              <w:rPr>
                <w:rFonts w:hint="default"/>
                <w:sz w:val="18"/>
                <w:szCs w:val="18"/>
              </w:rPr>
            </w:pPr>
            <w:r>
              <w:rPr>
                <w:rFonts w:hint="default"/>
                <w:sz w:val="18"/>
                <w:szCs w:val="18"/>
              </w:rPr>
              <w:t>4</w:t>
            </w:r>
          </w:p>
        </w:tc>
      </w:tr>
      <w:tr w:rsidR="001B51D6">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B51D6" w:rsidRDefault="001B51D6">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①</w:t>
            </w:r>
            <w:r>
              <w:rPr>
                <w:rFonts w:hint="default"/>
                <w:sz w:val="18"/>
                <w:szCs w:val="18"/>
              </w:rPr>
              <w:t>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r>
      <w:tr w:rsidR="001B51D6">
        <w:trPr>
          <w:trHeight w:val="108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B51D6" w:rsidRDefault="001B51D6">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tcPr>
          <w:p w:rsidR="001B51D6" w:rsidRDefault="00CD1800">
            <w:pPr>
              <w:pStyle w:val="a8"/>
              <w:spacing w:line="240" w:lineRule="exact"/>
              <w:jc w:val="both"/>
              <w:rPr>
                <w:rFonts w:hint="default"/>
                <w:sz w:val="18"/>
                <w:szCs w:val="18"/>
              </w:rPr>
            </w:pPr>
            <w:r>
              <w:rPr>
                <w:rFonts w:hint="default"/>
                <w:sz w:val="18"/>
                <w:szCs w:val="18"/>
              </w:rPr>
              <w:t>②</w:t>
            </w:r>
            <w:r>
              <w:rPr>
                <w:rFonts w:hint="default"/>
                <w:sz w:val="18"/>
                <w:szCs w:val="18"/>
              </w:rPr>
              <w:t>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r>
      <w:tr w:rsidR="001B51D6">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过程</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资金管理</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资金到位率</w:t>
            </w:r>
          </w:p>
        </w:tc>
        <w:tc>
          <w:tcPr>
            <w:tcW w:w="1123" w:type="pct"/>
            <w:vMerge w:val="restart"/>
            <w:tcBorders>
              <w:top w:val="single" w:sz="4" w:space="0" w:color="auto"/>
              <w:left w:val="single" w:sz="4" w:space="0" w:color="auto"/>
              <w:bottom w:val="single" w:sz="4" w:space="0" w:color="auto"/>
              <w:right w:val="nil"/>
            </w:tcBorders>
            <w:vAlign w:val="center"/>
          </w:tcPr>
          <w:p w:rsidR="001B51D6" w:rsidRDefault="00CD1800">
            <w:pPr>
              <w:pStyle w:val="a8"/>
              <w:spacing w:line="240" w:lineRule="exact"/>
              <w:jc w:val="both"/>
              <w:rPr>
                <w:rFonts w:hint="default"/>
                <w:sz w:val="18"/>
                <w:szCs w:val="18"/>
              </w:rPr>
            </w:pPr>
            <w:r>
              <w:rPr>
                <w:rFonts w:hint="default"/>
                <w:sz w:val="18"/>
                <w:szCs w:val="18"/>
              </w:rPr>
              <w:t>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资金到位率</w:t>
            </w:r>
            <w:r>
              <w:rPr>
                <w:rFonts w:hint="default"/>
                <w:sz w:val="18"/>
                <w:szCs w:val="18"/>
              </w:rPr>
              <w:t>=</w:t>
            </w:r>
            <w:r>
              <w:rPr>
                <w:rFonts w:hint="default"/>
                <w:sz w:val="18"/>
                <w:szCs w:val="18"/>
              </w:rPr>
              <w:t>（实际到位资金</w:t>
            </w:r>
            <w:r>
              <w:rPr>
                <w:rFonts w:hint="default"/>
                <w:sz w:val="18"/>
                <w:szCs w:val="18"/>
              </w:rPr>
              <w:t>/</w:t>
            </w:r>
            <w:r>
              <w:rPr>
                <w:rFonts w:hint="default"/>
                <w:sz w:val="18"/>
                <w:szCs w:val="18"/>
              </w:rPr>
              <w:t>预算资金）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1B51D6" w:rsidRDefault="00CD1800">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1B51D6" w:rsidRDefault="00CD1800">
            <w:pPr>
              <w:pStyle w:val="a8"/>
              <w:spacing w:line="240" w:lineRule="exact"/>
              <w:jc w:val="both"/>
              <w:rPr>
                <w:rFonts w:hint="default"/>
                <w:sz w:val="18"/>
                <w:szCs w:val="18"/>
              </w:rPr>
            </w:pPr>
            <w:r>
              <w:rPr>
                <w:rFonts w:hint="default"/>
                <w:sz w:val="18"/>
                <w:szCs w:val="18"/>
              </w:rPr>
              <w:t>4</w:t>
            </w:r>
          </w:p>
        </w:tc>
      </w:tr>
      <w:tr w:rsidR="001B51D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B51D6" w:rsidRDefault="001B51D6">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r>
      <w:tr w:rsidR="001B51D6">
        <w:trPr>
          <w:trHeight w:val="58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B51D6" w:rsidRDefault="001B51D6">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预算资金：一定时期（本年度或项目期）</w:t>
            </w:r>
            <w:proofErr w:type="gramStart"/>
            <w:r>
              <w:rPr>
                <w:rFonts w:hint="default"/>
                <w:sz w:val="18"/>
                <w:szCs w:val="18"/>
              </w:rPr>
              <w:t>内预算</w:t>
            </w:r>
            <w:proofErr w:type="gramEnd"/>
            <w:r>
              <w:rPr>
                <w:rFonts w:hint="default"/>
                <w:sz w:val="18"/>
                <w:szCs w:val="18"/>
              </w:rPr>
              <w:t>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r>
      <w:tr w:rsidR="001B51D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预算执行率</w:t>
            </w:r>
          </w:p>
        </w:tc>
        <w:tc>
          <w:tcPr>
            <w:tcW w:w="1123" w:type="pct"/>
            <w:vMerge w:val="restart"/>
            <w:tcBorders>
              <w:top w:val="single" w:sz="4" w:space="0" w:color="auto"/>
              <w:left w:val="single" w:sz="4" w:space="0" w:color="auto"/>
              <w:bottom w:val="single" w:sz="4" w:space="0" w:color="auto"/>
              <w:right w:val="nil"/>
            </w:tcBorders>
            <w:vAlign w:val="center"/>
          </w:tcPr>
          <w:p w:rsidR="001B51D6" w:rsidRDefault="00CD1800">
            <w:pPr>
              <w:pStyle w:val="a8"/>
              <w:spacing w:line="240" w:lineRule="exact"/>
              <w:jc w:val="both"/>
              <w:rPr>
                <w:rFonts w:hint="default"/>
                <w:sz w:val="18"/>
                <w:szCs w:val="18"/>
              </w:rPr>
            </w:pPr>
            <w:r>
              <w:rPr>
                <w:rFonts w:hint="default"/>
                <w:sz w:val="18"/>
                <w:szCs w:val="18"/>
              </w:rPr>
              <w:t>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预算执行率</w:t>
            </w:r>
            <w:r>
              <w:rPr>
                <w:rFonts w:hint="default"/>
                <w:sz w:val="18"/>
                <w:szCs w:val="18"/>
              </w:rPr>
              <w:t>=</w:t>
            </w:r>
            <w:r>
              <w:rPr>
                <w:rFonts w:hint="default"/>
                <w:sz w:val="18"/>
                <w:szCs w:val="18"/>
              </w:rPr>
              <w:t>（实际支出资金</w:t>
            </w:r>
            <w:r>
              <w:rPr>
                <w:rFonts w:hint="default"/>
                <w:sz w:val="18"/>
                <w:szCs w:val="18"/>
              </w:rPr>
              <w:t>/</w:t>
            </w:r>
            <w:r>
              <w:rPr>
                <w:rFonts w:hint="default"/>
                <w:sz w:val="18"/>
                <w:szCs w:val="18"/>
              </w:rPr>
              <w:t>实际到位资金）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1B51D6" w:rsidRDefault="00CD1800">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1B51D6" w:rsidRDefault="00CD1800">
            <w:pPr>
              <w:pStyle w:val="a8"/>
              <w:spacing w:line="240" w:lineRule="exact"/>
              <w:jc w:val="both"/>
              <w:rPr>
                <w:rFonts w:hint="default"/>
                <w:sz w:val="18"/>
                <w:szCs w:val="18"/>
              </w:rPr>
            </w:pPr>
            <w:r>
              <w:rPr>
                <w:rFonts w:hint="default"/>
                <w:sz w:val="18"/>
                <w:szCs w:val="18"/>
              </w:rPr>
              <w:t>4</w:t>
            </w:r>
          </w:p>
        </w:tc>
      </w:tr>
      <w:tr w:rsidR="001B51D6">
        <w:trPr>
          <w:trHeight w:val="62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B51D6" w:rsidRDefault="001B51D6">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r>
      <w:tr w:rsidR="001B51D6">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资金使用合</w:t>
            </w:r>
            <w:proofErr w:type="gramStart"/>
            <w:r>
              <w:rPr>
                <w:rFonts w:hint="default"/>
                <w:sz w:val="18"/>
                <w:szCs w:val="18"/>
              </w:rPr>
              <w:t>规</w:t>
            </w:r>
            <w:proofErr w:type="gramEnd"/>
            <w:r>
              <w:rPr>
                <w:rFonts w:hint="default"/>
                <w:sz w:val="18"/>
                <w:szCs w:val="18"/>
              </w:rPr>
              <w:t>性</w:t>
            </w:r>
          </w:p>
        </w:tc>
        <w:tc>
          <w:tcPr>
            <w:tcW w:w="1123" w:type="pct"/>
            <w:vMerge w:val="restart"/>
            <w:tcBorders>
              <w:top w:val="single" w:sz="4" w:space="0" w:color="auto"/>
              <w:left w:val="single" w:sz="4" w:space="0" w:color="auto"/>
              <w:bottom w:val="single" w:sz="4" w:space="0" w:color="auto"/>
              <w:right w:val="nil"/>
            </w:tcBorders>
            <w:vAlign w:val="center"/>
          </w:tcPr>
          <w:p w:rsidR="001B51D6" w:rsidRDefault="00CD1800">
            <w:pPr>
              <w:pStyle w:val="a8"/>
              <w:spacing w:line="240" w:lineRule="exact"/>
              <w:jc w:val="both"/>
              <w:rPr>
                <w:rFonts w:hint="default"/>
                <w:sz w:val="18"/>
                <w:szCs w:val="18"/>
              </w:rPr>
            </w:pPr>
            <w:r>
              <w:rPr>
                <w:rFonts w:hint="default"/>
                <w:sz w:val="18"/>
                <w:szCs w:val="18"/>
              </w:rPr>
              <w:t>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1B51D6" w:rsidRDefault="00CD1800">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1B51D6" w:rsidRDefault="00CD1800">
            <w:pPr>
              <w:pStyle w:val="a8"/>
              <w:spacing w:line="240" w:lineRule="exact"/>
              <w:jc w:val="both"/>
              <w:rPr>
                <w:rFonts w:hint="default"/>
                <w:sz w:val="18"/>
                <w:szCs w:val="18"/>
              </w:rPr>
            </w:pPr>
            <w:r>
              <w:rPr>
                <w:rFonts w:hint="default"/>
                <w:sz w:val="18"/>
                <w:szCs w:val="18"/>
              </w:rPr>
              <w:t>4</w:t>
            </w:r>
          </w:p>
        </w:tc>
      </w:tr>
      <w:tr w:rsidR="001B51D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B51D6" w:rsidRDefault="001B51D6">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①</w:t>
            </w:r>
            <w:r>
              <w:rPr>
                <w:rFonts w:hint="default"/>
                <w:sz w:val="18"/>
                <w:szCs w:val="18"/>
              </w:rPr>
              <w:t>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r>
      <w:tr w:rsidR="001B51D6">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B51D6" w:rsidRDefault="001B51D6">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②</w:t>
            </w:r>
            <w:r>
              <w:rPr>
                <w:rFonts w:hint="default"/>
                <w:sz w:val="18"/>
                <w:szCs w:val="18"/>
              </w:rPr>
              <w:t>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r>
      <w:tr w:rsidR="001B51D6">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B51D6" w:rsidRDefault="001B51D6">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③</w:t>
            </w:r>
            <w:r>
              <w:rPr>
                <w:rFonts w:hint="default"/>
                <w:sz w:val="18"/>
                <w:szCs w:val="18"/>
              </w:rPr>
              <w:t>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r>
      <w:tr w:rsidR="001B51D6">
        <w:trPr>
          <w:trHeight w:val="119"/>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B51D6" w:rsidRDefault="001B51D6">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④</w:t>
            </w:r>
            <w:r>
              <w:rPr>
                <w:rFonts w:hint="default"/>
                <w:sz w:val="18"/>
                <w:szCs w:val="18"/>
              </w:rPr>
              <w:t>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r>
      <w:tr w:rsidR="001B51D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组织实施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管理制度健全性</w:t>
            </w:r>
          </w:p>
        </w:tc>
        <w:tc>
          <w:tcPr>
            <w:tcW w:w="1123" w:type="pct"/>
            <w:vMerge w:val="restart"/>
            <w:tcBorders>
              <w:top w:val="single" w:sz="4" w:space="0" w:color="auto"/>
              <w:left w:val="single" w:sz="4" w:space="0" w:color="auto"/>
              <w:bottom w:val="single" w:sz="4" w:space="0" w:color="auto"/>
              <w:right w:val="nil"/>
            </w:tcBorders>
            <w:vAlign w:val="center"/>
          </w:tcPr>
          <w:p w:rsidR="001B51D6" w:rsidRDefault="00CD1800">
            <w:pPr>
              <w:pStyle w:val="a8"/>
              <w:spacing w:line="240" w:lineRule="exact"/>
              <w:jc w:val="both"/>
              <w:rPr>
                <w:rFonts w:hint="default"/>
                <w:sz w:val="18"/>
                <w:szCs w:val="18"/>
              </w:rPr>
            </w:pPr>
            <w:r>
              <w:rPr>
                <w:rFonts w:hint="default"/>
                <w:sz w:val="18"/>
                <w:szCs w:val="18"/>
              </w:rPr>
              <w:t>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1B51D6" w:rsidRDefault="00CD1800">
            <w:pPr>
              <w:pStyle w:val="a8"/>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1B51D6" w:rsidRDefault="00CD1800">
            <w:pPr>
              <w:pStyle w:val="a8"/>
              <w:spacing w:line="240" w:lineRule="exact"/>
              <w:jc w:val="both"/>
              <w:rPr>
                <w:rFonts w:hint="default"/>
                <w:sz w:val="18"/>
                <w:szCs w:val="18"/>
              </w:rPr>
            </w:pPr>
            <w:r>
              <w:rPr>
                <w:rFonts w:hint="default"/>
                <w:sz w:val="18"/>
                <w:szCs w:val="18"/>
              </w:rPr>
              <w:t>3</w:t>
            </w:r>
          </w:p>
        </w:tc>
      </w:tr>
      <w:tr w:rsidR="001B51D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B51D6" w:rsidRDefault="001B51D6">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①</w:t>
            </w:r>
            <w:r>
              <w:rPr>
                <w:rFonts w:hint="default"/>
                <w:sz w:val="18"/>
                <w:szCs w:val="18"/>
              </w:rPr>
              <w:t>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r>
      <w:tr w:rsidR="001B51D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B51D6" w:rsidRDefault="001B51D6">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②</w:t>
            </w:r>
            <w:r>
              <w:rPr>
                <w:rFonts w:hint="default"/>
                <w:sz w:val="18"/>
                <w:szCs w:val="18"/>
              </w:rPr>
              <w:t>财务和业务管理制度是否合法、合</w:t>
            </w:r>
            <w:proofErr w:type="gramStart"/>
            <w:r>
              <w:rPr>
                <w:rFonts w:hint="default"/>
                <w:sz w:val="18"/>
                <w:szCs w:val="18"/>
              </w:rPr>
              <w:t>规</w:t>
            </w:r>
            <w:proofErr w:type="gramEnd"/>
            <w:r>
              <w:rPr>
                <w:rFonts w:hint="default"/>
                <w:sz w:val="18"/>
                <w:szCs w:val="18"/>
              </w:rPr>
              <w:t>、完整。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r>
      <w:tr w:rsidR="001B51D6">
        <w:trPr>
          <w:trHeight w:val="23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制度执行有效性</w:t>
            </w:r>
          </w:p>
        </w:tc>
        <w:tc>
          <w:tcPr>
            <w:tcW w:w="1123" w:type="pct"/>
            <w:vMerge w:val="restart"/>
            <w:tcBorders>
              <w:top w:val="single" w:sz="4" w:space="0" w:color="auto"/>
              <w:left w:val="single" w:sz="4" w:space="0" w:color="auto"/>
              <w:bottom w:val="single" w:sz="4" w:space="0" w:color="auto"/>
              <w:right w:val="nil"/>
            </w:tcBorders>
            <w:vAlign w:val="center"/>
          </w:tcPr>
          <w:p w:rsidR="001B51D6" w:rsidRDefault="00CD1800">
            <w:pPr>
              <w:pStyle w:val="a8"/>
              <w:spacing w:line="240" w:lineRule="exact"/>
              <w:jc w:val="both"/>
              <w:rPr>
                <w:rFonts w:hint="default"/>
                <w:sz w:val="18"/>
                <w:szCs w:val="18"/>
              </w:rPr>
            </w:pPr>
            <w:r>
              <w:rPr>
                <w:rFonts w:hint="default"/>
                <w:sz w:val="18"/>
                <w:szCs w:val="18"/>
              </w:rPr>
              <w:t>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1B51D6" w:rsidRDefault="00CD1800">
            <w:pPr>
              <w:pStyle w:val="a8"/>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1B51D6" w:rsidRDefault="00CD1800">
            <w:pPr>
              <w:pStyle w:val="a8"/>
              <w:spacing w:line="240" w:lineRule="exact"/>
              <w:jc w:val="both"/>
              <w:rPr>
                <w:rFonts w:hint="default"/>
                <w:sz w:val="18"/>
                <w:szCs w:val="18"/>
              </w:rPr>
            </w:pPr>
            <w:r>
              <w:rPr>
                <w:rFonts w:hint="default"/>
                <w:sz w:val="18"/>
                <w:szCs w:val="18"/>
              </w:rPr>
              <w:t>3</w:t>
            </w:r>
          </w:p>
        </w:tc>
      </w:tr>
      <w:tr w:rsidR="001B51D6">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B51D6" w:rsidRDefault="001B51D6">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①</w:t>
            </w:r>
            <w:r>
              <w:rPr>
                <w:rFonts w:hint="default"/>
                <w:sz w:val="18"/>
                <w:szCs w:val="18"/>
              </w:rPr>
              <w:t>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r>
      <w:tr w:rsidR="001B51D6">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B51D6" w:rsidRDefault="001B51D6">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②</w:t>
            </w:r>
            <w:r>
              <w:rPr>
                <w:rFonts w:hint="default"/>
                <w:sz w:val="18"/>
                <w:szCs w:val="18"/>
              </w:rPr>
              <w:t>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r>
      <w:tr w:rsidR="001B51D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B51D6" w:rsidRDefault="001B51D6">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③</w:t>
            </w:r>
            <w:r>
              <w:rPr>
                <w:rFonts w:hint="default"/>
                <w:sz w:val="18"/>
                <w:szCs w:val="18"/>
              </w:rPr>
              <w:t>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r>
      <w:tr w:rsidR="001B51D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B51D6" w:rsidRDefault="001B51D6">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④</w:t>
            </w:r>
            <w:r>
              <w:rPr>
                <w:rFonts w:hint="default"/>
                <w:sz w:val="18"/>
                <w:szCs w:val="18"/>
              </w:rPr>
              <w:t>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r>
      <w:tr w:rsidR="001B51D6">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产出</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产出数量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实际完成率</w:t>
            </w:r>
          </w:p>
        </w:tc>
        <w:tc>
          <w:tcPr>
            <w:tcW w:w="1123" w:type="pct"/>
            <w:vMerge w:val="restart"/>
            <w:tcBorders>
              <w:top w:val="single" w:sz="4" w:space="0" w:color="auto"/>
              <w:left w:val="single" w:sz="4" w:space="0" w:color="auto"/>
              <w:bottom w:val="single" w:sz="4" w:space="0" w:color="auto"/>
              <w:right w:val="nil"/>
            </w:tcBorders>
            <w:vAlign w:val="center"/>
          </w:tcPr>
          <w:p w:rsidR="001B51D6" w:rsidRDefault="00CD1800">
            <w:pPr>
              <w:pStyle w:val="a8"/>
              <w:spacing w:line="240" w:lineRule="exact"/>
              <w:jc w:val="both"/>
              <w:rPr>
                <w:rFonts w:hint="default"/>
                <w:sz w:val="18"/>
                <w:szCs w:val="18"/>
              </w:rPr>
            </w:pPr>
            <w:r>
              <w:rPr>
                <w:rFonts w:hint="default"/>
                <w:sz w:val="18"/>
                <w:szCs w:val="18"/>
              </w:rPr>
              <w:t>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实际完成率</w:t>
            </w:r>
            <w:r>
              <w:rPr>
                <w:rFonts w:hint="default"/>
                <w:sz w:val="18"/>
                <w:szCs w:val="18"/>
              </w:rPr>
              <w:t>=</w:t>
            </w:r>
            <w:r>
              <w:rPr>
                <w:rFonts w:hint="default"/>
                <w:sz w:val="18"/>
                <w:szCs w:val="18"/>
              </w:rPr>
              <w:t>（实际产出数</w:t>
            </w:r>
            <w:r>
              <w:rPr>
                <w:rFonts w:hint="default"/>
                <w:sz w:val="18"/>
                <w:szCs w:val="18"/>
              </w:rPr>
              <w:t>/</w:t>
            </w:r>
            <w:r>
              <w:rPr>
                <w:rFonts w:hint="default"/>
                <w:sz w:val="18"/>
                <w:szCs w:val="18"/>
              </w:rPr>
              <w:t>计划产出数）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1B51D6" w:rsidRDefault="00CD1800">
            <w:pPr>
              <w:pStyle w:val="a8"/>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1B51D6" w:rsidRDefault="00CD1800">
            <w:pPr>
              <w:pStyle w:val="a8"/>
              <w:spacing w:line="240" w:lineRule="exact"/>
              <w:jc w:val="both"/>
              <w:rPr>
                <w:rFonts w:hint="default"/>
                <w:sz w:val="18"/>
                <w:szCs w:val="18"/>
              </w:rPr>
            </w:pPr>
            <w:r>
              <w:rPr>
                <w:rFonts w:hint="default"/>
                <w:sz w:val="18"/>
                <w:szCs w:val="18"/>
              </w:rPr>
              <w:t>12</w:t>
            </w:r>
          </w:p>
        </w:tc>
      </w:tr>
      <w:tr w:rsidR="001B51D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B51D6" w:rsidRDefault="001B51D6">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r>
      <w:tr w:rsidR="001B51D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B51D6" w:rsidRDefault="001B51D6">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r>
      <w:tr w:rsidR="001B51D6">
        <w:trPr>
          <w:trHeight w:val="33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产出质量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质量达标率</w:t>
            </w:r>
          </w:p>
        </w:tc>
        <w:tc>
          <w:tcPr>
            <w:tcW w:w="1123" w:type="pct"/>
            <w:vMerge w:val="restart"/>
            <w:tcBorders>
              <w:top w:val="single" w:sz="4" w:space="0" w:color="auto"/>
              <w:left w:val="single" w:sz="4" w:space="0" w:color="auto"/>
              <w:bottom w:val="single" w:sz="4" w:space="0" w:color="auto"/>
              <w:right w:val="nil"/>
            </w:tcBorders>
            <w:vAlign w:val="center"/>
          </w:tcPr>
          <w:p w:rsidR="001B51D6" w:rsidRDefault="00CD1800">
            <w:pPr>
              <w:pStyle w:val="a8"/>
              <w:spacing w:line="240" w:lineRule="exact"/>
              <w:jc w:val="both"/>
              <w:rPr>
                <w:rFonts w:hint="default"/>
                <w:sz w:val="18"/>
                <w:szCs w:val="18"/>
              </w:rPr>
            </w:pPr>
            <w:r>
              <w:rPr>
                <w:rFonts w:hint="default"/>
                <w:sz w:val="18"/>
                <w:szCs w:val="18"/>
              </w:rPr>
              <w:t>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质量达标率</w:t>
            </w:r>
            <w:r>
              <w:rPr>
                <w:rFonts w:hint="default"/>
                <w:sz w:val="18"/>
                <w:szCs w:val="18"/>
              </w:rPr>
              <w:t>=</w:t>
            </w:r>
            <w:r>
              <w:rPr>
                <w:rFonts w:hint="default"/>
                <w:sz w:val="18"/>
                <w:szCs w:val="18"/>
              </w:rPr>
              <w:t>（质量达标产出数</w:t>
            </w:r>
            <w:r>
              <w:rPr>
                <w:rFonts w:hint="default"/>
                <w:sz w:val="18"/>
                <w:szCs w:val="18"/>
              </w:rPr>
              <w:t>/</w:t>
            </w:r>
            <w:r>
              <w:rPr>
                <w:rFonts w:hint="default"/>
                <w:sz w:val="18"/>
                <w:szCs w:val="18"/>
              </w:rPr>
              <w:t>实际产出数）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1B51D6" w:rsidRDefault="00CD1800">
            <w:pPr>
              <w:pStyle w:val="a8"/>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1B51D6" w:rsidRDefault="00CD1800">
            <w:pPr>
              <w:pStyle w:val="a8"/>
              <w:spacing w:line="240" w:lineRule="exact"/>
              <w:jc w:val="both"/>
              <w:rPr>
                <w:rFonts w:hint="default"/>
                <w:sz w:val="18"/>
                <w:szCs w:val="18"/>
              </w:rPr>
            </w:pPr>
            <w:r>
              <w:rPr>
                <w:rFonts w:hint="default"/>
                <w:sz w:val="18"/>
                <w:szCs w:val="18"/>
              </w:rPr>
              <w:t>12</w:t>
            </w:r>
          </w:p>
        </w:tc>
      </w:tr>
      <w:tr w:rsidR="001B51D6">
        <w:trPr>
          <w:trHeight w:val="88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B51D6" w:rsidRDefault="001B51D6">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r>
      <w:tr w:rsidR="001B51D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产出时效</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完成及时性</w:t>
            </w:r>
          </w:p>
        </w:tc>
        <w:tc>
          <w:tcPr>
            <w:tcW w:w="1123" w:type="pct"/>
            <w:vMerge w:val="restart"/>
            <w:tcBorders>
              <w:top w:val="single" w:sz="4" w:space="0" w:color="auto"/>
              <w:left w:val="single" w:sz="4" w:space="0" w:color="auto"/>
              <w:bottom w:val="single" w:sz="4" w:space="0" w:color="auto"/>
              <w:right w:val="nil"/>
            </w:tcBorders>
            <w:vAlign w:val="center"/>
          </w:tcPr>
          <w:p w:rsidR="001B51D6" w:rsidRDefault="00CD1800">
            <w:pPr>
              <w:pStyle w:val="a8"/>
              <w:spacing w:line="240" w:lineRule="exact"/>
              <w:jc w:val="both"/>
              <w:rPr>
                <w:rFonts w:hint="default"/>
                <w:sz w:val="18"/>
                <w:szCs w:val="18"/>
              </w:rPr>
            </w:pPr>
            <w:r>
              <w:rPr>
                <w:rFonts w:hint="default"/>
                <w:sz w:val="18"/>
                <w:szCs w:val="18"/>
              </w:rPr>
              <w:t>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1B51D6" w:rsidRDefault="00CD1800">
            <w:pPr>
              <w:pStyle w:val="a8"/>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1B51D6" w:rsidRDefault="00CD1800">
            <w:pPr>
              <w:pStyle w:val="a8"/>
              <w:spacing w:line="240" w:lineRule="exact"/>
              <w:jc w:val="both"/>
              <w:rPr>
                <w:rFonts w:hint="default"/>
                <w:sz w:val="18"/>
                <w:szCs w:val="18"/>
              </w:rPr>
            </w:pPr>
            <w:r>
              <w:rPr>
                <w:rFonts w:hint="default"/>
                <w:sz w:val="18"/>
                <w:szCs w:val="18"/>
              </w:rPr>
              <w:t>12</w:t>
            </w:r>
          </w:p>
        </w:tc>
      </w:tr>
      <w:tr w:rsidR="001B51D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B51D6" w:rsidRDefault="001B51D6">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r>
      <w:tr w:rsidR="001B51D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产出成本</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成本节约率</w:t>
            </w:r>
          </w:p>
        </w:tc>
        <w:tc>
          <w:tcPr>
            <w:tcW w:w="1123" w:type="pct"/>
            <w:vMerge w:val="restart"/>
            <w:tcBorders>
              <w:top w:val="single" w:sz="4" w:space="0" w:color="auto"/>
              <w:left w:val="single" w:sz="4" w:space="0" w:color="auto"/>
              <w:bottom w:val="single" w:sz="4" w:space="0" w:color="auto"/>
              <w:right w:val="nil"/>
            </w:tcBorders>
            <w:vAlign w:val="center"/>
          </w:tcPr>
          <w:p w:rsidR="001B51D6" w:rsidRDefault="00CD1800">
            <w:pPr>
              <w:pStyle w:val="a8"/>
              <w:spacing w:line="240" w:lineRule="exact"/>
              <w:jc w:val="both"/>
              <w:rPr>
                <w:rFonts w:hint="default"/>
                <w:sz w:val="18"/>
                <w:szCs w:val="18"/>
              </w:rPr>
            </w:pPr>
            <w:r>
              <w:rPr>
                <w:rFonts w:hint="default"/>
                <w:sz w:val="18"/>
                <w:szCs w:val="18"/>
              </w:rPr>
              <w:t>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ign w:val="center"/>
          </w:tcPr>
          <w:p w:rsidR="001B51D6" w:rsidRDefault="001B51D6">
            <w:pPr>
              <w:pStyle w:val="a8"/>
              <w:spacing w:line="240" w:lineRule="exact"/>
              <w:jc w:val="both"/>
              <w:rPr>
                <w:rFonts w:hint="default"/>
                <w:sz w:val="18"/>
                <w:szCs w:val="18"/>
              </w:rPr>
            </w:pP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1B51D6" w:rsidRDefault="00CD1800">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1B51D6" w:rsidRDefault="00CD1800">
            <w:pPr>
              <w:pStyle w:val="a8"/>
              <w:spacing w:line="240" w:lineRule="exact"/>
              <w:jc w:val="both"/>
              <w:rPr>
                <w:rFonts w:hint="default"/>
                <w:sz w:val="18"/>
                <w:szCs w:val="18"/>
              </w:rPr>
            </w:pPr>
            <w:r>
              <w:rPr>
                <w:rFonts w:hint="default"/>
                <w:sz w:val="18"/>
                <w:szCs w:val="18"/>
              </w:rPr>
              <w:t>4</w:t>
            </w:r>
          </w:p>
        </w:tc>
      </w:tr>
      <w:tr w:rsidR="001B51D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B51D6" w:rsidRDefault="001B51D6">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成本节约率</w:t>
            </w:r>
            <w:r>
              <w:rPr>
                <w:rFonts w:hint="default"/>
                <w:sz w:val="18"/>
                <w:szCs w:val="18"/>
              </w:rPr>
              <w:t>=</w:t>
            </w:r>
            <w:r>
              <w:rPr>
                <w:rFonts w:hint="default"/>
                <w:sz w:val="18"/>
                <w:szCs w:val="18"/>
              </w:rPr>
              <w:t>〔（计划成本</w:t>
            </w:r>
            <w:r>
              <w:rPr>
                <w:rFonts w:hint="default"/>
                <w:sz w:val="18"/>
                <w:szCs w:val="18"/>
              </w:rPr>
              <w:t>－</w:t>
            </w:r>
            <w:r>
              <w:rPr>
                <w:rFonts w:hint="default"/>
                <w:sz w:val="18"/>
                <w:szCs w:val="18"/>
              </w:rPr>
              <w:t>实际成本）</w:t>
            </w:r>
            <w:r>
              <w:rPr>
                <w:rFonts w:hint="default"/>
                <w:sz w:val="18"/>
                <w:szCs w:val="18"/>
              </w:rPr>
              <w:t>/</w:t>
            </w:r>
            <w:r>
              <w:rPr>
                <w:rFonts w:hint="default"/>
                <w:sz w:val="18"/>
                <w:szCs w:val="18"/>
              </w:rPr>
              <w:t>计划成本〕</w:t>
            </w:r>
            <w:r>
              <w:rPr>
                <w:rFonts w:hint="default"/>
                <w:sz w:val="18"/>
                <w:szCs w:val="18"/>
              </w:rPr>
              <w:t>×100%</w:t>
            </w:r>
            <w:r>
              <w:rPr>
                <w:rFonts w:hint="default"/>
                <w:sz w:val="18"/>
                <w:szCs w:val="18"/>
              </w:rPr>
              <w:t>。</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r>
      <w:tr w:rsidR="001B51D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B51D6" w:rsidRDefault="001B51D6">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r>
      <w:tr w:rsidR="001B51D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B51D6" w:rsidRDefault="001B51D6">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B51D6" w:rsidRDefault="001B51D6">
            <w:pPr>
              <w:pStyle w:val="a8"/>
              <w:spacing w:line="240" w:lineRule="exact"/>
              <w:jc w:val="both"/>
              <w:rPr>
                <w:rFonts w:hint="default"/>
                <w:sz w:val="18"/>
                <w:szCs w:val="18"/>
              </w:rPr>
            </w:pPr>
          </w:p>
        </w:tc>
      </w:tr>
      <w:tr w:rsidR="001B51D6">
        <w:trPr>
          <w:trHeight w:val="78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效益</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项目效益</w:t>
            </w:r>
          </w:p>
        </w:tc>
        <w:tc>
          <w:tcPr>
            <w:tcW w:w="422"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实施</w:t>
            </w:r>
          </w:p>
          <w:p w:rsidR="001B51D6" w:rsidRDefault="00CD1800">
            <w:pPr>
              <w:pStyle w:val="a8"/>
              <w:spacing w:line="240" w:lineRule="exact"/>
              <w:jc w:val="both"/>
              <w:rPr>
                <w:rFonts w:hint="default"/>
                <w:sz w:val="18"/>
                <w:szCs w:val="18"/>
              </w:rPr>
            </w:pPr>
            <w:r>
              <w:rPr>
                <w:rFonts w:hint="default"/>
                <w:sz w:val="18"/>
                <w:szCs w:val="18"/>
              </w:rPr>
              <w:t>效益</w:t>
            </w:r>
          </w:p>
        </w:tc>
        <w:tc>
          <w:tcPr>
            <w:tcW w:w="1123" w:type="pct"/>
            <w:tcBorders>
              <w:top w:val="single" w:sz="4" w:space="0" w:color="auto"/>
              <w:left w:val="single" w:sz="4" w:space="0" w:color="auto"/>
              <w:bottom w:val="single" w:sz="4" w:space="0" w:color="auto"/>
              <w:right w:val="nil"/>
            </w:tcBorders>
            <w:vAlign w:val="center"/>
          </w:tcPr>
          <w:p w:rsidR="001B51D6" w:rsidRDefault="00CD1800">
            <w:pPr>
              <w:pStyle w:val="a8"/>
              <w:spacing w:line="240" w:lineRule="exact"/>
              <w:jc w:val="both"/>
              <w:rPr>
                <w:rFonts w:hint="default"/>
                <w:sz w:val="18"/>
                <w:szCs w:val="18"/>
              </w:rPr>
            </w:pPr>
            <w:r>
              <w:rPr>
                <w:rFonts w:hint="default"/>
                <w:sz w:val="18"/>
                <w:szCs w:val="18"/>
              </w:rPr>
              <w:t>项目实施所产生的效益。</w:t>
            </w:r>
          </w:p>
        </w:tc>
        <w:tc>
          <w:tcPr>
            <w:tcW w:w="2160"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ign w:val="center"/>
          </w:tcPr>
          <w:p w:rsidR="001B51D6" w:rsidRDefault="00CD1800">
            <w:pPr>
              <w:pStyle w:val="a8"/>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1B51D6" w:rsidRDefault="00CD1800">
            <w:pPr>
              <w:pStyle w:val="a8"/>
              <w:spacing w:line="240" w:lineRule="exact"/>
              <w:jc w:val="both"/>
              <w:rPr>
                <w:rFonts w:hint="default"/>
                <w:sz w:val="18"/>
                <w:szCs w:val="18"/>
              </w:rPr>
            </w:pPr>
            <w:r>
              <w:rPr>
                <w:rFonts w:hint="default"/>
                <w:sz w:val="18"/>
                <w:szCs w:val="18"/>
              </w:rPr>
              <w:t>10</w:t>
            </w:r>
          </w:p>
        </w:tc>
      </w:tr>
      <w:tr w:rsidR="001B51D6">
        <w:trPr>
          <w:trHeight w:val="8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B51D6" w:rsidRDefault="001B51D6">
            <w:pPr>
              <w:pStyle w:val="a8"/>
              <w:spacing w:line="240" w:lineRule="exact"/>
              <w:jc w:val="both"/>
              <w:rPr>
                <w:rFonts w:hint="default"/>
                <w:sz w:val="18"/>
                <w:szCs w:val="18"/>
              </w:rPr>
            </w:pPr>
          </w:p>
        </w:tc>
        <w:tc>
          <w:tcPr>
            <w:tcW w:w="422"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满意度</w:t>
            </w:r>
          </w:p>
        </w:tc>
        <w:tc>
          <w:tcPr>
            <w:tcW w:w="1123" w:type="pct"/>
            <w:tcBorders>
              <w:top w:val="single" w:sz="4" w:space="0" w:color="auto"/>
              <w:left w:val="single" w:sz="4" w:space="0" w:color="auto"/>
              <w:bottom w:val="single" w:sz="4" w:space="0" w:color="auto"/>
              <w:right w:val="nil"/>
            </w:tcBorders>
            <w:vAlign w:val="center"/>
          </w:tcPr>
          <w:p w:rsidR="001B51D6" w:rsidRDefault="00CD1800">
            <w:pPr>
              <w:pStyle w:val="a8"/>
              <w:spacing w:line="240" w:lineRule="exact"/>
              <w:jc w:val="both"/>
              <w:rPr>
                <w:rFonts w:hint="default"/>
                <w:sz w:val="18"/>
                <w:szCs w:val="18"/>
              </w:rPr>
            </w:pPr>
            <w:r>
              <w:rPr>
                <w:rFonts w:hint="default"/>
                <w:sz w:val="18"/>
                <w:szCs w:val="18"/>
              </w:rPr>
              <w:t>社会公众或服务对象对项目实施效果的满意程度。</w:t>
            </w:r>
          </w:p>
        </w:tc>
        <w:tc>
          <w:tcPr>
            <w:tcW w:w="2160" w:type="pct"/>
            <w:tcBorders>
              <w:top w:val="single" w:sz="4" w:space="0" w:color="auto"/>
              <w:left w:val="single" w:sz="4" w:space="0" w:color="auto"/>
              <w:bottom w:val="single" w:sz="4" w:space="0" w:color="auto"/>
              <w:right w:val="single" w:sz="4" w:space="0" w:color="auto"/>
            </w:tcBorders>
            <w:vAlign w:val="center"/>
          </w:tcPr>
          <w:p w:rsidR="001B51D6" w:rsidRDefault="00CD1800">
            <w:pPr>
              <w:pStyle w:val="a8"/>
              <w:spacing w:line="240" w:lineRule="exact"/>
              <w:jc w:val="both"/>
              <w:rPr>
                <w:rFonts w:hint="default"/>
                <w:sz w:val="18"/>
                <w:szCs w:val="18"/>
              </w:rPr>
            </w:pPr>
            <w:r>
              <w:rPr>
                <w:rFonts w:hint="default"/>
                <w:sz w:val="18"/>
                <w:szCs w:val="18"/>
              </w:rPr>
              <w:t>社会公众或服务对象是指因该项目实施而受到影响的部门（单位）、群体或个人。一般采取社会调查的方式。</w:t>
            </w:r>
          </w:p>
        </w:tc>
        <w:tc>
          <w:tcPr>
            <w:tcW w:w="317" w:type="pct"/>
            <w:tcBorders>
              <w:top w:val="single" w:sz="4" w:space="0" w:color="auto"/>
              <w:left w:val="single" w:sz="4" w:space="0" w:color="auto"/>
              <w:bottom w:val="single" w:sz="4" w:space="0" w:color="auto"/>
              <w:right w:val="single" w:sz="4" w:space="0" w:color="auto"/>
            </w:tcBorders>
            <w:noWrap/>
            <w:vAlign w:val="center"/>
          </w:tcPr>
          <w:p w:rsidR="001B51D6" w:rsidRDefault="00CD1800">
            <w:pPr>
              <w:pStyle w:val="a8"/>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1B51D6" w:rsidRDefault="00CD1800">
            <w:pPr>
              <w:pStyle w:val="a8"/>
              <w:spacing w:line="240" w:lineRule="exact"/>
              <w:jc w:val="both"/>
              <w:rPr>
                <w:rFonts w:hint="default"/>
                <w:sz w:val="18"/>
                <w:szCs w:val="18"/>
              </w:rPr>
            </w:pPr>
            <w:r>
              <w:rPr>
                <w:rFonts w:hint="default"/>
                <w:sz w:val="18"/>
                <w:szCs w:val="18"/>
              </w:rPr>
              <w:t>10</w:t>
            </w:r>
          </w:p>
        </w:tc>
      </w:tr>
      <w:tr w:rsidR="001B51D6">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ign w:val="center"/>
          </w:tcPr>
          <w:p w:rsidR="001B51D6" w:rsidRDefault="00CD1800">
            <w:pPr>
              <w:pStyle w:val="a8"/>
              <w:spacing w:line="240" w:lineRule="exact"/>
              <w:jc w:val="both"/>
              <w:rPr>
                <w:rFonts w:hint="default"/>
                <w:sz w:val="18"/>
                <w:szCs w:val="18"/>
              </w:rPr>
            </w:pPr>
            <w:r>
              <w:rPr>
                <w:rFonts w:hint="default"/>
                <w:sz w:val="18"/>
                <w:szCs w:val="18"/>
              </w:rPr>
              <w:t>合计</w:t>
            </w:r>
          </w:p>
        </w:tc>
        <w:tc>
          <w:tcPr>
            <w:tcW w:w="317" w:type="pct"/>
            <w:tcBorders>
              <w:top w:val="single" w:sz="4" w:space="0" w:color="auto"/>
              <w:left w:val="single" w:sz="4" w:space="0" w:color="auto"/>
              <w:bottom w:val="single" w:sz="4" w:space="0" w:color="auto"/>
              <w:right w:val="single" w:sz="4" w:space="0" w:color="auto"/>
            </w:tcBorders>
            <w:noWrap/>
            <w:vAlign w:val="center"/>
          </w:tcPr>
          <w:p w:rsidR="001B51D6" w:rsidRDefault="00CD1800">
            <w:pPr>
              <w:pStyle w:val="a8"/>
              <w:spacing w:line="240" w:lineRule="exact"/>
              <w:jc w:val="both"/>
              <w:rPr>
                <w:rFonts w:hint="default"/>
                <w:sz w:val="18"/>
                <w:szCs w:val="18"/>
              </w:rPr>
            </w:pPr>
            <w:r>
              <w:rPr>
                <w:rFonts w:hint="default"/>
                <w:sz w:val="18"/>
                <w:szCs w:val="18"/>
              </w:rPr>
              <w:t>100</w:t>
            </w:r>
          </w:p>
        </w:tc>
        <w:tc>
          <w:tcPr>
            <w:tcW w:w="323" w:type="pct"/>
            <w:tcBorders>
              <w:top w:val="single" w:sz="4" w:space="0" w:color="auto"/>
              <w:left w:val="single" w:sz="4" w:space="0" w:color="auto"/>
              <w:bottom w:val="single" w:sz="4" w:space="0" w:color="auto"/>
              <w:right w:val="single" w:sz="4" w:space="0" w:color="auto"/>
            </w:tcBorders>
            <w:noWrap/>
            <w:vAlign w:val="center"/>
          </w:tcPr>
          <w:p w:rsidR="001B51D6" w:rsidRDefault="00CD1800">
            <w:pPr>
              <w:pStyle w:val="a8"/>
              <w:spacing w:line="240" w:lineRule="exact"/>
              <w:jc w:val="both"/>
              <w:rPr>
                <w:rFonts w:hint="default"/>
                <w:sz w:val="18"/>
                <w:szCs w:val="18"/>
              </w:rPr>
            </w:pPr>
            <w:r>
              <w:rPr>
                <w:rFonts w:hint="default"/>
                <w:sz w:val="18"/>
                <w:szCs w:val="18"/>
              </w:rPr>
              <w:t>100</w:t>
            </w:r>
          </w:p>
        </w:tc>
      </w:tr>
    </w:tbl>
    <w:p w:rsidR="001B51D6" w:rsidRDefault="001B51D6">
      <w:pPr>
        <w:ind w:firstLine="640"/>
        <w:rPr>
          <w:highlight w:val="yellow"/>
        </w:rPr>
      </w:pPr>
    </w:p>
    <w:sectPr w:rsidR="001B51D6">
      <w:pgSz w:w="11906" w:h="16838"/>
      <w:pgMar w:top="816" w:right="1519" w:bottom="1043" w:left="1973"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CD1800">
      <w:pPr>
        <w:spacing w:line="240" w:lineRule="auto"/>
        <w:ind w:firstLine="640"/>
      </w:pPr>
      <w:r>
        <w:separator/>
      </w:r>
    </w:p>
  </w:endnote>
  <w:endnote w:type="continuationSeparator" w:id="0">
    <w:p w:rsidR="00000000" w:rsidRDefault="00CD1800">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8DB605B1-AD55-443E-9674-782F9FACB105}"/>
    <w:embedBold r:id="rId2" w:subsetted="1" w:fontKey="{DC99C695-21CD-4D25-805D-6608D2940A61}"/>
  </w:font>
  <w:font w:name="方正小标宋_GBK">
    <w:altName w:val="微软雅黑"/>
    <w:panose1 w:val="03000509000000000000"/>
    <w:charset w:val="86"/>
    <w:family w:val="script"/>
    <w:pitch w:val="fixed"/>
    <w:sig w:usb0="00000001" w:usb1="080E0000" w:usb2="00000010" w:usb3="00000000" w:csb0="00040000" w:csb1="00000000"/>
    <w:embedRegular r:id="rId3" w:subsetted="1" w:fontKey="{6BAD7238-FBF9-4A5A-82B2-2062F85C2898}"/>
  </w:font>
  <w:font w:name="黑体">
    <w:altName w:val="SimHei"/>
    <w:panose1 w:val="02010600030101010101"/>
    <w:charset w:val="86"/>
    <w:family w:val="auto"/>
    <w:pitch w:val="variable"/>
    <w:sig w:usb0="800002BF" w:usb1="38CF7CFA" w:usb2="00000016" w:usb3="00000000" w:csb0="00040001" w:csb1="00000000"/>
    <w:embedRegular r:id="rId4" w:subsetted="1" w:fontKey="{56B26CC4-1581-4EC0-8AB9-E615D5D9DAEA}"/>
  </w:font>
  <w:font w:name="楷体_GB2312">
    <w:altName w:val="楷体"/>
    <w:panose1 w:val="02010609030101010101"/>
    <w:charset w:val="86"/>
    <w:family w:val="modern"/>
    <w:pitch w:val="fixed"/>
    <w:sig w:usb0="00000001" w:usb1="080E0000" w:usb2="00000010" w:usb3="00000000" w:csb0="00040000" w:csb1="00000000"/>
    <w:embedBold r:id="rId5" w:subsetted="1" w:fontKey="{7CA13F30-B73F-4700-8623-F87F3E0335CD}"/>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embedRegular r:id="rId6" w:subsetted="1" w:fontKey="{9610051F-8912-4252-96E7-5A61E390C4C4}"/>
    <w:embedBold r:id="rId7" w:subsetted="1" w:fontKey="{6C4CC825-FE97-487A-A91E-1E81B61BD50E}"/>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1D6" w:rsidRDefault="001B51D6">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1D6" w:rsidRDefault="00CD1800">
    <w:pPr>
      <w:pStyle w:val="a3"/>
      <w:ind w:firstLine="360"/>
    </w:pPr>
    <w:r>
      <w:pict>
        <v:shapetype id="_x0000_t202" coordsize="21600,21600" o:spt="202" path="m,l,21600r21600,l21600,xe">
          <v:stroke joinstyle="miter"/>
          <v:path gradientshapeok="t" o:connecttype="rect"/>
        </v:shapetype>
        <v:shape id="_x0000_s2059"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1B51D6" w:rsidRDefault="00CD1800">
                <w:pPr>
                  <w:pStyle w:val="a3"/>
                  <w:ind w:firstLine="360"/>
                </w:pPr>
                <w:r>
                  <w:fldChar w:fldCharType="begin"/>
                </w:r>
                <w:r>
                  <w:instrText xml:space="preserve"> PAGE  \* MERGEFORMAT </w:instrText>
                </w:r>
                <w:r>
                  <w:fldChar w:fldCharType="separate"/>
                </w:r>
                <w:r>
                  <w:rPr>
                    <w:noProof/>
                  </w:rPr>
                  <w:t>14</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CD1800">
      <w:pPr>
        <w:spacing w:line="240" w:lineRule="auto"/>
        <w:ind w:firstLine="640"/>
      </w:pPr>
      <w:r>
        <w:separator/>
      </w:r>
    </w:p>
  </w:footnote>
  <w:footnote w:type="continuationSeparator" w:id="0">
    <w:p w:rsidR="00000000" w:rsidRDefault="00CD1800">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doNotTrackMoves/>
  <w:defaultTabStop w:val="420"/>
  <w:drawingGridVerticalSpacing w:val="156"/>
  <w:noPunctuationKerning/>
  <w:characterSpacingControl w:val="compressPunctuation"/>
  <w:hdrShapeDefaults>
    <o:shapedefaults v:ext="edit" spidmax="3074"/>
    <o:shapelayout v:ext="edit">
      <o:idmap v:ext="edit" data="1,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1B51D6"/>
    <w:rsid w:val="001B51D6"/>
    <w:rsid w:val="00CD180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5:docId w15:val="{35D5508C-3266-48C1-BD4F-C6501B8F1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uiPriority="99"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qFormat/>
    <w:pPr>
      <w:jc w:val="left"/>
    </w:pPr>
  </w:style>
  <w:style w:type="paragraph" w:styleId="30">
    <w:name w:val="toc 3"/>
    <w:basedOn w:val="a"/>
    <w:next w:val="a"/>
    <w:uiPriority w:val="39"/>
    <w:qFormat/>
    <w:pPr>
      <w:ind w:leftChars="400" w:left="840"/>
    </w:pPr>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6">
    <w:name w:val="Title"/>
    <w:basedOn w:val="a"/>
    <w:next w:val="a"/>
    <w:uiPriority w:val="99"/>
    <w:qFormat/>
    <w:pPr>
      <w:spacing w:before="240" w:after="60"/>
      <w:jc w:val="center"/>
      <w:outlineLvl w:val="0"/>
    </w:pPr>
    <w:rPr>
      <w:rFonts w:ascii="Cambria" w:hAnsi="Cambria"/>
      <w:b/>
      <w:bCs/>
      <w:szCs w:val="32"/>
    </w:rPr>
  </w:style>
  <w:style w:type="character" w:customStyle="1" w:styleId="2Char">
    <w:name w:val="标题 2 Char"/>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imes New Roman"/>
      <w:b/>
      <w:kern w:val="2"/>
      <w:sz w:val="32"/>
      <w:szCs w:val="22"/>
    </w:rPr>
  </w:style>
  <w:style w:type="character" w:customStyle="1" w:styleId="Char">
    <w:name w:val="页脚 Char"/>
    <w:link w:val="a3"/>
    <w:uiPriority w:val="99"/>
    <w:rPr>
      <w:rFonts w:eastAsia="仿宋_GB2312" w:cs="Times New Roman"/>
      <w:kern w:val="2"/>
      <w:sz w:val="18"/>
      <w:szCs w:val="22"/>
    </w:rPr>
  </w:style>
  <w:style w:type="character" w:customStyle="1" w:styleId="Char0">
    <w:name w:val="页眉 Char"/>
    <w:link w:val="a4"/>
    <w:uiPriority w:val="99"/>
    <w:rPr>
      <w:rFonts w:eastAsia="仿宋_GB2312" w:cs="Times New Roman"/>
      <w:kern w:val="2"/>
      <w:sz w:val="18"/>
      <w:szCs w:val="22"/>
    </w:rPr>
  </w:style>
  <w:style w:type="character" w:customStyle="1" w:styleId="font81">
    <w:name w:val="font81"/>
    <w:basedOn w:val="a0"/>
    <w:rPr>
      <w:rFonts w:ascii="宋体" w:eastAsia="宋体" w:hAnsi="宋体" w:cs="宋体" w:hint="eastAsia"/>
      <w:color w:val="000000"/>
      <w:sz w:val="22"/>
      <w:szCs w:val="22"/>
      <w:u w:val="none"/>
    </w:rPr>
  </w:style>
  <w:style w:type="character" w:customStyle="1" w:styleId="font131">
    <w:name w:val="font131"/>
    <w:basedOn w:val="a0"/>
    <w:rPr>
      <w:rFonts w:ascii="宋体" w:eastAsia="宋体" w:hAnsi="宋体" w:cs="宋体" w:hint="eastAsia"/>
      <w:color w:val="000000"/>
      <w:sz w:val="18"/>
      <w:szCs w:val="18"/>
      <w:u w:val="none"/>
    </w:rPr>
  </w:style>
  <w:style w:type="character" w:customStyle="1" w:styleId="font41">
    <w:name w:val="font41"/>
    <w:basedOn w:val="a0"/>
    <w:rPr>
      <w:rFonts w:ascii="宋体" w:eastAsia="宋体" w:hAnsi="宋体" w:cs="宋体" w:hint="eastAsia"/>
      <w:color w:val="000000"/>
      <w:sz w:val="22"/>
      <w:szCs w:val="22"/>
      <w:u w:val="none"/>
    </w:rPr>
  </w:style>
  <w:style w:type="character" w:customStyle="1" w:styleId="font21">
    <w:name w:val="font21"/>
    <w:basedOn w:val="a0"/>
    <w:rPr>
      <w:rFonts w:ascii="Times New Roman" w:hAnsi="Times New Roman" w:cs="Times New Roman" w:hint="default"/>
      <w:color w:val="000000"/>
      <w:sz w:val="22"/>
      <w:szCs w:val="22"/>
      <w:u w:val="none"/>
    </w:rPr>
  </w:style>
  <w:style w:type="character" w:customStyle="1" w:styleId="font91">
    <w:name w:val="font91"/>
    <w:basedOn w:val="a0"/>
    <w:rPr>
      <w:rFonts w:ascii="Times New Roman" w:hAnsi="Times New Roman" w:cs="Times New Roman" w:hint="default"/>
      <w:color w:val="000000"/>
      <w:sz w:val="18"/>
      <w:szCs w:val="18"/>
      <w:u w:val="none"/>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font112">
    <w:name w:val="font112"/>
    <w:basedOn w:val="a0"/>
    <w:rPr>
      <w:rFonts w:ascii="宋体" w:eastAsia="宋体" w:hAnsi="宋体" w:cs="宋体" w:hint="eastAsia"/>
      <w:color w:val="000000"/>
      <w:sz w:val="22"/>
      <w:szCs w:val="22"/>
      <w:u w:val="none"/>
    </w:rPr>
  </w:style>
  <w:style w:type="paragraph" w:customStyle="1" w:styleId="a7">
    <w:name w:val="表格标题"/>
    <w:basedOn w:val="a"/>
    <w:next w:val="a"/>
    <w:qFormat/>
    <w:pPr>
      <w:keepNext/>
      <w:keepLines/>
      <w:ind w:firstLineChars="0" w:firstLine="0"/>
      <w:jc w:val="center"/>
      <w:outlineLvl w:val="0"/>
    </w:pPr>
    <w:rPr>
      <w:rFonts w:hint="eastAsia"/>
      <w:b/>
      <w:kern w:val="44"/>
    </w:rPr>
  </w:style>
  <w:style w:type="paragraph" w:customStyle="1" w:styleId="a8">
    <w:name w:val="表格内容"/>
    <w:basedOn w:val="a"/>
    <w:next w:val="a"/>
    <w:qFormat/>
    <w:pPr>
      <w:keepLines/>
      <w:spacing w:line="240" w:lineRule="auto"/>
      <w:ind w:firstLineChars="0" w:firstLine="0"/>
      <w:jc w:val="center"/>
    </w:pPr>
    <w:rPr>
      <w:rFonts w:hint="eastAsia"/>
      <w:kern w:val="44"/>
      <w:sz w:val="21"/>
    </w:rPr>
  </w:style>
  <w:style w:type="table" w:styleId="a9">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9"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5F545A5E1B1A413AB22A329E0112E89A_13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05349D2-FE86-46ED-A224-437D48D1A077}">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26</Pages>
  <Words>2282</Words>
  <Characters>13013</Characters>
  <Application>Microsoft Office Word</Application>
  <DocSecurity>0</DocSecurity>
  <Lines>108</Lines>
  <Paragraphs>30</Paragraphs>
  <ScaleCrop>false</ScaleCrop>
  <Company>Microsoft</Company>
  <LinksUpToDate>false</LinksUpToDate>
  <CharactersWithSpaces>15265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4</cp:revision>
  <dcterms:created xsi:type="dcterms:W3CDTF">2019-11-25T12:51:00Z</dcterms:created>
  <dcterms:modified xsi:type="dcterms:W3CDTF">2025-09-22T08:51:00Z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5F545A5E1B1A413AB22A329E0112E89A_13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