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447" w:rsidRDefault="00076447">
      <w:pPr>
        <w:ind w:firstLine="640"/>
      </w:pPr>
    </w:p>
    <w:p w:rsidR="00076447" w:rsidRDefault="00076447">
      <w:pPr>
        <w:ind w:firstLine="640"/>
        <w:rPr>
          <w:rFonts w:eastAsia="宋体"/>
        </w:rPr>
      </w:pPr>
    </w:p>
    <w:p w:rsidR="00076447" w:rsidRDefault="00076447">
      <w:pPr>
        <w:ind w:firstLine="640"/>
        <w:rPr>
          <w:rFonts w:eastAsia="宋体"/>
        </w:rPr>
      </w:pPr>
    </w:p>
    <w:p w:rsidR="00076447" w:rsidRDefault="00076447">
      <w:pPr>
        <w:ind w:firstLine="640"/>
        <w:rPr>
          <w:rFonts w:eastAsia="宋体"/>
        </w:rPr>
      </w:pPr>
    </w:p>
    <w:p w:rsidR="00076447" w:rsidRDefault="005528B5">
      <w:pPr>
        <w:pStyle w:val="1"/>
        <w:rPr>
          <w:sz w:val="44"/>
          <w:szCs w:val="44"/>
        </w:rPr>
      </w:pPr>
      <w:bookmarkStart w:id="0" w:name="_Toc24054"/>
      <w:bookmarkStart w:id="1" w:name="_Toc28201"/>
      <w:bookmarkStart w:id="2" w:name="_Toc15286"/>
      <w:r>
        <w:rPr>
          <w:sz w:val="44"/>
          <w:szCs w:val="44"/>
        </w:rPr>
        <w:t>项目支出绩效评价报告</w:t>
      </w:r>
      <w:bookmarkEnd w:id="0"/>
      <w:bookmarkEnd w:id="1"/>
      <w:bookmarkEnd w:id="2"/>
    </w:p>
    <w:p w:rsidR="00076447" w:rsidRDefault="00076447">
      <w:pPr>
        <w:ind w:firstLine="883"/>
        <w:rPr>
          <w:rFonts w:eastAsia="宋体"/>
          <w:b/>
          <w:bCs/>
          <w:sz w:val="44"/>
          <w:szCs w:val="44"/>
        </w:rPr>
      </w:pPr>
    </w:p>
    <w:p w:rsidR="00076447" w:rsidRDefault="00076447">
      <w:pPr>
        <w:ind w:firstLine="640"/>
        <w:rPr>
          <w:rFonts w:eastAsia="宋体"/>
        </w:rPr>
      </w:pPr>
    </w:p>
    <w:p w:rsidR="00076447" w:rsidRDefault="005528B5">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076447" w:rsidRDefault="00076447">
      <w:pPr>
        <w:ind w:firstLine="640"/>
        <w:rPr>
          <w:rFonts w:eastAsia="宋体"/>
        </w:rPr>
      </w:pPr>
    </w:p>
    <w:p w:rsidR="00076447" w:rsidRDefault="00076447">
      <w:pPr>
        <w:ind w:firstLine="640"/>
        <w:rPr>
          <w:rFonts w:eastAsia="宋体"/>
        </w:rPr>
      </w:pPr>
    </w:p>
    <w:p w:rsidR="00076447" w:rsidRDefault="00076447">
      <w:pPr>
        <w:ind w:firstLine="640"/>
        <w:rPr>
          <w:rFonts w:eastAsia="宋体"/>
        </w:rPr>
      </w:pPr>
    </w:p>
    <w:p w:rsidR="00076447" w:rsidRDefault="00076447">
      <w:pPr>
        <w:ind w:firstLine="640"/>
        <w:rPr>
          <w:rFonts w:eastAsia="宋体"/>
        </w:rPr>
      </w:pPr>
    </w:p>
    <w:p w:rsidR="00076447" w:rsidRDefault="00076447">
      <w:pPr>
        <w:ind w:firstLine="643"/>
        <w:rPr>
          <w:rFonts w:eastAsia="宋体"/>
          <w:b/>
          <w:bCs/>
        </w:rPr>
      </w:pPr>
    </w:p>
    <w:p w:rsidR="00076447" w:rsidRDefault="005528B5">
      <w:pPr>
        <w:ind w:firstLine="640"/>
        <w:rPr>
          <w:rFonts w:ascii="仿宋_GB2312" w:hAnsi="仿宋_GB2312" w:cs="仿宋_GB2312"/>
        </w:rPr>
      </w:pPr>
      <w:r>
        <w:rPr>
          <w:rFonts w:ascii="仿宋_GB2312" w:hAnsi="仿宋_GB2312" w:cs="仿宋_GB2312" w:hint="eastAsia"/>
        </w:rPr>
        <w:t>项目名称</w:t>
      </w:r>
      <w:r>
        <w:rPr>
          <w:rFonts w:ascii="仿宋_GB2312" w:hAnsi="仿宋_GB2312" w:cs="仿宋_GB2312" w:hint="eastAsia"/>
        </w:rPr>
        <w:t>：</w:t>
      </w:r>
      <w:r>
        <w:rPr>
          <w:rFonts w:ascii="仿宋_GB2312" w:hAnsi="仿宋_GB2312" w:cs="仿宋_GB2312" w:hint="eastAsia"/>
        </w:rPr>
        <w:t>尉犁县</w:t>
      </w:r>
      <w:r>
        <w:rPr>
          <w:rFonts w:ascii="仿宋_GB2312" w:hAnsi="仿宋_GB2312" w:cs="仿宋_GB2312" w:hint="eastAsia"/>
        </w:rPr>
        <w:t>2024</w:t>
      </w:r>
      <w:r>
        <w:rPr>
          <w:rFonts w:ascii="仿宋_GB2312" w:hAnsi="仿宋_GB2312" w:cs="仿宋_GB2312" w:hint="eastAsia"/>
        </w:rPr>
        <w:t>年城镇公共租赁住房建设及改造保租房项目</w:t>
      </w:r>
    </w:p>
    <w:p w:rsidR="00076447" w:rsidRDefault="005528B5">
      <w:pPr>
        <w:ind w:firstLine="640"/>
        <w:rPr>
          <w:rFonts w:ascii="仿宋_GB2312" w:hAnsi="仿宋_GB2312" w:cs="仿宋_GB2312"/>
        </w:rPr>
      </w:pPr>
      <w:r>
        <w:rPr>
          <w:rFonts w:ascii="仿宋_GB2312" w:hAnsi="仿宋_GB2312" w:cs="仿宋_GB2312" w:hint="eastAsia"/>
        </w:rPr>
        <w:t>实施单位（公章）：</w:t>
      </w:r>
      <w:r>
        <w:rPr>
          <w:rFonts w:ascii="仿宋_GB2312" w:hAnsi="仿宋_GB2312" w:cs="仿宋_GB2312" w:hint="eastAsia"/>
        </w:rPr>
        <w:t>尉犁县住房和城乡建设局</w:t>
      </w:r>
    </w:p>
    <w:p w:rsidR="00076447" w:rsidRDefault="005528B5">
      <w:pPr>
        <w:ind w:firstLine="640"/>
        <w:rPr>
          <w:rFonts w:ascii="仿宋_GB2312" w:hAnsi="仿宋_GB2312" w:cs="仿宋_GB2312"/>
        </w:rPr>
      </w:pPr>
      <w:r>
        <w:rPr>
          <w:rFonts w:ascii="仿宋_GB2312" w:hAnsi="仿宋_GB2312" w:cs="仿宋_GB2312" w:hint="eastAsia"/>
        </w:rPr>
        <w:t>主管部门（公章）：</w:t>
      </w:r>
      <w:r>
        <w:rPr>
          <w:rFonts w:ascii="仿宋_GB2312" w:hAnsi="仿宋_GB2312" w:cs="仿宋_GB2312" w:hint="eastAsia"/>
        </w:rPr>
        <w:t>尉犁县住房和城乡建设局</w:t>
      </w:r>
    </w:p>
    <w:p w:rsidR="00076447" w:rsidRDefault="005528B5">
      <w:pPr>
        <w:ind w:firstLine="640"/>
        <w:rPr>
          <w:rFonts w:ascii="仿宋_GB2312" w:hAnsi="仿宋_GB2312" w:cs="仿宋_GB2312"/>
        </w:rPr>
      </w:pPr>
      <w:r>
        <w:rPr>
          <w:rFonts w:ascii="仿宋_GB2312" w:hAnsi="仿宋_GB2312" w:cs="仿宋_GB2312" w:hint="eastAsia"/>
        </w:rPr>
        <w:t>项目负责人（签章）：</w:t>
      </w:r>
      <w:r>
        <w:rPr>
          <w:rFonts w:ascii="仿宋_GB2312" w:hAnsi="仿宋_GB2312" w:cs="仿宋_GB2312" w:hint="eastAsia"/>
        </w:rPr>
        <w:t>王鹏</w:t>
      </w:r>
    </w:p>
    <w:p w:rsidR="00076447" w:rsidRDefault="005528B5">
      <w:pPr>
        <w:ind w:firstLine="640"/>
        <w:rPr>
          <w:rFonts w:ascii="仿宋_GB2312" w:hAnsi="仿宋_GB2312" w:cs="仿宋_GB2312"/>
        </w:rPr>
      </w:pPr>
      <w:r>
        <w:rPr>
          <w:rFonts w:ascii="仿宋_GB2312" w:hAnsi="仿宋_GB2312" w:cs="仿宋_GB2312" w:hint="eastAsia"/>
        </w:rPr>
        <w:t>填报时间：</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3</w:t>
      </w:r>
      <w:r>
        <w:rPr>
          <w:rFonts w:ascii="仿宋_GB2312" w:hAnsi="仿宋_GB2312" w:cs="仿宋_GB2312" w:hint="eastAsia"/>
        </w:rPr>
        <w:t>月</w:t>
      </w:r>
      <w:r>
        <w:rPr>
          <w:rFonts w:ascii="仿宋_GB2312" w:hAnsi="仿宋_GB2312" w:cs="仿宋_GB2312" w:hint="eastAsia"/>
        </w:rPr>
        <w:t>31</w:t>
      </w:r>
      <w:r>
        <w:rPr>
          <w:rFonts w:ascii="仿宋_GB2312" w:hAnsi="仿宋_GB2312" w:cs="仿宋_GB2312" w:hint="eastAsia"/>
        </w:rPr>
        <w:t>日</w:t>
      </w:r>
    </w:p>
    <w:p w:rsidR="00076447" w:rsidRDefault="00076447">
      <w:pPr>
        <w:ind w:firstLine="640"/>
        <w:rPr>
          <w:rFonts w:eastAsia="宋体"/>
        </w:rPr>
      </w:pPr>
    </w:p>
    <w:p w:rsidR="00076447" w:rsidRDefault="00076447">
      <w:pPr>
        <w:ind w:firstLine="640"/>
        <w:rPr>
          <w:rFonts w:eastAsia="宋体"/>
        </w:rPr>
        <w:sectPr w:rsidR="00076447">
          <w:pgSz w:w="11906" w:h="16838"/>
          <w:pgMar w:top="1440" w:right="1800" w:bottom="1440" w:left="1800" w:header="851" w:footer="992" w:gutter="0"/>
          <w:pgNumType w:start="1"/>
          <w:cols w:space="720"/>
          <w:docGrid w:type="lines" w:linePitch="312"/>
        </w:sectPr>
      </w:pPr>
    </w:p>
    <w:p w:rsidR="00076447" w:rsidRDefault="005528B5">
      <w:pPr>
        <w:spacing w:line="500" w:lineRule="exact"/>
        <w:ind w:firstLineChars="0" w:firstLine="0"/>
        <w:jc w:val="center"/>
        <w:outlineLvl w:val="0"/>
        <w:rPr>
          <w:rFonts w:eastAsia="宋体"/>
          <w:bCs/>
          <w:iCs/>
          <w:szCs w:val="21"/>
        </w:rPr>
      </w:pPr>
      <w:bookmarkStart w:id="3" w:name="_Toc14033"/>
      <w:bookmarkStart w:id="4" w:name="_Toc11827"/>
      <w:bookmarkStart w:id="5" w:name="_Toc5473"/>
      <w:bookmarkStart w:id="6" w:name="_Toc18707"/>
      <w:bookmarkStart w:id="7" w:name="_Toc1891"/>
      <w:bookmarkStart w:id="8" w:name="_Toc15542"/>
      <w:bookmarkStart w:id="9" w:name="_Toc14721"/>
      <w:r>
        <w:rPr>
          <w:rFonts w:eastAsia="宋体"/>
          <w:bCs/>
          <w:iCs/>
          <w:szCs w:val="21"/>
        </w:rPr>
        <w:lastRenderedPageBreak/>
        <w:t>目录</w:t>
      </w:r>
      <w:bookmarkEnd w:id="3"/>
    </w:p>
    <w:p w:rsidR="00076447" w:rsidRDefault="00076447">
      <w:pPr>
        <w:spacing w:line="500" w:lineRule="exact"/>
        <w:ind w:firstLine="640"/>
        <w:jc w:val="center"/>
        <w:rPr>
          <w:rFonts w:eastAsia="宋体"/>
          <w:bCs/>
          <w:iCs/>
          <w:szCs w:val="21"/>
        </w:rPr>
      </w:pPr>
    </w:p>
    <w:p w:rsidR="00076447" w:rsidRDefault="005528B5">
      <w:pPr>
        <w:pStyle w:val="WPSOffice1"/>
        <w:tabs>
          <w:tab w:val="right" w:leader="dot" w:pos="8306"/>
        </w:tabs>
        <w:rPr>
          <w:b/>
          <w:sz w:val="30"/>
          <w:szCs w:val="30"/>
        </w:rPr>
      </w:pPr>
      <w:r>
        <w:rPr>
          <w:sz w:val="30"/>
          <w:szCs w:val="30"/>
        </w:rPr>
        <w:fldChar w:fldCharType="begin"/>
      </w:r>
      <w:r>
        <w:rPr>
          <w:sz w:val="30"/>
          <w:szCs w:val="30"/>
        </w:rPr>
        <w:instrText>TOC \o "1-2" \h \u</w:instrText>
      </w:r>
      <w:r>
        <w:rPr>
          <w:sz w:val="30"/>
          <w:szCs w:val="30"/>
        </w:rPr>
        <w:fldChar w:fldCharType="separate"/>
      </w:r>
      <w:hyperlink w:anchor="_Toc25224" w:history="1">
        <w:r>
          <w:rPr>
            <w:rFonts w:eastAsia="黑体"/>
            <w:b/>
            <w:bCs/>
            <w:iCs/>
            <w:kern w:val="2"/>
            <w:sz w:val="30"/>
            <w:szCs w:val="30"/>
          </w:rPr>
          <w:t>一、基本情况</w:t>
        </w:r>
        <w:r>
          <w:rPr>
            <w:b/>
            <w:sz w:val="30"/>
            <w:szCs w:val="30"/>
          </w:rPr>
          <w:tab/>
        </w:r>
        <w:r>
          <w:rPr>
            <w:b/>
            <w:sz w:val="30"/>
            <w:szCs w:val="30"/>
          </w:rPr>
          <w:fldChar w:fldCharType="begin"/>
        </w:r>
        <w:r>
          <w:rPr>
            <w:b/>
            <w:sz w:val="30"/>
            <w:szCs w:val="30"/>
          </w:rPr>
          <w:instrText xml:space="preserve"> PAGEREF _Toc25224 \h </w:instrText>
        </w:r>
        <w:r>
          <w:rPr>
            <w:b/>
            <w:sz w:val="30"/>
            <w:szCs w:val="30"/>
          </w:rPr>
        </w:r>
        <w:r>
          <w:rPr>
            <w:b/>
            <w:sz w:val="30"/>
            <w:szCs w:val="30"/>
          </w:rPr>
          <w:fldChar w:fldCharType="separate"/>
        </w:r>
        <w:r>
          <w:rPr>
            <w:b/>
            <w:sz w:val="30"/>
            <w:szCs w:val="30"/>
          </w:rPr>
          <w:t>1</w:t>
        </w:r>
        <w:r>
          <w:rPr>
            <w:b/>
            <w:sz w:val="30"/>
            <w:szCs w:val="30"/>
          </w:rPr>
          <w:fldChar w:fldCharType="end"/>
        </w:r>
      </w:hyperlink>
    </w:p>
    <w:p w:rsidR="00076447" w:rsidRDefault="005528B5">
      <w:pPr>
        <w:pStyle w:val="WPSOffice2"/>
        <w:tabs>
          <w:tab w:val="right" w:leader="dot" w:pos="8306"/>
        </w:tabs>
        <w:ind w:left="640"/>
        <w:rPr>
          <w:sz w:val="30"/>
          <w:szCs w:val="30"/>
        </w:rPr>
      </w:pPr>
      <w:hyperlink w:anchor="_Toc6973" w:history="1">
        <w:r>
          <w:rPr>
            <w:rFonts w:eastAsia="楷体"/>
            <w:sz w:val="30"/>
            <w:szCs w:val="30"/>
          </w:rPr>
          <w:t>（一）项目概况</w:t>
        </w:r>
        <w:r>
          <w:rPr>
            <w:sz w:val="30"/>
            <w:szCs w:val="30"/>
          </w:rPr>
          <w:tab/>
        </w:r>
        <w:r>
          <w:rPr>
            <w:sz w:val="30"/>
            <w:szCs w:val="30"/>
          </w:rPr>
          <w:fldChar w:fldCharType="begin"/>
        </w:r>
        <w:r>
          <w:rPr>
            <w:sz w:val="30"/>
            <w:szCs w:val="30"/>
          </w:rPr>
          <w:instrText xml:space="preserve"> PAGEREF _Toc6973 \h </w:instrText>
        </w:r>
        <w:r>
          <w:rPr>
            <w:sz w:val="30"/>
            <w:szCs w:val="30"/>
          </w:rPr>
        </w:r>
        <w:r>
          <w:rPr>
            <w:sz w:val="30"/>
            <w:szCs w:val="30"/>
          </w:rPr>
          <w:fldChar w:fldCharType="separate"/>
        </w:r>
        <w:r>
          <w:rPr>
            <w:sz w:val="30"/>
            <w:szCs w:val="30"/>
          </w:rPr>
          <w:t>1</w:t>
        </w:r>
        <w:r>
          <w:rPr>
            <w:sz w:val="30"/>
            <w:szCs w:val="30"/>
          </w:rPr>
          <w:fldChar w:fldCharType="end"/>
        </w:r>
      </w:hyperlink>
    </w:p>
    <w:p w:rsidR="00076447" w:rsidRDefault="005528B5">
      <w:pPr>
        <w:pStyle w:val="WPSOffice2"/>
        <w:tabs>
          <w:tab w:val="right" w:leader="dot" w:pos="8306"/>
        </w:tabs>
        <w:ind w:left="640"/>
        <w:rPr>
          <w:sz w:val="30"/>
          <w:szCs w:val="30"/>
        </w:rPr>
      </w:pPr>
      <w:hyperlink w:anchor="_Toc17604" w:history="1">
        <w:r>
          <w:rPr>
            <w:rFonts w:eastAsia="楷体"/>
            <w:sz w:val="30"/>
            <w:szCs w:val="30"/>
          </w:rPr>
          <w:t>（二）项目绩效目标</w:t>
        </w:r>
        <w:r>
          <w:rPr>
            <w:sz w:val="30"/>
            <w:szCs w:val="30"/>
          </w:rPr>
          <w:tab/>
        </w:r>
        <w:r>
          <w:rPr>
            <w:sz w:val="30"/>
            <w:szCs w:val="30"/>
          </w:rPr>
          <w:fldChar w:fldCharType="begin"/>
        </w:r>
        <w:r>
          <w:rPr>
            <w:sz w:val="30"/>
            <w:szCs w:val="30"/>
          </w:rPr>
          <w:instrText xml:space="preserve"> PAGEREF _Toc17604 \h </w:instrText>
        </w:r>
        <w:r>
          <w:rPr>
            <w:sz w:val="30"/>
            <w:szCs w:val="30"/>
          </w:rPr>
        </w:r>
        <w:r>
          <w:rPr>
            <w:sz w:val="30"/>
            <w:szCs w:val="30"/>
          </w:rPr>
          <w:fldChar w:fldCharType="separate"/>
        </w:r>
        <w:r>
          <w:rPr>
            <w:sz w:val="30"/>
            <w:szCs w:val="30"/>
          </w:rPr>
          <w:t>7</w:t>
        </w:r>
        <w:r>
          <w:rPr>
            <w:sz w:val="30"/>
            <w:szCs w:val="30"/>
          </w:rPr>
          <w:fldChar w:fldCharType="end"/>
        </w:r>
      </w:hyperlink>
    </w:p>
    <w:p w:rsidR="00076447" w:rsidRDefault="005528B5">
      <w:pPr>
        <w:pStyle w:val="WPSOffice1"/>
        <w:tabs>
          <w:tab w:val="right" w:leader="dot" w:pos="8306"/>
        </w:tabs>
        <w:rPr>
          <w:b/>
          <w:sz w:val="30"/>
          <w:szCs w:val="30"/>
        </w:rPr>
      </w:pPr>
      <w:hyperlink w:anchor="_Toc30632" w:history="1">
        <w:r>
          <w:rPr>
            <w:rFonts w:eastAsia="黑体"/>
            <w:b/>
            <w:sz w:val="30"/>
            <w:szCs w:val="30"/>
          </w:rPr>
          <w:t>二、绩效评价工作开展情况</w:t>
        </w:r>
        <w:r>
          <w:rPr>
            <w:b/>
            <w:sz w:val="30"/>
            <w:szCs w:val="30"/>
          </w:rPr>
          <w:tab/>
        </w:r>
        <w:r>
          <w:rPr>
            <w:b/>
            <w:sz w:val="30"/>
            <w:szCs w:val="30"/>
          </w:rPr>
          <w:fldChar w:fldCharType="begin"/>
        </w:r>
        <w:r>
          <w:rPr>
            <w:b/>
            <w:sz w:val="30"/>
            <w:szCs w:val="30"/>
          </w:rPr>
          <w:instrText xml:space="preserve"> PAGEREF _Toc30632 \h </w:instrText>
        </w:r>
        <w:r>
          <w:rPr>
            <w:b/>
            <w:sz w:val="30"/>
            <w:szCs w:val="30"/>
          </w:rPr>
        </w:r>
        <w:r>
          <w:rPr>
            <w:b/>
            <w:sz w:val="30"/>
            <w:szCs w:val="30"/>
          </w:rPr>
          <w:fldChar w:fldCharType="separate"/>
        </w:r>
        <w:r>
          <w:rPr>
            <w:b/>
            <w:sz w:val="30"/>
            <w:szCs w:val="30"/>
          </w:rPr>
          <w:t>8</w:t>
        </w:r>
        <w:r>
          <w:rPr>
            <w:b/>
            <w:sz w:val="30"/>
            <w:szCs w:val="30"/>
          </w:rPr>
          <w:fldChar w:fldCharType="end"/>
        </w:r>
      </w:hyperlink>
    </w:p>
    <w:p w:rsidR="00076447" w:rsidRDefault="005528B5">
      <w:pPr>
        <w:pStyle w:val="WPSOffice2"/>
        <w:tabs>
          <w:tab w:val="right" w:leader="dot" w:pos="8306"/>
        </w:tabs>
        <w:ind w:left="640"/>
        <w:rPr>
          <w:sz w:val="30"/>
          <w:szCs w:val="30"/>
        </w:rPr>
      </w:pPr>
      <w:hyperlink w:anchor="_Toc4419" w:history="1">
        <w:r>
          <w:rPr>
            <w:rFonts w:eastAsia="楷体"/>
            <w:sz w:val="30"/>
            <w:szCs w:val="30"/>
          </w:rPr>
          <w:t>（一）绩效评价目的、对象和范围</w:t>
        </w:r>
        <w:r>
          <w:rPr>
            <w:sz w:val="30"/>
            <w:szCs w:val="30"/>
          </w:rPr>
          <w:tab/>
        </w:r>
        <w:r>
          <w:rPr>
            <w:sz w:val="30"/>
            <w:szCs w:val="30"/>
          </w:rPr>
          <w:fldChar w:fldCharType="begin"/>
        </w:r>
        <w:r>
          <w:rPr>
            <w:sz w:val="30"/>
            <w:szCs w:val="30"/>
          </w:rPr>
          <w:instrText xml:space="preserve"> PAGEREF _Toc4419 \h </w:instrText>
        </w:r>
        <w:r>
          <w:rPr>
            <w:sz w:val="30"/>
            <w:szCs w:val="30"/>
          </w:rPr>
        </w:r>
        <w:r>
          <w:rPr>
            <w:sz w:val="30"/>
            <w:szCs w:val="30"/>
          </w:rPr>
          <w:fldChar w:fldCharType="separate"/>
        </w:r>
        <w:r>
          <w:rPr>
            <w:sz w:val="30"/>
            <w:szCs w:val="30"/>
          </w:rPr>
          <w:t>8</w:t>
        </w:r>
        <w:r>
          <w:rPr>
            <w:sz w:val="30"/>
            <w:szCs w:val="30"/>
          </w:rPr>
          <w:fldChar w:fldCharType="end"/>
        </w:r>
      </w:hyperlink>
    </w:p>
    <w:p w:rsidR="00076447" w:rsidRDefault="005528B5">
      <w:pPr>
        <w:pStyle w:val="WPSOffice2"/>
        <w:tabs>
          <w:tab w:val="right" w:leader="dot" w:pos="8306"/>
        </w:tabs>
        <w:ind w:left="640"/>
        <w:rPr>
          <w:sz w:val="30"/>
          <w:szCs w:val="30"/>
        </w:rPr>
      </w:pPr>
      <w:hyperlink w:anchor="_Toc11151" w:history="1">
        <w:r>
          <w:rPr>
            <w:rFonts w:ascii="楷体" w:eastAsia="楷体" w:hAnsi="楷体" w:cs="楷体" w:hint="eastAsia"/>
            <w:sz w:val="30"/>
            <w:szCs w:val="30"/>
          </w:rPr>
          <w:t>（二）绩效评价原则、评价指标体系、评价方法、评价标准</w:t>
        </w:r>
        <w:r>
          <w:rPr>
            <w:sz w:val="30"/>
            <w:szCs w:val="30"/>
          </w:rPr>
          <w:tab/>
        </w:r>
        <w:r>
          <w:rPr>
            <w:sz w:val="30"/>
            <w:szCs w:val="30"/>
          </w:rPr>
          <w:fldChar w:fldCharType="begin"/>
        </w:r>
        <w:r>
          <w:rPr>
            <w:sz w:val="30"/>
            <w:szCs w:val="30"/>
          </w:rPr>
          <w:instrText xml:space="preserve"> PAGEREF _</w:instrText>
        </w:r>
        <w:r>
          <w:rPr>
            <w:sz w:val="30"/>
            <w:szCs w:val="30"/>
          </w:rPr>
          <w:instrText xml:space="preserve">Toc11151 \h </w:instrText>
        </w:r>
        <w:r>
          <w:rPr>
            <w:sz w:val="30"/>
            <w:szCs w:val="30"/>
          </w:rPr>
        </w:r>
        <w:r>
          <w:rPr>
            <w:sz w:val="30"/>
            <w:szCs w:val="30"/>
          </w:rPr>
          <w:fldChar w:fldCharType="separate"/>
        </w:r>
        <w:r>
          <w:rPr>
            <w:sz w:val="30"/>
            <w:szCs w:val="30"/>
          </w:rPr>
          <w:t>9</w:t>
        </w:r>
        <w:r>
          <w:rPr>
            <w:sz w:val="30"/>
            <w:szCs w:val="30"/>
          </w:rPr>
          <w:fldChar w:fldCharType="end"/>
        </w:r>
      </w:hyperlink>
    </w:p>
    <w:p w:rsidR="00076447" w:rsidRDefault="005528B5">
      <w:pPr>
        <w:pStyle w:val="WPSOffice2"/>
        <w:tabs>
          <w:tab w:val="right" w:leader="dot" w:pos="8306"/>
        </w:tabs>
        <w:ind w:left="640"/>
        <w:rPr>
          <w:sz w:val="30"/>
          <w:szCs w:val="30"/>
        </w:rPr>
      </w:pPr>
      <w:hyperlink w:anchor="_Toc28039" w:history="1">
        <w:r>
          <w:rPr>
            <w:rFonts w:ascii="楷体" w:eastAsia="楷体" w:hAnsi="楷体" w:cs="楷体" w:hint="eastAsia"/>
            <w:sz w:val="30"/>
            <w:szCs w:val="30"/>
          </w:rPr>
          <w:t>（三）绩效评价工作过程</w:t>
        </w:r>
        <w:r>
          <w:rPr>
            <w:sz w:val="30"/>
            <w:szCs w:val="30"/>
          </w:rPr>
          <w:tab/>
        </w:r>
        <w:r>
          <w:rPr>
            <w:sz w:val="30"/>
            <w:szCs w:val="30"/>
          </w:rPr>
          <w:fldChar w:fldCharType="begin"/>
        </w:r>
        <w:r>
          <w:rPr>
            <w:sz w:val="30"/>
            <w:szCs w:val="30"/>
          </w:rPr>
          <w:instrText xml:space="preserve"> PAGEREF _Toc28039 \h </w:instrText>
        </w:r>
        <w:r>
          <w:rPr>
            <w:sz w:val="30"/>
            <w:szCs w:val="30"/>
          </w:rPr>
        </w:r>
        <w:r>
          <w:rPr>
            <w:sz w:val="30"/>
            <w:szCs w:val="30"/>
          </w:rPr>
          <w:fldChar w:fldCharType="separate"/>
        </w:r>
        <w:r>
          <w:rPr>
            <w:sz w:val="30"/>
            <w:szCs w:val="30"/>
          </w:rPr>
          <w:t>11</w:t>
        </w:r>
        <w:r>
          <w:rPr>
            <w:sz w:val="30"/>
            <w:szCs w:val="30"/>
          </w:rPr>
          <w:fldChar w:fldCharType="end"/>
        </w:r>
      </w:hyperlink>
    </w:p>
    <w:p w:rsidR="00076447" w:rsidRDefault="005528B5">
      <w:pPr>
        <w:pStyle w:val="WPSOffice1"/>
        <w:tabs>
          <w:tab w:val="right" w:leader="dot" w:pos="8306"/>
        </w:tabs>
        <w:rPr>
          <w:b/>
          <w:sz w:val="30"/>
          <w:szCs w:val="30"/>
        </w:rPr>
      </w:pPr>
      <w:hyperlink w:anchor="_Toc25207" w:history="1">
        <w:r>
          <w:rPr>
            <w:rFonts w:ascii="黑体" w:eastAsia="黑体" w:hAnsi="黑体" w:cs="黑体" w:hint="eastAsia"/>
            <w:b/>
            <w:sz w:val="30"/>
            <w:szCs w:val="30"/>
          </w:rPr>
          <w:t>三、综合评价情况及评价结论</w:t>
        </w:r>
        <w:r>
          <w:rPr>
            <w:b/>
            <w:sz w:val="30"/>
            <w:szCs w:val="30"/>
          </w:rPr>
          <w:tab/>
        </w:r>
        <w:r>
          <w:rPr>
            <w:b/>
            <w:sz w:val="30"/>
            <w:szCs w:val="30"/>
          </w:rPr>
          <w:fldChar w:fldCharType="begin"/>
        </w:r>
        <w:r>
          <w:rPr>
            <w:b/>
            <w:sz w:val="30"/>
            <w:szCs w:val="30"/>
          </w:rPr>
          <w:instrText xml:space="preserve"> PAGEREF _Toc25207 \h </w:instrText>
        </w:r>
        <w:r>
          <w:rPr>
            <w:b/>
            <w:sz w:val="30"/>
            <w:szCs w:val="30"/>
          </w:rPr>
        </w:r>
        <w:r>
          <w:rPr>
            <w:b/>
            <w:sz w:val="30"/>
            <w:szCs w:val="30"/>
          </w:rPr>
          <w:fldChar w:fldCharType="separate"/>
        </w:r>
        <w:r>
          <w:rPr>
            <w:b/>
            <w:sz w:val="30"/>
            <w:szCs w:val="30"/>
          </w:rPr>
          <w:t>13</w:t>
        </w:r>
        <w:r>
          <w:rPr>
            <w:b/>
            <w:sz w:val="30"/>
            <w:szCs w:val="30"/>
          </w:rPr>
          <w:fldChar w:fldCharType="end"/>
        </w:r>
      </w:hyperlink>
    </w:p>
    <w:p w:rsidR="00076447" w:rsidRDefault="005528B5">
      <w:pPr>
        <w:pStyle w:val="WPSOffice1"/>
        <w:tabs>
          <w:tab w:val="right" w:leader="dot" w:pos="8306"/>
        </w:tabs>
        <w:rPr>
          <w:b/>
          <w:sz w:val="30"/>
          <w:szCs w:val="30"/>
        </w:rPr>
      </w:pPr>
      <w:hyperlink w:anchor="_Toc24616" w:history="1">
        <w:r>
          <w:rPr>
            <w:rFonts w:ascii="黑体" w:eastAsia="黑体" w:hAnsi="黑体" w:cs="黑体" w:hint="eastAsia"/>
            <w:b/>
            <w:sz w:val="30"/>
            <w:szCs w:val="30"/>
          </w:rPr>
          <w:t>四、绩效评价指标分析</w:t>
        </w:r>
        <w:r>
          <w:rPr>
            <w:b/>
            <w:sz w:val="30"/>
            <w:szCs w:val="30"/>
          </w:rPr>
          <w:tab/>
        </w:r>
        <w:r>
          <w:rPr>
            <w:b/>
            <w:sz w:val="30"/>
            <w:szCs w:val="30"/>
          </w:rPr>
          <w:fldChar w:fldCharType="begin"/>
        </w:r>
        <w:r>
          <w:rPr>
            <w:b/>
            <w:sz w:val="30"/>
            <w:szCs w:val="30"/>
          </w:rPr>
          <w:instrText xml:space="preserve"> PAGEREF _Toc24616 \h </w:instrText>
        </w:r>
        <w:r>
          <w:rPr>
            <w:b/>
            <w:sz w:val="30"/>
            <w:szCs w:val="30"/>
          </w:rPr>
        </w:r>
        <w:r>
          <w:rPr>
            <w:b/>
            <w:sz w:val="30"/>
            <w:szCs w:val="30"/>
          </w:rPr>
          <w:fldChar w:fldCharType="separate"/>
        </w:r>
        <w:r>
          <w:rPr>
            <w:b/>
            <w:sz w:val="30"/>
            <w:szCs w:val="30"/>
          </w:rPr>
          <w:t>1</w:t>
        </w:r>
        <w:r>
          <w:rPr>
            <w:b/>
            <w:sz w:val="30"/>
            <w:szCs w:val="30"/>
          </w:rPr>
          <w:t>3</w:t>
        </w:r>
        <w:r>
          <w:rPr>
            <w:b/>
            <w:sz w:val="30"/>
            <w:szCs w:val="30"/>
          </w:rPr>
          <w:fldChar w:fldCharType="end"/>
        </w:r>
      </w:hyperlink>
    </w:p>
    <w:p w:rsidR="00076447" w:rsidRDefault="005528B5">
      <w:pPr>
        <w:pStyle w:val="WPSOffice2"/>
        <w:tabs>
          <w:tab w:val="right" w:leader="dot" w:pos="8306"/>
        </w:tabs>
        <w:ind w:left="640"/>
        <w:rPr>
          <w:sz w:val="30"/>
          <w:szCs w:val="30"/>
        </w:rPr>
      </w:pPr>
      <w:hyperlink w:anchor="_Toc8344" w:history="1">
        <w:r>
          <w:rPr>
            <w:rFonts w:ascii="楷体" w:eastAsia="楷体" w:hAnsi="楷体" w:cs="楷体" w:hint="eastAsia"/>
            <w:sz w:val="30"/>
            <w:szCs w:val="30"/>
          </w:rPr>
          <w:t>（一）项目决策情况</w:t>
        </w:r>
        <w:r>
          <w:rPr>
            <w:sz w:val="30"/>
            <w:szCs w:val="30"/>
          </w:rPr>
          <w:tab/>
        </w:r>
        <w:r>
          <w:rPr>
            <w:sz w:val="30"/>
            <w:szCs w:val="30"/>
          </w:rPr>
          <w:fldChar w:fldCharType="begin"/>
        </w:r>
        <w:r>
          <w:rPr>
            <w:sz w:val="30"/>
            <w:szCs w:val="30"/>
          </w:rPr>
          <w:instrText xml:space="preserve"> PAGEREF _Toc8344 \h </w:instrText>
        </w:r>
        <w:r>
          <w:rPr>
            <w:sz w:val="30"/>
            <w:szCs w:val="30"/>
          </w:rPr>
        </w:r>
        <w:r>
          <w:rPr>
            <w:sz w:val="30"/>
            <w:szCs w:val="30"/>
          </w:rPr>
          <w:fldChar w:fldCharType="separate"/>
        </w:r>
        <w:r>
          <w:rPr>
            <w:sz w:val="30"/>
            <w:szCs w:val="30"/>
          </w:rPr>
          <w:t>13</w:t>
        </w:r>
        <w:r>
          <w:rPr>
            <w:sz w:val="30"/>
            <w:szCs w:val="30"/>
          </w:rPr>
          <w:fldChar w:fldCharType="end"/>
        </w:r>
      </w:hyperlink>
    </w:p>
    <w:p w:rsidR="00076447" w:rsidRDefault="005528B5">
      <w:pPr>
        <w:pStyle w:val="WPSOffice2"/>
        <w:tabs>
          <w:tab w:val="right" w:leader="dot" w:pos="8306"/>
        </w:tabs>
        <w:ind w:left="640"/>
        <w:rPr>
          <w:sz w:val="30"/>
          <w:szCs w:val="30"/>
        </w:rPr>
      </w:pPr>
      <w:hyperlink w:anchor="_Toc23455" w:history="1">
        <w:r>
          <w:rPr>
            <w:rFonts w:ascii="楷体" w:eastAsia="楷体" w:hAnsi="楷体" w:cs="楷体" w:hint="eastAsia"/>
            <w:sz w:val="30"/>
            <w:szCs w:val="30"/>
          </w:rPr>
          <w:t>（二）项目过程情况</w:t>
        </w:r>
        <w:r>
          <w:rPr>
            <w:sz w:val="30"/>
            <w:szCs w:val="30"/>
          </w:rPr>
          <w:tab/>
        </w:r>
        <w:r>
          <w:rPr>
            <w:sz w:val="30"/>
            <w:szCs w:val="30"/>
          </w:rPr>
          <w:fldChar w:fldCharType="begin"/>
        </w:r>
        <w:r>
          <w:rPr>
            <w:sz w:val="30"/>
            <w:szCs w:val="30"/>
          </w:rPr>
          <w:instrText xml:space="preserve"> PAGEREF _Toc23455 \h </w:instrText>
        </w:r>
        <w:r>
          <w:rPr>
            <w:sz w:val="30"/>
            <w:szCs w:val="30"/>
          </w:rPr>
        </w:r>
        <w:r>
          <w:rPr>
            <w:sz w:val="30"/>
            <w:szCs w:val="30"/>
          </w:rPr>
          <w:fldChar w:fldCharType="separate"/>
        </w:r>
        <w:r>
          <w:rPr>
            <w:sz w:val="30"/>
            <w:szCs w:val="30"/>
          </w:rPr>
          <w:t>16</w:t>
        </w:r>
        <w:r>
          <w:rPr>
            <w:sz w:val="30"/>
            <w:szCs w:val="30"/>
          </w:rPr>
          <w:fldChar w:fldCharType="end"/>
        </w:r>
      </w:hyperlink>
    </w:p>
    <w:p w:rsidR="00076447" w:rsidRDefault="005528B5">
      <w:pPr>
        <w:pStyle w:val="WPSOffice2"/>
        <w:tabs>
          <w:tab w:val="right" w:leader="dot" w:pos="8306"/>
        </w:tabs>
        <w:ind w:left="640"/>
        <w:rPr>
          <w:sz w:val="30"/>
          <w:szCs w:val="30"/>
        </w:rPr>
      </w:pPr>
      <w:hyperlink w:anchor="_Toc22897" w:history="1">
        <w:r>
          <w:rPr>
            <w:rFonts w:ascii="楷体" w:eastAsia="楷体" w:hAnsi="楷体" w:cs="楷体" w:hint="eastAsia"/>
            <w:sz w:val="30"/>
            <w:szCs w:val="30"/>
          </w:rPr>
          <w:t>（三）项目产出情况</w:t>
        </w:r>
        <w:r>
          <w:rPr>
            <w:sz w:val="30"/>
            <w:szCs w:val="30"/>
          </w:rPr>
          <w:tab/>
        </w:r>
        <w:r>
          <w:rPr>
            <w:sz w:val="30"/>
            <w:szCs w:val="30"/>
          </w:rPr>
          <w:fldChar w:fldCharType="begin"/>
        </w:r>
        <w:r>
          <w:rPr>
            <w:sz w:val="30"/>
            <w:szCs w:val="30"/>
          </w:rPr>
          <w:instrText xml:space="preserve"> PAGEREF _Toc22897 \h </w:instrText>
        </w:r>
        <w:r>
          <w:rPr>
            <w:sz w:val="30"/>
            <w:szCs w:val="30"/>
          </w:rPr>
        </w:r>
        <w:r>
          <w:rPr>
            <w:sz w:val="30"/>
            <w:szCs w:val="30"/>
          </w:rPr>
          <w:fldChar w:fldCharType="separate"/>
        </w:r>
        <w:r>
          <w:rPr>
            <w:sz w:val="30"/>
            <w:szCs w:val="30"/>
          </w:rPr>
          <w:t>17</w:t>
        </w:r>
        <w:r>
          <w:rPr>
            <w:sz w:val="30"/>
            <w:szCs w:val="30"/>
          </w:rPr>
          <w:fldChar w:fldCharType="end"/>
        </w:r>
      </w:hyperlink>
    </w:p>
    <w:p w:rsidR="00076447" w:rsidRDefault="005528B5">
      <w:pPr>
        <w:pStyle w:val="WPSOffice2"/>
        <w:tabs>
          <w:tab w:val="right" w:leader="dot" w:pos="8306"/>
        </w:tabs>
        <w:ind w:left="640"/>
        <w:rPr>
          <w:sz w:val="30"/>
          <w:szCs w:val="30"/>
        </w:rPr>
      </w:pPr>
      <w:hyperlink w:anchor="_Toc10101" w:history="1">
        <w:r>
          <w:rPr>
            <w:rFonts w:ascii="楷体" w:eastAsia="楷体" w:hAnsi="楷体" w:cs="楷体" w:hint="eastAsia"/>
            <w:sz w:val="30"/>
            <w:szCs w:val="30"/>
          </w:rPr>
          <w:t>（四）项目效益情况</w:t>
        </w:r>
        <w:r>
          <w:rPr>
            <w:sz w:val="30"/>
            <w:szCs w:val="30"/>
          </w:rPr>
          <w:tab/>
        </w:r>
        <w:r>
          <w:rPr>
            <w:sz w:val="30"/>
            <w:szCs w:val="30"/>
          </w:rPr>
          <w:fldChar w:fldCharType="begin"/>
        </w:r>
        <w:r>
          <w:rPr>
            <w:sz w:val="30"/>
            <w:szCs w:val="30"/>
          </w:rPr>
          <w:instrText xml:space="preserve"> PAGEREF _Toc10101 \h </w:instrText>
        </w:r>
        <w:r>
          <w:rPr>
            <w:sz w:val="30"/>
            <w:szCs w:val="30"/>
          </w:rPr>
        </w:r>
        <w:r>
          <w:rPr>
            <w:sz w:val="30"/>
            <w:szCs w:val="30"/>
          </w:rPr>
          <w:fldChar w:fldCharType="separate"/>
        </w:r>
        <w:r>
          <w:rPr>
            <w:sz w:val="30"/>
            <w:szCs w:val="30"/>
          </w:rPr>
          <w:t>19</w:t>
        </w:r>
        <w:r>
          <w:rPr>
            <w:sz w:val="30"/>
            <w:szCs w:val="30"/>
          </w:rPr>
          <w:fldChar w:fldCharType="end"/>
        </w:r>
      </w:hyperlink>
    </w:p>
    <w:p w:rsidR="00076447" w:rsidRDefault="005528B5">
      <w:pPr>
        <w:pStyle w:val="WPSOffice1"/>
        <w:tabs>
          <w:tab w:val="right" w:leader="dot" w:pos="8306"/>
        </w:tabs>
        <w:rPr>
          <w:b/>
          <w:sz w:val="30"/>
          <w:szCs w:val="30"/>
        </w:rPr>
      </w:pPr>
      <w:hyperlink w:anchor="_Toc10859" w:history="1">
        <w:r>
          <w:rPr>
            <w:rFonts w:ascii="黑体" w:eastAsia="黑体" w:hAnsi="黑体" w:cs="黑体" w:hint="eastAsia"/>
            <w:b/>
            <w:sz w:val="30"/>
            <w:szCs w:val="30"/>
          </w:rPr>
          <w:t>五、主要经验及做法、存在的问题及原因分析</w:t>
        </w:r>
        <w:r>
          <w:rPr>
            <w:b/>
            <w:sz w:val="30"/>
            <w:szCs w:val="30"/>
          </w:rPr>
          <w:tab/>
        </w:r>
        <w:r>
          <w:rPr>
            <w:b/>
            <w:sz w:val="30"/>
            <w:szCs w:val="30"/>
          </w:rPr>
          <w:fldChar w:fldCharType="begin"/>
        </w:r>
        <w:r>
          <w:rPr>
            <w:b/>
            <w:sz w:val="30"/>
            <w:szCs w:val="30"/>
          </w:rPr>
          <w:instrText xml:space="preserve"> PAGEREF _Toc1085</w:instrText>
        </w:r>
        <w:r>
          <w:rPr>
            <w:b/>
            <w:sz w:val="30"/>
            <w:szCs w:val="30"/>
          </w:rPr>
          <w:instrText xml:space="preserve">9 \h </w:instrText>
        </w:r>
        <w:r>
          <w:rPr>
            <w:b/>
            <w:sz w:val="30"/>
            <w:szCs w:val="30"/>
          </w:rPr>
        </w:r>
        <w:r>
          <w:rPr>
            <w:b/>
            <w:sz w:val="30"/>
            <w:szCs w:val="30"/>
          </w:rPr>
          <w:fldChar w:fldCharType="separate"/>
        </w:r>
        <w:r>
          <w:rPr>
            <w:b/>
            <w:sz w:val="30"/>
            <w:szCs w:val="30"/>
          </w:rPr>
          <w:t>19</w:t>
        </w:r>
        <w:r>
          <w:rPr>
            <w:b/>
            <w:sz w:val="30"/>
            <w:szCs w:val="30"/>
          </w:rPr>
          <w:fldChar w:fldCharType="end"/>
        </w:r>
      </w:hyperlink>
    </w:p>
    <w:p w:rsidR="00076447" w:rsidRDefault="005528B5">
      <w:pPr>
        <w:pStyle w:val="WPSOffice2"/>
        <w:tabs>
          <w:tab w:val="right" w:leader="dot" w:pos="8306"/>
        </w:tabs>
        <w:ind w:left="640"/>
        <w:rPr>
          <w:sz w:val="30"/>
          <w:szCs w:val="30"/>
        </w:rPr>
      </w:pPr>
      <w:hyperlink w:anchor="_Toc20534" w:history="1">
        <w:r>
          <w:rPr>
            <w:rFonts w:ascii="楷体" w:eastAsia="楷体" w:hAnsi="楷体" w:cs="楷体" w:hint="eastAsia"/>
            <w:sz w:val="30"/>
            <w:szCs w:val="30"/>
          </w:rPr>
          <w:t>（一）主要经验及做法</w:t>
        </w:r>
        <w:r>
          <w:rPr>
            <w:sz w:val="30"/>
            <w:szCs w:val="30"/>
          </w:rPr>
          <w:tab/>
        </w:r>
        <w:r>
          <w:rPr>
            <w:sz w:val="30"/>
            <w:szCs w:val="30"/>
          </w:rPr>
          <w:fldChar w:fldCharType="begin"/>
        </w:r>
        <w:r>
          <w:rPr>
            <w:sz w:val="30"/>
            <w:szCs w:val="30"/>
          </w:rPr>
          <w:instrText xml:space="preserve"> PAGEREF _Toc20534 \h </w:instrText>
        </w:r>
        <w:r>
          <w:rPr>
            <w:sz w:val="30"/>
            <w:szCs w:val="30"/>
          </w:rPr>
        </w:r>
        <w:r>
          <w:rPr>
            <w:sz w:val="30"/>
            <w:szCs w:val="30"/>
          </w:rPr>
          <w:fldChar w:fldCharType="separate"/>
        </w:r>
        <w:r>
          <w:rPr>
            <w:sz w:val="30"/>
            <w:szCs w:val="30"/>
          </w:rPr>
          <w:t>19</w:t>
        </w:r>
        <w:r>
          <w:rPr>
            <w:sz w:val="30"/>
            <w:szCs w:val="30"/>
          </w:rPr>
          <w:fldChar w:fldCharType="end"/>
        </w:r>
      </w:hyperlink>
    </w:p>
    <w:p w:rsidR="00076447" w:rsidRDefault="005528B5">
      <w:pPr>
        <w:pStyle w:val="WPSOffice2"/>
        <w:tabs>
          <w:tab w:val="right" w:leader="dot" w:pos="8306"/>
        </w:tabs>
        <w:ind w:left="640"/>
        <w:rPr>
          <w:sz w:val="30"/>
          <w:szCs w:val="30"/>
        </w:rPr>
      </w:pPr>
      <w:hyperlink w:anchor="_Toc12740" w:history="1">
        <w:r>
          <w:rPr>
            <w:rFonts w:ascii="楷体" w:eastAsia="楷体" w:hAnsi="楷体" w:cs="楷体" w:hint="eastAsia"/>
            <w:sz w:val="30"/>
            <w:szCs w:val="30"/>
          </w:rPr>
          <w:t>（二）存在的问题及分析</w:t>
        </w:r>
        <w:r>
          <w:rPr>
            <w:sz w:val="30"/>
            <w:szCs w:val="30"/>
          </w:rPr>
          <w:tab/>
        </w:r>
        <w:r>
          <w:rPr>
            <w:sz w:val="30"/>
            <w:szCs w:val="30"/>
          </w:rPr>
          <w:fldChar w:fldCharType="begin"/>
        </w:r>
        <w:r>
          <w:rPr>
            <w:sz w:val="30"/>
            <w:szCs w:val="30"/>
          </w:rPr>
          <w:instrText xml:space="preserve"> PAGEREF _Toc12740 \h </w:instrText>
        </w:r>
        <w:r>
          <w:rPr>
            <w:sz w:val="30"/>
            <w:szCs w:val="30"/>
          </w:rPr>
        </w:r>
        <w:r>
          <w:rPr>
            <w:sz w:val="30"/>
            <w:szCs w:val="30"/>
          </w:rPr>
          <w:fldChar w:fldCharType="separate"/>
        </w:r>
        <w:r>
          <w:rPr>
            <w:sz w:val="30"/>
            <w:szCs w:val="30"/>
          </w:rPr>
          <w:t>20</w:t>
        </w:r>
        <w:r>
          <w:rPr>
            <w:sz w:val="30"/>
            <w:szCs w:val="30"/>
          </w:rPr>
          <w:fldChar w:fldCharType="end"/>
        </w:r>
      </w:hyperlink>
    </w:p>
    <w:p w:rsidR="00076447" w:rsidRDefault="005528B5">
      <w:pPr>
        <w:pStyle w:val="WPSOffice1"/>
        <w:tabs>
          <w:tab w:val="right" w:leader="dot" w:pos="8306"/>
        </w:tabs>
        <w:rPr>
          <w:sz w:val="30"/>
          <w:szCs w:val="30"/>
        </w:rPr>
      </w:pPr>
      <w:hyperlink w:anchor="_Toc6654" w:history="1">
        <w:r>
          <w:rPr>
            <w:rFonts w:ascii="黑体" w:eastAsia="黑体" w:hAnsi="黑体" w:cs="黑体" w:hint="eastAsia"/>
            <w:b/>
            <w:sz w:val="30"/>
            <w:szCs w:val="30"/>
          </w:rPr>
          <w:t>六、有关建议</w:t>
        </w:r>
        <w:r>
          <w:rPr>
            <w:b/>
            <w:sz w:val="30"/>
            <w:szCs w:val="30"/>
          </w:rPr>
          <w:tab/>
        </w:r>
        <w:r>
          <w:rPr>
            <w:b/>
            <w:sz w:val="30"/>
            <w:szCs w:val="30"/>
          </w:rPr>
          <w:fldChar w:fldCharType="begin"/>
        </w:r>
        <w:r>
          <w:rPr>
            <w:b/>
            <w:sz w:val="30"/>
            <w:szCs w:val="30"/>
          </w:rPr>
          <w:instrText xml:space="preserve"> PAGEREF _Toc6654 \h </w:instrText>
        </w:r>
        <w:r>
          <w:rPr>
            <w:b/>
            <w:sz w:val="30"/>
            <w:szCs w:val="30"/>
          </w:rPr>
        </w:r>
        <w:r>
          <w:rPr>
            <w:b/>
            <w:sz w:val="30"/>
            <w:szCs w:val="30"/>
          </w:rPr>
          <w:fldChar w:fldCharType="separate"/>
        </w:r>
        <w:r>
          <w:rPr>
            <w:b/>
            <w:sz w:val="30"/>
            <w:szCs w:val="30"/>
          </w:rPr>
          <w:t>21</w:t>
        </w:r>
        <w:r>
          <w:rPr>
            <w:b/>
            <w:sz w:val="30"/>
            <w:szCs w:val="30"/>
          </w:rPr>
          <w:fldChar w:fldCharType="end"/>
        </w:r>
      </w:hyperlink>
    </w:p>
    <w:p w:rsidR="00076447" w:rsidRDefault="005528B5">
      <w:pPr>
        <w:pStyle w:val="WPSOffice1"/>
        <w:tabs>
          <w:tab w:val="right" w:leader="dot" w:pos="8306"/>
        </w:tabs>
        <w:rPr>
          <w:b/>
          <w:sz w:val="30"/>
          <w:szCs w:val="30"/>
        </w:rPr>
      </w:pPr>
      <w:hyperlink w:anchor="_Toc3590" w:history="1">
        <w:r>
          <w:rPr>
            <w:rFonts w:ascii="黑体" w:eastAsia="黑体" w:hAnsi="黑体" w:cs="黑体"/>
            <w:b/>
            <w:bCs/>
            <w:iCs/>
            <w:sz w:val="30"/>
            <w:szCs w:val="30"/>
          </w:rPr>
          <w:t>七、其他需要说明的问题</w:t>
        </w:r>
        <w:r>
          <w:rPr>
            <w:b/>
            <w:sz w:val="30"/>
            <w:szCs w:val="30"/>
          </w:rPr>
          <w:tab/>
        </w:r>
        <w:r>
          <w:rPr>
            <w:b/>
            <w:sz w:val="30"/>
            <w:szCs w:val="30"/>
          </w:rPr>
          <w:fldChar w:fldCharType="begin"/>
        </w:r>
        <w:r>
          <w:rPr>
            <w:b/>
            <w:sz w:val="30"/>
            <w:szCs w:val="30"/>
          </w:rPr>
          <w:instrText xml:space="preserve"> PAGER</w:instrText>
        </w:r>
        <w:r>
          <w:rPr>
            <w:b/>
            <w:sz w:val="30"/>
            <w:szCs w:val="30"/>
          </w:rPr>
          <w:instrText xml:space="preserve">EF _Toc3590 \h </w:instrText>
        </w:r>
        <w:r>
          <w:rPr>
            <w:b/>
            <w:sz w:val="30"/>
            <w:szCs w:val="30"/>
          </w:rPr>
        </w:r>
        <w:r>
          <w:rPr>
            <w:b/>
            <w:sz w:val="30"/>
            <w:szCs w:val="30"/>
          </w:rPr>
          <w:fldChar w:fldCharType="separate"/>
        </w:r>
        <w:r>
          <w:rPr>
            <w:b/>
            <w:sz w:val="30"/>
            <w:szCs w:val="30"/>
          </w:rPr>
          <w:t>22</w:t>
        </w:r>
        <w:r>
          <w:rPr>
            <w:b/>
            <w:sz w:val="30"/>
            <w:szCs w:val="30"/>
          </w:rPr>
          <w:fldChar w:fldCharType="end"/>
        </w:r>
      </w:hyperlink>
    </w:p>
    <w:p w:rsidR="00076447" w:rsidRDefault="005528B5">
      <w:pPr>
        <w:pStyle w:val="WPSOffice1"/>
        <w:tabs>
          <w:tab w:val="right" w:leader="dot" w:pos="8306"/>
        </w:tabs>
        <w:rPr>
          <w:b/>
          <w:sz w:val="30"/>
          <w:szCs w:val="30"/>
        </w:rPr>
      </w:pPr>
      <w:hyperlink w:anchor="_Toc2093" w:history="1">
        <w:r>
          <w:rPr>
            <w:rFonts w:ascii="黑体" w:eastAsia="黑体" w:hAnsi="黑体" w:cs="黑体"/>
            <w:b/>
            <w:bCs/>
            <w:iCs/>
            <w:sz w:val="30"/>
            <w:szCs w:val="30"/>
          </w:rPr>
          <w:t>八、附件</w:t>
        </w:r>
        <w:r>
          <w:rPr>
            <w:b/>
            <w:sz w:val="30"/>
            <w:szCs w:val="30"/>
          </w:rPr>
          <w:tab/>
        </w:r>
        <w:r>
          <w:rPr>
            <w:b/>
            <w:sz w:val="30"/>
            <w:szCs w:val="30"/>
          </w:rPr>
          <w:fldChar w:fldCharType="begin"/>
        </w:r>
        <w:r>
          <w:rPr>
            <w:b/>
            <w:sz w:val="30"/>
            <w:szCs w:val="30"/>
          </w:rPr>
          <w:instrText xml:space="preserve"> PAGEREF _Toc2093 \h </w:instrText>
        </w:r>
        <w:r>
          <w:rPr>
            <w:b/>
            <w:sz w:val="30"/>
            <w:szCs w:val="30"/>
          </w:rPr>
        </w:r>
        <w:r>
          <w:rPr>
            <w:b/>
            <w:sz w:val="30"/>
            <w:szCs w:val="30"/>
          </w:rPr>
          <w:fldChar w:fldCharType="separate"/>
        </w:r>
        <w:r>
          <w:rPr>
            <w:b/>
            <w:sz w:val="30"/>
            <w:szCs w:val="30"/>
          </w:rPr>
          <w:t>22</w:t>
        </w:r>
        <w:r>
          <w:rPr>
            <w:b/>
            <w:sz w:val="30"/>
            <w:szCs w:val="30"/>
          </w:rPr>
          <w:fldChar w:fldCharType="end"/>
        </w:r>
      </w:hyperlink>
    </w:p>
    <w:p w:rsidR="00076447" w:rsidRDefault="00076447">
      <w:pPr>
        <w:tabs>
          <w:tab w:val="right" w:leader="dot" w:pos="8306"/>
        </w:tabs>
        <w:ind w:firstLine="602"/>
        <w:rPr>
          <w:b/>
          <w:sz w:val="30"/>
          <w:szCs w:val="30"/>
        </w:rPr>
        <w:sectPr w:rsidR="00076447">
          <w:footerReference w:type="default" r:id="rId8"/>
          <w:pgSz w:w="11906" w:h="16838"/>
          <w:pgMar w:top="1440" w:right="1800" w:bottom="1440" w:left="1800" w:header="851" w:footer="992" w:gutter="0"/>
          <w:cols w:space="720"/>
          <w:docGrid w:type="lines" w:linePitch="312"/>
        </w:sectPr>
      </w:pPr>
    </w:p>
    <w:p w:rsidR="00076447" w:rsidRDefault="005528B5">
      <w:pPr>
        <w:tabs>
          <w:tab w:val="right" w:leader="dot" w:pos="8306"/>
        </w:tabs>
        <w:ind w:firstLine="602"/>
        <w:rPr>
          <w:rFonts w:eastAsia="黑体"/>
          <w:bCs/>
          <w:iCs/>
          <w:szCs w:val="21"/>
        </w:rPr>
      </w:pPr>
      <w:r>
        <w:rPr>
          <w:b/>
          <w:sz w:val="30"/>
          <w:szCs w:val="30"/>
        </w:rPr>
        <w:lastRenderedPageBreak/>
        <w:fldChar w:fldCharType="end"/>
      </w:r>
      <w:bookmarkStart w:id="10" w:name="_Toc25224"/>
      <w:r>
        <w:rPr>
          <w:rFonts w:eastAsia="黑体"/>
          <w:bCs/>
          <w:iCs/>
          <w:szCs w:val="21"/>
        </w:rPr>
        <w:t>一、基本情况</w:t>
      </w:r>
      <w:bookmarkStart w:id="11" w:name="_Toc27593"/>
      <w:bookmarkEnd w:id="4"/>
      <w:bookmarkEnd w:id="5"/>
      <w:bookmarkEnd w:id="6"/>
      <w:bookmarkEnd w:id="7"/>
      <w:bookmarkEnd w:id="8"/>
      <w:bookmarkEnd w:id="9"/>
      <w:bookmarkEnd w:id="10"/>
    </w:p>
    <w:p w:rsidR="00076447" w:rsidRDefault="005528B5">
      <w:pPr>
        <w:pStyle w:val="3"/>
        <w:ind w:firstLine="643"/>
        <w:rPr>
          <w:rFonts w:eastAsia="楷体"/>
        </w:rPr>
      </w:pPr>
      <w:bookmarkStart w:id="12" w:name="_Toc24048"/>
      <w:bookmarkStart w:id="13" w:name="_Toc24706"/>
      <w:bookmarkStart w:id="14" w:name="_Toc6973"/>
      <w:bookmarkStart w:id="15" w:name="_Toc26183"/>
      <w:bookmarkStart w:id="16" w:name="_Toc9236"/>
      <w:r>
        <w:rPr>
          <w:rFonts w:eastAsia="楷体"/>
        </w:rPr>
        <w:t>（一）项目概况</w:t>
      </w:r>
      <w:bookmarkEnd w:id="11"/>
      <w:bookmarkEnd w:id="12"/>
      <w:bookmarkEnd w:id="13"/>
      <w:bookmarkEnd w:id="14"/>
      <w:bookmarkEnd w:id="15"/>
      <w:bookmarkEnd w:id="16"/>
    </w:p>
    <w:p w:rsidR="00076447" w:rsidRDefault="005528B5">
      <w:pPr>
        <w:ind w:firstLine="643"/>
        <w:rPr>
          <w:b/>
          <w:bCs/>
        </w:rPr>
      </w:pPr>
      <w:bookmarkStart w:id="17" w:name="_Toc11427"/>
      <w:bookmarkStart w:id="18" w:name="_Toc19984"/>
      <w:r>
        <w:rPr>
          <w:b/>
          <w:bCs/>
        </w:rPr>
        <w:t>1.</w:t>
      </w:r>
      <w:r>
        <w:rPr>
          <w:b/>
          <w:bCs/>
        </w:rPr>
        <w:t>项目背景</w:t>
      </w:r>
      <w:bookmarkEnd w:id="17"/>
      <w:bookmarkEnd w:id="18"/>
    </w:p>
    <w:p w:rsidR="00076447" w:rsidRDefault="005528B5">
      <w:pPr>
        <w:ind w:firstLine="640"/>
      </w:pPr>
      <w:bookmarkStart w:id="19" w:name="_Toc22079"/>
      <w:bookmarkStart w:id="20" w:name="_Toc22216"/>
      <w:r>
        <w:rPr>
          <w:rFonts w:hint="eastAsia"/>
        </w:rPr>
        <w:t>住房问题是重要的民生问题，改善住房条件是当前低收入居民最迫切的愿望。安居才能乐业，居住问题不解决，其他问题如子女教育、社会保障、业余精神文化生活等都无从谈起。</w:t>
      </w:r>
    </w:p>
    <w:p w:rsidR="00076447" w:rsidRDefault="005528B5">
      <w:pPr>
        <w:ind w:firstLine="640"/>
      </w:pPr>
      <w:r>
        <w:rPr>
          <w:rFonts w:hint="eastAsia"/>
        </w:rPr>
        <w:t>2021</w:t>
      </w:r>
      <w:r>
        <w:rPr>
          <w:rFonts w:hint="eastAsia"/>
        </w:rPr>
        <w:t>年</w:t>
      </w:r>
      <w:r>
        <w:rPr>
          <w:rFonts w:hint="eastAsia"/>
        </w:rPr>
        <w:t>7</w:t>
      </w:r>
      <w:r>
        <w:rPr>
          <w:rFonts w:hint="eastAsia"/>
        </w:rPr>
        <w:t>月，国务院办公厅发布《关于加快发展保障性租赁住房的意见》。《意见》明确，保障性租赁住房主要解决符合条件的新市民、青年人等群体的住房困难问题，以建筑面积不超过</w:t>
      </w:r>
      <w:r>
        <w:rPr>
          <w:rFonts w:hint="eastAsia"/>
        </w:rPr>
        <w:t>70</w:t>
      </w:r>
      <w:r>
        <w:rPr>
          <w:rFonts w:hint="eastAsia"/>
        </w:rPr>
        <w:t>平方米的小户型为主，租金低于同地段同品质市场租赁住房租金。</w:t>
      </w:r>
    </w:p>
    <w:p w:rsidR="00076447" w:rsidRDefault="005528B5">
      <w:pPr>
        <w:ind w:firstLine="640"/>
      </w:pPr>
      <w:r>
        <w:rPr>
          <w:rFonts w:hint="eastAsia"/>
        </w:rPr>
        <w:t>随着城镇化进程的加速，我国出现了规模庞大的租房群体。一方面，我国流动人口租房规模大。第七次人口普查数据显示，全国流动人口达</w:t>
      </w:r>
      <w:r>
        <w:rPr>
          <w:rFonts w:hint="eastAsia"/>
        </w:rPr>
        <w:t>3.76</w:t>
      </w:r>
      <w:r>
        <w:rPr>
          <w:rFonts w:hint="eastAsia"/>
        </w:rPr>
        <w:t>亿，比“六普”增长</w:t>
      </w:r>
      <w:r>
        <w:rPr>
          <w:rFonts w:hint="eastAsia"/>
        </w:rPr>
        <w:t>69.73%</w:t>
      </w:r>
      <w:r>
        <w:rPr>
          <w:rFonts w:hint="eastAsia"/>
        </w:rPr>
        <w:t>，这些流动人口主要流向城市的同时，我国每年有规模庞大的新就业大学毕业生。这些毕业生中相当一部分进入大城市工作。这两个群体</w:t>
      </w:r>
      <w:r>
        <w:rPr>
          <w:rFonts w:hint="eastAsia"/>
        </w:rPr>
        <w:t>汇合在一起，带来了巨大的租房需求。长期以来，我国房地产市场供给侧重售轻租，对租赁市场无专门政策支持，导致售卖一条腿长，租赁一条腿短，市场结构失衡。在租赁市场内部，现有租赁房源大多是私房出租，户型面积大，租金高，缺少适合新市民、青年人需求的小户型、</w:t>
      </w:r>
      <w:r>
        <w:rPr>
          <w:rFonts w:hint="eastAsia"/>
        </w:rPr>
        <w:lastRenderedPageBreak/>
        <w:t>低租金房源，造成新市民、青年人买不起房，也租不好房的问题相当突出。</w:t>
      </w:r>
    </w:p>
    <w:p w:rsidR="00076447" w:rsidRDefault="005528B5">
      <w:pPr>
        <w:ind w:firstLine="640"/>
      </w:pPr>
      <w:r>
        <w:rPr>
          <w:rFonts w:hint="eastAsia"/>
        </w:rPr>
        <w:t>把发展保障性租赁住房作为“十四五”住房建设的重点任务，就是要解决新市民、青年人买不起房又租不好房的难题。通过大幅增加与新市民、青年人需求相适应的小户型、低租金房源，有效缓解其阶段性住房困难，让他们在</w:t>
      </w:r>
      <w:r>
        <w:rPr>
          <w:rFonts w:hint="eastAsia"/>
        </w:rPr>
        <w:t>城市里留得下，住得体面。这是以人民为中心，满足人民群众对美好幸福生活向往的举措，也是推进以人为中心的新型城镇化的需要。</w:t>
      </w:r>
    </w:p>
    <w:p w:rsidR="00076447" w:rsidRDefault="005528B5">
      <w:pPr>
        <w:ind w:firstLine="640"/>
      </w:pPr>
      <w:r>
        <w:rPr>
          <w:rFonts w:hint="eastAsia"/>
        </w:rPr>
        <w:t>因此，把发展保障性租赁住房作为“十四五”住房建设的重点任务，坚持一切从实际出发，解决好大城市的住房突出问题。发展保障性租赁住房将以人口净流入的城市为重点。这些城市的人民政府对促进解决新市民、青年人的住房困难问题负有主体责任。</w:t>
      </w:r>
    </w:p>
    <w:p w:rsidR="00076447" w:rsidRDefault="005528B5">
      <w:pPr>
        <w:ind w:firstLine="640"/>
      </w:pPr>
      <w:r>
        <w:rPr>
          <w:rFonts w:hint="eastAsia"/>
        </w:rPr>
        <w:t>“十四五”时期，发展保障性租赁住房要把握的政策重点有，一是要把握好保障性租赁住房面向的对象，也就是在城镇工作的住房困难的新市民、青年人，帮助他们解决阶段性住房问题；二</w:t>
      </w:r>
      <w:r>
        <w:rPr>
          <w:rFonts w:hint="eastAsia"/>
        </w:rPr>
        <w:t>是要把握好建设标准。《意见》明确，建筑面积原则上不超过</w:t>
      </w:r>
      <w:r>
        <w:rPr>
          <w:rFonts w:hint="eastAsia"/>
        </w:rPr>
        <w:t>70</w:t>
      </w:r>
      <w:r>
        <w:rPr>
          <w:rFonts w:hint="eastAsia"/>
        </w:rPr>
        <w:t>平方米，这是根据新市民、青年人的租住特点而设计的；三是要把握好职住平衡。《意见》重视企事业单位、产业园区利用存里土地建设保障性租赁住房，就是为了促进产城共融。所以，选址中特别注重在产业园区、</w:t>
      </w:r>
      <w:r>
        <w:rPr>
          <w:rFonts w:hint="eastAsia"/>
        </w:rPr>
        <w:lastRenderedPageBreak/>
        <w:t>就业岗位多、交通便利的地方发展保障性租赁住房，力争实现供需匹配，职住平衡；四是要管理好租金。租金应比同地段、同品质市场租金低，让新市民、青年人租得起，同时也要考虑到让投资主体可持续经营。因此，租金定价既要考虑新市民、青年人经济可承受，又要照顾到投资主体的可持续经营</w:t>
      </w:r>
      <w:r>
        <w:rPr>
          <w:rFonts w:hint="eastAsia"/>
        </w:rPr>
        <w:t>。全面落实针对发展。保障性租赁住房相关措施，将会取得明显成效。新市民、青年人将在人口净流入的城市解决住房问题，租得到、租得起、租得近、租得稳、租得好。</w:t>
      </w:r>
    </w:p>
    <w:p w:rsidR="00076447" w:rsidRDefault="005528B5">
      <w:pPr>
        <w:ind w:firstLine="640"/>
      </w:pPr>
      <w:r>
        <w:rPr>
          <w:rFonts w:hint="eastAsia"/>
        </w:rPr>
        <w:t>近年来，尉犁县委、县人民政府认真贯彻落实国家、自治区积极开展保障性租赁住房、公租住房、棚户区改造等保障性住房建设并取得了一定成效。按照统一规划和社会需求，因地制宜、分类指导、注重实效、全面推进全县保障性租赁住房项目建设，并配套建设保障性住房周边服务设施及市政基础设施，改善了城镇及周边区域的人居环境质量。</w:t>
      </w:r>
    </w:p>
    <w:p w:rsidR="00076447" w:rsidRDefault="005528B5">
      <w:pPr>
        <w:ind w:firstLine="640"/>
      </w:pPr>
      <w:r>
        <w:rPr>
          <w:rFonts w:hint="eastAsia"/>
        </w:rPr>
        <w:t>2008</w:t>
      </w:r>
      <w:r>
        <w:rPr>
          <w:rFonts w:hint="eastAsia"/>
        </w:rPr>
        <w:t>年以来，</w:t>
      </w:r>
      <w:r>
        <w:rPr>
          <w:rFonts w:hint="eastAsia"/>
        </w:rPr>
        <w:t>尉犁</w:t>
      </w:r>
      <w:r>
        <w:rPr>
          <w:rFonts w:hint="eastAsia"/>
        </w:rPr>
        <w:t>县共建设公租房约</w:t>
      </w:r>
      <w:r>
        <w:rPr>
          <w:rFonts w:hint="eastAsia"/>
        </w:rPr>
        <w:t>9000</w:t>
      </w:r>
      <w:r>
        <w:rPr>
          <w:rFonts w:hint="eastAsia"/>
        </w:rPr>
        <w:t>套，截至</w:t>
      </w:r>
      <w:r>
        <w:rPr>
          <w:rFonts w:hint="eastAsia"/>
        </w:rPr>
        <w:t xml:space="preserve">2024  </w:t>
      </w:r>
      <w:r>
        <w:rPr>
          <w:rFonts w:hint="eastAsia"/>
        </w:rPr>
        <w:t>年</w:t>
      </w:r>
      <w:r>
        <w:rPr>
          <w:rFonts w:hint="eastAsia"/>
        </w:rPr>
        <w:t>10</w:t>
      </w:r>
      <w:r>
        <w:rPr>
          <w:rFonts w:hint="eastAsia"/>
        </w:rPr>
        <w:t>月底，累计约</w:t>
      </w:r>
      <w:r>
        <w:rPr>
          <w:rFonts w:hint="eastAsia"/>
        </w:rPr>
        <w:t>1</w:t>
      </w:r>
      <w:r>
        <w:rPr>
          <w:rFonts w:hint="eastAsia"/>
        </w:rPr>
        <w:t>万名城镇中等偏下收入住房困难家庭、</w:t>
      </w:r>
      <w:r>
        <w:rPr>
          <w:rFonts w:hint="eastAsia"/>
        </w:rPr>
        <w:t xml:space="preserve"> </w:t>
      </w:r>
      <w:r>
        <w:rPr>
          <w:rFonts w:hint="eastAsia"/>
        </w:rPr>
        <w:t>新就业无房职工和在城镇稳定就业的外来务工人员等人员住进公租房，有效改善了城镇户籍困难群众住房条件，为维护社会稳定和长治久安，推进新型城镇化和农业转移人口市民化，增强困难群众获得感、幸福感、安全感发挥了积极作用。</w:t>
      </w:r>
    </w:p>
    <w:p w:rsidR="00076447" w:rsidRDefault="005528B5">
      <w:pPr>
        <w:ind w:firstLine="640"/>
      </w:pPr>
      <w:r>
        <w:rPr>
          <w:rFonts w:hint="eastAsia"/>
        </w:rPr>
        <w:t>但目前，尉犁县还有不少新进城居民、青年人等群体无</w:t>
      </w:r>
      <w:r>
        <w:rPr>
          <w:rFonts w:hint="eastAsia"/>
        </w:rPr>
        <w:lastRenderedPageBreak/>
        <w:t>房或住房条件差，还有以建设年限较久的平房为主的建筑密度大、人均居住面积小、建设使用年限久、房屋质量差、基础设施和环境条件差，存在消防和治安隐患的集中居住</w:t>
      </w:r>
      <w:r>
        <w:rPr>
          <w:rFonts w:hint="eastAsia"/>
        </w:rPr>
        <w:t>区。居住区内人员成分复杂，存在着社会治安秩序混乱、社会管理薄弱、居住条件和生活环境差等社会问题。</w:t>
      </w:r>
    </w:p>
    <w:p w:rsidR="00076447" w:rsidRDefault="005528B5">
      <w:pPr>
        <w:ind w:firstLine="640"/>
      </w:pPr>
      <w:r>
        <w:rPr>
          <w:rFonts w:hint="eastAsia"/>
        </w:rPr>
        <w:t>在政策支持引导和社会需求增长较快的背景下，尉犁县住房和城乡建设局根据尉犁县</w:t>
      </w:r>
      <w:r>
        <w:rPr>
          <w:rFonts w:hint="eastAsia"/>
        </w:rPr>
        <w:t>2024</w:t>
      </w:r>
      <w:r>
        <w:rPr>
          <w:rFonts w:hint="eastAsia"/>
        </w:rPr>
        <w:t>年城镇公租房建设实际情况，结合尉犁县城镇发展规划，提出了本次尉犁县</w:t>
      </w:r>
      <w:r>
        <w:rPr>
          <w:rFonts w:hint="eastAsia"/>
        </w:rPr>
        <w:t>2024</w:t>
      </w:r>
      <w:r>
        <w:rPr>
          <w:rFonts w:hint="eastAsia"/>
        </w:rPr>
        <w:t>年城镇公共租赁住房建设及改造保租房项目。此项目的建设既是维护社会政治大局稳定、建设和谐社会的需要，也是改善民生、创建宜居城镇的需要，更是落实社会和谐稳定和长治久安总目标的需要。保障性租赁住房项目建设与配套基础设施保障，为城镇无房或住房条件差且收入较低的居民解</w:t>
      </w:r>
      <w:r>
        <w:rPr>
          <w:rFonts w:hint="eastAsia"/>
        </w:rPr>
        <w:t>决燃眉之急的住房困难问题、维护社会和谐稳定、推进新型城镇化和农业转移人口城镇化，为增强困难群众获得感、幸福感、安全感发挥重要作用。</w:t>
      </w:r>
    </w:p>
    <w:p w:rsidR="00076447" w:rsidRDefault="005528B5">
      <w:pPr>
        <w:ind w:firstLine="640"/>
      </w:pPr>
      <w:r>
        <w:rPr>
          <w:rFonts w:hint="eastAsia"/>
        </w:rPr>
        <w:t>综上所述，本建设项目的提出符合国家、自治区支持政策，符合尉犁县城镇总体发展规划和城镇居民生活工作需求。通过加大尉犁县公租房建设的力度，为低收入和住房困难群众解决住房问题，改善人居环境，维护社会和谐稳定，形成优越的投资环境，促进尉犁县社会经济的发展，从而带动巴州区域经济的持续稳定发展和社会文明进步意义重大。</w:t>
      </w:r>
    </w:p>
    <w:p w:rsidR="00076447" w:rsidRDefault="005528B5">
      <w:pPr>
        <w:ind w:firstLine="643"/>
        <w:rPr>
          <w:b/>
          <w:bCs/>
        </w:rPr>
      </w:pPr>
      <w:r>
        <w:rPr>
          <w:b/>
          <w:bCs/>
        </w:rPr>
        <w:lastRenderedPageBreak/>
        <w:t>2.</w:t>
      </w:r>
      <w:r>
        <w:rPr>
          <w:b/>
          <w:bCs/>
        </w:rPr>
        <w:t>项目主要内容</w:t>
      </w:r>
      <w:bookmarkEnd w:id="19"/>
      <w:bookmarkEnd w:id="20"/>
    </w:p>
    <w:p w:rsidR="00076447" w:rsidRDefault="005528B5">
      <w:pPr>
        <w:ind w:firstLine="640"/>
      </w:pPr>
      <w:bookmarkStart w:id="21" w:name="_Toc21529"/>
      <w:bookmarkStart w:id="22" w:name="_Toc31519"/>
      <w:r>
        <w:rPr>
          <w:rFonts w:hint="eastAsia"/>
        </w:rPr>
        <w:t>根据《自治州关于加快发展保障性租赁住房的实施方</w:t>
      </w:r>
      <w:r>
        <w:rPr>
          <w:rFonts w:hint="eastAsia"/>
        </w:rPr>
        <w:t xml:space="preserve"> </w:t>
      </w:r>
      <w:r>
        <w:rPr>
          <w:rFonts w:hint="eastAsia"/>
        </w:rPr>
        <w:t>案》</w:t>
      </w:r>
      <w:r>
        <w:rPr>
          <w:rFonts w:hint="eastAsia"/>
        </w:rPr>
        <w:t>(</w:t>
      </w:r>
      <w:r>
        <w:rPr>
          <w:rFonts w:hint="eastAsia"/>
        </w:rPr>
        <w:t>巴政办发〔</w:t>
      </w:r>
      <w:r>
        <w:rPr>
          <w:rFonts w:hint="eastAsia"/>
        </w:rPr>
        <w:t>2022</w:t>
      </w:r>
      <w:r>
        <w:rPr>
          <w:rFonts w:hint="eastAsia"/>
        </w:rPr>
        <w:t>〕</w:t>
      </w:r>
      <w:r>
        <w:rPr>
          <w:rFonts w:hint="eastAsia"/>
        </w:rPr>
        <w:t>22</w:t>
      </w:r>
      <w:r>
        <w:rPr>
          <w:rFonts w:hint="eastAsia"/>
        </w:rPr>
        <w:t>号</w:t>
      </w:r>
      <w:r>
        <w:rPr>
          <w:rFonts w:hint="eastAsia"/>
        </w:rPr>
        <w:t>)</w:t>
      </w:r>
      <w:r>
        <w:rPr>
          <w:rFonts w:hint="eastAsia"/>
        </w:rPr>
        <w:t>文件要求，原计划由尉犁县鑫尉水利投资有限责任公司新建</w:t>
      </w:r>
      <w:r>
        <w:rPr>
          <w:rFonts w:hint="eastAsia"/>
        </w:rPr>
        <w:t>336</w:t>
      </w:r>
      <w:r>
        <w:rPr>
          <w:rFonts w:hint="eastAsia"/>
        </w:rPr>
        <w:t>套保障性租赁住房建设项目，项目已完成调整工作，由新建保障性租赁住房调整为改造型保障性租赁住房。新筹集房源</w:t>
      </w:r>
      <w:r>
        <w:rPr>
          <w:rFonts w:hint="eastAsia"/>
        </w:rPr>
        <w:t>336</w:t>
      </w:r>
      <w:r>
        <w:rPr>
          <w:rFonts w:hint="eastAsia"/>
        </w:rPr>
        <w:t>套房源进行装修改造；新建配租型保障性住房</w:t>
      </w:r>
      <w:r>
        <w:rPr>
          <w:rFonts w:hint="eastAsia"/>
        </w:rPr>
        <w:t>132</w:t>
      </w:r>
      <w:r>
        <w:rPr>
          <w:rFonts w:hint="eastAsia"/>
        </w:rPr>
        <w:t>套，建筑面积</w:t>
      </w:r>
      <w:r>
        <w:rPr>
          <w:rFonts w:hint="eastAsia"/>
        </w:rPr>
        <w:t>6600</w:t>
      </w:r>
      <w:r>
        <w:rPr>
          <w:rFonts w:hint="eastAsia"/>
        </w:rPr>
        <w:t>平方米，配套附属设施及基础设施建设等。</w:t>
      </w:r>
    </w:p>
    <w:p w:rsidR="00076447" w:rsidRDefault="005528B5">
      <w:pPr>
        <w:ind w:firstLine="643"/>
        <w:rPr>
          <w:b/>
          <w:bCs/>
        </w:rPr>
      </w:pPr>
      <w:r>
        <w:rPr>
          <w:b/>
          <w:bCs/>
        </w:rPr>
        <w:t>3.</w:t>
      </w:r>
      <w:r>
        <w:rPr>
          <w:b/>
          <w:bCs/>
        </w:rPr>
        <w:t>项目实施情况</w:t>
      </w:r>
      <w:bookmarkStart w:id="23" w:name="_Toc20138"/>
      <w:bookmarkEnd w:id="21"/>
      <w:bookmarkEnd w:id="22"/>
    </w:p>
    <w:p w:rsidR="00076447" w:rsidRDefault="005528B5">
      <w:pPr>
        <w:ind w:firstLine="640"/>
      </w:pPr>
      <w:r>
        <w:rPr>
          <w:rFonts w:hint="eastAsia"/>
        </w:rPr>
        <w:t>（</w:t>
      </w:r>
      <w:r>
        <w:rPr>
          <w:rFonts w:hint="eastAsia"/>
        </w:rPr>
        <w:t>1</w:t>
      </w:r>
      <w:r>
        <w:rPr>
          <w:rFonts w:hint="eastAsia"/>
        </w:rPr>
        <w:t>）尉犁县</w:t>
      </w:r>
      <w:r>
        <w:rPr>
          <w:rFonts w:hint="eastAsia"/>
        </w:rPr>
        <w:t>2024</w:t>
      </w:r>
      <w:r>
        <w:rPr>
          <w:rFonts w:hint="eastAsia"/>
        </w:rPr>
        <w:t>年城镇公共租赁住房建设项目实施情况：</w:t>
      </w:r>
    </w:p>
    <w:p w:rsidR="00076447" w:rsidRDefault="005528B5">
      <w:pPr>
        <w:ind w:firstLine="640"/>
      </w:pPr>
      <w:r>
        <w:rPr>
          <w:rFonts w:hint="eastAsia"/>
        </w:rPr>
        <w:t>目前，公租房建设项目正有序推进。新建公租房基础工程已完成，准备一层施工。墙体工程按设计要求，基础及承重钢筋混凝土墙体严格依照结施图施工</w:t>
      </w:r>
      <w:r>
        <w:rPr>
          <w:rFonts w:hint="eastAsia"/>
        </w:rPr>
        <w:t>。室内屋面部分的钢筋混凝土结构层已随打随抹光完成，部分找平层、找坡层施工正在筹备阶段。内装修虽尚未大面积开展，但施工单位已依据规范要求制作样板、完成选样并封样，为后续作业筑牢基础。水、电、气、暖及管网等配套附属设施的施工规划也在同步推进，确保项目能按时按质交付。</w:t>
      </w:r>
    </w:p>
    <w:p w:rsidR="00076447" w:rsidRDefault="005528B5">
      <w:pPr>
        <w:ind w:firstLine="640"/>
      </w:pPr>
      <w:r>
        <w:rPr>
          <w:rFonts w:hint="eastAsia"/>
        </w:rPr>
        <w:t>（</w:t>
      </w:r>
      <w:r>
        <w:rPr>
          <w:rFonts w:hint="eastAsia"/>
        </w:rPr>
        <w:t>2</w:t>
      </w:r>
      <w:r>
        <w:rPr>
          <w:rFonts w:hint="eastAsia"/>
        </w:rPr>
        <w:t>）尉犁县</w:t>
      </w:r>
      <w:r>
        <w:rPr>
          <w:rFonts w:hint="eastAsia"/>
        </w:rPr>
        <w:t>2024</w:t>
      </w:r>
      <w:r>
        <w:rPr>
          <w:rFonts w:hint="eastAsia"/>
        </w:rPr>
        <w:t>年改造保租房项目建设项目实施情况：</w:t>
      </w:r>
    </w:p>
    <w:p w:rsidR="00076447" w:rsidRDefault="005528B5">
      <w:pPr>
        <w:ind w:firstLine="640"/>
      </w:pPr>
      <w:r>
        <w:rPr>
          <w:rFonts w:hint="eastAsia"/>
        </w:rPr>
        <w:t>1</w:t>
      </w:r>
      <w:r>
        <w:rPr>
          <w:rFonts w:hint="eastAsia"/>
        </w:rPr>
        <w:t>）尉犁县古居装饰装修有限公司和尉犁县达西兴业工程建设有限责任公司对</w:t>
      </w:r>
      <w:r>
        <w:rPr>
          <w:rFonts w:hint="eastAsia"/>
        </w:rPr>
        <w:t>336</w:t>
      </w:r>
      <w:r>
        <w:rPr>
          <w:rFonts w:hint="eastAsia"/>
        </w:rPr>
        <w:t>套保租房进行装修改造。</w:t>
      </w:r>
    </w:p>
    <w:p w:rsidR="00076447" w:rsidRDefault="005528B5">
      <w:pPr>
        <w:ind w:firstLine="640"/>
      </w:pPr>
      <w:r>
        <w:rPr>
          <w:rFonts w:hint="eastAsia"/>
        </w:rPr>
        <w:lastRenderedPageBreak/>
        <w:t>2</w:t>
      </w:r>
      <w:r>
        <w:rPr>
          <w:rFonts w:hint="eastAsia"/>
        </w:rPr>
        <w:t>）工程进展及项目验收情况</w:t>
      </w:r>
    </w:p>
    <w:p w:rsidR="00076447" w:rsidRDefault="005528B5">
      <w:pPr>
        <w:ind w:firstLine="640"/>
      </w:pPr>
      <w:r>
        <w:rPr>
          <w:rFonts w:hint="eastAsia"/>
        </w:rPr>
        <w:t>本项目</w:t>
      </w:r>
      <w:r>
        <w:rPr>
          <w:rFonts w:hint="eastAsia"/>
        </w:rPr>
        <w:t>2024</w:t>
      </w:r>
      <w:r>
        <w:rPr>
          <w:rFonts w:hint="eastAsia"/>
        </w:rPr>
        <w:t>年</w:t>
      </w:r>
      <w:r>
        <w:rPr>
          <w:rFonts w:hint="eastAsia"/>
        </w:rPr>
        <w:t>8</w:t>
      </w:r>
      <w:r>
        <w:rPr>
          <w:rFonts w:hint="eastAsia"/>
        </w:rPr>
        <w:t>月开工建设；</w:t>
      </w:r>
      <w:r>
        <w:rPr>
          <w:rFonts w:hint="eastAsia"/>
        </w:rPr>
        <w:t>2024</w:t>
      </w:r>
      <w:r>
        <w:rPr>
          <w:rFonts w:hint="eastAsia"/>
        </w:rPr>
        <w:t>年</w:t>
      </w:r>
      <w:r>
        <w:rPr>
          <w:rFonts w:hint="eastAsia"/>
        </w:rPr>
        <w:t>12</w:t>
      </w:r>
      <w:r>
        <w:rPr>
          <w:rFonts w:hint="eastAsia"/>
        </w:rPr>
        <w:t>月完工；</w:t>
      </w:r>
      <w:r>
        <w:rPr>
          <w:rFonts w:hint="eastAsia"/>
        </w:rPr>
        <w:t>2024</w:t>
      </w:r>
      <w:r>
        <w:rPr>
          <w:rFonts w:hint="eastAsia"/>
        </w:rPr>
        <w:t>年</w:t>
      </w:r>
      <w:r>
        <w:rPr>
          <w:rFonts w:hint="eastAsia"/>
        </w:rPr>
        <w:t>12</w:t>
      </w:r>
      <w:r>
        <w:rPr>
          <w:rFonts w:hint="eastAsia"/>
        </w:rPr>
        <w:t>月出具竣工验收意见，验收结论为合格。</w:t>
      </w:r>
    </w:p>
    <w:p w:rsidR="00076447" w:rsidRDefault="005528B5">
      <w:pPr>
        <w:ind w:firstLine="643"/>
        <w:rPr>
          <w:b/>
          <w:bCs/>
        </w:rPr>
      </w:pPr>
      <w:bookmarkStart w:id="24" w:name="_Toc1111"/>
      <w:r>
        <w:rPr>
          <w:b/>
          <w:bCs/>
        </w:rPr>
        <w:t>4.</w:t>
      </w:r>
      <w:r>
        <w:rPr>
          <w:b/>
          <w:bCs/>
        </w:rPr>
        <w:t>资金投入情况</w:t>
      </w:r>
      <w:bookmarkEnd w:id="23"/>
      <w:bookmarkEnd w:id="24"/>
    </w:p>
    <w:p w:rsidR="00076447" w:rsidRDefault="005528B5">
      <w:pPr>
        <w:ind w:firstLine="640"/>
      </w:pPr>
      <w:r>
        <w:rPr>
          <w:rFonts w:hint="eastAsia"/>
        </w:rPr>
        <w:t>①</w:t>
      </w:r>
      <w:r>
        <w:t>尉犁县</w:t>
      </w:r>
      <w:r>
        <w:t>2024</w:t>
      </w:r>
      <w:r>
        <w:t>年城镇公共租赁住房建设项目资金投入使用情况：</w:t>
      </w:r>
    </w:p>
    <w:p w:rsidR="00076447" w:rsidRDefault="005528B5">
      <w:pPr>
        <w:ind w:firstLine="640"/>
      </w:pPr>
      <w:bookmarkStart w:id="25" w:name="_Toc7324"/>
      <w:r>
        <w:t>根据《</w:t>
      </w:r>
      <w:r>
        <w:rPr>
          <w:rFonts w:hint="eastAsia"/>
        </w:rPr>
        <w:t>关于下达</w:t>
      </w:r>
      <w:r>
        <w:rPr>
          <w:rFonts w:hint="eastAsia"/>
        </w:rPr>
        <w:t>2024</w:t>
      </w:r>
      <w:r>
        <w:rPr>
          <w:rFonts w:hint="eastAsia"/>
        </w:rPr>
        <w:t>年中央财政城镇保障性安居工程补助资金预算的通知</w:t>
      </w:r>
      <w:r>
        <w:t>》（</w:t>
      </w:r>
      <w:r>
        <w:rPr>
          <w:rFonts w:hint="eastAsia"/>
        </w:rPr>
        <w:t>巴财综</w:t>
      </w:r>
      <w:r>
        <w:t>〔</w:t>
      </w:r>
      <w:r>
        <w:rPr>
          <w:rFonts w:hint="eastAsia"/>
        </w:rPr>
        <w:t>2024</w:t>
      </w:r>
      <w:r>
        <w:t>〕</w:t>
      </w:r>
      <w:r>
        <w:rPr>
          <w:rFonts w:hint="eastAsia"/>
        </w:rPr>
        <w:t>9</w:t>
      </w:r>
      <w:r>
        <w:t>号）</w:t>
      </w:r>
      <w:r>
        <w:rPr>
          <w:rFonts w:hint="eastAsia"/>
        </w:rPr>
        <w:t>文件</w:t>
      </w:r>
      <w:r>
        <w:t>，下达</w:t>
      </w:r>
      <w:r>
        <w:rPr>
          <w:rFonts w:hint="eastAsia"/>
        </w:rPr>
        <w:t>保障性安居工程补助</w:t>
      </w:r>
      <w:r>
        <w:t>资金</w:t>
      </w:r>
      <w:r>
        <w:rPr>
          <w:rFonts w:hint="eastAsia"/>
        </w:rPr>
        <w:t>494</w:t>
      </w:r>
      <w:r>
        <w:t>万元。其中用于</w:t>
      </w:r>
      <w:r>
        <w:rPr>
          <w:rFonts w:hint="eastAsia"/>
        </w:rPr>
        <w:t>尉犁县</w:t>
      </w:r>
      <w:r>
        <w:rPr>
          <w:rFonts w:hint="eastAsia"/>
        </w:rPr>
        <w:t>2024</w:t>
      </w:r>
      <w:r>
        <w:rPr>
          <w:rFonts w:hint="eastAsia"/>
        </w:rPr>
        <w:t>年城镇公租房建设项目</w:t>
      </w:r>
      <w:r>
        <w:rPr>
          <w:rFonts w:hint="eastAsia"/>
        </w:rPr>
        <w:t>494</w:t>
      </w:r>
      <w:r>
        <w:t>万元。</w:t>
      </w:r>
    </w:p>
    <w:p w:rsidR="00076447" w:rsidRDefault="005528B5">
      <w:pPr>
        <w:ind w:firstLine="640"/>
      </w:pPr>
      <w:r>
        <w:t>实施</w:t>
      </w:r>
      <w:r>
        <w:rPr>
          <w:rFonts w:hint="eastAsia"/>
        </w:rPr>
        <w:t>尉犁县</w:t>
      </w:r>
      <w:r>
        <w:rPr>
          <w:rFonts w:hint="eastAsia"/>
        </w:rPr>
        <w:t>2024</w:t>
      </w:r>
      <w:r>
        <w:rPr>
          <w:rFonts w:hint="eastAsia"/>
        </w:rPr>
        <w:t>年城镇公租房建设项目</w:t>
      </w:r>
      <w:r>
        <w:t>投入</w:t>
      </w:r>
      <w:r>
        <w:rPr>
          <w:rFonts w:hint="eastAsia"/>
        </w:rPr>
        <w:t>494</w:t>
      </w:r>
      <w:r>
        <w:t>万元，其中</w:t>
      </w:r>
      <w:r>
        <w:rPr>
          <w:rFonts w:hint="eastAsia"/>
        </w:rPr>
        <w:t>保障性安居工程补助</w:t>
      </w:r>
      <w:r>
        <w:t>资金</w:t>
      </w:r>
      <w:r>
        <w:rPr>
          <w:rFonts w:hint="eastAsia"/>
        </w:rPr>
        <w:t>494</w:t>
      </w:r>
      <w:r>
        <w:t>万元。</w:t>
      </w:r>
    </w:p>
    <w:p w:rsidR="00076447" w:rsidRDefault="005528B5">
      <w:pPr>
        <w:ind w:firstLine="640"/>
      </w:pPr>
      <w:r>
        <w:rPr>
          <w:rFonts w:hint="eastAsia"/>
        </w:rPr>
        <w:t>②尉犁县</w:t>
      </w:r>
      <w:r>
        <w:rPr>
          <w:rFonts w:hint="eastAsia"/>
        </w:rPr>
        <w:t>2024</w:t>
      </w:r>
      <w:r>
        <w:rPr>
          <w:rFonts w:hint="eastAsia"/>
        </w:rPr>
        <w:t>年改造保租房项目建设项目资金投入使用情况：</w:t>
      </w:r>
    </w:p>
    <w:p w:rsidR="00076447" w:rsidRDefault="005528B5">
      <w:pPr>
        <w:ind w:firstLine="640"/>
      </w:pPr>
      <w:r>
        <w:t>根据《</w:t>
      </w:r>
      <w:r>
        <w:rPr>
          <w:rFonts w:hint="eastAsia"/>
        </w:rPr>
        <w:t>关于下达</w:t>
      </w:r>
      <w:r>
        <w:rPr>
          <w:rFonts w:hint="eastAsia"/>
        </w:rPr>
        <w:t>2024</w:t>
      </w:r>
      <w:r>
        <w:rPr>
          <w:rFonts w:hint="eastAsia"/>
        </w:rPr>
        <w:t>年中央财政城镇保障性安居工程补助资金预算的通知</w:t>
      </w:r>
      <w:r>
        <w:t>》（</w:t>
      </w:r>
      <w:r>
        <w:rPr>
          <w:rFonts w:hint="eastAsia"/>
        </w:rPr>
        <w:t>巴财综</w:t>
      </w:r>
      <w:r>
        <w:t>〔</w:t>
      </w:r>
      <w:r>
        <w:rPr>
          <w:rFonts w:hint="eastAsia"/>
        </w:rPr>
        <w:t>2024</w:t>
      </w:r>
      <w:r>
        <w:t>〕</w:t>
      </w:r>
      <w:r>
        <w:rPr>
          <w:rFonts w:hint="eastAsia"/>
        </w:rPr>
        <w:t>9</w:t>
      </w:r>
      <w:r>
        <w:t>号），下达</w:t>
      </w:r>
      <w:r>
        <w:rPr>
          <w:rFonts w:hint="eastAsia"/>
        </w:rPr>
        <w:t>住房保障</w:t>
      </w:r>
      <w:r>
        <w:t>资金</w:t>
      </w:r>
      <w:r>
        <w:rPr>
          <w:rFonts w:hint="eastAsia"/>
        </w:rPr>
        <w:t>166</w:t>
      </w:r>
      <w:r>
        <w:t>万元</w:t>
      </w:r>
      <w:r>
        <w:rPr>
          <w:rFonts w:hint="eastAsia"/>
        </w:rPr>
        <w:t>，</w:t>
      </w:r>
      <w:r>
        <w:t>用于</w:t>
      </w:r>
      <w:r>
        <w:rPr>
          <w:rFonts w:hint="eastAsia"/>
        </w:rPr>
        <w:t>改造保租房项目建设</w:t>
      </w:r>
      <w:r>
        <w:rPr>
          <w:rFonts w:hint="eastAsia"/>
        </w:rPr>
        <w:t>166</w:t>
      </w:r>
      <w:r>
        <w:t>万元。</w:t>
      </w:r>
    </w:p>
    <w:p w:rsidR="00076447" w:rsidRDefault="005528B5">
      <w:pPr>
        <w:ind w:firstLine="640"/>
      </w:pPr>
      <w:r>
        <w:t>实施</w:t>
      </w:r>
      <w:r>
        <w:rPr>
          <w:rFonts w:hint="eastAsia"/>
        </w:rPr>
        <w:t>尉犁县</w:t>
      </w:r>
      <w:r>
        <w:rPr>
          <w:rFonts w:hint="eastAsia"/>
        </w:rPr>
        <w:t>2024</w:t>
      </w:r>
      <w:r>
        <w:rPr>
          <w:rFonts w:hint="eastAsia"/>
        </w:rPr>
        <w:t>年改造保租房项目建设项目</w:t>
      </w:r>
      <w:r>
        <w:t>投入</w:t>
      </w:r>
      <w:r>
        <w:rPr>
          <w:rFonts w:hint="eastAsia"/>
        </w:rPr>
        <w:t>166</w:t>
      </w:r>
      <w:r>
        <w:t>万元，其中</w:t>
      </w:r>
      <w:r>
        <w:rPr>
          <w:rFonts w:hint="eastAsia"/>
        </w:rPr>
        <w:t>中央财政城镇保障性安居工程补助</w:t>
      </w:r>
      <w:r>
        <w:t>资金</w:t>
      </w:r>
      <w:r>
        <w:rPr>
          <w:rFonts w:hint="eastAsia"/>
        </w:rPr>
        <w:t>166</w:t>
      </w:r>
      <w:r>
        <w:t>万元。</w:t>
      </w:r>
    </w:p>
    <w:p w:rsidR="00076447" w:rsidRDefault="005528B5">
      <w:pPr>
        <w:ind w:firstLine="640"/>
      </w:pPr>
      <w:bookmarkStart w:id="26" w:name="_Toc10837"/>
      <w:r>
        <w:rPr>
          <w:rFonts w:hint="eastAsia"/>
        </w:rPr>
        <w:t>综上所述，</w:t>
      </w:r>
      <w:r>
        <w:t>尉犁县</w:t>
      </w:r>
      <w:r>
        <w:t>2024</w:t>
      </w:r>
      <w:r>
        <w:t>年城镇公共租赁住房建设及改造保租房项目</w:t>
      </w:r>
      <w:r>
        <w:rPr>
          <w:rFonts w:hint="eastAsia"/>
        </w:rPr>
        <w:t>投入资金合计</w:t>
      </w:r>
      <w:r>
        <w:rPr>
          <w:rFonts w:hint="eastAsia"/>
        </w:rPr>
        <w:t>660</w:t>
      </w:r>
      <w:r>
        <w:rPr>
          <w:rFonts w:hint="eastAsia"/>
        </w:rPr>
        <w:t>万元。</w:t>
      </w:r>
    </w:p>
    <w:p w:rsidR="00076447" w:rsidRDefault="005528B5">
      <w:pPr>
        <w:ind w:firstLine="643"/>
        <w:rPr>
          <w:b/>
          <w:bCs/>
        </w:rPr>
      </w:pPr>
      <w:r>
        <w:rPr>
          <w:b/>
          <w:bCs/>
        </w:rPr>
        <w:t>5.</w:t>
      </w:r>
      <w:r>
        <w:rPr>
          <w:b/>
          <w:bCs/>
        </w:rPr>
        <w:t>资金使用情况</w:t>
      </w:r>
      <w:bookmarkEnd w:id="25"/>
      <w:bookmarkEnd w:id="26"/>
    </w:p>
    <w:p w:rsidR="00076447" w:rsidRDefault="005528B5">
      <w:pPr>
        <w:ind w:firstLine="640"/>
      </w:pPr>
      <w:r>
        <w:lastRenderedPageBreak/>
        <w:t>尉犁县</w:t>
      </w:r>
      <w:r>
        <w:t>2024</w:t>
      </w:r>
      <w:r>
        <w:t>年城镇公共租赁住房建设及改造保租房项目</w:t>
      </w:r>
      <w:r>
        <w:t>年初预算数</w:t>
      </w:r>
      <w:r>
        <w:rPr>
          <w:rFonts w:hint="eastAsia"/>
        </w:rPr>
        <w:t>672</w:t>
      </w:r>
      <w:r>
        <w:t>万元，实际到位资金</w:t>
      </w:r>
      <w:r>
        <w:rPr>
          <w:rFonts w:hint="eastAsia"/>
        </w:rPr>
        <w:t>660</w:t>
      </w:r>
      <w:r>
        <w:t>万元。截止</w:t>
      </w:r>
      <w:r>
        <w:t>202</w:t>
      </w:r>
      <w:r>
        <w:rPr>
          <w:rFonts w:hint="eastAsia"/>
        </w:rPr>
        <w:t>4</w:t>
      </w:r>
      <w:r>
        <w:t>年</w:t>
      </w:r>
      <w:r>
        <w:t>12</w:t>
      </w:r>
      <w:r>
        <w:t>月</w:t>
      </w:r>
      <w:r>
        <w:t>31</w:t>
      </w:r>
      <w:r>
        <w:t>日，项目实际使用资</w:t>
      </w:r>
      <w:r>
        <w:t>金</w:t>
      </w:r>
      <w:r>
        <w:rPr>
          <w:rFonts w:hint="eastAsia"/>
        </w:rPr>
        <w:t>660</w:t>
      </w:r>
      <w:r>
        <w:t>万元，资金使用率达到了</w:t>
      </w:r>
      <w:r>
        <w:t>100%</w:t>
      </w:r>
      <w:r>
        <w:t>。</w:t>
      </w:r>
      <w:r>
        <w:rPr>
          <w:rFonts w:hint="eastAsia"/>
        </w:rPr>
        <w:t>资金用于</w:t>
      </w:r>
      <w:r>
        <w:t>尉犁县</w:t>
      </w:r>
      <w:r>
        <w:t>2024</w:t>
      </w:r>
      <w:r>
        <w:t>年城镇公共租赁住房建设项目</w:t>
      </w:r>
      <w:r>
        <w:rPr>
          <w:rFonts w:hint="eastAsia"/>
        </w:rPr>
        <w:t>和尉犁县</w:t>
      </w:r>
      <w:r>
        <w:rPr>
          <w:rFonts w:hint="eastAsia"/>
        </w:rPr>
        <w:t>2024</w:t>
      </w:r>
      <w:r>
        <w:rPr>
          <w:rFonts w:hint="eastAsia"/>
        </w:rPr>
        <w:t>年改造保租房项目建设项目，</w:t>
      </w:r>
      <w:r>
        <w:t>具体资金支付情况</w:t>
      </w:r>
      <w:r>
        <w:rPr>
          <w:rFonts w:hint="eastAsia"/>
        </w:rPr>
        <w:t>如下</w:t>
      </w:r>
      <w:r>
        <w:t>：</w:t>
      </w:r>
    </w:p>
    <w:p w:rsidR="00076447" w:rsidRDefault="005528B5">
      <w:pPr>
        <w:ind w:firstLine="640"/>
      </w:pPr>
      <w:r>
        <w:t>202</w:t>
      </w:r>
      <w:r>
        <w:rPr>
          <w:rFonts w:hint="eastAsia"/>
        </w:rPr>
        <w:t>4</w:t>
      </w:r>
      <w:r>
        <w:t>年</w:t>
      </w:r>
      <w:r>
        <w:rPr>
          <w:rFonts w:hint="eastAsia"/>
        </w:rPr>
        <w:t>10</w:t>
      </w:r>
      <w:r>
        <w:t>月</w:t>
      </w:r>
      <w:r>
        <w:rPr>
          <w:rFonts w:hint="eastAsia"/>
        </w:rPr>
        <w:t>5</w:t>
      </w:r>
      <w:r>
        <w:t>日，支付</w:t>
      </w:r>
      <w:r>
        <w:rPr>
          <w:rFonts w:hint="eastAsia"/>
        </w:rPr>
        <w:t>新疆天禾建筑安装有限公司</w:t>
      </w:r>
      <w:r>
        <w:rPr>
          <w:rFonts w:hint="eastAsia"/>
        </w:rPr>
        <w:t>479</w:t>
      </w:r>
      <w:r>
        <w:t>万元</w:t>
      </w:r>
      <w:r>
        <w:rPr>
          <w:rFonts w:hint="eastAsia"/>
        </w:rPr>
        <w:t>。</w:t>
      </w:r>
    </w:p>
    <w:p w:rsidR="00076447" w:rsidRDefault="005528B5">
      <w:pPr>
        <w:ind w:firstLine="640"/>
      </w:pPr>
      <w:r>
        <w:t>202</w:t>
      </w:r>
      <w:r>
        <w:rPr>
          <w:rFonts w:hint="eastAsia"/>
        </w:rPr>
        <w:t>4</w:t>
      </w:r>
      <w:r>
        <w:t>年</w:t>
      </w:r>
      <w:r>
        <w:rPr>
          <w:rFonts w:hint="eastAsia"/>
        </w:rPr>
        <w:t>12</w:t>
      </w:r>
      <w:r>
        <w:t>月</w:t>
      </w:r>
      <w:r>
        <w:rPr>
          <w:rFonts w:hint="eastAsia"/>
        </w:rPr>
        <w:t>7</w:t>
      </w:r>
      <w:r>
        <w:t>日，支付</w:t>
      </w:r>
      <w:r>
        <w:rPr>
          <w:rFonts w:hint="eastAsia"/>
        </w:rPr>
        <w:t>新疆天禾建筑安装有限公司</w:t>
      </w:r>
      <w:r>
        <w:rPr>
          <w:rFonts w:hint="eastAsia"/>
        </w:rPr>
        <w:t>15</w:t>
      </w:r>
      <w:r>
        <w:t>万元</w:t>
      </w:r>
      <w:r>
        <w:rPr>
          <w:rFonts w:hint="eastAsia"/>
        </w:rPr>
        <w:t>。</w:t>
      </w:r>
    </w:p>
    <w:p w:rsidR="00076447" w:rsidRDefault="005528B5">
      <w:pPr>
        <w:ind w:firstLine="640"/>
      </w:pPr>
      <w:r>
        <w:t>202</w:t>
      </w:r>
      <w:r>
        <w:rPr>
          <w:rFonts w:hint="eastAsia"/>
        </w:rPr>
        <w:t>4</w:t>
      </w:r>
      <w:r>
        <w:t>年</w:t>
      </w:r>
      <w:r>
        <w:rPr>
          <w:rFonts w:hint="eastAsia"/>
        </w:rPr>
        <w:t>12</w:t>
      </w:r>
      <w:r>
        <w:t>月</w:t>
      </w:r>
      <w:r>
        <w:rPr>
          <w:rFonts w:hint="eastAsia"/>
        </w:rPr>
        <w:t>26</w:t>
      </w:r>
      <w:r>
        <w:t>日，支付</w:t>
      </w:r>
      <w:r>
        <w:rPr>
          <w:rFonts w:hint="eastAsia"/>
        </w:rPr>
        <w:t>尉犁县古居装饰装修有限公司</w:t>
      </w:r>
      <w:r>
        <w:rPr>
          <w:rFonts w:hint="eastAsia"/>
        </w:rPr>
        <w:t>166</w:t>
      </w:r>
      <w:r>
        <w:t>万元</w:t>
      </w:r>
      <w:r>
        <w:rPr>
          <w:rFonts w:hint="eastAsia"/>
        </w:rPr>
        <w:t>。</w:t>
      </w:r>
    </w:p>
    <w:p w:rsidR="00076447" w:rsidRDefault="005528B5">
      <w:pPr>
        <w:pStyle w:val="3"/>
        <w:ind w:firstLine="643"/>
        <w:rPr>
          <w:rFonts w:eastAsia="楷体"/>
        </w:rPr>
      </w:pPr>
      <w:bookmarkStart w:id="27" w:name="_Toc9567"/>
      <w:bookmarkStart w:id="28" w:name="_Toc17604"/>
      <w:bookmarkStart w:id="29" w:name="_Toc14296"/>
      <w:bookmarkStart w:id="30" w:name="_Toc31302"/>
      <w:bookmarkStart w:id="31" w:name="_Toc11967"/>
      <w:bookmarkStart w:id="32" w:name="_Toc26395"/>
      <w:r>
        <w:rPr>
          <w:rFonts w:eastAsia="楷体"/>
        </w:rPr>
        <w:t>（二）项目绩效目标</w:t>
      </w:r>
      <w:bookmarkEnd w:id="27"/>
      <w:bookmarkEnd w:id="28"/>
      <w:bookmarkEnd w:id="29"/>
      <w:bookmarkEnd w:id="30"/>
      <w:bookmarkEnd w:id="31"/>
      <w:bookmarkEnd w:id="32"/>
    </w:p>
    <w:p w:rsidR="00076447" w:rsidRDefault="005528B5">
      <w:pPr>
        <w:ind w:firstLine="643"/>
        <w:rPr>
          <w:b/>
          <w:bCs/>
        </w:rPr>
      </w:pPr>
      <w:bookmarkStart w:id="33" w:name="_Toc18809"/>
      <w:bookmarkStart w:id="34" w:name="_Toc905"/>
      <w:r>
        <w:rPr>
          <w:b/>
          <w:bCs/>
        </w:rPr>
        <w:t>1.</w:t>
      </w:r>
      <w:r>
        <w:rPr>
          <w:b/>
          <w:bCs/>
        </w:rPr>
        <w:t>总体目标</w:t>
      </w:r>
      <w:bookmarkEnd w:id="33"/>
      <w:bookmarkEnd w:id="34"/>
    </w:p>
    <w:p w:rsidR="00076447" w:rsidRDefault="005528B5">
      <w:pPr>
        <w:ind w:firstLine="640"/>
      </w:pPr>
      <w:bookmarkStart w:id="35" w:name="_Toc10045"/>
      <w:r>
        <w:rPr>
          <w:rFonts w:hint="eastAsia"/>
        </w:rPr>
        <w:t>通过加大尉犁县保障性安居工程建设的力度，维护社会稳定，形成优越的投资环境，促进尉犁县社会经济的发展，从而带动新疆区域经济的快速发展，新建公租房</w:t>
      </w:r>
      <w:r>
        <w:rPr>
          <w:rFonts w:hint="eastAsia"/>
        </w:rPr>
        <w:t xml:space="preserve"> 132 </w:t>
      </w:r>
      <w:r>
        <w:rPr>
          <w:rFonts w:hint="eastAsia"/>
        </w:rPr>
        <w:t>套，建筑面积</w:t>
      </w:r>
      <w:r>
        <w:rPr>
          <w:rFonts w:hint="eastAsia"/>
        </w:rPr>
        <w:t>6600</w:t>
      </w:r>
      <w:r>
        <w:rPr>
          <w:rFonts w:hint="eastAsia"/>
        </w:rPr>
        <w:t>平方米，以及水、电、气、暖、管网等配套附属设施及基础设施，保质保量完成</w:t>
      </w:r>
      <w:r>
        <w:rPr>
          <w:rFonts w:hint="eastAsia"/>
        </w:rPr>
        <w:t>336</w:t>
      </w:r>
      <w:r>
        <w:rPr>
          <w:rFonts w:hint="eastAsia"/>
        </w:rPr>
        <w:t>户保障性安居工程建设。</w:t>
      </w:r>
    </w:p>
    <w:p w:rsidR="00076447" w:rsidRDefault="005528B5">
      <w:pPr>
        <w:ind w:firstLine="643"/>
        <w:rPr>
          <w:b/>
          <w:bCs/>
        </w:rPr>
      </w:pPr>
      <w:bookmarkStart w:id="36" w:name="_Toc11195"/>
      <w:r>
        <w:rPr>
          <w:b/>
          <w:bCs/>
        </w:rPr>
        <w:t>2.</w:t>
      </w:r>
      <w:r>
        <w:rPr>
          <w:b/>
          <w:bCs/>
        </w:rPr>
        <w:t>阶段性目标</w:t>
      </w:r>
      <w:bookmarkEnd w:id="35"/>
      <w:bookmarkEnd w:id="36"/>
    </w:p>
    <w:p w:rsidR="00076447" w:rsidRDefault="005528B5">
      <w:pPr>
        <w:ind w:firstLine="620"/>
      </w:pPr>
      <w:bookmarkStart w:id="37" w:name="_Toc857"/>
      <w:bookmarkStart w:id="38" w:name="_Toc25321"/>
      <w:r>
        <w:rPr>
          <w:rFonts w:eastAsia="方正仿宋_GBK" w:hint="eastAsia"/>
          <w:sz w:val="31"/>
          <w:szCs w:val="31"/>
        </w:rPr>
        <w:t>①</w:t>
      </w:r>
      <w:r>
        <w:rPr>
          <w:rFonts w:eastAsia="方正仿宋_GBK"/>
          <w:sz w:val="31"/>
          <w:szCs w:val="31"/>
        </w:rPr>
        <w:t>尉犁县</w:t>
      </w:r>
      <w:r>
        <w:rPr>
          <w:rFonts w:eastAsia="方正仿宋_GBK"/>
          <w:sz w:val="31"/>
          <w:szCs w:val="31"/>
        </w:rPr>
        <w:t>2024</w:t>
      </w:r>
      <w:r>
        <w:rPr>
          <w:rFonts w:eastAsia="方正仿宋_GBK"/>
          <w:sz w:val="31"/>
          <w:szCs w:val="31"/>
        </w:rPr>
        <w:t>年城镇公共租赁住房建设项目</w:t>
      </w:r>
      <w:r>
        <w:rPr>
          <w:rFonts w:eastAsia="方正仿宋_GBK" w:hint="eastAsia"/>
          <w:sz w:val="31"/>
          <w:szCs w:val="31"/>
        </w:rPr>
        <w:t>目标：</w:t>
      </w:r>
    </w:p>
    <w:p w:rsidR="00076447" w:rsidRDefault="005528B5">
      <w:pPr>
        <w:ind w:firstLine="640"/>
      </w:pPr>
      <w:r>
        <w:rPr>
          <w:rFonts w:hint="eastAsia"/>
        </w:rPr>
        <w:lastRenderedPageBreak/>
        <w:t>2024</w:t>
      </w:r>
      <w:r>
        <w:rPr>
          <w:rFonts w:hint="eastAsia"/>
        </w:rPr>
        <w:t>年第四季度</w:t>
      </w:r>
    </w:p>
    <w:p w:rsidR="00076447" w:rsidRDefault="005528B5">
      <w:pPr>
        <w:ind w:firstLine="640"/>
      </w:pPr>
      <w:r>
        <w:rPr>
          <w:rFonts w:hint="eastAsia"/>
        </w:rPr>
        <w:t>基础施工：完成公租房的地基建设，同步开展水、电、气管网的洞口预留，严格按照设计方案完成基础施工，为主体建设打好基础。</w:t>
      </w:r>
    </w:p>
    <w:p w:rsidR="00076447" w:rsidRDefault="005528B5">
      <w:pPr>
        <w:ind w:firstLine="640"/>
      </w:pPr>
      <w:r>
        <w:rPr>
          <w:rFonts w:hint="eastAsia"/>
        </w:rPr>
        <w:t>（</w:t>
      </w:r>
      <w:r>
        <w:rPr>
          <w:rFonts w:hint="eastAsia"/>
        </w:rPr>
        <w:t>2</w:t>
      </w:r>
      <w:r>
        <w:rPr>
          <w:rFonts w:hint="eastAsia"/>
        </w:rPr>
        <w:t>）改造保租房项目：</w:t>
      </w:r>
    </w:p>
    <w:p w:rsidR="00076447" w:rsidRDefault="005528B5">
      <w:pPr>
        <w:ind w:firstLine="640"/>
      </w:pPr>
      <w:r>
        <w:rPr>
          <w:rFonts w:hint="eastAsia"/>
        </w:rPr>
        <w:t>前期准备阶段：完成项目立项、编制可行性研究报告、</w:t>
      </w:r>
      <w:r>
        <w:rPr>
          <w:rFonts w:hint="eastAsia"/>
        </w:rPr>
        <w:t xml:space="preserve"> </w:t>
      </w:r>
      <w:r>
        <w:rPr>
          <w:rFonts w:hint="eastAsia"/>
        </w:rPr>
        <w:t>项目审批、招标及施工准备。</w:t>
      </w:r>
    </w:p>
    <w:p w:rsidR="00076447" w:rsidRDefault="005528B5">
      <w:pPr>
        <w:ind w:firstLine="640"/>
      </w:pPr>
      <w:r>
        <w:rPr>
          <w:rFonts w:hint="eastAsia"/>
        </w:rPr>
        <w:t>项目实施阶段：进行工程施工及竣工验收。</w:t>
      </w:r>
    </w:p>
    <w:p w:rsidR="00076447" w:rsidRDefault="005528B5">
      <w:pPr>
        <w:ind w:firstLine="640"/>
      </w:pPr>
      <w:r>
        <w:rPr>
          <w:rFonts w:hint="eastAsia"/>
        </w:rPr>
        <w:t>项目正式交付阶段：验收合格后交付使用。</w:t>
      </w:r>
    </w:p>
    <w:p w:rsidR="00076447" w:rsidRDefault="005528B5">
      <w:pPr>
        <w:pStyle w:val="2"/>
        <w:ind w:firstLine="640"/>
      </w:pPr>
      <w:bookmarkStart w:id="39" w:name="_Toc6534"/>
      <w:bookmarkStart w:id="40" w:name="_Toc31122"/>
      <w:bookmarkStart w:id="41" w:name="_Toc30632"/>
      <w:bookmarkStart w:id="42" w:name="_Toc6156"/>
      <w:r>
        <w:t>二、绩效评价工作开展情况</w:t>
      </w:r>
      <w:bookmarkEnd w:id="37"/>
      <w:bookmarkEnd w:id="38"/>
      <w:bookmarkEnd w:id="39"/>
      <w:bookmarkEnd w:id="40"/>
      <w:bookmarkEnd w:id="41"/>
      <w:bookmarkEnd w:id="42"/>
    </w:p>
    <w:p w:rsidR="00076447" w:rsidRDefault="005528B5">
      <w:pPr>
        <w:pStyle w:val="3"/>
        <w:ind w:firstLine="643"/>
        <w:rPr>
          <w:rFonts w:eastAsia="楷体"/>
        </w:rPr>
      </w:pPr>
      <w:bookmarkStart w:id="43" w:name="_Toc30569"/>
      <w:bookmarkStart w:id="44" w:name="_Toc32557"/>
      <w:bookmarkStart w:id="45" w:name="_Toc10300"/>
      <w:bookmarkStart w:id="46" w:name="_Toc17516"/>
      <w:bookmarkStart w:id="47" w:name="_Toc4419"/>
      <w:r>
        <w:rPr>
          <w:rFonts w:eastAsia="楷体"/>
        </w:rPr>
        <w:t>（一）绩效评价目的、对象和范围</w:t>
      </w:r>
      <w:bookmarkEnd w:id="43"/>
      <w:bookmarkEnd w:id="44"/>
      <w:bookmarkEnd w:id="45"/>
      <w:bookmarkEnd w:id="46"/>
      <w:bookmarkEnd w:id="47"/>
    </w:p>
    <w:p w:rsidR="00076447" w:rsidRDefault="005528B5">
      <w:pPr>
        <w:ind w:firstLine="643"/>
        <w:rPr>
          <w:b/>
          <w:bCs/>
        </w:rPr>
      </w:pPr>
      <w:bookmarkStart w:id="48" w:name="_Toc11562"/>
      <w:bookmarkStart w:id="49" w:name="_Toc12440"/>
      <w:r>
        <w:rPr>
          <w:b/>
          <w:bCs/>
        </w:rPr>
        <w:t>1.</w:t>
      </w:r>
      <w:r>
        <w:rPr>
          <w:b/>
          <w:bCs/>
        </w:rPr>
        <w:t>绩效评价目的</w:t>
      </w:r>
      <w:bookmarkEnd w:id="48"/>
      <w:bookmarkEnd w:id="49"/>
    </w:p>
    <w:p w:rsidR="00076447" w:rsidRDefault="005528B5">
      <w:pPr>
        <w:ind w:firstLine="640"/>
      </w:pPr>
      <w:r>
        <w:t>本次绩效评价遵循财政部《关于印发</w:t>
      </w:r>
      <w:r>
        <w:t>〈</w:t>
      </w:r>
      <w:r>
        <w:t>项目支出绩效评价管理办法</w:t>
      </w:r>
      <w:r>
        <w:t>〉</w:t>
      </w:r>
      <w:r>
        <w:t>的通知》（财预〔</w:t>
      </w:r>
      <w:r>
        <w:t>2020</w:t>
      </w:r>
      <w:r>
        <w:t>〕</w:t>
      </w:r>
      <w:r>
        <w:t>10</w:t>
      </w:r>
      <w:r>
        <w:t>号）文件精神，对</w:t>
      </w:r>
      <w:r>
        <w:rPr>
          <w:rFonts w:hint="eastAsia"/>
        </w:rPr>
        <w:t>尉犁县</w:t>
      </w:r>
      <w:r>
        <w:rPr>
          <w:rFonts w:hint="eastAsia"/>
        </w:rPr>
        <w:t>2024</w:t>
      </w:r>
      <w:r>
        <w:rPr>
          <w:rFonts w:hint="eastAsia"/>
        </w:rPr>
        <w:t>年城镇公共租赁住房建设及改造保租房项目</w:t>
      </w:r>
      <w: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0" w:name="OLE_LINK7"/>
      <w:bookmarkStart w:id="51" w:name="OLE_LINK1"/>
      <w:bookmarkStart w:id="52" w:name="_Toc8924"/>
      <w:bookmarkStart w:id="53" w:name="_Toc2159"/>
      <w:r>
        <w:rPr>
          <w:rFonts w:hint="eastAsia"/>
        </w:rPr>
        <w:t>具体绩效评价的目的细分如下：</w:t>
      </w:r>
    </w:p>
    <w:p w:rsidR="00076447" w:rsidRDefault="005528B5">
      <w:pPr>
        <w:ind w:firstLine="640"/>
      </w:pPr>
      <w:r>
        <w:rPr>
          <w:rFonts w:hint="eastAsia"/>
        </w:rPr>
        <w:t>一是：通过部门项目支出绩效评价，进一步严格落实《中</w:t>
      </w:r>
      <w:r>
        <w:rPr>
          <w:rFonts w:hint="eastAsia"/>
        </w:rPr>
        <w:lastRenderedPageBreak/>
        <w:t>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076447" w:rsidRDefault="005528B5">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076447" w:rsidRDefault="005528B5">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w:t>
      </w:r>
      <w:r>
        <w:rPr>
          <w:rFonts w:hint="eastAsia"/>
        </w:rPr>
        <w:t>效预算转变，逐步建立“以绩效目标为导向，以绩效评价为手段，以评价结果应用为保障，全方位、全覆盖、全过程”的绩效预算管理新体制。</w:t>
      </w:r>
    </w:p>
    <w:p w:rsidR="00076447" w:rsidRDefault="005528B5">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0"/>
      <w:bookmarkEnd w:id="51"/>
    </w:p>
    <w:p w:rsidR="00076447" w:rsidRDefault="005528B5">
      <w:pPr>
        <w:ind w:firstLine="643"/>
        <w:rPr>
          <w:b/>
          <w:bCs/>
        </w:rPr>
      </w:pPr>
      <w:r>
        <w:rPr>
          <w:b/>
          <w:bCs/>
        </w:rPr>
        <w:t>2.</w:t>
      </w:r>
      <w:r>
        <w:rPr>
          <w:b/>
          <w:bCs/>
        </w:rPr>
        <w:t>绩效评价对象</w:t>
      </w:r>
      <w:bookmarkEnd w:id="52"/>
      <w:r>
        <w:rPr>
          <w:b/>
          <w:bCs/>
        </w:rPr>
        <w:t>和范围</w:t>
      </w:r>
      <w:bookmarkEnd w:id="53"/>
    </w:p>
    <w:p w:rsidR="00076447" w:rsidRDefault="005528B5">
      <w:pPr>
        <w:ind w:firstLine="640"/>
      </w:pPr>
      <w:r>
        <w:lastRenderedPageBreak/>
        <w:t>根据《财政支出绩效评价管理办法》（财预〔</w:t>
      </w:r>
      <w:r>
        <w:t>2020</w:t>
      </w:r>
      <w:r>
        <w:t>〕</w:t>
      </w:r>
      <w:r>
        <w:t>10</w:t>
      </w:r>
      <w:r>
        <w:t>号）文件要求，对</w:t>
      </w:r>
      <w:r>
        <w:rPr>
          <w:rFonts w:hint="eastAsia"/>
        </w:rPr>
        <w:t>尉犁县</w:t>
      </w:r>
      <w:r>
        <w:rPr>
          <w:rFonts w:hint="eastAsia"/>
        </w:rPr>
        <w:t>2024</w:t>
      </w:r>
      <w:r>
        <w:rPr>
          <w:rFonts w:hint="eastAsia"/>
        </w:rPr>
        <w:t>年城镇公共租赁住房建设及改造保租房项目</w:t>
      </w:r>
      <w:r>
        <w:t>开展绩效评价，本次绩效评价范围主要围绕项目决策（包括项目立项、绩效目标、资金投入）、项目过程（包括资金管理、组织实施）、项目产出（包括产出数量、质量、时效、成本）和项目效益等进行评价。</w:t>
      </w:r>
    </w:p>
    <w:p w:rsidR="00076447" w:rsidRDefault="005528B5">
      <w:pPr>
        <w:pStyle w:val="3"/>
        <w:ind w:firstLine="643"/>
        <w:rPr>
          <w:rFonts w:ascii="楷体" w:eastAsia="楷体" w:hAnsi="楷体" w:cs="楷体"/>
        </w:rPr>
      </w:pPr>
      <w:bookmarkStart w:id="54" w:name="_Toc13496"/>
      <w:bookmarkStart w:id="55" w:name="_Toc17158"/>
      <w:bookmarkStart w:id="56" w:name="_Toc15409"/>
      <w:bookmarkStart w:id="57" w:name="_Toc19566"/>
      <w:bookmarkStart w:id="58" w:name="_Toc11151"/>
      <w:r>
        <w:rPr>
          <w:rFonts w:ascii="楷体" w:eastAsia="楷体" w:hAnsi="楷体" w:cs="楷体" w:hint="eastAsia"/>
        </w:rPr>
        <w:t>（二）绩效评价原则、评价指标体系、评价方法、评价标准</w:t>
      </w:r>
      <w:bookmarkEnd w:id="54"/>
      <w:bookmarkEnd w:id="55"/>
      <w:bookmarkEnd w:id="56"/>
      <w:bookmarkEnd w:id="57"/>
      <w:bookmarkEnd w:id="58"/>
    </w:p>
    <w:p w:rsidR="00076447" w:rsidRDefault="005528B5">
      <w:pPr>
        <w:ind w:firstLine="643"/>
        <w:rPr>
          <w:b/>
          <w:bCs/>
        </w:rPr>
      </w:pPr>
      <w:bookmarkStart w:id="59" w:name="_Toc18268"/>
      <w:bookmarkStart w:id="60" w:name="_Toc23487"/>
      <w:r>
        <w:rPr>
          <w:b/>
          <w:bCs/>
        </w:rPr>
        <w:t>1.</w:t>
      </w:r>
      <w:r>
        <w:rPr>
          <w:b/>
          <w:bCs/>
        </w:rPr>
        <w:t>绩效评价原则</w:t>
      </w:r>
      <w:bookmarkEnd w:id="59"/>
      <w:bookmarkEnd w:id="60"/>
    </w:p>
    <w:p w:rsidR="00076447" w:rsidRDefault="005528B5">
      <w:pPr>
        <w:ind w:firstLine="640"/>
      </w:pPr>
      <w:bookmarkStart w:id="61" w:name="OLE_LINK8"/>
      <w:bookmarkStart w:id="62" w:name="OLE_LINK2"/>
      <w:r>
        <w:rPr>
          <w:rFonts w:hint="eastAsia"/>
        </w:rPr>
        <w:t>依据《中华人民共和国预算法》《中共</w:t>
      </w:r>
      <w:r>
        <w:rPr>
          <w:rFonts w:hint="eastAsia"/>
        </w:rPr>
        <w:t xml:space="preserve"> </w:t>
      </w:r>
      <w:r>
        <w:rPr>
          <w:rFonts w:hint="eastAsia"/>
        </w:rPr>
        <w:t>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w:t>
      </w:r>
      <w:r>
        <w:rPr>
          <w:rFonts w:hint="eastAsia"/>
        </w:rPr>
        <w:t>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61"/>
      <w:bookmarkEnd w:id="62"/>
    </w:p>
    <w:p w:rsidR="00076447" w:rsidRDefault="005528B5">
      <w:pPr>
        <w:ind w:firstLine="640"/>
      </w:pPr>
      <w:r>
        <w:t>（</w:t>
      </w:r>
      <w:r>
        <w:t>1</w:t>
      </w:r>
      <w:r>
        <w:t>）科学公正。绩效评价应当运用科学合理的方法，按照规范的程序，对项目绩效进行客观、</w:t>
      </w:r>
      <w:r>
        <w:t>公正地反映</w:t>
      </w:r>
      <w:r>
        <w:t>。</w:t>
      </w:r>
    </w:p>
    <w:p w:rsidR="00076447" w:rsidRDefault="005528B5">
      <w:pPr>
        <w:ind w:firstLine="640"/>
      </w:pPr>
      <w:r>
        <w:t>（</w:t>
      </w:r>
      <w:r>
        <w:t>2</w:t>
      </w:r>
      <w:r>
        <w:t>）统筹兼顾。单位自评应由项目单位自主实施，即</w:t>
      </w:r>
      <w:r>
        <w:t>“</w:t>
      </w:r>
      <w:r>
        <w:t>谁支出、谁自评</w:t>
      </w:r>
      <w:r>
        <w:t>”</w:t>
      </w:r>
      <w:r>
        <w:t>。</w:t>
      </w:r>
    </w:p>
    <w:p w:rsidR="00076447" w:rsidRDefault="005528B5">
      <w:pPr>
        <w:ind w:firstLine="640"/>
      </w:pPr>
      <w:r>
        <w:t>（</w:t>
      </w:r>
      <w:r>
        <w:t>3</w:t>
      </w:r>
      <w:r>
        <w:t>）激励约束。绩效评价结果应与预算安排、政策调整、改进管理实质性挂钩，体现奖优罚劣和激励相容导向，</w:t>
      </w:r>
      <w:r>
        <w:lastRenderedPageBreak/>
        <w:t>有效要安排、低效要压减、无效要问责。</w:t>
      </w:r>
    </w:p>
    <w:p w:rsidR="00076447" w:rsidRDefault="005528B5">
      <w:pPr>
        <w:ind w:firstLine="640"/>
      </w:pPr>
      <w:r>
        <w:t>（</w:t>
      </w:r>
      <w:r>
        <w:t>4</w:t>
      </w:r>
      <w:r>
        <w:t>）公开透明。</w:t>
      </w:r>
      <w:r>
        <w:t>本次项目支出绩效评价结果已依法依规在</w:t>
      </w:r>
      <w:r>
        <w:rPr>
          <w:rFonts w:hint="eastAsia"/>
        </w:rPr>
        <w:t>尉犁</w:t>
      </w:r>
      <w:r>
        <w:t>县人民政府网站上公开，并自觉接受社会监督</w:t>
      </w:r>
      <w:r>
        <w:t>。</w:t>
      </w:r>
    </w:p>
    <w:p w:rsidR="00076447" w:rsidRDefault="005528B5">
      <w:pPr>
        <w:ind w:firstLine="640"/>
      </w:pPr>
      <w:bookmarkStart w:id="63" w:name="OLE_LINK9"/>
      <w:bookmarkStart w:id="64" w:name="OLE_LINK3"/>
      <w:bookmarkStart w:id="65" w:name="_Toc23112"/>
      <w:bookmarkStart w:id="66" w:name="_Toc28342"/>
      <w:r>
        <w:rPr>
          <w:rFonts w:hint="eastAsia"/>
        </w:rPr>
        <w:t>根据以上原则</w:t>
      </w:r>
      <w:r>
        <w:rPr>
          <w:rFonts w:hint="eastAsia"/>
        </w:rPr>
        <w:t>，</w:t>
      </w:r>
      <w:r>
        <w:rPr>
          <w:rFonts w:hint="eastAsia"/>
        </w:rPr>
        <w:t>绩效评价应遵循如下要求</w:t>
      </w:r>
      <w:r>
        <w:rPr>
          <w:rFonts w:hint="eastAsia"/>
        </w:rPr>
        <w:t>:</w:t>
      </w:r>
    </w:p>
    <w:p w:rsidR="00076447" w:rsidRDefault="005528B5">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076447" w:rsidRDefault="005528B5">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076447" w:rsidRDefault="005528B5">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bookmarkEnd w:id="63"/>
      <w:bookmarkEnd w:id="64"/>
    </w:p>
    <w:p w:rsidR="00076447" w:rsidRDefault="005528B5">
      <w:pPr>
        <w:ind w:firstLine="643"/>
        <w:rPr>
          <w:b/>
          <w:bCs/>
        </w:rPr>
      </w:pPr>
      <w:r>
        <w:rPr>
          <w:b/>
          <w:bCs/>
        </w:rPr>
        <w:t>2.</w:t>
      </w:r>
      <w:r>
        <w:rPr>
          <w:b/>
          <w:bCs/>
        </w:rPr>
        <w:t>评价指标体系</w:t>
      </w:r>
      <w:bookmarkEnd w:id="65"/>
      <w:bookmarkEnd w:id="66"/>
    </w:p>
    <w:p w:rsidR="00076447" w:rsidRDefault="005528B5">
      <w:pPr>
        <w:ind w:firstLine="640"/>
      </w:pPr>
      <w:r>
        <w:rPr>
          <w:rFonts w:hint="eastAsia"/>
        </w:rPr>
        <w:t>尉犁县</w:t>
      </w:r>
      <w:r>
        <w:rPr>
          <w:rFonts w:hint="eastAsia"/>
        </w:rPr>
        <w:t>2024</w:t>
      </w:r>
      <w:r>
        <w:rPr>
          <w:rFonts w:hint="eastAsia"/>
        </w:rPr>
        <w:t>年城镇公共租赁住房建设及改造保租房项目</w:t>
      </w:r>
      <w:r>
        <w:t>绩效评价（部门自评）指标体系的设计，是在充分掌握项目状况的基础上，形成了</w:t>
      </w:r>
      <w:r>
        <w:rPr>
          <w:rFonts w:hint="eastAsia"/>
        </w:rPr>
        <w:t>尉犁县</w:t>
      </w:r>
      <w:r>
        <w:rPr>
          <w:rFonts w:hint="eastAsia"/>
        </w:rPr>
        <w:t>2024</w:t>
      </w:r>
      <w:r>
        <w:rPr>
          <w:rFonts w:hint="eastAsia"/>
        </w:rPr>
        <w:t>年城镇公共租赁住房建设及改造保租房项目</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076447" w:rsidRDefault="005528B5">
      <w:pPr>
        <w:ind w:firstLine="640"/>
      </w:pPr>
      <w:r>
        <w:lastRenderedPageBreak/>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67" w:name="_Toc15680"/>
      <w:bookmarkStart w:id="68" w:name="_Toc10631"/>
      <w:r>
        <w:t>（详见：附表</w:t>
      </w:r>
      <w:r>
        <w:t>2</w:t>
      </w:r>
      <w:r>
        <w:t>）</w:t>
      </w:r>
    </w:p>
    <w:p w:rsidR="00076447" w:rsidRDefault="005528B5">
      <w:pPr>
        <w:ind w:firstLine="643"/>
        <w:rPr>
          <w:b/>
          <w:bCs/>
        </w:rPr>
      </w:pPr>
      <w:r>
        <w:rPr>
          <w:b/>
          <w:bCs/>
        </w:rPr>
        <w:t>3.</w:t>
      </w:r>
      <w:r>
        <w:rPr>
          <w:b/>
          <w:bCs/>
        </w:rPr>
        <w:t>绩效评价方法</w:t>
      </w:r>
      <w:bookmarkEnd w:id="67"/>
      <w:bookmarkEnd w:id="68"/>
    </w:p>
    <w:p w:rsidR="00076447" w:rsidRDefault="005528B5">
      <w:pPr>
        <w:ind w:firstLine="640"/>
      </w:pPr>
      <w:r>
        <w:t>结合</w:t>
      </w:r>
      <w:r>
        <w:rPr>
          <w:rFonts w:hint="eastAsia"/>
        </w:rPr>
        <w:t>尉犁县</w:t>
      </w:r>
      <w:r>
        <w:rPr>
          <w:rFonts w:hint="eastAsia"/>
        </w:rPr>
        <w:t>2024</w:t>
      </w:r>
      <w:r>
        <w:rPr>
          <w:rFonts w:hint="eastAsia"/>
        </w:rPr>
        <w:t>年城镇公共租赁住房建设及改造保租房项目</w:t>
      </w:r>
      <w:r>
        <w:t>的特点，</w:t>
      </w:r>
      <w:r>
        <w:rPr>
          <w:rFonts w:hint="eastAsia"/>
        </w:rPr>
        <w:t>本次评价主要运用比较法、公众评判法，原因是：</w:t>
      </w:r>
    </w:p>
    <w:p w:rsidR="00076447" w:rsidRDefault="005528B5">
      <w:pPr>
        <w:ind w:firstLine="640"/>
      </w:pPr>
      <w:r>
        <w:rPr>
          <w:rFonts w:hint="eastAsia"/>
        </w:rPr>
        <w:t>比较法：</w:t>
      </w:r>
      <w:r>
        <w:t>本项目绩效评价将项目实施情况即实际完成的新建公租房数量</w:t>
      </w:r>
      <w:r>
        <w:rPr>
          <w:rFonts w:hint="eastAsia"/>
        </w:rPr>
        <w:t>、改造保租房住房数量、工程质量符合标准率等</w:t>
      </w:r>
      <w:r>
        <w:t>指标与年初设定的目标值进行比较</w:t>
      </w:r>
      <w:r>
        <w:t>。</w:t>
      </w:r>
    </w:p>
    <w:p w:rsidR="00076447" w:rsidRDefault="005528B5">
      <w:pPr>
        <w:pStyle w:val="3"/>
        <w:ind w:firstLine="640"/>
      </w:pPr>
      <w:r>
        <w:rPr>
          <w:rFonts w:eastAsia="仿宋_GB2312" w:hint="eastAsia"/>
          <w:b w:val="0"/>
        </w:rPr>
        <w:t>公共评判法：通过对租户进行问卷调查等方式，评价本项目实施后受益对象对项目实施效果的满意程度，对财政资金使用效果进行评判，评价绩效目标实现程度。</w:t>
      </w:r>
    </w:p>
    <w:p w:rsidR="00076447" w:rsidRDefault="005528B5">
      <w:pPr>
        <w:ind w:firstLine="643"/>
        <w:rPr>
          <w:b/>
          <w:bCs/>
        </w:rPr>
      </w:pPr>
      <w:bookmarkStart w:id="69" w:name="_Toc3155"/>
      <w:bookmarkStart w:id="70" w:name="_Toc15525"/>
      <w:r>
        <w:rPr>
          <w:b/>
          <w:bCs/>
        </w:rPr>
        <w:t>4.</w:t>
      </w:r>
      <w:r>
        <w:rPr>
          <w:b/>
          <w:bCs/>
        </w:rPr>
        <w:t>绩效评价标准</w:t>
      </w:r>
      <w:bookmarkEnd w:id="69"/>
      <w:bookmarkEnd w:id="70"/>
    </w:p>
    <w:p w:rsidR="00076447" w:rsidRDefault="005528B5">
      <w:pPr>
        <w:ind w:firstLine="640"/>
      </w:pPr>
      <w:r>
        <w:t>绩效评价标准通常包括计划标准、行业标准、历史标准等，用于对绩效指标完成情况进行比较。</w:t>
      </w:r>
    </w:p>
    <w:p w:rsidR="00076447" w:rsidRDefault="005528B5">
      <w:pPr>
        <w:pStyle w:val="CommentText"/>
        <w:ind w:firstLine="640"/>
        <w:jc w:val="both"/>
      </w:pPr>
      <w:r>
        <w:t>结合</w:t>
      </w:r>
      <w:r>
        <w:rPr>
          <w:rFonts w:hint="eastAsia"/>
        </w:rPr>
        <w:t>尉犁县</w:t>
      </w:r>
      <w:r>
        <w:rPr>
          <w:rFonts w:hint="eastAsia"/>
        </w:rPr>
        <w:t>2024</w:t>
      </w:r>
      <w:r>
        <w:rPr>
          <w:rFonts w:hint="eastAsia"/>
        </w:rPr>
        <w:t>年</w:t>
      </w:r>
      <w:r>
        <w:rPr>
          <w:rFonts w:hint="eastAsia"/>
        </w:rPr>
        <w:t>城镇公共租赁住房建设及改造保租房项目</w:t>
      </w:r>
      <w:r>
        <w:t>的特点，</w:t>
      </w:r>
      <w:bookmarkStart w:id="71" w:name="_Toc17851"/>
      <w:bookmarkStart w:id="72" w:name="_Toc30219"/>
      <w:bookmarkStart w:id="73" w:name="_Toc26411"/>
      <w:bookmarkStart w:id="74" w:name="_Toc15381"/>
      <w:r>
        <w:rPr>
          <w:bCs/>
          <w:szCs w:val="32"/>
        </w:rPr>
        <w:t>本项目绩效评价以预先制定的</w:t>
      </w:r>
      <w:r>
        <w:rPr>
          <w:rFonts w:hint="eastAsia"/>
          <w:bCs/>
          <w:szCs w:val="32"/>
        </w:rPr>
        <w:t>新建公租房数量、改造保租房住房数量</w:t>
      </w:r>
      <w:r>
        <w:rPr>
          <w:bCs/>
          <w:szCs w:val="32"/>
        </w:rPr>
        <w:t>为计划数作为评价标准；同时参照</w:t>
      </w:r>
      <w:r>
        <w:t>有关</w:t>
      </w:r>
      <w:r>
        <w:rPr>
          <w:rFonts w:hint="eastAsia"/>
        </w:rPr>
        <w:t>公租房及保租房建筑工程</w:t>
      </w:r>
      <w:r>
        <w:t>等同类项目建设的行业标准</w:t>
      </w:r>
      <w:r>
        <w:rPr>
          <w:bCs/>
          <w:szCs w:val="32"/>
        </w:rPr>
        <w:t>来制定评价标准。因此，采取的绩效评价标准为：计划标准、行业标准。</w:t>
      </w:r>
    </w:p>
    <w:p w:rsidR="00076447" w:rsidRDefault="005528B5">
      <w:pPr>
        <w:pStyle w:val="3"/>
        <w:ind w:firstLine="643"/>
        <w:rPr>
          <w:rFonts w:ascii="楷体" w:eastAsia="楷体" w:hAnsi="楷体" w:cs="楷体"/>
        </w:rPr>
      </w:pPr>
      <w:bookmarkStart w:id="75" w:name="_Toc28039"/>
      <w:r>
        <w:rPr>
          <w:rFonts w:ascii="楷体" w:eastAsia="楷体" w:hAnsi="楷体" w:cs="楷体" w:hint="eastAsia"/>
        </w:rPr>
        <w:lastRenderedPageBreak/>
        <w:t>（三）绩效评价工作过程</w:t>
      </w:r>
      <w:bookmarkEnd w:id="71"/>
      <w:bookmarkEnd w:id="72"/>
      <w:bookmarkEnd w:id="73"/>
      <w:bookmarkEnd w:id="74"/>
      <w:bookmarkEnd w:id="75"/>
    </w:p>
    <w:p w:rsidR="00076447" w:rsidRDefault="005528B5">
      <w:pPr>
        <w:ind w:firstLine="643"/>
        <w:rPr>
          <w:b/>
          <w:bCs/>
        </w:rPr>
      </w:pPr>
      <w:bookmarkStart w:id="76" w:name="_Toc22987"/>
      <w:bookmarkStart w:id="77" w:name="_Toc31054"/>
      <w:bookmarkStart w:id="78" w:name="_Toc30911"/>
      <w:bookmarkStart w:id="79" w:name="_Toc27442"/>
      <w:bookmarkStart w:id="80" w:name="_Toc17595"/>
      <w:r>
        <w:rPr>
          <w:b/>
          <w:bCs/>
        </w:rPr>
        <w:t>1.</w:t>
      </w:r>
      <w:bookmarkEnd w:id="76"/>
      <w:bookmarkEnd w:id="77"/>
      <w:bookmarkEnd w:id="78"/>
      <w:bookmarkEnd w:id="79"/>
      <w:bookmarkEnd w:id="80"/>
      <w:r>
        <w:rPr>
          <w:b/>
          <w:bCs/>
        </w:rPr>
        <w:t>前期准备</w:t>
      </w:r>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5</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076447" w:rsidRDefault="005528B5">
      <w:pPr>
        <w:spacing w:line="600" w:lineRule="exact"/>
        <w:ind w:firstLine="640"/>
        <w:rPr>
          <w:bCs/>
          <w:szCs w:val="32"/>
        </w:rPr>
      </w:pPr>
      <w:bookmarkStart w:id="81"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尉犁</w:t>
      </w:r>
      <w:r>
        <w:t>县</w:t>
      </w:r>
      <w:r>
        <w:rPr>
          <w:rFonts w:hint="eastAsia"/>
        </w:rPr>
        <w:t>住房和城乡建设局</w:t>
      </w:r>
      <w:r>
        <w:rPr>
          <w:bCs/>
          <w:szCs w:val="32"/>
        </w:rPr>
        <w:t>成立了绩效评价小组，对项目实施的全过程，收集、整理项目实施的相关资料，了解项目实施情况和资金支付情况。从项目内容出发，结合项目预期目标，制定绩效评价的指标体系。</w:t>
      </w:r>
      <w:r>
        <w:rPr>
          <w:rFonts w:hint="eastAsia"/>
          <w:bCs/>
          <w:szCs w:val="32"/>
        </w:rPr>
        <w:t>绩效评价工作小组人员名单及分工如下：</w:t>
      </w:r>
    </w:p>
    <w:p w:rsidR="00076447" w:rsidRDefault="005528B5">
      <w:pPr>
        <w:ind w:firstLine="640"/>
      </w:pPr>
      <w:r>
        <w:rPr>
          <w:rFonts w:hint="eastAsia"/>
        </w:rPr>
        <w:t>评价小组组长：王世军，主要负责协调相关科室、部门对项目整体运行情况进行验收、评估。</w:t>
      </w:r>
    </w:p>
    <w:p w:rsidR="00076447" w:rsidRDefault="005528B5">
      <w:pPr>
        <w:ind w:firstLine="640"/>
      </w:pPr>
      <w:r>
        <w:rPr>
          <w:rFonts w:hint="eastAsia"/>
        </w:rPr>
        <w:t>评价小组组员：李静，主要负责制定评价指标体系及评价标准。</w:t>
      </w:r>
    </w:p>
    <w:p w:rsidR="00076447" w:rsidRDefault="005528B5">
      <w:pPr>
        <w:ind w:firstLine="640"/>
      </w:pPr>
      <w:r>
        <w:rPr>
          <w:rFonts w:hint="eastAsia"/>
        </w:rPr>
        <w:t>评价小组组员：贾儒、牟敬全，主</w:t>
      </w:r>
      <w:r>
        <w:rPr>
          <w:rFonts w:hint="eastAsia"/>
        </w:rPr>
        <w:t>要负责尉犁县</w:t>
      </w:r>
      <w:r>
        <w:rPr>
          <w:rFonts w:hint="eastAsia"/>
        </w:rPr>
        <w:t>2024</w:t>
      </w:r>
      <w:r>
        <w:rPr>
          <w:rFonts w:hint="eastAsia"/>
        </w:rPr>
        <w:t>年城镇公共租赁住房建设及改造保租房项目实施、监督、评估工作。</w:t>
      </w:r>
    </w:p>
    <w:p w:rsidR="00076447" w:rsidRDefault="005528B5">
      <w:pPr>
        <w:ind w:firstLine="643"/>
        <w:rPr>
          <w:b/>
          <w:bCs/>
        </w:rPr>
      </w:pPr>
      <w:r>
        <w:rPr>
          <w:b/>
          <w:bCs/>
        </w:rPr>
        <w:t>2.</w:t>
      </w:r>
      <w:r>
        <w:rPr>
          <w:b/>
          <w:bCs/>
        </w:rPr>
        <w:t>组织实施</w:t>
      </w:r>
      <w:bookmarkEnd w:id="81"/>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076447" w:rsidRDefault="005528B5">
      <w:pPr>
        <w:ind w:firstLine="640"/>
      </w:pPr>
      <w:r>
        <w:t>评价的具体实施根据评价指标及评价工作要求，对具体评价内容和不同环节，采用以下取得的资料与评价方式。</w:t>
      </w:r>
    </w:p>
    <w:p w:rsidR="00076447" w:rsidRDefault="005528B5">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076447" w:rsidRDefault="005528B5">
      <w:pPr>
        <w:ind w:firstLine="640"/>
      </w:pPr>
      <w:r>
        <w:lastRenderedPageBreak/>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w:t>
      </w:r>
      <w:r>
        <w:t>致性，并对所掌握的有关信息资料采用相关方法进行分类、整理和分析，根据评价标准进行打分。</w:t>
      </w:r>
    </w:p>
    <w:p w:rsidR="00076447" w:rsidRDefault="005528B5">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076447" w:rsidRDefault="005528B5">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076447" w:rsidRDefault="005528B5">
      <w:pPr>
        <w:ind w:firstLine="643"/>
        <w:rPr>
          <w:b/>
          <w:bCs/>
        </w:rPr>
      </w:pPr>
      <w:bookmarkStart w:id="82" w:name="_Toc19781"/>
      <w:r>
        <w:rPr>
          <w:b/>
          <w:bCs/>
        </w:rPr>
        <w:t>3.</w:t>
      </w:r>
      <w:r>
        <w:rPr>
          <w:b/>
          <w:bCs/>
        </w:rPr>
        <w:t>数据集中分析</w:t>
      </w:r>
      <w:bookmarkEnd w:id="8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p>
    <w:p w:rsidR="00076447" w:rsidRDefault="005528B5">
      <w:pPr>
        <w:ind w:firstLine="640"/>
      </w:pPr>
      <w:r>
        <w:t>对相关资料，包括资金文件、项目实施方案、相关管理办法，问卷调查等进行集中分析。在查阅大量项目资料的基础上，根据考察、考评的结果进行整理、分析。</w:t>
      </w:r>
    </w:p>
    <w:p w:rsidR="00076447" w:rsidRDefault="005528B5">
      <w:pPr>
        <w:ind w:firstLine="643"/>
        <w:rPr>
          <w:b/>
          <w:bCs/>
        </w:rPr>
      </w:pPr>
      <w:bookmarkStart w:id="83" w:name="_Toc5021"/>
      <w:r>
        <w:rPr>
          <w:b/>
          <w:bCs/>
        </w:rPr>
        <w:t>4.</w:t>
      </w:r>
      <w:r>
        <w:rPr>
          <w:b/>
          <w:bCs/>
        </w:rPr>
        <w:t>分析总结</w:t>
      </w:r>
      <w:bookmarkEnd w:id="83"/>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r>
        <w:rPr>
          <w:rFonts w:hint="eastAsia"/>
          <w:b/>
          <w:bCs/>
        </w:rPr>
        <w:t>）</w:t>
      </w:r>
    </w:p>
    <w:p w:rsidR="00076447" w:rsidRDefault="005528B5">
      <w:pPr>
        <w:ind w:firstLine="640"/>
      </w:pPr>
      <w:r>
        <w:t>（</w:t>
      </w:r>
      <w:r>
        <w:t>1</w:t>
      </w:r>
      <w:r>
        <w:t>）根据部门自评的意见及考察、考评的结果进行整</w:t>
      </w:r>
      <w:r>
        <w:lastRenderedPageBreak/>
        <w:t>理、分析，撰写绩效评价报告初稿；</w:t>
      </w:r>
    </w:p>
    <w:p w:rsidR="00076447" w:rsidRDefault="005528B5">
      <w:pPr>
        <w:ind w:firstLine="640"/>
      </w:pPr>
      <w:r>
        <w:t>（</w:t>
      </w:r>
      <w:r>
        <w:t>2</w:t>
      </w:r>
      <w:r>
        <w:t>）就部门自评报告与部门具体有关股室征求意见，形成最终的绩效评价报告。</w:t>
      </w:r>
    </w:p>
    <w:p w:rsidR="00076447" w:rsidRDefault="005528B5">
      <w:pPr>
        <w:ind w:firstLine="643"/>
        <w:rPr>
          <w:b/>
          <w:bCs/>
        </w:rPr>
      </w:pPr>
      <w:bookmarkStart w:id="84" w:name="_Toc32641"/>
      <w:bookmarkStart w:id="85" w:name="_Toc25201"/>
      <w:bookmarkStart w:id="86" w:name="_Toc25207"/>
      <w:bookmarkStart w:id="87" w:name="_Toc31058"/>
      <w:bookmarkStart w:id="88" w:name="_Toc1808"/>
      <w:bookmarkStart w:id="89" w:name="_Toc21627"/>
      <w:r>
        <w:rPr>
          <w:b/>
          <w:bCs/>
        </w:rPr>
        <w:t>5.</w:t>
      </w:r>
      <w:r>
        <w:rPr>
          <w:b/>
          <w:bCs/>
        </w:rPr>
        <w:t>问题整改</w:t>
      </w:r>
    </w:p>
    <w:p w:rsidR="00076447" w:rsidRDefault="005528B5">
      <w:pPr>
        <w:ind w:firstLine="640"/>
      </w:pPr>
      <w:r>
        <w:t>经审核通过后，由评价小组将报告推送至项目实施人员，由项目实施人员根据报告评价结论、存在的问题</w:t>
      </w:r>
      <w:r>
        <w:t>以及改进建议落实问题整改，并形成整改报告，由评价小组负责监督和核查整改落实情况，确保绩效评价落到实处。</w:t>
      </w:r>
    </w:p>
    <w:p w:rsidR="00076447" w:rsidRDefault="005528B5">
      <w:pPr>
        <w:ind w:firstLine="643"/>
        <w:rPr>
          <w:b/>
          <w:bCs/>
        </w:rPr>
      </w:pPr>
      <w:r>
        <w:rPr>
          <w:b/>
          <w:bCs/>
        </w:rPr>
        <w:t>6.</w:t>
      </w:r>
      <w:r>
        <w:rPr>
          <w:b/>
          <w:bCs/>
        </w:rPr>
        <w:t>档案整理</w:t>
      </w:r>
    </w:p>
    <w:p w:rsidR="00076447" w:rsidRDefault="005528B5">
      <w:pPr>
        <w:ind w:firstLine="640"/>
      </w:pPr>
      <w:r>
        <w:t>建立和落实档案管理制度，将项目相关资料存档，包括但不限于：评价项目基本情况和相关文件、评价实施方案、项目支付资料等相关档案。</w:t>
      </w:r>
    </w:p>
    <w:p w:rsidR="00076447" w:rsidRDefault="005528B5">
      <w:pPr>
        <w:pStyle w:val="2"/>
        <w:ind w:firstLine="640"/>
        <w:rPr>
          <w:rFonts w:ascii="黑体" w:hAnsi="黑体" w:cs="黑体"/>
        </w:rPr>
      </w:pPr>
      <w:r>
        <w:rPr>
          <w:rFonts w:ascii="黑体" w:hAnsi="黑体" w:cs="黑体" w:hint="eastAsia"/>
        </w:rPr>
        <w:t>三、综合评价情况及评价结论</w:t>
      </w:r>
      <w:bookmarkEnd w:id="84"/>
      <w:bookmarkEnd w:id="85"/>
      <w:bookmarkEnd w:id="86"/>
      <w:bookmarkEnd w:id="87"/>
      <w:bookmarkEnd w:id="88"/>
      <w:bookmarkEnd w:id="89"/>
    </w:p>
    <w:p w:rsidR="00076447" w:rsidRDefault="005528B5">
      <w:pPr>
        <w:ind w:firstLine="640"/>
      </w:pPr>
      <w:r>
        <w:t>本项目的绩效评价结果为</w:t>
      </w:r>
      <w:r>
        <w:t>“</w:t>
      </w:r>
      <w:r>
        <w:t>优</w:t>
      </w:r>
      <w:r>
        <w:t>”</w:t>
      </w:r>
      <w:r>
        <w:t>，综合评分</w:t>
      </w:r>
      <w:r>
        <w:t>100</w:t>
      </w:r>
      <w:r>
        <w:t>分。其中项目决策</w:t>
      </w:r>
      <w:r>
        <w:t>22</w:t>
      </w:r>
      <w:r>
        <w:t>分，项目过程</w:t>
      </w:r>
      <w:r>
        <w:t>1</w:t>
      </w:r>
      <w:r>
        <w:t>8</w:t>
      </w:r>
      <w:r>
        <w:t>分，项目产出管理得分</w:t>
      </w:r>
      <w:r>
        <w:t>40</w:t>
      </w:r>
      <w:r>
        <w:t>分，项目效益</w:t>
      </w:r>
      <w:r>
        <w:t>20</w:t>
      </w:r>
      <w:r>
        <w:t>分</w:t>
      </w:r>
      <w: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076447">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076447" w:rsidRDefault="005528B5">
            <w:pPr>
              <w:pStyle w:val="a8"/>
              <w:rPr>
                <w:rFonts w:hint="default"/>
              </w:rPr>
            </w:pPr>
            <w:bookmarkStart w:id="90" w:name="_Toc19145"/>
            <w:bookmarkStart w:id="91" w:name="_Toc17356"/>
            <w:bookmarkStart w:id="92" w:name="_Toc30727"/>
            <w:r>
              <w:t>尉犁县</w:t>
            </w:r>
            <w:r>
              <w:t>2024</w:t>
            </w:r>
            <w:r>
              <w:t>年城镇公共租赁住房建设及改造保租房项目</w:t>
            </w:r>
            <w:bookmarkEnd w:id="90"/>
          </w:p>
          <w:p w:rsidR="00076447" w:rsidRDefault="005528B5">
            <w:pPr>
              <w:pStyle w:val="a8"/>
              <w:rPr>
                <w:rFonts w:hint="default"/>
              </w:rPr>
            </w:pPr>
            <w:bookmarkStart w:id="93" w:name="_Toc5472"/>
            <w:bookmarkStart w:id="94" w:name="_Toc3703"/>
            <w:bookmarkStart w:id="95" w:name="_Toc16086"/>
            <w:r>
              <w:rPr>
                <w:rFonts w:hint="default"/>
              </w:rPr>
              <w:t>绩效评价</w:t>
            </w:r>
            <w:r>
              <w:rPr>
                <w:rFonts w:hint="default"/>
                <w:lang w:val="zh-TW" w:eastAsia="zh-TW"/>
              </w:rPr>
              <w:t>得分表</w:t>
            </w:r>
            <w:bookmarkEnd w:id="93"/>
            <w:bookmarkEnd w:id="94"/>
            <w:bookmarkEnd w:id="95"/>
          </w:p>
        </w:tc>
      </w:tr>
      <w:tr w:rsidR="00076447">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合计</w:t>
            </w:r>
          </w:p>
        </w:tc>
      </w:tr>
      <w:tr w:rsidR="00076447">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100</w:t>
            </w:r>
            <w:r>
              <w:t>%</w:t>
            </w:r>
          </w:p>
        </w:tc>
      </w:tr>
      <w:tr w:rsidR="00076447">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100</w:t>
            </w:r>
          </w:p>
        </w:tc>
      </w:tr>
      <w:tr w:rsidR="00076447">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76447" w:rsidRDefault="005528B5">
            <w:pPr>
              <w:pStyle w:val="a9"/>
              <w:rPr>
                <w:rFonts w:hint="default"/>
              </w:rPr>
            </w:pPr>
            <w:r>
              <w:rPr>
                <w:rFonts w:hint="default"/>
              </w:rPr>
              <w:t>100</w:t>
            </w:r>
          </w:p>
        </w:tc>
      </w:tr>
    </w:tbl>
    <w:p w:rsidR="00076447" w:rsidRDefault="005528B5">
      <w:pPr>
        <w:pStyle w:val="2"/>
        <w:ind w:firstLine="640"/>
        <w:rPr>
          <w:rFonts w:ascii="黑体" w:hAnsi="黑体" w:cs="黑体"/>
        </w:rPr>
      </w:pPr>
      <w:bookmarkStart w:id="96" w:name="_Toc24616"/>
      <w:bookmarkStart w:id="97" w:name="_Toc13630"/>
      <w:bookmarkStart w:id="98" w:name="_Toc4904"/>
      <w:bookmarkStart w:id="99" w:name="_Toc29439"/>
      <w:r>
        <w:rPr>
          <w:rFonts w:ascii="黑体" w:hAnsi="黑体" w:cs="黑体" w:hint="eastAsia"/>
        </w:rPr>
        <w:lastRenderedPageBreak/>
        <w:t>四、绩效评价指标分析</w:t>
      </w:r>
      <w:bookmarkEnd w:id="91"/>
      <w:bookmarkEnd w:id="92"/>
      <w:bookmarkEnd w:id="96"/>
      <w:bookmarkEnd w:id="97"/>
      <w:bookmarkEnd w:id="98"/>
      <w:bookmarkEnd w:id="99"/>
    </w:p>
    <w:p w:rsidR="00076447" w:rsidRDefault="005528B5">
      <w:pPr>
        <w:pStyle w:val="3"/>
        <w:ind w:firstLine="643"/>
        <w:rPr>
          <w:rFonts w:ascii="楷体" w:eastAsia="楷体" w:hAnsi="楷体" w:cs="楷体"/>
        </w:rPr>
      </w:pPr>
      <w:bookmarkStart w:id="100" w:name="_Toc22323"/>
      <w:bookmarkStart w:id="101" w:name="_Toc8344"/>
      <w:bookmarkStart w:id="102" w:name="_Toc1968"/>
      <w:bookmarkStart w:id="103" w:name="_Toc2901"/>
      <w:bookmarkStart w:id="104" w:name="_Toc28477"/>
      <w:r>
        <w:rPr>
          <w:rFonts w:ascii="楷体" w:eastAsia="楷体" w:hAnsi="楷体" w:cs="楷体" w:hint="eastAsia"/>
        </w:rPr>
        <w:t>（一）项目决策情况</w:t>
      </w:r>
      <w:bookmarkEnd w:id="100"/>
      <w:bookmarkEnd w:id="101"/>
      <w:bookmarkEnd w:id="102"/>
      <w:bookmarkEnd w:id="103"/>
      <w:bookmarkEnd w:id="104"/>
    </w:p>
    <w:p w:rsidR="00076447" w:rsidRDefault="005528B5">
      <w:pPr>
        <w:ind w:firstLine="643"/>
        <w:rPr>
          <w:b/>
          <w:bCs/>
        </w:rPr>
      </w:pPr>
      <w:bookmarkStart w:id="105" w:name="_Toc510"/>
      <w:bookmarkStart w:id="106" w:name="_Toc22511"/>
      <w:r>
        <w:rPr>
          <w:b/>
          <w:bCs/>
        </w:rPr>
        <w:t>1.</w:t>
      </w:r>
      <w:r>
        <w:rPr>
          <w:b/>
          <w:bCs/>
        </w:rPr>
        <w:t>立项依据充分性</w:t>
      </w:r>
      <w:bookmarkEnd w:id="105"/>
      <w:bookmarkEnd w:id="106"/>
    </w:p>
    <w:p w:rsidR="00076447" w:rsidRDefault="005528B5">
      <w:pPr>
        <w:ind w:firstLine="640"/>
      </w:pPr>
      <w:r>
        <w:rPr>
          <w:rFonts w:hint="eastAsia"/>
        </w:rPr>
        <w:t>本项目</w:t>
      </w:r>
      <w:r>
        <w:rPr>
          <w:rFonts w:hint="eastAsia"/>
        </w:rPr>
        <w:t>实施</w:t>
      </w:r>
      <w:r>
        <w:rPr>
          <w:rFonts w:hint="eastAsia"/>
        </w:rPr>
        <w:t>符合</w:t>
      </w:r>
      <w:r>
        <w:t>住房和城乡建设部、国家发展改革委、财政部、自然资源部</w:t>
      </w:r>
      <w:r>
        <w:rPr>
          <w:rFonts w:hint="eastAsia"/>
        </w:rPr>
        <w:t>颁发的《</w:t>
      </w:r>
      <w:r>
        <w:t>关于进一步规范发展公租房的意见</w:t>
      </w:r>
      <w:r>
        <w:rPr>
          <w:rFonts w:hint="eastAsia"/>
        </w:rPr>
        <w:t>》（</w:t>
      </w:r>
      <w:r>
        <w:t>建保〔</w:t>
      </w:r>
      <w:r>
        <w:t>2019</w:t>
      </w:r>
      <w:r>
        <w:t>〕</w:t>
      </w:r>
      <w:r>
        <w:t>55</w:t>
      </w:r>
      <w:r>
        <w:t>号</w:t>
      </w:r>
      <w:r>
        <w:rPr>
          <w:rFonts w:hint="eastAsia"/>
        </w:rPr>
        <w:t>）中：“</w:t>
      </w:r>
      <w:r>
        <w:t>各地要强化对招投标、设计、施工、竣工验收等建设全过程的监督管理，严格落实各参建主体质量安全责任，强化建设单位首要责任，全面落实质量终身责任制。对偷工减料等违法违规行为严肃追责，督促参建主体对易产生质量常见问题的部位和环节采取针对性防治措施。</w:t>
      </w:r>
      <w:r>
        <w:rPr>
          <w:rFonts w:hint="eastAsia"/>
        </w:rPr>
        <w:t>”；本项目</w:t>
      </w:r>
      <w:r>
        <w:rPr>
          <w:rFonts w:hint="eastAsia"/>
        </w:rPr>
        <w:t>实施</w:t>
      </w:r>
      <w:r>
        <w:rPr>
          <w:rFonts w:hint="eastAsia"/>
        </w:rPr>
        <w:t>符合《</w:t>
      </w:r>
      <w:r>
        <w:t>公共租赁住房管理办法</w:t>
      </w:r>
      <w:r>
        <w:rPr>
          <w:rFonts w:hint="eastAsia"/>
        </w:rPr>
        <w:t>》中：“</w:t>
      </w:r>
      <w:r>
        <w:rPr>
          <w:rFonts w:hint="eastAsia"/>
        </w:rPr>
        <w:t>规范</w:t>
      </w:r>
      <w:r>
        <w:t>公租房的建设、分配、运营、管理等</w:t>
      </w:r>
      <w:r>
        <w:rPr>
          <w:rFonts w:hint="eastAsia"/>
        </w:rPr>
        <w:t>”内容</w:t>
      </w:r>
      <w:r>
        <w:rPr>
          <w:rFonts w:hint="eastAsia"/>
        </w:rPr>
        <w:t>。</w:t>
      </w:r>
      <w:r>
        <w:rPr>
          <w:rFonts w:hint="eastAsia"/>
        </w:rPr>
        <w:t>因此，</w:t>
      </w:r>
      <w:r>
        <w:rPr>
          <w:rFonts w:hint="eastAsia"/>
        </w:rPr>
        <w:t>符合行业发展规划和政策要求；</w:t>
      </w:r>
      <w:r>
        <w:t>项目</w:t>
      </w:r>
      <w:r>
        <w:t>实施</w:t>
      </w:r>
      <w:r>
        <w:t>符合国家法律法规、国民经济发展规划和相关政策；符合行业发展规划和政策要求；与部门职责范围相符，属干部</w:t>
      </w:r>
      <w:r>
        <w:t>门履职所需；属于公共财政支持范围，符合中央、地方事权支出责任划分原则；</w:t>
      </w:r>
      <w:r>
        <w:t>不存在</w:t>
      </w:r>
      <w:r>
        <w:t>与相关部门同类项目或部门内部相关项目重复</w:t>
      </w:r>
      <w:r>
        <w:t>的现象</w:t>
      </w:r>
      <w:r>
        <w:t>。</w:t>
      </w:r>
      <w:r>
        <w:t>项目</w:t>
      </w:r>
      <w:r>
        <w:rPr>
          <w:rFonts w:hint="eastAsia"/>
        </w:rPr>
        <w:t>立项</w:t>
      </w:r>
      <w:r>
        <w:t>依据充分。</w:t>
      </w:r>
    </w:p>
    <w:p w:rsidR="00076447" w:rsidRDefault="005528B5">
      <w:pPr>
        <w:ind w:firstLine="640"/>
      </w:pPr>
      <w:r>
        <w:t>本项满分</w:t>
      </w:r>
      <w:r>
        <w:t>3</w:t>
      </w:r>
      <w:r>
        <w:t>分，评估得分</w:t>
      </w:r>
      <w:r>
        <w:t>3</w:t>
      </w:r>
      <w:r>
        <w:t>分。</w:t>
      </w:r>
    </w:p>
    <w:p w:rsidR="00076447" w:rsidRDefault="005528B5">
      <w:pPr>
        <w:ind w:firstLine="643"/>
        <w:rPr>
          <w:b/>
          <w:bCs/>
        </w:rPr>
      </w:pPr>
      <w:bookmarkStart w:id="107" w:name="_Toc283"/>
      <w:bookmarkStart w:id="108" w:name="_Toc27895"/>
      <w:r>
        <w:rPr>
          <w:b/>
          <w:bCs/>
        </w:rPr>
        <w:t>2.</w:t>
      </w:r>
      <w:r>
        <w:rPr>
          <w:b/>
          <w:bCs/>
        </w:rPr>
        <w:t>立项程序规范性</w:t>
      </w:r>
      <w:bookmarkEnd w:id="107"/>
      <w:bookmarkEnd w:id="108"/>
    </w:p>
    <w:p w:rsidR="00076447" w:rsidRDefault="005528B5">
      <w:pPr>
        <w:ind w:firstLine="640"/>
      </w:pPr>
      <w:r>
        <w:t>本项目实施单位</w:t>
      </w:r>
      <w:r>
        <w:rPr>
          <w:rFonts w:hint="eastAsia"/>
        </w:rPr>
        <w:t>为尉犁县住房和城乡建设局，</w:t>
      </w:r>
      <w:r>
        <w:rPr>
          <w:rFonts w:hint="eastAsia"/>
        </w:rPr>
        <w:t>2024</w:t>
      </w:r>
      <w:r>
        <w:rPr>
          <w:rFonts w:hint="eastAsia"/>
        </w:rPr>
        <w:t>年</w:t>
      </w:r>
      <w:r>
        <w:rPr>
          <w:rFonts w:hint="eastAsia"/>
        </w:rPr>
        <w:t>6</w:t>
      </w:r>
      <w:r>
        <w:rPr>
          <w:rFonts w:hint="eastAsia"/>
        </w:rPr>
        <w:t>月委托新疆开拓设计研究院有限公司</w:t>
      </w:r>
      <w:r>
        <w:t>编</w:t>
      </w:r>
      <w:r>
        <w:t>制了</w:t>
      </w:r>
      <w:r>
        <w:rPr>
          <w:rFonts w:hint="eastAsia"/>
        </w:rPr>
        <w:t>《尉犁县</w:t>
      </w:r>
      <w:r>
        <w:rPr>
          <w:rFonts w:hint="eastAsia"/>
        </w:rPr>
        <w:t>2024</w:t>
      </w:r>
      <w:r>
        <w:rPr>
          <w:rFonts w:hint="eastAsia"/>
        </w:rPr>
        <w:lastRenderedPageBreak/>
        <w:t>年城镇公租房建设项目可行性研究报告》</w:t>
      </w:r>
      <w:r>
        <w:t>。得到了</w:t>
      </w:r>
      <w:r>
        <w:rPr>
          <w:rFonts w:hint="eastAsia"/>
        </w:rPr>
        <w:t>尉犁县</w:t>
      </w:r>
      <w:r>
        <w:t>发展和改革委员会《关于</w:t>
      </w:r>
      <w:r>
        <w:rPr>
          <w:rFonts w:hint="eastAsia"/>
        </w:rPr>
        <w:t>尉犁县</w:t>
      </w:r>
      <w:r>
        <w:rPr>
          <w:rFonts w:hint="eastAsia"/>
        </w:rPr>
        <w:t>2024</w:t>
      </w:r>
      <w:r>
        <w:rPr>
          <w:rFonts w:hint="eastAsia"/>
        </w:rPr>
        <w:t>年城镇公租房建设项目</w:t>
      </w:r>
      <w:r>
        <w:t>的批复》尉发改项目〔</w:t>
      </w:r>
      <w:r>
        <w:t>2024</w:t>
      </w:r>
      <w:r>
        <w:t>〕</w:t>
      </w:r>
      <w:r>
        <w:t>14</w:t>
      </w:r>
      <w:r>
        <w:rPr>
          <w:rFonts w:hint="eastAsia"/>
        </w:rPr>
        <w:t>2</w:t>
      </w:r>
      <w:r>
        <w:t>号，批复时间</w:t>
      </w:r>
      <w:r>
        <w:rPr>
          <w:rFonts w:hint="eastAsia"/>
        </w:rPr>
        <w:t>2024</w:t>
      </w:r>
      <w:r>
        <w:t>年</w:t>
      </w:r>
      <w:r>
        <w:rPr>
          <w:rFonts w:hint="eastAsia"/>
        </w:rPr>
        <w:t>7</w:t>
      </w:r>
      <w:r>
        <w:t>月</w:t>
      </w:r>
      <w:r>
        <w:rPr>
          <w:rFonts w:hint="eastAsia"/>
        </w:rPr>
        <w:t>23</w:t>
      </w:r>
      <w:r>
        <w:t>日，立项程序规范。</w:t>
      </w:r>
    </w:p>
    <w:p w:rsidR="00076447" w:rsidRDefault="005528B5">
      <w:pPr>
        <w:pStyle w:val="3"/>
        <w:ind w:firstLine="640"/>
        <w:rPr>
          <w:rFonts w:eastAsia="仿宋_GB2312"/>
          <w:b w:val="0"/>
        </w:rPr>
      </w:pPr>
      <w:r>
        <w:rPr>
          <w:rFonts w:hint="eastAsia"/>
          <w:b w:val="0"/>
          <w:bCs/>
        </w:rPr>
        <w:t>2024</w:t>
      </w:r>
      <w:r>
        <w:rPr>
          <w:rFonts w:hint="eastAsia"/>
          <w:b w:val="0"/>
          <w:bCs/>
        </w:rPr>
        <w:t>年</w:t>
      </w:r>
      <w:r>
        <w:rPr>
          <w:rFonts w:hint="eastAsia"/>
          <w:b w:val="0"/>
          <w:bCs/>
        </w:rPr>
        <w:t>9</w:t>
      </w:r>
      <w:r>
        <w:rPr>
          <w:rFonts w:hint="eastAsia"/>
          <w:b w:val="0"/>
          <w:bCs/>
        </w:rPr>
        <w:t>月</w:t>
      </w:r>
      <w:r>
        <w:rPr>
          <w:rFonts w:hint="eastAsia"/>
          <w:b w:val="0"/>
          <w:bCs/>
        </w:rPr>
        <w:t>13</w:t>
      </w:r>
      <w:r>
        <w:rPr>
          <w:rFonts w:hint="eastAsia"/>
          <w:b w:val="0"/>
          <w:bCs/>
        </w:rPr>
        <w:t>日</w:t>
      </w:r>
      <w:r>
        <w:rPr>
          <w:rFonts w:hint="eastAsia"/>
          <w:b w:val="0"/>
          <w:bCs/>
        </w:rPr>
        <w:t>得到了自治州城镇保障性安居工作暨保障性租赁住房工作领导小组办公室《关于明确尉犁县</w:t>
      </w:r>
      <w:r>
        <w:rPr>
          <w:rFonts w:hint="eastAsia"/>
          <w:b w:val="0"/>
          <w:bCs/>
        </w:rPr>
        <w:t>2024</w:t>
      </w:r>
      <w:r>
        <w:rPr>
          <w:rFonts w:hint="eastAsia"/>
          <w:b w:val="0"/>
          <w:bCs/>
        </w:rPr>
        <w:t>年保障性租赁住房项目的函》，按期开工建设和交付</w:t>
      </w:r>
      <w:r>
        <w:rPr>
          <w:rFonts w:eastAsia="仿宋_GB2312" w:hint="eastAsia"/>
          <w:b w:val="0"/>
        </w:rPr>
        <w:t>使用。</w:t>
      </w:r>
    </w:p>
    <w:p w:rsidR="00076447" w:rsidRDefault="005528B5">
      <w:pPr>
        <w:ind w:firstLine="640"/>
      </w:pPr>
      <w:r>
        <w:t>本项满分</w:t>
      </w:r>
      <w:r>
        <w:t>3</w:t>
      </w:r>
      <w:r>
        <w:t>分，评估得分</w:t>
      </w:r>
      <w:r>
        <w:t>3</w:t>
      </w:r>
      <w:r>
        <w:t>分。</w:t>
      </w:r>
    </w:p>
    <w:p w:rsidR="00076447" w:rsidRDefault="005528B5">
      <w:pPr>
        <w:ind w:firstLine="643"/>
        <w:rPr>
          <w:b/>
          <w:bCs/>
        </w:rPr>
      </w:pPr>
      <w:bookmarkStart w:id="109" w:name="_Toc20471"/>
      <w:bookmarkStart w:id="110" w:name="_Toc13368"/>
      <w:r>
        <w:rPr>
          <w:b/>
          <w:bCs/>
        </w:rPr>
        <w:t>3.</w:t>
      </w:r>
      <w:r>
        <w:rPr>
          <w:b/>
          <w:bCs/>
        </w:rPr>
        <w:t>绩效目标合理性</w:t>
      </w:r>
      <w:bookmarkEnd w:id="109"/>
      <w:bookmarkEnd w:id="110"/>
    </w:p>
    <w:p w:rsidR="00076447" w:rsidRDefault="005528B5">
      <w:pPr>
        <w:ind w:firstLine="640"/>
      </w:pPr>
      <w:r>
        <w:rPr>
          <w:rFonts w:hint="eastAsia"/>
        </w:rPr>
        <w:t>尉犁县</w:t>
      </w:r>
      <w:r>
        <w:rPr>
          <w:rFonts w:hint="eastAsia"/>
        </w:rPr>
        <w:t>2024</w:t>
      </w:r>
      <w:r>
        <w:rPr>
          <w:rFonts w:hint="eastAsia"/>
        </w:rPr>
        <w:t>年城镇公共租赁住房建设及改造保租房项目</w:t>
      </w:r>
      <w:r>
        <w:t>设立了项目绩效目标，绩效目标指标设置合理，项目绩效目标与实际工作内容相关性较强；项目预期产出效益和效果符合正常的业绩水平；绩效目标</w:t>
      </w:r>
      <w:r>
        <w:t>与预算确定的项目投资额相匹配。</w:t>
      </w:r>
    </w:p>
    <w:p w:rsidR="00076447" w:rsidRDefault="005528B5">
      <w:pPr>
        <w:ind w:firstLine="640"/>
      </w:pPr>
      <w:r>
        <w:t>本项满分</w:t>
      </w:r>
      <w:r>
        <w:t>4</w:t>
      </w:r>
      <w:r>
        <w:t>分，评估得分</w:t>
      </w:r>
      <w:r>
        <w:t>4</w:t>
      </w:r>
      <w:r>
        <w:t>分。</w:t>
      </w:r>
    </w:p>
    <w:p w:rsidR="00076447" w:rsidRDefault="005528B5">
      <w:pPr>
        <w:ind w:firstLine="643"/>
        <w:rPr>
          <w:b/>
          <w:bCs/>
        </w:rPr>
      </w:pPr>
      <w:bookmarkStart w:id="111" w:name="_Toc15543"/>
      <w:bookmarkStart w:id="112" w:name="_Toc21087"/>
      <w:r>
        <w:rPr>
          <w:b/>
          <w:bCs/>
        </w:rPr>
        <w:t>4.</w:t>
      </w:r>
      <w:r>
        <w:rPr>
          <w:b/>
          <w:bCs/>
        </w:rPr>
        <w:t>绩效指标明确性</w:t>
      </w:r>
      <w:bookmarkEnd w:id="111"/>
      <w:bookmarkEnd w:id="112"/>
    </w:p>
    <w:p w:rsidR="00076447" w:rsidRDefault="005528B5">
      <w:pPr>
        <w:ind w:firstLine="640"/>
      </w:pPr>
      <w:r>
        <w:rPr>
          <w:rFonts w:hint="eastAsia"/>
        </w:rPr>
        <w:t>尉犁县</w:t>
      </w:r>
      <w:r>
        <w:rPr>
          <w:rFonts w:hint="eastAsia"/>
        </w:rPr>
        <w:t>2024</w:t>
      </w:r>
      <w:r>
        <w:rPr>
          <w:rFonts w:hint="eastAsia"/>
        </w:rPr>
        <w:t>年城镇公共租赁住房建设及改造保租房项目</w:t>
      </w:r>
      <w:r>
        <w:t>，设置一级指标</w:t>
      </w:r>
      <w:r>
        <w:rPr>
          <w:rFonts w:hint="eastAsia"/>
        </w:rPr>
        <w:t>4</w:t>
      </w:r>
      <w:r>
        <w:t>条，二级指标</w:t>
      </w:r>
      <w:r>
        <w:rPr>
          <w:rFonts w:hint="eastAsia"/>
        </w:rPr>
        <w:t>6</w:t>
      </w:r>
      <w:r>
        <w:t>条，三级指标</w:t>
      </w:r>
      <w:r>
        <w:rPr>
          <w:rFonts w:hint="eastAsia"/>
        </w:rPr>
        <w:t>9</w:t>
      </w:r>
      <w:r>
        <w:t>条，其中量化指标</w:t>
      </w:r>
      <w:r>
        <w:rPr>
          <w:rFonts w:hint="eastAsia"/>
        </w:rPr>
        <w:t>7</w:t>
      </w:r>
      <w:r>
        <w:t>条，绩效目标指标设定清晰、可衡量性较强，与项目目标任务计划数对应性较强。</w:t>
      </w:r>
    </w:p>
    <w:p w:rsidR="00076447" w:rsidRDefault="005528B5">
      <w:pPr>
        <w:ind w:firstLine="640"/>
      </w:pPr>
      <w:r>
        <w:t>本项满分</w:t>
      </w:r>
      <w:r>
        <w:t>4</w:t>
      </w:r>
      <w:r>
        <w:t>分，评估得分</w:t>
      </w:r>
      <w:r>
        <w:t>4</w:t>
      </w:r>
      <w:r>
        <w:t>分。</w:t>
      </w:r>
    </w:p>
    <w:p w:rsidR="00076447" w:rsidRDefault="005528B5">
      <w:pPr>
        <w:ind w:firstLine="643"/>
        <w:rPr>
          <w:b/>
          <w:bCs/>
        </w:rPr>
      </w:pPr>
      <w:bookmarkStart w:id="113" w:name="_Toc25638"/>
      <w:bookmarkStart w:id="114" w:name="_Toc21476"/>
      <w:r>
        <w:rPr>
          <w:b/>
          <w:bCs/>
        </w:rPr>
        <w:t>5.</w:t>
      </w:r>
      <w:r>
        <w:rPr>
          <w:b/>
          <w:bCs/>
        </w:rPr>
        <w:t>预算编制科学性</w:t>
      </w:r>
      <w:bookmarkEnd w:id="113"/>
      <w:bookmarkEnd w:id="114"/>
    </w:p>
    <w:p w:rsidR="00076447" w:rsidRDefault="005528B5">
      <w:pPr>
        <w:ind w:firstLine="640"/>
      </w:pPr>
      <w:r>
        <w:lastRenderedPageBreak/>
        <w:t>本项目</w:t>
      </w:r>
      <w:r>
        <w:rPr>
          <w:rFonts w:hint="eastAsia"/>
        </w:rPr>
        <w:t>全年</w:t>
      </w:r>
      <w:r>
        <w:t>预算资金</w:t>
      </w:r>
      <w:r>
        <w:rPr>
          <w:rFonts w:hint="eastAsia"/>
        </w:rPr>
        <w:t>660</w:t>
      </w:r>
      <w:r>
        <w:t>万元，来源为</w:t>
      </w:r>
      <w:r>
        <w:rPr>
          <w:rFonts w:hint="eastAsia"/>
        </w:rPr>
        <w:t>中央保障性安居工程补助</w:t>
      </w:r>
      <w:r>
        <w:t>资金</w:t>
      </w:r>
      <w:r>
        <w:rPr>
          <w:rFonts w:hint="eastAsia"/>
        </w:rPr>
        <w:t>660</w:t>
      </w:r>
      <w:r>
        <w:t>万元，预算编制较为科学，预算内容与项目建设内容相匹配，预算额度测算依据充分，预算确定的资金量与工程量相匹配。</w:t>
      </w:r>
    </w:p>
    <w:p w:rsidR="00076447" w:rsidRDefault="005528B5">
      <w:pPr>
        <w:ind w:firstLine="640"/>
      </w:pPr>
      <w:r>
        <w:t>本项满分</w:t>
      </w:r>
      <w:r>
        <w:t>4</w:t>
      </w:r>
      <w:r>
        <w:t>分，评估得分</w:t>
      </w:r>
      <w:r>
        <w:t>4</w:t>
      </w:r>
      <w:r>
        <w:t>分。</w:t>
      </w:r>
    </w:p>
    <w:p w:rsidR="00076447" w:rsidRDefault="005528B5">
      <w:pPr>
        <w:ind w:firstLine="643"/>
        <w:rPr>
          <w:b/>
          <w:bCs/>
        </w:rPr>
      </w:pPr>
      <w:bookmarkStart w:id="115" w:name="_Toc21577"/>
      <w:bookmarkStart w:id="116" w:name="_Toc30661"/>
      <w:r>
        <w:rPr>
          <w:b/>
          <w:bCs/>
        </w:rPr>
        <w:t>6.</w:t>
      </w:r>
      <w:r>
        <w:rPr>
          <w:b/>
          <w:bCs/>
        </w:rPr>
        <w:t>资金分配合理性</w:t>
      </w:r>
      <w:bookmarkEnd w:id="115"/>
      <w:bookmarkEnd w:id="116"/>
    </w:p>
    <w:p w:rsidR="00076447" w:rsidRDefault="005528B5">
      <w:pPr>
        <w:ind w:firstLine="640"/>
      </w:pPr>
      <w:r>
        <w:t>本项目预算资金分配依据充分；资金分配额度合理，与项目单位实际相适应。</w:t>
      </w:r>
    </w:p>
    <w:p w:rsidR="00076447" w:rsidRDefault="005528B5">
      <w:pPr>
        <w:ind w:firstLine="640"/>
      </w:pPr>
      <w:r>
        <w:t>本项满分</w:t>
      </w:r>
      <w:r>
        <w:t>4</w:t>
      </w:r>
      <w:r>
        <w:t>分，评估得分</w:t>
      </w:r>
      <w:r>
        <w:t>4</w:t>
      </w:r>
      <w:r>
        <w:t>分。</w:t>
      </w:r>
    </w:p>
    <w:p w:rsidR="00076447" w:rsidRDefault="005528B5">
      <w:pPr>
        <w:pStyle w:val="3"/>
        <w:ind w:firstLine="643"/>
        <w:rPr>
          <w:rFonts w:ascii="黑体" w:eastAsia="黑体" w:hAnsi="黑体" w:cs="黑体"/>
        </w:rPr>
      </w:pPr>
      <w:bookmarkStart w:id="117" w:name="_Toc9897"/>
      <w:bookmarkStart w:id="118" w:name="_Toc23455"/>
      <w:bookmarkStart w:id="119" w:name="_Toc30992"/>
      <w:bookmarkStart w:id="120" w:name="_Toc13442"/>
      <w:bookmarkStart w:id="121" w:name="_Toc27855"/>
      <w:r>
        <w:rPr>
          <w:rFonts w:ascii="黑体" w:eastAsia="黑体" w:hAnsi="黑体" w:cs="黑体" w:hint="eastAsia"/>
        </w:rPr>
        <w:t>（二）项目过程情况</w:t>
      </w:r>
      <w:bookmarkEnd w:id="117"/>
      <w:bookmarkEnd w:id="118"/>
      <w:bookmarkEnd w:id="119"/>
      <w:bookmarkEnd w:id="120"/>
      <w:bookmarkEnd w:id="121"/>
    </w:p>
    <w:p w:rsidR="00076447" w:rsidRDefault="005528B5">
      <w:pPr>
        <w:ind w:firstLine="643"/>
        <w:rPr>
          <w:b/>
          <w:bCs/>
        </w:rPr>
      </w:pPr>
      <w:bookmarkStart w:id="122" w:name="_Toc29417"/>
      <w:bookmarkStart w:id="123" w:name="_Toc19854"/>
      <w:r>
        <w:rPr>
          <w:b/>
          <w:bCs/>
        </w:rPr>
        <w:t>1.</w:t>
      </w:r>
      <w:r>
        <w:rPr>
          <w:b/>
          <w:bCs/>
        </w:rPr>
        <w:t>资金到位率</w:t>
      </w:r>
      <w:bookmarkEnd w:id="122"/>
      <w:bookmarkEnd w:id="123"/>
    </w:p>
    <w:p w:rsidR="00076447" w:rsidRDefault="005528B5">
      <w:pPr>
        <w:ind w:firstLine="640"/>
      </w:pPr>
      <w:r>
        <w:t>本项目</w:t>
      </w:r>
      <w:r>
        <w:rPr>
          <w:rFonts w:hint="eastAsia"/>
        </w:rPr>
        <w:t>全年</w:t>
      </w:r>
      <w:r>
        <w:t>预算资金</w:t>
      </w:r>
      <w:r>
        <w:rPr>
          <w:rFonts w:hint="eastAsia"/>
        </w:rPr>
        <w:t>660</w:t>
      </w:r>
      <w:r>
        <w:t>万元，实际到位资金</w:t>
      </w:r>
      <w:r>
        <w:rPr>
          <w:rFonts w:hint="eastAsia"/>
        </w:rPr>
        <w:t>660</w:t>
      </w:r>
      <w:r>
        <w:t>万元，资金到位率</w:t>
      </w:r>
      <w:r>
        <w:t>100%</w:t>
      </w:r>
      <w:r>
        <w:t>。</w:t>
      </w:r>
    </w:p>
    <w:p w:rsidR="00076447" w:rsidRDefault="005528B5">
      <w:pPr>
        <w:ind w:firstLine="640"/>
      </w:pPr>
      <w:r>
        <w:t>本项满分</w:t>
      </w:r>
      <w:r>
        <w:t>4</w:t>
      </w:r>
      <w:r>
        <w:t>分，评估得分</w:t>
      </w:r>
      <w:r>
        <w:t>4</w:t>
      </w:r>
      <w:r>
        <w:t>分。</w:t>
      </w:r>
    </w:p>
    <w:p w:rsidR="00076447" w:rsidRDefault="005528B5">
      <w:pPr>
        <w:ind w:firstLine="643"/>
        <w:rPr>
          <w:b/>
          <w:bCs/>
        </w:rPr>
      </w:pPr>
      <w:bookmarkStart w:id="124" w:name="_Toc29889"/>
      <w:bookmarkStart w:id="125" w:name="_Toc13724"/>
      <w:r>
        <w:rPr>
          <w:b/>
          <w:bCs/>
        </w:rPr>
        <w:t>2.</w:t>
      </w:r>
      <w:r>
        <w:rPr>
          <w:b/>
          <w:bCs/>
        </w:rPr>
        <w:t>预算执行率</w:t>
      </w:r>
      <w:bookmarkEnd w:id="124"/>
      <w:bookmarkEnd w:id="125"/>
    </w:p>
    <w:p w:rsidR="00076447" w:rsidRDefault="005528B5">
      <w:pPr>
        <w:ind w:firstLine="640"/>
      </w:pPr>
      <w:r>
        <w:t>本项目到位资金</w:t>
      </w:r>
      <w:r>
        <w:rPr>
          <w:rFonts w:hint="eastAsia"/>
        </w:rPr>
        <w:t>660</w:t>
      </w:r>
      <w:r>
        <w:t>万元，实际支付资金</w:t>
      </w:r>
      <w:r>
        <w:rPr>
          <w:rFonts w:hint="eastAsia"/>
        </w:rPr>
        <w:t>660</w:t>
      </w:r>
      <w:r>
        <w:t>万元，预算执行率为</w:t>
      </w:r>
      <w:r>
        <w:t>100</w:t>
      </w:r>
      <w:r>
        <w:t>%</w:t>
      </w:r>
      <w:r>
        <w:t>。</w:t>
      </w:r>
    </w:p>
    <w:p w:rsidR="00076447" w:rsidRDefault="005528B5">
      <w:pPr>
        <w:ind w:firstLine="640"/>
      </w:pPr>
      <w:r>
        <w:t>本项满分</w:t>
      </w:r>
      <w:r>
        <w:t>4</w:t>
      </w:r>
      <w:r>
        <w:t>分，评估得分</w:t>
      </w:r>
      <w:r>
        <w:t>4</w:t>
      </w:r>
      <w:r>
        <w:t>分。</w:t>
      </w:r>
    </w:p>
    <w:p w:rsidR="00076447" w:rsidRDefault="005528B5">
      <w:pPr>
        <w:ind w:firstLine="643"/>
        <w:rPr>
          <w:b/>
          <w:bCs/>
        </w:rPr>
      </w:pPr>
      <w:bookmarkStart w:id="126" w:name="_Toc2484"/>
      <w:bookmarkStart w:id="127" w:name="_Toc8316"/>
      <w:r>
        <w:rPr>
          <w:b/>
          <w:bCs/>
        </w:rPr>
        <w:t>3.</w:t>
      </w:r>
      <w:r>
        <w:rPr>
          <w:b/>
          <w:bCs/>
        </w:rPr>
        <w:t>资金使用合规性</w:t>
      </w:r>
      <w:bookmarkEnd w:id="126"/>
      <w:bookmarkEnd w:id="127"/>
    </w:p>
    <w:p w:rsidR="00076447" w:rsidRDefault="005528B5">
      <w:pPr>
        <w:ind w:firstLine="640"/>
      </w:pPr>
      <w:r>
        <w:t>本项目资金的使用符合</w:t>
      </w:r>
      <w:r>
        <w:t>《中华人民共和国预算法》《中华人民共和国会计法》《中华人民共和国招标投标法》等</w:t>
      </w:r>
      <w:r>
        <w:t>国家</w:t>
      </w:r>
      <w:r>
        <w:t>有关</w:t>
      </w:r>
      <w:r>
        <w:t>财经法规</w:t>
      </w:r>
      <w:r>
        <w:t>以及预算管理制度。</w:t>
      </w:r>
      <w:r>
        <w:t>资金的</w:t>
      </w:r>
      <w:r>
        <w:t>审批和</w:t>
      </w:r>
      <w:r>
        <w:t>拨付</w:t>
      </w:r>
      <w:r>
        <w:t>按照</w:t>
      </w:r>
      <w:r>
        <w:lastRenderedPageBreak/>
        <w:t>《</w:t>
      </w:r>
      <w:r>
        <w:rPr>
          <w:rFonts w:hint="eastAsia"/>
        </w:rPr>
        <w:t>尉犁县</w:t>
      </w:r>
      <w:r>
        <w:t>财政资金审批管理办法》执行</w:t>
      </w:r>
      <w:r>
        <w:t>。资金的拨付有完整的审批程序和手续；资金使用符合专项资金支持的范围。不存在截留、挤占、挪用、虚列支出等情况。</w:t>
      </w:r>
    </w:p>
    <w:p w:rsidR="00076447" w:rsidRDefault="005528B5">
      <w:pPr>
        <w:ind w:firstLine="640"/>
      </w:pPr>
      <w:r>
        <w:t>本项满分</w:t>
      </w:r>
      <w:r>
        <w:t>4</w:t>
      </w:r>
      <w:r>
        <w:t>分，评估得分</w:t>
      </w:r>
      <w:r>
        <w:t>4</w:t>
      </w:r>
      <w:r>
        <w:t>分。</w:t>
      </w:r>
    </w:p>
    <w:p w:rsidR="00076447" w:rsidRDefault="005528B5">
      <w:pPr>
        <w:ind w:firstLine="643"/>
        <w:rPr>
          <w:b/>
          <w:bCs/>
        </w:rPr>
      </w:pPr>
      <w:bookmarkStart w:id="128" w:name="_Toc15332"/>
      <w:bookmarkStart w:id="129" w:name="_Toc20651"/>
      <w:r>
        <w:rPr>
          <w:b/>
          <w:bCs/>
        </w:rPr>
        <w:t>4.</w:t>
      </w:r>
      <w:r>
        <w:rPr>
          <w:b/>
          <w:bCs/>
        </w:rPr>
        <w:t>管理制度健全性</w:t>
      </w:r>
      <w:bookmarkEnd w:id="128"/>
      <w:bookmarkEnd w:id="129"/>
    </w:p>
    <w:p w:rsidR="00076447" w:rsidRDefault="005528B5">
      <w:pPr>
        <w:ind w:firstLine="640"/>
      </w:pPr>
      <w:r>
        <w:rPr>
          <w:rFonts w:hint="eastAsia"/>
        </w:rPr>
        <w:t>尉犁县住房和城乡建设局</w:t>
      </w:r>
      <w:r>
        <w:t>制定了</w:t>
      </w:r>
      <w:r>
        <w:t>《</w:t>
      </w:r>
      <w:r>
        <w:rPr>
          <w:rFonts w:hint="eastAsia"/>
        </w:rPr>
        <w:t>尉犁县住房和城乡建设局</w:t>
      </w:r>
      <w:r>
        <w:t>财务管理制度》和《</w:t>
      </w:r>
      <w:r>
        <w:rPr>
          <w:rFonts w:hint="eastAsia"/>
        </w:rPr>
        <w:t>尉犁县住房和城乡建设局</w:t>
      </w:r>
      <w: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w:t>
      </w:r>
      <w:r>
        <w:t>规、财经制度的要求，</w:t>
      </w:r>
      <w:r>
        <w:t>资金管理等方面都做出明确的规范的要求</w:t>
      </w:r>
      <w:r>
        <w:t>，</w:t>
      </w:r>
      <w:r>
        <w:t>财务制度和业务管理制度</w:t>
      </w:r>
      <w:r>
        <w:t>健全</w:t>
      </w:r>
      <w:r>
        <w:t>。</w:t>
      </w:r>
    </w:p>
    <w:p w:rsidR="00076447" w:rsidRDefault="005528B5">
      <w:pPr>
        <w:ind w:firstLine="640"/>
      </w:pPr>
      <w:r>
        <w:t>本项满分</w:t>
      </w:r>
      <w:r>
        <w:t>3</w:t>
      </w:r>
      <w:r>
        <w:t>分，评估得分</w:t>
      </w:r>
      <w:r>
        <w:t>3</w:t>
      </w:r>
      <w:r>
        <w:t>分。</w:t>
      </w:r>
    </w:p>
    <w:p w:rsidR="00076447" w:rsidRDefault="005528B5">
      <w:pPr>
        <w:ind w:firstLine="643"/>
        <w:rPr>
          <w:b/>
          <w:bCs/>
        </w:rPr>
      </w:pPr>
      <w:bookmarkStart w:id="130" w:name="_Toc14853"/>
      <w:bookmarkStart w:id="131" w:name="_Toc14023"/>
      <w:r>
        <w:rPr>
          <w:b/>
          <w:bCs/>
        </w:rPr>
        <w:t>5.</w:t>
      </w:r>
      <w:r>
        <w:rPr>
          <w:b/>
          <w:bCs/>
        </w:rPr>
        <w:t>制度执行有效性</w:t>
      </w:r>
      <w:bookmarkEnd w:id="130"/>
      <w:bookmarkEnd w:id="131"/>
    </w:p>
    <w:p w:rsidR="00076447" w:rsidRDefault="005528B5">
      <w:pPr>
        <w:ind w:firstLine="640"/>
      </w:pPr>
      <w:r>
        <w:t>本项目在实施过程中严格遵守相关法律法规和相关管理规定，如《中华人民共和国预算法</w:t>
      </w:r>
      <w:r>
        <w:t>》《</w:t>
      </w:r>
      <w:r>
        <w:t>中华人民共和国会计法</w:t>
      </w:r>
      <w:r>
        <w:t>》《</w:t>
      </w:r>
      <w:r>
        <w:t>中华人民共和国</w:t>
      </w:r>
      <w:r w:rsidR="00195E56">
        <w:t>政府</w:t>
      </w:r>
      <w:bookmarkStart w:id="132" w:name="_GoBack"/>
      <w:bookmarkEnd w:id="132"/>
      <w:r>
        <w:t>采购法》等，严格执行基本建设程序，执行项目法人责任制、招标投标制、工程监理制和合同管理制，项目勘察、设计、施工、监理均符合国家和自治区有关</w:t>
      </w:r>
      <w:r>
        <w:rPr>
          <w:rFonts w:hint="eastAsia"/>
        </w:rPr>
        <w:t>规定</w:t>
      </w:r>
      <w:r>
        <w:t>和施工规范。有关资料齐全，并及时整理归档。</w:t>
      </w:r>
      <w:r>
        <w:lastRenderedPageBreak/>
        <w:t>本项目无项目调整及支出调整，制度执行有效性较高。</w:t>
      </w:r>
    </w:p>
    <w:p w:rsidR="00076447" w:rsidRDefault="005528B5">
      <w:pPr>
        <w:ind w:firstLine="640"/>
      </w:pPr>
      <w:r>
        <w:t>本项满分</w:t>
      </w:r>
      <w:r>
        <w:t>3</w:t>
      </w:r>
      <w:r>
        <w:t>分，评估得分</w:t>
      </w:r>
      <w:r>
        <w:t>3</w:t>
      </w:r>
      <w:r>
        <w:t>分。</w:t>
      </w:r>
    </w:p>
    <w:p w:rsidR="00076447" w:rsidRDefault="005528B5">
      <w:pPr>
        <w:pStyle w:val="3"/>
        <w:ind w:firstLine="643"/>
        <w:rPr>
          <w:rFonts w:ascii="楷体" w:eastAsia="楷体" w:hAnsi="楷体" w:cs="楷体"/>
        </w:rPr>
      </w:pPr>
      <w:bookmarkStart w:id="133" w:name="_Toc22897"/>
      <w:bookmarkStart w:id="134" w:name="_Toc22156"/>
      <w:bookmarkStart w:id="135" w:name="_Toc5161"/>
      <w:bookmarkStart w:id="136" w:name="_Toc6865"/>
      <w:bookmarkStart w:id="137" w:name="_Toc31545"/>
      <w:r>
        <w:rPr>
          <w:rFonts w:ascii="楷体" w:eastAsia="楷体" w:hAnsi="楷体" w:cs="楷体" w:hint="eastAsia"/>
        </w:rPr>
        <w:t>（三）项目产出情况</w:t>
      </w:r>
      <w:bookmarkEnd w:id="133"/>
      <w:bookmarkEnd w:id="134"/>
      <w:bookmarkEnd w:id="135"/>
      <w:bookmarkEnd w:id="136"/>
      <w:bookmarkEnd w:id="137"/>
    </w:p>
    <w:p w:rsidR="00076447" w:rsidRDefault="005528B5">
      <w:pPr>
        <w:ind w:firstLine="643"/>
        <w:rPr>
          <w:b/>
          <w:bCs/>
        </w:rPr>
      </w:pPr>
      <w:bookmarkStart w:id="138" w:name="_Toc4184"/>
      <w:bookmarkStart w:id="139" w:name="_Toc31041"/>
      <w:r>
        <w:rPr>
          <w:b/>
          <w:bCs/>
        </w:rPr>
        <w:t>1.</w:t>
      </w:r>
      <w:r>
        <w:rPr>
          <w:b/>
          <w:bCs/>
        </w:rPr>
        <w:t>产出数量</w:t>
      </w:r>
      <w:bookmarkEnd w:id="138"/>
      <w:bookmarkEnd w:id="139"/>
    </w:p>
    <w:p w:rsidR="00076447" w:rsidRDefault="005528B5">
      <w:pPr>
        <w:ind w:firstLine="640"/>
      </w:pPr>
      <w:r>
        <w:rPr>
          <w:bCs/>
          <w:szCs w:val="32"/>
        </w:rPr>
        <w:t>指标</w:t>
      </w:r>
      <w:r>
        <w:rPr>
          <w:bCs/>
          <w:szCs w:val="32"/>
        </w:rPr>
        <w:t>1</w:t>
      </w:r>
      <w:r>
        <w:rPr>
          <w:bCs/>
          <w:szCs w:val="32"/>
        </w:rPr>
        <w:t>：</w:t>
      </w:r>
      <w:r>
        <w:rPr>
          <w:rFonts w:hint="eastAsia"/>
        </w:rPr>
        <w:t>新建公租房数量</w:t>
      </w:r>
      <w:r>
        <w:t>，预期指标值</w:t>
      </w:r>
      <w:r>
        <w:rPr>
          <w:rFonts w:hint="eastAsia"/>
        </w:rPr>
        <w:t>大于或等于</w:t>
      </w:r>
      <w:r>
        <w:rPr>
          <w:rFonts w:hint="eastAsia"/>
        </w:rPr>
        <w:t>132</w:t>
      </w:r>
      <w:r>
        <w:rPr>
          <w:rFonts w:hint="eastAsia"/>
        </w:rPr>
        <w:t>套</w:t>
      </w:r>
      <w:r>
        <w:t>，指标完成值：</w:t>
      </w:r>
      <w:r>
        <w:rPr>
          <w:rFonts w:hint="eastAsia"/>
        </w:rPr>
        <w:t>132</w:t>
      </w:r>
      <w:r>
        <w:rPr>
          <w:rFonts w:hint="eastAsia"/>
        </w:rPr>
        <w:t>套</w:t>
      </w:r>
      <w:r>
        <w:t>，完成率：</w:t>
      </w:r>
      <w:r>
        <w:rPr>
          <w:rFonts w:hint="eastAsia"/>
        </w:rPr>
        <w:t>100%</w:t>
      </w:r>
      <w:r>
        <w:t>；</w:t>
      </w:r>
    </w:p>
    <w:p w:rsidR="00076447" w:rsidRDefault="005528B5">
      <w:pPr>
        <w:ind w:firstLine="640"/>
      </w:pPr>
      <w:r>
        <w:rPr>
          <w:bCs/>
          <w:szCs w:val="32"/>
        </w:rPr>
        <w:t>指标</w:t>
      </w:r>
      <w:r>
        <w:rPr>
          <w:bCs/>
          <w:szCs w:val="32"/>
        </w:rPr>
        <w:t>2</w:t>
      </w:r>
      <w:r>
        <w:rPr>
          <w:bCs/>
          <w:szCs w:val="32"/>
        </w:rPr>
        <w:t>：</w:t>
      </w:r>
      <w:r>
        <w:rPr>
          <w:rFonts w:hint="eastAsia"/>
        </w:rPr>
        <w:t>改造保租房住房数量</w:t>
      </w:r>
      <w:r>
        <w:t>，预期指标值</w:t>
      </w:r>
      <w:r>
        <w:rPr>
          <w:rFonts w:hint="eastAsia"/>
        </w:rPr>
        <w:t>大于或等于</w:t>
      </w:r>
      <w:r>
        <w:rPr>
          <w:rFonts w:hint="eastAsia"/>
        </w:rPr>
        <w:t>336</w:t>
      </w:r>
      <w:r>
        <w:rPr>
          <w:rFonts w:hint="eastAsia"/>
        </w:rPr>
        <w:t>套</w:t>
      </w:r>
      <w:r>
        <w:t>，指标完成值：</w:t>
      </w:r>
      <w:r>
        <w:rPr>
          <w:rFonts w:hint="eastAsia"/>
        </w:rPr>
        <w:t>336</w:t>
      </w:r>
      <w:r>
        <w:rPr>
          <w:rFonts w:hint="eastAsia"/>
        </w:rPr>
        <w:t>套</w:t>
      </w:r>
      <w:r>
        <w:t>，完成率：</w:t>
      </w:r>
      <w:r>
        <w:rPr>
          <w:rFonts w:hint="eastAsia"/>
        </w:rPr>
        <w:t>100%</w:t>
      </w:r>
      <w:r>
        <w:t>；</w:t>
      </w:r>
    </w:p>
    <w:p w:rsidR="00076447" w:rsidRDefault="005528B5">
      <w:pPr>
        <w:ind w:firstLine="640"/>
      </w:pPr>
      <w:r>
        <w:t>本项满分</w:t>
      </w:r>
      <w:r>
        <w:t>12</w:t>
      </w:r>
      <w:r>
        <w:t>分，评估得分</w:t>
      </w:r>
      <w:r>
        <w:t>12</w:t>
      </w:r>
      <w:r>
        <w:t>分。</w:t>
      </w:r>
    </w:p>
    <w:p w:rsidR="00076447" w:rsidRDefault="005528B5">
      <w:pPr>
        <w:ind w:firstLine="643"/>
        <w:rPr>
          <w:b/>
          <w:bCs/>
        </w:rPr>
      </w:pPr>
      <w:bookmarkStart w:id="140" w:name="_Toc7420"/>
      <w:bookmarkStart w:id="141" w:name="_Toc21607"/>
      <w:r>
        <w:rPr>
          <w:b/>
          <w:bCs/>
        </w:rPr>
        <w:t>2.</w:t>
      </w:r>
      <w:r>
        <w:rPr>
          <w:b/>
          <w:bCs/>
        </w:rPr>
        <w:t>产出质量</w:t>
      </w:r>
      <w:bookmarkEnd w:id="140"/>
      <w:bookmarkEnd w:id="141"/>
    </w:p>
    <w:p w:rsidR="00076447" w:rsidRDefault="005528B5">
      <w:pPr>
        <w:ind w:firstLine="640"/>
      </w:pPr>
      <w:r>
        <w:rPr>
          <w:bCs/>
          <w:szCs w:val="32"/>
        </w:rPr>
        <w:t>指标</w:t>
      </w:r>
      <w:r>
        <w:rPr>
          <w:bCs/>
          <w:szCs w:val="32"/>
        </w:rPr>
        <w:t>1</w:t>
      </w:r>
      <w:r>
        <w:rPr>
          <w:bCs/>
          <w:szCs w:val="32"/>
        </w:rPr>
        <w:t>：</w:t>
      </w:r>
      <w:r>
        <w:rPr>
          <w:rFonts w:hint="eastAsia"/>
        </w:rPr>
        <w:t>工程质量符合标准率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076447" w:rsidRDefault="005528B5">
      <w:pPr>
        <w:ind w:firstLine="640"/>
      </w:pPr>
      <w:r>
        <w:t>本项满分</w:t>
      </w:r>
      <w:r>
        <w:t>12</w:t>
      </w:r>
      <w:r>
        <w:t>分，评估得分</w:t>
      </w:r>
      <w:r>
        <w:t>12</w:t>
      </w:r>
      <w:r>
        <w:t>分。</w:t>
      </w:r>
    </w:p>
    <w:p w:rsidR="00076447" w:rsidRDefault="005528B5">
      <w:pPr>
        <w:ind w:firstLine="643"/>
        <w:rPr>
          <w:b/>
          <w:bCs/>
        </w:rPr>
      </w:pPr>
      <w:bookmarkStart w:id="142" w:name="_Toc6277"/>
      <w:bookmarkStart w:id="143" w:name="_Toc5394"/>
      <w:r>
        <w:rPr>
          <w:b/>
          <w:bCs/>
        </w:rPr>
        <w:t>3.</w:t>
      </w:r>
      <w:r>
        <w:rPr>
          <w:b/>
          <w:bCs/>
        </w:rPr>
        <w:t>产出时效</w:t>
      </w:r>
      <w:bookmarkEnd w:id="142"/>
      <w:bookmarkEnd w:id="143"/>
    </w:p>
    <w:p w:rsidR="00076447" w:rsidRDefault="005528B5">
      <w:pPr>
        <w:ind w:firstLine="640"/>
      </w:pPr>
      <w:r>
        <w:rPr>
          <w:bCs/>
          <w:szCs w:val="32"/>
        </w:rPr>
        <w:t>指标</w:t>
      </w:r>
      <w:r>
        <w:rPr>
          <w:bCs/>
          <w:szCs w:val="32"/>
        </w:rPr>
        <w:t>1</w:t>
      </w:r>
      <w:r>
        <w:rPr>
          <w:bCs/>
          <w:szCs w:val="32"/>
        </w:rPr>
        <w:t>：</w:t>
      </w:r>
      <w:r>
        <w:rPr>
          <w:rFonts w:hint="eastAsia"/>
        </w:rPr>
        <w:t>项目按计划开工率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076447" w:rsidRDefault="005528B5">
      <w:pPr>
        <w:ind w:firstLine="640"/>
      </w:pPr>
      <w:r>
        <w:rPr>
          <w:bCs/>
          <w:szCs w:val="32"/>
        </w:rPr>
        <w:t>指标</w:t>
      </w:r>
      <w:r>
        <w:rPr>
          <w:rFonts w:hint="eastAsia"/>
          <w:bCs/>
          <w:szCs w:val="32"/>
        </w:rPr>
        <w:t>2</w:t>
      </w:r>
      <w:r>
        <w:rPr>
          <w:bCs/>
          <w:szCs w:val="32"/>
        </w:rPr>
        <w:t>：</w:t>
      </w:r>
      <w:r>
        <w:rPr>
          <w:rFonts w:hint="eastAsia"/>
        </w:rPr>
        <w:t>项目计划完工时间</w:t>
      </w:r>
      <w:r>
        <w:t>，预期指标值</w:t>
      </w:r>
      <w:r>
        <w:rPr>
          <w:rFonts w:hint="eastAsia"/>
        </w:rPr>
        <w:t>2025</w:t>
      </w:r>
      <w:r>
        <w:rPr>
          <w:rFonts w:hint="eastAsia"/>
        </w:rPr>
        <w:t>年</w:t>
      </w:r>
      <w:r>
        <w:rPr>
          <w:rFonts w:hint="eastAsia"/>
        </w:rPr>
        <w:t>9</w:t>
      </w:r>
      <w:r>
        <w:rPr>
          <w:rFonts w:hint="eastAsia"/>
        </w:rPr>
        <w:t>月</w:t>
      </w:r>
      <w:r>
        <w:rPr>
          <w:rFonts w:hint="eastAsia"/>
        </w:rPr>
        <w:t>27</w:t>
      </w:r>
      <w:r>
        <w:rPr>
          <w:rFonts w:hint="eastAsia"/>
        </w:rPr>
        <w:t>日前</w:t>
      </w:r>
      <w:r>
        <w:t>，指标完成值：</w:t>
      </w:r>
      <w:r>
        <w:rPr>
          <w:rFonts w:hint="eastAsia"/>
        </w:rPr>
        <w:t>2025</w:t>
      </w:r>
      <w:r>
        <w:rPr>
          <w:rFonts w:hint="eastAsia"/>
        </w:rPr>
        <w:t>年</w:t>
      </w:r>
      <w:r>
        <w:rPr>
          <w:rFonts w:hint="eastAsia"/>
        </w:rPr>
        <w:t>9</w:t>
      </w:r>
      <w:r>
        <w:rPr>
          <w:rFonts w:hint="eastAsia"/>
        </w:rPr>
        <w:t>月</w:t>
      </w:r>
      <w:r>
        <w:rPr>
          <w:rFonts w:hint="eastAsia"/>
        </w:rPr>
        <w:t>27</w:t>
      </w:r>
      <w:r>
        <w:rPr>
          <w:rFonts w:hint="eastAsia"/>
        </w:rPr>
        <w:t>日</w:t>
      </w:r>
      <w:r>
        <w:t>，完成率：</w:t>
      </w:r>
      <w:r>
        <w:rPr>
          <w:rFonts w:hint="eastAsia"/>
        </w:rPr>
        <w:t>100%</w:t>
      </w:r>
      <w:r>
        <w:t>；</w:t>
      </w:r>
      <w:r>
        <w:rPr>
          <w:rFonts w:hint="eastAsia"/>
        </w:rPr>
        <w:t>本项目为跨年项目，按照合同约定，完工日期为</w:t>
      </w:r>
      <w:r>
        <w:rPr>
          <w:rFonts w:hint="eastAsia"/>
        </w:rPr>
        <w:t>2025</w:t>
      </w:r>
      <w:r>
        <w:rPr>
          <w:rFonts w:hint="eastAsia"/>
        </w:rPr>
        <w:t>年</w:t>
      </w:r>
      <w:r>
        <w:rPr>
          <w:rFonts w:hint="eastAsia"/>
        </w:rPr>
        <w:t>9</w:t>
      </w:r>
      <w:r>
        <w:rPr>
          <w:rFonts w:hint="eastAsia"/>
        </w:rPr>
        <w:t>月</w:t>
      </w:r>
      <w:r>
        <w:rPr>
          <w:rFonts w:hint="eastAsia"/>
        </w:rPr>
        <w:t>27</w:t>
      </w:r>
      <w:r>
        <w:rPr>
          <w:rFonts w:hint="eastAsia"/>
        </w:rPr>
        <w:t>日，按照项目目前实施进度能够按期完工。</w:t>
      </w:r>
    </w:p>
    <w:p w:rsidR="00076447" w:rsidRDefault="005528B5">
      <w:pPr>
        <w:ind w:firstLine="640"/>
      </w:pPr>
      <w:r>
        <w:t>本项满分</w:t>
      </w:r>
      <w:r>
        <w:t>12</w:t>
      </w:r>
      <w:r>
        <w:t>分，评估得分</w:t>
      </w:r>
      <w:r>
        <w:t>12</w:t>
      </w:r>
      <w:r>
        <w:t>分。</w:t>
      </w:r>
    </w:p>
    <w:p w:rsidR="00076447" w:rsidRDefault="005528B5">
      <w:pPr>
        <w:ind w:firstLine="643"/>
        <w:rPr>
          <w:b/>
          <w:bCs/>
        </w:rPr>
      </w:pPr>
      <w:bookmarkStart w:id="144" w:name="_Toc28975"/>
      <w:bookmarkStart w:id="145" w:name="_Toc18558"/>
      <w:r>
        <w:rPr>
          <w:b/>
          <w:bCs/>
        </w:rPr>
        <w:t>4.</w:t>
      </w:r>
      <w:r>
        <w:rPr>
          <w:b/>
          <w:bCs/>
        </w:rPr>
        <w:t>产出成本</w:t>
      </w:r>
      <w:bookmarkEnd w:id="144"/>
      <w:bookmarkEnd w:id="145"/>
    </w:p>
    <w:p w:rsidR="00076447" w:rsidRDefault="005528B5">
      <w:pPr>
        <w:ind w:firstLine="640"/>
      </w:pPr>
      <w:r>
        <w:rPr>
          <w:bCs/>
          <w:szCs w:val="32"/>
        </w:rPr>
        <w:lastRenderedPageBreak/>
        <w:t>指标</w:t>
      </w:r>
      <w:r>
        <w:rPr>
          <w:bCs/>
          <w:szCs w:val="32"/>
        </w:rPr>
        <w:t>1</w:t>
      </w:r>
      <w:r>
        <w:rPr>
          <w:bCs/>
          <w:szCs w:val="32"/>
        </w:rPr>
        <w:t>：</w:t>
      </w:r>
      <w:r>
        <w:rPr>
          <w:rFonts w:hint="eastAsia"/>
        </w:rPr>
        <w:t>中央预算内投资计划新建配租型保障性住房成本</w:t>
      </w:r>
      <w:r>
        <w:t>，预期指标值</w:t>
      </w:r>
      <w:r>
        <w:rPr>
          <w:rFonts w:hint="eastAsia"/>
        </w:rPr>
        <w:t>小于或等于</w:t>
      </w:r>
      <w:r>
        <w:rPr>
          <w:rFonts w:hint="eastAsia"/>
        </w:rPr>
        <w:t>494</w:t>
      </w:r>
      <w:r>
        <w:rPr>
          <w:rFonts w:hint="eastAsia"/>
        </w:rPr>
        <w:t>万元</w:t>
      </w:r>
      <w:r>
        <w:t>，指标完成值：</w:t>
      </w:r>
      <w:r>
        <w:rPr>
          <w:rFonts w:hint="eastAsia"/>
        </w:rPr>
        <w:t>494</w:t>
      </w:r>
      <w:r>
        <w:rPr>
          <w:rFonts w:hint="eastAsia"/>
        </w:rPr>
        <w:t>万元</w:t>
      </w:r>
      <w:r>
        <w:t>，完成率：</w:t>
      </w:r>
      <w:r>
        <w:rPr>
          <w:rFonts w:hint="eastAsia"/>
        </w:rPr>
        <w:t>100%</w:t>
      </w:r>
      <w:r>
        <w:t>；</w:t>
      </w:r>
    </w:p>
    <w:p w:rsidR="00076447" w:rsidRDefault="005528B5">
      <w:pPr>
        <w:ind w:firstLine="640"/>
      </w:pPr>
      <w:r>
        <w:rPr>
          <w:bCs/>
          <w:szCs w:val="32"/>
        </w:rPr>
        <w:t>指标</w:t>
      </w:r>
      <w:r>
        <w:rPr>
          <w:rFonts w:hint="eastAsia"/>
          <w:bCs/>
          <w:szCs w:val="32"/>
        </w:rPr>
        <w:t>2</w:t>
      </w:r>
      <w:r>
        <w:rPr>
          <w:bCs/>
          <w:szCs w:val="32"/>
        </w:rPr>
        <w:t>：</w:t>
      </w:r>
      <w:r>
        <w:rPr>
          <w:rFonts w:hint="eastAsia"/>
        </w:rPr>
        <w:t>中央预算内投资计划改造保租房住房成本</w:t>
      </w:r>
      <w:r>
        <w:t>，预期指标值</w:t>
      </w:r>
      <w:r>
        <w:rPr>
          <w:rFonts w:hint="eastAsia"/>
        </w:rPr>
        <w:t>小于或等于</w:t>
      </w:r>
      <w:r>
        <w:rPr>
          <w:rFonts w:hint="eastAsia"/>
        </w:rPr>
        <w:t>166</w:t>
      </w:r>
      <w:r>
        <w:rPr>
          <w:rFonts w:hint="eastAsia"/>
        </w:rPr>
        <w:t>万元</w:t>
      </w:r>
      <w:r>
        <w:t>，指标完成值：</w:t>
      </w:r>
      <w:r>
        <w:rPr>
          <w:rFonts w:hint="eastAsia"/>
        </w:rPr>
        <w:t>166</w:t>
      </w:r>
      <w:r>
        <w:rPr>
          <w:rFonts w:hint="eastAsia"/>
        </w:rPr>
        <w:t>万元</w:t>
      </w:r>
      <w:r>
        <w:t>，完成率：</w:t>
      </w:r>
      <w:r>
        <w:rPr>
          <w:rFonts w:hint="eastAsia"/>
        </w:rPr>
        <w:t>100%</w:t>
      </w:r>
      <w:r>
        <w:t>；</w:t>
      </w:r>
    </w:p>
    <w:p w:rsidR="00076447" w:rsidRDefault="005528B5">
      <w:pPr>
        <w:ind w:firstLine="640"/>
      </w:pPr>
      <w:r>
        <w:t>本项满分</w:t>
      </w:r>
      <w:r>
        <w:t>4</w:t>
      </w:r>
      <w:r>
        <w:t>分，评估得分</w:t>
      </w:r>
      <w:r>
        <w:t>4</w:t>
      </w:r>
      <w:r>
        <w:t>分。</w:t>
      </w:r>
    </w:p>
    <w:p w:rsidR="00076447" w:rsidRDefault="005528B5">
      <w:pPr>
        <w:pStyle w:val="3"/>
        <w:ind w:firstLine="643"/>
        <w:rPr>
          <w:rFonts w:ascii="楷体" w:eastAsia="楷体" w:hAnsi="楷体" w:cs="楷体"/>
        </w:rPr>
      </w:pPr>
      <w:bookmarkStart w:id="146" w:name="_Toc18194"/>
      <w:bookmarkStart w:id="147" w:name="_Toc10101"/>
      <w:bookmarkStart w:id="148" w:name="_Toc24492"/>
      <w:bookmarkStart w:id="149" w:name="_Toc14881"/>
      <w:bookmarkStart w:id="150" w:name="_Toc27548"/>
      <w:r>
        <w:rPr>
          <w:rFonts w:ascii="楷体" w:eastAsia="楷体" w:hAnsi="楷体" w:cs="楷体" w:hint="eastAsia"/>
        </w:rPr>
        <w:t>（四）项目效益情况</w:t>
      </w:r>
      <w:bookmarkEnd w:id="146"/>
      <w:bookmarkEnd w:id="147"/>
      <w:bookmarkEnd w:id="148"/>
      <w:bookmarkEnd w:id="149"/>
      <w:bookmarkEnd w:id="150"/>
    </w:p>
    <w:p w:rsidR="00076447" w:rsidRDefault="005528B5">
      <w:pPr>
        <w:ind w:firstLine="643"/>
        <w:rPr>
          <w:b/>
          <w:bCs/>
        </w:rPr>
      </w:pPr>
      <w:bookmarkStart w:id="151" w:name="_Toc8370"/>
      <w:bookmarkStart w:id="152" w:name="_Toc15599"/>
      <w:r>
        <w:rPr>
          <w:b/>
          <w:bCs/>
        </w:rPr>
        <w:t>1.</w:t>
      </w:r>
      <w:r>
        <w:rPr>
          <w:b/>
          <w:bCs/>
        </w:rPr>
        <w:t>实施效益</w:t>
      </w:r>
      <w:bookmarkEnd w:id="151"/>
      <w:bookmarkEnd w:id="152"/>
    </w:p>
    <w:p w:rsidR="00076447" w:rsidRDefault="005528B5">
      <w:pPr>
        <w:ind w:firstLine="640"/>
      </w:pPr>
      <w:r>
        <w:t>本项目实施所产生的效益主要包括社会效益。项目的实施</w:t>
      </w:r>
      <w:r>
        <w:rPr>
          <w:rFonts w:hint="eastAsia"/>
        </w:rPr>
        <w:t>能够为城市低收入家庭提供了一种可行的解决方案，有效缓解了城市的住房问题，尤其是低收入家庭的住房困难问题。降低租金压力，有助于减轻低收入家庭的租金负担，从而提高其生活质量。促进社会公平，促进城市的发展，提高城市的吸引力和竞争力。为中低收入无房群体提供数量充足、租期稳定、价格合理的住房，提高群众幸福感、获得感。</w:t>
      </w:r>
    </w:p>
    <w:p w:rsidR="00076447" w:rsidRDefault="005528B5">
      <w:pPr>
        <w:ind w:firstLine="640"/>
      </w:pPr>
      <w:r>
        <w:t>本项满分</w:t>
      </w:r>
      <w:r>
        <w:t>10</w:t>
      </w:r>
      <w:r>
        <w:t>分，评估得分</w:t>
      </w:r>
      <w:r>
        <w:t>10</w:t>
      </w:r>
      <w:r>
        <w:t>分。</w:t>
      </w:r>
    </w:p>
    <w:p w:rsidR="00076447" w:rsidRDefault="005528B5">
      <w:pPr>
        <w:ind w:firstLine="643"/>
        <w:rPr>
          <w:b/>
          <w:bCs/>
        </w:rPr>
      </w:pPr>
      <w:bookmarkStart w:id="153" w:name="_Toc20772"/>
      <w:bookmarkStart w:id="154" w:name="_Toc31503"/>
      <w:r>
        <w:rPr>
          <w:b/>
          <w:bCs/>
        </w:rPr>
        <w:t>2.</w:t>
      </w:r>
      <w:r>
        <w:rPr>
          <w:b/>
          <w:bCs/>
        </w:rPr>
        <w:t>满意度</w:t>
      </w:r>
      <w:bookmarkEnd w:id="153"/>
      <w:bookmarkEnd w:id="154"/>
    </w:p>
    <w:p w:rsidR="00076447" w:rsidRDefault="005528B5">
      <w:pPr>
        <w:ind w:firstLine="640"/>
      </w:pPr>
      <w:r>
        <w:t>本项目服务对象和受益群众主要是</w:t>
      </w:r>
      <w:r>
        <w:rPr>
          <w:rFonts w:hint="eastAsia"/>
        </w:rPr>
        <w:t>保障性安居工程居民</w:t>
      </w:r>
      <w:r>
        <w:t>，通过问卷调查方式收集服务对象和受益群众对本项目实施的满意度。调查人群</w:t>
      </w:r>
      <w:r>
        <w:rPr>
          <w:rFonts w:hint="eastAsia"/>
        </w:rPr>
        <w:t>基本</w:t>
      </w:r>
      <w:r>
        <w:t>表示满意，</w:t>
      </w:r>
      <w:r>
        <w:rPr>
          <w:rFonts w:hint="eastAsia"/>
        </w:rPr>
        <w:t>大部分居民</w:t>
      </w:r>
      <w:r>
        <w:t>认为本项目实施后，</w:t>
      </w:r>
      <w:r>
        <w:rPr>
          <w:rFonts w:hint="eastAsia"/>
        </w:rPr>
        <w:t>改善了群众居住环境，提高了群众的生活水平。</w:t>
      </w:r>
    </w:p>
    <w:p w:rsidR="00076447" w:rsidRDefault="005528B5">
      <w:pPr>
        <w:ind w:firstLine="640"/>
      </w:pPr>
      <w:r>
        <w:lastRenderedPageBreak/>
        <w:t>本项满分</w:t>
      </w:r>
      <w:r>
        <w:t>10</w:t>
      </w:r>
      <w:r>
        <w:t>分，评估得分</w:t>
      </w:r>
      <w:r>
        <w:t>10</w:t>
      </w:r>
      <w:r>
        <w:t>分。</w:t>
      </w:r>
    </w:p>
    <w:p w:rsidR="00076447" w:rsidRDefault="005528B5">
      <w:pPr>
        <w:pStyle w:val="2"/>
        <w:ind w:firstLine="640"/>
        <w:rPr>
          <w:rFonts w:eastAsia="仿宋_GB2312"/>
        </w:rPr>
      </w:pPr>
      <w:bookmarkStart w:id="155" w:name="_Toc24261"/>
      <w:bookmarkStart w:id="156" w:name="_Toc20473"/>
      <w:bookmarkStart w:id="157" w:name="_Toc10859"/>
      <w:bookmarkStart w:id="158" w:name="_Toc17413"/>
      <w:bookmarkStart w:id="159" w:name="_Toc23114"/>
      <w:bookmarkStart w:id="160" w:name="_Toc3310"/>
      <w:r>
        <w:rPr>
          <w:rFonts w:ascii="黑体" w:hAnsi="黑体" w:cs="黑体" w:hint="eastAsia"/>
        </w:rPr>
        <w:t>五、主要经验及做法、存在的问题及原因分析</w:t>
      </w:r>
      <w:bookmarkEnd w:id="155"/>
      <w:bookmarkEnd w:id="156"/>
      <w:bookmarkEnd w:id="157"/>
      <w:bookmarkEnd w:id="158"/>
      <w:bookmarkEnd w:id="159"/>
      <w:bookmarkEnd w:id="160"/>
    </w:p>
    <w:p w:rsidR="00076447" w:rsidRDefault="005528B5">
      <w:pPr>
        <w:pStyle w:val="3"/>
        <w:ind w:firstLine="643"/>
        <w:rPr>
          <w:rFonts w:ascii="楷体" w:eastAsia="楷体" w:hAnsi="楷体" w:cs="楷体"/>
        </w:rPr>
      </w:pPr>
      <w:bookmarkStart w:id="161" w:name="_Toc14362"/>
      <w:bookmarkStart w:id="162" w:name="_Toc6522"/>
      <w:bookmarkStart w:id="163" w:name="_Toc20534"/>
      <w:bookmarkStart w:id="164" w:name="_Toc6741"/>
      <w:bookmarkStart w:id="165" w:name="_Toc10514"/>
      <w:r>
        <w:rPr>
          <w:rFonts w:ascii="楷体" w:eastAsia="楷体" w:hAnsi="楷体" w:cs="楷体" w:hint="eastAsia"/>
        </w:rPr>
        <w:t>（一）主要经验及做法</w:t>
      </w:r>
      <w:bookmarkEnd w:id="161"/>
      <w:bookmarkEnd w:id="162"/>
      <w:bookmarkEnd w:id="163"/>
      <w:bookmarkEnd w:id="164"/>
      <w:bookmarkEnd w:id="165"/>
    </w:p>
    <w:p w:rsidR="00076447" w:rsidRDefault="005528B5">
      <w:pPr>
        <w:ind w:firstLine="640"/>
      </w:pPr>
      <w:r>
        <w:rPr>
          <w:rFonts w:hint="eastAsia"/>
        </w:rPr>
        <w:t>在尉犁县委、县政府的坚强领导与相关部门的协同配合下，尉犁县住房和城乡建设局圆满完成工作，绩效评价获评“优”。主要经验及做法如下：</w:t>
      </w:r>
    </w:p>
    <w:p w:rsidR="00076447" w:rsidRDefault="005528B5">
      <w:pPr>
        <w:ind w:firstLine="640"/>
      </w:pPr>
      <w:r>
        <w:rPr>
          <w:rFonts w:hint="eastAsia"/>
        </w:rPr>
        <w:t>1.</w:t>
      </w:r>
      <w:r>
        <w:rPr>
          <w:rFonts w:hint="eastAsia"/>
        </w:rPr>
        <w:t>严格质量监管，筑牢工程根基：通过招投标选定监理队伍，并严格检查监理人员到岗情</w:t>
      </w:r>
      <w:r>
        <w:rPr>
          <w:rFonts w:hint="eastAsia"/>
        </w:rPr>
        <w:t>况，严禁无资质或不符合招投标规定的监理人员进入施工现场。县领导以及财政、发改等部门领导多次赴项目现场指导工作。项目单位选派责任心强、业务精通的人员作为监管负责人，做好施工监督，严格把控质量验收关。</w:t>
      </w:r>
    </w:p>
    <w:p w:rsidR="00076447" w:rsidRDefault="005528B5">
      <w:pPr>
        <w:ind w:firstLine="640"/>
      </w:pPr>
      <w:r>
        <w:rPr>
          <w:rFonts w:hint="eastAsia"/>
        </w:rPr>
        <w:t>2.</w:t>
      </w:r>
      <w:r>
        <w:rPr>
          <w:rFonts w:hint="eastAsia"/>
        </w:rPr>
        <w:t>规范资金管理，发挥最大效益：严格执行资金审批流程，明确资金使用范围，确保项目资金专款专用。坚持按工程进度拨付工程款，资金审批后直接支付给施工单位，有效防止截留、挪用、滞留和浪费资金等问题，保障资金使用安全，实现资金效益最大化。</w:t>
      </w:r>
      <w:bookmarkStart w:id="166" w:name="_Toc6359"/>
      <w:bookmarkStart w:id="167" w:name="_Toc11238"/>
      <w:bookmarkStart w:id="168" w:name="_Toc27408"/>
      <w:bookmarkStart w:id="169" w:name="_Toc4673"/>
    </w:p>
    <w:p w:rsidR="00076447" w:rsidRDefault="005528B5">
      <w:pPr>
        <w:pStyle w:val="3"/>
        <w:ind w:firstLine="643"/>
        <w:rPr>
          <w:rFonts w:ascii="楷体" w:eastAsia="楷体" w:hAnsi="楷体" w:cs="楷体"/>
        </w:rPr>
      </w:pPr>
      <w:bookmarkStart w:id="170" w:name="_Toc12740"/>
      <w:r>
        <w:rPr>
          <w:rFonts w:ascii="楷体" w:eastAsia="楷体" w:hAnsi="楷体" w:cs="楷体" w:hint="eastAsia"/>
        </w:rPr>
        <w:lastRenderedPageBreak/>
        <w:t>（二）存在的问题及分析</w:t>
      </w:r>
      <w:bookmarkEnd w:id="166"/>
      <w:bookmarkEnd w:id="167"/>
      <w:bookmarkEnd w:id="168"/>
      <w:bookmarkEnd w:id="169"/>
      <w:bookmarkEnd w:id="170"/>
    </w:p>
    <w:p w:rsidR="00076447" w:rsidRDefault="005528B5">
      <w:pPr>
        <w:pStyle w:val="2"/>
        <w:ind w:firstLine="640"/>
        <w:rPr>
          <w:rFonts w:eastAsia="仿宋_GB2312"/>
        </w:rPr>
      </w:pPr>
      <w:bookmarkStart w:id="171" w:name="_Toc14204"/>
      <w:bookmarkStart w:id="172" w:name="_Toc13270"/>
      <w:bookmarkStart w:id="173" w:name="_Toc5702"/>
      <w:bookmarkStart w:id="174" w:name="_Toc22271"/>
      <w:bookmarkStart w:id="175" w:name="_Toc13345"/>
      <w:bookmarkStart w:id="176" w:name="_Toc20116"/>
      <w:r>
        <w:rPr>
          <w:rFonts w:eastAsia="仿宋_GB2312"/>
        </w:rPr>
        <w:t>尽管尉犁县城镇公共租赁住房建设及改造保租房项目取得了显著成</w:t>
      </w:r>
      <w:r>
        <w:rPr>
          <w:rFonts w:eastAsia="仿宋_GB2312"/>
        </w:rPr>
        <w:t>效，但仍存在一些问题亟待解决，下面将对这些问题进行深入剖析。</w:t>
      </w:r>
      <w:bookmarkEnd w:id="171"/>
    </w:p>
    <w:p w:rsidR="00076447" w:rsidRDefault="005528B5">
      <w:pPr>
        <w:pStyle w:val="2"/>
        <w:ind w:firstLine="640"/>
        <w:rPr>
          <w:rFonts w:eastAsia="仿宋_GB2312"/>
        </w:rPr>
      </w:pPr>
      <w:bookmarkStart w:id="177" w:name="_Toc32154"/>
      <w:r>
        <w:rPr>
          <w:rFonts w:eastAsia="仿宋_GB2312" w:hint="eastAsia"/>
        </w:rPr>
        <w:t>1</w:t>
      </w:r>
      <w:r>
        <w:rPr>
          <w:rFonts w:eastAsia="仿宋_GB2312"/>
        </w:rPr>
        <w:t>.</w:t>
      </w:r>
      <w:r>
        <w:rPr>
          <w:rFonts w:eastAsia="仿宋_GB2312"/>
        </w:rPr>
        <w:t>工程质量监管的深度与广度欠缺</w:t>
      </w:r>
      <w:bookmarkEnd w:id="177"/>
    </w:p>
    <w:p w:rsidR="00076447" w:rsidRDefault="005528B5">
      <w:pPr>
        <w:pStyle w:val="2"/>
        <w:ind w:firstLine="640"/>
        <w:rPr>
          <w:rFonts w:eastAsia="仿宋_GB2312"/>
        </w:rPr>
      </w:pPr>
      <w:bookmarkStart w:id="178" w:name="_Toc25114"/>
      <w:r>
        <w:rPr>
          <w:rFonts w:eastAsia="仿宋_GB2312"/>
        </w:rPr>
        <w:t>虽然已对监理队伍和施工现场进行监管，但质量监管仍存在漏洞。部分监理人员专业能力不足，对施工过程中的一些技术问题未能及时发现并纠正。监管多集中在施工现场的表面检查，对隐蔽工程、原材料质量等关键环节的检查频次不够，监管深度有待提升。此外，监管方式较为传统，缺乏对新技术、新方法的运用，难以满足现代工程建设质量监管的要求。</w:t>
      </w:r>
      <w:bookmarkEnd w:id="178"/>
    </w:p>
    <w:p w:rsidR="00076447" w:rsidRDefault="005528B5">
      <w:pPr>
        <w:ind w:firstLine="640"/>
      </w:pPr>
      <w:r>
        <w:rPr>
          <w:rFonts w:hint="eastAsia"/>
        </w:rPr>
        <w:t>2.</w:t>
      </w:r>
      <w:r>
        <w:rPr>
          <w:rFonts w:hint="eastAsia"/>
        </w:rPr>
        <w:t>本项目为跨年项目，在设置项目目标时，总体指标和指标未分年度设置，造成后期开展绩效监控及自评时，难以精准对照年度任务衡量进度与成果。同时，项目实施过程中，受外部环境变化、材料价格波动等因素影响，部分建设环节进度滞后，但因目标未细化，难以快速定位责任及调整策略，一定程度上影响了项目整体推进效率。</w:t>
      </w:r>
    </w:p>
    <w:p w:rsidR="00076447" w:rsidRDefault="005528B5">
      <w:pPr>
        <w:pStyle w:val="2"/>
        <w:ind w:firstLine="640"/>
        <w:rPr>
          <w:rFonts w:ascii="黑体" w:hAnsi="黑体" w:cs="黑体"/>
        </w:rPr>
      </w:pPr>
      <w:bookmarkStart w:id="179" w:name="_Toc6654"/>
      <w:r>
        <w:rPr>
          <w:rFonts w:ascii="黑体" w:hAnsi="黑体" w:cs="黑体" w:hint="eastAsia"/>
        </w:rPr>
        <w:t>六、有关建议</w:t>
      </w:r>
      <w:bookmarkEnd w:id="172"/>
      <w:bookmarkEnd w:id="173"/>
      <w:bookmarkEnd w:id="174"/>
      <w:bookmarkEnd w:id="175"/>
      <w:bookmarkEnd w:id="176"/>
      <w:bookmarkEnd w:id="179"/>
    </w:p>
    <w:p w:rsidR="00076447" w:rsidRDefault="005528B5">
      <w:pPr>
        <w:pStyle w:val="2"/>
        <w:ind w:firstLine="640"/>
        <w:rPr>
          <w:rFonts w:eastAsia="仿宋_GB2312"/>
        </w:rPr>
      </w:pPr>
      <w:bookmarkStart w:id="180" w:name="_Toc25689"/>
      <w:bookmarkStart w:id="181" w:name="_Toc12100"/>
      <w:bookmarkStart w:id="182" w:name="_Toc5794"/>
      <w:bookmarkStart w:id="183" w:name="_Toc22823"/>
      <w:bookmarkStart w:id="184" w:name="_Toc24871"/>
      <w:bookmarkStart w:id="185" w:name="_Toc21621"/>
      <w:r>
        <w:rPr>
          <w:rFonts w:eastAsia="仿宋_GB2312"/>
          <w:bCs w:val="0"/>
          <w:iCs w:val="0"/>
          <w:szCs w:val="22"/>
        </w:rPr>
        <w:t>为更好推进尉犁县城镇公共租赁住房建设及改造保租房项目，针对前文提及的问题，可从优化项目管理机制、提升工程质量监管效能、完善资金管理体系等方面入手，给</w:t>
      </w:r>
      <w:r>
        <w:rPr>
          <w:rFonts w:eastAsia="仿宋_GB2312"/>
        </w:rPr>
        <w:t>出</w:t>
      </w:r>
      <w:r>
        <w:rPr>
          <w:rFonts w:eastAsia="仿宋_GB2312"/>
        </w:rPr>
        <w:lastRenderedPageBreak/>
        <w:t>以下建议：</w:t>
      </w:r>
      <w:bookmarkEnd w:id="180"/>
    </w:p>
    <w:p w:rsidR="00076447" w:rsidRDefault="005528B5">
      <w:pPr>
        <w:pStyle w:val="2"/>
        <w:ind w:firstLine="640"/>
        <w:rPr>
          <w:rFonts w:eastAsia="仿宋_GB2312"/>
        </w:rPr>
      </w:pPr>
      <w:bookmarkStart w:id="186" w:name="_Toc2210"/>
      <w:r>
        <w:rPr>
          <w:rFonts w:eastAsia="仿宋_GB2312"/>
        </w:rPr>
        <w:t>1.</w:t>
      </w:r>
      <w:r>
        <w:rPr>
          <w:rFonts w:eastAsia="仿宋_GB2312"/>
        </w:rPr>
        <w:t>优化项目协同管理机制</w:t>
      </w:r>
      <w:bookmarkEnd w:id="186"/>
    </w:p>
    <w:p w:rsidR="00076447" w:rsidRDefault="005528B5">
      <w:pPr>
        <w:keepNext/>
        <w:ind w:firstLine="640"/>
      </w:pPr>
      <w:bookmarkStart w:id="187" w:name="_Toc17772"/>
      <w:r>
        <w:t>搭建信息共享平台：建立项目管理信息化平台，各部门实时上传项目审批进度、招投标信息、施工进展等数据，打破信息壁垒，实现信息互通共享，保障各环节紧密衔接。例如，审批部门完成审批后，相关信息自动同步至招投标部门，推动招投标工作及时开展。</w:t>
      </w:r>
      <w:bookmarkEnd w:id="187"/>
    </w:p>
    <w:p w:rsidR="00076447" w:rsidRDefault="005528B5">
      <w:pPr>
        <w:pStyle w:val="2"/>
        <w:ind w:firstLine="640"/>
        <w:rPr>
          <w:rFonts w:eastAsia="仿宋_GB2312"/>
        </w:rPr>
      </w:pPr>
      <w:bookmarkStart w:id="188" w:name="_Toc14096"/>
      <w:r>
        <w:rPr>
          <w:rFonts w:eastAsia="仿宋_GB2312"/>
        </w:rPr>
        <w:t>2.</w:t>
      </w:r>
      <w:r>
        <w:rPr>
          <w:rFonts w:eastAsia="仿宋_GB2312"/>
        </w:rPr>
        <w:t>提升工程质量监管效能</w:t>
      </w:r>
      <w:bookmarkEnd w:id="188"/>
    </w:p>
    <w:p w:rsidR="00076447" w:rsidRDefault="005528B5">
      <w:pPr>
        <w:pStyle w:val="2"/>
        <w:ind w:firstLine="640"/>
        <w:rPr>
          <w:rFonts w:eastAsia="仿宋_GB2312"/>
        </w:rPr>
      </w:pPr>
      <w:bookmarkStart w:id="189" w:name="_Toc15180"/>
      <w:r>
        <w:rPr>
          <w:rFonts w:eastAsia="仿宋_GB2312"/>
        </w:rPr>
        <w:t>强化监理队伍管理：定期对监理人员开展专业培训，提升其业务能力与责任意识。建立监理人员考核评价机制，对考核不达标或履职不力的人员，限制其进入本地建筑市场，以此倒逼监理人员提升服务质量。</w:t>
      </w:r>
      <w:bookmarkEnd w:id="189"/>
    </w:p>
    <w:p w:rsidR="00076447" w:rsidRDefault="005528B5">
      <w:pPr>
        <w:pStyle w:val="2"/>
        <w:ind w:firstLine="640"/>
        <w:rPr>
          <w:rFonts w:eastAsia="仿宋_GB2312"/>
        </w:rPr>
      </w:pPr>
      <w:bookmarkStart w:id="190" w:name="_Toc28559"/>
      <w:r>
        <w:rPr>
          <w:rFonts w:eastAsia="仿宋_GB2312"/>
        </w:rPr>
        <w:t>创新质量监管方式：引入</w:t>
      </w:r>
      <w:r>
        <w:rPr>
          <w:rFonts w:eastAsia="仿宋_GB2312"/>
        </w:rPr>
        <w:t>BIM</w:t>
      </w:r>
      <w:r>
        <w:rPr>
          <w:rFonts w:eastAsia="仿宋_GB2312"/>
        </w:rPr>
        <w:t>、无人机巡查等新技术，对工程质量进行全方位</w:t>
      </w:r>
      <w:r>
        <w:rPr>
          <w:rFonts w:eastAsia="仿宋_GB2312"/>
        </w:rPr>
        <w:t>、全过程监管。利用</w:t>
      </w:r>
      <w:r>
        <w:rPr>
          <w:rFonts w:eastAsia="仿宋_GB2312"/>
        </w:rPr>
        <w:t>BIM</w:t>
      </w:r>
      <w:r>
        <w:rPr>
          <w:rFonts w:eastAsia="仿宋_GB2312"/>
        </w:rPr>
        <w:t>技术提前模拟施工过程，发现潜在质量问题；借助无人机对施工现场进行高空巡查，拓宽监管范围，及时发现隐蔽工程和施工现场的质量隐患。</w:t>
      </w:r>
      <w:bookmarkEnd w:id="190"/>
    </w:p>
    <w:p w:rsidR="00076447" w:rsidRDefault="005528B5">
      <w:pPr>
        <w:pStyle w:val="2"/>
        <w:ind w:firstLine="640"/>
        <w:rPr>
          <w:rFonts w:eastAsia="仿宋_GB2312"/>
        </w:rPr>
      </w:pPr>
      <w:bookmarkStart w:id="191" w:name="_Toc27282"/>
      <w:r>
        <w:rPr>
          <w:rFonts w:eastAsia="仿宋_GB2312"/>
        </w:rPr>
        <w:t>3.</w:t>
      </w:r>
      <w:r>
        <w:rPr>
          <w:rFonts w:eastAsia="仿宋_GB2312"/>
        </w:rPr>
        <w:t>完善资金动态管理体系</w:t>
      </w:r>
      <w:bookmarkEnd w:id="191"/>
    </w:p>
    <w:p w:rsidR="00076447" w:rsidRDefault="005528B5">
      <w:pPr>
        <w:pStyle w:val="2"/>
        <w:ind w:firstLine="640"/>
        <w:rPr>
          <w:rFonts w:eastAsia="仿宋_GB2312"/>
        </w:rPr>
      </w:pPr>
      <w:bookmarkStart w:id="192" w:name="_Toc25110"/>
      <w:r>
        <w:rPr>
          <w:rFonts w:eastAsia="仿宋_GB2312"/>
        </w:rPr>
        <w:t>建立预算动态调整机制：当项目因物价波动、设计变更等因素出现资金需求变化时，允许项目单位按照规定程序申请调整预算。相关部门应简化审批流程，提高预算调整效率，保障项目顺利实施。</w:t>
      </w:r>
      <w:bookmarkEnd w:id="192"/>
    </w:p>
    <w:p w:rsidR="00076447" w:rsidRDefault="005528B5">
      <w:pPr>
        <w:pStyle w:val="2"/>
        <w:ind w:firstLine="640"/>
        <w:rPr>
          <w:rFonts w:eastAsia="仿宋_GB2312"/>
        </w:rPr>
      </w:pPr>
      <w:bookmarkStart w:id="193" w:name="_Toc29199"/>
      <w:r>
        <w:rPr>
          <w:rFonts w:eastAsia="仿宋_GB2312"/>
        </w:rPr>
        <w:lastRenderedPageBreak/>
        <w:t>提高资金预算编制精准度：在项目前期，组织专业人员深入调研，充分考虑各种影响因素，结合市场行情和项目实际需求，科学合理编制资金预算。同时，建立预算执行跟踪机制，定</w:t>
      </w:r>
      <w:r>
        <w:rPr>
          <w:rFonts w:eastAsia="仿宋_GB2312"/>
        </w:rPr>
        <w:t>期对预算执行情况进行分析评估，及时发现并纠正预算执行偏差。</w:t>
      </w:r>
      <w:bookmarkEnd w:id="193"/>
    </w:p>
    <w:p w:rsidR="00076447" w:rsidRDefault="005528B5">
      <w:pPr>
        <w:pStyle w:val="2"/>
        <w:ind w:firstLine="640"/>
        <w:rPr>
          <w:rFonts w:ascii="黑体" w:hAnsi="黑体" w:cs="黑体"/>
        </w:rPr>
      </w:pPr>
      <w:bookmarkStart w:id="194" w:name="_Toc3590"/>
      <w:r>
        <w:rPr>
          <w:rFonts w:ascii="黑体" w:hAnsi="黑体" w:cs="黑体"/>
        </w:rPr>
        <w:t>七、其他需要说明的问题</w:t>
      </w:r>
      <w:bookmarkEnd w:id="181"/>
      <w:bookmarkEnd w:id="182"/>
      <w:bookmarkEnd w:id="183"/>
      <w:bookmarkEnd w:id="184"/>
      <w:bookmarkEnd w:id="185"/>
      <w:bookmarkEnd w:id="194"/>
    </w:p>
    <w:p w:rsidR="00076447" w:rsidRDefault="005528B5">
      <w:pPr>
        <w:ind w:firstLine="640"/>
      </w:pPr>
      <w:bookmarkStart w:id="195" w:name="OLE_LINK6"/>
      <w:bookmarkStart w:id="196" w:name="OLE_LINK5"/>
      <w:bookmarkStart w:id="197" w:name="_Toc2093"/>
      <w:bookmarkStart w:id="198" w:name="_Toc30245"/>
      <w:bookmarkStart w:id="199" w:name="_Toc28493"/>
      <w:bookmarkStart w:id="200" w:name="_Toc4210"/>
      <w:r>
        <w:rPr>
          <w:rFonts w:hint="eastAsia"/>
        </w:rPr>
        <w:t>1</w:t>
      </w:r>
      <w:r>
        <w:rPr>
          <w:rFonts w:hint="eastAsia"/>
        </w:rPr>
        <w:t>、</w:t>
      </w:r>
      <w:r>
        <w:t>本项目部分间接产生的效果无法准确在短期内衡量，因此很难认定项目产生的全部效果。通过指标来反映绩效，指标的科学性和全面性需要不断地完善和研究。</w:t>
      </w:r>
    </w:p>
    <w:p w:rsidR="00076447" w:rsidRDefault="005528B5">
      <w:pPr>
        <w:ind w:firstLine="640"/>
      </w:pPr>
      <w:r>
        <w:rPr>
          <w:rFonts w:hint="eastAsia"/>
        </w:rPr>
        <w:t>2</w:t>
      </w:r>
      <w:r>
        <w:rPr>
          <w:rFonts w:hint="eastAsia"/>
        </w:rPr>
        <w:t>、</w:t>
      </w:r>
      <w:r>
        <w:t>评价结果分别编入政府决算和部门预算，报送本级人民代表大会常务委员会，并依法予以公开。</w:t>
      </w:r>
      <w:bookmarkEnd w:id="195"/>
      <w:bookmarkEnd w:id="196"/>
    </w:p>
    <w:p w:rsidR="00076447" w:rsidRDefault="005528B5">
      <w:pPr>
        <w:pStyle w:val="2"/>
        <w:ind w:firstLine="640"/>
        <w:rPr>
          <w:rFonts w:ascii="黑体" w:hAnsi="黑体" w:cs="黑体"/>
        </w:rPr>
      </w:pPr>
      <w:r>
        <w:rPr>
          <w:rFonts w:ascii="黑体" w:hAnsi="黑体" w:cs="黑体"/>
        </w:rPr>
        <w:t>八、附件</w:t>
      </w:r>
      <w:bookmarkEnd w:id="197"/>
      <w:bookmarkEnd w:id="198"/>
      <w:bookmarkEnd w:id="199"/>
      <w:bookmarkEnd w:id="200"/>
    </w:p>
    <w:p w:rsidR="00076447" w:rsidRDefault="005528B5">
      <w:pPr>
        <w:ind w:firstLine="640"/>
      </w:pPr>
      <w:r>
        <w:t>1</w:t>
      </w:r>
      <w:r>
        <w:t>、项目支出绩效自评表</w:t>
      </w:r>
    </w:p>
    <w:p w:rsidR="00076447" w:rsidRDefault="005528B5">
      <w:pPr>
        <w:ind w:firstLine="640"/>
        <w:sectPr w:rsidR="00076447">
          <w:footerReference w:type="default" r:id="rId9"/>
          <w:pgSz w:w="11906" w:h="16838"/>
          <w:pgMar w:top="1440" w:right="1800" w:bottom="1440" w:left="1800" w:header="851" w:footer="992" w:gutter="0"/>
          <w:pgNumType w:start="1"/>
          <w:cols w:space="720"/>
          <w:docGrid w:type="lines" w:linePitch="312"/>
        </w:sectPr>
      </w:pPr>
      <w:r>
        <w:t>2</w:t>
      </w:r>
      <w:r>
        <w:t>、项目支出绩效评价指标体系及评分</w:t>
      </w:r>
    </w:p>
    <w:p w:rsidR="00076447" w:rsidRDefault="005528B5">
      <w:pPr>
        <w:pStyle w:val="3"/>
        <w:ind w:firstLineChars="0" w:firstLine="0"/>
        <w:rPr>
          <w:rFonts w:eastAsia="仿宋_GB2312"/>
        </w:rPr>
      </w:pPr>
      <w:bookmarkStart w:id="201" w:name="_Toc28598"/>
      <w:bookmarkStart w:id="202" w:name="_Toc15698"/>
      <w:bookmarkStart w:id="203" w:name="_Toc23167"/>
      <w:r>
        <w:rPr>
          <w:rFonts w:eastAsia="仿宋_GB2312"/>
          <w:bCs/>
          <w:iCs/>
        </w:rPr>
        <w:lastRenderedPageBreak/>
        <w:t>附件</w:t>
      </w:r>
      <w:r>
        <w:rPr>
          <w:rFonts w:eastAsia="仿宋_GB2312"/>
          <w:bCs/>
          <w:iCs/>
        </w:rPr>
        <w:t>1</w:t>
      </w:r>
      <w:r>
        <w:rPr>
          <w:rFonts w:eastAsia="仿宋_GB2312"/>
          <w:bCs/>
          <w:iCs/>
        </w:rPr>
        <w:t>：</w:t>
      </w:r>
      <w:bookmarkEnd w:id="201"/>
      <w:bookmarkEnd w:id="202"/>
      <w:r>
        <w:rPr>
          <w:rFonts w:eastAsia="仿宋_GB2312"/>
        </w:rPr>
        <w:t>项目支出绩效自评表</w:t>
      </w:r>
      <w:bookmarkStart w:id="204" w:name="_Toc1641"/>
      <w:bookmarkStart w:id="205" w:name="_Toc22143"/>
      <w:bookmarkStart w:id="206" w:name="_Toc28099"/>
      <w:bookmarkStart w:id="207" w:name="_Toc5134"/>
      <w:bookmarkEnd w:id="203"/>
    </w:p>
    <w:tbl>
      <w:tblPr>
        <w:tblW w:w="5000" w:type="pct"/>
        <w:tblLook w:val="0600" w:firstRow="0" w:lastRow="0" w:firstColumn="0" w:lastColumn="0" w:noHBand="1" w:noVBand="1"/>
      </w:tblPr>
      <w:tblGrid>
        <w:gridCol w:w="1091"/>
        <w:gridCol w:w="1086"/>
        <w:gridCol w:w="1032"/>
        <w:gridCol w:w="907"/>
        <w:gridCol w:w="987"/>
        <w:gridCol w:w="876"/>
        <w:gridCol w:w="938"/>
        <w:gridCol w:w="882"/>
        <w:gridCol w:w="992"/>
        <w:gridCol w:w="1208"/>
        <w:gridCol w:w="652"/>
        <w:gridCol w:w="275"/>
        <w:gridCol w:w="927"/>
        <w:gridCol w:w="578"/>
        <w:gridCol w:w="249"/>
        <w:gridCol w:w="1494"/>
      </w:tblGrid>
      <w:tr w:rsidR="00076447">
        <w:trPr>
          <w:trHeight w:val="420"/>
        </w:trPr>
        <w:tc>
          <w:tcPr>
            <w:tcW w:w="5000" w:type="pct"/>
            <w:gridSpan w:val="16"/>
            <w:tcBorders>
              <w:top w:val="single" w:sz="4" w:space="0" w:color="auto"/>
              <w:left w:val="single" w:sz="4" w:space="0" w:color="auto"/>
              <w:bottom w:val="single" w:sz="4" w:space="0" w:color="auto"/>
              <w:right w:val="single" w:sz="4" w:space="0" w:color="auto"/>
            </w:tcBorders>
            <w:vAlign w:val="center"/>
          </w:tcPr>
          <w:p w:rsidR="00076447" w:rsidRDefault="005528B5">
            <w:pPr>
              <w:pStyle w:val="a8"/>
              <w:rPr>
                <w:rFonts w:hint="default"/>
              </w:rPr>
            </w:pPr>
            <w:bookmarkStart w:id="208" w:name="_Toc24678"/>
            <w:r>
              <w:t>项目支出绩效自评表</w:t>
            </w:r>
            <w:bookmarkEnd w:id="208"/>
          </w:p>
        </w:tc>
      </w:tr>
      <w:tr w:rsidR="00076447">
        <w:trPr>
          <w:trHeight w:val="315"/>
        </w:trPr>
        <w:tc>
          <w:tcPr>
            <w:tcW w:w="5000" w:type="pct"/>
            <w:gridSpan w:val="16"/>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(2024</w:t>
            </w:r>
            <w:r>
              <w:rPr>
                <w:sz w:val="15"/>
                <w:szCs w:val="15"/>
              </w:rPr>
              <w:t>年度</w:t>
            </w:r>
            <w:r>
              <w:rPr>
                <w:sz w:val="15"/>
                <w:szCs w:val="15"/>
              </w:rPr>
              <w:t>)</w:t>
            </w:r>
          </w:p>
        </w:tc>
      </w:tr>
      <w:tr w:rsidR="00076447">
        <w:trPr>
          <w:trHeight w:val="270"/>
        </w:trPr>
        <w:tc>
          <w:tcPr>
            <w:tcW w:w="768"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项目名称</w:t>
            </w:r>
          </w:p>
        </w:tc>
        <w:tc>
          <w:tcPr>
            <w:tcW w:w="4231" w:type="pct"/>
            <w:gridSpan w:val="14"/>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尉犁县</w:t>
            </w:r>
            <w:r>
              <w:rPr>
                <w:sz w:val="15"/>
                <w:szCs w:val="15"/>
              </w:rPr>
              <w:t>2024</w:t>
            </w:r>
            <w:r>
              <w:rPr>
                <w:sz w:val="15"/>
                <w:szCs w:val="15"/>
              </w:rPr>
              <w:t>年城镇公共租赁住房建设及改造保租房项目</w:t>
            </w:r>
          </w:p>
        </w:tc>
      </w:tr>
      <w:tr w:rsidR="00076447">
        <w:trPr>
          <w:trHeight w:val="600"/>
        </w:trPr>
        <w:tc>
          <w:tcPr>
            <w:tcW w:w="768"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主管部门</w:t>
            </w:r>
          </w:p>
        </w:tc>
        <w:tc>
          <w:tcPr>
            <w:tcW w:w="1672" w:type="pct"/>
            <w:gridSpan w:val="5"/>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尉犁县住房和城乡建设局</w:t>
            </w:r>
          </w:p>
        </w:tc>
        <w:tc>
          <w:tcPr>
            <w:tcW w:w="660"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实施单位</w:t>
            </w:r>
          </w:p>
        </w:tc>
        <w:tc>
          <w:tcPr>
            <w:tcW w:w="1898" w:type="pct"/>
            <w:gridSpan w:val="7"/>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尉犁县住房和城乡建设局</w:t>
            </w:r>
          </w:p>
        </w:tc>
      </w:tr>
      <w:tr w:rsidR="00076447">
        <w:trPr>
          <w:trHeight w:val="440"/>
        </w:trPr>
        <w:tc>
          <w:tcPr>
            <w:tcW w:w="768" w:type="pct"/>
            <w:gridSpan w:val="2"/>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项目资金</w:t>
            </w:r>
            <w:r>
              <w:rPr>
                <w:sz w:val="15"/>
                <w:szCs w:val="15"/>
              </w:rPr>
              <w:br/>
            </w:r>
            <w:r>
              <w:rPr>
                <w:sz w:val="15"/>
                <w:szCs w:val="15"/>
              </w:rPr>
              <w:t>（万元）</w:t>
            </w:r>
          </w:p>
        </w:tc>
        <w:tc>
          <w:tcPr>
            <w:tcW w:w="683"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资金来源</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年初预算数</w:t>
            </w:r>
          </w:p>
        </w:tc>
        <w:tc>
          <w:tcPr>
            <w:tcW w:w="640"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全年预算数</w:t>
            </w:r>
          </w:p>
        </w:tc>
        <w:tc>
          <w:tcPr>
            <w:tcW w:w="660"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全年执行数</w:t>
            </w:r>
          </w:p>
        </w:tc>
        <w:tc>
          <w:tcPr>
            <w:tcW w:w="656"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分值权重</w:t>
            </w:r>
          </w:p>
        </w:tc>
        <w:tc>
          <w:tcPr>
            <w:tcW w:w="628" w:type="pct"/>
            <w:gridSpan w:val="3"/>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执行率</w:t>
            </w:r>
          </w:p>
        </w:tc>
        <w:tc>
          <w:tcPr>
            <w:tcW w:w="613"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得分</w:t>
            </w:r>
          </w:p>
        </w:tc>
      </w:tr>
      <w:tr w:rsidR="00076447">
        <w:trPr>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683"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年度资金总额</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672</w:t>
            </w:r>
            <w:r>
              <w:rPr>
                <w:sz w:val="15"/>
                <w:szCs w:val="15"/>
              </w:rPr>
              <w:t>.00</w:t>
            </w:r>
          </w:p>
        </w:tc>
        <w:tc>
          <w:tcPr>
            <w:tcW w:w="640"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660.00</w:t>
            </w:r>
          </w:p>
        </w:tc>
        <w:tc>
          <w:tcPr>
            <w:tcW w:w="660"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660.00</w:t>
            </w:r>
          </w:p>
        </w:tc>
        <w:tc>
          <w:tcPr>
            <w:tcW w:w="656"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w:t>
            </w:r>
          </w:p>
        </w:tc>
        <w:tc>
          <w:tcPr>
            <w:tcW w:w="628" w:type="pct"/>
            <w:gridSpan w:val="3"/>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100%</w:t>
            </w:r>
          </w:p>
        </w:tc>
        <w:tc>
          <w:tcPr>
            <w:tcW w:w="613"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w:t>
            </w:r>
            <w:r>
              <w:rPr>
                <w:sz w:val="15"/>
                <w:szCs w:val="15"/>
              </w:rPr>
              <w:t>分</w:t>
            </w:r>
          </w:p>
        </w:tc>
      </w:tr>
      <w:tr w:rsidR="00076447">
        <w:trPr>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683"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其中：当年财政拨款</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672</w:t>
            </w:r>
            <w:r>
              <w:rPr>
                <w:sz w:val="15"/>
                <w:szCs w:val="15"/>
              </w:rPr>
              <w:t>.00</w:t>
            </w:r>
          </w:p>
        </w:tc>
        <w:tc>
          <w:tcPr>
            <w:tcW w:w="640"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660.00</w:t>
            </w:r>
          </w:p>
        </w:tc>
        <w:tc>
          <w:tcPr>
            <w:tcW w:w="660"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660.00</w:t>
            </w:r>
          </w:p>
        </w:tc>
        <w:tc>
          <w:tcPr>
            <w:tcW w:w="656"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w:t>
            </w:r>
          </w:p>
        </w:tc>
        <w:tc>
          <w:tcPr>
            <w:tcW w:w="628" w:type="pct"/>
            <w:gridSpan w:val="3"/>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w:t>
            </w:r>
          </w:p>
        </w:tc>
        <w:tc>
          <w:tcPr>
            <w:tcW w:w="613"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w:t>
            </w:r>
          </w:p>
        </w:tc>
      </w:tr>
      <w:tr w:rsidR="00076447">
        <w:trPr>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683"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上年结转资金</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0</w:t>
            </w:r>
          </w:p>
        </w:tc>
        <w:tc>
          <w:tcPr>
            <w:tcW w:w="640"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0</w:t>
            </w:r>
          </w:p>
        </w:tc>
        <w:tc>
          <w:tcPr>
            <w:tcW w:w="660"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0</w:t>
            </w:r>
          </w:p>
        </w:tc>
        <w:tc>
          <w:tcPr>
            <w:tcW w:w="656"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w:t>
            </w:r>
          </w:p>
        </w:tc>
        <w:tc>
          <w:tcPr>
            <w:tcW w:w="628" w:type="pct"/>
            <w:gridSpan w:val="3"/>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w:t>
            </w:r>
          </w:p>
        </w:tc>
        <w:tc>
          <w:tcPr>
            <w:tcW w:w="613"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w:t>
            </w:r>
          </w:p>
        </w:tc>
      </w:tr>
      <w:tr w:rsidR="00076447">
        <w:trPr>
          <w:trHeight w:val="440"/>
        </w:trPr>
        <w:tc>
          <w:tcPr>
            <w:tcW w:w="768" w:type="pct"/>
            <w:gridSpan w:val="2"/>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683"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其他资金</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0</w:t>
            </w:r>
          </w:p>
        </w:tc>
        <w:tc>
          <w:tcPr>
            <w:tcW w:w="640"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0</w:t>
            </w:r>
          </w:p>
        </w:tc>
        <w:tc>
          <w:tcPr>
            <w:tcW w:w="660"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0</w:t>
            </w:r>
          </w:p>
        </w:tc>
        <w:tc>
          <w:tcPr>
            <w:tcW w:w="656"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w:t>
            </w:r>
          </w:p>
        </w:tc>
        <w:tc>
          <w:tcPr>
            <w:tcW w:w="628" w:type="pct"/>
            <w:gridSpan w:val="3"/>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w:t>
            </w:r>
          </w:p>
        </w:tc>
        <w:tc>
          <w:tcPr>
            <w:tcW w:w="613"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w:t>
            </w:r>
          </w:p>
        </w:tc>
      </w:tr>
      <w:tr w:rsidR="00076447">
        <w:trPr>
          <w:trHeight w:val="600"/>
        </w:trPr>
        <w:tc>
          <w:tcPr>
            <w:tcW w:w="385"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年度总体目标</w:t>
            </w:r>
          </w:p>
        </w:tc>
        <w:tc>
          <w:tcPr>
            <w:tcW w:w="2716" w:type="pct"/>
            <w:gridSpan w:val="8"/>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总体目标</w:t>
            </w:r>
          </w:p>
        </w:tc>
        <w:tc>
          <w:tcPr>
            <w:tcW w:w="1898" w:type="pct"/>
            <w:gridSpan w:val="7"/>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总体目标完成情况</w:t>
            </w:r>
          </w:p>
        </w:tc>
      </w:tr>
      <w:tr w:rsidR="00076447">
        <w:trPr>
          <w:trHeight w:val="1260"/>
        </w:trPr>
        <w:tc>
          <w:tcPr>
            <w:tcW w:w="385"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2716" w:type="pct"/>
            <w:gridSpan w:val="8"/>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通过加大尉犁县保障性安居工程建设的力度，维护社会稳定，形成优越的投资环境，促进尉犁县社会经济的发展，从而带动新疆区域经济的快速发展，新建公租房</w:t>
            </w:r>
            <w:r>
              <w:rPr>
                <w:sz w:val="15"/>
                <w:szCs w:val="15"/>
              </w:rPr>
              <w:t xml:space="preserve"> 132 </w:t>
            </w:r>
            <w:r>
              <w:rPr>
                <w:sz w:val="15"/>
                <w:szCs w:val="15"/>
              </w:rPr>
              <w:t>套，建筑面积</w:t>
            </w:r>
            <w:r>
              <w:rPr>
                <w:sz w:val="15"/>
                <w:szCs w:val="15"/>
              </w:rPr>
              <w:t>6600</w:t>
            </w:r>
            <w:r>
              <w:rPr>
                <w:sz w:val="15"/>
                <w:szCs w:val="15"/>
              </w:rPr>
              <w:t>平方米，以及水、电、气、暖、管网等配套附属设施及基础设施，保质保量完成</w:t>
            </w:r>
            <w:r>
              <w:rPr>
                <w:sz w:val="15"/>
                <w:szCs w:val="15"/>
              </w:rPr>
              <w:t>336</w:t>
            </w:r>
            <w:r>
              <w:rPr>
                <w:sz w:val="15"/>
                <w:szCs w:val="15"/>
              </w:rPr>
              <w:t>户保障性安居工程建设。</w:t>
            </w:r>
          </w:p>
        </w:tc>
        <w:tc>
          <w:tcPr>
            <w:tcW w:w="1898" w:type="pct"/>
            <w:gridSpan w:val="7"/>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已完成</w:t>
            </w:r>
            <w:r>
              <w:rPr>
                <w:sz w:val="15"/>
                <w:szCs w:val="15"/>
              </w:rPr>
              <w:t>336</w:t>
            </w:r>
            <w:r>
              <w:rPr>
                <w:sz w:val="15"/>
                <w:szCs w:val="15"/>
              </w:rPr>
              <w:t>套保障性租赁住房改造项目，</w:t>
            </w:r>
            <w:r>
              <w:rPr>
                <w:sz w:val="15"/>
                <w:szCs w:val="15"/>
              </w:rPr>
              <w:t>132</w:t>
            </w:r>
            <w:r>
              <w:rPr>
                <w:sz w:val="15"/>
                <w:szCs w:val="15"/>
              </w:rPr>
              <w:t>套新建公租房项目已全部开工，完成基础工程。项目的实施加大尉犁县保障性安居工程建设的力度，维护社会稳定。</w:t>
            </w:r>
          </w:p>
        </w:tc>
      </w:tr>
      <w:tr w:rsidR="00076447">
        <w:trPr>
          <w:trHeight w:val="994"/>
        </w:trPr>
        <w:tc>
          <w:tcPr>
            <w:tcW w:w="385"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83"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一级指标</w:t>
            </w:r>
          </w:p>
        </w:tc>
        <w:tc>
          <w:tcPr>
            <w:tcW w:w="364"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二级指标</w:t>
            </w:r>
          </w:p>
        </w:tc>
        <w:tc>
          <w:tcPr>
            <w:tcW w:w="31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三级指标</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指标值</w:t>
            </w:r>
          </w:p>
        </w:tc>
        <w:tc>
          <w:tcPr>
            <w:tcW w:w="30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指标值设置依据</w:t>
            </w:r>
          </w:p>
        </w:tc>
        <w:tc>
          <w:tcPr>
            <w:tcW w:w="33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上年完成值</w:t>
            </w:r>
          </w:p>
        </w:tc>
        <w:tc>
          <w:tcPr>
            <w:tcW w:w="31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指标分值权重</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指标赋分规则</w:t>
            </w:r>
          </w:p>
        </w:tc>
        <w:tc>
          <w:tcPr>
            <w:tcW w:w="426"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佐证资料</w:t>
            </w:r>
          </w:p>
        </w:tc>
        <w:tc>
          <w:tcPr>
            <w:tcW w:w="327"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指标实际完成值</w:t>
            </w:r>
          </w:p>
        </w:tc>
        <w:tc>
          <w:tcPr>
            <w:tcW w:w="327"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完成率</w:t>
            </w:r>
          </w:p>
        </w:tc>
        <w:tc>
          <w:tcPr>
            <w:tcW w:w="292"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指标得分</w:t>
            </w:r>
          </w:p>
        </w:tc>
        <w:tc>
          <w:tcPr>
            <w:tcW w:w="525"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偏差原因分析及改进措施</w:t>
            </w:r>
          </w:p>
        </w:tc>
      </w:tr>
      <w:tr w:rsidR="00076447">
        <w:trPr>
          <w:trHeight w:val="600"/>
        </w:trPr>
        <w:tc>
          <w:tcPr>
            <w:tcW w:w="385"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年度绩效指标完成情况</w:t>
            </w:r>
          </w:p>
        </w:tc>
        <w:tc>
          <w:tcPr>
            <w:tcW w:w="383"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产出指标</w:t>
            </w:r>
          </w:p>
        </w:tc>
        <w:tc>
          <w:tcPr>
            <w:tcW w:w="364"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数量指标</w:t>
            </w:r>
          </w:p>
        </w:tc>
        <w:tc>
          <w:tcPr>
            <w:tcW w:w="31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新建公租房数量</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&gt;=132</w:t>
            </w:r>
            <w:r>
              <w:rPr>
                <w:sz w:val="15"/>
                <w:szCs w:val="15"/>
              </w:rPr>
              <w:t>套</w:t>
            </w:r>
          </w:p>
        </w:tc>
        <w:tc>
          <w:tcPr>
            <w:tcW w:w="30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计划标准</w:t>
            </w:r>
          </w:p>
        </w:tc>
        <w:tc>
          <w:tcPr>
            <w:tcW w:w="33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w:t>
            </w:r>
          </w:p>
        </w:tc>
        <w:tc>
          <w:tcPr>
            <w:tcW w:w="31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8</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按照</w:t>
            </w:r>
            <w:r>
              <w:rPr>
                <w:sz w:val="15"/>
                <w:szCs w:val="15"/>
              </w:rPr>
              <w:t>完成</w:t>
            </w:r>
            <w:r>
              <w:rPr>
                <w:sz w:val="15"/>
                <w:szCs w:val="15"/>
              </w:rPr>
              <w:t>比例赋分</w:t>
            </w:r>
          </w:p>
        </w:tc>
        <w:tc>
          <w:tcPr>
            <w:tcW w:w="426"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工作资料</w:t>
            </w:r>
          </w:p>
        </w:tc>
        <w:tc>
          <w:tcPr>
            <w:tcW w:w="327"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=132</w:t>
            </w:r>
            <w:r>
              <w:rPr>
                <w:sz w:val="15"/>
                <w:szCs w:val="15"/>
              </w:rPr>
              <w:t>套</w:t>
            </w:r>
          </w:p>
        </w:tc>
        <w:tc>
          <w:tcPr>
            <w:tcW w:w="327"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100%</w:t>
            </w:r>
          </w:p>
        </w:tc>
        <w:tc>
          <w:tcPr>
            <w:tcW w:w="292"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8</w:t>
            </w:r>
          </w:p>
        </w:tc>
        <w:tc>
          <w:tcPr>
            <w:tcW w:w="525"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r>
      <w:tr w:rsidR="00076447">
        <w:trPr>
          <w:trHeight w:val="600"/>
        </w:trPr>
        <w:tc>
          <w:tcPr>
            <w:tcW w:w="385"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83"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64"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质量指标</w:t>
            </w:r>
          </w:p>
        </w:tc>
        <w:tc>
          <w:tcPr>
            <w:tcW w:w="31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改造保租房住房数量</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&gt;=336</w:t>
            </w:r>
            <w:r>
              <w:rPr>
                <w:sz w:val="15"/>
                <w:szCs w:val="15"/>
              </w:rPr>
              <w:t>套</w:t>
            </w:r>
          </w:p>
        </w:tc>
        <w:tc>
          <w:tcPr>
            <w:tcW w:w="30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计划标准</w:t>
            </w:r>
          </w:p>
        </w:tc>
        <w:tc>
          <w:tcPr>
            <w:tcW w:w="33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w:t>
            </w:r>
          </w:p>
        </w:tc>
        <w:tc>
          <w:tcPr>
            <w:tcW w:w="31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8</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rPr>
                <w:rFonts w:hint="default"/>
                <w:sz w:val="15"/>
                <w:szCs w:val="15"/>
              </w:rPr>
            </w:pPr>
            <w:r>
              <w:rPr>
                <w:sz w:val="15"/>
                <w:szCs w:val="15"/>
              </w:rPr>
              <w:t>按照</w:t>
            </w:r>
            <w:r>
              <w:rPr>
                <w:sz w:val="15"/>
                <w:szCs w:val="15"/>
              </w:rPr>
              <w:t>完成</w:t>
            </w:r>
            <w:r>
              <w:rPr>
                <w:sz w:val="15"/>
                <w:szCs w:val="15"/>
              </w:rPr>
              <w:t>比例赋分</w:t>
            </w:r>
          </w:p>
        </w:tc>
        <w:tc>
          <w:tcPr>
            <w:tcW w:w="426"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工作资料</w:t>
            </w:r>
          </w:p>
        </w:tc>
        <w:tc>
          <w:tcPr>
            <w:tcW w:w="327"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=336</w:t>
            </w:r>
            <w:r>
              <w:rPr>
                <w:sz w:val="15"/>
                <w:szCs w:val="15"/>
              </w:rPr>
              <w:t>套</w:t>
            </w:r>
          </w:p>
        </w:tc>
        <w:tc>
          <w:tcPr>
            <w:tcW w:w="327"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100%</w:t>
            </w:r>
          </w:p>
        </w:tc>
        <w:tc>
          <w:tcPr>
            <w:tcW w:w="292"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8</w:t>
            </w:r>
          </w:p>
        </w:tc>
        <w:tc>
          <w:tcPr>
            <w:tcW w:w="525"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r>
      <w:tr w:rsidR="00076447">
        <w:trPr>
          <w:trHeight w:val="600"/>
        </w:trPr>
        <w:tc>
          <w:tcPr>
            <w:tcW w:w="385"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83"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64"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质量指标</w:t>
            </w:r>
          </w:p>
        </w:tc>
        <w:tc>
          <w:tcPr>
            <w:tcW w:w="31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工程质量符合标准率</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计划标准</w:t>
            </w:r>
          </w:p>
        </w:tc>
        <w:tc>
          <w:tcPr>
            <w:tcW w:w="33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w:t>
            </w:r>
          </w:p>
        </w:tc>
        <w:tc>
          <w:tcPr>
            <w:tcW w:w="31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8</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rPr>
                <w:rFonts w:hint="default"/>
                <w:sz w:val="15"/>
                <w:szCs w:val="15"/>
              </w:rPr>
            </w:pPr>
            <w:r>
              <w:rPr>
                <w:sz w:val="15"/>
                <w:szCs w:val="15"/>
              </w:rPr>
              <w:t>按照</w:t>
            </w:r>
            <w:r>
              <w:rPr>
                <w:sz w:val="15"/>
                <w:szCs w:val="15"/>
              </w:rPr>
              <w:t>完成</w:t>
            </w:r>
            <w:r>
              <w:rPr>
                <w:sz w:val="15"/>
                <w:szCs w:val="15"/>
              </w:rPr>
              <w:t>比例赋分</w:t>
            </w:r>
          </w:p>
        </w:tc>
        <w:tc>
          <w:tcPr>
            <w:tcW w:w="426"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工作资料</w:t>
            </w:r>
          </w:p>
        </w:tc>
        <w:tc>
          <w:tcPr>
            <w:tcW w:w="327"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=100%</w:t>
            </w:r>
          </w:p>
        </w:tc>
        <w:tc>
          <w:tcPr>
            <w:tcW w:w="327"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100%</w:t>
            </w:r>
          </w:p>
        </w:tc>
        <w:tc>
          <w:tcPr>
            <w:tcW w:w="292"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8</w:t>
            </w:r>
          </w:p>
        </w:tc>
        <w:tc>
          <w:tcPr>
            <w:tcW w:w="525"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r>
      <w:tr w:rsidR="00076447">
        <w:trPr>
          <w:trHeight w:val="600"/>
        </w:trPr>
        <w:tc>
          <w:tcPr>
            <w:tcW w:w="385"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83"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64"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时效指标</w:t>
            </w:r>
          </w:p>
        </w:tc>
        <w:tc>
          <w:tcPr>
            <w:tcW w:w="31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项目按计划开工率</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计划标准</w:t>
            </w:r>
          </w:p>
        </w:tc>
        <w:tc>
          <w:tcPr>
            <w:tcW w:w="33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w:t>
            </w:r>
          </w:p>
        </w:tc>
        <w:tc>
          <w:tcPr>
            <w:tcW w:w="31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8</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rPr>
                <w:rFonts w:hint="default"/>
                <w:sz w:val="15"/>
                <w:szCs w:val="15"/>
              </w:rPr>
            </w:pPr>
            <w:r>
              <w:rPr>
                <w:sz w:val="15"/>
                <w:szCs w:val="15"/>
              </w:rPr>
              <w:t>按照</w:t>
            </w:r>
            <w:r>
              <w:rPr>
                <w:sz w:val="15"/>
                <w:szCs w:val="15"/>
              </w:rPr>
              <w:t>完成</w:t>
            </w:r>
            <w:r>
              <w:rPr>
                <w:sz w:val="15"/>
                <w:szCs w:val="15"/>
              </w:rPr>
              <w:t>比例赋分</w:t>
            </w:r>
          </w:p>
        </w:tc>
        <w:tc>
          <w:tcPr>
            <w:tcW w:w="426"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工作资料</w:t>
            </w:r>
          </w:p>
        </w:tc>
        <w:tc>
          <w:tcPr>
            <w:tcW w:w="327"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=100%</w:t>
            </w:r>
          </w:p>
        </w:tc>
        <w:tc>
          <w:tcPr>
            <w:tcW w:w="327"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100%</w:t>
            </w:r>
          </w:p>
        </w:tc>
        <w:tc>
          <w:tcPr>
            <w:tcW w:w="292"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8</w:t>
            </w:r>
          </w:p>
        </w:tc>
        <w:tc>
          <w:tcPr>
            <w:tcW w:w="525"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r>
      <w:tr w:rsidR="00076447">
        <w:trPr>
          <w:trHeight w:val="600"/>
        </w:trPr>
        <w:tc>
          <w:tcPr>
            <w:tcW w:w="385"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83"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64"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时效指标</w:t>
            </w:r>
          </w:p>
        </w:tc>
        <w:tc>
          <w:tcPr>
            <w:tcW w:w="31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项目计划完工时间</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2025</w:t>
            </w:r>
            <w:r>
              <w:rPr>
                <w:sz w:val="15"/>
                <w:szCs w:val="15"/>
              </w:rPr>
              <w:t>年</w:t>
            </w:r>
            <w:r>
              <w:rPr>
                <w:sz w:val="15"/>
                <w:szCs w:val="15"/>
              </w:rPr>
              <w:t>9</w:t>
            </w:r>
            <w:r>
              <w:rPr>
                <w:sz w:val="15"/>
                <w:szCs w:val="15"/>
              </w:rPr>
              <w:t>月</w:t>
            </w:r>
            <w:r>
              <w:rPr>
                <w:sz w:val="15"/>
                <w:szCs w:val="15"/>
              </w:rPr>
              <w:t>27</w:t>
            </w:r>
            <w:r>
              <w:rPr>
                <w:sz w:val="15"/>
                <w:szCs w:val="15"/>
              </w:rPr>
              <w:t>日前</w:t>
            </w:r>
          </w:p>
        </w:tc>
        <w:tc>
          <w:tcPr>
            <w:tcW w:w="30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计划标准</w:t>
            </w:r>
          </w:p>
        </w:tc>
        <w:tc>
          <w:tcPr>
            <w:tcW w:w="33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w:t>
            </w:r>
          </w:p>
        </w:tc>
        <w:tc>
          <w:tcPr>
            <w:tcW w:w="31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8</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rPr>
                <w:rFonts w:hint="default"/>
                <w:sz w:val="15"/>
                <w:szCs w:val="15"/>
              </w:rPr>
            </w:pPr>
            <w:r>
              <w:rPr>
                <w:sz w:val="15"/>
                <w:szCs w:val="15"/>
              </w:rPr>
              <w:t>按照</w:t>
            </w:r>
            <w:r>
              <w:rPr>
                <w:sz w:val="15"/>
                <w:szCs w:val="15"/>
              </w:rPr>
              <w:t>完成</w:t>
            </w:r>
            <w:r>
              <w:rPr>
                <w:sz w:val="15"/>
                <w:szCs w:val="15"/>
              </w:rPr>
              <w:t>比例赋分</w:t>
            </w:r>
          </w:p>
        </w:tc>
        <w:tc>
          <w:tcPr>
            <w:tcW w:w="426"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工作资料</w:t>
            </w:r>
          </w:p>
        </w:tc>
        <w:tc>
          <w:tcPr>
            <w:tcW w:w="327"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2025</w:t>
            </w:r>
            <w:r>
              <w:rPr>
                <w:sz w:val="15"/>
                <w:szCs w:val="15"/>
              </w:rPr>
              <w:t>年</w:t>
            </w:r>
            <w:r>
              <w:rPr>
                <w:sz w:val="15"/>
                <w:szCs w:val="15"/>
              </w:rPr>
              <w:t>9</w:t>
            </w:r>
            <w:r>
              <w:rPr>
                <w:sz w:val="15"/>
                <w:szCs w:val="15"/>
              </w:rPr>
              <w:t>月</w:t>
            </w:r>
            <w:r>
              <w:rPr>
                <w:sz w:val="15"/>
                <w:szCs w:val="15"/>
              </w:rPr>
              <w:t>27</w:t>
            </w:r>
            <w:r>
              <w:rPr>
                <w:sz w:val="15"/>
                <w:szCs w:val="15"/>
              </w:rPr>
              <w:t>日</w:t>
            </w:r>
          </w:p>
        </w:tc>
        <w:tc>
          <w:tcPr>
            <w:tcW w:w="327"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100%</w:t>
            </w:r>
          </w:p>
        </w:tc>
        <w:tc>
          <w:tcPr>
            <w:tcW w:w="292"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8</w:t>
            </w:r>
          </w:p>
        </w:tc>
        <w:tc>
          <w:tcPr>
            <w:tcW w:w="525"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r>
      <w:tr w:rsidR="00076447">
        <w:trPr>
          <w:trHeight w:val="600"/>
        </w:trPr>
        <w:tc>
          <w:tcPr>
            <w:tcW w:w="385"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83"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成本指标</w:t>
            </w:r>
          </w:p>
        </w:tc>
        <w:tc>
          <w:tcPr>
            <w:tcW w:w="364"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经济成本指标</w:t>
            </w:r>
          </w:p>
        </w:tc>
        <w:tc>
          <w:tcPr>
            <w:tcW w:w="31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中央预算内投资计划新建配租型保障性住房成本</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&lt;=494</w:t>
            </w:r>
            <w:r>
              <w:rPr>
                <w:sz w:val="15"/>
                <w:szCs w:val="15"/>
              </w:rPr>
              <w:t>万元</w:t>
            </w:r>
          </w:p>
        </w:tc>
        <w:tc>
          <w:tcPr>
            <w:tcW w:w="30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计划标准</w:t>
            </w:r>
          </w:p>
        </w:tc>
        <w:tc>
          <w:tcPr>
            <w:tcW w:w="33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w:t>
            </w:r>
          </w:p>
        </w:tc>
        <w:tc>
          <w:tcPr>
            <w:tcW w:w="31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rPr>
                <w:rFonts w:hint="default"/>
                <w:sz w:val="15"/>
                <w:szCs w:val="15"/>
              </w:rPr>
            </w:pPr>
            <w:r>
              <w:rPr>
                <w:sz w:val="15"/>
                <w:szCs w:val="15"/>
              </w:rPr>
              <w:t>按照</w:t>
            </w:r>
            <w:r>
              <w:rPr>
                <w:sz w:val="15"/>
                <w:szCs w:val="15"/>
              </w:rPr>
              <w:t>完成</w:t>
            </w:r>
            <w:r>
              <w:rPr>
                <w:sz w:val="15"/>
                <w:szCs w:val="15"/>
              </w:rPr>
              <w:t>比例赋分</w:t>
            </w:r>
          </w:p>
        </w:tc>
        <w:tc>
          <w:tcPr>
            <w:tcW w:w="426"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原始凭证</w:t>
            </w:r>
          </w:p>
        </w:tc>
        <w:tc>
          <w:tcPr>
            <w:tcW w:w="327"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=494</w:t>
            </w:r>
            <w:r>
              <w:rPr>
                <w:sz w:val="15"/>
                <w:szCs w:val="15"/>
              </w:rPr>
              <w:t>万元</w:t>
            </w:r>
          </w:p>
        </w:tc>
        <w:tc>
          <w:tcPr>
            <w:tcW w:w="327"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100%</w:t>
            </w:r>
          </w:p>
        </w:tc>
        <w:tc>
          <w:tcPr>
            <w:tcW w:w="292"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w:t>
            </w:r>
          </w:p>
        </w:tc>
        <w:tc>
          <w:tcPr>
            <w:tcW w:w="525"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r>
      <w:tr w:rsidR="00076447">
        <w:trPr>
          <w:trHeight w:val="600"/>
        </w:trPr>
        <w:tc>
          <w:tcPr>
            <w:tcW w:w="385"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83"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64"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经济成本指标</w:t>
            </w:r>
          </w:p>
        </w:tc>
        <w:tc>
          <w:tcPr>
            <w:tcW w:w="31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中央预算内投资计划改造保租房住房成本</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&lt;=166</w:t>
            </w:r>
            <w:r>
              <w:rPr>
                <w:sz w:val="15"/>
                <w:szCs w:val="15"/>
              </w:rPr>
              <w:t>万元</w:t>
            </w:r>
          </w:p>
        </w:tc>
        <w:tc>
          <w:tcPr>
            <w:tcW w:w="30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计划标准</w:t>
            </w:r>
          </w:p>
        </w:tc>
        <w:tc>
          <w:tcPr>
            <w:tcW w:w="33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w:t>
            </w:r>
          </w:p>
        </w:tc>
        <w:tc>
          <w:tcPr>
            <w:tcW w:w="31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rPr>
                <w:rFonts w:hint="default"/>
                <w:sz w:val="15"/>
                <w:szCs w:val="15"/>
              </w:rPr>
            </w:pPr>
            <w:r>
              <w:rPr>
                <w:sz w:val="15"/>
                <w:szCs w:val="15"/>
              </w:rPr>
              <w:t>按照</w:t>
            </w:r>
            <w:r>
              <w:rPr>
                <w:sz w:val="15"/>
                <w:szCs w:val="15"/>
              </w:rPr>
              <w:t>完成</w:t>
            </w:r>
            <w:r>
              <w:rPr>
                <w:sz w:val="15"/>
                <w:szCs w:val="15"/>
              </w:rPr>
              <w:t>比例赋分</w:t>
            </w:r>
          </w:p>
        </w:tc>
        <w:tc>
          <w:tcPr>
            <w:tcW w:w="426"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原始凭证</w:t>
            </w:r>
          </w:p>
        </w:tc>
        <w:tc>
          <w:tcPr>
            <w:tcW w:w="327"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=166</w:t>
            </w:r>
            <w:r>
              <w:rPr>
                <w:sz w:val="15"/>
                <w:szCs w:val="15"/>
              </w:rPr>
              <w:t>万元</w:t>
            </w:r>
          </w:p>
        </w:tc>
        <w:tc>
          <w:tcPr>
            <w:tcW w:w="327"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100%</w:t>
            </w:r>
          </w:p>
        </w:tc>
        <w:tc>
          <w:tcPr>
            <w:tcW w:w="292"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w:t>
            </w:r>
          </w:p>
        </w:tc>
        <w:tc>
          <w:tcPr>
            <w:tcW w:w="525"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r>
      <w:tr w:rsidR="00076447">
        <w:trPr>
          <w:trHeight w:val="600"/>
        </w:trPr>
        <w:tc>
          <w:tcPr>
            <w:tcW w:w="385"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83"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效益指标</w:t>
            </w:r>
          </w:p>
        </w:tc>
        <w:tc>
          <w:tcPr>
            <w:tcW w:w="364"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社会效益指标</w:t>
            </w:r>
          </w:p>
        </w:tc>
        <w:tc>
          <w:tcPr>
            <w:tcW w:w="31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提高群众幸福感、获得感</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有效提高</w:t>
            </w:r>
          </w:p>
        </w:tc>
        <w:tc>
          <w:tcPr>
            <w:tcW w:w="30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计划标准</w:t>
            </w:r>
          </w:p>
        </w:tc>
        <w:tc>
          <w:tcPr>
            <w:tcW w:w="33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w:t>
            </w:r>
          </w:p>
        </w:tc>
        <w:tc>
          <w:tcPr>
            <w:tcW w:w="31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20</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按评判等级赋分</w:t>
            </w:r>
          </w:p>
        </w:tc>
        <w:tc>
          <w:tcPr>
            <w:tcW w:w="426"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工作资料</w:t>
            </w:r>
          </w:p>
        </w:tc>
        <w:tc>
          <w:tcPr>
            <w:tcW w:w="327"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达成目标</w:t>
            </w:r>
          </w:p>
        </w:tc>
        <w:tc>
          <w:tcPr>
            <w:tcW w:w="327"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100%</w:t>
            </w:r>
          </w:p>
        </w:tc>
        <w:tc>
          <w:tcPr>
            <w:tcW w:w="292"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20</w:t>
            </w:r>
          </w:p>
        </w:tc>
        <w:tc>
          <w:tcPr>
            <w:tcW w:w="525"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r>
      <w:tr w:rsidR="00076447">
        <w:trPr>
          <w:trHeight w:val="600"/>
        </w:trPr>
        <w:tc>
          <w:tcPr>
            <w:tcW w:w="385"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83"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满意度指标</w:t>
            </w:r>
          </w:p>
        </w:tc>
        <w:tc>
          <w:tcPr>
            <w:tcW w:w="364"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满意度指标</w:t>
            </w:r>
          </w:p>
        </w:tc>
        <w:tc>
          <w:tcPr>
            <w:tcW w:w="31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保障性安居工程居民满意度</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&gt;=80%</w:t>
            </w:r>
          </w:p>
        </w:tc>
        <w:tc>
          <w:tcPr>
            <w:tcW w:w="309"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计划标准</w:t>
            </w:r>
          </w:p>
        </w:tc>
        <w:tc>
          <w:tcPr>
            <w:tcW w:w="33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w:t>
            </w:r>
          </w:p>
        </w:tc>
        <w:tc>
          <w:tcPr>
            <w:tcW w:w="311"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按评判等级赋分</w:t>
            </w:r>
          </w:p>
        </w:tc>
        <w:tc>
          <w:tcPr>
            <w:tcW w:w="426"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工作资料</w:t>
            </w:r>
          </w:p>
        </w:tc>
        <w:tc>
          <w:tcPr>
            <w:tcW w:w="327"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=80%</w:t>
            </w:r>
          </w:p>
        </w:tc>
        <w:tc>
          <w:tcPr>
            <w:tcW w:w="327"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100%</w:t>
            </w:r>
          </w:p>
        </w:tc>
        <w:tc>
          <w:tcPr>
            <w:tcW w:w="292"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w:t>
            </w:r>
          </w:p>
        </w:tc>
        <w:tc>
          <w:tcPr>
            <w:tcW w:w="525"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r>
      <w:tr w:rsidR="00076447">
        <w:trPr>
          <w:trHeight w:val="600"/>
        </w:trPr>
        <w:tc>
          <w:tcPr>
            <w:tcW w:w="385"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83"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64"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满意度指标</w:t>
            </w:r>
          </w:p>
        </w:tc>
        <w:tc>
          <w:tcPr>
            <w:tcW w:w="319"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09"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31"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11"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426"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27" w:type="pct"/>
            <w:gridSpan w:val="2"/>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27"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292" w:type="pct"/>
            <w:gridSpan w:val="2"/>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525"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r>
      <w:tr w:rsidR="00076447">
        <w:trPr>
          <w:trHeight w:val="500"/>
        </w:trPr>
        <w:tc>
          <w:tcPr>
            <w:tcW w:w="1452" w:type="pct"/>
            <w:gridSpan w:val="4"/>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总分</w:t>
            </w: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09"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31"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11"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48"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426"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27" w:type="pct"/>
            <w:gridSpan w:val="2"/>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327"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c>
          <w:tcPr>
            <w:tcW w:w="292" w:type="pct"/>
            <w:gridSpan w:val="2"/>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rPr>
                <w:rFonts w:hint="default"/>
                <w:sz w:val="15"/>
                <w:szCs w:val="15"/>
              </w:rPr>
            </w:pPr>
            <w:r>
              <w:rPr>
                <w:sz w:val="15"/>
                <w:szCs w:val="15"/>
              </w:rPr>
              <w:t>100</w:t>
            </w:r>
            <w:r>
              <w:rPr>
                <w:sz w:val="15"/>
                <w:szCs w:val="15"/>
              </w:rPr>
              <w:t>分</w:t>
            </w:r>
          </w:p>
        </w:tc>
        <w:tc>
          <w:tcPr>
            <w:tcW w:w="525" w:type="pct"/>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rPr>
                <w:rFonts w:hint="default"/>
                <w:sz w:val="15"/>
                <w:szCs w:val="15"/>
              </w:rPr>
            </w:pPr>
          </w:p>
        </w:tc>
      </w:tr>
    </w:tbl>
    <w:p w:rsidR="00076447" w:rsidRDefault="00076447">
      <w:pPr>
        <w:ind w:firstLine="640"/>
        <w:sectPr w:rsidR="00076447">
          <w:pgSz w:w="16838" w:h="11906" w:orient="landscape"/>
          <w:pgMar w:top="1800" w:right="1440" w:bottom="1800" w:left="1440" w:header="851" w:footer="992" w:gutter="0"/>
          <w:cols w:space="720"/>
          <w:docGrid w:type="lines" w:linePitch="312"/>
        </w:sectPr>
      </w:pPr>
    </w:p>
    <w:p w:rsidR="00076447" w:rsidRDefault="005528B5">
      <w:pPr>
        <w:pStyle w:val="2"/>
        <w:ind w:firstLine="640"/>
        <w:rPr>
          <w:rFonts w:eastAsia="仿宋_GB2312"/>
        </w:rPr>
      </w:pPr>
      <w:bookmarkStart w:id="209" w:name="_Toc23177"/>
      <w:bookmarkStart w:id="210" w:name="_Toc29757"/>
      <w:bookmarkStart w:id="211" w:name="_Toc31300"/>
      <w:r>
        <w:rPr>
          <w:rFonts w:eastAsia="仿宋_GB2312"/>
        </w:rPr>
        <w:lastRenderedPageBreak/>
        <w:t>附件</w:t>
      </w:r>
      <w:r>
        <w:rPr>
          <w:rFonts w:eastAsia="仿宋_GB2312"/>
        </w:rPr>
        <w:t>2</w:t>
      </w:r>
      <w:r>
        <w:rPr>
          <w:rFonts w:eastAsia="仿宋_GB2312"/>
        </w:rPr>
        <w:t>：</w:t>
      </w:r>
      <w:bookmarkEnd w:id="204"/>
      <w:bookmarkEnd w:id="205"/>
      <w:bookmarkEnd w:id="206"/>
      <w:bookmarkEnd w:id="207"/>
      <w:bookmarkEnd w:id="209"/>
      <w:bookmarkEnd w:id="210"/>
      <w:bookmarkEnd w:id="211"/>
    </w:p>
    <w:p w:rsidR="00076447" w:rsidRDefault="005528B5">
      <w:pPr>
        <w:pStyle w:val="a8"/>
        <w:rPr>
          <w:rFonts w:hint="default"/>
        </w:rPr>
      </w:pPr>
      <w:bookmarkStart w:id="212" w:name="_Toc29561"/>
      <w:bookmarkStart w:id="213" w:name="_Toc331"/>
      <w:bookmarkStart w:id="214" w:name="_Toc28172"/>
      <w:r>
        <w:rPr>
          <w:rFonts w:hint="default"/>
        </w:rPr>
        <w:t>项目支出绩效评价指标体系及评分</w:t>
      </w:r>
      <w:bookmarkEnd w:id="212"/>
      <w:bookmarkEnd w:id="213"/>
      <w:bookmarkEnd w:id="214"/>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076447">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一级</w:t>
            </w:r>
          </w:p>
          <w:p w:rsidR="00076447" w:rsidRDefault="005528B5">
            <w:pPr>
              <w:pStyle w:val="a9"/>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三级</w:t>
            </w:r>
          </w:p>
          <w:p w:rsidR="00076447" w:rsidRDefault="005528B5">
            <w:pPr>
              <w:pStyle w:val="a9"/>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076447" w:rsidRDefault="005528B5">
            <w:pPr>
              <w:pStyle w:val="a9"/>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得分</w:t>
            </w:r>
          </w:p>
        </w:tc>
      </w:tr>
      <w:tr w:rsidR="00076447">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项目立项</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立项依据充分性</w:t>
            </w:r>
          </w:p>
        </w:tc>
        <w:tc>
          <w:tcPr>
            <w:tcW w:w="1123" w:type="pct"/>
            <w:vMerge w:val="restart"/>
            <w:tcBorders>
              <w:top w:val="single" w:sz="4" w:space="0" w:color="auto"/>
              <w:left w:val="single" w:sz="4" w:space="0" w:color="auto"/>
              <w:bottom w:val="single" w:sz="4" w:space="0" w:color="auto"/>
              <w:right w:val="nil"/>
            </w:tcBorders>
            <w:vAlign w:val="center"/>
          </w:tcPr>
          <w:p w:rsidR="00076447" w:rsidRDefault="005528B5">
            <w:pPr>
              <w:pStyle w:val="a9"/>
              <w:spacing w:line="240" w:lineRule="exact"/>
              <w:jc w:val="both"/>
              <w:rPr>
                <w:rFonts w:hint="default"/>
                <w:sz w:val="18"/>
                <w:szCs w:val="18"/>
              </w:rPr>
            </w:pPr>
            <w:r>
              <w:rPr>
                <w:rFonts w:hint="default"/>
                <w:sz w:val="18"/>
                <w:szCs w:val="18"/>
              </w:rPr>
              <w:t>项目立项是否符合法律法规、相关政策、发展规划以及部门职责，用以反映和考核项目立项依据情况。</w:t>
            </w: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3</w:t>
            </w: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①</w:t>
            </w:r>
            <w:r>
              <w:rPr>
                <w:rFonts w:hint="default"/>
                <w:sz w:val="18"/>
                <w:szCs w:val="18"/>
              </w:rPr>
              <w:t>项目立项是否符合国家法律法规、国民经济发展规划和相关政策；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②</w:t>
            </w:r>
            <w:r>
              <w:rPr>
                <w:rFonts w:hint="default"/>
                <w:sz w:val="18"/>
                <w:szCs w:val="18"/>
              </w:rPr>
              <w:t>项目立项是否符合行业发展规划和政策要求；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③</w:t>
            </w:r>
            <w:r>
              <w:rPr>
                <w:rFonts w:hint="default"/>
                <w:sz w:val="18"/>
                <w:szCs w:val="18"/>
              </w:rPr>
              <w:t>项目立项是否与部门职责范围相符，属于部门履职所需；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立项程序规范性</w:t>
            </w:r>
          </w:p>
        </w:tc>
        <w:tc>
          <w:tcPr>
            <w:tcW w:w="1123" w:type="pct"/>
            <w:vMerge w:val="restart"/>
            <w:tcBorders>
              <w:top w:val="single" w:sz="4" w:space="0" w:color="auto"/>
              <w:left w:val="single" w:sz="4" w:space="0" w:color="auto"/>
              <w:bottom w:val="single" w:sz="4" w:space="0" w:color="auto"/>
              <w:right w:val="nil"/>
            </w:tcBorders>
            <w:vAlign w:val="center"/>
          </w:tcPr>
          <w:p w:rsidR="00076447" w:rsidRDefault="005528B5">
            <w:pPr>
              <w:pStyle w:val="a9"/>
              <w:spacing w:line="240" w:lineRule="exact"/>
              <w:jc w:val="both"/>
              <w:rPr>
                <w:rFonts w:hint="default"/>
                <w:sz w:val="18"/>
                <w:szCs w:val="18"/>
              </w:rPr>
            </w:pPr>
            <w:r>
              <w:rPr>
                <w:rFonts w:hint="default"/>
                <w:sz w:val="18"/>
                <w:szCs w:val="18"/>
              </w:rPr>
              <w:t>项目申请、设立过程是否符合相关要求，用以反映和考核项目立项的规范情况。</w:t>
            </w:r>
          </w:p>
        </w:tc>
        <w:tc>
          <w:tcPr>
            <w:tcW w:w="2160" w:type="pct"/>
            <w:tcBorders>
              <w:top w:val="single" w:sz="4" w:space="0" w:color="auto"/>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3</w:t>
            </w:r>
          </w:p>
        </w:tc>
      </w:tr>
      <w:tr w:rsidR="00076447">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076447" w:rsidRDefault="005528B5">
            <w:pPr>
              <w:pStyle w:val="a9"/>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4</w:t>
            </w:r>
          </w:p>
        </w:tc>
      </w:tr>
      <w:tr w:rsidR="00076447">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076447" w:rsidRDefault="005528B5">
            <w:pPr>
              <w:pStyle w:val="a9"/>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4</w:t>
            </w: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②</w:t>
            </w:r>
            <w:r>
              <w:rPr>
                <w:rFonts w:hint="default"/>
                <w:sz w:val="18"/>
                <w:szCs w:val="18"/>
              </w:rPr>
              <w:t>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076447" w:rsidRDefault="005528B5">
            <w:pPr>
              <w:pStyle w:val="a9"/>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4</w:t>
            </w:r>
          </w:p>
        </w:tc>
      </w:tr>
      <w:tr w:rsidR="00076447">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076447" w:rsidRDefault="005528B5">
            <w:pPr>
              <w:pStyle w:val="a9"/>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4</w:t>
            </w:r>
          </w:p>
        </w:tc>
      </w:tr>
      <w:tr w:rsidR="00076447">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076447" w:rsidRDefault="005528B5">
            <w:pPr>
              <w:pStyle w:val="a9"/>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076447" w:rsidRDefault="005528B5">
            <w:pPr>
              <w:pStyle w:val="a9"/>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4</w:t>
            </w: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076447" w:rsidRDefault="005528B5">
            <w:pPr>
              <w:pStyle w:val="a9"/>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4</w:t>
            </w:r>
          </w:p>
        </w:tc>
      </w:tr>
      <w:tr w:rsidR="00076447">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资金使用合规性</w:t>
            </w:r>
          </w:p>
        </w:tc>
        <w:tc>
          <w:tcPr>
            <w:tcW w:w="1123" w:type="pct"/>
            <w:vMerge w:val="restart"/>
            <w:tcBorders>
              <w:top w:val="single" w:sz="4" w:space="0" w:color="auto"/>
              <w:left w:val="single" w:sz="4" w:space="0" w:color="auto"/>
              <w:bottom w:val="single" w:sz="4" w:space="0" w:color="auto"/>
              <w:right w:val="nil"/>
            </w:tcBorders>
            <w:vAlign w:val="center"/>
          </w:tcPr>
          <w:p w:rsidR="00076447" w:rsidRDefault="005528B5">
            <w:pPr>
              <w:pStyle w:val="a9"/>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4</w:t>
            </w: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076447" w:rsidRDefault="005528B5">
            <w:pPr>
              <w:pStyle w:val="a9"/>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3</w:t>
            </w: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②</w:t>
            </w:r>
            <w:r>
              <w:rPr>
                <w:rFonts w:hint="default"/>
                <w:sz w:val="18"/>
                <w:szCs w:val="18"/>
              </w:rPr>
              <w:t>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076447" w:rsidRDefault="005528B5">
            <w:pPr>
              <w:pStyle w:val="a9"/>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3</w:t>
            </w:r>
          </w:p>
        </w:tc>
      </w:tr>
      <w:tr w:rsidR="00076447">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076447" w:rsidRDefault="005528B5">
            <w:pPr>
              <w:pStyle w:val="a9"/>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12</w:t>
            </w: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076447" w:rsidRDefault="005528B5">
            <w:pPr>
              <w:pStyle w:val="a9"/>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12</w:t>
            </w:r>
          </w:p>
        </w:tc>
      </w:tr>
      <w:tr w:rsidR="00076447">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076447" w:rsidRDefault="005528B5">
            <w:pPr>
              <w:pStyle w:val="a9"/>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12</w:t>
            </w: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076447" w:rsidRDefault="005528B5">
            <w:pPr>
              <w:pStyle w:val="a9"/>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076447" w:rsidRDefault="00076447">
            <w:pPr>
              <w:pStyle w:val="a9"/>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4</w:t>
            </w: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076447" w:rsidRDefault="00076447">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76447" w:rsidRDefault="00076447">
            <w:pPr>
              <w:pStyle w:val="a9"/>
              <w:spacing w:line="240" w:lineRule="exact"/>
              <w:jc w:val="both"/>
              <w:rPr>
                <w:rFonts w:hint="default"/>
                <w:sz w:val="18"/>
                <w:szCs w:val="18"/>
              </w:rPr>
            </w:pPr>
          </w:p>
        </w:tc>
      </w:tr>
      <w:tr w:rsidR="00076447">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实施</w:t>
            </w:r>
          </w:p>
          <w:p w:rsidR="00076447" w:rsidRDefault="005528B5">
            <w:pPr>
              <w:pStyle w:val="a9"/>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076447" w:rsidRDefault="005528B5">
            <w:pPr>
              <w:pStyle w:val="a9"/>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10</w:t>
            </w:r>
          </w:p>
        </w:tc>
      </w:tr>
      <w:tr w:rsidR="00076447">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76447" w:rsidRDefault="00076447">
            <w:pPr>
              <w:pStyle w:val="a9"/>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076447" w:rsidRDefault="005528B5">
            <w:pPr>
              <w:pStyle w:val="a9"/>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076447" w:rsidRDefault="005528B5">
            <w:pPr>
              <w:pStyle w:val="a9"/>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10</w:t>
            </w:r>
          </w:p>
        </w:tc>
      </w:tr>
      <w:tr w:rsidR="00076447">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076447" w:rsidRDefault="005528B5">
            <w:pPr>
              <w:pStyle w:val="a9"/>
              <w:spacing w:line="240" w:lineRule="exact"/>
              <w:jc w:val="both"/>
              <w:rPr>
                <w:rFonts w:hint="default"/>
                <w:sz w:val="18"/>
                <w:szCs w:val="18"/>
              </w:rPr>
            </w:pPr>
            <w:r>
              <w:rPr>
                <w:rFonts w:hint="default"/>
                <w:sz w:val="18"/>
                <w:szCs w:val="18"/>
              </w:rPr>
              <w:t>100</w:t>
            </w:r>
          </w:p>
        </w:tc>
      </w:tr>
    </w:tbl>
    <w:p w:rsidR="00076447" w:rsidRDefault="00076447">
      <w:pPr>
        <w:ind w:firstLine="640"/>
      </w:pPr>
    </w:p>
    <w:sectPr w:rsidR="0007644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8B5" w:rsidRDefault="005528B5">
      <w:pPr>
        <w:spacing w:line="240" w:lineRule="auto"/>
        <w:ind w:firstLine="640"/>
      </w:pPr>
      <w:r>
        <w:separator/>
      </w:r>
    </w:p>
  </w:endnote>
  <w:endnote w:type="continuationSeparator" w:id="0">
    <w:p w:rsidR="005528B5" w:rsidRDefault="005528B5">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A10EB75E-4C52-4F19-944C-BCA0250A0F4D}"/>
    <w:embedBold r:id="rId2" w:subsetted="1" w:fontKey="{EBFC7E60-4125-4C61-ABBF-0834AE332049}"/>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A1716CAD-0A23-4CDA-B7DB-385DA7C6F622}"/>
  </w:font>
  <w:font w:name="黑体">
    <w:altName w:val="SimHei"/>
    <w:panose1 w:val="02010600030101010101"/>
    <w:charset w:val="86"/>
    <w:family w:val="auto"/>
    <w:pitch w:val="variable"/>
    <w:sig w:usb0="800002BF" w:usb1="38CF7CFA" w:usb2="00000016" w:usb3="00000000" w:csb0="00040001" w:csb1="00000000"/>
    <w:embedRegular r:id="rId4" w:subsetted="1" w:fontKey="{2B32AA31-AFD9-4710-95FD-B4FD5C47440E}"/>
    <w:embedBold r:id="rId5" w:subsetted="1" w:fontKey="{6FA869AE-E501-4B26-97F7-CD0D52D6E6A5}"/>
  </w:font>
  <w:font w:name="楷体_GB2312">
    <w:altName w:val="楷体"/>
    <w:panose1 w:val="02010609030101010101"/>
    <w:charset w:val="86"/>
    <w:family w:val="modern"/>
    <w:pitch w:val="fixed"/>
    <w:sig w:usb0="00000001" w:usb1="080E0000" w:usb2="00000010" w:usb3="00000000" w:csb0="00040000" w:csb1="00000000"/>
    <w:embedRegular r:id="rId6" w:subsetted="1" w:fontKey="{3E3C43B6-C984-4FCF-98B6-BD6018479BBE}"/>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embedRegular r:id="rId7" w:subsetted="1" w:fontKey="{3BC85D79-E6E3-43B7-90F0-4B7E1ECC59E5}"/>
    <w:embedBold r:id="rId8" w:subsetted="1" w:fontKey="{04AE31FE-4200-4556-BAB6-957E7C7147A8}"/>
  </w:font>
  <w:font w:name="方正仿宋_GBK">
    <w:panose1 w:val="03000509000000000000"/>
    <w:charset w:val="86"/>
    <w:family w:val="script"/>
    <w:pitch w:val="fixed"/>
    <w:sig w:usb0="00000001" w:usb1="080E0000" w:usb2="00000010" w:usb3="00000000" w:csb0="00040000" w:csb1="00000000"/>
    <w:embedRegular r:id="rId9" w:subsetted="1" w:fontKey="{18C054B6-D19B-4D44-8827-00E9F6B97407}"/>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447" w:rsidRDefault="00076447">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447" w:rsidRDefault="005528B5">
    <w:pPr>
      <w:pStyle w:val="a4"/>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076447" w:rsidRDefault="005528B5">
                <w:pPr>
                  <w:pStyle w:val="a4"/>
                  <w:ind w:firstLine="360"/>
                </w:pPr>
                <w:r>
                  <w:fldChar w:fldCharType="begin"/>
                </w:r>
                <w:r>
                  <w:instrText xml:space="preserve"> PAGE  \* MERGEFORMAT </w:instrText>
                </w:r>
                <w:r>
                  <w:fldChar w:fldCharType="separate"/>
                </w:r>
                <w:r w:rsidR="00195E56">
                  <w:rPr>
                    <w:noProof/>
                  </w:rPr>
                  <w:t>19</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8B5" w:rsidRDefault="005528B5">
      <w:pPr>
        <w:spacing w:line="240" w:lineRule="auto"/>
        <w:ind w:firstLine="640"/>
      </w:pPr>
      <w:r>
        <w:separator/>
      </w:r>
    </w:p>
  </w:footnote>
  <w:footnote w:type="continuationSeparator" w:id="0">
    <w:p w:rsidR="005528B5" w:rsidRDefault="005528B5">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308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076447"/>
    <w:rsid w:val="00076447"/>
    <w:rsid w:val="00195E56"/>
    <w:rsid w:val="005528B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4"/>
    <o:shapelayout v:ext="edit">
      <o:idmap v:ext="edit" data="1"/>
    </o:shapelayout>
  </w:shapeDefaults>
  <w:decimalSymbol w:val="."/>
  <w:listSeparator w:val=","/>
  <w15:docId w15:val="{185B3C9C-408C-4437-8527-777CC91D5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semiHidden="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a3">
    <w:name w:val="Body Text"/>
    <w:basedOn w:val="a"/>
    <w:semiHidden/>
    <w:qFormat/>
    <w:rPr>
      <w:rFonts w:ascii="仿宋" w:eastAsia="仿宋" w:hAnsi="仿宋" w:cs="仿宋"/>
      <w:sz w:val="30"/>
      <w:szCs w:val="30"/>
      <w:lang w:eastAsia="en-US"/>
    </w:rPr>
  </w:style>
  <w:style w:type="paragraph" w:styleId="30">
    <w:name w:val="toc 3"/>
    <w:basedOn w:val="a"/>
    <w:next w:val="a"/>
    <w:uiPriority w:val="39"/>
    <w:qFormat/>
    <w:pPr>
      <w:ind w:leftChars="400" w:left="840"/>
    </w:pPr>
  </w:style>
  <w:style w:type="paragraph" w:styleId="a4">
    <w:name w:val="footer"/>
    <w:basedOn w:val="a"/>
    <w:link w:val="Char"/>
    <w:uiPriority w:val="99"/>
    <w:unhideWhenUsed/>
    <w:qFormat/>
    <w:pPr>
      <w:tabs>
        <w:tab w:val="center" w:pos="4153"/>
        <w:tab w:val="right" w:pos="8306"/>
      </w:tabs>
      <w:snapToGrid w:val="0"/>
      <w:jc w:val="left"/>
    </w:pPr>
    <w:rPr>
      <w:sz w:val="18"/>
    </w:rPr>
  </w:style>
  <w:style w:type="paragraph" w:styleId="a5">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qFormat/>
    <w:rPr>
      <w:b/>
    </w:rPr>
  </w:style>
  <w:style w:type="character" w:customStyle="1" w:styleId="2Char">
    <w:name w:val="标题 2 Char"/>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imes New Roman"/>
      <w:b/>
      <w:kern w:val="2"/>
      <w:sz w:val="32"/>
      <w:szCs w:val="22"/>
    </w:rPr>
  </w:style>
  <w:style w:type="character" w:customStyle="1" w:styleId="Char">
    <w:name w:val="页脚 Char"/>
    <w:link w:val="a4"/>
    <w:uiPriority w:val="99"/>
    <w:rPr>
      <w:rFonts w:eastAsia="仿宋_GB2312" w:cs="Times New Roman"/>
      <w:kern w:val="2"/>
      <w:sz w:val="18"/>
      <w:szCs w:val="22"/>
    </w:rPr>
  </w:style>
  <w:style w:type="character" w:customStyle="1" w:styleId="Char0">
    <w:name w:val="页眉 Char"/>
    <w:link w:val="a5"/>
    <w:uiPriority w:val="99"/>
    <w:rPr>
      <w:rFonts w:eastAsia="仿宋_GB2312" w:cs="Times New Roman"/>
      <w:kern w:val="2"/>
      <w:sz w:val="18"/>
      <w:szCs w:val="22"/>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91">
    <w:name w:val="font91"/>
    <w:basedOn w:val="a0"/>
    <w:rPr>
      <w:rFonts w:ascii="Times New Roman" w:hAnsi="Times New Roman" w:cs="Times New Roman" w:hint="default"/>
      <w:color w:val="000000"/>
      <w:sz w:val="18"/>
      <w:szCs w:val="18"/>
      <w:u w:val="none"/>
    </w:rPr>
  </w:style>
  <w:style w:type="paragraph" w:customStyle="1" w:styleId="a8">
    <w:name w:val="表格标题"/>
    <w:basedOn w:val="a"/>
    <w:next w:val="a"/>
    <w:qFormat/>
    <w:pPr>
      <w:keepNext/>
      <w:keepLines/>
      <w:ind w:firstLineChars="0" w:firstLine="0"/>
      <w:jc w:val="center"/>
      <w:outlineLvl w:val="0"/>
    </w:pPr>
    <w:rPr>
      <w:rFonts w:hint="eastAsia"/>
      <w:b/>
      <w:kern w:val="44"/>
    </w:rPr>
  </w:style>
  <w:style w:type="paragraph" w:customStyle="1" w:styleId="a9">
    <w:name w:val="表格内容"/>
    <w:basedOn w:val="a"/>
    <w:next w:val="a"/>
    <w:qFormat/>
    <w:pPr>
      <w:keepLines/>
      <w:spacing w:line="240" w:lineRule="auto"/>
      <w:ind w:firstLineChars="0" w:firstLine="0"/>
      <w:jc w:val="center"/>
    </w:pPr>
    <w:rPr>
      <w:rFonts w:hint="eastAsia"/>
      <w:kern w:val="44"/>
      <w:sz w:val="21"/>
    </w:rPr>
  </w:style>
  <w:style w:type="paragraph" w:customStyle="1" w:styleId="WPSOffice1">
    <w:name w:val="WPSOffice手动目录 1"/>
    <w:qFormat/>
  </w:style>
  <w:style w:type="paragraph" w:customStyle="1" w:styleId="WPSOffice2">
    <w:name w:val="WPSOffice手动目录 2"/>
    <w:qFormat/>
    <w:pPr>
      <w:ind w:leftChars="200" w:left="200"/>
    </w:pPr>
  </w:style>
  <w:style w:type="table" w:styleId="aa">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5054ABFFB6274230A2746492DF1731DD_13</vt:lpwstr>
  </property>
  <property fmtid="{D5CDD505-2E9C-101B-9397-08002B2CF9AE}" pid="4" name="commondata">
    <vt:lpwstr>eyJoZGlkIjoiMzFhODQ1NGNmNGU5ZTQ0MGUxMDEzMGEzNzMxNWFjNDkifQ==</vt:lpwstr>
  </property>
  <property fmtid="{D5CDD505-2E9C-101B-9397-08002B2CF9AE}" pid="5" name="KSOTemplateDocerSaveRecord">
    <vt:lpwstr>eyJoZGlkIjoiNDUyYzVkZmJmMDA5OTM1YTI4MjFjZmQ2MWZlZTMxMWQiLCJ1c2VySWQiOiIxMTM2Nzk1MzIzIn0=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AB4FED-566C-4B38-BEFA-2AD194A59C5C}">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2563</Words>
  <Characters>14615</Characters>
  <Application>Microsoft Office Word</Application>
  <DocSecurity>0</DocSecurity>
  <Lines>121</Lines>
  <Paragraphs>34</Paragraphs>
  <ScaleCrop>false</ScaleCrop>
  <Company>Microsoft</Company>
  <LinksUpToDate>false</LinksUpToDate>
  <CharactersWithSpaces>17144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2025-09-15T11:15:00Z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5054ABFFB6274230A2746492DF1731DD_13</vt:lpwstr>
  </property>
  <property fmtid="{D5CDD505-2E9C-101B-9397-08002B2CF9AE}" pid="4" name="commondata">
    <vt:lpwstr>eyJoZGlkIjoiMzFhODQ1NGNmNGU5ZTQ0MGUxMDEzMGEzNzMxNWFjNDkifQ==</vt:lpwstr>
  </property>
  <property fmtid="{D5CDD505-2E9C-101B-9397-08002B2CF9AE}" pid="5" name="KSOTemplateDocerSaveRecord">
    <vt:lpwstr>eyJoZGlkIjoiNDUyYzVkZmJmMDA5OTM1YTI4MjFjZmQ2MWZlZTMxMWQiLCJ1c2VySWQiOiIxMTM2Nzk1MzIzIn0=</vt:lpwstr>
  </property>
</Properties>
</file>