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color w:val="000000"/>
          <w:highlight w:val="none"/>
        </w:rPr>
      </w:pPr>
      <w:bookmarkStart w:id="0" w:name="_GoBack"/>
      <w:bookmarkEnd w:id="0"/>
    </w:p>
    <w:p>
      <w:pPr>
        <w:bidi w:val="0"/>
        <w:jc w:val="both"/>
        <w:rPr>
          <w:rFonts w:ascii="Times New Roman" w:eastAsia="宋体" w:hAnsi="Times New Roman" w:cs="Times New Roman" w:hint="default"/>
          <w:color w:val="000000"/>
          <w:highlight w:val="none"/>
        </w:rPr>
      </w:pPr>
    </w:p>
    <w:p>
      <w:pPr>
        <w:pStyle w:val="NormalIndent"/>
        <w:rPr>
          <w:rFonts w:hint="default"/>
          <w:color w:val="000000"/>
          <w:highlight w:val="none"/>
        </w:rPr>
      </w:pPr>
    </w:p>
    <w:p>
      <w:pPr>
        <w:bidi w:val="0"/>
        <w:jc w:val="both"/>
        <w:rPr>
          <w:rFonts w:ascii="Times New Roman" w:eastAsia="宋体" w:hAnsi="Times New Roman" w:cs="Times New Roman" w:hint="default"/>
          <w:color w:val="000000"/>
          <w:highlight w:val="none"/>
        </w:rPr>
      </w:pPr>
    </w:p>
    <w:p>
      <w:pPr>
        <w:pStyle w:val="Heading1"/>
        <w:bidi w:val="0"/>
        <w:rPr>
          <w:rFonts w:ascii="Times New Roman" w:hAnsi="Times New Roman" w:cs="Times New Roman" w:hint="default"/>
          <w:color w:val="000000"/>
          <w:sz w:val="44"/>
          <w:szCs w:val="44"/>
          <w:highlight w:val="none"/>
        </w:rPr>
      </w:pPr>
      <w:bookmarkStart w:id="1" w:name="_Toc24054"/>
      <w:bookmarkStart w:id="2" w:name="_Toc3470"/>
      <w:bookmarkStart w:id="3" w:name="_Toc3989"/>
      <w:bookmarkStart w:id="4" w:name="_Toc28201"/>
      <w:r>
        <w:rPr>
          <w:rFonts w:ascii="Times New Roman" w:hAnsi="Times New Roman" w:cs="Times New Roman" w:hint="default"/>
          <w:color w:val="000000"/>
          <w:sz w:val="44"/>
          <w:szCs w:val="44"/>
          <w:highlight w:val="none"/>
        </w:rPr>
        <w:t xml:space="preserve">项目支出绩效评价报告</w:t>
      </w:r>
      <w:bookmarkEnd w:id="1"/>
      <w:bookmarkEnd w:id="2"/>
      <w:bookmarkEnd w:id="3"/>
      <w:bookmarkEnd w:id="4"/>
    </w:p>
    <w:p>
      <w:pPr>
        <w:ind w:firstLine="883"/>
        <w:jc w:val="both"/>
        <w:rPr>
          <w:rFonts w:ascii="Times New Roman" w:eastAsia="宋体" w:hAnsi="Times New Roman" w:cs="Times New Roman" w:hint="default"/>
          <w:b/>
          <w:bCs/>
          <w:color w:val="000000"/>
          <w:sz w:val="44"/>
          <w:szCs w:val="44"/>
          <w:highlight w:val="none"/>
        </w:rPr>
      </w:pPr>
    </w:p>
    <w:p>
      <w:pPr>
        <w:bidi w:val="0"/>
        <w:jc w:val="both"/>
        <w:rPr>
          <w:rFonts w:ascii="Times New Roman" w:eastAsia="宋体" w:hAnsi="Times New Roman" w:cs="Times New Roman" w:hint="default"/>
          <w:color w:val="000000"/>
          <w:highlight w:val="none"/>
        </w:rPr>
      </w:pPr>
    </w:p>
    <w:p>
      <w:pPr>
        <w:bidi w:val="0"/>
        <w:ind w:left="0" w:firstLine="0" w:leftChars="0" w:firstLineChars="0"/>
        <w:jc w:val="center"/>
        <w:rPr>
          <w:rFonts w:ascii="Times New Roman" w:eastAsia="宋体" w:hAnsi="Times New Roman" w:cs="Times New Roman" w:hint="default"/>
          <w:color w:val="000000"/>
          <w:highlight w:val="none"/>
        </w:rPr>
      </w:pPr>
      <w:r>
        <w:rPr>
          <w:color w:val="000000"/>
          <w:sz w:val="28"/>
          <w:szCs w:val="28"/>
          <w:highlight w:val="none"/>
        </w:rPr>
        <w:t xml:space="preserve">（202</w:t>
      </w:r>
      <w:r>
        <w:rPr>
          <w:rFonts w:hint="eastAsia"/>
          <w:color w:val="000000"/>
          <w:sz w:val="28"/>
          <w:szCs w:val="28"/>
          <w:highlight w:val="none"/>
          <w:lang w:val="en-US" w:eastAsia="zh-CN"/>
        </w:rPr>
        <w:t xml:space="preserve">4</w:t>
      </w:r>
      <w:r>
        <w:rPr>
          <w:color w:val="000000"/>
          <w:sz w:val="28"/>
          <w:szCs w:val="28"/>
          <w:highlight w:val="none"/>
        </w:rPr>
        <w:t xml:space="preserve">年度）</w:t>
      </w:r>
    </w:p>
    <w:p>
      <w:pPr>
        <w:bidi w:val="0"/>
        <w:jc w:val="both"/>
        <w:rPr>
          <w:rFonts w:ascii="Times New Roman" w:eastAsia="宋体" w:hAnsi="Times New Roman" w:cs="Times New Roman" w:hint="default"/>
          <w:color w:val="000000"/>
          <w:highlight w:val="none"/>
        </w:rPr>
      </w:pPr>
    </w:p>
    <w:p>
      <w:pPr>
        <w:bidi w:val="0"/>
        <w:jc w:val="both"/>
        <w:rPr>
          <w:rFonts w:ascii="Times New Roman" w:eastAsia="宋体" w:hAnsi="Times New Roman" w:cs="Times New Roman" w:hint="default"/>
          <w:color w:val="000000"/>
          <w:highlight w:val="none"/>
        </w:rPr>
      </w:pPr>
    </w:p>
    <w:p>
      <w:pPr>
        <w:bidi w:val="0"/>
        <w:jc w:val="both"/>
        <w:rPr>
          <w:rFonts w:ascii="Times New Roman" w:eastAsia="宋体" w:hAnsi="Times New Roman" w:cs="Times New Roman" w:hint="default"/>
          <w:color w:val="000000"/>
          <w:highlight w:val="none"/>
        </w:rPr>
      </w:pPr>
    </w:p>
    <w:p>
      <w:pPr>
        <w:bidi w:val="0"/>
        <w:jc w:val="both"/>
        <w:rPr>
          <w:rFonts w:ascii="Times New Roman" w:eastAsia="宋体" w:hAnsi="Times New Roman" w:cs="Times New Roman" w:hint="default"/>
          <w:color w:val="000000"/>
          <w:highlight w:val="none"/>
        </w:rPr>
      </w:pPr>
    </w:p>
    <w:p>
      <w:pPr>
        <w:bidi w:val="0"/>
        <w:jc w:val="both"/>
        <w:rPr>
          <w:rFonts w:ascii="Times New Roman" w:eastAsia="宋体" w:hAnsi="Times New Roman" w:cs="Times New Roman" w:hint="default"/>
          <w:b/>
          <w:bCs/>
          <w:color w:val="000000"/>
          <w:highlight w:val="none"/>
        </w:rPr>
      </w:pPr>
    </w:p>
    <w:p>
      <w:pPr>
        <w:pStyle w:val="NormalIndent"/>
        <w:rPr>
          <w:rFonts w:hint="default"/>
          <w:color w:val="000000"/>
          <w:highlight w:val="none"/>
        </w:rPr>
      </w:pPr>
    </w:p>
    <w:p>
      <w:pPr>
        <w:bidi w:val="0"/>
        <w:jc w:val="both"/>
        <w:rPr>
          <w:rFonts w:ascii="仿宋_GB2312" w:eastAsia="仿宋_GB2312" w:hAnsi="仿宋_GB2312" w:cs="仿宋_GB2312" w:hint="eastAsia"/>
          <w:b w:val="0"/>
          <w:bCs w:val="0"/>
          <w:color w:val="000000"/>
          <w:highlight w:val="none"/>
        </w:rPr>
      </w:pPr>
      <w:r>
        <w:rPr>
          <w:rFonts w:ascii="仿宋_GB2312" w:eastAsia="仿宋_GB2312" w:hAnsi="仿宋_GB2312" w:cs="仿宋_GB2312" w:hint="eastAsia"/>
          <w:b w:val="0"/>
          <w:bCs w:val="0"/>
          <w:color w:val="000000"/>
          <w:highlight w:val="none"/>
        </w:rPr>
        <w:t xml:space="preserve">项目名称：</w:t>
      </w:r>
      <w:bookmarkStart w:id="5" w:name="OLE_LINK1"/>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bookmarkEnd w:id="5"/>
    </w:p>
    <w:p>
      <w:pPr>
        <w:bidi w:val="0"/>
        <w:jc w:val="both"/>
        <w:rPr>
          <w:rFonts w:ascii="仿宋_GB2312" w:eastAsia="仿宋_GB2312" w:hAnsi="仿宋_GB2312" w:cs="仿宋_GB2312" w:hint="eastAsia"/>
          <w:b w:val="0"/>
          <w:bCs w:val="0"/>
          <w:color w:val="000000"/>
          <w:highlight w:val="none"/>
          <w:lang w:val="en-US" w:eastAsia="zh-CN"/>
        </w:rPr>
      </w:pPr>
      <w:r>
        <w:rPr>
          <w:rFonts w:ascii="仿宋_GB2312" w:eastAsia="仿宋_GB2312" w:hAnsi="仿宋_GB2312" w:cs="仿宋_GB2312" w:hint="eastAsia"/>
          <w:b w:val="0"/>
          <w:bCs w:val="0"/>
          <w:color w:val="000000"/>
          <w:highlight w:val="none"/>
        </w:rPr>
        <w:t xml:space="preserve">实施单位（公章）：</w:t>
      </w:r>
      <w:r>
        <w:rPr>
          <w:rFonts w:ascii="仿宋_GB2312" w:eastAsia="仿宋_GB2312" w:hAnsi="仿宋_GB2312" w:cs="仿宋_GB2312" w:hint="eastAsia"/>
          <w:b w:val="0"/>
          <w:bCs w:val="0"/>
          <w:color w:val="000000"/>
          <w:highlight w:val="none"/>
          <w:lang w:val="en-US" w:eastAsia="zh-CN"/>
        </w:rPr>
        <w:t xml:space="preserve">尉犁县房屋征收与补偿管理办公室</w:t>
      </w:r>
    </w:p>
    <w:p>
      <w:pPr>
        <w:bidi w:val="0"/>
        <w:jc w:val="both"/>
        <w:rPr>
          <w:rFonts w:ascii="仿宋_GB2312" w:eastAsia="仿宋_GB2312" w:hAnsi="仿宋_GB2312" w:cs="仿宋_GB2312" w:hint="eastAsia"/>
          <w:b w:val="0"/>
          <w:bCs w:val="0"/>
          <w:color w:val="000000"/>
          <w:highlight w:val="none"/>
        </w:rPr>
      </w:pPr>
      <w:r>
        <w:rPr>
          <w:rFonts w:ascii="仿宋_GB2312" w:eastAsia="仿宋_GB2312" w:hAnsi="仿宋_GB2312" w:cs="仿宋_GB2312" w:hint="eastAsia"/>
          <w:b w:val="0"/>
          <w:bCs w:val="0"/>
          <w:color w:val="000000"/>
          <w:highlight w:val="none"/>
        </w:rPr>
        <w:t xml:space="preserve">主管部门（公章）：</w:t>
      </w:r>
      <w:r>
        <w:rPr>
          <w:rFonts w:ascii="仿宋_GB2312" w:eastAsia="仿宋_GB2312" w:hAnsi="仿宋_GB2312" w:cs="仿宋_GB2312" w:hint="eastAsia"/>
          <w:b w:val="0"/>
          <w:bCs w:val="0"/>
          <w:color w:val="000000"/>
          <w:highlight w:val="none"/>
          <w:lang w:val="en-US" w:eastAsia="zh-CN"/>
        </w:rPr>
        <w:t xml:space="preserve">尉犁县</w:t>
      </w:r>
      <w:r>
        <w:rPr>
          <w:rFonts w:ascii="仿宋_GB2312" w:hAnsi="仿宋_GB2312" w:cs="仿宋_GB2312" w:hint="eastAsia"/>
          <w:b w:val="0"/>
          <w:bCs w:val="0"/>
          <w:color w:val="000000"/>
          <w:highlight w:val="none"/>
          <w:lang w:val="en-US" w:eastAsia="zh-CN"/>
        </w:rPr>
        <w:t xml:space="preserve">住房和城乡建设局</w:t>
      </w:r>
    </w:p>
    <w:p>
      <w:pPr>
        <w:bidi w:val="0"/>
        <w:jc w:val="both"/>
        <w:rPr>
          <w:rFonts w:ascii="仿宋_GB2312" w:eastAsia="仿宋_GB2312" w:hAnsi="仿宋_GB2312" w:cs="仿宋_GB2312" w:hint="eastAsia"/>
          <w:b w:val="0"/>
          <w:bCs w:val="0"/>
          <w:color w:val="000000"/>
          <w:highlight w:val="none"/>
          <w:lang w:val="en-US" w:eastAsia="zh-CN"/>
        </w:rPr>
      </w:pPr>
      <w:r>
        <w:rPr>
          <w:rFonts w:ascii="仿宋_GB2312" w:eastAsia="仿宋_GB2312" w:hAnsi="仿宋_GB2312" w:cs="仿宋_GB2312" w:hint="eastAsia"/>
          <w:b w:val="0"/>
          <w:bCs w:val="0"/>
          <w:color w:val="000000"/>
          <w:highlight w:val="none"/>
        </w:rPr>
        <w:t xml:space="preserve">项目负责人（签章）：</w:t>
      </w:r>
      <w:r>
        <w:rPr>
          <w:rFonts w:ascii="仿宋_GB2312" w:hAnsi="仿宋_GB2312" w:cs="仿宋_GB2312" w:hint="eastAsia"/>
          <w:b w:val="0"/>
          <w:bCs w:val="0"/>
          <w:color w:val="000000"/>
          <w:highlight w:val="none"/>
          <w:lang w:val="en-US" w:eastAsia="zh-CN"/>
        </w:rPr>
        <w:t xml:space="preserve">杨志新</w:t>
      </w:r>
    </w:p>
    <w:p>
      <w:pPr>
        <w:bidi w:val="0"/>
        <w:jc w:val="both"/>
        <w:rPr>
          <w:rFonts w:ascii="仿宋_GB2312" w:eastAsia="仿宋_GB2312" w:hAnsi="仿宋_GB2312" w:cs="仿宋_GB2312" w:hint="eastAsia"/>
          <w:b w:val="0"/>
          <w:bCs w:val="0"/>
          <w:color w:val="000000"/>
          <w:highlight w:val="none"/>
        </w:rPr>
      </w:pPr>
      <w:r>
        <w:rPr>
          <w:rFonts w:ascii="仿宋_GB2312" w:eastAsia="仿宋_GB2312" w:hAnsi="仿宋_GB2312" w:cs="仿宋_GB2312" w:hint="eastAsia"/>
          <w:b w:val="0"/>
          <w:bCs w:val="0"/>
          <w:color w:val="000000"/>
          <w:highlight w:val="none"/>
        </w:rPr>
        <w:t xml:space="preserve">填报时间：</w:t>
      </w:r>
      <w:r>
        <w:rPr>
          <w:rFonts w:ascii="仿宋_GB2312" w:hAnsi="仿宋_GB2312" w:cs="仿宋_GB2312" w:hint="eastAsia"/>
          <w:b w:val="0"/>
          <w:bCs w:val="0"/>
          <w:color w:val="000000"/>
          <w:highlight w:val="none"/>
          <w:lang w:val="en-US" w:eastAsia="zh-CN"/>
        </w:rPr>
        <w:t xml:space="preserve">2025</w:t>
      </w:r>
      <w:r>
        <w:rPr>
          <w:rFonts w:ascii="仿宋_GB2312" w:eastAsia="仿宋_GB2312" w:hAnsi="仿宋_GB2312" w:cs="仿宋_GB2312" w:hint="eastAsia"/>
          <w:b w:val="0"/>
          <w:bCs w:val="0"/>
          <w:color w:val="000000"/>
          <w:highlight w:val="none"/>
        </w:rPr>
        <w:t xml:space="preserve">年</w:t>
      </w:r>
      <w:r>
        <w:rPr>
          <w:rFonts w:ascii="仿宋_GB2312" w:hAnsi="仿宋_GB2312" w:cs="仿宋_GB2312" w:hint="eastAsia"/>
          <w:b w:val="0"/>
          <w:bCs w:val="0"/>
          <w:color w:val="000000"/>
          <w:highlight w:val="none"/>
          <w:lang w:val="en-US" w:eastAsia="zh-CN"/>
        </w:rPr>
        <w:t xml:space="preserve">3</w:t>
      </w:r>
      <w:r>
        <w:rPr>
          <w:rFonts w:ascii="仿宋_GB2312" w:eastAsia="仿宋_GB2312" w:hAnsi="仿宋_GB2312" w:cs="仿宋_GB2312" w:hint="eastAsia"/>
          <w:b w:val="0"/>
          <w:bCs w:val="0"/>
          <w:color w:val="000000"/>
          <w:highlight w:val="none"/>
        </w:rPr>
        <w:t xml:space="preserve">月</w:t>
      </w:r>
      <w:r>
        <w:rPr>
          <w:rFonts w:ascii="仿宋_GB2312" w:hAnsi="仿宋_GB2312" w:cs="仿宋_GB2312" w:hint="eastAsia"/>
          <w:b w:val="0"/>
          <w:bCs w:val="0"/>
          <w:color w:val="000000"/>
          <w:highlight w:val="none"/>
          <w:lang w:val="en-US" w:eastAsia="zh-CN"/>
        </w:rPr>
        <w:t xml:space="preserve">1</w:t>
      </w:r>
      <w:r>
        <w:rPr>
          <w:rFonts w:ascii="仿宋_GB2312" w:eastAsia="仿宋_GB2312" w:hAnsi="仿宋_GB2312" w:cs="仿宋_GB2312" w:hint="eastAsia"/>
          <w:b w:val="0"/>
          <w:bCs w:val="0"/>
          <w:color w:val="000000"/>
          <w:highlight w:val="none"/>
        </w:rPr>
        <w:t xml:space="preserve">日</w:t>
      </w:r>
    </w:p>
    <w:p>
      <w:pPr>
        <w:bidi w:val="0"/>
        <w:jc w:val="both"/>
        <w:rPr>
          <w:rFonts w:ascii="Times New Roman" w:eastAsia="宋体" w:hAnsi="Times New Roman" w:cs="Times New Roman" w:hint="default"/>
          <w:b w:val="0"/>
          <w:bCs w:val="0"/>
          <w:color w:val="000000"/>
          <w:highlight w:val="none"/>
        </w:rPr>
      </w:pPr>
    </w:p>
    <w:p>
      <w:pPr>
        <w:bidi w:val="0"/>
        <w:jc w:val="both"/>
        <w:rPr>
          <w:rFonts w:ascii="Times New Roman" w:eastAsia="宋体" w:hAnsi="Times New Roman" w:cs="Times New Roman" w:hint="default"/>
          <w:b w:val="0"/>
          <w:bCs w:val="0"/>
          <w:color w:val="000000"/>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80" w:lineRule="exact"/>
        <w:ind w:left="0" w:firstLine="0" w:leftChars="0" w:firstLineChars="0"/>
        <w:jc w:val="center"/>
        <w:textAlignment w:val="auto"/>
        <w:outlineLvl w:val="0"/>
        <w:rPr>
          <w:rFonts w:ascii="Times New Roman" w:eastAsia="宋体" w:hAnsi="Times New Roman" w:cs="Times New Roman" w:hint="default"/>
          <w:b/>
          <w:bCs w:val="0"/>
          <w:iCs/>
          <w:color w:val="000000"/>
          <w:kern w:val="2"/>
          <w:sz w:val="32"/>
          <w:szCs w:val="21"/>
          <w:highlight w:val="none"/>
          <w:lang w:val="en-US" w:eastAsia="zh-CN" w:bidi="ar-SA"/>
        </w:rPr>
      </w:pPr>
      <w:bookmarkStart w:id="6" w:name="_Toc4806"/>
      <w:bookmarkStart w:id="7" w:name="_Toc32545"/>
      <w:bookmarkStart w:id="8" w:name="_Toc18707"/>
      <w:bookmarkStart w:id="9" w:name="_Toc11827"/>
      <w:bookmarkStart w:id="10" w:name="_Toc15542"/>
      <w:bookmarkStart w:id="11" w:name="_Toc14721"/>
      <w:bookmarkStart w:id="12" w:name="_Toc1891"/>
      <w:bookmarkStart w:id="13" w:name="_Toc5473"/>
      <w:r>
        <w:rPr>
          <w:rFonts w:ascii="Times New Roman" w:eastAsia="宋体" w:hAnsi="Times New Roman" w:cs="Times New Roman" w:hint="default"/>
          <w:b/>
          <w:bCs w:val="0"/>
          <w:iCs/>
          <w:color w:val="000000"/>
          <w:kern w:val="2"/>
          <w:sz w:val="32"/>
          <w:szCs w:val="21"/>
          <w:highlight w:val="none"/>
          <w:lang w:val="en-US" w:eastAsia="zh-CN" w:bidi="ar-SA"/>
        </w:rPr>
        <w:t xml:space="preserve">目  录</w:t>
      </w:r>
      <w:bookmarkEnd w:id="6"/>
      <w:bookmarkEnd w:id="7"/>
    </w:p>
    <w:p>
      <w:pPr>
        <w:pStyle w:val="TOC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rPr>
          <w:rFonts w:ascii="Times New Roman" w:eastAsia="宋体" w:hAnsi="Times New Roman" w:cs="Times New Roman" w:hint="default"/>
          <w:bCs/>
          <w:iCs/>
          <w:color w:val="000000"/>
          <w:kern w:val="2"/>
          <w:sz w:val="32"/>
          <w:szCs w:val="32"/>
          <w:highlight w:val="none"/>
          <w:lang w:val="en-US" w:eastAsia="zh-CN" w:bidi="ar-SA"/>
        </w:rPr>
        <w:fldChar w:fldCharType="begin"/>
      </w:r>
      <w:r>
        <w:rPr>
          <w:rFonts w:ascii="Times New Roman" w:eastAsia="宋体" w:hAnsi="Times New Roman" w:cs="Times New Roman" w:hint="default"/>
          <w:bCs/>
          <w:iCs/>
          <w:color w:val="000000"/>
          <w:kern w:val="2"/>
          <w:sz w:val="32"/>
          <w:szCs w:val="32"/>
          <w:highlight w:val="none"/>
          <w:lang w:val="en-US" w:eastAsia="zh-CN" w:bidi="ar-SA"/>
        </w:rPr>
        <w:instrText xml:space="preserve">TOC \o "1-2" \h \u</w:instrText>
      </w:r>
      <w:r>
        <w:rPr>
          <w:rFonts w:ascii="Times New Roman" w:eastAsia="宋体" w:hAnsi="Times New Roman" w:cs="Times New Roman" w:hint="default"/>
          <w:bCs/>
          <w:iCs/>
          <w:color w:val="000000"/>
          <w:kern w:val="2"/>
          <w:sz w:val="32"/>
          <w:szCs w:val="32"/>
          <w:highlight w:val="none"/>
          <w:lang w:val="en-US" w:eastAsia="zh-CN" w:bidi="ar-SA"/>
        </w:rPr>
        <w:fldChar w:fldCharType="separate"/>
      </w:r>
      <w:hyperlink w:anchor="_Toc22369" w:history="1">
        <w:r>
          <w:rPr>
            <w:rFonts w:ascii="Times New Roman" w:eastAsia="黑体" w:hAnsi="Times New Roman" w:cs="Times New Roman" w:hint="default"/>
            <w:bCs/>
            <w:iCs/>
            <w:color w:val="000000"/>
            <w:kern w:val="2"/>
            <w:szCs w:val="21"/>
            <w:highlight w:val="none"/>
            <w:lang w:val="en-US" w:eastAsia="zh-CN" w:bidi="ar-SA"/>
          </w:rPr>
          <w:t xml:space="preserve">一、基本情况</w:t>
        </w:r>
        <w:r>
          <w:rPr>
            <w:color w:val="000000"/>
            <w:highlight w:val="none"/>
          </w:rPr>
          <w:tab/>
        </w:r>
        <w:r>
          <w:rPr>
            <w:color w:val="000000"/>
            <w:highlight w:val="none"/>
          </w:rPr>
          <w:fldChar w:fldCharType="begin"/>
        </w:r>
        <w:r>
          <w:rPr>
            <w:color w:val="000000"/>
            <w:highlight w:val="none"/>
          </w:rPr>
          <w:instrText xml:space="preserve"> PAGEREF _Toc22369 \h </w:instrText>
        </w:r>
        <w:r>
          <w:rPr>
            <w:color w:val="000000"/>
            <w:highlight w:val="none"/>
          </w:rPr>
          <w:fldChar w:fldCharType="separate"/>
        </w:r>
        <w:r>
          <w:rPr>
            <w:color w:val="000000"/>
            <w:highlight w:val="none"/>
          </w:rPr>
          <w:t xml:space="preserve">1</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27387" w:history="1">
        <w:r>
          <w:rPr>
            <w:rFonts w:ascii="Times New Roman" w:eastAsia="楷体" w:hAnsi="Times New Roman" w:cs="Times New Roman" w:hint="default"/>
            <w:color w:val="000000"/>
            <w:highlight w:val="none"/>
          </w:rPr>
          <w:t xml:space="preserve">（一）项目概况</w:t>
        </w:r>
        <w:r>
          <w:rPr>
            <w:color w:val="000000"/>
            <w:highlight w:val="none"/>
          </w:rPr>
          <w:tab/>
        </w:r>
        <w:r>
          <w:rPr>
            <w:color w:val="000000"/>
            <w:highlight w:val="none"/>
          </w:rPr>
          <w:fldChar w:fldCharType="begin"/>
        </w:r>
        <w:r>
          <w:rPr>
            <w:color w:val="000000"/>
            <w:highlight w:val="none"/>
          </w:rPr>
          <w:instrText xml:space="preserve"> PAGEREF _Toc27387 \h </w:instrText>
        </w:r>
        <w:r>
          <w:rPr>
            <w:color w:val="000000"/>
            <w:highlight w:val="none"/>
          </w:rPr>
          <w:fldChar w:fldCharType="separate"/>
        </w:r>
        <w:r>
          <w:rPr>
            <w:color w:val="000000"/>
            <w:highlight w:val="none"/>
          </w:rPr>
          <w:t xml:space="preserve">1</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12636" w:history="1">
        <w:r>
          <w:rPr>
            <w:rFonts w:ascii="Times New Roman" w:eastAsia="楷体" w:hAnsi="Times New Roman" w:cs="Times New Roman" w:hint="default"/>
            <w:color w:val="000000"/>
            <w:highlight w:val="none"/>
          </w:rPr>
          <w:t xml:space="preserve">（二）项目绩效目标</w:t>
        </w:r>
        <w:r>
          <w:rPr>
            <w:color w:val="000000"/>
            <w:highlight w:val="none"/>
          </w:rPr>
          <w:tab/>
        </w:r>
        <w:r>
          <w:rPr>
            <w:color w:val="000000"/>
            <w:highlight w:val="none"/>
          </w:rPr>
          <w:fldChar w:fldCharType="begin"/>
        </w:r>
        <w:r>
          <w:rPr>
            <w:color w:val="000000"/>
            <w:highlight w:val="none"/>
          </w:rPr>
          <w:instrText xml:space="preserve"> PAGEREF _Toc12636 \h </w:instrText>
        </w:r>
        <w:r>
          <w:rPr>
            <w:color w:val="000000"/>
            <w:highlight w:val="none"/>
          </w:rPr>
          <w:fldChar w:fldCharType="separate"/>
        </w:r>
        <w:r>
          <w:rPr>
            <w:color w:val="000000"/>
            <w:highlight w:val="none"/>
          </w:rPr>
          <w:t xml:space="preserve">3</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0840" w:history="1">
        <w:r>
          <w:rPr>
            <w:rFonts w:ascii="Times New Roman" w:eastAsia="黑体" w:hAnsi="Times New Roman" w:cs="Times New Roman" w:hint="default"/>
            <w:color w:val="000000"/>
            <w:highlight w:val="none"/>
          </w:rPr>
          <w:t xml:space="preserve">二、绩效评价工作开展情况</w:t>
        </w:r>
        <w:r>
          <w:rPr>
            <w:color w:val="000000"/>
            <w:highlight w:val="none"/>
          </w:rPr>
          <w:tab/>
        </w:r>
        <w:r>
          <w:rPr>
            <w:color w:val="000000"/>
            <w:highlight w:val="none"/>
          </w:rPr>
          <w:fldChar w:fldCharType="begin"/>
        </w:r>
        <w:r>
          <w:rPr>
            <w:color w:val="000000"/>
            <w:highlight w:val="none"/>
          </w:rPr>
          <w:instrText xml:space="preserve"> PAGEREF _Toc10840 \h </w:instrText>
        </w:r>
        <w:r>
          <w:rPr>
            <w:color w:val="000000"/>
            <w:highlight w:val="none"/>
          </w:rPr>
          <w:fldChar w:fldCharType="separate"/>
        </w:r>
        <w:r>
          <w:rPr>
            <w:color w:val="000000"/>
            <w:highlight w:val="none"/>
          </w:rPr>
          <w:t xml:space="preserve">4</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11254" w:history="1">
        <w:r>
          <w:rPr>
            <w:rFonts w:ascii="Times New Roman" w:eastAsia="楷体" w:hAnsi="Times New Roman" w:cs="Times New Roman" w:hint="default"/>
            <w:color w:val="000000"/>
            <w:highlight w:val="none"/>
          </w:rPr>
          <w:t xml:space="preserve">（一）绩效评价目的、对象和范围</w:t>
        </w:r>
        <w:r>
          <w:rPr>
            <w:color w:val="000000"/>
            <w:highlight w:val="none"/>
          </w:rPr>
          <w:tab/>
        </w:r>
        <w:r>
          <w:rPr>
            <w:color w:val="000000"/>
            <w:highlight w:val="none"/>
          </w:rPr>
          <w:fldChar w:fldCharType="begin"/>
        </w:r>
        <w:r>
          <w:rPr>
            <w:color w:val="000000"/>
            <w:highlight w:val="none"/>
          </w:rPr>
          <w:instrText xml:space="preserve"> PAGEREF _Toc11254 \h </w:instrText>
        </w:r>
        <w:r>
          <w:rPr>
            <w:color w:val="000000"/>
            <w:highlight w:val="none"/>
          </w:rPr>
          <w:fldChar w:fldCharType="separate"/>
        </w:r>
        <w:r>
          <w:rPr>
            <w:color w:val="000000"/>
            <w:highlight w:val="none"/>
          </w:rPr>
          <w:t xml:space="preserve">4</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11929" w:history="1">
        <w:r>
          <w:rPr>
            <w:rFonts w:ascii="楷体" w:eastAsia="楷体" w:hAnsi="楷体" w:cs="楷体" w:hint="eastAsia"/>
            <w:color w:val="000000"/>
            <w:highlight w:val="none"/>
          </w:rPr>
          <w:t xml:space="preserve">（二）绩效评价原则、评价指标体系、评价方法、评价标准</w:t>
        </w:r>
        <w:r>
          <w:rPr>
            <w:color w:val="000000"/>
            <w:highlight w:val="none"/>
          </w:rPr>
          <w:tab/>
        </w:r>
        <w:r>
          <w:rPr>
            <w:color w:val="000000"/>
            <w:highlight w:val="none"/>
          </w:rPr>
          <w:fldChar w:fldCharType="begin"/>
        </w:r>
        <w:r>
          <w:rPr>
            <w:color w:val="000000"/>
            <w:highlight w:val="none"/>
          </w:rPr>
          <w:instrText xml:space="preserve"> PAGEREF _Toc11929 \h </w:instrText>
        </w:r>
        <w:r>
          <w:rPr>
            <w:color w:val="000000"/>
            <w:highlight w:val="none"/>
          </w:rPr>
          <w:fldChar w:fldCharType="separate"/>
        </w:r>
        <w:r>
          <w:rPr>
            <w:color w:val="000000"/>
            <w:highlight w:val="none"/>
          </w:rPr>
          <w:t xml:space="preserve">6</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26798" w:history="1">
        <w:r>
          <w:rPr>
            <w:rFonts w:ascii="楷体" w:eastAsia="楷体" w:hAnsi="楷体" w:cs="楷体" w:hint="eastAsia"/>
            <w:color w:val="000000"/>
            <w:highlight w:val="none"/>
          </w:rPr>
          <w:t xml:space="preserve">（三）绩效评价工作过程</w:t>
        </w:r>
        <w:r>
          <w:rPr>
            <w:color w:val="000000"/>
            <w:highlight w:val="none"/>
          </w:rPr>
          <w:tab/>
        </w:r>
        <w:r>
          <w:rPr>
            <w:color w:val="000000"/>
            <w:highlight w:val="none"/>
          </w:rPr>
          <w:fldChar w:fldCharType="begin"/>
        </w:r>
        <w:r>
          <w:rPr>
            <w:color w:val="000000"/>
            <w:highlight w:val="none"/>
          </w:rPr>
          <w:instrText xml:space="preserve"> PAGEREF _Toc26798 \h </w:instrText>
        </w:r>
        <w:r>
          <w:rPr>
            <w:color w:val="000000"/>
            <w:highlight w:val="none"/>
          </w:rPr>
          <w:fldChar w:fldCharType="separate"/>
        </w:r>
        <w:r>
          <w:rPr>
            <w:color w:val="000000"/>
            <w:highlight w:val="none"/>
          </w:rPr>
          <w:t xml:space="preserve">9</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1043" w:history="1">
        <w:r>
          <w:rPr>
            <w:rFonts w:ascii="黑体" w:eastAsia="黑体" w:hAnsi="黑体" w:cs="黑体" w:hint="eastAsia"/>
            <w:color w:val="000000"/>
            <w:highlight w:val="none"/>
          </w:rPr>
          <w:t xml:space="preserve">三、综合评价情况及评价结论</w:t>
        </w:r>
        <w:r>
          <w:rPr>
            <w:color w:val="000000"/>
            <w:highlight w:val="none"/>
          </w:rPr>
          <w:tab/>
        </w:r>
        <w:r>
          <w:rPr>
            <w:color w:val="000000"/>
            <w:highlight w:val="none"/>
          </w:rPr>
          <w:fldChar w:fldCharType="begin"/>
        </w:r>
        <w:r>
          <w:rPr>
            <w:color w:val="000000"/>
            <w:highlight w:val="none"/>
          </w:rPr>
          <w:instrText xml:space="preserve"> PAGEREF _Toc11043 \h </w:instrText>
        </w:r>
        <w:r>
          <w:rPr>
            <w:color w:val="000000"/>
            <w:highlight w:val="none"/>
          </w:rPr>
          <w:fldChar w:fldCharType="separate"/>
        </w:r>
        <w:r>
          <w:rPr>
            <w:color w:val="000000"/>
            <w:highlight w:val="none"/>
          </w:rPr>
          <w:t xml:space="preserve">11</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3580" w:history="1">
        <w:r>
          <w:rPr>
            <w:rFonts w:ascii="黑体" w:eastAsia="黑体" w:hAnsi="黑体" w:cs="黑体" w:hint="eastAsia"/>
            <w:color w:val="000000"/>
            <w:highlight w:val="none"/>
          </w:rPr>
          <w:t xml:space="preserve">四、绩效评价指标分析</w:t>
        </w:r>
        <w:r>
          <w:rPr>
            <w:color w:val="000000"/>
            <w:highlight w:val="none"/>
          </w:rPr>
          <w:tab/>
        </w:r>
        <w:r>
          <w:rPr>
            <w:color w:val="000000"/>
            <w:highlight w:val="none"/>
          </w:rPr>
          <w:fldChar w:fldCharType="begin"/>
        </w:r>
        <w:r>
          <w:rPr>
            <w:color w:val="000000"/>
            <w:highlight w:val="none"/>
          </w:rPr>
          <w:instrText xml:space="preserve"> PAGEREF _Toc13580 \h </w:instrText>
        </w:r>
        <w:r>
          <w:rPr>
            <w:color w:val="000000"/>
            <w:highlight w:val="none"/>
          </w:rPr>
          <w:fldChar w:fldCharType="separate"/>
        </w:r>
        <w:r>
          <w:rPr>
            <w:color w:val="000000"/>
            <w:highlight w:val="none"/>
          </w:rPr>
          <w:t xml:space="preserve">12</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28087" w:history="1">
        <w:r>
          <w:rPr>
            <w:rFonts w:ascii="楷体" w:eastAsia="楷体" w:hAnsi="楷体" w:cs="楷体" w:hint="eastAsia"/>
            <w:color w:val="000000"/>
            <w:highlight w:val="none"/>
          </w:rPr>
          <w:t xml:space="preserve">（一）项目决策情况</w:t>
        </w:r>
        <w:r>
          <w:rPr>
            <w:color w:val="000000"/>
            <w:highlight w:val="none"/>
          </w:rPr>
          <w:tab/>
        </w:r>
        <w:r>
          <w:rPr>
            <w:color w:val="000000"/>
            <w:highlight w:val="none"/>
          </w:rPr>
          <w:fldChar w:fldCharType="begin"/>
        </w:r>
        <w:r>
          <w:rPr>
            <w:color w:val="000000"/>
            <w:highlight w:val="none"/>
          </w:rPr>
          <w:instrText xml:space="preserve"> PAGEREF _Toc28087 \h </w:instrText>
        </w:r>
        <w:r>
          <w:rPr>
            <w:color w:val="000000"/>
            <w:highlight w:val="none"/>
          </w:rPr>
          <w:fldChar w:fldCharType="separate"/>
        </w:r>
        <w:r>
          <w:rPr>
            <w:color w:val="000000"/>
            <w:highlight w:val="none"/>
          </w:rPr>
          <w:t xml:space="preserve">12</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9248" w:history="1">
        <w:r>
          <w:rPr>
            <w:rFonts w:ascii="Times New Roman" w:eastAsia="楷体" w:hAnsi="Times New Roman" w:cs="Times New Roman" w:hint="eastAsia"/>
            <w:color w:val="000000"/>
            <w:highlight w:val="none"/>
          </w:rPr>
          <w:t xml:space="preserve">（二）项目过程情况</w:t>
        </w:r>
        <w:r>
          <w:rPr>
            <w:color w:val="000000"/>
            <w:highlight w:val="none"/>
          </w:rPr>
          <w:tab/>
        </w:r>
        <w:r>
          <w:rPr>
            <w:color w:val="000000"/>
            <w:highlight w:val="none"/>
          </w:rPr>
          <w:fldChar w:fldCharType="begin"/>
        </w:r>
        <w:r>
          <w:rPr>
            <w:color w:val="000000"/>
            <w:highlight w:val="none"/>
          </w:rPr>
          <w:instrText xml:space="preserve"> PAGEREF _Toc9248 \h </w:instrText>
        </w:r>
        <w:r>
          <w:rPr>
            <w:color w:val="000000"/>
            <w:highlight w:val="none"/>
          </w:rPr>
          <w:fldChar w:fldCharType="separate"/>
        </w:r>
        <w:r>
          <w:rPr>
            <w:color w:val="000000"/>
            <w:highlight w:val="none"/>
          </w:rPr>
          <w:t xml:space="preserve">14</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13978" w:history="1">
        <w:r>
          <w:rPr>
            <w:rFonts w:ascii="楷体" w:eastAsia="楷体" w:hAnsi="楷体" w:cs="楷体" w:hint="eastAsia"/>
            <w:color w:val="000000"/>
            <w:highlight w:val="none"/>
          </w:rPr>
          <w:t xml:space="preserve">（</w:t>
        </w:r>
        <w:r>
          <w:rPr>
            <w:rFonts w:ascii="Times New Roman" w:eastAsia="楷体" w:hAnsi="Times New Roman" w:cs="Times New Roman" w:hint="eastAsia"/>
            <w:color w:val="000000"/>
            <w:highlight w:val="none"/>
          </w:rPr>
          <w:t xml:space="preserve">三）项目产出情况</w:t>
        </w:r>
        <w:r>
          <w:rPr>
            <w:color w:val="000000"/>
            <w:highlight w:val="none"/>
          </w:rPr>
          <w:tab/>
        </w:r>
        <w:r>
          <w:rPr>
            <w:color w:val="000000"/>
            <w:highlight w:val="none"/>
          </w:rPr>
          <w:fldChar w:fldCharType="begin"/>
        </w:r>
        <w:r>
          <w:rPr>
            <w:color w:val="000000"/>
            <w:highlight w:val="none"/>
          </w:rPr>
          <w:instrText xml:space="preserve"> PAGEREF _Toc13978 \h </w:instrText>
        </w:r>
        <w:r>
          <w:rPr>
            <w:color w:val="000000"/>
            <w:highlight w:val="none"/>
          </w:rPr>
          <w:fldChar w:fldCharType="separate"/>
        </w:r>
        <w:r>
          <w:rPr>
            <w:color w:val="000000"/>
            <w:highlight w:val="none"/>
          </w:rPr>
          <w:t xml:space="preserve">15</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6460" w:history="1">
        <w:r>
          <w:rPr>
            <w:rFonts w:ascii="楷体" w:eastAsia="楷体" w:hAnsi="楷体" w:cs="楷体" w:hint="eastAsia"/>
            <w:color w:val="000000"/>
            <w:highlight w:val="none"/>
          </w:rPr>
          <w:t xml:space="preserve">（四）项目效益情况</w:t>
        </w:r>
        <w:r>
          <w:rPr>
            <w:color w:val="000000"/>
            <w:highlight w:val="none"/>
          </w:rPr>
          <w:tab/>
        </w:r>
        <w:r>
          <w:rPr>
            <w:color w:val="000000"/>
            <w:highlight w:val="none"/>
          </w:rPr>
          <w:fldChar w:fldCharType="begin"/>
        </w:r>
        <w:r>
          <w:rPr>
            <w:color w:val="000000"/>
            <w:highlight w:val="none"/>
          </w:rPr>
          <w:instrText xml:space="preserve"> PAGEREF _Toc6460 \h </w:instrText>
        </w:r>
        <w:r>
          <w:rPr>
            <w:color w:val="000000"/>
            <w:highlight w:val="none"/>
          </w:rPr>
          <w:fldChar w:fldCharType="separate"/>
        </w:r>
        <w:r>
          <w:rPr>
            <w:color w:val="000000"/>
            <w:highlight w:val="none"/>
          </w:rPr>
          <w:t xml:space="preserve">16</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2691" w:history="1">
        <w:r>
          <w:rPr>
            <w:rFonts w:ascii="黑体" w:eastAsia="黑体" w:hAnsi="黑体" w:cs="黑体" w:hint="eastAsia"/>
            <w:color w:val="000000"/>
            <w:highlight w:val="none"/>
          </w:rPr>
          <w:t xml:space="preserve">五、主要经验及做法、存在的问题及原因分析</w:t>
        </w:r>
        <w:r>
          <w:rPr>
            <w:color w:val="000000"/>
            <w:highlight w:val="none"/>
          </w:rPr>
          <w:tab/>
        </w:r>
        <w:r>
          <w:rPr>
            <w:color w:val="000000"/>
            <w:highlight w:val="none"/>
          </w:rPr>
          <w:fldChar w:fldCharType="begin"/>
        </w:r>
        <w:r>
          <w:rPr>
            <w:color w:val="000000"/>
            <w:highlight w:val="none"/>
          </w:rPr>
          <w:instrText xml:space="preserve"> PAGEREF _Toc12691 \h </w:instrText>
        </w:r>
        <w:r>
          <w:rPr>
            <w:color w:val="000000"/>
            <w:highlight w:val="none"/>
          </w:rPr>
          <w:fldChar w:fldCharType="separate"/>
        </w:r>
        <w:r>
          <w:rPr>
            <w:color w:val="000000"/>
            <w:highlight w:val="none"/>
          </w:rPr>
          <w:t xml:space="preserve">17</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15494" w:history="1">
        <w:r>
          <w:rPr>
            <w:rFonts w:ascii="楷体" w:eastAsia="楷体" w:hAnsi="楷体" w:cs="楷体" w:hint="eastAsia"/>
            <w:color w:val="000000"/>
            <w:highlight w:val="none"/>
          </w:rPr>
          <w:t xml:space="preserve">（一）主要经验及做法</w:t>
        </w:r>
        <w:r>
          <w:rPr>
            <w:color w:val="000000"/>
            <w:highlight w:val="none"/>
          </w:rPr>
          <w:tab/>
        </w:r>
        <w:r>
          <w:rPr>
            <w:color w:val="000000"/>
            <w:highlight w:val="none"/>
          </w:rPr>
          <w:fldChar w:fldCharType="begin"/>
        </w:r>
        <w:r>
          <w:rPr>
            <w:color w:val="000000"/>
            <w:highlight w:val="none"/>
          </w:rPr>
          <w:instrText xml:space="preserve"> PAGEREF _Toc15494 \h </w:instrText>
        </w:r>
        <w:r>
          <w:rPr>
            <w:color w:val="000000"/>
            <w:highlight w:val="none"/>
          </w:rPr>
          <w:fldChar w:fldCharType="separate"/>
        </w:r>
        <w:r>
          <w:rPr>
            <w:color w:val="000000"/>
            <w:highlight w:val="none"/>
          </w:rPr>
          <w:t xml:space="preserve">17</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8629" w:history="1">
        <w:r>
          <w:rPr>
            <w:rFonts w:ascii="楷体" w:eastAsia="楷体" w:hAnsi="楷体" w:cs="楷体" w:hint="eastAsia"/>
            <w:color w:val="000000"/>
            <w:highlight w:val="none"/>
          </w:rPr>
          <w:t xml:space="preserve">（二）存在的问题及分析</w:t>
        </w:r>
        <w:r>
          <w:rPr>
            <w:color w:val="000000"/>
            <w:highlight w:val="none"/>
          </w:rPr>
          <w:tab/>
        </w:r>
        <w:r>
          <w:rPr>
            <w:color w:val="000000"/>
            <w:highlight w:val="none"/>
          </w:rPr>
          <w:fldChar w:fldCharType="begin"/>
        </w:r>
        <w:r>
          <w:rPr>
            <w:color w:val="000000"/>
            <w:highlight w:val="none"/>
          </w:rPr>
          <w:instrText xml:space="preserve"> PAGEREF _Toc8629 \h </w:instrText>
        </w:r>
        <w:r>
          <w:rPr>
            <w:color w:val="000000"/>
            <w:highlight w:val="none"/>
          </w:rPr>
          <w:fldChar w:fldCharType="separate"/>
        </w:r>
        <w:r>
          <w:rPr>
            <w:color w:val="000000"/>
            <w:highlight w:val="none"/>
          </w:rPr>
          <w:t xml:space="preserve">17</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8896" w:history="1">
        <w:r>
          <w:rPr>
            <w:rFonts w:ascii="黑体" w:eastAsia="黑体" w:hAnsi="黑体" w:cs="黑体" w:hint="eastAsia"/>
            <w:color w:val="000000"/>
            <w:highlight w:val="none"/>
          </w:rPr>
          <w:t xml:space="preserve">六、有关建议</w:t>
        </w:r>
        <w:r>
          <w:rPr>
            <w:color w:val="000000"/>
            <w:highlight w:val="none"/>
          </w:rPr>
          <w:tab/>
        </w:r>
        <w:r>
          <w:rPr>
            <w:color w:val="000000"/>
            <w:highlight w:val="none"/>
          </w:rPr>
          <w:fldChar w:fldCharType="begin"/>
        </w:r>
        <w:r>
          <w:rPr>
            <w:color w:val="000000"/>
            <w:highlight w:val="none"/>
          </w:rPr>
          <w:instrText xml:space="preserve"> PAGEREF _Toc18896 \h </w:instrText>
        </w:r>
        <w:r>
          <w:rPr>
            <w:color w:val="000000"/>
            <w:highlight w:val="none"/>
          </w:rPr>
          <w:fldChar w:fldCharType="separate"/>
        </w:r>
        <w:r>
          <w:rPr>
            <w:color w:val="000000"/>
            <w:highlight w:val="none"/>
          </w:rPr>
          <w:t xml:space="preserve">18</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31553" w:history="1">
        <w:r>
          <w:rPr>
            <w:rFonts w:ascii="黑体" w:eastAsia="黑体" w:hAnsi="黑体" w:cs="黑体" w:hint="default"/>
            <w:bCs/>
            <w:iCs/>
            <w:color w:val="000000"/>
            <w:highlight w:val="none"/>
          </w:rPr>
          <w:t xml:space="preserve">七、其他需要说明的问题</w:t>
        </w:r>
        <w:r>
          <w:rPr>
            <w:color w:val="000000"/>
            <w:highlight w:val="none"/>
          </w:rPr>
          <w:tab/>
        </w:r>
        <w:r>
          <w:rPr>
            <w:color w:val="000000"/>
            <w:highlight w:val="none"/>
          </w:rPr>
          <w:fldChar w:fldCharType="begin"/>
        </w:r>
        <w:r>
          <w:rPr>
            <w:color w:val="000000"/>
            <w:highlight w:val="none"/>
          </w:rPr>
          <w:instrText xml:space="preserve"> PAGEREF _Toc31553 \h </w:instrText>
        </w:r>
        <w:r>
          <w:rPr>
            <w:color w:val="000000"/>
            <w:highlight w:val="none"/>
          </w:rPr>
          <w:fldChar w:fldCharType="separate"/>
        </w:r>
        <w:r>
          <w:rPr>
            <w:color w:val="000000"/>
            <w:highlight w:val="none"/>
          </w:rPr>
          <w:t xml:space="preserve">19</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7269" w:history="1">
        <w:r>
          <w:rPr>
            <w:rFonts w:ascii="黑体" w:eastAsia="黑体" w:hAnsi="黑体" w:cs="黑体" w:hint="default"/>
            <w:bCs/>
            <w:iCs/>
            <w:color w:val="000000"/>
            <w:highlight w:val="none"/>
          </w:rPr>
          <w:t xml:space="preserve">八、附件</w:t>
        </w:r>
        <w:r>
          <w:rPr>
            <w:color w:val="000000"/>
            <w:highlight w:val="none"/>
          </w:rPr>
          <w:tab/>
        </w:r>
        <w:r>
          <w:rPr>
            <w:color w:val="000000"/>
            <w:highlight w:val="none"/>
          </w:rPr>
          <w:fldChar w:fldCharType="begin"/>
        </w:r>
        <w:r>
          <w:rPr>
            <w:color w:val="000000"/>
            <w:highlight w:val="none"/>
          </w:rPr>
          <w:instrText xml:space="preserve"> PAGEREF _Toc17269 \h </w:instrText>
        </w:r>
        <w:r>
          <w:rPr>
            <w:color w:val="000000"/>
            <w:highlight w:val="none"/>
          </w:rPr>
          <w:fldChar w:fldCharType="separate"/>
        </w:r>
        <w:r>
          <w:rPr>
            <w:color w:val="000000"/>
            <w:highlight w:val="none"/>
          </w:rPr>
          <w:t xml:space="preserve">19</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5984" w:history="1">
        <w:r>
          <w:rPr>
            <w:rFonts w:ascii="Times New Roman" w:eastAsia="仿宋_GB2312" w:hAnsi="Times New Roman" w:cs="Times New Roman" w:hint="default"/>
            <w:bCs/>
            <w:iCs/>
            <w:color w:val="000000"/>
            <w:highlight w:val="none"/>
          </w:rPr>
          <w:t xml:space="preserve">附件1：</w:t>
        </w:r>
        <w:r>
          <w:rPr>
            <w:rFonts w:ascii="Times New Roman" w:eastAsia="仿宋_GB2312" w:hAnsi="Times New Roman" w:cs="Times New Roman" w:hint="default"/>
            <w:color w:val="000000"/>
            <w:highlight w:val="none"/>
          </w:rPr>
          <w:t xml:space="preserve">项目支出绩效自评表</w:t>
        </w:r>
        <w:r>
          <w:rPr>
            <w:color w:val="000000"/>
            <w:highlight w:val="none"/>
          </w:rPr>
          <w:tab/>
        </w:r>
        <w:r>
          <w:rPr>
            <w:color w:val="000000"/>
            <w:highlight w:val="none"/>
          </w:rPr>
          <w:fldChar w:fldCharType="begin"/>
        </w:r>
        <w:r>
          <w:rPr>
            <w:color w:val="000000"/>
            <w:highlight w:val="none"/>
          </w:rPr>
          <w:instrText xml:space="preserve"> PAGEREF _Toc15984 \h </w:instrText>
        </w:r>
        <w:r>
          <w:rPr>
            <w:color w:val="000000"/>
            <w:highlight w:val="none"/>
          </w:rPr>
          <w:fldChar w:fldCharType="separate"/>
        </w:r>
        <w:r>
          <w:rPr>
            <w:color w:val="000000"/>
            <w:highlight w:val="none"/>
          </w:rPr>
          <w:t xml:space="preserve">20</w:t>
        </w:r>
        <w:r>
          <w:rPr>
            <w:color w:val="000000"/>
            <w:highlight w:val="none"/>
          </w:rPr>
          <w:fldChar w:fldCharType="end"/>
        </w:r>
      </w:hyperlink>
    </w:p>
    <w:p>
      <w:pPr>
        <w:pStyle w:val="TOC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10041" w:history="1">
        <w:r>
          <w:rPr>
            <w:rFonts w:ascii="Times New Roman" w:eastAsia="仿宋_GB2312" w:hAnsi="Times New Roman" w:cs="Times New Roman" w:hint="default"/>
            <w:color w:val="000000"/>
            <w:highlight w:val="none"/>
          </w:rPr>
          <w:t xml:space="preserve">附件2：项目支出绩效评价指标体系及评分</w:t>
        </w:r>
        <w:r>
          <w:rPr>
            <w:color w:val="000000"/>
            <w:highlight w:val="none"/>
          </w:rPr>
          <w:tab/>
        </w:r>
        <w:r>
          <w:rPr>
            <w:color w:val="000000"/>
            <w:highlight w:val="none"/>
          </w:rPr>
          <w:fldChar w:fldCharType="begin"/>
        </w:r>
        <w:r>
          <w:rPr>
            <w:color w:val="000000"/>
            <w:highlight w:val="none"/>
          </w:rPr>
          <w:instrText xml:space="preserve"> PAGEREF _Toc10041 \h </w:instrText>
        </w:r>
        <w:r>
          <w:rPr>
            <w:color w:val="000000"/>
            <w:highlight w:val="none"/>
          </w:rPr>
          <w:fldChar w:fldCharType="separate"/>
        </w:r>
        <w:r>
          <w:rPr>
            <w:color w:val="000000"/>
            <w:highlight w:val="none"/>
          </w:rPr>
          <w:t xml:space="preserve">21</w:t>
        </w:r>
        <w:r>
          <w:rPr>
            <w:color w:val="000000"/>
            <w:highlight w:val="none"/>
          </w:rPr>
          <w:fldChar w:fldCharType="end"/>
        </w:r>
      </w:hyperlink>
    </w:p>
    <w:p>
      <w:pPr>
        <w:pStyle w:val="表格标题"/>
        <w:pageBreakBefore w:val="0"/>
        <w:widowControl w:val="0"/>
        <w:kinsoku/>
        <w:wordWrap/>
        <w:overflowPunct/>
        <w:topLinePunct w:val="0"/>
        <w:autoSpaceDE/>
        <w:autoSpaceDN/>
        <w:bidi w:val="0"/>
        <w:adjustRightInd/>
        <w:snapToGrid/>
        <w:spacing w:line="580" w:lineRule="exact"/>
        <w:ind w:firstLine="0" w:firstLineChars="0"/>
        <w:jc w:val="both"/>
        <w:textAlignment w:val="auto"/>
        <w:rPr>
          <w:rFonts w:ascii="Times New Roman" w:eastAsia="宋体" w:hAnsi="Times New Roman" w:cs="Times New Roman" w:hint="default"/>
          <w:bCs/>
          <w:iCs/>
          <w:color w:val="000000"/>
          <w:kern w:val="2"/>
          <w:szCs w:val="32"/>
          <w:highlight w:val="none"/>
          <w:lang w:val="en-US" w:eastAsia="zh-CN" w:bidi="ar-SA"/>
        </w:rPr>
        <w:sectPr>
          <w:footerReference w:type="default" r:id="rId3"/>
          <w:pgSz w:w="11906" w:h="16838" w:orient="portrait"/>
          <w:pgMar w:top="1440" w:right="1800" w:bottom="1440" w:left="1800" w:header="851" w:footer="992" w:gutter="0"/>
          <w:pgBorders/>
          <w:pgNumType w:fmt="decimal" w:start="1"/>
          <w:cols w:num="1" w:space="720">
            <w:col w:w="8306" w:space="720"/>
          </w:cols>
          <w:docGrid w:type="lines" w:linePitch="312" w:charSpace="0"/>
        </w:sectPr>
      </w:pPr>
    </w:p>
    <w:p>
      <w:pPr>
        <w:pStyle w:val="表格标题"/>
        <w:pageBreakBefore w:val="0"/>
        <w:widowControl w:val="0"/>
        <w:kinsoku/>
        <w:wordWrap/>
        <w:overflowPunct/>
        <w:topLinePunct w:val="0"/>
        <w:autoSpaceDE/>
        <w:autoSpaceDN/>
        <w:bidi w:val="0"/>
        <w:adjustRightInd/>
        <w:snapToGrid/>
        <w:spacing w:line="580" w:lineRule="exact"/>
        <w:ind w:firstLine="0" w:firstLineChars="0"/>
        <w:jc w:val="both"/>
        <w:textAlignment w:val="auto"/>
        <w:rPr>
          <w:rFonts w:ascii="Times New Roman" w:eastAsia="黑体" w:hAnsi="Times New Roman" w:cs="Times New Roman" w:hint="default"/>
          <w:bCs/>
          <w:iCs/>
          <w:color w:val="000000"/>
          <w:kern w:val="2"/>
          <w:sz w:val="32"/>
          <w:szCs w:val="21"/>
          <w:highlight w:val="none"/>
          <w:lang w:val="en-US" w:eastAsia="zh-CN" w:bidi="ar-SA"/>
        </w:rPr>
      </w:pPr>
      <w:r>
        <w:rPr>
          <w:rFonts w:ascii="Times New Roman" w:eastAsia="宋体" w:hAnsi="Times New Roman" w:cs="Times New Roman" w:hint="default"/>
          <w:bCs/>
          <w:iCs/>
          <w:color w:val="000000"/>
          <w:kern w:val="2"/>
          <w:szCs w:val="32"/>
          <w:highlight w:val="none"/>
          <w:lang w:val="en-US" w:eastAsia="zh-CN" w:bidi="ar-SA"/>
        </w:rPr>
        <w:fldChar w:fldCharType="end"/>
      </w:r>
      <w:bookmarkStart w:id="14" w:name="_Toc22369"/>
      <w:r>
        <w:rPr>
          <w:rFonts w:ascii="Times New Roman" w:eastAsia="宋体" w:hAnsi="Times New Roman" w:cs="Times New Roman" w:hint="eastAsia"/>
          <w:bCs/>
          <w:iCs/>
          <w:color w:val="000000"/>
          <w:kern w:val="2"/>
          <w:szCs w:val="32"/>
          <w:highlight w:val="none"/>
          <w:lang w:val="en-US" w:eastAsia="zh-CN" w:bidi="ar-SA"/>
        </w:rPr>
        <w:t xml:space="preserve">    </w:t>
      </w:r>
      <w:r>
        <w:rPr>
          <w:rFonts w:ascii="Times New Roman" w:eastAsia="黑体" w:hAnsi="Times New Roman" w:cs="Times New Roman" w:hint="default"/>
          <w:bCs/>
          <w:iCs/>
          <w:color w:val="000000"/>
          <w:kern w:val="2"/>
          <w:sz w:val="32"/>
          <w:szCs w:val="21"/>
          <w:highlight w:val="none"/>
          <w:lang w:val="en-US" w:eastAsia="zh-CN" w:bidi="ar-SA"/>
        </w:rPr>
        <w:t xml:space="preserve">一、基本情况</w:t>
      </w:r>
      <w:bookmarkEnd w:id="8"/>
      <w:bookmarkEnd w:id="9"/>
      <w:bookmarkEnd w:id="10"/>
      <w:bookmarkEnd w:id="11"/>
      <w:bookmarkEnd w:id="12"/>
      <w:bookmarkEnd w:id="13"/>
      <w:bookmarkEnd w:id="14"/>
      <w:bookmarkStart w:id="15" w:name="_Toc27593"/>
    </w:p>
    <w:p>
      <w:pPr>
        <w:pStyle w:val="Heading3"/>
        <w:bidi w:val="0"/>
        <w:jc w:val="both"/>
        <w:outlineLvl w:val="1"/>
        <w:rPr>
          <w:rFonts w:ascii="Times New Roman" w:eastAsia="楷体" w:hAnsi="Times New Roman" w:cs="Times New Roman" w:hint="default"/>
          <w:color w:val="000000"/>
          <w:highlight w:val="none"/>
        </w:rPr>
      </w:pPr>
      <w:bookmarkStart w:id="16" w:name="_Toc27387"/>
      <w:bookmarkStart w:id="17" w:name="_Toc9236"/>
      <w:bookmarkStart w:id="18" w:name="_Toc24706"/>
      <w:bookmarkStart w:id="19" w:name="_Toc26183"/>
      <w:bookmarkStart w:id="20" w:name="_Toc24048"/>
      <w:r>
        <w:rPr>
          <w:rFonts w:ascii="Times New Roman" w:eastAsia="楷体" w:hAnsi="Times New Roman" w:cs="Times New Roman" w:hint="default"/>
          <w:color w:val="000000"/>
          <w:highlight w:val="none"/>
        </w:rPr>
        <w:t xml:space="preserve">（一）项目概况</w:t>
      </w:r>
      <w:bookmarkEnd w:id="15"/>
      <w:bookmarkEnd w:id="16"/>
      <w:bookmarkEnd w:id="17"/>
      <w:bookmarkEnd w:id="18"/>
      <w:bookmarkEnd w:id="19"/>
      <w:bookmarkEnd w:id="20"/>
    </w:p>
    <w:p>
      <w:pPr>
        <w:bidi w:val="0"/>
        <w:jc w:val="both"/>
        <w:rPr>
          <w:rFonts w:ascii="Times New Roman" w:eastAsia="仿宋_GB2312" w:hAnsi="Times New Roman" w:cs="Times New Roman" w:hint="default"/>
          <w:b/>
          <w:bCs/>
          <w:color w:val="000000"/>
          <w:highlight w:val="none"/>
        </w:rPr>
      </w:pPr>
      <w:bookmarkStart w:id="21" w:name="_Toc19984"/>
      <w:bookmarkStart w:id="22" w:name="_Toc11427"/>
      <w:r>
        <w:rPr>
          <w:rFonts w:ascii="Times New Roman" w:eastAsia="仿宋_GB2312" w:hAnsi="Times New Roman" w:cs="Times New Roman" w:hint="default"/>
          <w:b/>
          <w:bCs/>
          <w:color w:val="000000"/>
          <w:highlight w:val="none"/>
        </w:rPr>
        <w:t xml:space="preserve">1.项目背景</w:t>
      </w:r>
      <w:bookmarkEnd w:id="21"/>
      <w:bookmarkEnd w:id="22"/>
    </w:p>
    <w:p>
      <w:pPr>
        <w:numPr>
          <w:ilvl w:val="0"/>
          <w:numId w:val="0"/>
        </w:numPr>
        <w:ind w:firstLine="640" w:firstLineChars="200"/>
        <w:rPr>
          <w:rFonts w:hint="eastAsia"/>
          <w:color w:val="000000"/>
          <w:highlight w:val="none"/>
          <w:lang w:eastAsia="zh-CN"/>
        </w:rPr>
      </w:pPr>
      <w:bookmarkStart w:id="23" w:name="_Toc22079"/>
      <w:bookmarkStart w:id="24" w:name="_Toc22216"/>
      <w:r>
        <w:rPr>
          <w:rFonts w:eastAsia="仿宋_GB2312" w:hint="eastAsia"/>
          <w:color w:val="000000"/>
          <w:kern w:val="2"/>
          <w:sz w:val="32"/>
          <w:szCs w:val="22"/>
          <w:highlight w:val="none"/>
          <w:lang w:val="en-US" w:eastAsia="zh-CN" w:bidi="ar-SA"/>
        </w:rPr>
        <w:t xml:space="preserve">（1）</w:t>
      </w:r>
      <w:r>
        <w:rPr>
          <w:rFonts w:hint="eastAsia"/>
          <w:color w:val="000000"/>
          <w:highlight w:val="none"/>
          <w:lang w:eastAsia="zh-CN"/>
        </w:rPr>
        <w:t xml:space="preserve">近年来，随着尉犁县城市进程的加快和产业结构的不断优化，土地资源的需求日益增加。然而，现有的土地资源分布不均，部分区域存在闲置和低效利用现象，制约了县域经济的进一步发展。为了有效盘活存量土地，提高土地利用效率，县政府决定实施本次征地和拆迁补偿、开发性支出项目。</w:t>
      </w:r>
    </w:p>
    <w:p>
      <w:pPr>
        <w:numPr>
          <w:ilvl w:val="0"/>
          <w:numId w:val="0"/>
        </w:numPr>
        <w:ind w:firstLine="640" w:firstLineChars="200"/>
        <w:rPr>
          <w:rFonts w:hint="eastAsia"/>
          <w:color w:val="000000"/>
          <w:highlight w:val="none"/>
          <w:lang w:eastAsia="zh-CN"/>
        </w:rPr>
      </w:pPr>
      <w:r>
        <w:rPr>
          <w:rFonts w:eastAsia="仿宋_GB2312" w:hint="eastAsia"/>
          <w:color w:val="000000"/>
          <w:kern w:val="2"/>
          <w:sz w:val="32"/>
          <w:szCs w:val="22"/>
          <w:highlight w:val="none"/>
          <w:lang w:val="en-US" w:eastAsia="zh-CN" w:bidi="ar-SA"/>
        </w:rPr>
        <w:t xml:space="preserve">（2）</w:t>
      </w:r>
      <w:r>
        <w:rPr>
          <w:rFonts w:hint="eastAsia"/>
          <w:color w:val="000000"/>
          <w:highlight w:val="none"/>
          <w:lang w:eastAsia="zh-CN"/>
        </w:rPr>
        <w:t xml:space="preserve">本次项目旨在通过征收该片土地，对拆迁区域进行合理的规划与利用，实现以下目的：一是优化土地资源配置，提高土地利用效率；二是改善居民生活环境提升居民生活质量；三是促进县域经济发展，增加地方财政收入。项目范围为尉犁县城市规划区内城北孔雀路以西“楼兰加油站”，征收面积约</w:t>
      </w:r>
      <w:r>
        <w:rPr>
          <w:rFonts w:hint="eastAsia"/>
          <w:color w:val="000000"/>
          <w:highlight w:val="none"/>
          <w:lang w:val="en-US" w:eastAsia="zh-CN"/>
        </w:rPr>
        <w:t xml:space="preserve">15亩土地。</w:t>
      </w:r>
    </w:p>
    <w:p>
      <w:pPr>
        <w:bidi w:val="0"/>
        <w:jc w:val="both"/>
        <w:rPr>
          <w:rFonts w:ascii="仿宋" w:eastAsia="仿宋" w:hAnsi="仿宋" w:cs="仿宋" w:hint="eastAsia"/>
          <w:color w:val="000000"/>
          <w:sz w:val="32"/>
          <w:szCs w:val="32"/>
          <w:highlight w:val="none"/>
          <w:lang w:eastAsia="zh-CN"/>
        </w:rPr>
      </w:pPr>
      <w:r>
        <w:rPr>
          <w:rFonts w:ascii="Times New Roman" w:eastAsia="仿宋_GB2312" w:hAnsi="Times New Roman" w:cs="Times New Roman" w:hint="default"/>
          <w:b/>
          <w:bCs/>
          <w:color w:val="000000"/>
          <w:highlight w:val="none"/>
        </w:rPr>
        <w:t xml:space="preserve">2.项目主要内容</w:t>
      </w:r>
      <w:bookmarkEnd w:id="23"/>
      <w:bookmarkEnd w:id="24"/>
      <w:bookmarkStart w:id="25" w:name="_Toc31519"/>
      <w:bookmarkStart w:id="26" w:name="_Toc21529"/>
    </w:p>
    <w:p>
      <w:pPr>
        <w:bidi w:val="0"/>
        <w:jc w:val="both"/>
        <w:rPr>
          <w:rFonts w:hint="eastAsia"/>
          <w:color w:val="000000"/>
          <w:highlight w:val="none"/>
          <w:lang w:val="en-US" w:eastAsia="zh-CN"/>
        </w:rPr>
      </w:pPr>
      <w:r>
        <w:rPr>
          <w:rFonts w:ascii="仿宋" w:eastAsia="仿宋" w:hAnsi="仿宋" w:cs="仿宋" w:hint="eastAsia"/>
          <w:color w:val="000000"/>
          <w:sz w:val="32"/>
          <w:szCs w:val="32"/>
          <w:highlight w:val="none"/>
          <w:lang w:eastAsia="zh-CN"/>
        </w:rPr>
        <w:t xml:space="preserve">中石油新疆销售有限公司巴州分公司</w:t>
      </w:r>
      <w:r>
        <w:rPr>
          <w:rFonts w:ascii="仿宋" w:hAnsi="仿宋" w:cs="仿宋" w:hint="eastAsia"/>
          <w:color w:val="000000"/>
          <w:sz w:val="32"/>
          <w:szCs w:val="32"/>
          <w:highlight w:val="none"/>
          <w:lang w:eastAsia="zh-CN"/>
        </w:rPr>
        <w:t xml:space="preserve">楼兰加油站征收补偿工作主要包含以下工作内容：一是</w:t>
      </w:r>
      <w:r>
        <w:rPr>
          <w:rFonts w:hint="eastAsia"/>
          <w:color w:val="000000"/>
          <w:highlight w:val="none"/>
          <w:lang w:val="en-US" w:eastAsia="zh-CN"/>
        </w:rPr>
        <w:t xml:space="preserve">委托第三方评估机构对</w:t>
      </w:r>
      <w:r>
        <w:rPr>
          <w:rFonts w:ascii="仿宋" w:eastAsia="仿宋" w:hAnsi="仿宋" w:cs="仿宋" w:hint="eastAsia"/>
          <w:color w:val="000000"/>
          <w:sz w:val="32"/>
          <w:szCs w:val="32"/>
          <w:highlight w:val="none"/>
          <w:lang w:eastAsia="zh-CN"/>
        </w:rPr>
        <w:t xml:space="preserve">中石油新疆销售有限公司巴州分公司</w:t>
      </w:r>
      <w:r>
        <w:rPr>
          <w:rFonts w:ascii="仿宋" w:hAnsi="仿宋" w:cs="仿宋" w:hint="eastAsia"/>
          <w:color w:val="000000"/>
          <w:sz w:val="32"/>
          <w:szCs w:val="32"/>
          <w:highlight w:val="none"/>
          <w:lang w:eastAsia="zh-CN"/>
        </w:rPr>
        <w:t xml:space="preserve">楼兰加油站土地及地上附属物进行评估；二是根据评估结果，拟定征收补偿协议，并于与</w:t>
      </w:r>
      <w:r>
        <w:rPr>
          <w:rFonts w:ascii="仿宋" w:eastAsia="仿宋" w:hAnsi="仿宋" w:cs="仿宋" w:hint="eastAsia"/>
          <w:color w:val="000000"/>
          <w:sz w:val="32"/>
          <w:szCs w:val="32"/>
          <w:highlight w:val="none"/>
          <w:lang w:eastAsia="zh-CN"/>
        </w:rPr>
        <w:t xml:space="preserve">中石油新疆销售有限公司巴州分公司</w:t>
      </w:r>
      <w:r>
        <w:rPr>
          <w:rFonts w:ascii="仿宋" w:hAnsi="仿宋" w:cs="仿宋" w:hint="eastAsia"/>
          <w:color w:val="000000"/>
          <w:sz w:val="32"/>
          <w:szCs w:val="32"/>
          <w:highlight w:val="none"/>
          <w:lang w:eastAsia="zh-CN"/>
        </w:rPr>
        <w:t xml:space="preserve">签订</w:t>
      </w:r>
      <w:r>
        <w:rPr>
          <w:rFonts w:ascii="仿宋" w:hAnsi="仿宋" w:cs="仿宋" w:hint="eastAsia"/>
          <w:color w:val="000000"/>
          <w:sz w:val="32"/>
          <w:szCs w:val="32"/>
          <w:highlight w:val="none"/>
          <w:lang w:val="en-US" w:eastAsia="zh-CN"/>
        </w:rPr>
        <w:t xml:space="preserve">15亩</w:t>
      </w:r>
      <w:r>
        <w:rPr>
          <w:rFonts w:ascii="仿宋" w:hAnsi="仿宋" w:cs="仿宋" w:hint="eastAsia"/>
          <w:color w:val="000000"/>
          <w:sz w:val="32"/>
          <w:szCs w:val="32"/>
          <w:highlight w:val="none"/>
          <w:lang w:eastAsia="zh-CN"/>
        </w:rPr>
        <w:t xml:space="preserve">征收补偿协议；三是依据补偿协议对拆迁区域进行搬离、安置与补偿</w:t>
      </w:r>
      <w:r>
        <w:rPr>
          <w:rFonts w:hint="eastAsia"/>
          <w:color w:val="000000"/>
          <w:highlight w:val="none"/>
          <w:lang w:val="en-US" w:eastAsia="zh-CN"/>
        </w:rPr>
        <w:t xml:space="preserve">。</w:t>
      </w:r>
    </w:p>
    <w:p>
      <w:pPr>
        <w:numPr>
          <w:ilvl w:val="0"/>
          <w:numId w:val="0"/>
        </w:numPr>
        <w:bidi w:val="0"/>
        <w:ind w:firstLine="640" w:firstLineChars="200"/>
        <w:jc w:val="both"/>
        <w:rPr>
          <w:rFonts w:ascii="Times New Roman" w:eastAsia="仿宋_GB2312" w:hAnsi="Times New Roman" w:cs="Times New Roman" w:hint="default"/>
          <w:b/>
          <w:bCs/>
          <w:color w:val="000000"/>
          <w:highlight w:val="none"/>
        </w:rPr>
      </w:pPr>
      <w:r>
        <w:rPr>
          <w:rFonts w:ascii="Times New Roman" w:eastAsia="仿宋_GB2312" w:hAnsi="Times New Roman" w:cs="Times New Roman" w:hint="default"/>
          <w:b/>
          <w:bCs/>
          <w:color w:val="000000"/>
          <w:kern w:val="2"/>
          <w:sz w:val="32"/>
          <w:szCs w:val="22"/>
          <w:highlight w:val="none"/>
          <w:lang w:val="en-US" w:eastAsia="zh-CN" w:bidi="ar-SA"/>
        </w:rPr>
        <w:t xml:space="preserve">3.</w:t>
      </w:r>
      <w:r>
        <w:rPr>
          <w:rFonts w:ascii="Times New Roman" w:eastAsia="仿宋_GB2312" w:hAnsi="Times New Roman" w:cs="Times New Roman" w:hint="default"/>
          <w:b/>
          <w:bCs/>
          <w:color w:val="000000"/>
          <w:highlight w:val="none"/>
        </w:rPr>
        <w:t xml:space="preserve">项目实施情况</w:t>
      </w:r>
      <w:bookmarkEnd w:id="25"/>
      <w:bookmarkEnd w:id="26"/>
      <w:bookmarkStart w:id="27" w:name="_Toc20138"/>
      <w:bookmarkStart w:id="28" w:name="_Toc1111"/>
    </w:p>
    <w:p>
      <w:pPr>
        <w:numPr>
          <w:ilvl w:val="0"/>
          <w:numId w:val="0"/>
        </w:numPr>
        <w:ind w:firstLine="640" w:firstLineChars="200"/>
        <w:rPr>
          <w:rFonts w:ascii="Times New Roman" w:hAnsi="Times New Roman" w:cs="Times New Roman" w:hint="eastAsia"/>
          <w:color w:val="000000"/>
          <w:highlight w:val="none"/>
          <w:lang w:val="en-US" w:eastAsia="zh-CN"/>
        </w:rPr>
      </w:pPr>
      <w:bookmarkStart w:id="29" w:name="OLE_LINK19"/>
      <w:r>
        <w:rPr>
          <w:rFonts w:ascii="Times New Roman" w:hAnsi="Times New Roman" w:cs="Times New Roman" w:hint="eastAsia"/>
          <w:color w:val="000000"/>
          <w:highlight w:val="none"/>
          <w:lang w:val="en-US" w:eastAsia="zh-CN"/>
        </w:rPr>
        <w:t xml:space="preserve">县房屋征收与补偿管理办公室于2024年1月委托第三方评估机构对中石油新疆销售有限公司巴州分公司楼兰加油站土地及地上附属物进行评估，根据评估结果，拟定征收补偿协议，并于2024年1月25日与中石油新疆销售有限公司巴州分公司签订征收补偿协议，并分别于2024年6</w:t>
      </w:r>
      <w:r>
        <w:rPr>
          <w:rFonts w:ascii="Times New Roman" w:hAnsi="Times New Roman" w:cs="Times New Roman" w:hint="default"/>
          <w:color w:val="000000"/>
          <w:highlight w:val="none"/>
          <w:lang w:val="en-US" w:eastAsia="zh-CN"/>
        </w:rPr>
        <w:t xml:space="preserve">月</w:t>
      </w:r>
      <w:r>
        <w:rPr>
          <w:rFonts w:ascii="Times New Roman" w:hAnsi="Times New Roman" w:cs="Times New Roman" w:hint="eastAsia"/>
          <w:color w:val="000000"/>
          <w:highlight w:val="none"/>
          <w:lang w:val="en-US" w:eastAsia="zh-CN"/>
        </w:rPr>
        <w:t xml:space="preserve">21</w:t>
      </w:r>
      <w:r>
        <w:rPr>
          <w:rFonts w:ascii="Times New Roman" w:hAnsi="Times New Roman" w:cs="Times New Roman" w:hint="default"/>
          <w:color w:val="000000"/>
          <w:highlight w:val="none"/>
          <w:lang w:val="en-US" w:eastAsia="zh-CN"/>
        </w:rPr>
        <w:t xml:space="preserve">日支付</w:t>
      </w:r>
      <w:r>
        <w:rPr>
          <w:rFonts w:ascii="Times New Roman" w:hAnsi="Times New Roman" w:cs="Times New Roman" w:hint="eastAsia"/>
          <w:color w:val="000000"/>
          <w:highlight w:val="none"/>
          <w:lang w:val="en-US" w:eastAsia="zh-CN"/>
        </w:rPr>
        <w:t xml:space="preserve">补偿款200</w:t>
      </w:r>
      <w:r>
        <w:rPr>
          <w:rFonts w:ascii="Times New Roman" w:hAnsi="Times New Roman" w:cs="Times New Roman" w:hint="default"/>
          <w:color w:val="000000"/>
          <w:highlight w:val="none"/>
          <w:lang w:val="en-US" w:eastAsia="zh-CN"/>
        </w:rPr>
        <w:t xml:space="preserve">万元</w:t>
      </w:r>
      <w:r>
        <w:rPr>
          <w:rFonts w:ascii="Times New Roman" w:hAnsi="Times New Roman" w:cs="Times New Roman" w:hint="eastAsia"/>
          <w:color w:val="000000"/>
          <w:highlight w:val="none"/>
          <w:lang w:val="en-US" w:eastAsia="zh-CN"/>
        </w:rPr>
        <w:t xml:space="preserve">、</w:t>
      </w:r>
      <w:r>
        <w:rPr>
          <w:rFonts w:ascii="Times New Roman" w:hAnsi="Times New Roman" w:cs="Times New Roman" w:hint="default"/>
          <w:color w:val="000000"/>
          <w:highlight w:val="none"/>
          <w:lang w:val="en-US" w:eastAsia="zh-CN"/>
        </w:rPr>
        <w:t xml:space="preserve">202</w:t>
      </w:r>
      <w:r>
        <w:rPr>
          <w:rFonts w:ascii="Times New Roman" w:hAnsi="Times New Roman" w:cs="Times New Roman" w:hint="eastAsia"/>
          <w:color w:val="000000"/>
          <w:highlight w:val="none"/>
          <w:lang w:val="en-US" w:eastAsia="zh-CN"/>
        </w:rPr>
        <w:t xml:space="preserve">4</w:t>
      </w:r>
      <w:r>
        <w:rPr>
          <w:rFonts w:ascii="Times New Roman" w:hAnsi="Times New Roman" w:cs="Times New Roman" w:hint="default"/>
          <w:color w:val="000000"/>
          <w:highlight w:val="none"/>
          <w:lang w:val="en-US" w:eastAsia="zh-CN"/>
        </w:rPr>
        <w:t xml:space="preserve">年</w:t>
      </w:r>
      <w:r>
        <w:rPr>
          <w:rFonts w:ascii="Times New Roman" w:hAnsi="Times New Roman" w:cs="Times New Roman" w:hint="eastAsia"/>
          <w:color w:val="000000"/>
          <w:highlight w:val="none"/>
          <w:lang w:val="en-US" w:eastAsia="zh-CN"/>
        </w:rPr>
        <w:t xml:space="preserve">7</w:t>
      </w:r>
      <w:r>
        <w:rPr>
          <w:rFonts w:ascii="Times New Roman" w:hAnsi="Times New Roman" w:cs="Times New Roman" w:hint="default"/>
          <w:color w:val="000000"/>
          <w:highlight w:val="none"/>
          <w:lang w:val="en-US" w:eastAsia="zh-CN"/>
        </w:rPr>
        <w:t xml:space="preserve">月</w:t>
      </w:r>
      <w:r>
        <w:rPr>
          <w:rFonts w:ascii="Times New Roman" w:hAnsi="Times New Roman" w:cs="Times New Roman" w:hint="eastAsia"/>
          <w:color w:val="000000"/>
          <w:highlight w:val="none"/>
          <w:lang w:val="en-US" w:eastAsia="zh-CN"/>
        </w:rPr>
        <w:t xml:space="preserve">24</w:t>
      </w:r>
      <w:r>
        <w:rPr>
          <w:rFonts w:ascii="Times New Roman" w:hAnsi="Times New Roman" w:cs="Times New Roman" w:hint="default"/>
          <w:color w:val="000000"/>
          <w:highlight w:val="none"/>
          <w:lang w:val="en-US" w:eastAsia="zh-CN"/>
        </w:rPr>
        <w:t xml:space="preserve">日，支付</w:t>
      </w:r>
      <w:r>
        <w:rPr>
          <w:rFonts w:ascii="Times New Roman" w:hAnsi="Times New Roman" w:cs="Times New Roman" w:hint="eastAsia"/>
          <w:color w:val="000000"/>
          <w:highlight w:val="none"/>
          <w:lang w:val="en-US" w:eastAsia="zh-CN"/>
        </w:rPr>
        <w:t xml:space="preserve">补偿款200</w:t>
      </w:r>
      <w:r>
        <w:rPr>
          <w:rFonts w:ascii="Times New Roman" w:hAnsi="Times New Roman" w:cs="Times New Roman" w:hint="default"/>
          <w:color w:val="000000"/>
          <w:highlight w:val="none"/>
          <w:lang w:val="en-US" w:eastAsia="zh-CN"/>
        </w:rPr>
        <w:t xml:space="preserve">万元</w:t>
      </w:r>
      <w:r>
        <w:rPr>
          <w:rFonts w:ascii="Times New Roman" w:hAnsi="Times New Roman" w:cs="Times New Roman" w:hint="eastAsia"/>
          <w:color w:val="000000"/>
          <w:highlight w:val="none"/>
          <w:lang w:val="en-US" w:eastAsia="zh-CN"/>
        </w:rPr>
        <w:t xml:space="preserve">、</w:t>
      </w:r>
      <w:r>
        <w:rPr>
          <w:rFonts w:ascii="Times New Roman" w:hAnsi="Times New Roman" w:cs="Times New Roman" w:hint="default"/>
          <w:color w:val="000000"/>
          <w:highlight w:val="none"/>
          <w:lang w:val="en-US" w:eastAsia="zh-CN"/>
        </w:rPr>
        <w:t xml:space="preserve">202</w:t>
      </w:r>
      <w:r>
        <w:rPr>
          <w:rFonts w:ascii="Times New Roman" w:hAnsi="Times New Roman" w:cs="Times New Roman" w:hint="eastAsia"/>
          <w:color w:val="000000"/>
          <w:highlight w:val="none"/>
          <w:lang w:val="en-US" w:eastAsia="zh-CN"/>
        </w:rPr>
        <w:t xml:space="preserve">4</w:t>
      </w:r>
      <w:r>
        <w:rPr>
          <w:rFonts w:ascii="Times New Roman" w:hAnsi="Times New Roman" w:cs="Times New Roman" w:hint="default"/>
          <w:color w:val="000000"/>
          <w:highlight w:val="none"/>
          <w:lang w:val="en-US" w:eastAsia="zh-CN"/>
        </w:rPr>
        <w:t xml:space="preserve">年</w:t>
      </w:r>
      <w:r>
        <w:rPr>
          <w:rFonts w:ascii="Times New Roman" w:hAnsi="Times New Roman" w:cs="Times New Roman" w:hint="eastAsia"/>
          <w:color w:val="000000"/>
          <w:highlight w:val="none"/>
          <w:lang w:val="en-US" w:eastAsia="zh-CN"/>
        </w:rPr>
        <w:t xml:space="preserve">8</w:t>
      </w:r>
      <w:r>
        <w:rPr>
          <w:rFonts w:ascii="Times New Roman" w:hAnsi="Times New Roman" w:cs="Times New Roman" w:hint="default"/>
          <w:color w:val="000000"/>
          <w:highlight w:val="none"/>
          <w:lang w:val="en-US" w:eastAsia="zh-CN"/>
        </w:rPr>
        <w:t xml:space="preserve">月</w:t>
      </w:r>
      <w:r>
        <w:rPr>
          <w:rFonts w:ascii="Times New Roman" w:hAnsi="Times New Roman" w:cs="Times New Roman" w:hint="eastAsia"/>
          <w:color w:val="000000"/>
          <w:highlight w:val="none"/>
          <w:lang w:val="en-US" w:eastAsia="zh-CN"/>
        </w:rPr>
        <w:t xml:space="preserve">27</w:t>
      </w:r>
      <w:r>
        <w:rPr>
          <w:rFonts w:ascii="Times New Roman" w:hAnsi="Times New Roman" w:cs="Times New Roman" w:hint="default"/>
          <w:color w:val="000000"/>
          <w:highlight w:val="none"/>
          <w:lang w:val="en-US" w:eastAsia="zh-CN"/>
        </w:rPr>
        <w:t xml:space="preserve">日，支付</w:t>
      </w:r>
      <w:r>
        <w:rPr>
          <w:rFonts w:ascii="Times New Roman" w:hAnsi="Times New Roman" w:cs="Times New Roman" w:hint="eastAsia"/>
          <w:color w:val="000000"/>
          <w:highlight w:val="none"/>
          <w:lang w:val="en-US" w:eastAsia="zh-CN"/>
        </w:rPr>
        <w:t xml:space="preserve">补偿款242.04</w:t>
      </w:r>
      <w:r>
        <w:rPr>
          <w:rFonts w:ascii="Times New Roman" w:hAnsi="Times New Roman" w:cs="Times New Roman" w:hint="default"/>
          <w:color w:val="000000"/>
          <w:highlight w:val="none"/>
          <w:lang w:val="en-US" w:eastAsia="zh-CN"/>
        </w:rPr>
        <w:t xml:space="preserve">万元</w:t>
      </w:r>
      <w:r>
        <w:rPr>
          <w:rFonts w:ascii="Times New Roman" w:hAnsi="Times New Roman" w:cs="Times New Roman" w:hint="eastAsia"/>
          <w:color w:val="000000"/>
          <w:highlight w:val="none"/>
          <w:lang w:val="en-US" w:eastAsia="zh-CN"/>
        </w:rPr>
        <w:t xml:space="preserve">，共支付补偿款642.04万元。</w:t>
      </w:r>
      <w:bookmarkEnd w:id="29"/>
    </w:p>
    <w:p>
      <w:pPr>
        <w:bidi w:val="0"/>
        <w:jc w:val="both"/>
        <w:rPr>
          <w:rFonts w:ascii="Times New Roman" w:eastAsia="仿宋_GB2312" w:hAnsi="Times New Roman" w:cs="Times New Roman" w:hint="default"/>
          <w:b/>
          <w:bCs/>
          <w:color w:val="000000"/>
          <w:highlight w:val="none"/>
        </w:rPr>
      </w:pPr>
      <w:r>
        <w:rPr>
          <w:rFonts w:ascii="Times New Roman" w:eastAsia="仿宋_GB2312" w:hAnsi="Times New Roman" w:cs="Times New Roman" w:hint="default"/>
          <w:b/>
          <w:bCs/>
          <w:color w:val="000000"/>
          <w:highlight w:val="none"/>
        </w:rPr>
        <w:t xml:space="preserve">4.资金投入情况</w:t>
      </w:r>
      <w:bookmarkEnd w:id="27"/>
      <w:bookmarkEnd w:id="28"/>
    </w:p>
    <w:p>
      <w:pPr>
        <w:bidi w:val="0"/>
        <w:jc w:val="both"/>
        <w:rPr>
          <w:rFonts w:ascii="Times New Roman" w:hAnsi="Times New Roman" w:cs="Times New Roman" w:hint="default"/>
          <w:b w:val="0"/>
          <w:color w:val="000000"/>
          <w:kern w:val="2"/>
          <w:sz w:val="32"/>
          <w:szCs w:val="22"/>
          <w:highlight w:val="none"/>
          <w:lang w:val="en-US" w:eastAsia="zh-CN" w:bidi="ar-SA"/>
        </w:rPr>
      </w:pPr>
      <w:bookmarkStart w:id="30" w:name="OLE_LINK20"/>
      <w:bookmarkStart w:id="31" w:name="_Toc7324"/>
      <w:r>
        <w:rPr>
          <w:rFonts w:ascii="Times New Roman" w:eastAsia="仿宋_GB2312" w:hAnsi="Times New Roman" w:cs="Times New Roman" w:hint="default"/>
          <w:color w:val="000000"/>
          <w:highlight w:val="none"/>
        </w:rPr>
        <w:t xml:space="preserve">根据《</w:t>
      </w:r>
      <w:r>
        <w:rPr>
          <w:rFonts w:ascii="Times New Roman" w:eastAsia="仿宋_GB2312" w:hAnsi="Times New Roman" w:cs="Times New Roman" w:hint="eastAsia"/>
          <w:b w:val="0"/>
          <w:color w:val="000000"/>
          <w:kern w:val="2"/>
          <w:sz w:val="32"/>
          <w:szCs w:val="22"/>
          <w:highlight w:val="none"/>
          <w:lang w:val="en-US" w:eastAsia="zh-CN" w:bidi="ar-SA"/>
        </w:rPr>
        <w:t xml:space="preserve">中石油新疆销售有限公司巴州分公司尉犁楼兰加油站</w:t>
      </w:r>
      <w:r>
        <w:rPr>
          <w:rFonts w:ascii="Times New Roman" w:hAnsi="Times New Roman" w:cs="Times New Roman" w:hint="eastAsia"/>
          <w:b w:val="0"/>
          <w:color w:val="000000"/>
          <w:kern w:val="2"/>
          <w:sz w:val="32"/>
          <w:szCs w:val="22"/>
          <w:highlight w:val="none"/>
          <w:lang w:val="en-US" w:eastAsia="zh-CN" w:bidi="ar-SA"/>
        </w:rPr>
        <w:t xml:space="preserve">资产评估费</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eastAsia="zh-CN"/>
        </w:rPr>
        <w:t xml:space="preserve">尉财预</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2024</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104</w:t>
      </w:r>
      <w:r>
        <w:rPr>
          <w:rFonts w:ascii="Times New Roman" w:eastAsia="仿宋_GB2312" w:hAnsi="Times New Roman" w:cs="Times New Roman" w:hint="default"/>
          <w:color w:val="000000"/>
          <w:highlight w:val="none"/>
        </w:rPr>
        <w:t xml:space="preserve">号），下达</w:t>
      </w:r>
      <w:r>
        <w:rPr>
          <w:rFonts w:ascii="Times New Roman" w:hAnsi="Times New Roman" w:cs="Times New Roman" w:hint="eastAsia"/>
          <w:color w:val="000000"/>
          <w:highlight w:val="none"/>
          <w:lang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资金</w:t>
      </w:r>
      <w:r>
        <w:rPr>
          <w:rFonts w:ascii="Times New Roman" w:hAnsi="Times New Roman" w:cs="Times New Roman" w:hint="eastAsia"/>
          <w:color w:val="000000"/>
          <w:highlight w:val="none"/>
          <w:lang w:val="en-US" w:eastAsia="zh-CN"/>
        </w:rPr>
        <w:t xml:space="preserve">642.04</w:t>
      </w:r>
      <w:r>
        <w:rPr>
          <w:rFonts w:ascii="Times New Roman" w:eastAsia="仿宋_GB2312" w:hAnsi="Times New Roman" w:cs="Times New Roman" w:hint="default"/>
          <w:color w:val="000000"/>
          <w:highlight w:val="none"/>
        </w:rPr>
        <w:t xml:space="preserve">万元</w:t>
      </w:r>
      <w:bookmarkEnd w:id="30"/>
      <w:r>
        <w:rPr>
          <w:rFonts w:ascii="Times New Roman" w:hAnsi="Times New Roman" w:cs="Times New Roman" w:hint="eastAsia"/>
          <w:color w:val="000000"/>
          <w:highlight w:val="none"/>
          <w:lang w:eastAsia="zh-CN"/>
        </w:rPr>
        <w:t xml:space="preserve">；</w:t>
      </w:r>
      <w:r>
        <w:rPr>
          <w:rFonts w:ascii="Times New Roman" w:eastAsia="仿宋_GB2312" w:hAnsi="Times New Roman" w:cs="Times New Roman" w:hint="default"/>
          <w:color w:val="000000"/>
          <w:highlight w:val="none"/>
        </w:rPr>
        <w:t xml:space="preserve">根据《</w:t>
      </w:r>
      <w:r>
        <w:rPr>
          <w:rFonts w:ascii="Times New Roman" w:eastAsia="仿宋_GB2312" w:hAnsi="Times New Roman" w:cs="Times New Roman" w:hint="eastAsia"/>
          <w:b w:val="0"/>
          <w:color w:val="000000"/>
          <w:kern w:val="2"/>
          <w:sz w:val="32"/>
          <w:szCs w:val="22"/>
          <w:highlight w:val="none"/>
          <w:lang w:val="en-US" w:eastAsia="zh-CN" w:bidi="ar-SA"/>
        </w:rPr>
        <w:t xml:space="preserve">中石油新疆销售有限公司巴州分公司尉犁楼兰加油站</w:t>
      </w:r>
      <w:r>
        <w:rPr>
          <w:rFonts w:ascii="Times New Roman" w:hAnsi="Times New Roman" w:cs="Times New Roman" w:hint="eastAsia"/>
          <w:b w:val="0"/>
          <w:color w:val="000000"/>
          <w:kern w:val="2"/>
          <w:sz w:val="32"/>
          <w:szCs w:val="22"/>
          <w:highlight w:val="none"/>
          <w:lang w:val="en-US" w:eastAsia="zh-CN" w:bidi="ar-SA"/>
        </w:rPr>
        <w:t xml:space="preserve">征收补偿费（十三届第十一次财经会）</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eastAsia="zh-CN"/>
        </w:rPr>
        <w:t xml:space="preserve">尉财预</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2024</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116</w:t>
      </w:r>
      <w:r>
        <w:rPr>
          <w:rFonts w:ascii="Times New Roman" w:eastAsia="仿宋_GB2312" w:hAnsi="Times New Roman" w:cs="Times New Roman" w:hint="default"/>
          <w:color w:val="000000"/>
          <w:highlight w:val="none"/>
        </w:rPr>
        <w:t xml:space="preserve">号），下达</w:t>
      </w:r>
      <w:r>
        <w:rPr>
          <w:rFonts w:ascii="Times New Roman" w:hAnsi="Times New Roman" w:cs="Times New Roman" w:hint="eastAsia"/>
          <w:color w:val="000000"/>
          <w:highlight w:val="none"/>
          <w:lang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资金</w:t>
      </w:r>
      <w:r>
        <w:rPr>
          <w:rFonts w:ascii="Times New Roman" w:hAnsi="Times New Roman" w:cs="Times New Roman" w:hint="eastAsia"/>
          <w:color w:val="000000"/>
          <w:highlight w:val="none"/>
          <w:lang w:val="en-US" w:eastAsia="zh-CN"/>
        </w:rPr>
        <w:t xml:space="preserve">1</w:t>
      </w:r>
      <w:r>
        <w:rPr>
          <w:rFonts w:ascii="Times New Roman" w:eastAsia="仿宋_GB2312" w:hAnsi="Times New Roman" w:cs="Times New Roman" w:hint="default"/>
          <w:color w:val="000000"/>
          <w:highlight w:val="none"/>
        </w:rPr>
        <w:t xml:space="preserve">万元。</w:t>
      </w:r>
      <w:r>
        <w:rPr>
          <w:rFonts w:ascii="Times New Roman" w:hAnsi="Times New Roman" w:cs="Times New Roman" w:hint="eastAsia"/>
          <w:color w:val="000000"/>
          <w:highlight w:val="none"/>
          <w:lang w:eastAsia="zh-CN"/>
        </w:rPr>
        <w:t xml:space="preserve">共计下达资金</w:t>
      </w:r>
      <w:r>
        <w:rPr>
          <w:rFonts w:ascii="Times New Roman" w:eastAsia="仿宋_GB2312" w:hAnsi="Times New Roman" w:cs="Times New Roman" w:hint="eastAsia"/>
          <w:b w:val="0"/>
          <w:color w:val="000000"/>
          <w:kern w:val="2"/>
          <w:sz w:val="32"/>
          <w:szCs w:val="22"/>
          <w:highlight w:val="none"/>
          <w:lang w:val="en-US" w:eastAsia="zh-CN" w:bidi="ar-SA"/>
        </w:rPr>
        <w:t xml:space="preserve">643.04万元</w:t>
      </w:r>
      <w:r>
        <w:rPr>
          <w:rFonts w:ascii="Times New Roman" w:hAnsi="Times New Roman" w:cs="Times New Roman" w:hint="eastAsia"/>
          <w:b w:val="0"/>
          <w:color w:val="000000"/>
          <w:kern w:val="2"/>
          <w:sz w:val="32"/>
          <w:szCs w:val="22"/>
          <w:highlight w:val="none"/>
          <w:lang w:val="en-US" w:eastAsia="zh-CN" w:bidi="ar-SA"/>
        </w:rPr>
        <w:t xml:space="preserve">，用于征收补偿费用642.04万元、评估费用1万元。</w:t>
      </w:r>
    </w:p>
    <w:p>
      <w:pPr>
        <w:bidi w:val="0"/>
        <w:jc w:val="both"/>
        <w:rPr>
          <w:rFonts w:ascii="Times New Roman" w:eastAsia="仿宋_GB2312" w:hAnsi="Times New Roman" w:cs="Times New Roman" w:hint="eastAsia"/>
          <w:b w:val="0"/>
          <w:color w:val="000000"/>
          <w:kern w:val="2"/>
          <w:sz w:val="32"/>
          <w:szCs w:val="22"/>
          <w:highlight w:val="none"/>
          <w:lang w:val="en-US" w:eastAsia="zh-CN" w:bidi="ar-SA"/>
        </w:rPr>
      </w:pPr>
      <w:r>
        <w:rPr>
          <w:rFonts w:ascii="Times New Roman" w:eastAsia="仿宋_GB2312" w:hAnsi="Times New Roman" w:cs="Times New Roman" w:hint="eastAsia"/>
          <w:b w:val="0"/>
          <w:color w:val="000000"/>
          <w:kern w:val="2"/>
          <w:sz w:val="32"/>
          <w:szCs w:val="22"/>
          <w:highlight w:val="none"/>
          <w:lang w:val="en-US" w:eastAsia="zh-CN" w:bidi="ar-SA"/>
        </w:rPr>
        <w:t xml:space="preserve">实施中石油新疆销售有限公司巴州分公司尉犁楼兰加油站征收项目，其中县级财政资金643.04万元。</w:t>
      </w:r>
    </w:p>
    <w:p>
      <w:pPr>
        <w:bidi w:val="0"/>
        <w:jc w:val="both"/>
        <w:rPr>
          <w:rFonts w:ascii="Times New Roman" w:eastAsia="仿宋_GB2312" w:hAnsi="Times New Roman" w:cs="Times New Roman" w:hint="default"/>
          <w:b/>
          <w:bCs/>
          <w:color w:val="000000"/>
          <w:highlight w:val="none"/>
        </w:rPr>
      </w:pPr>
      <w:bookmarkStart w:id="32" w:name="_Toc10837"/>
      <w:r>
        <w:rPr>
          <w:rFonts w:ascii="Times New Roman" w:eastAsia="仿宋_GB2312" w:hAnsi="Times New Roman" w:cs="Times New Roman" w:hint="default"/>
          <w:b/>
          <w:bCs/>
          <w:color w:val="000000"/>
          <w:highlight w:val="none"/>
        </w:rPr>
        <w:t xml:space="preserve">5.资金使用情况</w:t>
      </w:r>
      <w:bookmarkEnd w:id="31"/>
      <w:bookmarkEnd w:id="32"/>
    </w:p>
    <w:p>
      <w:pPr>
        <w:bidi w:val="0"/>
        <w:jc w:val="both"/>
        <w:rPr>
          <w:rFonts w:ascii="Times New Roman" w:eastAsia="仿宋_GB2312" w:hAnsi="Times New Roman" w:cs="Times New Roman" w:hint="default"/>
          <w:color w:val="000000"/>
          <w:highlight w:val="none"/>
        </w:rPr>
      </w:pPr>
      <w:r>
        <w:rPr>
          <w:rFonts w:ascii="Times New Roman" w:hAnsi="Times New Roman" w:cs="Times New Roman" w:hint="eastAsia"/>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sz w:val="32"/>
          <w:szCs w:val="32"/>
          <w:highlight w:val="none"/>
          <w:lang w:eastAsia="zh-CN"/>
        </w:rPr>
        <w:t xml:space="preserve">年初预算数</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实际到位资金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截</w:t>
      </w:r>
      <w:r>
        <w:rPr>
          <w:rFonts w:ascii="Times New Roman" w:hAnsi="Times New Roman" w:cs="Times New Roman" w:hint="eastAsia"/>
          <w:color w:val="000000"/>
          <w:highlight w:val="none"/>
          <w:lang w:val="en-US" w:eastAsia="zh-CN"/>
        </w:rPr>
        <w:t xml:space="preserve">至</w:t>
      </w:r>
      <w:r>
        <w:rPr>
          <w:rFonts w:ascii="Times New Roman" w:eastAsia="仿宋_GB2312" w:hAnsi="Times New Roman" w:cs="Times New Roman" w:hint="default"/>
          <w:color w:val="000000"/>
          <w:highlight w:val="none"/>
        </w:rPr>
        <w:t xml:space="preserve">202</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年12月31日</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项目实际使用资金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万元，资金</w:t>
      </w:r>
      <w:r>
        <w:rPr>
          <w:rFonts w:ascii="Times New Roman" w:eastAsia="仿宋_GB2312" w:hAnsi="Times New Roman" w:cs="Times New Roman" w:hint="default"/>
          <w:color w:val="000000"/>
          <w:highlight w:val="none"/>
          <w:lang w:val="en-US" w:eastAsia="zh-CN"/>
        </w:rPr>
        <w:t xml:space="preserve">使用</w:t>
      </w:r>
      <w:r>
        <w:rPr>
          <w:rFonts w:ascii="Times New Roman" w:eastAsia="仿宋_GB2312" w:hAnsi="Times New Roman" w:cs="Times New Roman" w:hint="default"/>
          <w:color w:val="000000"/>
          <w:highlight w:val="none"/>
        </w:rPr>
        <w:t xml:space="preserve">率达到了</w:t>
      </w:r>
      <w:r>
        <w:rPr>
          <w:rFonts w:ascii="Times New Roman" w:eastAsia="仿宋_GB2312" w:hAnsi="Times New Roman" w:cs="Times New Roman" w:hint="default"/>
          <w:color w:val="000000"/>
          <w:highlight w:val="none"/>
          <w:lang w:val="en-US" w:eastAsia="zh-CN"/>
        </w:rPr>
        <w:t xml:space="preserve">100</w:t>
      </w:r>
      <w:r>
        <w:rPr>
          <w:rFonts w:ascii="Times New Roman" w:eastAsia="仿宋_GB2312" w:hAnsi="Times New Roman" w:cs="Times New Roman" w:hint="default"/>
          <w:color w:val="000000"/>
          <w:highlight w:val="none"/>
        </w:rPr>
        <w:t xml:space="preserve">%。具体资金支付情况</w:t>
      </w:r>
      <w:r>
        <w:rPr>
          <w:rFonts w:ascii="Times New Roman" w:hAnsi="Times New Roman" w:cs="Times New Roman" w:hint="eastAsia"/>
          <w:color w:val="000000"/>
          <w:highlight w:val="none"/>
          <w:lang w:val="en-US" w:eastAsia="zh-CN"/>
        </w:rPr>
        <w:t xml:space="preserve">如下</w:t>
      </w:r>
      <w:r>
        <w:rPr>
          <w:rFonts w:ascii="Times New Roman" w:eastAsia="仿宋_GB2312" w:hAnsi="Times New Roman" w:cs="Times New Roman" w:hint="default"/>
          <w:color w:val="000000"/>
          <w:highlight w:val="none"/>
        </w:rPr>
        <w:t xml:space="preserve">：</w:t>
      </w:r>
    </w:p>
    <w:p>
      <w:pPr>
        <w:bidi w:val="0"/>
        <w:jc w:val="both"/>
        <w:rPr>
          <w:rFonts w:ascii="Times New Roman" w:hAnsi="Times New Roman" w:cs="Times New Roman" w:hint="eastAsia"/>
          <w:color w:val="000000"/>
          <w:highlight w:val="none"/>
          <w:lang w:eastAsia="zh-CN"/>
        </w:rPr>
      </w:pPr>
      <w:r>
        <w:rPr>
          <w:rFonts w:ascii="Times New Roman" w:eastAsia="仿宋_GB2312" w:hAnsi="Times New Roman" w:cs="Times New Roman" w:hint="default"/>
          <w:color w:val="000000"/>
          <w:highlight w:val="none"/>
        </w:rPr>
        <w:t xml:space="preserve">202</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年</w:t>
      </w:r>
      <w:r>
        <w:rPr>
          <w:rFonts w:ascii="Times New Roman" w:hAnsi="Times New Roman" w:cs="Times New Roman" w:hint="eastAsia"/>
          <w:color w:val="000000"/>
          <w:highlight w:val="none"/>
          <w:lang w:val="en-US" w:eastAsia="zh-CN"/>
        </w:rPr>
        <w:t xml:space="preserve">3</w:t>
      </w:r>
      <w:r>
        <w:rPr>
          <w:rFonts w:ascii="Times New Roman" w:eastAsia="仿宋_GB2312" w:hAnsi="Times New Roman" w:cs="Times New Roman" w:hint="default"/>
          <w:color w:val="000000"/>
          <w:highlight w:val="none"/>
        </w:rPr>
        <w:t xml:space="preserve">月</w:t>
      </w:r>
      <w:r>
        <w:rPr>
          <w:rFonts w:ascii="Times New Roman" w:hAnsi="Times New Roman" w:cs="Times New Roman" w:hint="eastAsia"/>
          <w:color w:val="000000"/>
          <w:highlight w:val="none"/>
          <w:lang w:val="en-US" w:eastAsia="zh-CN"/>
        </w:rPr>
        <w:t xml:space="preserve">7</w:t>
      </w:r>
      <w:r>
        <w:rPr>
          <w:rFonts w:ascii="Times New Roman" w:eastAsia="仿宋_GB2312" w:hAnsi="Times New Roman" w:cs="Times New Roman" w:hint="default"/>
          <w:color w:val="000000"/>
          <w:highlight w:val="none"/>
        </w:rPr>
        <w:t xml:space="preserve">日，支付</w:t>
      </w:r>
      <w:r>
        <w:rPr>
          <w:rFonts w:ascii="Times New Roman" w:hAnsi="Times New Roman" w:cs="Times New Roman" w:hint="eastAsia"/>
          <w:color w:val="000000"/>
          <w:highlight w:val="none"/>
          <w:lang w:eastAsia="zh-CN"/>
        </w:rPr>
        <w:t xml:space="preserve">新疆兆新评估有限公司评估费</w:t>
      </w:r>
      <w:r>
        <w:rPr>
          <w:rFonts w:ascii="Times New Roman" w:hAnsi="Times New Roman" w:cs="Times New Roman" w:hint="eastAsia"/>
          <w:color w:val="000000"/>
          <w:highlight w:val="none"/>
          <w:lang w:val="en-US" w:eastAsia="zh-CN"/>
        </w:rPr>
        <w:t xml:space="preserve">1</w:t>
      </w:r>
      <w:r>
        <w:rPr>
          <w:rFonts w:ascii="Times New Roman" w:eastAsia="仿宋_GB2312" w:hAnsi="Times New Roman" w:cs="Times New Roman" w:hint="default"/>
          <w:color w:val="000000"/>
          <w:highlight w:val="none"/>
        </w:rPr>
        <w:t xml:space="preserve">万元</w:t>
      </w:r>
      <w:r>
        <w:rPr>
          <w:rFonts w:ascii="Times New Roman" w:hAnsi="Times New Roman" w:cs="Times New Roman" w:hint="eastAsia"/>
          <w:color w:val="000000"/>
          <w:highlight w:val="none"/>
          <w:lang w:eastAsia="zh-CN"/>
        </w:rPr>
        <w:t xml:space="preserve">，</w:t>
      </w:r>
    </w:p>
    <w:p>
      <w:pPr>
        <w:bidi w:val="0"/>
        <w:rPr>
          <w:rFonts w:ascii="Times New Roman" w:eastAsia="仿宋_GB2312" w:hAnsi="Times New Roman" w:cs="Times New Roman" w:hint="eastAsia"/>
          <w:color w:val="000000"/>
          <w:highlight w:val="none"/>
          <w:lang w:eastAsia="zh-CN"/>
        </w:rPr>
      </w:pPr>
      <w:bookmarkStart w:id="33" w:name="OLE_LINK21"/>
      <w:r>
        <w:rPr>
          <w:rFonts w:ascii="Times New Roman" w:eastAsia="仿宋_GB2312" w:hAnsi="Times New Roman" w:cs="Times New Roman" w:hint="default"/>
          <w:color w:val="000000"/>
          <w:highlight w:val="none"/>
        </w:rPr>
        <w:t xml:space="preserve">202</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年</w:t>
      </w:r>
      <w:r>
        <w:rPr>
          <w:rFonts w:ascii="Times New Roman" w:hAnsi="Times New Roman" w:cs="Times New Roman" w:hint="eastAsia"/>
          <w:color w:val="000000"/>
          <w:highlight w:val="none"/>
          <w:lang w:val="en-US" w:eastAsia="zh-CN"/>
        </w:rPr>
        <w:t xml:space="preserve">6</w:t>
      </w:r>
      <w:r>
        <w:rPr>
          <w:rFonts w:ascii="Times New Roman" w:eastAsia="仿宋_GB2312" w:hAnsi="Times New Roman" w:cs="Times New Roman" w:hint="default"/>
          <w:color w:val="000000"/>
          <w:highlight w:val="none"/>
        </w:rPr>
        <w:t xml:space="preserve">月</w:t>
      </w:r>
      <w:r>
        <w:rPr>
          <w:rFonts w:ascii="Times New Roman" w:hAnsi="Times New Roman" w:cs="Times New Roman" w:hint="eastAsia"/>
          <w:color w:val="000000"/>
          <w:highlight w:val="none"/>
          <w:lang w:val="en-US" w:eastAsia="zh-CN"/>
        </w:rPr>
        <w:t xml:space="preserve">21</w:t>
      </w:r>
      <w:r>
        <w:rPr>
          <w:rFonts w:ascii="Times New Roman" w:eastAsia="仿宋_GB2312" w:hAnsi="Times New Roman" w:cs="Times New Roman" w:hint="default"/>
          <w:color w:val="000000"/>
          <w:highlight w:val="none"/>
        </w:rPr>
        <w:t xml:space="preserve">日，支付</w:t>
      </w:r>
      <w:r>
        <w:rPr>
          <w:rFonts w:ascii="Times New Roman" w:hAnsi="Times New Roman" w:cs="Times New Roman" w:hint="eastAsia"/>
          <w:color w:val="000000"/>
          <w:highlight w:val="none"/>
          <w:lang w:val="en-US" w:eastAsia="zh-CN"/>
        </w:rPr>
        <w:t xml:space="preserve">中石油新疆销售有限公司巴州分公司尉犁楼兰加油站</w:t>
      </w:r>
      <w:r>
        <w:rPr>
          <w:rFonts w:ascii="Times New Roman" w:hAnsi="Times New Roman" w:cs="Times New Roman" w:hint="eastAsia"/>
          <w:color w:val="000000"/>
          <w:highlight w:val="none"/>
          <w:lang w:eastAsia="zh-CN"/>
        </w:rPr>
        <w:t xml:space="preserve">补偿款</w:t>
      </w:r>
      <w:r>
        <w:rPr>
          <w:rFonts w:ascii="Times New Roman" w:hAnsi="Times New Roman" w:cs="Times New Roman" w:hint="eastAsia"/>
          <w:color w:val="000000"/>
          <w:highlight w:val="none"/>
          <w:lang w:val="en-US" w:eastAsia="zh-CN"/>
        </w:rPr>
        <w:t xml:space="preserve">200</w:t>
      </w:r>
      <w:r>
        <w:rPr>
          <w:rFonts w:ascii="Times New Roman" w:eastAsia="仿宋_GB2312" w:hAnsi="Times New Roman" w:cs="Times New Roman" w:hint="default"/>
          <w:color w:val="000000"/>
          <w:highlight w:val="none"/>
        </w:rPr>
        <w:t xml:space="preserve">万元</w:t>
      </w:r>
      <w:bookmarkEnd w:id="33"/>
      <w:r>
        <w:rPr>
          <w:rFonts w:ascii="Times New Roman" w:hAnsi="Times New Roman" w:cs="Times New Roman" w:hint="eastAsia"/>
          <w:color w:val="000000"/>
          <w:highlight w:val="none"/>
          <w:lang w:eastAsia="zh-CN"/>
        </w:rPr>
        <w:t xml:space="preserve">，</w:t>
      </w:r>
    </w:p>
    <w:p>
      <w:pPr>
        <w:bidi w:val="0"/>
        <w:rPr>
          <w:rFonts w:ascii="Times New Roman" w:eastAsia="仿宋_GB2312" w:hAnsi="Times New Roman" w:cs="Times New Roman" w:hint="eastAsia"/>
          <w:color w:val="000000"/>
          <w:highlight w:val="none"/>
          <w:lang w:eastAsia="zh-CN"/>
        </w:rPr>
      </w:pPr>
      <w:r>
        <w:rPr>
          <w:rFonts w:ascii="Times New Roman" w:eastAsia="仿宋_GB2312" w:hAnsi="Times New Roman" w:cs="Times New Roman" w:hint="default"/>
          <w:color w:val="000000"/>
          <w:highlight w:val="none"/>
        </w:rPr>
        <w:t xml:space="preserve">202</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年</w:t>
      </w:r>
      <w:r>
        <w:rPr>
          <w:rFonts w:ascii="Times New Roman" w:hAnsi="Times New Roman" w:cs="Times New Roman" w:hint="eastAsia"/>
          <w:color w:val="000000"/>
          <w:highlight w:val="none"/>
          <w:lang w:val="en-US" w:eastAsia="zh-CN"/>
        </w:rPr>
        <w:t xml:space="preserve">7</w:t>
      </w:r>
      <w:r>
        <w:rPr>
          <w:rFonts w:ascii="Times New Roman" w:eastAsia="仿宋_GB2312" w:hAnsi="Times New Roman" w:cs="Times New Roman" w:hint="default"/>
          <w:color w:val="000000"/>
          <w:highlight w:val="none"/>
        </w:rPr>
        <w:t xml:space="preserve">月</w:t>
      </w:r>
      <w:r>
        <w:rPr>
          <w:rFonts w:ascii="Times New Roman" w:hAnsi="Times New Roman" w:cs="Times New Roman" w:hint="eastAsia"/>
          <w:color w:val="000000"/>
          <w:highlight w:val="none"/>
          <w:lang w:val="en-US" w:eastAsia="zh-CN"/>
        </w:rPr>
        <w:t xml:space="preserve">24</w:t>
      </w:r>
      <w:r>
        <w:rPr>
          <w:rFonts w:ascii="Times New Roman" w:eastAsia="仿宋_GB2312" w:hAnsi="Times New Roman" w:cs="Times New Roman" w:hint="default"/>
          <w:color w:val="000000"/>
          <w:highlight w:val="none"/>
        </w:rPr>
        <w:t xml:space="preserve">日，支付</w:t>
      </w:r>
      <w:r>
        <w:rPr>
          <w:rFonts w:ascii="Times New Roman" w:hAnsi="Times New Roman" w:cs="Times New Roman" w:hint="eastAsia"/>
          <w:color w:val="000000"/>
          <w:highlight w:val="none"/>
          <w:lang w:val="en-US" w:eastAsia="zh-CN"/>
        </w:rPr>
        <w:t xml:space="preserve">中石油新疆销售有限公司巴州分公司尉犁楼兰加油站</w:t>
      </w:r>
      <w:r>
        <w:rPr>
          <w:rFonts w:ascii="Times New Roman" w:hAnsi="Times New Roman" w:cs="Times New Roman" w:hint="eastAsia"/>
          <w:color w:val="000000"/>
          <w:highlight w:val="none"/>
          <w:lang w:eastAsia="zh-CN"/>
        </w:rPr>
        <w:t xml:space="preserve">补偿款</w:t>
      </w:r>
      <w:r>
        <w:rPr>
          <w:rFonts w:ascii="Times New Roman" w:hAnsi="Times New Roman" w:cs="Times New Roman" w:hint="eastAsia"/>
          <w:color w:val="000000"/>
          <w:highlight w:val="none"/>
          <w:lang w:val="en-US" w:eastAsia="zh-CN"/>
        </w:rPr>
        <w:t xml:space="preserve">200</w:t>
      </w:r>
      <w:r>
        <w:rPr>
          <w:rFonts w:ascii="Times New Roman" w:eastAsia="仿宋_GB2312" w:hAnsi="Times New Roman" w:cs="Times New Roman" w:hint="default"/>
          <w:color w:val="000000"/>
          <w:highlight w:val="none"/>
        </w:rPr>
        <w:t xml:space="preserve">万元</w:t>
      </w:r>
      <w:r>
        <w:rPr>
          <w:rFonts w:ascii="Times New Roman" w:hAnsi="Times New Roman" w:cs="Times New Roman" w:hint="eastAsia"/>
          <w:color w:val="000000"/>
          <w:highlight w:val="none"/>
          <w:lang w:eastAsia="zh-CN"/>
        </w:rPr>
        <w:t xml:space="preserve">，</w:t>
      </w:r>
    </w:p>
    <w:p>
      <w:pPr>
        <w:bidi w:val="0"/>
        <w:rPr>
          <w:rFonts w:hint="eastAsia"/>
          <w:color w:val="000000"/>
          <w:highlight w:val="none"/>
          <w:lang w:eastAsia="zh-CN"/>
        </w:rPr>
      </w:pPr>
      <w:r>
        <w:rPr>
          <w:rFonts w:ascii="Times New Roman" w:eastAsia="仿宋_GB2312" w:hAnsi="Times New Roman" w:cs="Times New Roman" w:hint="default"/>
          <w:color w:val="000000"/>
          <w:highlight w:val="none"/>
        </w:rPr>
        <w:t xml:space="preserve">202</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年</w:t>
      </w:r>
      <w:r>
        <w:rPr>
          <w:rFonts w:ascii="Times New Roman" w:hAnsi="Times New Roman" w:cs="Times New Roman" w:hint="eastAsia"/>
          <w:color w:val="000000"/>
          <w:highlight w:val="none"/>
          <w:lang w:val="en-US" w:eastAsia="zh-CN"/>
        </w:rPr>
        <w:t xml:space="preserve">8</w:t>
      </w:r>
      <w:r>
        <w:rPr>
          <w:rFonts w:ascii="Times New Roman" w:eastAsia="仿宋_GB2312" w:hAnsi="Times New Roman" w:cs="Times New Roman" w:hint="default"/>
          <w:color w:val="000000"/>
          <w:highlight w:val="none"/>
        </w:rPr>
        <w:t xml:space="preserve">月</w:t>
      </w:r>
      <w:r>
        <w:rPr>
          <w:rFonts w:ascii="Times New Roman" w:hAnsi="Times New Roman" w:cs="Times New Roman" w:hint="eastAsia"/>
          <w:color w:val="000000"/>
          <w:highlight w:val="none"/>
          <w:lang w:val="en-US" w:eastAsia="zh-CN"/>
        </w:rPr>
        <w:t xml:space="preserve">27</w:t>
      </w:r>
      <w:r>
        <w:rPr>
          <w:rFonts w:ascii="Times New Roman" w:eastAsia="仿宋_GB2312" w:hAnsi="Times New Roman" w:cs="Times New Roman" w:hint="default"/>
          <w:color w:val="000000"/>
          <w:highlight w:val="none"/>
        </w:rPr>
        <w:t xml:space="preserve">日，支付</w:t>
      </w:r>
      <w:r>
        <w:rPr>
          <w:rFonts w:ascii="Times New Roman" w:hAnsi="Times New Roman" w:cs="Times New Roman" w:hint="eastAsia"/>
          <w:color w:val="000000"/>
          <w:highlight w:val="none"/>
          <w:lang w:val="en-US" w:eastAsia="zh-CN"/>
        </w:rPr>
        <w:t xml:space="preserve">中石油新疆销售有限公司巴州分公司尉犁楼兰加油站</w:t>
      </w:r>
      <w:r>
        <w:rPr>
          <w:rFonts w:ascii="Times New Roman" w:hAnsi="Times New Roman" w:cs="Times New Roman" w:hint="eastAsia"/>
          <w:color w:val="000000"/>
          <w:highlight w:val="none"/>
          <w:lang w:eastAsia="zh-CN"/>
        </w:rPr>
        <w:t xml:space="preserve">补偿款</w:t>
      </w:r>
      <w:r>
        <w:rPr>
          <w:rFonts w:ascii="Times New Roman" w:hAnsi="Times New Roman" w:cs="Times New Roman" w:hint="eastAsia"/>
          <w:color w:val="000000"/>
          <w:highlight w:val="none"/>
          <w:lang w:val="en-US" w:eastAsia="zh-CN"/>
        </w:rPr>
        <w:t xml:space="preserve">242.04</w:t>
      </w:r>
      <w:r>
        <w:rPr>
          <w:rFonts w:ascii="Times New Roman" w:eastAsia="仿宋_GB2312" w:hAnsi="Times New Roman" w:cs="Times New Roman" w:hint="default"/>
          <w:color w:val="000000"/>
          <w:highlight w:val="none"/>
        </w:rPr>
        <w:t xml:space="preserve">万元</w:t>
      </w:r>
      <w:r>
        <w:rPr>
          <w:rFonts w:ascii="Times New Roman" w:hAnsi="Times New Roman" w:cs="Times New Roman" w:hint="eastAsia"/>
          <w:color w:val="000000"/>
          <w:highlight w:val="none"/>
          <w:lang w:eastAsia="zh-CN"/>
        </w:rPr>
        <w:t xml:space="preserve">。</w:t>
      </w:r>
    </w:p>
    <w:p>
      <w:pPr>
        <w:pStyle w:val="Heading3"/>
        <w:bidi w:val="0"/>
        <w:jc w:val="both"/>
        <w:outlineLvl w:val="1"/>
        <w:rPr>
          <w:rFonts w:ascii="Times New Roman" w:eastAsia="楷体" w:hAnsi="Times New Roman" w:cs="Times New Roman" w:hint="default"/>
          <w:color w:val="000000"/>
          <w:highlight w:val="none"/>
        </w:rPr>
      </w:pPr>
      <w:bookmarkStart w:id="34" w:name="_Toc31302"/>
      <w:bookmarkStart w:id="35" w:name="_Toc9567"/>
      <w:bookmarkStart w:id="36" w:name="_Toc26395"/>
      <w:bookmarkStart w:id="37" w:name="_Toc14296"/>
      <w:bookmarkStart w:id="38" w:name="_Toc11967"/>
      <w:bookmarkStart w:id="39" w:name="_Toc12636"/>
      <w:r>
        <w:rPr>
          <w:rFonts w:ascii="Times New Roman" w:eastAsia="楷体" w:hAnsi="Times New Roman" w:cs="Times New Roman" w:hint="default"/>
          <w:color w:val="000000"/>
          <w:highlight w:val="none"/>
        </w:rPr>
        <w:t xml:space="preserve">（二）项目绩效目标</w:t>
      </w:r>
      <w:bookmarkEnd w:id="34"/>
      <w:bookmarkEnd w:id="35"/>
      <w:bookmarkEnd w:id="36"/>
      <w:bookmarkEnd w:id="37"/>
      <w:bookmarkEnd w:id="38"/>
      <w:bookmarkEnd w:id="39"/>
    </w:p>
    <w:p>
      <w:pPr>
        <w:bidi w:val="0"/>
        <w:jc w:val="both"/>
        <w:rPr>
          <w:rFonts w:ascii="Times New Roman" w:eastAsia="仿宋_GB2312" w:hAnsi="Times New Roman" w:cs="Times New Roman" w:hint="default"/>
          <w:b/>
          <w:bCs/>
          <w:color w:val="000000"/>
          <w:highlight w:val="none"/>
        </w:rPr>
      </w:pPr>
      <w:bookmarkStart w:id="40" w:name="_Toc18809"/>
      <w:bookmarkStart w:id="41" w:name="_Toc905"/>
      <w:r>
        <w:rPr>
          <w:rFonts w:ascii="Times New Roman" w:eastAsia="仿宋_GB2312" w:hAnsi="Times New Roman" w:cs="Times New Roman" w:hint="default"/>
          <w:b/>
          <w:bCs/>
          <w:color w:val="000000"/>
          <w:highlight w:val="none"/>
        </w:rPr>
        <w:t xml:space="preserve">1.总体目标</w:t>
      </w:r>
      <w:bookmarkEnd w:id="40"/>
      <w:bookmarkEnd w:id="41"/>
    </w:p>
    <w:p>
      <w:pPr>
        <w:bidi w:val="0"/>
        <w:jc w:val="both"/>
        <w:rPr>
          <w:rFonts w:ascii="Times New Roman" w:hAnsi="Times New Roman" w:cs="Times New Roman" w:hint="eastAsia"/>
          <w:color w:val="000000"/>
          <w:highlight w:val="none"/>
          <w:lang w:eastAsia="zh-CN"/>
        </w:rPr>
      </w:pPr>
      <w:bookmarkStart w:id="42" w:name="_Toc11195"/>
      <w:bookmarkStart w:id="43" w:name="_Toc10045"/>
      <w:r>
        <w:rPr>
          <w:rFonts w:ascii="Times New Roman" w:hAnsi="Times New Roman" w:cs="Times New Roman" w:hint="eastAsia"/>
          <w:color w:val="000000"/>
          <w:highlight w:val="none"/>
          <w:lang w:eastAsia="zh-CN"/>
        </w:rPr>
        <w:t xml:space="preserve">将643万元资金用于完成中石油新疆销售有限公司巴州分公司尉犁楼兰加油站征收工作.中石油新疆销售有限公司巴州分公司楼兰加油站征收补偿工作实施完成后，将收回15亩国有土地，县人民政府可按规划将土地进行重新挂牌出让，为我县其他重点项目的实施提供土地资源。项目完成后，将进一步提升城市精细化管理水平，统筹布局社会各项事业长远发展。</w:t>
      </w:r>
    </w:p>
    <w:p>
      <w:pPr>
        <w:bidi w:val="0"/>
        <w:jc w:val="both"/>
        <w:rPr>
          <w:rFonts w:ascii="Times New Roman" w:eastAsia="仿宋_GB2312" w:hAnsi="Times New Roman" w:cs="Times New Roman" w:hint="default"/>
          <w:b/>
          <w:bCs/>
          <w:color w:val="000000"/>
          <w:highlight w:val="none"/>
        </w:rPr>
      </w:pPr>
      <w:r>
        <w:rPr>
          <w:rFonts w:ascii="Times New Roman" w:eastAsia="仿宋_GB2312" w:hAnsi="Times New Roman" w:cs="Times New Roman" w:hint="default"/>
          <w:b/>
          <w:bCs/>
          <w:color w:val="000000"/>
          <w:highlight w:val="none"/>
        </w:rPr>
        <w:t xml:space="preserve">2.阶段性目标</w:t>
      </w:r>
      <w:bookmarkEnd w:id="42"/>
      <w:bookmarkEnd w:id="43"/>
    </w:p>
    <w:p>
      <w:pPr>
        <w:numPr>
          <w:ilvl w:val="0"/>
          <w:numId w:val="0"/>
        </w:numPr>
        <w:bidi w:val="0"/>
        <w:ind w:firstLine="620" w:firstLineChars="200"/>
        <w:jc w:val="both"/>
        <w:rPr>
          <w:rFonts w:ascii="仿宋_GB2312" w:eastAsia="仿宋_GB2312" w:hAnsi="仿宋" w:hint="default"/>
          <w:color w:val="000000"/>
          <w:sz w:val="32"/>
          <w:szCs w:val="32"/>
          <w:highlight w:val="none"/>
          <w:lang w:val="en-US" w:eastAsia="zh-CN"/>
        </w:rPr>
      </w:pPr>
      <w:bookmarkStart w:id="44" w:name="_Toc31122"/>
      <w:bookmarkStart w:id="45" w:name="_Toc6534"/>
      <w:bookmarkStart w:id="46" w:name="_Toc25321"/>
      <w:bookmarkStart w:id="47" w:name="_Toc857"/>
      <w:bookmarkStart w:id="48" w:name="_Toc6156"/>
      <w:r>
        <w:rPr>
          <w:rFonts w:ascii="方正仿宋_GBK" w:eastAsia="方正仿宋_GBK" w:hAnsi="方正仿宋_GBK" w:cs="方正仿宋_GBK" w:hint="eastAsia"/>
          <w:color w:val="000000"/>
          <w:sz w:val="31"/>
          <w:szCs w:val="31"/>
          <w:highlight w:val="none"/>
          <w:lang w:val="en-US" w:eastAsia="zh-CN"/>
        </w:rPr>
        <w:t xml:space="preserve">按照年初征收补偿工作安排，计划于2024年1月由县房屋征收与补偿管理办公室</w:t>
      </w:r>
      <w:r>
        <w:rPr>
          <w:rFonts w:hint="eastAsia"/>
          <w:color w:val="000000"/>
          <w:highlight w:val="none"/>
          <w:lang w:val="en-US" w:eastAsia="zh-CN"/>
        </w:rPr>
        <w:t xml:space="preserve">委托第三方评估机构对</w:t>
      </w:r>
      <w:r>
        <w:rPr>
          <w:rFonts w:ascii="仿宋" w:eastAsia="仿宋" w:hAnsi="仿宋" w:cs="仿宋" w:hint="eastAsia"/>
          <w:color w:val="000000"/>
          <w:sz w:val="32"/>
          <w:szCs w:val="32"/>
          <w:highlight w:val="none"/>
          <w:lang w:eastAsia="zh-CN"/>
        </w:rPr>
        <w:t xml:space="preserve">中石油新疆销售有限公司巴州分公司</w:t>
      </w:r>
      <w:r>
        <w:rPr>
          <w:rFonts w:ascii="仿宋" w:hAnsi="仿宋" w:cs="仿宋" w:hint="eastAsia"/>
          <w:color w:val="000000"/>
          <w:sz w:val="32"/>
          <w:szCs w:val="32"/>
          <w:highlight w:val="none"/>
          <w:lang w:eastAsia="zh-CN"/>
        </w:rPr>
        <w:t xml:space="preserve">楼兰加油站土地及地上附属物进行评估</w:t>
      </w:r>
      <w:r>
        <w:rPr>
          <w:rFonts w:ascii="仿宋" w:hAnsi="仿宋" w:cs="仿宋" w:hint="eastAsia"/>
          <w:color w:val="000000"/>
          <w:sz w:val="32"/>
          <w:szCs w:val="32"/>
          <w:highlight w:val="none"/>
          <w:lang w:val="en-US" w:eastAsia="zh-CN"/>
        </w:rPr>
        <w:t xml:space="preserve">；2024年1月</w:t>
      </w:r>
      <w:r>
        <w:rPr>
          <w:rFonts w:ascii="仿宋" w:hAnsi="仿宋" w:cs="仿宋" w:hint="eastAsia"/>
          <w:color w:val="000000"/>
          <w:sz w:val="32"/>
          <w:szCs w:val="32"/>
          <w:highlight w:val="none"/>
          <w:lang w:eastAsia="zh-CN"/>
        </w:rPr>
        <w:t xml:space="preserve">与</w:t>
      </w:r>
      <w:r>
        <w:rPr>
          <w:rFonts w:ascii="仿宋" w:eastAsia="仿宋" w:hAnsi="仿宋" w:cs="仿宋" w:hint="eastAsia"/>
          <w:color w:val="000000"/>
          <w:sz w:val="32"/>
          <w:szCs w:val="32"/>
          <w:highlight w:val="none"/>
          <w:lang w:eastAsia="zh-CN"/>
        </w:rPr>
        <w:t xml:space="preserve">中石油新疆销售有限公司巴州分公司</w:t>
      </w:r>
      <w:r>
        <w:rPr>
          <w:rFonts w:ascii="仿宋" w:hAnsi="仿宋" w:cs="仿宋" w:hint="eastAsia"/>
          <w:color w:val="000000"/>
          <w:sz w:val="32"/>
          <w:szCs w:val="32"/>
          <w:highlight w:val="none"/>
          <w:lang w:eastAsia="zh-CN"/>
        </w:rPr>
        <w:t xml:space="preserve">签订征收补偿协议，并于</w:t>
      </w:r>
      <w:r>
        <w:rPr>
          <w:rFonts w:hint="eastAsia"/>
          <w:color w:val="000000"/>
          <w:highlight w:val="none"/>
          <w:lang w:val="en-US" w:eastAsia="zh-CN"/>
        </w:rPr>
        <w:t xml:space="preserve">2024年8月底前支付全部补偿款</w:t>
      </w:r>
      <w:r>
        <w:rPr>
          <w:rFonts w:eastAsia="方正仿宋_GBK" w:cs="方正仿宋_GBK" w:hint="eastAsia"/>
          <w:color w:val="000000"/>
          <w:spacing w:val="0"/>
          <w:sz w:val="32"/>
          <w:szCs w:val="32"/>
          <w:highlight w:val="none"/>
          <w:lang w:val="en-US" w:eastAsia="zh-CN"/>
        </w:rPr>
        <w:t xml:space="preserve">。</w:t>
      </w:r>
    </w:p>
    <w:p>
      <w:pPr>
        <w:pStyle w:val="Heading2"/>
        <w:bidi w:val="0"/>
        <w:jc w:val="both"/>
        <w:outlineLvl w:val="0"/>
        <w:rPr>
          <w:rFonts w:ascii="Times New Roman" w:eastAsia="黑体" w:hAnsi="Times New Roman" w:cs="Times New Roman" w:hint="default"/>
          <w:color w:val="000000"/>
          <w:highlight w:val="none"/>
        </w:rPr>
      </w:pPr>
      <w:bookmarkStart w:id="49" w:name="_Toc10840"/>
      <w:r>
        <w:rPr>
          <w:rFonts w:ascii="Times New Roman" w:eastAsia="黑体" w:hAnsi="Times New Roman" w:cs="Times New Roman" w:hint="default"/>
          <w:color w:val="000000"/>
          <w:highlight w:val="none"/>
        </w:rPr>
        <w:t xml:space="preserve">二、绩效评价工作开展情况</w:t>
      </w:r>
      <w:bookmarkEnd w:id="44"/>
      <w:bookmarkEnd w:id="45"/>
      <w:bookmarkEnd w:id="46"/>
      <w:bookmarkEnd w:id="47"/>
      <w:bookmarkEnd w:id="48"/>
      <w:bookmarkEnd w:id="49"/>
    </w:p>
    <w:p>
      <w:pPr>
        <w:pStyle w:val="Heading3"/>
        <w:bidi w:val="0"/>
        <w:jc w:val="both"/>
        <w:outlineLvl w:val="1"/>
        <w:rPr>
          <w:rFonts w:ascii="Times New Roman" w:eastAsia="楷体" w:hAnsi="Times New Roman" w:cs="Times New Roman" w:hint="default"/>
          <w:color w:val="000000"/>
          <w:highlight w:val="none"/>
        </w:rPr>
      </w:pPr>
      <w:bookmarkStart w:id="50" w:name="_Toc10300"/>
      <w:bookmarkStart w:id="51" w:name="_Toc32557"/>
      <w:bookmarkStart w:id="52" w:name="_Toc17516"/>
      <w:bookmarkStart w:id="53" w:name="_Toc30569"/>
      <w:bookmarkStart w:id="54" w:name="_Toc11254"/>
      <w:r>
        <w:rPr>
          <w:rFonts w:ascii="Times New Roman" w:eastAsia="楷体" w:hAnsi="Times New Roman" w:cs="Times New Roman" w:hint="default"/>
          <w:color w:val="000000"/>
          <w:highlight w:val="none"/>
        </w:rPr>
        <w:t xml:space="preserve">（一）绩效评价目的、对象和范围</w:t>
      </w:r>
      <w:bookmarkEnd w:id="50"/>
      <w:bookmarkEnd w:id="51"/>
      <w:bookmarkEnd w:id="52"/>
      <w:bookmarkEnd w:id="53"/>
      <w:bookmarkEnd w:id="54"/>
    </w:p>
    <w:p>
      <w:pPr>
        <w:bidi w:val="0"/>
        <w:jc w:val="both"/>
        <w:rPr>
          <w:rFonts w:ascii="Times New Roman" w:eastAsia="仿宋_GB2312" w:hAnsi="Times New Roman" w:cs="Times New Roman" w:hint="default"/>
          <w:b/>
          <w:bCs/>
          <w:color w:val="000000"/>
          <w:highlight w:val="none"/>
        </w:rPr>
      </w:pPr>
      <w:bookmarkStart w:id="55" w:name="_Toc12440"/>
      <w:bookmarkStart w:id="56" w:name="_Toc11562"/>
      <w:r>
        <w:rPr>
          <w:rFonts w:ascii="Times New Roman" w:eastAsia="仿宋_GB2312" w:hAnsi="Times New Roman" w:cs="Times New Roman" w:hint="default"/>
          <w:b/>
          <w:bCs/>
          <w:color w:val="000000"/>
          <w:highlight w:val="none"/>
        </w:rPr>
        <w:t xml:space="preserve">1.绩效评价目的</w:t>
      </w:r>
      <w:bookmarkEnd w:id="55"/>
      <w:bookmarkEnd w:id="56"/>
    </w:p>
    <w:p>
      <w:pPr>
        <w:bidi w:val="0"/>
        <w:jc w:val="both"/>
        <w:rPr>
          <w:color w:val="000000"/>
          <w:highlight w:val="none"/>
        </w:rPr>
      </w:pPr>
      <w:r>
        <w:rPr>
          <w:rFonts w:ascii="Times New Roman" w:eastAsia="仿宋_GB2312" w:hAnsi="Times New Roman" w:cs="Times New Roman" w:hint="default"/>
          <w:color w:val="000000"/>
          <w:highlight w:val="none"/>
        </w:rPr>
        <w:t xml:space="preserve">本次绩效评价遵循财政部《关于印发</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项目支出绩效评价管理办法</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的通知》（财预〔2020〕10号）文件精神，对</w:t>
      </w: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7" w:name="OLE_LINK7"/>
      <w:bookmarkStart w:id="58" w:name="_Toc8924"/>
      <w:bookmarkStart w:id="59" w:name="_Toc2159"/>
      <w:r>
        <w:rPr>
          <w:rFonts w:hint="eastAsia"/>
          <w:color w:val="000000"/>
          <w:highlight w:val="none"/>
        </w:rPr>
        <w:t xml:space="preserve">具体绩效评价的目的细分如下：</w:t>
      </w:r>
    </w:p>
    <w:p>
      <w:pPr>
        <w:ind w:firstLine="560"/>
        <w:rPr>
          <w:color w:val="000000"/>
          <w:highlight w:val="none"/>
        </w:rPr>
      </w:pPr>
      <w:r>
        <w:rPr>
          <w:rFonts w:hint="eastAsia"/>
          <w:color w:val="000000"/>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highlight w:val="none"/>
          <w:lang w:eastAsia="zh-CN"/>
        </w:rPr>
        <w:t xml:space="preserve">，</w:t>
      </w:r>
      <w:r>
        <w:rPr>
          <w:rFonts w:hint="eastAsia"/>
          <w:color w:val="000000"/>
          <w:highlight w:val="none"/>
        </w:rPr>
        <w:t xml:space="preserve">提升财政资金的使用效能。</w:t>
      </w:r>
    </w:p>
    <w:p>
      <w:pPr>
        <w:ind w:firstLine="560"/>
        <w:rPr>
          <w:color w:val="000000"/>
          <w:highlight w:val="none"/>
        </w:rPr>
      </w:pPr>
      <w:r>
        <w:rPr>
          <w:rFonts w:hint="eastAsia"/>
          <w:color w:val="000000"/>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000000"/>
          <w:highlight w:val="none"/>
        </w:rPr>
      </w:pPr>
      <w:r>
        <w:rPr>
          <w:rFonts w:hint="eastAsia"/>
          <w:color w:val="000000"/>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000000"/>
          <w:highlight w:val="none"/>
        </w:rPr>
      </w:pPr>
      <w:r>
        <w:rPr>
          <w:rFonts w:hint="eastAsia"/>
          <w:color w:val="000000"/>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7"/>
    </w:p>
    <w:p>
      <w:pPr>
        <w:bidi w:val="0"/>
        <w:rPr>
          <w:rFonts w:hint="default"/>
          <w:color w:val="000000"/>
          <w:highlight w:val="none"/>
        </w:rPr>
      </w:pPr>
      <w:r>
        <w:rPr>
          <w:rFonts w:hint="default"/>
          <w:color w:val="000000"/>
          <w:highlight w:val="none"/>
        </w:rPr>
        <w:t xml:space="preserve">2.绩效评价对象</w:t>
      </w:r>
      <w:bookmarkEnd w:id="58"/>
      <w:r>
        <w:rPr>
          <w:rFonts w:hint="default"/>
          <w:color w:val="000000"/>
          <w:highlight w:val="none"/>
        </w:rPr>
        <w:t xml:space="preserve">和范围</w:t>
      </w:r>
      <w:bookmarkEnd w:id="59"/>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根据《财政支出绩效评价管理办法》（财预〔2020〕10号）文件要求，对</w:t>
      </w: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开展绩效评价，本次绩效评价范围主要围绕项目决策（包括项目</w:t>
      </w:r>
      <w:r>
        <w:rPr>
          <w:rFonts w:ascii="Times New Roman" w:hAnsi="Times New Roman" w:cs="Times New Roman" w:hint="eastAsia"/>
          <w:color w:val="000000"/>
          <w:highlight w:val="none"/>
          <w:lang w:eastAsia="zh-CN"/>
        </w:rPr>
        <w:t xml:space="preserve">实施</w:t>
      </w:r>
      <w:r>
        <w:rPr>
          <w:rFonts w:ascii="Times New Roman" w:eastAsia="仿宋_GB2312" w:hAnsi="Times New Roman" w:cs="Times New Roman" w:hint="default"/>
          <w:color w:val="000000"/>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楷体" w:eastAsia="楷体" w:hAnsi="楷体" w:cs="楷体" w:hint="eastAsia"/>
          <w:color w:val="000000"/>
          <w:highlight w:val="none"/>
        </w:rPr>
      </w:pPr>
      <w:bookmarkStart w:id="60" w:name="_Toc11929"/>
      <w:bookmarkStart w:id="61" w:name="_Toc13496"/>
      <w:bookmarkStart w:id="62" w:name="_Toc17158"/>
      <w:bookmarkStart w:id="63" w:name="_Toc19566"/>
      <w:bookmarkStart w:id="64" w:name="_Toc15409"/>
      <w:r>
        <w:rPr>
          <w:rFonts w:ascii="楷体" w:eastAsia="楷体" w:hAnsi="楷体" w:cs="楷体" w:hint="eastAsia"/>
          <w:color w:val="000000"/>
          <w:highlight w:val="none"/>
        </w:rPr>
        <w:t xml:space="preserve">（二）绩效评价原则、评价指标体系、评价方法、评价标准</w:t>
      </w:r>
      <w:bookmarkEnd w:id="60"/>
      <w:bookmarkEnd w:id="61"/>
      <w:bookmarkEnd w:id="62"/>
      <w:bookmarkEnd w:id="63"/>
      <w:bookmarkEnd w:id="64"/>
    </w:p>
    <w:p>
      <w:pPr>
        <w:bidi w:val="0"/>
        <w:jc w:val="both"/>
        <w:rPr>
          <w:rFonts w:ascii="Times New Roman" w:eastAsia="仿宋_GB2312" w:hAnsi="Times New Roman" w:cs="Times New Roman" w:hint="default"/>
          <w:b/>
          <w:bCs/>
          <w:color w:val="000000"/>
          <w:highlight w:val="none"/>
        </w:rPr>
      </w:pPr>
      <w:bookmarkStart w:id="65" w:name="_Toc18268"/>
      <w:bookmarkStart w:id="66" w:name="_Toc23487"/>
      <w:r>
        <w:rPr>
          <w:rFonts w:ascii="Times New Roman" w:eastAsia="仿宋_GB2312" w:hAnsi="Times New Roman" w:cs="Times New Roman" w:hint="default"/>
          <w:b/>
          <w:bCs/>
          <w:color w:val="000000"/>
          <w:highlight w:val="none"/>
        </w:rPr>
        <w:t xml:space="preserve">1.绩效评价原则</w:t>
      </w:r>
      <w:bookmarkEnd w:id="65"/>
      <w:bookmarkEnd w:id="66"/>
    </w:p>
    <w:p>
      <w:pPr>
        <w:ind w:firstLine="560"/>
        <w:rPr>
          <w:color w:val="000000"/>
          <w:highlight w:val="none"/>
        </w:rPr>
      </w:pPr>
      <w:r>
        <w:rPr>
          <w:rFonts w:hint="eastAsia"/>
          <w:color w:val="000000"/>
          <w:highlight w:val="none"/>
        </w:rPr>
        <w:t xml:space="preserve">依据《中华人民共和国预算法》《中共中央国务院关于全面实施预算绩效管理的意见》（中发〔2018〕34号）《项目支出绩效评价管理办法》（财预〔2020〕10号</w:t>
      </w:r>
      <w:r>
        <w:rPr>
          <w:rFonts w:hint="eastAsia"/>
          <w:color w:val="000000"/>
          <w:highlight w:val="none"/>
          <w:lang w:eastAsia="zh-CN"/>
        </w:rPr>
        <w:t xml:space="preserve">）</w:t>
      </w:r>
      <w:r>
        <w:rPr>
          <w:rFonts w:hint="eastAsia"/>
          <w:color w:val="000000"/>
          <w:highlight w:val="none"/>
        </w:rPr>
        <w:t xml:space="preserve">《自治区党委自治区人民政府关于全面实施预算绩效管理的实施意见》（新党发〔2018〕30号）《自治区财政支出绩效评价管理暂行办法》（新财预〔2018〕189号）等要求，绩效评价应遵循如下原则：</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（1）科学公正。绩效评价应当运用科学合理的方法，按照规范的程序，对项目绩效进行客观、</w:t>
      </w:r>
      <w:r>
        <w:rPr>
          <w:rFonts w:ascii="Times New Roman" w:eastAsia="仿宋_GB2312" w:hAnsi="Times New Roman" w:cs="Times New Roman" w:hint="default"/>
          <w:color w:val="000000"/>
          <w:highlight w:val="none"/>
          <w:lang w:eastAsia="zh-CN"/>
        </w:rPr>
        <w:t xml:space="preserve">公正地反映</w:t>
      </w:r>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（2）统筹兼顾。单位自评应由项目单位自主实施，即“谁支出、谁自评”。</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（3）激励约束。绩效评价结果应与预算安排、政策调整、改进管理实质性挂钩，体现奖优罚劣和激励相容导向，有效要安排、低效要压减、无效要问责。</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（4）公开透明。</w:t>
      </w:r>
      <w:r>
        <w:rPr>
          <w:rFonts w:ascii="Times New Roman" w:eastAsia="仿宋_GB2312" w:hAnsi="Times New Roman" w:cs="Times New Roman" w:hint="default"/>
          <w:color w:val="000000"/>
          <w:highlight w:val="none"/>
          <w:lang w:val="en-US" w:eastAsia="zh-CN"/>
        </w:rPr>
        <w:t xml:space="preserve">本次项目支出绩效评价结果已依法依规在</w:t>
      </w:r>
      <w:r>
        <w:rPr>
          <w:rFonts w:ascii="Times New Roman" w:hAnsi="Times New Roman" w:cs="Times New Roman" w:hint="eastAsia"/>
          <w:color w:val="000000"/>
          <w:highlight w:val="none"/>
          <w:lang w:val="en-US" w:eastAsia="zh-CN"/>
        </w:rPr>
        <w:t xml:space="preserve">尉犁县</w:t>
      </w:r>
      <w:r>
        <w:rPr>
          <w:rFonts w:ascii="Times New Roman" w:eastAsia="仿宋_GB2312" w:hAnsi="Times New Roman" w:cs="Times New Roman" w:hint="default"/>
          <w:color w:val="000000"/>
          <w:highlight w:val="none"/>
          <w:lang w:val="en-US" w:eastAsia="zh-CN"/>
        </w:rPr>
        <w:t xml:space="preserve">人民政府网站上公开，并自觉接受社会监督</w:t>
      </w:r>
      <w:r>
        <w:rPr>
          <w:rFonts w:ascii="Times New Roman" w:eastAsia="仿宋_GB2312" w:hAnsi="Times New Roman" w:cs="Times New Roman" w:hint="default"/>
          <w:color w:val="000000"/>
          <w:highlight w:val="none"/>
        </w:rPr>
        <w:t xml:space="preserve">。</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 xml:space="preserve">根据以上原则</w:t>
      </w:r>
      <w:r>
        <w:rPr>
          <w:rFonts w:hint="eastAsia"/>
          <w:color w:val="000000"/>
          <w:highlight w:val="none"/>
          <w:lang w:eastAsia="zh-CN"/>
        </w:rPr>
        <w:t xml:space="preserve">，</w:t>
      </w:r>
      <w:r>
        <w:rPr>
          <w:rFonts w:hint="eastAsia"/>
          <w:color w:val="000000"/>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 xml:space="preserve">（1）在数据采集时</w:t>
      </w:r>
      <w:r>
        <w:rPr>
          <w:rFonts w:hint="eastAsia"/>
          <w:color w:val="000000"/>
          <w:highlight w:val="none"/>
          <w:lang w:eastAsia="zh-CN"/>
        </w:rPr>
        <w:t xml:space="preserve">，</w:t>
      </w:r>
      <w:r>
        <w:rPr>
          <w:rFonts w:hint="eastAsia"/>
          <w:color w:val="000000"/>
          <w:highlight w:val="none"/>
        </w:rPr>
        <w:t xml:space="preserve">采取客观数据</w:t>
      </w:r>
      <w:r>
        <w:rPr>
          <w:rFonts w:hint="eastAsia"/>
          <w:color w:val="000000"/>
          <w:highlight w:val="none"/>
          <w:lang w:eastAsia="zh-CN"/>
        </w:rPr>
        <w:t xml:space="preserve">，</w:t>
      </w:r>
      <w:r>
        <w:rPr>
          <w:rFonts w:hint="eastAsia"/>
          <w:color w:val="000000"/>
          <w:highlight w:val="none"/>
        </w:rPr>
        <w:t xml:space="preserve">主管部门审查、社会中介组织复查</w:t>
      </w:r>
      <w:r>
        <w:rPr>
          <w:rFonts w:hint="eastAsia"/>
          <w:color w:val="000000"/>
          <w:highlight w:val="none"/>
          <w:lang w:eastAsia="zh-CN"/>
        </w:rPr>
        <w:t xml:space="preserve">，</w:t>
      </w:r>
      <w:r>
        <w:rPr>
          <w:rFonts w:hint="eastAsia"/>
          <w:color w:val="000000"/>
          <w:highlight w:val="none"/>
        </w:rPr>
        <w:t xml:space="preserve">与问卷调查相结合的形式</w:t>
      </w:r>
      <w:r>
        <w:rPr>
          <w:rFonts w:hint="eastAsia"/>
          <w:color w:val="000000"/>
          <w:highlight w:val="none"/>
          <w:lang w:eastAsia="zh-CN"/>
        </w:rPr>
        <w:t xml:space="preserve">，</w:t>
      </w:r>
      <w:r>
        <w:rPr>
          <w:rFonts w:hint="eastAsia"/>
          <w:color w:val="000000"/>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 xml:space="preserve">（2）保证评价结果的真实性、公正性</w:t>
      </w:r>
      <w:r>
        <w:rPr>
          <w:rFonts w:hint="eastAsia"/>
          <w:color w:val="000000"/>
          <w:highlight w:val="none"/>
          <w:lang w:eastAsia="zh-CN"/>
        </w:rPr>
        <w:t xml:space="preserve">，</w:t>
      </w:r>
      <w:r>
        <w:rPr>
          <w:rFonts w:hint="eastAsia"/>
          <w:color w:val="000000"/>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 xml:space="preserve">（3）</w:t>
      </w:r>
      <w:r>
        <w:rPr>
          <w:rFonts w:hint="eastAsia"/>
          <w:color w:val="000000"/>
          <w:highlight w:val="none"/>
          <w:lang w:val="en-US" w:eastAsia="zh-CN"/>
        </w:rPr>
        <w:t xml:space="preserve">绩效</w:t>
      </w:r>
      <w:r>
        <w:rPr>
          <w:rFonts w:hint="eastAsia"/>
          <w:color w:val="000000"/>
          <w:highlight w:val="none"/>
        </w:rPr>
        <w:t xml:space="preserve">评价报告应当简明扼要</w:t>
      </w:r>
      <w:r>
        <w:rPr>
          <w:rFonts w:hint="eastAsia"/>
          <w:color w:val="000000"/>
          <w:highlight w:val="none"/>
          <w:lang w:eastAsia="zh-CN"/>
        </w:rPr>
        <w:t xml:space="preserve">，</w:t>
      </w:r>
      <w:r>
        <w:rPr>
          <w:rFonts w:hint="eastAsia"/>
          <w:color w:val="000000"/>
          <w:highlight w:val="none"/>
        </w:rPr>
        <w:t xml:space="preserve">除了对绩效评价的过程、结果描述外</w:t>
      </w:r>
      <w:r>
        <w:rPr>
          <w:rFonts w:hint="eastAsia"/>
          <w:color w:val="000000"/>
          <w:highlight w:val="none"/>
          <w:lang w:eastAsia="zh-CN"/>
        </w:rPr>
        <w:t xml:space="preserve">，</w:t>
      </w:r>
      <w:r>
        <w:rPr>
          <w:rFonts w:hint="eastAsia"/>
          <w:color w:val="000000"/>
          <w:highlight w:val="none"/>
        </w:rPr>
        <w:t xml:space="preserve">还应总结经验</w:t>
      </w:r>
      <w:r>
        <w:rPr>
          <w:rFonts w:hint="eastAsia"/>
          <w:color w:val="000000"/>
          <w:highlight w:val="none"/>
          <w:lang w:eastAsia="zh-CN"/>
        </w:rPr>
        <w:t xml:space="preserve">，</w:t>
      </w:r>
      <w:r>
        <w:rPr>
          <w:rFonts w:hint="eastAsia"/>
          <w:color w:val="000000"/>
          <w:highlight w:val="none"/>
        </w:rPr>
        <w:t xml:space="preserve">指出问题</w:t>
      </w:r>
      <w:r>
        <w:rPr>
          <w:rFonts w:hint="eastAsia"/>
          <w:color w:val="000000"/>
          <w:highlight w:val="none"/>
          <w:lang w:eastAsia="zh-CN"/>
        </w:rPr>
        <w:t xml:space="preserve">，</w:t>
      </w:r>
      <w:r>
        <w:rPr>
          <w:rFonts w:hint="eastAsia"/>
          <w:color w:val="000000"/>
          <w:highlight w:val="none"/>
        </w:rPr>
        <w:t xml:space="preserve">并就共性问题提出可操作性改进建议。评价工作组本着科学规范、公平公正、绩效相关的原则，采用全面、重点、现场和非现场相结合的方式进行评价。</w:t>
      </w:r>
    </w:p>
    <w:p>
      <w:pPr>
        <w:bidi w:val="0"/>
        <w:jc w:val="both"/>
        <w:rPr>
          <w:rFonts w:ascii="Times New Roman" w:eastAsia="仿宋_GB2312" w:hAnsi="Times New Roman" w:cs="Times New Roman" w:hint="default"/>
          <w:b/>
          <w:bCs/>
          <w:color w:val="000000"/>
          <w:highlight w:val="none"/>
        </w:rPr>
      </w:pPr>
      <w:bookmarkStart w:id="67" w:name="_Toc23112"/>
      <w:bookmarkStart w:id="68" w:name="_Toc28342"/>
      <w:r>
        <w:rPr>
          <w:rFonts w:ascii="Times New Roman" w:eastAsia="仿宋_GB2312" w:hAnsi="Times New Roman" w:cs="Times New Roman" w:hint="default"/>
          <w:b/>
          <w:bCs/>
          <w:color w:val="000000"/>
          <w:highlight w:val="none"/>
        </w:rPr>
        <w:t xml:space="preserve">2.评价指标体系</w:t>
      </w:r>
      <w:bookmarkEnd w:id="67"/>
      <w:bookmarkEnd w:id="68"/>
    </w:p>
    <w:p>
      <w:pPr>
        <w:bidi w:val="0"/>
        <w:jc w:val="both"/>
        <w:rPr>
          <w:rFonts w:ascii="Times New Roman" w:eastAsia="仿宋_GB2312" w:hAnsi="Times New Roman" w:cs="Times New Roman" w:hint="default"/>
          <w:color w:val="000000"/>
          <w:highlight w:val="none"/>
        </w:rPr>
      </w:pP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绩效评价（部门自评）指标体系的设计，是在充分掌握项目状况的基础上，形成了</w:t>
      </w: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按照财预〔2020〕10号文件关于“原则上产出、效益指标权重不低于60%”的要求，本项目产出、效益指标权重60%（即60分）。</w:t>
      </w:r>
      <w:bookmarkStart w:id="69" w:name="_Toc15680"/>
      <w:bookmarkStart w:id="70" w:name="_Toc10631"/>
      <w:r>
        <w:rPr>
          <w:rFonts w:eastAsia="仿宋_GB2312" w:cs="Times New Roman" w:hint="eastAsia"/>
          <w:bCs w:val="0"/>
          <w:iCs w:val="0"/>
          <w:color w:val="auto"/>
          <w:kern w:val="2"/>
          <w:sz w:val="32"/>
          <w:szCs w:val="22"/>
          <w:highlight w:val="none"/>
          <w:lang w:val="en-US" w:eastAsia="zh-CN" w:bidi="ar-SA"/>
        </w:rPr>
        <w:t xml:space="preserve">（详见：附表2）</w:t>
      </w:r>
    </w:p>
    <w:p>
      <w:pPr>
        <w:bidi w:val="0"/>
        <w:rPr>
          <w:rFonts w:ascii="Times New Roman" w:eastAsia="仿宋_GB2312" w:hAnsi="Times New Roman" w:cs="Times New Roman" w:hint="default"/>
          <w:b/>
          <w:bCs/>
          <w:color w:val="000000"/>
          <w:highlight w:val="none"/>
        </w:rPr>
      </w:pPr>
      <w:r>
        <w:rPr>
          <w:rFonts w:ascii="Times New Roman" w:eastAsia="仿宋_GB2312" w:hAnsi="Times New Roman" w:cs="Times New Roman" w:hint="default"/>
          <w:b/>
          <w:bCs/>
          <w:color w:val="000000"/>
          <w:highlight w:val="none"/>
        </w:rPr>
        <w:t xml:space="preserve">3.绩效评价方法</w:t>
      </w:r>
      <w:bookmarkEnd w:id="69"/>
      <w:bookmarkEnd w:id="70"/>
    </w:p>
    <w:p>
      <w:pPr>
        <w:bidi w:val="0"/>
        <w:rPr>
          <w:color w:val="000000"/>
          <w:highlight w:val="none"/>
        </w:rPr>
      </w:pPr>
      <w:r>
        <w:rPr>
          <w:color w:val="000000"/>
          <w:highlight w:val="none"/>
          <w:lang w:val="en-US" w:eastAsia="zh-CN"/>
        </w:rPr>
        <w:t xml:space="preserve">绩效评价从项目决策、项目过程、项目产出、项目效益四</w:t>
      </w:r>
      <w:r>
        <w:rPr>
          <w:rFonts w:hint="eastAsia"/>
          <w:color w:val="000000"/>
          <w:highlight w:val="none"/>
          <w:lang w:val="en-US" w:eastAsia="zh-CN"/>
        </w:rPr>
        <w:t xml:space="preserve">个维度进行评价。评价对象为项目目标实施情况，评价核心为资金的支出完成情况和项目的产出效益。</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结合</w:t>
      </w: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的特点，</w:t>
      </w:r>
      <w:r>
        <w:rPr>
          <w:rFonts w:ascii="Times New Roman" w:hAnsi="Times New Roman" w:cs="Times New Roman" w:hint="eastAsia"/>
          <w:color w:val="000000"/>
          <w:highlight w:val="none"/>
          <w:lang w:val="en-US" w:eastAsia="zh-CN"/>
        </w:rPr>
        <w:t xml:space="preserve">本次评价主要运用比较法、公众评判法，原因是：</w:t>
      </w:r>
    </w:p>
    <w:p>
      <w:pPr>
        <w:bidi w:val="0"/>
        <w:jc w:val="both"/>
        <w:rPr>
          <w:rFonts w:ascii="Times New Roman" w:eastAsia="仿宋_GB2312" w:hAnsi="Times New Roman" w:cs="Times New Roman" w:hint="default"/>
          <w:color w:val="000000"/>
          <w:highlight w:val="none"/>
          <w:lang w:eastAsia="zh-CN"/>
        </w:rPr>
      </w:pPr>
      <w:r>
        <w:rPr>
          <w:rFonts w:ascii="Times New Roman" w:hAnsi="Times New Roman" w:cs="Times New Roman" w:hint="eastAsia"/>
          <w:color w:val="000000"/>
          <w:highlight w:val="none"/>
          <w:lang w:val="en-US" w:eastAsia="zh-CN"/>
        </w:rPr>
        <w:t xml:space="preserve">比较法：</w:t>
      </w:r>
      <w:r>
        <w:rPr>
          <w:rFonts w:ascii="Times New Roman" w:eastAsia="仿宋_GB2312" w:hAnsi="Times New Roman" w:cs="Times New Roman" w:hint="default"/>
          <w:color w:val="000000"/>
          <w:highlight w:val="none"/>
          <w:lang w:val="en-US" w:eastAsia="zh-CN"/>
        </w:rPr>
        <w:t xml:space="preserve">本项目绩效评价将项目实施情况即实际完成的</w:t>
      </w:r>
      <w:r>
        <w:rPr>
          <w:rFonts w:ascii="Times New Roman" w:hAnsi="Times New Roman" w:cs="Times New Roman" w:hint="eastAsia"/>
          <w:color w:val="000000"/>
          <w:highlight w:val="none"/>
          <w:lang w:val="en-US" w:eastAsia="zh-CN"/>
        </w:rPr>
        <w:t xml:space="preserve">征收户数</w:t>
      </w:r>
      <w:r>
        <w:rPr>
          <w:rFonts w:ascii="Times New Roman" w:eastAsia="仿宋_GB2312" w:hAnsi="Times New Roman" w:cs="Times New Roman" w:hint="default"/>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征</w:t>
      </w:r>
      <w:r>
        <w:rPr>
          <w:rFonts w:ascii="Times New Roman" w:eastAsia="仿宋_GB2312" w:hAnsi="Times New Roman" w:cs="Times New Roman" w:hint="default"/>
          <w:color w:val="000000"/>
          <w:highlight w:val="none"/>
          <w:lang w:val="en-US" w:eastAsia="zh-CN"/>
        </w:rPr>
        <w:t xml:space="preserve">收面积</w:t>
      </w:r>
      <w:r>
        <w:rPr>
          <w:rFonts w:ascii="Times New Roman" w:hAnsi="Times New Roman" w:cs="Times New Roman" w:hint="eastAsia"/>
          <w:color w:val="000000"/>
          <w:highlight w:val="none"/>
          <w:lang w:val="en-US" w:eastAsia="zh-CN"/>
        </w:rPr>
        <w:t xml:space="preserve">、征收补偿发放合规率</w:t>
      </w:r>
      <w:r>
        <w:rPr>
          <w:rFonts w:ascii="Times New Roman" w:eastAsia="仿宋_GB2312" w:hAnsi="Times New Roman" w:cs="Times New Roman" w:hint="default"/>
          <w:color w:val="000000"/>
          <w:highlight w:val="none"/>
          <w:lang w:val="en-US" w:eastAsia="zh-CN"/>
        </w:rPr>
        <w:t xml:space="preserve">等指标与年初设定的目标值进行比较</w:t>
      </w:r>
      <w:r>
        <w:rPr>
          <w:rFonts w:ascii="Times New Roman" w:eastAsia="仿宋_GB2312" w:hAnsi="Times New Roman" w:cs="Times New Roman" w:hint="default"/>
          <w:color w:val="000000"/>
          <w:highlight w:val="none"/>
        </w:rPr>
        <w:t xml:space="preserve">。</w:t>
      </w:r>
    </w:p>
    <w:p>
      <w:pPr>
        <w:pStyle w:val="NormalIndent"/>
        <w:rPr>
          <w:rFonts w:hint="default"/>
          <w:color w:val="000000"/>
          <w:highlight w:val="none"/>
          <w:lang w:val="en-US" w:eastAsia="zh-CN"/>
        </w:rPr>
      </w:pPr>
      <w:r>
        <w:rPr>
          <w:rFonts w:hint="default"/>
          <w:color w:val="000000"/>
          <w:highlight w:val="none"/>
          <w:lang w:val="en-US" w:eastAsia="zh-CN"/>
        </w:rPr>
        <w:t xml:space="preserve">公共评判法：通过对</w:t>
      </w:r>
      <w:r>
        <w:rPr>
          <w:rFonts w:hint="eastAsia"/>
          <w:color w:val="000000"/>
          <w:highlight w:val="none"/>
          <w:lang w:val="en-US" w:eastAsia="zh-CN"/>
        </w:rPr>
        <w:t xml:space="preserve">相关被征收企业</w:t>
      </w:r>
      <w:r>
        <w:rPr>
          <w:rFonts w:hint="default"/>
          <w:color w:val="000000"/>
          <w:highlight w:val="none"/>
          <w:lang w:val="en-US" w:eastAsia="zh-CN"/>
        </w:rPr>
        <w:t xml:space="preserve">进行问卷及抽样调查等方式，评价本项目实施后受益对象对项目实施效果的满意程度，对财政资金使用效果进行评判，评价绩效目标实现程度。</w:t>
      </w:r>
    </w:p>
    <w:p>
      <w:pPr>
        <w:bidi w:val="0"/>
        <w:jc w:val="both"/>
        <w:rPr>
          <w:rFonts w:ascii="Times New Roman" w:eastAsia="仿宋_GB2312" w:hAnsi="Times New Roman" w:cs="Times New Roman" w:hint="default"/>
          <w:b/>
          <w:bCs/>
          <w:color w:val="000000"/>
          <w:highlight w:val="none"/>
        </w:rPr>
      </w:pPr>
      <w:bookmarkStart w:id="71" w:name="_Toc15525"/>
      <w:bookmarkStart w:id="72" w:name="_Toc3155"/>
      <w:r>
        <w:rPr>
          <w:rFonts w:ascii="Times New Roman" w:eastAsia="仿宋_GB2312" w:hAnsi="Times New Roman" w:cs="Times New Roman" w:hint="default"/>
          <w:b/>
          <w:bCs/>
          <w:color w:val="000000"/>
          <w:highlight w:val="none"/>
        </w:rPr>
        <w:t xml:space="preserve">4.绩效评价标准</w:t>
      </w:r>
      <w:bookmarkEnd w:id="71"/>
      <w:bookmarkEnd w:id="72"/>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default"/>
          <w:bCs/>
          <w:color w:val="000000"/>
          <w:kern w:val="2"/>
          <w:sz w:val="32"/>
          <w:szCs w:val="32"/>
          <w:highlight w:val="none"/>
          <w:lang w:val="en-US" w:eastAsia="zh-CN" w:bidi="ar-SA"/>
        </w:rPr>
      </w:pPr>
      <w:r>
        <w:rPr>
          <w:rFonts w:ascii="Times New Roman" w:hAnsi="Times New Roman" w:cs="Times New Roman" w:hint="eastAsia"/>
          <w:color w:val="000000"/>
          <w:highlight w:val="none"/>
          <w:lang w:eastAsia="zh-CN"/>
        </w:rPr>
        <w:t xml:space="preserve">（</w:t>
      </w:r>
      <w:r>
        <w:rPr>
          <w:rFonts w:ascii="Times New Roman" w:hAnsi="Times New Roman" w:cs="Times New Roman" w:hint="eastAsia"/>
          <w:color w:val="000000"/>
          <w:highlight w:val="none"/>
          <w:lang w:val="en-US" w:eastAsia="zh-CN"/>
        </w:rPr>
        <w:t xml:space="preserve">1</w:t>
      </w:r>
      <w:r>
        <w:rPr>
          <w:rFonts w:ascii="Times New Roman" w:hAnsi="Times New Roman" w:cs="Times New Roman" w:hint="eastAsia"/>
          <w:color w:val="000000"/>
          <w:highlight w:val="none"/>
          <w:lang w:eastAsia="zh-CN"/>
        </w:rPr>
        <w:t xml:space="preserve">）</w:t>
      </w:r>
      <w:r>
        <w:rPr>
          <w:rFonts w:ascii="Times New Roman" w:eastAsia="仿宋_GB2312" w:hAnsi="Times New Roman" w:cs="Times New Roman" w:hint="default"/>
          <w:color w:val="000000"/>
          <w:highlight w:val="none"/>
        </w:rPr>
        <w:t xml:space="preserve">结合</w:t>
      </w: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的特点，</w:t>
      </w:r>
      <w:bookmarkStart w:id="73" w:name="_Toc15381"/>
      <w:bookmarkStart w:id="74" w:name="_Toc30219"/>
      <w:bookmarkStart w:id="75" w:name="_Toc17851"/>
      <w:bookmarkStart w:id="76" w:name="_Toc26411"/>
      <w:r>
        <w:rPr>
          <w:rFonts w:ascii="Times New Roman" w:eastAsia="仿宋_GB2312" w:hAnsi="Times New Roman" w:cs="Times New Roman" w:hint="default"/>
          <w:bCs/>
          <w:color w:val="000000"/>
          <w:kern w:val="2"/>
          <w:sz w:val="32"/>
          <w:szCs w:val="32"/>
          <w:highlight w:val="none"/>
          <w:lang w:val="en-US" w:eastAsia="zh-CN" w:bidi="ar-SA"/>
        </w:rPr>
        <w:t xml:space="preserve">本项目绩效评价以预先制定的</w:t>
      </w:r>
      <w:r>
        <w:rPr>
          <w:rFonts w:ascii="Times New Roman" w:hAnsi="Times New Roman" w:cs="Times New Roman" w:hint="eastAsia"/>
          <w:bCs/>
          <w:color w:val="000000"/>
          <w:kern w:val="2"/>
          <w:sz w:val="32"/>
          <w:szCs w:val="32"/>
          <w:highlight w:val="none"/>
          <w:lang w:val="en-US" w:eastAsia="zh-CN" w:bidi="ar-SA"/>
        </w:rPr>
        <w:t xml:space="preserve">征收户数、征收面积</w:t>
      </w:r>
      <w:r>
        <w:rPr>
          <w:rFonts w:ascii="Times New Roman" w:eastAsia="仿宋_GB2312" w:hAnsi="Times New Roman" w:cs="Times New Roman" w:hint="default"/>
          <w:bCs/>
          <w:color w:val="000000"/>
          <w:kern w:val="2"/>
          <w:sz w:val="32"/>
          <w:szCs w:val="32"/>
          <w:highlight w:val="none"/>
          <w:lang w:val="en-US" w:eastAsia="zh-CN" w:bidi="ar-SA"/>
        </w:rPr>
        <w:t xml:space="preserve">为计划数作为评价标准；同时参照</w:t>
      </w:r>
      <w:r>
        <w:rPr>
          <w:rFonts w:ascii="Times New Roman" w:eastAsia="仿宋_GB2312" w:hAnsi="Times New Roman" w:cs="Times New Roman" w:hint="default"/>
          <w:b w:val="0"/>
          <w:color w:val="000000"/>
          <w:kern w:val="2"/>
          <w:sz w:val="32"/>
          <w:szCs w:val="22"/>
          <w:highlight w:val="none"/>
          <w:lang w:val="en-US" w:eastAsia="zh-CN" w:bidi="ar-SA"/>
        </w:rPr>
        <w:t xml:space="preserve">有关</w:t>
      </w:r>
      <w:r>
        <w:rPr>
          <w:rFonts w:ascii="Times New Roman" w:hAnsi="Times New Roman" w:cs="Times New Roman" w:hint="eastAsia"/>
          <w:b w:val="0"/>
          <w:color w:val="000000"/>
          <w:kern w:val="2"/>
          <w:sz w:val="32"/>
          <w:szCs w:val="22"/>
          <w:highlight w:val="none"/>
          <w:lang w:val="en-US" w:eastAsia="zh-CN" w:bidi="ar-SA"/>
        </w:rPr>
        <w:t xml:space="preserve">征收</w:t>
      </w:r>
      <w:r>
        <w:rPr>
          <w:rFonts w:ascii="Times New Roman" w:eastAsia="仿宋_GB2312" w:hAnsi="Times New Roman" w:cs="Times New Roman" w:hint="default"/>
          <w:b w:val="0"/>
          <w:color w:val="000000"/>
          <w:kern w:val="2"/>
          <w:sz w:val="32"/>
          <w:szCs w:val="22"/>
          <w:highlight w:val="none"/>
          <w:lang w:val="en-US" w:eastAsia="zh-CN" w:bidi="ar-SA"/>
        </w:rPr>
        <w:t xml:space="preserve">等同类项目建设的行业标准</w:t>
      </w:r>
      <w:r>
        <w:rPr>
          <w:rFonts w:ascii="Times New Roman" w:eastAsia="仿宋_GB2312" w:hAnsi="Times New Roman" w:cs="Times New Roman" w:hint="default"/>
          <w:bCs/>
          <w:color w:val="000000"/>
          <w:kern w:val="2"/>
          <w:sz w:val="32"/>
          <w:szCs w:val="32"/>
          <w:highlight w:val="none"/>
          <w:lang w:val="en-US" w:eastAsia="zh-CN" w:bidi="ar-SA"/>
        </w:rPr>
        <w:t xml:space="preserve">来制定评价标准。</w:t>
      </w:r>
    </w:p>
    <w:p>
      <w:pPr>
        <w:pStyle w:val="CommentText"/>
        <w:jc w:val="both"/>
        <w:rPr>
          <w:rFonts w:ascii="Times New Roman" w:eastAsia="仿宋_GB2312" w:hAnsi="Times New Roman" w:cs="Times New Roman" w:hint="default"/>
          <w:bCs/>
          <w:color w:val="000000"/>
          <w:kern w:val="2"/>
          <w:sz w:val="32"/>
          <w:szCs w:val="32"/>
          <w:highlight w:val="none"/>
          <w:lang w:val="en-US" w:eastAsia="zh-CN" w:bidi="ar-SA"/>
        </w:rPr>
      </w:pPr>
      <w:r>
        <w:rPr>
          <w:rFonts w:cs="Times New Roman" w:hint="eastAsia"/>
          <w:bCs/>
          <w:color w:val="000000"/>
          <w:kern w:val="2"/>
          <w:sz w:val="32"/>
          <w:szCs w:val="32"/>
          <w:highlight w:val="none"/>
          <w:lang w:val="en-US" w:eastAsia="zh-CN" w:bidi="ar-SA"/>
        </w:rPr>
        <w:t xml:space="preserve">（2）</w:t>
      </w:r>
      <w:r>
        <w:rPr>
          <w:rFonts w:ascii="Times New Roman" w:hAnsi="Times New Roman" w:cs="Times New Roman" w:hint="eastAsia"/>
          <w:bCs/>
          <w:color w:val="000000"/>
          <w:kern w:val="2"/>
          <w:sz w:val="32"/>
          <w:szCs w:val="32"/>
          <w:highlight w:val="none"/>
          <w:lang w:val="en-US" w:eastAsia="zh-CN" w:bidi="ar-SA"/>
        </w:rPr>
        <w:t xml:space="preserve">参照本单位同类项目绩效评价指标的历史数据作为样本，运用一定的统计学方法计算出各类指标的平均历史水平作为评价标准。</w:t>
      </w:r>
    </w:p>
    <w:p>
      <w:pPr>
        <w:pStyle w:val="Heading3"/>
        <w:bidi w:val="0"/>
        <w:jc w:val="both"/>
        <w:outlineLvl w:val="1"/>
        <w:rPr>
          <w:rFonts w:ascii="楷体" w:eastAsia="楷体" w:hAnsi="楷体" w:cs="楷体" w:hint="eastAsia"/>
          <w:color w:val="000000"/>
          <w:highlight w:val="none"/>
        </w:rPr>
      </w:pPr>
      <w:bookmarkStart w:id="77" w:name="_Toc26798"/>
      <w:r>
        <w:rPr>
          <w:rFonts w:ascii="楷体" w:eastAsia="楷体" w:hAnsi="楷体" w:cs="楷体" w:hint="eastAsia"/>
          <w:color w:val="000000"/>
          <w:highlight w:val="none"/>
        </w:rPr>
        <w:t xml:space="preserve">（三）绩效评价工作过程</w:t>
      </w:r>
      <w:bookmarkEnd w:id="73"/>
      <w:bookmarkEnd w:id="74"/>
      <w:bookmarkEnd w:id="75"/>
      <w:bookmarkEnd w:id="76"/>
      <w:bookmarkEnd w:id="77"/>
    </w:p>
    <w:p>
      <w:pPr>
        <w:bidi w:val="0"/>
        <w:jc w:val="both"/>
        <w:rPr>
          <w:rFonts w:ascii="Times New Roman" w:eastAsia="仿宋_GB2312" w:hAnsi="Times New Roman" w:cs="Times New Roman" w:hint="eastAsia"/>
          <w:b/>
          <w:bCs/>
          <w:color w:val="000000"/>
          <w:highlight w:val="none"/>
          <w:lang w:eastAsia="zh-CN"/>
        </w:rPr>
      </w:pPr>
      <w:bookmarkStart w:id="78" w:name="_Toc27442"/>
      <w:bookmarkStart w:id="79" w:name="_Toc22987"/>
      <w:bookmarkStart w:id="80" w:name="_Toc30911"/>
      <w:bookmarkStart w:id="81" w:name="_Toc17595"/>
      <w:bookmarkStart w:id="82" w:name="_Toc31054"/>
      <w:r>
        <w:rPr>
          <w:rFonts w:ascii="Times New Roman" w:eastAsia="仿宋_GB2312" w:hAnsi="Times New Roman" w:cs="Times New Roman" w:hint="default"/>
          <w:b/>
          <w:bCs/>
          <w:color w:val="000000"/>
          <w:highlight w:val="none"/>
        </w:rPr>
        <w:t xml:space="preserve">1.前期准备</w:t>
      </w:r>
      <w:bookmarkEnd w:id="78"/>
      <w:bookmarkEnd w:id="79"/>
      <w:bookmarkEnd w:id="80"/>
      <w:bookmarkEnd w:id="81"/>
      <w:bookmarkEnd w:id="82"/>
      <w:r>
        <w:rPr>
          <w:rFonts w:ascii="Times New Roman" w:hAnsi="Times New Roman" w:cs="Times New Roman" w:hint="eastAsia"/>
          <w:b/>
          <w:bCs/>
          <w:color w:val="000000"/>
          <w:highlight w:val="none"/>
          <w:lang w:eastAsia="zh-CN"/>
        </w:rPr>
        <w:t xml:space="preserve">（（</w:t>
      </w:r>
      <w:r>
        <w:rPr>
          <w:rFonts w:ascii="Times New Roman" w:hAnsi="Times New Roman" w:cs="Times New Roman" w:hint="eastAsia"/>
          <w:b/>
          <w:bCs/>
          <w:color w:val="000000"/>
          <w:highlight w:val="none"/>
          <w:lang w:val="en-US" w:eastAsia="zh-CN"/>
        </w:rPr>
        <w:t xml:space="preserve">2024年1月1日-2024年1月10日</w:t>
      </w:r>
      <w:r>
        <w:rPr>
          <w:rFonts w:ascii="Times New Roman" w:hAnsi="Times New Roman" w:cs="Times New Roman" w:hint="eastAsia"/>
          <w:b/>
          <w:bCs/>
          <w:color w:val="000000"/>
          <w:highlight w:val="none"/>
          <w:lang w:eastAsia="zh-CN"/>
        </w:rPr>
        <w:t xml:space="preserve">））</w:t>
      </w:r>
    </w:p>
    <w:p>
      <w:pPr>
        <w:spacing w:line="600" w:lineRule="exact"/>
        <w:ind w:firstLine="640"/>
        <w:jc w:val="both"/>
        <w:rPr>
          <w:rFonts w:ascii="Times New Roman" w:hAnsi="Times New Roman" w:cs="Times New Roman" w:hint="eastAsia"/>
          <w:bCs/>
          <w:color w:val="000000"/>
          <w:szCs w:val="32"/>
          <w:highlight w:val="none"/>
          <w:lang w:val="en-US" w:eastAsia="zh-CN"/>
        </w:rPr>
      </w:pPr>
      <w:bookmarkStart w:id="83" w:name="_Toc2579"/>
      <w:r>
        <w:rPr>
          <w:rFonts w:ascii="Times New Roman" w:eastAsia="仿宋_GB2312" w:hAnsi="Times New Roman" w:cs="Times New Roman" w:hint="default"/>
          <w:bCs/>
          <w:color w:val="000000"/>
          <w:szCs w:val="32"/>
          <w:highlight w:val="none"/>
        </w:rPr>
        <w:t xml:space="preserve">按照《项目支出绩效评价管理办法》（财预〔2020〕10号）文件要求，</w:t>
      </w:r>
      <w:r>
        <w:rPr>
          <w:rFonts w:ascii="Times New Roman" w:hAnsi="Times New Roman" w:cs="Times New Roman" w:hint="eastAsia"/>
          <w:bCs/>
          <w:color w:val="000000"/>
          <w:szCs w:val="32"/>
          <w:highlight w:val="none"/>
          <w:lang w:eastAsia="zh-CN"/>
        </w:rPr>
        <w:t xml:space="preserve">尉犁</w:t>
      </w:r>
      <w:r>
        <w:rPr>
          <w:rFonts w:ascii="Times New Roman" w:eastAsia="仿宋_GB2312" w:hAnsi="Times New Roman" w:cs="Times New Roman" w:hint="default"/>
          <w:color w:val="000000"/>
          <w:highlight w:val="none"/>
        </w:rPr>
        <w:t xml:space="preserve">县</w:t>
      </w:r>
      <w:r>
        <w:rPr>
          <w:rFonts w:ascii="方正仿宋_GBK" w:eastAsia="方正仿宋_GBK" w:hAnsi="方正仿宋_GBK" w:cs="方正仿宋_GBK" w:hint="eastAsia"/>
          <w:color w:val="000000"/>
          <w:sz w:val="31"/>
          <w:szCs w:val="31"/>
          <w:highlight w:val="none"/>
          <w:lang w:val="en-US" w:eastAsia="zh-CN"/>
        </w:rPr>
        <w:t xml:space="preserve">房屋征收与补偿管理办公室</w:t>
      </w:r>
      <w:r>
        <w:rPr>
          <w:rFonts w:ascii="Times New Roman" w:eastAsia="仿宋_GB2312" w:hAnsi="Times New Roman" w:cs="Times New Roman" w:hint="default"/>
          <w:bCs/>
          <w:color w:val="000000"/>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Times New Roman" w:hAnsi="Times New Roman" w:cs="Times New Roman" w:hint="eastAsia"/>
          <w:bCs/>
          <w:color w:val="000000"/>
          <w:szCs w:val="32"/>
          <w:highlight w:val="none"/>
          <w:lang w:val="en-US" w:eastAsia="zh-CN"/>
        </w:rPr>
        <w:t xml:space="preserve">绩效评价工作小组人员名单及分工如下：</w:t>
      </w:r>
    </w:p>
    <w:p>
      <w:pPr>
        <w:bidi w:val="0"/>
        <w:rPr>
          <w:rFonts w:hint="eastAsia"/>
          <w:color w:val="000000"/>
          <w:highlight w:val="none"/>
          <w:lang w:val="en-US" w:eastAsia="zh-CN"/>
        </w:rPr>
      </w:pPr>
      <w:r>
        <w:rPr>
          <w:rFonts w:hint="eastAsia"/>
          <w:color w:val="000000"/>
          <w:highlight w:val="none"/>
          <w:lang w:val="en-US" w:eastAsia="zh-CN"/>
        </w:rPr>
        <w:t xml:space="preserve">评价小组组长：杨志新，主要负责协调相关科室、部门对项目整体运行情况进行验收、评估。</w:t>
      </w:r>
    </w:p>
    <w:p>
      <w:pPr>
        <w:bidi w:val="0"/>
        <w:rPr>
          <w:rFonts w:hint="default"/>
          <w:color w:val="000000"/>
          <w:highlight w:val="none"/>
          <w:lang w:val="en-US" w:eastAsia="zh-CN"/>
        </w:rPr>
      </w:pPr>
      <w:r>
        <w:rPr>
          <w:rFonts w:hint="eastAsia"/>
          <w:color w:val="000000"/>
          <w:highlight w:val="none"/>
          <w:lang w:val="en-US" w:eastAsia="zh-CN"/>
        </w:rPr>
        <w:t xml:space="preserve">评价小组组员：孙文明，主要负责制定评价指标体系及评价标准。</w:t>
      </w:r>
    </w:p>
    <w:p>
      <w:pPr>
        <w:rPr>
          <w:rFonts w:ascii="Times New Roman" w:eastAsia="仿宋_GB2312" w:hAnsi="Times New Roman" w:cs="Times New Roman" w:hint="default"/>
          <w:bCs/>
          <w:color w:val="000000"/>
          <w:szCs w:val="32"/>
          <w:highlight w:val="none"/>
        </w:rPr>
      </w:pPr>
      <w:r>
        <w:rPr>
          <w:rFonts w:hint="eastAsia"/>
          <w:color w:val="000000"/>
          <w:highlight w:val="none"/>
          <w:lang w:val="en-US" w:eastAsia="zh-CN"/>
        </w:rPr>
        <w:t xml:space="preserve">评价小组组员：陈广远，主要负责</w:t>
      </w: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hint="eastAsia"/>
          <w:color w:val="000000"/>
          <w:highlight w:val="none"/>
          <w:lang w:val="en-US" w:eastAsia="zh-CN"/>
        </w:rPr>
        <w:t xml:space="preserve">实施、监督、评估工作。</w:t>
      </w:r>
    </w:p>
    <w:p>
      <w:pPr>
        <w:bidi w:val="0"/>
        <w:jc w:val="both"/>
        <w:rPr>
          <w:rFonts w:ascii="Times New Roman" w:eastAsia="仿宋_GB2312" w:hAnsi="Times New Roman" w:cs="Times New Roman" w:hint="default"/>
          <w:b/>
          <w:bCs/>
          <w:color w:val="000000"/>
          <w:highlight w:val="none"/>
        </w:rPr>
      </w:pPr>
      <w:r>
        <w:rPr>
          <w:rFonts w:ascii="Times New Roman" w:eastAsia="仿宋_GB2312" w:hAnsi="Times New Roman" w:cs="Times New Roman" w:hint="default"/>
          <w:b/>
          <w:bCs/>
          <w:color w:val="000000"/>
          <w:highlight w:val="none"/>
        </w:rPr>
        <w:t xml:space="preserve">2.组织实施</w:t>
      </w:r>
      <w:bookmarkEnd w:id="83"/>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评价的具体实施根据评价指标及评价工作要求，对具体评价内容和不同环节，采用以下取得的资料与评价方式。</w:t>
      </w:r>
    </w:p>
    <w:p>
      <w:pPr>
        <w:bidi w:val="0"/>
        <w:jc w:val="both"/>
        <w:rPr>
          <w:rFonts w:hint="eastAsia"/>
          <w:color w:val="000000"/>
          <w:highlight w:val="none"/>
          <w:lang w:val="en-US" w:eastAsia="zh-CN"/>
        </w:rPr>
      </w:pPr>
      <w:r>
        <w:rPr>
          <w:rFonts w:hint="eastAsia"/>
          <w:color w:val="000000"/>
          <w:highlight w:val="none"/>
        </w:rPr>
        <w:t xml:space="preserve">（1）</w:t>
      </w:r>
      <w:r>
        <w:rPr>
          <w:rFonts w:hint="eastAsia"/>
          <w:color w:val="000000"/>
          <w:highlight w:val="none"/>
          <w:lang w:val="en-US" w:eastAsia="zh-CN"/>
        </w:rPr>
        <w:t xml:space="preserve">根据绩效管理的要求，本单位成实施目评价小组，全过程跟踪监管项目实施过程，包括项目资金到位时绩效工作的安排、年中2次绩效监控工作的监督，项目实施完成之后收集资料开展项目绩效评价。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2</w:t>
      </w:r>
      <w:r>
        <w:rPr>
          <w:rFonts w:ascii="Times New Roman" w:eastAsia="仿宋_GB2312" w:hAnsi="Times New Roman" w:cs="Times New Roman" w:hint="default"/>
          <w:color w:val="000000"/>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3</w:t>
      </w:r>
      <w:r>
        <w:rPr>
          <w:rFonts w:ascii="Times New Roman" w:eastAsia="仿宋_GB2312" w:hAnsi="Times New Roman" w:cs="Times New Roman" w:hint="default"/>
          <w:color w:val="000000"/>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color w:val="000000"/>
          <w:highlight w:val="none"/>
        </w:rPr>
      </w:pPr>
      <w:bookmarkStart w:id="84" w:name="_Toc19781"/>
      <w:r>
        <w:rPr>
          <w:rFonts w:ascii="Times New Roman" w:eastAsia="仿宋_GB2312" w:hAnsi="Times New Roman" w:cs="Times New Roman" w:hint="default"/>
          <w:b/>
          <w:bCs/>
          <w:color w:val="000000"/>
          <w:highlight w:val="none"/>
        </w:rPr>
        <w:t xml:space="preserve">3.数据集中分析</w:t>
      </w:r>
      <w:bookmarkEnd w:id="84"/>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color w:val="000000"/>
          <w:highlight w:val="none"/>
        </w:rPr>
      </w:pPr>
      <w:bookmarkStart w:id="85" w:name="_Toc5021"/>
      <w:r>
        <w:rPr>
          <w:rFonts w:ascii="Times New Roman" w:eastAsia="仿宋_GB2312" w:hAnsi="Times New Roman" w:cs="Times New Roman" w:hint="default"/>
          <w:b/>
          <w:bCs/>
          <w:color w:val="000000"/>
          <w:highlight w:val="none"/>
        </w:rPr>
        <w:t xml:space="preserve">4.分析总结</w:t>
      </w:r>
      <w:bookmarkEnd w:id="85"/>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（2）就部门自评报告与部门具体有关股室征求意见，形成最终的绩效评价报告。</w:t>
      </w:r>
    </w:p>
    <w:p>
      <w:pPr>
        <w:rPr>
          <w:b/>
          <w:bCs/>
          <w:color w:val="000000"/>
          <w:highlight w:val="none"/>
        </w:rPr>
      </w:pPr>
      <w:bookmarkStart w:id="86" w:name="OLE_LINK11"/>
      <w:r>
        <w:rPr>
          <w:rFonts w:hint="eastAsia"/>
          <w:b/>
          <w:bCs/>
          <w:color w:val="000000"/>
          <w:highlight w:val="none"/>
        </w:rPr>
        <w:t xml:space="preserve">5</w:t>
      </w:r>
      <w:r>
        <w:rPr>
          <w:rFonts w:hint="eastAsia"/>
          <w:b/>
          <w:bCs/>
          <w:color w:val="000000"/>
          <w:highlight w:val="none"/>
          <w:lang w:eastAsia="zh-CN"/>
        </w:rPr>
        <w:t xml:space="preserve">.</w:t>
      </w:r>
      <w:r>
        <w:rPr>
          <w:rFonts w:hint="eastAsia"/>
          <w:b/>
          <w:bCs/>
          <w:color w:val="000000"/>
          <w:highlight w:val="none"/>
        </w:rPr>
        <w:t xml:space="preserve">问题整改</w:t>
      </w:r>
    </w:p>
    <w:p>
      <w:pPr>
        <w:rPr>
          <w:color w:val="000000"/>
          <w:highlight w:val="none"/>
        </w:rPr>
      </w:pPr>
      <w:r>
        <w:rPr>
          <w:rFonts w:hint="eastAsia"/>
          <w:color w:val="000000"/>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000000"/>
          <w:highlight w:val="none"/>
        </w:rPr>
      </w:pPr>
      <w:r>
        <w:rPr>
          <w:rFonts w:hint="eastAsia"/>
          <w:b/>
          <w:bCs/>
          <w:color w:val="000000"/>
          <w:highlight w:val="none"/>
        </w:rPr>
        <w:t xml:space="preserve">6</w:t>
      </w:r>
      <w:r>
        <w:rPr>
          <w:rFonts w:hint="eastAsia"/>
          <w:b/>
          <w:bCs/>
          <w:color w:val="000000"/>
          <w:highlight w:val="none"/>
          <w:lang w:eastAsia="zh-CN"/>
        </w:rPr>
        <w:t xml:space="preserve">.</w:t>
      </w:r>
      <w:r>
        <w:rPr>
          <w:rFonts w:hint="eastAsia"/>
          <w:b/>
          <w:bCs/>
          <w:color w:val="000000"/>
          <w:highlight w:val="none"/>
        </w:rPr>
        <w:t xml:space="preserve">档案整理</w:t>
      </w:r>
    </w:p>
    <w:p>
      <w:pPr>
        <w:ind w:firstLine="560"/>
        <w:rPr>
          <w:color w:val="000000"/>
          <w:highlight w:val="none"/>
        </w:rPr>
      </w:pPr>
      <w:r>
        <w:rPr>
          <w:color w:val="000000"/>
          <w:highlight w:val="none"/>
        </w:rPr>
        <w:t xml:space="preserve">建立和落实档案管理制度，将项目相关资料存档，包括但不限于：评价项目基本情况和相关文件、评价实施方案、项目支付资料等相关档案。</w:t>
      </w:r>
      <w:bookmarkEnd w:id="86"/>
    </w:p>
    <w:p>
      <w:pPr>
        <w:pStyle w:val="Heading2"/>
        <w:bidi w:val="0"/>
        <w:jc w:val="both"/>
        <w:outlineLvl w:val="0"/>
        <w:rPr>
          <w:rFonts w:ascii="黑体" w:eastAsia="黑体" w:hAnsi="黑体" w:cs="黑体" w:hint="eastAsia"/>
          <w:color w:val="000000"/>
          <w:highlight w:val="none"/>
        </w:rPr>
      </w:pPr>
      <w:bookmarkStart w:id="87" w:name="_Toc31058"/>
      <w:bookmarkStart w:id="88" w:name="_Toc21627"/>
      <w:bookmarkStart w:id="89" w:name="_Toc11043"/>
      <w:bookmarkStart w:id="90" w:name="_Toc1808"/>
      <w:bookmarkStart w:id="91" w:name="_Toc32641"/>
      <w:bookmarkStart w:id="92" w:name="_Toc25201"/>
      <w:r>
        <w:rPr>
          <w:rFonts w:ascii="黑体" w:eastAsia="黑体" w:hAnsi="黑体" w:cs="黑体" w:hint="eastAsia"/>
          <w:color w:val="000000"/>
          <w:highlight w:val="none"/>
        </w:rPr>
        <w:t xml:space="preserve">三、综合评价情况及评价结论</w:t>
      </w:r>
      <w:bookmarkEnd w:id="87"/>
      <w:bookmarkEnd w:id="88"/>
      <w:bookmarkEnd w:id="89"/>
      <w:bookmarkEnd w:id="90"/>
      <w:bookmarkEnd w:id="91"/>
      <w:bookmarkEnd w:id="92"/>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本项目的绩效评价结果为“优”，综合评分</w:t>
      </w:r>
      <w:r>
        <w:rPr>
          <w:rFonts w:ascii="Times New Roman" w:eastAsia="仿宋_GB2312" w:hAnsi="Times New Roman" w:cs="Times New Roman" w:hint="default"/>
          <w:color w:val="000000"/>
          <w:highlight w:val="none"/>
          <w:lang w:val="en-US" w:eastAsia="zh-CN"/>
        </w:rPr>
        <w:t xml:space="preserve">100</w:t>
      </w:r>
      <w:r>
        <w:rPr>
          <w:rFonts w:ascii="Times New Roman" w:eastAsia="仿宋_GB2312" w:hAnsi="Times New Roman" w:cs="Times New Roman" w:hint="default"/>
          <w:color w:val="000000"/>
          <w:highlight w:val="none"/>
        </w:rPr>
        <w:t xml:space="preserve">分。其中项目决策22分，项目过程1</w:t>
      </w:r>
      <w:r>
        <w:rPr>
          <w:rFonts w:ascii="Times New Roman" w:eastAsia="仿宋_GB2312" w:hAnsi="Times New Roman" w:cs="Times New Roman" w:hint="default"/>
          <w:color w:val="000000"/>
          <w:highlight w:val="none"/>
          <w:lang w:val="en-US" w:eastAsia="zh-CN"/>
        </w:rPr>
        <w:t xml:space="preserve">8</w:t>
      </w:r>
      <w:r>
        <w:rPr>
          <w:rFonts w:ascii="Times New Roman" w:eastAsia="仿宋_GB2312" w:hAnsi="Times New Roman" w:cs="Times New Roman" w:hint="default"/>
          <w:color w:val="000000"/>
          <w:highlight w:val="none"/>
        </w:rPr>
        <w:t xml:space="preserve">分，项目产出管理得分</w:t>
      </w:r>
      <w:r>
        <w:rPr>
          <w:rFonts w:ascii="Times New Roman" w:eastAsia="仿宋_GB2312" w:hAnsi="Times New Roman" w:cs="Times New Roman" w:hint="default"/>
          <w:color w:val="000000"/>
          <w:highlight w:val="none"/>
          <w:lang w:val="en-US" w:eastAsia="zh-CN"/>
        </w:rPr>
        <w:t xml:space="preserve">40</w:t>
      </w:r>
      <w:r>
        <w:rPr>
          <w:rFonts w:ascii="Times New Roman" w:eastAsia="仿宋_GB2312" w:hAnsi="Times New Roman" w:cs="Times New Roman" w:hint="default"/>
          <w:color w:val="000000"/>
          <w:highlight w:val="none"/>
        </w:rPr>
        <w:t xml:space="preserve">分，项目效益20分</w:t>
      </w:r>
      <w:r>
        <w:rPr>
          <w:rFonts w:ascii="Times New Roman" w:eastAsia="仿宋_GB2312" w:hAnsi="Times New Roman" w:cs="Times New Roman" w:hint="default"/>
          <w:color w:val="000000"/>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Times New Roman" w:eastAsia="仿宋_GB2312" w:hAnsi="Times New Roman" w:cs="Times New Roman" w:hint="default"/>
                <w:color w:val="000000"/>
                <w:highlight w:val="none"/>
              </w:rPr>
            </w:pPr>
            <w:bookmarkStart w:id="93" w:name="_Toc16086"/>
            <w:bookmarkStart w:id="94" w:name="_Toc16245"/>
            <w:bookmarkStart w:id="95" w:name="_Toc11667"/>
            <w:bookmarkStart w:id="96" w:name="_Toc3703"/>
            <w:bookmarkStart w:id="97" w:name="_Toc30727"/>
            <w:bookmarkStart w:id="98" w:name="_Toc17356"/>
            <w:r>
              <w:rPr>
                <w:rFonts w:ascii="Times New Roman" w:hAnsi="Times New Roman" w:cs="Times New Roman" w:hint="eastAsia"/>
                <w:color w:val="000000"/>
                <w:sz w:val="30"/>
                <w:szCs w:val="30"/>
                <w:highlight w:val="none"/>
                <w:lang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绩效评价</w:t>
            </w:r>
            <w:r>
              <w:rPr>
                <w:rFonts w:ascii="Times New Roman" w:eastAsia="仿宋_GB2312" w:hAnsi="Times New Roman" w:cs="Times New Roman" w:hint="default"/>
                <w:color w:val="000000"/>
                <w:highlight w:val="none"/>
                <w:lang w:val="zh-TW" w:eastAsia="zh-TW"/>
              </w:rPr>
              <w:t xml:space="preserve">得分表</w:t>
            </w:r>
            <w:bookmarkEnd w:id="93"/>
            <w:bookmarkEnd w:id="94"/>
            <w:bookmarkEnd w:id="95"/>
            <w:bookmarkEnd w:id="96"/>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default"/>
                <w:color w:val="000000"/>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default"/>
                <w:color w:val="000000"/>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default"/>
                <w:color w:val="000000"/>
                <w:highlight w:val="none"/>
                <w:lang w:val="en-US" w:eastAsia="zh-CN"/>
              </w:rPr>
              <w:t xml:space="preserve">100</w:t>
            </w:r>
          </w:p>
        </w:tc>
      </w:tr>
    </w:tbl>
    <w:p>
      <w:pPr>
        <w:pStyle w:val="Heading2"/>
        <w:bidi w:val="0"/>
        <w:jc w:val="both"/>
        <w:outlineLvl w:val="0"/>
        <w:rPr>
          <w:rFonts w:ascii="黑体" w:eastAsia="黑体" w:hAnsi="黑体" w:cs="黑体" w:hint="eastAsia"/>
          <w:color w:val="000000"/>
          <w:highlight w:val="none"/>
        </w:rPr>
      </w:pPr>
      <w:bookmarkStart w:id="99" w:name="_Toc13630"/>
      <w:bookmarkStart w:id="100" w:name="_Toc13580"/>
      <w:bookmarkStart w:id="101" w:name="_Toc4904"/>
      <w:bookmarkStart w:id="102" w:name="_Toc29439"/>
      <w:r>
        <w:rPr>
          <w:rFonts w:ascii="黑体" w:eastAsia="黑体" w:hAnsi="黑体" w:cs="黑体" w:hint="eastAsia"/>
          <w:color w:val="000000"/>
          <w:highlight w:val="none"/>
        </w:rPr>
        <w:t xml:space="preserve">四、绩效评价指标分析</w:t>
      </w:r>
      <w:bookmarkEnd w:id="97"/>
      <w:bookmarkEnd w:id="98"/>
      <w:bookmarkEnd w:id="99"/>
      <w:bookmarkEnd w:id="100"/>
      <w:bookmarkEnd w:id="101"/>
      <w:bookmarkEnd w:id="102"/>
    </w:p>
    <w:p>
      <w:pPr>
        <w:pStyle w:val="Heading3"/>
        <w:bidi w:val="0"/>
        <w:jc w:val="both"/>
        <w:outlineLvl w:val="1"/>
        <w:rPr>
          <w:rFonts w:ascii="楷体" w:eastAsia="楷体" w:hAnsi="楷体" w:cs="楷体" w:hint="eastAsia"/>
          <w:color w:val="000000"/>
          <w:highlight w:val="none"/>
        </w:rPr>
      </w:pPr>
      <w:bookmarkStart w:id="103" w:name="_Toc1968"/>
      <w:bookmarkStart w:id="104" w:name="_Toc22323"/>
      <w:bookmarkStart w:id="105" w:name="_Toc28087"/>
      <w:bookmarkStart w:id="106" w:name="_Toc2901"/>
      <w:bookmarkStart w:id="107" w:name="_Toc28477"/>
      <w:r>
        <w:rPr>
          <w:rFonts w:ascii="楷体" w:eastAsia="楷体" w:hAnsi="楷体" w:cs="楷体" w:hint="eastAsia"/>
          <w:color w:val="000000"/>
          <w:highlight w:val="none"/>
        </w:rPr>
        <w:t xml:space="preserve">（一）项目决策情况</w:t>
      </w:r>
      <w:bookmarkEnd w:id="103"/>
      <w:bookmarkEnd w:id="104"/>
      <w:bookmarkEnd w:id="105"/>
      <w:bookmarkEnd w:id="106"/>
      <w:bookmarkEnd w:id="107"/>
    </w:p>
    <w:p>
      <w:pPr>
        <w:bidi w:val="0"/>
        <w:jc w:val="both"/>
        <w:rPr>
          <w:rFonts w:ascii="Times New Roman" w:eastAsia="仿宋_GB2312" w:hAnsi="Times New Roman" w:cs="Times New Roman" w:hint="default"/>
          <w:b/>
          <w:bCs/>
          <w:color w:val="000000"/>
          <w:highlight w:val="none"/>
        </w:rPr>
      </w:pPr>
      <w:bookmarkStart w:id="108" w:name="_Toc22511"/>
      <w:bookmarkStart w:id="109" w:name="_Toc510"/>
      <w:r>
        <w:rPr>
          <w:rFonts w:ascii="Times New Roman" w:eastAsia="仿宋_GB2312" w:hAnsi="Times New Roman" w:cs="Times New Roman" w:hint="default"/>
          <w:b/>
          <w:bCs/>
          <w:color w:val="000000"/>
          <w:highlight w:val="none"/>
        </w:rPr>
        <w:t xml:space="preserve">1.</w:t>
      </w:r>
      <w:r>
        <w:rPr>
          <w:rFonts w:ascii="Times New Roman" w:hAnsi="Times New Roman" w:cs="Times New Roman" w:hint="eastAsia"/>
          <w:b/>
          <w:bCs/>
          <w:color w:val="000000"/>
          <w:highlight w:val="none"/>
          <w:lang w:eastAsia="zh-CN"/>
        </w:rPr>
        <w:t xml:space="preserve">实施</w:t>
      </w:r>
      <w:r>
        <w:rPr>
          <w:rFonts w:ascii="Times New Roman" w:eastAsia="仿宋_GB2312" w:hAnsi="Times New Roman" w:cs="Times New Roman" w:hint="default"/>
          <w:b/>
          <w:bCs/>
          <w:color w:val="000000"/>
          <w:highlight w:val="none"/>
        </w:rPr>
        <w:t xml:space="preserve">依据充分性</w:t>
      </w:r>
      <w:bookmarkEnd w:id="108"/>
      <w:bookmarkEnd w:id="109"/>
    </w:p>
    <w:p>
      <w:pPr>
        <w:ind w:firstLine="640" w:firstLineChars="200"/>
        <w:rPr>
          <w:rFonts w:ascii="Times New Roman" w:eastAsia="仿宋_GB2312" w:hAnsi="Times New Roman" w:cs="Times New Roman" w:hint="default"/>
          <w:color w:val="000000"/>
          <w:highlight w:val="none"/>
        </w:rPr>
      </w:pPr>
      <w:r>
        <w:rPr>
          <w:rFonts w:ascii="Times New Roman" w:eastAsia="仿宋_GB2312" w:hAnsi="Times New Roman" w:cs="Times New Roman" w:hint="eastAsia"/>
          <w:sz w:val="32"/>
        </w:rPr>
        <w:t xml:space="preserve">本</w:t>
      </w:r>
      <w:r>
        <w:rPr>
          <w:rFonts w:ascii="Times New Roman" w:eastAsia="仿宋_GB2312" w:hAnsi="Times New Roman" w:cs="Times New Roman" w:hint="eastAsia"/>
          <w:sz w:val="32"/>
        </w:rPr>
        <w:t xml:space="preserve">项目</w:t>
      </w:r>
      <w:r>
        <w:rPr>
          <w:rFonts w:ascii="Times New Roman" w:eastAsia="仿宋_GB2312" w:hAnsi="Times New Roman" w:cs="Times New Roman" w:hint="eastAsia"/>
          <w:sz w:val="32"/>
          <w:lang w:val="en-US" w:eastAsia="zh-CN"/>
        </w:rPr>
        <w:t xml:space="preserve">实施</w:t>
      </w:r>
      <w:r>
        <w:rPr>
          <w:rFonts w:ascii="Times New Roman" w:eastAsia="仿宋_GB2312" w:hAnsi="Times New Roman" w:cs="Times New Roman" w:hint="eastAsia"/>
          <w:sz w:val="32"/>
        </w:rPr>
        <w:t xml:space="preserve">符合</w:t>
      </w:r>
      <w:r>
        <w:rPr>
          <w:rFonts w:ascii="Times New Roman" w:eastAsia="仿宋_GB2312" w:hAnsi="Times New Roman" w:cs="Times New Roman" w:hint="eastAsia"/>
          <w:sz w:val="32"/>
        </w:rPr>
        <w:t xml:space="preserve">中华人民共和国国务院</w:t>
      </w:r>
      <w:r>
        <w:rPr>
          <w:rFonts w:ascii="Times New Roman" w:eastAsia="仿宋_GB2312" w:hAnsi="Times New Roman" w:cs="Times New Roman" w:hint="eastAsia"/>
          <w:sz w:val="32"/>
        </w:rPr>
        <w:t xml:space="preserve">颁发的</w:t>
      </w:r>
      <w:r>
        <w:rPr>
          <w:rFonts w:ascii="Times New Roman" w:eastAsia="仿宋_GB2312" w:hAnsi="Times New Roman" w:cs="Times New Roman" w:hint="eastAsia"/>
          <w:sz w:val="32"/>
        </w:rPr>
        <w:t xml:space="preserve">《 国有土地上房屋征收与补偿条例》</w:t>
      </w:r>
      <w:r>
        <w:rPr>
          <w:rFonts w:ascii="Times New Roman" w:eastAsia="仿宋_GB2312" w:hAnsi="Times New Roman" w:cs="Times New Roman" w:hint="eastAsia"/>
          <w:sz w:val="32"/>
        </w:rPr>
        <w:t xml:space="preserve">中</w:t>
      </w:r>
      <w:r>
        <w:rPr>
          <w:rFonts w:ascii="Times New Roman" w:eastAsia="仿宋_GB2312" w:hAnsi="Times New Roman" w:cs="Times New Roman" w:hint="eastAsia"/>
          <w:sz w:val="32"/>
        </w:rPr>
        <w:t xml:space="preserve">：“依照本条例第八条规定，确需征收房屋的各项建设活动，应当符合国民经济和社会发展规划、土地利用总体规划、城乡规划和专项规划”；本项目</w:t>
      </w:r>
      <w:r>
        <w:rPr>
          <w:rFonts w:ascii="Times New Roman" w:eastAsia="仿宋_GB2312" w:hAnsi="Times New Roman" w:cs="Times New Roman" w:hint="eastAsia"/>
          <w:sz w:val="32"/>
          <w:lang w:val="en-US" w:eastAsia="zh-CN"/>
        </w:rPr>
        <w:t xml:space="preserve">实施</w:t>
      </w:r>
      <w:r>
        <w:rPr>
          <w:rFonts w:ascii="Times New Roman" w:eastAsia="仿宋_GB2312" w:hAnsi="Times New Roman" w:cs="Times New Roman" w:hint="eastAsia"/>
          <w:sz w:val="32"/>
        </w:rPr>
        <w:t xml:space="preserve">符合《</w:t>
      </w:r>
      <w:r>
        <w:rPr>
          <w:rFonts w:ascii="Times New Roman" w:eastAsia="仿宋_GB2312" w:hAnsi="Times New Roman" w:cs="Times New Roman" w:hint="eastAsia"/>
          <w:sz w:val="32"/>
        </w:rPr>
        <w:t xml:space="preserve">国有土地上房屋征收与补偿条例</w:t>
      </w:r>
      <w:r>
        <w:rPr>
          <w:rFonts w:ascii="Times New Roman" w:eastAsia="仿宋_GB2312" w:hAnsi="Times New Roman" w:cs="Times New Roman" w:hint="eastAsia"/>
          <w:sz w:val="32"/>
        </w:rPr>
        <w:t xml:space="preserve">》中</w:t>
      </w:r>
      <w:r>
        <w:rPr>
          <w:rFonts w:ascii="Times New Roman" w:eastAsia="仿宋_GB2312" w:hAnsi="Times New Roman" w:cs="Times New Roman" w:hint="eastAsia"/>
          <w:sz w:val="32"/>
        </w:rPr>
        <w:t xml:space="preserve">：“确需征收房屋的各项建设活动，应当符合国民经济和社会发展规划、土地利用总体规划、城乡规划和专项规划”</w:t>
      </w:r>
      <w:r>
        <w:rPr>
          <w:rFonts w:ascii="Times New Roman" w:eastAsia="仿宋_GB2312" w:hAnsi="Times New Roman" w:cs="Times New Roman" w:hint="eastAsia"/>
          <w:sz w:val="32"/>
        </w:rPr>
        <w:t xml:space="preserve">内容，</w:t>
      </w:r>
      <w:r>
        <w:rPr>
          <w:rFonts w:hint="eastAsia"/>
          <w:color w:val="000000"/>
        </w:rPr>
        <w:t xml:space="preserve">符合行业发展规划和政策要求</w:t>
      </w:r>
      <w:r>
        <w:rPr>
          <w:rFonts w:ascii="Times New Roman" w:eastAsia="仿宋_GB2312" w:hAnsi="Times New Roman" w:cs="Times New Roman" w:hint="default"/>
          <w:color w:val="000000"/>
          <w:highlight w:val="none"/>
        </w:rPr>
        <w:t xml:space="preserve">；与部门职责范围相符，属</w:t>
      </w:r>
      <w:r>
        <w:rPr>
          <w:rFonts w:ascii="Times New Roman" w:eastAsia="仿宋_GB2312" w:hAnsi="Times New Roman" w:cs="Times New Roman" w:hint="default"/>
          <w:color w:val="000000"/>
          <w:highlight w:val="none"/>
        </w:rPr>
        <w:t xml:space="preserve">干部</w:t>
      </w:r>
      <w:r>
        <w:rPr>
          <w:rFonts w:ascii="Times New Roman" w:eastAsia="仿宋_GB2312" w:hAnsi="Times New Roman" w:cs="Times New Roman" w:hint="default"/>
          <w:color w:val="000000"/>
          <w:highlight w:val="none"/>
        </w:rPr>
        <w:t xml:space="preserve">门履职所需；属于公共财政支持范围，符合中央、地方事权支出责任划分原则；</w:t>
      </w:r>
      <w:r>
        <w:rPr>
          <w:rFonts w:ascii="Times New Roman" w:eastAsia="仿宋_GB2312" w:hAnsi="Times New Roman" w:cs="Times New Roman" w:hint="default"/>
          <w:color w:val="000000"/>
          <w:highlight w:val="none"/>
          <w:lang w:val="en-US" w:eastAsia="zh-CN"/>
        </w:rPr>
        <w:t xml:space="preserve">不存在</w:t>
      </w:r>
      <w:r>
        <w:rPr>
          <w:rFonts w:ascii="Times New Roman" w:eastAsia="仿宋_GB2312" w:hAnsi="Times New Roman" w:cs="Times New Roman" w:hint="default"/>
          <w:color w:val="000000"/>
          <w:highlight w:val="none"/>
        </w:rPr>
        <w:t xml:space="preserve">与相关部门同类项目或部门内部相关项目重复</w:t>
      </w:r>
      <w:r>
        <w:rPr>
          <w:rFonts w:ascii="Times New Roman" w:eastAsia="仿宋_GB2312" w:hAnsi="Times New Roman" w:cs="Times New Roman" w:hint="default"/>
          <w:color w:val="000000"/>
          <w:highlight w:val="none"/>
          <w:lang w:val="en-US" w:eastAsia="zh-CN"/>
        </w:rPr>
        <w:t xml:space="preserve">的现象</w:t>
      </w:r>
      <w:r>
        <w:rPr>
          <w:rFonts w:ascii="Times New Roman" w:eastAsia="仿宋_GB2312" w:hAnsi="Times New Roman" w:cs="Times New Roman" w:hint="default"/>
          <w:color w:val="000000"/>
          <w:highlight w:val="none"/>
        </w:rPr>
        <w:t xml:space="preserve">。</w:t>
      </w:r>
      <w:r>
        <w:rPr>
          <w:rFonts w:ascii="Times New Roman" w:eastAsia="仿宋_GB2312" w:hAnsi="Times New Roman" w:cs="Times New Roman" w:hint="default"/>
          <w:color w:val="000000"/>
          <w:highlight w:val="none"/>
          <w:lang w:val="en-US" w:eastAsia="zh-CN"/>
        </w:rPr>
        <w:t xml:space="preserve">项目</w:t>
      </w:r>
      <w:r>
        <w:rPr>
          <w:rFonts w:ascii="Times New Roman" w:hAnsi="Times New Roman" w:cs="Times New Roman" w:hint="eastAsia"/>
          <w:color w:val="000000"/>
          <w:highlight w:val="none"/>
          <w:lang w:val="en-US" w:eastAsia="zh-CN"/>
        </w:rPr>
        <w:t xml:space="preserve">实施</w:t>
      </w:r>
      <w:r>
        <w:rPr>
          <w:rFonts w:ascii="Times New Roman" w:eastAsia="仿宋_GB2312" w:hAnsi="Times New Roman" w:cs="Times New Roman" w:hint="default"/>
          <w:color w:val="000000"/>
          <w:highlight w:val="none"/>
          <w:lang w:val="en-US" w:eastAsia="zh-CN"/>
        </w:rPr>
        <w:t xml:space="preserve">依据充分。</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本项满分3分，评估得分3分。</w:t>
      </w:r>
    </w:p>
    <w:p>
      <w:pPr>
        <w:bidi w:val="0"/>
        <w:jc w:val="both"/>
        <w:rPr>
          <w:rFonts w:ascii="Times New Roman" w:eastAsia="仿宋_GB2312" w:hAnsi="Times New Roman" w:cs="Times New Roman" w:hint="default"/>
          <w:b/>
          <w:bCs/>
          <w:color w:val="000000"/>
          <w:highlight w:val="none"/>
        </w:rPr>
      </w:pPr>
      <w:bookmarkStart w:id="110" w:name="_Toc27895"/>
      <w:bookmarkStart w:id="111" w:name="_Toc283"/>
      <w:r>
        <w:rPr>
          <w:rFonts w:ascii="Times New Roman" w:eastAsia="仿宋_GB2312" w:hAnsi="Times New Roman" w:cs="Times New Roman" w:hint="default"/>
          <w:b/>
          <w:bCs/>
          <w:color w:val="000000"/>
          <w:highlight w:val="none"/>
        </w:rPr>
        <w:t xml:space="preserve">2.</w:t>
      </w:r>
      <w:r>
        <w:rPr>
          <w:rFonts w:ascii="Times New Roman" w:hAnsi="Times New Roman" w:cs="Times New Roman" w:hint="eastAsia"/>
          <w:b/>
          <w:bCs/>
          <w:color w:val="000000"/>
          <w:highlight w:val="none"/>
          <w:lang w:eastAsia="zh-CN"/>
        </w:rPr>
        <w:t xml:space="preserve">实施</w:t>
      </w:r>
      <w:r>
        <w:rPr>
          <w:rFonts w:ascii="Times New Roman" w:eastAsia="仿宋_GB2312" w:hAnsi="Times New Roman" w:cs="Times New Roman" w:hint="default"/>
          <w:b/>
          <w:bCs/>
          <w:color w:val="000000"/>
          <w:highlight w:val="none"/>
        </w:rPr>
        <w:t xml:space="preserve">程序规范性</w:t>
      </w:r>
      <w:bookmarkEnd w:id="110"/>
      <w:bookmarkEnd w:id="111"/>
    </w:p>
    <w:p>
      <w:pPr>
        <w:bidi w:val="0"/>
        <w:rPr>
          <w:rFonts w:ascii="Times New Roman" w:eastAsia="仿宋_GB2312" w:hAnsi="Times New Roman" w:cs="Times New Roman" w:hint="default"/>
          <w:color w:val="000000"/>
          <w:highlight w:val="none"/>
        </w:rPr>
      </w:pPr>
      <w:bookmarkStart w:id="112" w:name="OLE_LINK9"/>
      <w:r>
        <w:rPr>
          <w:rFonts w:ascii="Times New Roman" w:hAnsi="Times New Roman" w:cs="Times New Roman" w:hint="eastAsia"/>
          <w:color w:val="000000"/>
          <w:sz w:val="30"/>
          <w:szCs w:val="30"/>
          <w:highlight w:val="none"/>
          <w:lang w:val="en-US"/>
        </w:rPr>
        <w:t xml:space="preserve">本项目</w:t>
      </w:r>
      <w:r>
        <w:rPr>
          <w:rFonts w:ascii="Times New Roman" w:hAnsi="Times New Roman" w:cs="Times New Roman" w:hint="eastAsia"/>
          <w:color w:val="000000"/>
          <w:sz w:val="30"/>
          <w:szCs w:val="30"/>
          <w:highlight w:val="none"/>
          <w:lang w:val="en-US" w:eastAsia="zh-CN"/>
        </w:rPr>
        <w:t xml:space="preserve">实施</w:t>
      </w:r>
      <w:r>
        <w:rPr>
          <w:rFonts w:ascii="Times New Roman" w:hAnsi="Times New Roman" w:cs="Times New Roman" w:hint="eastAsia"/>
          <w:color w:val="000000"/>
          <w:sz w:val="30"/>
          <w:szCs w:val="30"/>
          <w:highlight w:val="none"/>
          <w:lang w:val="en-US"/>
        </w:rPr>
        <w:t xml:space="preserve">资料</w:t>
      </w:r>
      <w:r>
        <w:rPr>
          <w:rFonts w:ascii="Times New Roman" w:hAnsi="Times New Roman" w:cs="Times New Roman" w:hint="eastAsia"/>
          <w:color w:val="000000"/>
          <w:sz w:val="30"/>
          <w:szCs w:val="30"/>
          <w:highlight w:val="none"/>
          <w:lang w:val="en-US" w:eastAsia="zh-CN"/>
        </w:rPr>
        <w:t xml:space="preserve">齐</w:t>
      </w:r>
      <w:r>
        <w:rPr>
          <w:rFonts w:ascii="Times New Roman" w:hAnsi="Times New Roman" w:cs="Times New Roman" w:hint="eastAsia"/>
          <w:color w:val="000000"/>
          <w:sz w:val="30"/>
          <w:szCs w:val="30"/>
          <w:highlight w:val="none"/>
          <w:lang w:val="en-US"/>
        </w:rPr>
        <w:t xml:space="preserve">全，</w:t>
      </w:r>
      <w:r>
        <w:rPr>
          <w:rFonts w:ascii="Times New Roman" w:hAnsi="Times New Roman" w:cs="Times New Roman" w:hint="default"/>
          <w:color w:val="000000"/>
          <w:sz w:val="30"/>
          <w:szCs w:val="30"/>
          <w:highlight w:val="none"/>
          <w:lang w:val="en-US"/>
        </w:rPr>
        <w:t xml:space="preserve">编制了</w:t>
      </w:r>
      <w:r>
        <w:rPr>
          <w:rFonts w:ascii="Times New Roman" w:hAnsi="Times New Roman" w:cs="Times New Roman" w:hint="eastAsia"/>
          <w:color w:val="000000"/>
          <w:sz w:val="30"/>
          <w:szCs w:val="30"/>
          <w:highlight w:val="none"/>
          <w:lang w:val="en-US" w:eastAsia="zh-CN"/>
        </w:rPr>
        <w:t xml:space="preserve">《</w:t>
      </w:r>
      <w:r>
        <w:rPr>
          <w:rFonts w:ascii="Times New Roman" w:hAnsi="Times New Roman" w:cs="Times New Roman" w:hint="eastAsia"/>
          <w:color w:val="000000"/>
          <w:sz w:val="30"/>
          <w:szCs w:val="30"/>
          <w:highlight w:val="none"/>
          <w:lang w:eastAsia="zh-CN"/>
        </w:rPr>
        <w:t xml:space="preserve">中石油新疆销售有限公司巴州分公司尉犁楼兰加油站征收项目</w:t>
      </w:r>
      <w:r>
        <w:rPr>
          <w:rFonts w:ascii="Times New Roman" w:hAnsi="Times New Roman" w:cs="Times New Roman" w:hint="default"/>
          <w:color w:val="000000"/>
          <w:sz w:val="30"/>
          <w:szCs w:val="30"/>
          <w:highlight w:val="none"/>
          <w:lang w:val="en-US"/>
        </w:rPr>
        <w:t xml:space="preserve">实施方案</w:t>
      </w:r>
      <w:r>
        <w:rPr>
          <w:rFonts w:ascii="Times New Roman" w:hAnsi="Times New Roman" w:cs="Times New Roman" w:hint="eastAsia"/>
          <w:color w:val="000000"/>
          <w:sz w:val="30"/>
          <w:szCs w:val="30"/>
          <w:highlight w:val="none"/>
          <w:lang w:val="en-US" w:eastAsia="zh-CN"/>
        </w:rPr>
        <w:t xml:space="preserve">》，通过尉犁</w:t>
      </w:r>
      <w:r>
        <w:rPr>
          <w:rFonts w:ascii="Times New Roman" w:hAnsi="Times New Roman" w:cs="Times New Roman" w:hint="eastAsia"/>
          <w:color w:val="000000"/>
          <w:sz w:val="30"/>
          <w:szCs w:val="30"/>
          <w:highlight w:val="none"/>
          <w:lang w:eastAsia="zh-CN"/>
        </w:rPr>
        <w:t xml:space="preserve">县政府常务</w:t>
      </w:r>
      <w:r>
        <w:rPr>
          <w:rFonts w:ascii="Times New Roman" w:hAnsi="Times New Roman" w:cs="Times New Roman" w:hint="eastAsia"/>
          <w:color w:val="000000"/>
          <w:sz w:val="30"/>
          <w:szCs w:val="30"/>
          <w:highlight w:val="none"/>
          <w:lang w:val="en-US" w:eastAsia="zh-CN"/>
        </w:rPr>
        <w:t xml:space="preserve">会议同意。因此，实施</w:t>
      </w:r>
      <w:r>
        <w:rPr>
          <w:rFonts w:ascii="Times New Roman" w:hAnsi="Times New Roman" w:cs="Times New Roman" w:hint="eastAsia"/>
          <w:color w:val="000000"/>
          <w:sz w:val="30"/>
          <w:szCs w:val="30"/>
          <w:highlight w:val="none"/>
          <w:lang w:eastAsia="zh-CN"/>
        </w:rPr>
        <w:t xml:space="preserve">程序规范</w:t>
      </w:r>
      <w:r>
        <w:rPr>
          <w:rFonts w:hint="eastAsia"/>
          <w:bCs/>
          <w:color w:val="000000"/>
          <w:szCs w:val="32"/>
          <w:highlight w:val="none"/>
        </w:rPr>
        <w:t xml:space="preserve">；审批文件、材料符合相关要求，事前已经过必要的集体决策，</w:t>
      </w:r>
      <w:r>
        <w:rPr>
          <w:rFonts w:hint="eastAsia"/>
          <w:color w:val="000000"/>
          <w:highlight w:val="none"/>
        </w:rPr>
        <w:t xml:space="preserve">实施程序规范。</w:t>
      </w:r>
      <w:bookmarkEnd w:id="112"/>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本项满分3分，评估得分3分。</w:t>
      </w:r>
    </w:p>
    <w:p>
      <w:pPr>
        <w:bidi w:val="0"/>
        <w:jc w:val="both"/>
        <w:rPr>
          <w:rFonts w:ascii="Times New Roman" w:eastAsia="仿宋_GB2312" w:hAnsi="Times New Roman" w:cs="Times New Roman" w:hint="default"/>
          <w:b/>
          <w:bCs/>
          <w:color w:val="000000"/>
          <w:highlight w:val="none"/>
        </w:rPr>
      </w:pPr>
      <w:bookmarkStart w:id="113" w:name="_Toc13368"/>
      <w:bookmarkStart w:id="114" w:name="_Toc20471"/>
      <w:r>
        <w:rPr>
          <w:rFonts w:ascii="Times New Roman" w:eastAsia="仿宋_GB2312" w:hAnsi="Times New Roman" w:cs="Times New Roman" w:hint="default"/>
          <w:b/>
          <w:bCs/>
          <w:color w:val="000000"/>
          <w:highlight w:val="none"/>
        </w:rPr>
        <w:t xml:space="preserve">3.绩效目标合理性</w:t>
      </w:r>
      <w:bookmarkEnd w:id="113"/>
      <w:bookmarkEnd w:id="114"/>
    </w:p>
    <w:p>
      <w:pPr>
        <w:bidi w:val="0"/>
        <w:jc w:val="both"/>
        <w:rPr>
          <w:rFonts w:ascii="Times New Roman" w:eastAsia="仿宋_GB2312" w:hAnsi="Times New Roman" w:cs="Times New Roman" w:hint="default"/>
          <w:color w:val="000000"/>
          <w:highlight w:val="none"/>
        </w:rPr>
      </w:pPr>
      <w:r>
        <w:rPr>
          <w:rFonts w:ascii="Times New Roman" w:hAnsi="Times New Roman" w:cs="Times New Roman" w:hint="eastAsia"/>
          <w:color w:val="000000"/>
          <w:highlight w:val="none"/>
          <w:lang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15" w:name="_Toc15543"/>
      <w:bookmarkStart w:id="116" w:name="_Toc21087"/>
      <w:r>
        <w:rPr>
          <w:rFonts w:ascii="Times New Roman" w:eastAsia="仿宋_GB2312" w:hAnsi="Times New Roman" w:cs="Times New Roman" w:hint="default"/>
          <w:b/>
          <w:bCs/>
          <w:color w:val="000000"/>
          <w:highlight w:val="none"/>
        </w:rPr>
        <w:t xml:space="preserve">4.绩效指标明确性</w:t>
      </w:r>
      <w:bookmarkEnd w:id="115"/>
      <w:bookmarkEnd w:id="116"/>
    </w:p>
    <w:p>
      <w:pPr>
        <w:bidi w:val="0"/>
        <w:jc w:val="both"/>
        <w:rPr>
          <w:rFonts w:ascii="Times New Roman" w:eastAsia="仿宋_GB2312" w:hAnsi="Times New Roman" w:cs="Times New Roman" w:hint="default"/>
          <w:color w:val="000000"/>
          <w:highlight w:val="none"/>
        </w:rPr>
      </w:pPr>
      <w:r>
        <w:rPr>
          <w:rFonts w:ascii="Times New Roman" w:hAnsi="Times New Roman" w:cs="Times New Roman" w:hint="eastAsia"/>
          <w:color w:val="000000"/>
          <w:highlight w:val="none"/>
          <w:lang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，设置一级指标</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条，二级指标</w:t>
      </w:r>
      <w:r>
        <w:rPr>
          <w:rFonts w:ascii="Times New Roman" w:hAnsi="Times New Roman" w:cs="Times New Roman" w:hint="eastAsia"/>
          <w:color w:val="000000"/>
          <w:highlight w:val="none"/>
          <w:lang w:val="en-US" w:eastAsia="zh-CN"/>
        </w:rPr>
        <w:t xml:space="preserve">6</w:t>
      </w:r>
      <w:r>
        <w:rPr>
          <w:rFonts w:ascii="Times New Roman" w:eastAsia="仿宋_GB2312" w:hAnsi="Times New Roman" w:cs="Times New Roman" w:hint="default"/>
          <w:color w:val="000000"/>
          <w:highlight w:val="none"/>
        </w:rPr>
        <w:t xml:space="preserve">条，三级指标</w:t>
      </w:r>
      <w:r>
        <w:rPr>
          <w:rFonts w:ascii="Times New Roman" w:hAnsi="Times New Roman" w:cs="Times New Roman" w:hint="eastAsia"/>
          <w:color w:val="000000"/>
          <w:highlight w:val="none"/>
          <w:lang w:val="en-US" w:eastAsia="zh-CN"/>
        </w:rPr>
        <w:t xml:space="preserve">8</w:t>
      </w:r>
      <w:r>
        <w:rPr>
          <w:rFonts w:ascii="Times New Roman" w:eastAsia="仿宋_GB2312" w:hAnsi="Times New Roman" w:cs="Times New Roman" w:hint="default"/>
          <w:color w:val="000000"/>
          <w:highlight w:val="none"/>
        </w:rPr>
        <w:t xml:space="preserve">条，其中量化指标</w:t>
      </w:r>
      <w:r>
        <w:rPr>
          <w:rFonts w:ascii="Times New Roman" w:hAnsi="Times New Roman" w:cs="Times New Roman" w:hint="eastAsia"/>
          <w:color w:val="000000"/>
          <w:highlight w:val="none"/>
          <w:lang w:val="en-US" w:eastAsia="zh-CN"/>
        </w:rPr>
        <w:t xml:space="preserve">7</w:t>
      </w:r>
      <w:r>
        <w:rPr>
          <w:rFonts w:ascii="Times New Roman" w:eastAsia="仿宋_GB2312" w:hAnsi="Times New Roman" w:cs="Times New Roman" w:hint="default"/>
          <w:color w:val="000000"/>
          <w:highlight w:val="none"/>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17" w:name="_Toc21476"/>
      <w:bookmarkStart w:id="118" w:name="_Toc25638"/>
      <w:r>
        <w:rPr>
          <w:rFonts w:ascii="Times New Roman" w:eastAsia="仿宋_GB2312" w:hAnsi="Times New Roman" w:cs="Times New Roman" w:hint="default"/>
          <w:b/>
          <w:bCs/>
          <w:color w:val="000000"/>
          <w:highlight w:val="none"/>
        </w:rPr>
        <w:t xml:space="preserve">5.预算编制科学性</w:t>
      </w:r>
      <w:bookmarkEnd w:id="117"/>
      <w:bookmarkEnd w:id="118"/>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本项目预算资金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万元，来源为</w:t>
      </w:r>
      <w:r>
        <w:rPr>
          <w:rFonts w:ascii="Times New Roman" w:hAnsi="Times New Roman" w:cs="Times New Roman" w:hint="eastAsia"/>
          <w:color w:val="000000"/>
          <w:highlight w:val="none"/>
          <w:lang w:eastAsia="zh-CN"/>
        </w:rPr>
        <w:t xml:space="preserve">县级财政</w:t>
      </w:r>
      <w:r>
        <w:rPr>
          <w:rFonts w:ascii="Times New Roman" w:eastAsia="仿宋_GB2312" w:hAnsi="Times New Roman" w:cs="Times New Roman" w:hint="default"/>
          <w:color w:val="000000"/>
          <w:highlight w:val="none"/>
        </w:rPr>
        <w:t xml:space="preserve">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万元，预算编制较为科学，预算内容与项目建设内容相匹配，预算额度测算依据充分，预算确定的资金量与</w:t>
      </w:r>
      <w:r>
        <w:rPr>
          <w:rFonts w:ascii="Times New Roman" w:hAnsi="Times New Roman" w:cs="Times New Roman" w:hint="eastAsia"/>
          <w:color w:val="000000"/>
          <w:highlight w:val="none"/>
          <w:lang w:eastAsia="zh-CN"/>
        </w:rPr>
        <w:t xml:space="preserve">工作</w:t>
      </w:r>
      <w:r>
        <w:rPr>
          <w:rFonts w:ascii="Times New Roman" w:eastAsia="仿宋_GB2312" w:hAnsi="Times New Roman" w:cs="Times New Roman" w:hint="default"/>
          <w:color w:val="000000"/>
          <w:highlight w:val="none"/>
        </w:rPr>
        <w:t xml:space="preserve">量相匹配。</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19" w:name="_Toc30661"/>
      <w:bookmarkStart w:id="120" w:name="_Toc21577"/>
      <w:r>
        <w:rPr>
          <w:rFonts w:ascii="Times New Roman" w:eastAsia="仿宋_GB2312" w:hAnsi="Times New Roman" w:cs="Times New Roman" w:hint="default"/>
          <w:b/>
          <w:bCs/>
          <w:color w:val="000000"/>
          <w:highlight w:val="none"/>
        </w:rPr>
        <w:t xml:space="preserve">6.资金分配合理性</w:t>
      </w:r>
      <w:bookmarkEnd w:id="119"/>
      <w:bookmarkEnd w:id="120"/>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本项目预算资金分配依据充分；资金分配额度合理，与项目单位实际相适应。</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pStyle w:val="Heading3"/>
        <w:bidi w:val="0"/>
        <w:jc w:val="both"/>
        <w:outlineLvl w:val="1"/>
        <w:rPr>
          <w:rFonts w:ascii="黑体" w:eastAsia="黑体" w:hAnsi="黑体" w:cs="黑体" w:hint="eastAsia"/>
          <w:color w:val="000000"/>
          <w:highlight w:val="none"/>
        </w:rPr>
      </w:pPr>
      <w:bookmarkStart w:id="121" w:name="_Toc27855"/>
      <w:bookmarkStart w:id="122" w:name="_Toc30992"/>
      <w:bookmarkStart w:id="123" w:name="_Toc9897"/>
      <w:bookmarkStart w:id="124" w:name="_Toc9248"/>
      <w:bookmarkStart w:id="125" w:name="_Toc13442"/>
      <w:r>
        <w:rPr>
          <w:rFonts w:ascii="黑体" w:eastAsia="黑体" w:hAnsi="黑体" w:cs="黑体" w:hint="eastAsia"/>
          <w:color w:val="000000"/>
          <w:highlight w:val="none"/>
        </w:rPr>
        <w:t xml:space="preserve">（二）项目过程情况</w:t>
      </w:r>
      <w:bookmarkEnd w:id="121"/>
      <w:bookmarkEnd w:id="122"/>
      <w:bookmarkEnd w:id="123"/>
      <w:bookmarkEnd w:id="124"/>
      <w:bookmarkEnd w:id="125"/>
    </w:p>
    <w:p>
      <w:pPr>
        <w:bidi w:val="0"/>
        <w:jc w:val="both"/>
        <w:rPr>
          <w:rFonts w:ascii="Times New Roman" w:eastAsia="仿宋_GB2312" w:hAnsi="Times New Roman" w:cs="Times New Roman" w:hint="default"/>
          <w:b/>
          <w:bCs/>
          <w:color w:val="000000"/>
          <w:highlight w:val="none"/>
        </w:rPr>
      </w:pPr>
      <w:bookmarkStart w:id="126" w:name="_Toc29417"/>
      <w:bookmarkStart w:id="127" w:name="_Toc19854"/>
      <w:r>
        <w:rPr>
          <w:rFonts w:ascii="Times New Roman" w:eastAsia="仿宋_GB2312" w:hAnsi="Times New Roman" w:cs="Times New Roman" w:hint="default"/>
          <w:b/>
          <w:bCs/>
          <w:color w:val="000000"/>
          <w:highlight w:val="none"/>
        </w:rPr>
        <w:t xml:space="preserve">1.资金到位率</w:t>
      </w:r>
      <w:bookmarkEnd w:id="126"/>
      <w:bookmarkEnd w:id="127"/>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本项目预算资金</w:t>
      </w:r>
      <w:bookmarkStart w:id="128" w:name="OLE_LINK3"/>
      <w:r>
        <w:rPr>
          <w:rFonts w:ascii="Times New Roman" w:hAnsi="Times New Roman" w:cs="Times New Roman" w:hint="eastAsia"/>
          <w:color w:val="000000"/>
          <w:highlight w:val="none"/>
          <w:lang w:val="en-US" w:eastAsia="zh-CN"/>
        </w:rPr>
        <w:t xml:space="preserve">643.04</w:t>
      </w:r>
      <w:bookmarkEnd w:id="128"/>
      <w:r>
        <w:rPr>
          <w:rFonts w:ascii="Times New Roman" w:eastAsia="仿宋_GB2312" w:hAnsi="Times New Roman" w:cs="Times New Roman" w:hint="default"/>
          <w:color w:val="000000"/>
          <w:highlight w:val="none"/>
        </w:rPr>
        <w:t xml:space="preserve">万元，实际到位资金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万元，资金到位率100%。</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29" w:name="_Toc29889"/>
      <w:bookmarkStart w:id="130" w:name="_Toc13724"/>
      <w:r>
        <w:rPr>
          <w:rFonts w:ascii="Times New Roman" w:eastAsia="仿宋_GB2312" w:hAnsi="Times New Roman" w:cs="Times New Roman" w:hint="default"/>
          <w:b/>
          <w:bCs/>
          <w:color w:val="000000"/>
          <w:highlight w:val="none"/>
        </w:rPr>
        <w:t xml:space="preserve">2.预算执行率</w:t>
      </w:r>
      <w:bookmarkEnd w:id="129"/>
      <w:bookmarkEnd w:id="130"/>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本项目到位资金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万元，实际支付资金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万元，预算执行率为</w:t>
      </w:r>
      <w:r>
        <w:rPr>
          <w:rFonts w:ascii="Times New Roman" w:eastAsia="仿宋_GB2312" w:hAnsi="Times New Roman" w:cs="Times New Roman" w:hint="default"/>
          <w:color w:val="000000"/>
          <w:highlight w:val="none"/>
          <w:lang w:val="en-US" w:eastAsia="zh-CN"/>
        </w:rPr>
        <w:t xml:space="preserve">100</w:t>
      </w:r>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w:t>
      </w:r>
      <w:r>
        <w:rPr>
          <w:rFonts w:ascii="Times New Roman" w:eastAsia="仿宋_GB2312" w:hAnsi="Times New Roman" w:cs="Times New Roman" w:hint="default"/>
          <w:color w:val="000000"/>
          <w:highlight w:val="none"/>
          <w:lang w:val="en-US" w:eastAsia="zh-CN"/>
        </w:rPr>
        <w:t xml:space="preserve">4</w:t>
      </w:r>
      <w:r>
        <w:rPr>
          <w:rFonts w:ascii="Times New Roman" w:eastAsia="仿宋_GB2312" w:hAnsi="Times New Roman" w:cs="Times New Roman" w:hint="default"/>
          <w:color w:val="000000"/>
          <w:highlight w:val="none"/>
        </w:rPr>
        <w:t xml:space="preserve">分。</w:t>
      </w:r>
    </w:p>
    <w:p>
      <w:pPr>
        <w:bidi w:val="0"/>
        <w:jc w:val="both"/>
        <w:rPr>
          <w:rFonts w:ascii="Times New Roman" w:eastAsia="仿宋_GB2312" w:hAnsi="Times New Roman" w:cs="Times New Roman" w:hint="default"/>
          <w:b/>
          <w:bCs/>
          <w:color w:val="000000"/>
          <w:highlight w:val="none"/>
        </w:rPr>
      </w:pPr>
      <w:bookmarkStart w:id="131" w:name="_Toc8316"/>
      <w:bookmarkStart w:id="132" w:name="_Toc2484"/>
      <w:r>
        <w:rPr>
          <w:rFonts w:ascii="Times New Roman" w:eastAsia="仿宋_GB2312" w:hAnsi="Times New Roman" w:cs="Times New Roman" w:hint="default"/>
          <w:b/>
          <w:bCs/>
          <w:color w:val="000000"/>
          <w:highlight w:val="none"/>
        </w:rPr>
        <w:t xml:space="preserve">3.资金使用合规性</w:t>
      </w:r>
      <w:bookmarkEnd w:id="131"/>
      <w:bookmarkEnd w:id="132"/>
    </w:p>
    <w:p>
      <w:pPr>
        <w:bidi w:val="0"/>
        <w:rPr>
          <w:rFonts w:ascii="Times New Roman" w:eastAsia="仿宋_GB2312" w:hAnsi="Times New Roman" w:cs="Times New Roman" w:hint="default"/>
          <w:color w:val="000000"/>
          <w:highlight w:val="none"/>
        </w:rPr>
      </w:pPr>
      <w:r>
        <w:rPr>
          <w:rFonts w:ascii="Times New Roman" w:hAnsi="Times New Roman" w:hint="eastAsia"/>
          <w:color w:val="000000"/>
          <w:highlight w:val="none"/>
          <w:lang w:val="en-US" w:eastAsia="zh-CN"/>
        </w:rPr>
        <w:t xml:space="preserve">本项目资金的使用符合《中华人民共和国预算法</w:t>
      </w:r>
      <w:r>
        <w:rPr>
          <w:rFonts w:hint="eastAsia"/>
          <w:color w:val="000000"/>
          <w:highlight w:val="none"/>
          <w:lang w:val="en-US" w:eastAsia="zh-CN"/>
        </w:rPr>
        <w:t xml:space="preserve">》《</w:t>
      </w:r>
      <w:r>
        <w:rPr>
          <w:rFonts w:ascii="Times New Roman" w:hAnsi="Times New Roman" w:hint="eastAsia"/>
          <w:color w:val="000000"/>
          <w:highlight w:val="none"/>
          <w:lang w:val="en-US" w:eastAsia="zh-CN"/>
        </w:rPr>
        <w:t xml:space="preserve">中华人民共和国会计法》等国家有关财经法规以及预算管理制度；符合《尉犁县房屋征收与补偿管理办公室专项资金管理办法》要求。资金的审批和拨付按照《尉犁县财政资金审批管理办法》执行，有完整的审批程序和手续；资金使用符合专项资金支持的范围。不存在截留、挤占、挪用、虚列支出等情况。</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33" w:name="_Toc20651"/>
      <w:bookmarkStart w:id="134" w:name="_Toc15332"/>
      <w:r>
        <w:rPr>
          <w:rFonts w:ascii="Times New Roman" w:eastAsia="仿宋_GB2312" w:hAnsi="Times New Roman" w:cs="Times New Roman" w:hint="default"/>
          <w:b/>
          <w:bCs/>
          <w:color w:val="000000"/>
          <w:highlight w:val="none"/>
        </w:rPr>
        <w:t xml:space="preserve">4.管理制度健全性</w:t>
      </w:r>
      <w:bookmarkEnd w:id="133"/>
      <w:bookmarkEnd w:id="134"/>
    </w:p>
    <w:p>
      <w:pPr>
        <w:spacing w:line="360" w:lineRule="auto"/>
        <w:ind w:firstLine="640"/>
        <w:rPr>
          <w:rFonts w:ascii="Times New Roman" w:eastAsia="仿宋_GB2312" w:hAnsi="Times New Roman" w:cs="Times New Roman" w:hint="default"/>
          <w:color w:val="000000"/>
          <w:highlight w:val="none"/>
        </w:rPr>
      </w:pPr>
      <w:r>
        <w:rPr>
          <w:rFonts w:hint="eastAsia"/>
          <w:color w:val="000000"/>
          <w:highlight w:val="none"/>
          <w:lang w:eastAsia="zh-CN"/>
        </w:rPr>
        <w:t xml:space="preserve">尉犁</w:t>
      </w:r>
      <w:r>
        <w:rPr>
          <w:rFonts w:hint="eastAsia"/>
          <w:color w:val="000000"/>
          <w:highlight w:val="none"/>
        </w:rPr>
        <w:t xml:space="preserve">县</w:t>
      </w:r>
      <w:r>
        <w:rPr>
          <w:rFonts w:hint="eastAsia"/>
          <w:color w:val="000000"/>
          <w:highlight w:val="none"/>
          <w:lang w:eastAsia="zh-CN"/>
        </w:rPr>
        <w:t xml:space="preserve">房屋征收与补偿管理办公室</w:t>
      </w:r>
      <w:r>
        <w:rPr>
          <w:rFonts w:hint="eastAsia"/>
          <w:color w:val="000000"/>
          <w:highlight w:val="none"/>
        </w:rPr>
        <w:t xml:space="preserve">制定了《</w:t>
      </w:r>
      <w:r>
        <w:rPr>
          <w:rFonts w:hint="eastAsia"/>
          <w:color w:val="000000"/>
          <w:highlight w:val="none"/>
          <w:lang w:eastAsia="zh-CN"/>
        </w:rPr>
        <w:t xml:space="preserve">尉犁</w:t>
      </w:r>
      <w:r>
        <w:rPr>
          <w:rFonts w:hint="eastAsia"/>
          <w:color w:val="000000"/>
          <w:highlight w:val="none"/>
        </w:rPr>
        <w:t xml:space="preserve">县</w:t>
      </w:r>
      <w:r>
        <w:rPr>
          <w:rFonts w:hint="eastAsia"/>
          <w:color w:val="000000"/>
          <w:highlight w:val="none"/>
          <w:lang w:eastAsia="zh-CN"/>
        </w:rPr>
        <w:t xml:space="preserve">房屋征收与补偿管理办公室</w:t>
      </w:r>
      <w:r>
        <w:rPr>
          <w:rFonts w:hint="eastAsia"/>
          <w:color w:val="000000"/>
          <w:highlight w:val="none"/>
        </w:rPr>
        <w:t xml:space="preserve">财务管理办法》和</w:t>
      </w:r>
      <w:r>
        <w:rPr>
          <w:rFonts w:ascii="Times New Roman" w:hAnsi="Times New Roman" w:hint="eastAsia"/>
          <w:color w:val="000000"/>
          <w:highlight w:val="none"/>
        </w:rPr>
        <w:t xml:space="preserve">《</w:t>
      </w:r>
      <w:r>
        <w:rPr>
          <w:rFonts w:hint="eastAsia"/>
          <w:color w:val="000000"/>
          <w:highlight w:val="none"/>
          <w:lang w:eastAsia="zh-CN"/>
        </w:rPr>
        <w:t xml:space="preserve">尉犁</w:t>
      </w:r>
      <w:r>
        <w:rPr>
          <w:rFonts w:hint="eastAsia"/>
          <w:color w:val="000000"/>
          <w:highlight w:val="none"/>
        </w:rPr>
        <w:t xml:space="preserve">县</w:t>
      </w:r>
      <w:r>
        <w:rPr>
          <w:rFonts w:hint="eastAsia"/>
          <w:color w:val="000000"/>
          <w:highlight w:val="none"/>
          <w:lang w:eastAsia="zh-CN"/>
        </w:rPr>
        <w:t xml:space="preserve">房屋征收与补偿管理办公室</w:t>
      </w:r>
      <w:r>
        <w:rPr>
          <w:rFonts w:ascii="Times New Roman" w:hAnsi="Times New Roman" w:hint="eastAsia"/>
          <w:color w:val="000000"/>
          <w:highlight w:val="none"/>
          <w:lang w:val="en-US" w:eastAsia="zh-CN"/>
        </w:rPr>
        <w:t xml:space="preserve">内控管理制度</w:t>
      </w:r>
      <w:r>
        <w:rPr>
          <w:rFonts w:ascii="Times New Roman" w:hAnsi="Times New Roman" w:hint="eastAsia"/>
          <w:color w:val="000000"/>
          <w:highlight w:val="none"/>
        </w:rPr>
        <w:t xml:space="preserve">》</w:t>
      </w:r>
      <w:r>
        <w:rPr>
          <w:rFonts w:hint="eastAsia"/>
          <w:color w:val="000000"/>
          <w:highlight w:val="none"/>
        </w:rPr>
        <w:t xml:space="preserve">，</w:t>
      </w:r>
      <w:r>
        <w:rPr>
          <w:rFonts w:ascii="Times New Roman" w:hAnsi="Times New Roman" w:hint="eastAsia"/>
          <w:color w:val="000000"/>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w:t>
      </w:r>
      <w:r>
        <w:rPr>
          <w:rFonts w:hint="eastAsia"/>
          <w:color w:val="000000"/>
          <w:highlight w:val="none"/>
          <w:lang w:val="en-US" w:eastAsia="zh-CN"/>
        </w:rPr>
        <w:t xml:space="preserve">》《</w:t>
      </w:r>
      <w:r>
        <w:rPr>
          <w:rFonts w:ascii="Times New Roman" w:hAnsi="Times New Roman" w:hint="eastAsia"/>
          <w:color w:val="000000"/>
          <w:highlight w:val="none"/>
          <w:lang w:val="en-US" w:eastAsia="zh-CN"/>
        </w:rPr>
        <w:t xml:space="preserve">中华人民共和国会计法》等法律法规、财经制度的要求。</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本项满分3分，评估得分3分。</w:t>
      </w:r>
    </w:p>
    <w:p>
      <w:pPr>
        <w:bidi w:val="0"/>
        <w:jc w:val="both"/>
        <w:rPr>
          <w:rFonts w:ascii="Times New Roman" w:eastAsia="仿宋_GB2312" w:hAnsi="Times New Roman" w:cs="Times New Roman" w:hint="default"/>
          <w:b/>
          <w:bCs/>
          <w:color w:val="000000"/>
          <w:highlight w:val="none"/>
        </w:rPr>
      </w:pPr>
      <w:bookmarkStart w:id="135" w:name="_Toc14853"/>
      <w:bookmarkStart w:id="136" w:name="_Toc14023"/>
      <w:r>
        <w:rPr>
          <w:rFonts w:ascii="Times New Roman" w:eastAsia="仿宋_GB2312" w:hAnsi="Times New Roman" w:cs="Times New Roman" w:hint="default"/>
          <w:b/>
          <w:bCs/>
          <w:color w:val="000000"/>
          <w:highlight w:val="none"/>
        </w:rPr>
        <w:t xml:space="preserve">5.制度执行有效性</w:t>
      </w:r>
      <w:bookmarkEnd w:id="135"/>
      <w:bookmarkEnd w:id="136"/>
    </w:p>
    <w:p>
      <w:pPr>
        <w:bidi w:val="0"/>
        <w:rPr>
          <w:color w:val="000000"/>
          <w:highlight w:val="none"/>
        </w:rPr>
      </w:pPr>
      <w:r>
        <w:rPr>
          <w:color w:val="000000"/>
          <w:highlight w:val="none"/>
        </w:rPr>
        <w:t xml:space="preserve">本项目在实施过程中严格遵守相关法律法规和相关管理规定，</w:t>
      </w:r>
      <w:r>
        <w:rPr>
          <w:rFonts w:hint="eastAsia"/>
          <w:color w:val="000000"/>
          <w:highlight w:val="none"/>
        </w:rPr>
        <w:t xml:space="preserve">如《中华人民共和国预算法</w:t>
      </w:r>
      <w:r>
        <w:rPr>
          <w:rFonts w:hint="eastAsia"/>
          <w:color w:val="000000"/>
          <w:highlight w:val="none"/>
          <w:lang w:eastAsia="zh-CN"/>
        </w:rPr>
        <w:t xml:space="preserve">》《</w:t>
      </w:r>
      <w:r>
        <w:rPr>
          <w:rFonts w:hint="eastAsia"/>
          <w:color w:val="000000"/>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本项满分3分，评估得分3分。</w:t>
      </w:r>
    </w:p>
    <w:p>
      <w:pPr>
        <w:pStyle w:val="Heading3"/>
        <w:bidi w:val="0"/>
        <w:jc w:val="both"/>
        <w:outlineLvl w:val="1"/>
        <w:rPr>
          <w:rFonts w:ascii="Times New Roman" w:eastAsia="楷体" w:hAnsi="Times New Roman" w:cs="Times New Roman" w:hint="eastAsia"/>
          <w:b/>
          <w:color w:val="000000"/>
          <w:highlight w:val="none"/>
        </w:rPr>
      </w:pPr>
      <w:bookmarkStart w:id="137" w:name="_Toc13978"/>
      <w:bookmarkStart w:id="138" w:name="_Toc22156"/>
      <w:bookmarkStart w:id="139" w:name="_Toc5161"/>
      <w:bookmarkStart w:id="140" w:name="_Toc6865"/>
      <w:bookmarkStart w:id="141" w:name="_Toc31545"/>
      <w:r>
        <w:rPr>
          <w:rFonts w:ascii="楷体" w:eastAsia="楷体" w:hAnsi="楷体" w:cs="楷体" w:hint="eastAsia"/>
          <w:color w:val="000000"/>
          <w:highlight w:val="none"/>
        </w:rPr>
        <w:t xml:space="preserve">（</w:t>
      </w:r>
      <w:r>
        <w:rPr>
          <w:rFonts w:ascii="Times New Roman" w:eastAsia="楷体" w:hAnsi="Times New Roman" w:cs="Times New Roman" w:hint="eastAsia"/>
          <w:b/>
          <w:color w:val="000000"/>
          <w:highlight w:val="none"/>
        </w:rPr>
        <w:t xml:space="preserve">三）项目产出情况</w:t>
      </w:r>
      <w:bookmarkEnd w:id="137"/>
      <w:bookmarkEnd w:id="138"/>
      <w:bookmarkEnd w:id="139"/>
      <w:bookmarkEnd w:id="140"/>
      <w:bookmarkEnd w:id="141"/>
    </w:p>
    <w:p>
      <w:pPr>
        <w:bidi w:val="0"/>
        <w:jc w:val="both"/>
        <w:rPr>
          <w:rFonts w:ascii="Times New Roman" w:eastAsia="仿宋_GB2312" w:hAnsi="Times New Roman" w:cs="Times New Roman" w:hint="default"/>
          <w:b/>
          <w:bCs/>
          <w:color w:val="000000"/>
          <w:highlight w:val="none"/>
        </w:rPr>
      </w:pPr>
      <w:bookmarkStart w:id="142" w:name="_Toc4184"/>
      <w:bookmarkStart w:id="143" w:name="_Toc31041"/>
      <w:r>
        <w:rPr>
          <w:rFonts w:ascii="Times New Roman" w:eastAsia="仿宋_GB2312" w:hAnsi="Times New Roman" w:cs="Times New Roman" w:hint="default"/>
          <w:b/>
          <w:bCs/>
          <w:color w:val="000000"/>
          <w:highlight w:val="none"/>
        </w:rPr>
        <w:t xml:space="preserve">1.产出数量</w:t>
      </w:r>
      <w:bookmarkEnd w:id="142"/>
      <w:bookmarkEnd w:id="143"/>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本项目数量指标：</w:t>
      </w:r>
    </w:p>
    <w:p>
      <w:pPr>
        <w:bidi w:val="0"/>
        <w:jc w:val="both"/>
        <w:rPr>
          <w:rFonts w:ascii="Times New Roman" w:eastAsia="仿宋_GB2312" w:hAnsi="Times New Roman" w:cs="Times New Roman" w:hint="default"/>
          <w:bCs/>
          <w:color w:val="000000"/>
          <w:szCs w:val="32"/>
          <w:highlight w:val="none"/>
          <w:lang w:val="en-US" w:eastAsia="zh-CN"/>
        </w:rPr>
      </w:pPr>
      <w:r>
        <w:rPr>
          <w:rFonts w:ascii="Times New Roman" w:eastAsia="仿宋_GB2312" w:hAnsi="Times New Roman" w:cs="Times New Roman" w:hint="default"/>
          <w:bCs/>
          <w:color w:val="000000"/>
          <w:szCs w:val="32"/>
          <w:highlight w:val="none"/>
          <w:lang w:val="en-US" w:eastAsia="zh-CN"/>
        </w:rPr>
        <w:t xml:space="preserve">指标1：</w:t>
      </w:r>
      <w:r>
        <w:rPr>
          <w:rFonts w:ascii="Times New Roman" w:hAnsi="Times New Roman" w:cs="Times New Roman" w:hint="eastAsia"/>
          <w:color w:val="000000"/>
          <w:highlight w:val="none"/>
          <w:lang w:val="en-US" w:eastAsia="zh-CN"/>
        </w:rPr>
        <w:t xml:space="preserve">征收户数</w:t>
      </w:r>
      <w:r>
        <w:rPr>
          <w:rFonts w:ascii="Times New Roman" w:eastAsia="仿宋_GB2312" w:hAnsi="Times New Roman" w:cs="Times New Roman" w:hint="default"/>
          <w:color w:val="000000"/>
          <w:highlight w:val="none"/>
        </w:rPr>
        <w:t xml:space="preserve">，预期指标值</w:t>
      </w:r>
      <w:r>
        <w:rPr>
          <w:rFonts w:ascii="Times New Roman" w:hAnsi="Times New Roman" w:cs="Times New Roman" w:hint="eastAsia"/>
          <w:color w:val="000000"/>
          <w:highlight w:val="none"/>
          <w:lang w:eastAsia="zh-CN"/>
        </w:rPr>
        <w:t xml:space="preserve">等于</w:t>
      </w:r>
      <w:r>
        <w:rPr>
          <w:rFonts w:ascii="Times New Roman" w:hAnsi="Times New Roman" w:cs="Times New Roman" w:hint="eastAsia"/>
          <w:color w:val="000000"/>
          <w:highlight w:val="none"/>
          <w:lang w:val="en-US" w:eastAsia="zh-CN"/>
        </w:rPr>
        <w:t xml:space="preserve">1户</w:t>
      </w:r>
      <w:r>
        <w:rPr>
          <w:rFonts w:ascii="Times New Roman" w:eastAsia="仿宋_GB2312" w:hAnsi="Times New Roman" w:cs="Times New Roman" w:hint="default"/>
          <w:color w:val="000000"/>
          <w:highlight w:val="none"/>
        </w:rPr>
        <w:t xml:space="preserve">，指标完成值：</w:t>
      </w:r>
      <w:r>
        <w:rPr>
          <w:rFonts w:ascii="Times New Roman" w:hAnsi="Times New Roman" w:cs="Times New Roman" w:hint="eastAsia"/>
          <w:color w:val="000000"/>
          <w:highlight w:val="none"/>
          <w:lang w:val="en-US" w:eastAsia="zh-CN"/>
        </w:rPr>
        <w:t xml:space="preserve">1户</w:t>
      </w:r>
      <w:r>
        <w:rPr>
          <w:rFonts w:ascii="Times New Roman" w:eastAsia="仿宋_GB2312" w:hAnsi="Times New Roman" w:cs="Times New Roman" w:hint="default"/>
          <w:color w:val="000000"/>
          <w:highlight w:val="none"/>
        </w:rPr>
        <w:t xml:space="preserve">，完成率：</w:t>
      </w:r>
      <w:r>
        <w:rPr>
          <w:rFonts w:ascii="Times New Roman" w:eastAsia="仿宋_GB2312" w:hAnsi="Times New Roman" w:cs="Times New Roman" w:hint="eastAsia"/>
          <w:bCs/>
          <w:color w:val="000000"/>
          <w:szCs w:val="32"/>
          <w:highlight w:val="none"/>
          <w:lang w:val="en-US" w:eastAsia="zh-CN"/>
        </w:rPr>
        <w:t xml:space="preserve">100%</w:t>
      </w:r>
      <w:r>
        <w:rPr>
          <w:rFonts w:ascii="Times New Roman" w:eastAsia="仿宋_GB2312" w:hAnsi="Times New Roman" w:cs="Times New Roman" w:hint="default"/>
          <w:bCs/>
          <w:color w:val="000000"/>
          <w:szCs w:val="32"/>
          <w:highlight w:val="none"/>
          <w:lang w:val="en-US" w:eastAsia="zh-CN"/>
        </w:rPr>
        <w:t xml:space="preserve">；</w:t>
      </w:r>
    </w:p>
    <w:p>
      <w:pPr>
        <w:bidi w:val="0"/>
        <w:jc w:val="both"/>
        <w:rPr>
          <w:rFonts w:ascii="Times New Roman" w:eastAsia="仿宋_GB2312" w:hAnsi="Times New Roman" w:cs="Times New Roman" w:hint="default"/>
          <w:bCs/>
          <w:color w:val="000000"/>
          <w:szCs w:val="32"/>
          <w:highlight w:val="none"/>
          <w:lang w:val="en-US" w:eastAsia="zh-CN"/>
        </w:rPr>
      </w:pPr>
      <w:r>
        <w:rPr>
          <w:rFonts w:ascii="Times New Roman" w:eastAsia="仿宋_GB2312" w:hAnsi="Times New Roman" w:cs="Times New Roman" w:hint="default"/>
          <w:bCs/>
          <w:color w:val="000000"/>
          <w:szCs w:val="32"/>
          <w:highlight w:val="none"/>
          <w:lang w:val="en-US" w:eastAsia="zh-CN"/>
        </w:rPr>
        <w:t xml:space="preserve">指标2：征收面积，预期指标值</w:t>
      </w:r>
      <w:bookmarkStart w:id="144" w:name="OLE_LINK2"/>
      <w:r>
        <w:rPr>
          <w:rFonts w:ascii="Times New Roman" w:hAnsi="Times New Roman" w:cs="Times New Roman" w:hint="eastAsia"/>
          <w:bCs/>
          <w:color w:val="000000"/>
          <w:szCs w:val="32"/>
          <w:highlight w:val="none"/>
          <w:lang w:val="en-US" w:eastAsia="zh-CN"/>
        </w:rPr>
        <w:t xml:space="preserve">等于</w:t>
      </w:r>
      <w:r>
        <w:rPr>
          <w:rFonts w:ascii="Times New Roman" w:eastAsia="仿宋_GB2312" w:hAnsi="Times New Roman" w:cs="Times New Roman" w:hint="eastAsia"/>
          <w:bCs/>
          <w:color w:val="000000"/>
          <w:szCs w:val="32"/>
          <w:highlight w:val="none"/>
          <w:lang w:val="en-US" w:eastAsia="zh-CN"/>
        </w:rPr>
        <w:t xml:space="preserve">10200平方米</w:t>
      </w:r>
      <w:bookmarkEnd w:id="144"/>
      <w:r>
        <w:rPr>
          <w:rFonts w:ascii="Times New Roman" w:eastAsia="仿宋_GB2312" w:hAnsi="Times New Roman" w:cs="Times New Roman" w:hint="default"/>
          <w:bCs/>
          <w:color w:val="000000"/>
          <w:szCs w:val="32"/>
          <w:highlight w:val="none"/>
          <w:lang w:val="en-US" w:eastAsia="zh-CN"/>
        </w:rPr>
        <w:t xml:space="preserve">，指标完成值：</w:t>
      </w:r>
      <w:r>
        <w:rPr>
          <w:rFonts w:ascii="Times New Roman" w:eastAsia="仿宋_GB2312" w:hAnsi="Times New Roman" w:cs="Times New Roman" w:hint="eastAsia"/>
          <w:bCs/>
          <w:color w:val="000000"/>
          <w:szCs w:val="32"/>
          <w:highlight w:val="none"/>
          <w:lang w:val="en-US" w:eastAsia="zh-CN"/>
        </w:rPr>
        <w:t xml:space="preserve">10200平方米</w:t>
      </w:r>
      <w:r>
        <w:rPr>
          <w:rFonts w:ascii="Times New Roman" w:eastAsia="仿宋_GB2312" w:hAnsi="Times New Roman" w:cs="Times New Roman" w:hint="default"/>
          <w:bCs/>
          <w:color w:val="000000"/>
          <w:szCs w:val="32"/>
          <w:highlight w:val="none"/>
          <w:lang w:val="en-US" w:eastAsia="zh-CN"/>
        </w:rPr>
        <w:t xml:space="preserve">，完成率：</w:t>
      </w:r>
      <w:bookmarkStart w:id="145" w:name="OLE_LINK4"/>
      <w:r>
        <w:rPr>
          <w:rFonts w:ascii="Times New Roman" w:eastAsia="仿宋_GB2312" w:hAnsi="Times New Roman" w:cs="Times New Roman" w:hint="eastAsia"/>
          <w:bCs/>
          <w:color w:val="000000"/>
          <w:szCs w:val="32"/>
          <w:highlight w:val="none"/>
          <w:lang w:val="en-US" w:eastAsia="zh-CN"/>
        </w:rPr>
        <w:t xml:space="preserve">100%</w:t>
      </w:r>
      <w:bookmarkEnd w:id="145"/>
      <w:r>
        <w:rPr>
          <w:rFonts w:ascii="Times New Roman" w:eastAsia="仿宋_GB2312" w:hAnsi="Times New Roman" w:cs="Times New Roman" w:hint="default"/>
          <w:bCs/>
          <w:color w:val="000000"/>
          <w:szCs w:val="32"/>
          <w:highlight w:val="none"/>
          <w:lang w:val="en-US" w:eastAsia="zh-CN"/>
        </w:rPr>
        <w:t xml:space="preserve">；</w:t>
      </w:r>
    </w:p>
    <w:p>
      <w:pPr>
        <w:bidi w:val="0"/>
        <w:jc w:val="both"/>
        <w:rPr>
          <w:rFonts w:ascii="Times New Roman" w:eastAsia="仿宋_GB2312" w:hAnsi="Times New Roman" w:cs="Times New Roman" w:hint="default"/>
          <w:bCs/>
          <w:color w:val="000000"/>
          <w:szCs w:val="32"/>
          <w:highlight w:val="none"/>
          <w:lang w:val="en-US" w:eastAsia="zh-CN"/>
        </w:rPr>
      </w:pPr>
      <w:r>
        <w:rPr>
          <w:rFonts w:ascii="Times New Roman" w:eastAsia="仿宋_GB2312" w:hAnsi="Times New Roman" w:cs="Times New Roman" w:hint="default"/>
          <w:bCs/>
          <w:color w:val="000000"/>
          <w:szCs w:val="32"/>
          <w:highlight w:val="none"/>
          <w:lang w:val="en-US" w:eastAsia="zh-CN"/>
        </w:rPr>
        <w:t xml:space="preserve">本项满分12分，评估得分12分。</w:t>
      </w:r>
    </w:p>
    <w:p>
      <w:pPr>
        <w:bidi w:val="0"/>
        <w:jc w:val="both"/>
        <w:rPr>
          <w:rFonts w:ascii="Times New Roman" w:eastAsia="仿宋_GB2312" w:hAnsi="Times New Roman" w:cs="Times New Roman" w:hint="default"/>
          <w:b/>
          <w:bCs/>
          <w:color w:val="000000"/>
          <w:highlight w:val="none"/>
        </w:rPr>
      </w:pPr>
      <w:bookmarkStart w:id="146" w:name="_Toc7420"/>
      <w:bookmarkStart w:id="147" w:name="_Toc21607"/>
      <w:r>
        <w:rPr>
          <w:rFonts w:ascii="Times New Roman" w:eastAsia="仿宋_GB2312" w:hAnsi="Times New Roman" w:cs="Times New Roman" w:hint="default"/>
          <w:b/>
          <w:bCs/>
          <w:color w:val="000000"/>
          <w:highlight w:val="none"/>
        </w:rPr>
        <w:t xml:space="preserve">2.产出质量</w:t>
      </w:r>
      <w:bookmarkEnd w:id="146"/>
      <w:bookmarkEnd w:id="147"/>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b w:val="0"/>
          <w:bCs/>
          <w:color w:val="000000"/>
          <w:kern w:val="2"/>
          <w:sz w:val="32"/>
          <w:szCs w:val="32"/>
          <w:highlight w:val="none"/>
          <w:lang w:val="en-US" w:eastAsia="zh-CN" w:bidi="ar-SA"/>
        </w:rPr>
        <w:t xml:space="preserve">指标1：</w:t>
      </w:r>
      <w:r>
        <w:rPr>
          <w:rFonts w:ascii="Times New Roman" w:hAnsi="Times New Roman" w:cs="Times New Roman" w:hint="eastAsia"/>
          <w:color w:val="000000"/>
          <w:highlight w:val="none"/>
          <w:lang w:val="en-US" w:eastAsia="zh-CN"/>
        </w:rPr>
        <w:t xml:space="preserve">征收补偿发放合规率</w:t>
      </w:r>
      <w:r>
        <w:rPr>
          <w:rFonts w:ascii="Times New Roman" w:eastAsia="仿宋_GB2312" w:hAnsi="Times New Roman" w:cs="Times New Roman" w:hint="default"/>
          <w:color w:val="000000"/>
          <w:highlight w:val="none"/>
        </w:rPr>
        <w:t xml:space="preserve">，预期指标值</w:t>
      </w:r>
      <w:r>
        <w:rPr>
          <w:rFonts w:ascii="Times New Roman" w:hAnsi="Times New Roman" w:cs="Times New Roman" w:hint="eastAsia"/>
          <w:bCs/>
          <w:color w:val="000000"/>
          <w:szCs w:val="32"/>
          <w:highlight w:val="none"/>
          <w:lang w:val="en-US" w:eastAsia="zh-CN"/>
        </w:rPr>
        <w:t xml:space="preserve">等于</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，指标完成值：</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，完成率：</w:t>
      </w:r>
      <w:bookmarkStart w:id="148" w:name="OLE_LINK5"/>
      <w:r>
        <w:rPr>
          <w:rFonts w:ascii="Times New Roman" w:hAnsi="Times New Roman" w:cs="Times New Roman" w:hint="eastAsia"/>
          <w:color w:val="000000"/>
          <w:highlight w:val="none"/>
          <w:lang w:val="en-US" w:eastAsia="zh-CN"/>
        </w:rPr>
        <w:t xml:space="preserve">100%</w:t>
      </w:r>
      <w:bookmarkEnd w:id="148"/>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本项满分12分，评估得分12分。</w:t>
      </w:r>
    </w:p>
    <w:p>
      <w:pPr>
        <w:bidi w:val="0"/>
        <w:jc w:val="both"/>
        <w:rPr>
          <w:rFonts w:ascii="Times New Roman" w:eastAsia="仿宋_GB2312" w:hAnsi="Times New Roman" w:cs="Times New Roman" w:hint="default"/>
          <w:b/>
          <w:bCs/>
          <w:color w:val="000000"/>
          <w:highlight w:val="none"/>
        </w:rPr>
      </w:pPr>
      <w:bookmarkStart w:id="149" w:name="_Toc5394"/>
      <w:bookmarkStart w:id="150" w:name="_Toc6277"/>
      <w:r>
        <w:rPr>
          <w:rFonts w:ascii="Times New Roman" w:eastAsia="仿宋_GB2312" w:hAnsi="Times New Roman" w:cs="Times New Roman" w:hint="default"/>
          <w:b/>
          <w:bCs/>
          <w:color w:val="000000"/>
          <w:highlight w:val="none"/>
        </w:rPr>
        <w:t xml:space="preserve">3.产出时效</w:t>
      </w:r>
      <w:bookmarkEnd w:id="149"/>
      <w:bookmarkEnd w:id="150"/>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b w:val="0"/>
          <w:bCs/>
          <w:color w:val="000000"/>
          <w:kern w:val="2"/>
          <w:sz w:val="32"/>
          <w:szCs w:val="32"/>
          <w:highlight w:val="none"/>
          <w:lang w:val="en-US" w:eastAsia="zh-CN" w:bidi="ar-SA"/>
        </w:rPr>
        <w:t xml:space="preserve">指标1：</w:t>
      </w:r>
      <w:r>
        <w:rPr>
          <w:rFonts w:ascii="Times New Roman" w:hAnsi="Times New Roman" w:cs="Times New Roman" w:hint="eastAsia"/>
          <w:color w:val="000000"/>
          <w:highlight w:val="none"/>
          <w:lang w:val="en-US" w:eastAsia="zh-CN"/>
        </w:rPr>
        <w:t xml:space="preserve">资金支付及时率</w:t>
      </w:r>
      <w:r>
        <w:rPr>
          <w:rFonts w:ascii="Times New Roman" w:eastAsia="仿宋_GB2312" w:hAnsi="Times New Roman" w:cs="Times New Roman" w:hint="default"/>
          <w:color w:val="000000"/>
          <w:highlight w:val="none"/>
        </w:rPr>
        <w:t xml:space="preserve">，预期指标值</w:t>
      </w:r>
      <w:r>
        <w:rPr>
          <w:rFonts w:ascii="Times New Roman" w:hAnsi="Times New Roman" w:cs="Times New Roman" w:hint="eastAsia"/>
          <w:bCs/>
          <w:color w:val="000000"/>
          <w:szCs w:val="32"/>
          <w:highlight w:val="none"/>
          <w:lang w:val="en-US" w:eastAsia="zh-CN"/>
        </w:rPr>
        <w:t xml:space="preserve">等于</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，指标完成值：</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，完成率：</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本项满分12分，评估得分</w:t>
      </w:r>
      <w:r>
        <w:rPr>
          <w:rFonts w:ascii="Times New Roman" w:eastAsia="仿宋_GB2312" w:hAnsi="Times New Roman" w:cs="Times New Roman" w:hint="default"/>
          <w:color w:val="000000"/>
          <w:highlight w:val="none"/>
          <w:lang w:val="en-US" w:eastAsia="zh-CN"/>
        </w:rPr>
        <w:t xml:space="preserve">12</w:t>
      </w:r>
      <w:r>
        <w:rPr>
          <w:rFonts w:ascii="Times New Roman" w:eastAsia="仿宋_GB2312" w:hAnsi="Times New Roman" w:cs="Times New Roman" w:hint="default"/>
          <w:color w:val="000000"/>
          <w:highlight w:val="none"/>
        </w:rPr>
        <w:t xml:space="preserve">分。</w:t>
      </w:r>
    </w:p>
    <w:p>
      <w:pPr>
        <w:bidi w:val="0"/>
        <w:jc w:val="both"/>
        <w:rPr>
          <w:rFonts w:ascii="Times New Roman" w:eastAsia="仿宋_GB2312" w:hAnsi="Times New Roman" w:cs="Times New Roman" w:hint="default"/>
          <w:b/>
          <w:bCs/>
          <w:color w:val="000000"/>
          <w:highlight w:val="none"/>
        </w:rPr>
      </w:pPr>
      <w:bookmarkStart w:id="151" w:name="_Toc28975"/>
      <w:bookmarkStart w:id="152" w:name="_Toc18558"/>
      <w:r>
        <w:rPr>
          <w:rFonts w:ascii="Times New Roman" w:eastAsia="仿宋_GB2312" w:hAnsi="Times New Roman" w:cs="Times New Roman" w:hint="default"/>
          <w:b/>
          <w:bCs/>
          <w:color w:val="000000"/>
          <w:highlight w:val="none"/>
        </w:rPr>
        <w:t xml:space="preserve">4.产出成本</w:t>
      </w:r>
      <w:bookmarkEnd w:id="151"/>
      <w:bookmarkEnd w:id="152"/>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b w:val="0"/>
          <w:bCs/>
          <w:color w:val="000000"/>
          <w:kern w:val="2"/>
          <w:sz w:val="32"/>
          <w:szCs w:val="32"/>
          <w:highlight w:val="none"/>
          <w:lang w:val="en-US" w:eastAsia="zh-CN" w:bidi="ar-SA"/>
        </w:rPr>
        <w:t xml:space="preserve">指标1：</w:t>
      </w:r>
      <w:r>
        <w:rPr>
          <w:rFonts w:ascii="Times New Roman" w:hAnsi="Times New Roman" w:cs="Times New Roman" w:hint="eastAsia"/>
          <w:color w:val="000000"/>
          <w:highlight w:val="none"/>
          <w:lang w:val="en-US" w:eastAsia="zh-CN"/>
        </w:rPr>
        <w:t xml:space="preserve">征收补偿费用</w:t>
      </w:r>
      <w:r>
        <w:rPr>
          <w:rFonts w:ascii="Times New Roman" w:eastAsia="仿宋_GB2312" w:hAnsi="Times New Roman" w:cs="Times New Roman" w:hint="default"/>
          <w:color w:val="000000"/>
          <w:highlight w:val="none"/>
        </w:rPr>
        <w:t xml:space="preserve">，预期指标值</w:t>
      </w:r>
      <w:bookmarkStart w:id="153" w:name="OLE_LINK10"/>
      <w:bookmarkStart w:id="154" w:name="OLE_LINK8"/>
      <w:r>
        <w:rPr>
          <w:rFonts w:ascii="Times New Roman" w:hAnsi="Times New Roman" w:cs="Times New Roman" w:hint="eastAsia"/>
          <w:bCs/>
          <w:color w:val="000000"/>
          <w:szCs w:val="32"/>
          <w:highlight w:val="none"/>
          <w:lang w:val="en-US" w:eastAsia="zh-CN"/>
        </w:rPr>
        <w:t xml:space="preserve">等于</w:t>
      </w:r>
      <w:r>
        <w:rPr>
          <w:rFonts w:ascii="Times New Roman" w:hAnsi="Times New Roman" w:cs="Times New Roman" w:hint="eastAsia"/>
          <w:color w:val="000000"/>
          <w:highlight w:val="none"/>
          <w:lang w:val="en-US" w:eastAsia="zh-CN"/>
        </w:rPr>
        <w:t xml:space="preserve">642.04</w:t>
      </w:r>
      <w:bookmarkEnd w:id="153"/>
      <w:r>
        <w:rPr>
          <w:rFonts w:ascii="Times New Roman" w:hAnsi="Times New Roman" w:cs="Times New Roman" w:hint="eastAsia"/>
          <w:color w:val="000000"/>
          <w:highlight w:val="none"/>
          <w:lang w:val="en-US" w:eastAsia="zh-CN"/>
        </w:rPr>
        <w:t xml:space="preserve">万元</w:t>
      </w:r>
      <w:bookmarkEnd w:id="154"/>
      <w:r>
        <w:rPr>
          <w:rFonts w:ascii="Times New Roman" w:eastAsia="仿宋_GB2312" w:hAnsi="Times New Roman" w:cs="Times New Roman" w:hint="default"/>
          <w:color w:val="000000"/>
          <w:highlight w:val="none"/>
        </w:rPr>
        <w:t xml:space="preserve">，指标完成值：</w:t>
      </w:r>
      <w:r>
        <w:rPr>
          <w:rFonts w:ascii="Times New Roman" w:hAnsi="Times New Roman" w:cs="Times New Roman" w:hint="eastAsia"/>
          <w:color w:val="000000"/>
          <w:highlight w:val="none"/>
          <w:lang w:val="en-US" w:eastAsia="zh-CN"/>
        </w:rPr>
        <w:t xml:space="preserve">642.04万元</w:t>
      </w:r>
      <w:r>
        <w:rPr>
          <w:rFonts w:ascii="Times New Roman" w:eastAsia="仿宋_GB2312" w:hAnsi="Times New Roman" w:cs="Times New Roman" w:hint="default"/>
          <w:color w:val="000000"/>
          <w:highlight w:val="none"/>
        </w:rPr>
        <w:t xml:space="preserve">，完成率：</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w:t>
      </w:r>
    </w:p>
    <w:p>
      <w:pPr>
        <w:bidi w:val="0"/>
        <w:rPr>
          <w:rFonts w:hint="default"/>
          <w:color w:val="000000"/>
          <w:highlight w:val="none"/>
          <w:lang w:val="en-US" w:eastAsia="zh-CN"/>
        </w:rPr>
      </w:pPr>
      <w:bookmarkStart w:id="155" w:name="_Toc1448"/>
      <w:r>
        <w:rPr>
          <w:rFonts w:hint="default"/>
          <w:color w:val="000000"/>
          <w:highlight w:val="none"/>
          <w:lang w:val="en-US" w:eastAsia="zh-CN"/>
        </w:rPr>
        <w:t xml:space="preserve">指标</w:t>
      </w:r>
      <w:r>
        <w:rPr>
          <w:rFonts w:hint="eastAsia"/>
          <w:color w:val="000000"/>
          <w:highlight w:val="none"/>
          <w:lang w:val="en-US" w:eastAsia="zh-CN"/>
        </w:rPr>
        <w:t xml:space="preserve">2</w:t>
      </w:r>
      <w:r>
        <w:rPr>
          <w:rFonts w:hint="default"/>
          <w:color w:val="000000"/>
          <w:highlight w:val="none"/>
          <w:lang w:val="en-US" w:eastAsia="zh-CN"/>
        </w:rPr>
        <w:t xml:space="preserve">：</w:t>
      </w:r>
      <w:r>
        <w:rPr>
          <w:rFonts w:hint="eastAsia"/>
          <w:color w:val="000000"/>
          <w:highlight w:val="none"/>
          <w:lang w:val="en-US" w:eastAsia="zh-CN"/>
        </w:rPr>
        <w:t xml:space="preserve">评估费用</w:t>
      </w:r>
      <w:r>
        <w:rPr>
          <w:rFonts w:hint="default"/>
          <w:color w:val="000000"/>
          <w:highlight w:val="none"/>
          <w:lang w:val="en-US" w:eastAsia="zh-CN"/>
        </w:rPr>
        <w:t xml:space="preserve">，预期指标值</w:t>
      </w:r>
      <w:r>
        <w:rPr>
          <w:rFonts w:hint="eastAsia"/>
          <w:color w:val="000000"/>
          <w:highlight w:val="none"/>
          <w:lang w:val="en-US" w:eastAsia="zh-CN"/>
        </w:rPr>
        <w:t xml:space="preserve">等于1万元</w:t>
      </w:r>
      <w:r>
        <w:rPr>
          <w:rFonts w:hint="default"/>
          <w:color w:val="000000"/>
          <w:highlight w:val="none"/>
          <w:lang w:val="en-US" w:eastAsia="zh-CN"/>
        </w:rPr>
        <w:t xml:space="preserve">，指标完成值：</w:t>
      </w:r>
      <w:r>
        <w:rPr>
          <w:rFonts w:hint="eastAsia"/>
          <w:color w:val="000000"/>
          <w:highlight w:val="none"/>
          <w:lang w:val="en-US" w:eastAsia="zh-CN"/>
        </w:rPr>
        <w:t xml:space="preserve">1万元</w:t>
      </w:r>
      <w:r>
        <w:rPr>
          <w:rFonts w:hint="default"/>
          <w:color w:val="000000"/>
          <w:highlight w:val="none"/>
          <w:lang w:val="en-US" w:eastAsia="zh-CN"/>
        </w:rPr>
        <w:t xml:space="preserve">，完成率：</w:t>
      </w:r>
      <w:r>
        <w:rPr>
          <w:rFonts w:hint="eastAsia"/>
          <w:color w:val="000000"/>
          <w:highlight w:val="none"/>
          <w:lang w:val="en-US" w:eastAsia="zh-CN"/>
        </w:rPr>
        <w:t xml:space="preserve">100%</w:t>
      </w:r>
      <w:r>
        <w:rPr>
          <w:rFonts w:hint="default"/>
          <w:color w:val="000000"/>
          <w:highlight w:val="none"/>
          <w:lang w:val="en-US" w:eastAsia="zh-CN"/>
        </w:rPr>
        <w:t xml:space="preserve">；</w:t>
      </w:r>
      <w:bookmarkEnd w:id="155"/>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w:t>
      </w:r>
      <w:r>
        <w:rPr>
          <w:rFonts w:ascii="Times New Roman" w:eastAsia="仿宋_GB2312" w:hAnsi="Times New Roman" w:cs="Times New Roman" w:hint="default"/>
          <w:color w:val="000000"/>
          <w:highlight w:val="none"/>
          <w:lang w:val="en-US" w:eastAsia="zh-CN"/>
        </w:rPr>
        <w:t xml:space="preserve">4</w:t>
      </w:r>
      <w:r>
        <w:rPr>
          <w:rFonts w:ascii="Times New Roman" w:eastAsia="仿宋_GB2312" w:hAnsi="Times New Roman" w:cs="Times New Roman" w:hint="default"/>
          <w:color w:val="000000"/>
          <w:highlight w:val="none"/>
        </w:rPr>
        <w:t xml:space="preserve">分。</w:t>
      </w:r>
    </w:p>
    <w:p>
      <w:pPr>
        <w:pStyle w:val="Heading3"/>
        <w:bidi w:val="0"/>
        <w:jc w:val="both"/>
        <w:outlineLvl w:val="1"/>
        <w:rPr>
          <w:rFonts w:ascii="楷体" w:eastAsia="楷体" w:hAnsi="楷体" w:cs="楷体" w:hint="eastAsia"/>
          <w:color w:val="000000"/>
          <w:highlight w:val="none"/>
        </w:rPr>
      </w:pPr>
      <w:bookmarkStart w:id="156" w:name="_Toc6460"/>
      <w:bookmarkStart w:id="157" w:name="_Toc27548"/>
      <w:bookmarkStart w:id="158" w:name="_Toc18194"/>
      <w:bookmarkStart w:id="159" w:name="_Toc24492"/>
      <w:bookmarkStart w:id="160" w:name="_Toc14881"/>
      <w:r>
        <w:rPr>
          <w:rFonts w:ascii="楷体" w:eastAsia="楷体" w:hAnsi="楷体" w:cs="楷体" w:hint="eastAsia"/>
          <w:color w:val="000000"/>
          <w:highlight w:val="none"/>
        </w:rPr>
        <w:t xml:space="preserve">（四）项目效益情况</w:t>
      </w:r>
      <w:bookmarkEnd w:id="156"/>
      <w:bookmarkEnd w:id="157"/>
      <w:bookmarkEnd w:id="158"/>
      <w:bookmarkEnd w:id="159"/>
      <w:bookmarkEnd w:id="160"/>
    </w:p>
    <w:p>
      <w:pPr>
        <w:bidi w:val="0"/>
        <w:jc w:val="both"/>
        <w:rPr>
          <w:rFonts w:ascii="Times New Roman" w:eastAsia="仿宋_GB2312" w:hAnsi="Times New Roman" w:cs="Times New Roman" w:hint="default"/>
          <w:b/>
          <w:bCs/>
          <w:color w:val="000000"/>
          <w:highlight w:val="none"/>
        </w:rPr>
      </w:pPr>
      <w:bookmarkStart w:id="161" w:name="_Toc8370"/>
      <w:bookmarkStart w:id="162" w:name="_Toc15599"/>
      <w:r>
        <w:rPr>
          <w:rFonts w:ascii="Times New Roman" w:eastAsia="仿宋_GB2312" w:hAnsi="Times New Roman" w:cs="Times New Roman" w:hint="default"/>
          <w:b/>
          <w:bCs/>
          <w:color w:val="000000"/>
          <w:highlight w:val="none"/>
        </w:rPr>
        <w:t xml:space="preserve">1.实施效益</w:t>
      </w:r>
      <w:bookmarkEnd w:id="161"/>
      <w:bookmarkEnd w:id="162"/>
    </w:p>
    <w:p>
      <w:pPr>
        <w:bidi w:val="0"/>
        <w:jc w:val="both"/>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default"/>
          <w:color w:val="000000"/>
          <w:highlight w:val="none"/>
        </w:rPr>
        <w:t xml:space="preserve">本项目实施所产生的效益主要包括社会效益。项目的实施保障征收工作顺利实施</w:t>
      </w:r>
      <w:r>
        <w:rPr>
          <w:rFonts w:ascii="Times New Roman" w:hAnsi="Times New Roman" w:cs="Times New Roman" w:hint="eastAsia"/>
          <w:color w:val="000000"/>
          <w:highlight w:val="none"/>
          <w:lang w:eastAsia="zh-CN"/>
        </w:rPr>
        <w:t xml:space="preserve">，</w:t>
      </w:r>
      <w:r>
        <w:rPr>
          <w:rFonts w:ascii="仿宋" w:hAnsi="仿宋" w:cs="仿宋" w:hint="eastAsia"/>
          <w:color w:val="000000"/>
          <w:sz w:val="32"/>
          <w:szCs w:val="32"/>
          <w:highlight w:val="none"/>
          <w:lang w:eastAsia="zh-CN"/>
        </w:rPr>
        <w:t xml:space="preserve">将收回</w:t>
      </w:r>
      <w:r>
        <w:rPr>
          <w:rFonts w:ascii="仿宋" w:hAnsi="仿宋" w:cs="仿宋" w:hint="eastAsia"/>
          <w:color w:val="000000"/>
          <w:sz w:val="32"/>
          <w:szCs w:val="32"/>
          <w:highlight w:val="none"/>
          <w:lang w:val="en-US" w:eastAsia="zh-CN"/>
        </w:rPr>
        <w:t xml:space="preserve">15亩</w:t>
      </w:r>
      <w:r>
        <w:rPr>
          <w:rFonts w:ascii="仿宋" w:hAnsi="仿宋" w:cs="仿宋" w:hint="eastAsia"/>
          <w:color w:val="000000"/>
          <w:sz w:val="32"/>
          <w:szCs w:val="32"/>
          <w:highlight w:val="none"/>
          <w:lang w:eastAsia="zh-CN"/>
        </w:rPr>
        <w:t xml:space="preserve">国有土地</w:t>
      </w:r>
      <w:r>
        <w:rPr>
          <w:rFonts w:ascii="仿宋" w:hAnsi="仿宋" w:cs="仿宋" w:hint="eastAsia"/>
          <w:color w:val="000000"/>
          <w:sz w:val="32"/>
          <w:szCs w:val="32"/>
          <w:highlight w:val="none"/>
          <w:lang w:val="en-US" w:eastAsia="zh-CN"/>
        </w:rPr>
        <w:t xml:space="preserve">，县人民政府可按规划将土地进行重新挂牌出让，为我县其他重点项目的实施提供土地资源。</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本项满分10分，评估得分10分。</w:t>
      </w:r>
    </w:p>
    <w:p>
      <w:pPr>
        <w:bidi w:val="0"/>
        <w:jc w:val="both"/>
        <w:rPr>
          <w:rFonts w:ascii="Times New Roman" w:eastAsia="仿宋_GB2312" w:hAnsi="Times New Roman" w:cs="Times New Roman" w:hint="default"/>
          <w:b/>
          <w:bCs/>
          <w:color w:val="000000"/>
          <w:highlight w:val="none"/>
        </w:rPr>
      </w:pPr>
      <w:bookmarkStart w:id="163" w:name="_Toc20772"/>
      <w:bookmarkStart w:id="164" w:name="_Toc31503"/>
      <w:r>
        <w:rPr>
          <w:rFonts w:ascii="Times New Roman" w:eastAsia="仿宋_GB2312" w:hAnsi="Times New Roman" w:cs="Times New Roman" w:hint="default"/>
          <w:b/>
          <w:bCs/>
          <w:color w:val="000000"/>
          <w:highlight w:val="none"/>
        </w:rPr>
        <w:t xml:space="preserve">2.满意度</w:t>
      </w:r>
      <w:bookmarkEnd w:id="163"/>
      <w:bookmarkEnd w:id="164"/>
    </w:p>
    <w:p>
      <w:pPr>
        <w:bidi w:val="0"/>
        <w:jc w:val="both"/>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default"/>
          <w:color w:val="000000"/>
          <w:highlight w:val="none"/>
        </w:rPr>
        <w:t xml:space="preserve">本项目服务对象主要是</w:t>
      </w:r>
      <w:r>
        <w:rPr>
          <w:rFonts w:ascii="Times New Roman" w:eastAsia="仿宋_GB2312" w:hAnsi="Times New Roman" w:cs="Times New Roman" w:hint="eastAsia"/>
          <w:color w:val="000000"/>
          <w:highlight w:val="none"/>
          <w:lang w:eastAsia="zh-CN"/>
        </w:rPr>
        <w:t xml:space="preserve">尉犁楼兰加油站</w:t>
      </w:r>
      <w:r>
        <w:rPr>
          <w:rFonts w:ascii="Times New Roman" w:eastAsia="仿宋_GB2312" w:hAnsi="Times New Roman" w:cs="Times New Roman" w:hint="default"/>
          <w:color w:val="000000"/>
          <w:highlight w:val="none"/>
        </w:rPr>
        <w:t xml:space="preserve">，通过问卷调查方式收集服务对象对本项目实施的满意度。调查人群都表示很满意，都认为本项目实施后，</w:t>
      </w:r>
      <w:r>
        <w:rPr>
          <w:rFonts w:ascii="Times New Roman" w:hAnsi="Times New Roman" w:cs="Times New Roman" w:hint="eastAsia"/>
          <w:color w:val="000000"/>
          <w:highlight w:val="none"/>
          <w:lang w:val="en-US" w:eastAsia="zh-CN"/>
        </w:rPr>
        <w:t xml:space="preserve">为我县其他重点项目的实施提供土地资源。项目完成后，将进一步提升城市精细化管理水平，统筹布局社会各项事业长远发展。</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本项满分10分，评估得分10分。</w:t>
      </w:r>
    </w:p>
    <w:p>
      <w:pPr>
        <w:pStyle w:val="Heading2"/>
        <w:bidi w:val="0"/>
        <w:jc w:val="both"/>
        <w:outlineLvl w:val="0"/>
        <w:rPr>
          <w:rFonts w:ascii="Times New Roman" w:eastAsia="仿宋_GB2312" w:hAnsi="Times New Roman" w:cs="Times New Roman" w:hint="default"/>
          <w:color w:val="000000"/>
          <w:highlight w:val="none"/>
        </w:rPr>
      </w:pPr>
      <w:bookmarkStart w:id="165" w:name="_Toc24261"/>
      <w:bookmarkStart w:id="166" w:name="_Toc23114"/>
      <w:bookmarkStart w:id="167" w:name="_Toc12691"/>
      <w:bookmarkStart w:id="168" w:name="_Toc20473"/>
      <w:bookmarkStart w:id="169" w:name="_Toc17413"/>
      <w:bookmarkStart w:id="170" w:name="_Toc3310"/>
      <w:r>
        <w:rPr>
          <w:rFonts w:ascii="黑体" w:eastAsia="黑体" w:hAnsi="黑体" w:cs="黑体" w:hint="eastAsia"/>
          <w:color w:val="000000"/>
          <w:highlight w:val="none"/>
        </w:rPr>
        <w:t xml:space="preserve">五、主要经验及做法、存在的问题及原因分析</w:t>
      </w:r>
      <w:bookmarkEnd w:id="165"/>
      <w:bookmarkEnd w:id="166"/>
      <w:bookmarkEnd w:id="167"/>
      <w:bookmarkEnd w:id="168"/>
      <w:bookmarkEnd w:id="169"/>
      <w:bookmarkEnd w:id="170"/>
    </w:p>
    <w:p>
      <w:pPr>
        <w:pStyle w:val="Heading3"/>
        <w:bidi w:val="0"/>
        <w:jc w:val="both"/>
        <w:outlineLvl w:val="1"/>
        <w:rPr>
          <w:rFonts w:ascii="楷体" w:eastAsia="楷体" w:hAnsi="楷体" w:cs="楷体" w:hint="eastAsia"/>
          <w:color w:val="000000"/>
          <w:highlight w:val="none"/>
        </w:rPr>
      </w:pPr>
      <w:bookmarkStart w:id="171" w:name="_Toc6522"/>
      <w:bookmarkStart w:id="172" w:name="_Toc10514"/>
      <w:bookmarkStart w:id="173" w:name="_Toc6741"/>
      <w:bookmarkStart w:id="174" w:name="_Toc14362"/>
      <w:bookmarkStart w:id="175" w:name="_Toc15494"/>
      <w:r>
        <w:rPr>
          <w:rFonts w:ascii="楷体" w:eastAsia="楷体" w:hAnsi="楷体" w:cs="楷体" w:hint="eastAsia"/>
          <w:color w:val="000000"/>
          <w:highlight w:val="none"/>
        </w:rPr>
        <w:t xml:space="preserve">（一）主要经验及做法</w:t>
      </w:r>
      <w:bookmarkEnd w:id="171"/>
      <w:bookmarkEnd w:id="172"/>
      <w:bookmarkEnd w:id="173"/>
      <w:bookmarkEnd w:id="174"/>
      <w:bookmarkEnd w:id="175"/>
    </w:p>
    <w:p>
      <w:pPr>
        <w:bidi w:val="0"/>
        <w:jc w:val="both"/>
        <w:rPr>
          <w:rFonts w:ascii="Times New Roman" w:hAnsi="Times New Roman" w:cs="Times New Roman" w:hint="eastAsia"/>
          <w:color w:val="000000"/>
          <w:highlight w:val="none"/>
          <w:lang w:val="en-US" w:eastAsia="zh-CN"/>
        </w:rPr>
      </w:pPr>
      <w:r>
        <w:rPr>
          <w:rFonts w:ascii="Times New Roman" w:hAnsi="Times New Roman" w:cs="Times New Roman" w:hint="eastAsia"/>
          <w:color w:val="000000"/>
          <w:highlight w:val="none"/>
          <w:lang w:val="en-US" w:eastAsia="zh-CN"/>
        </w:rPr>
        <w:t xml:space="preserve">一是坚持依法依程序开展征地拆迁工作，坚决杜绝了违规违法征地；二是坚持征地拆迁“公平、公开、公正”原则，做到“阳光拆迁”；三是坚持加强对征地拆迁补偿安置实施阶段各环节指导、监督、管理，确保“一把尺子量到底、一个政策执行到底、一个标准补偿到底”；四是做到</w:t>
      </w:r>
      <w:r>
        <w:rPr>
          <w:rFonts w:ascii="Times New Roman" w:hAnsi="Times New Roman" w:cs="Times New Roman" w:hint="default"/>
          <w:color w:val="000000"/>
          <w:highlight w:val="none"/>
          <w:lang w:val="en-US" w:eastAsia="zh-CN"/>
        </w:rPr>
        <w:t xml:space="preserve">‌成效显著‌</w:t>
      </w:r>
      <w:r>
        <w:rPr>
          <w:rFonts w:ascii="Times New Roman" w:hAnsi="Times New Roman" w:cs="Times New Roman" w:hint="eastAsia"/>
          <w:color w:val="000000"/>
          <w:highlight w:val="none"/>
          <w:lang w:val="en-US" w:eastAsia="zh-CN"/>
        </w:rPr>
        <w:t xml:space="preserve">，</w:t>
      </w:r>
      <w:r>
        <w:rPr>
          <w:rFonts w:ascii="Times New Roman" w:hAnsi="Times New Roman" w:cs="Times New Roman" w:hint="default"/>
          <w:color w:val="000000"/>
          <w:highlight w:val="none"/>
          <w:lang w:val="en-US" w:eastAsia="zh-CN"/>
        </w:rPr>
        <w:t xml:space="preserve">项目在规定时间内完成拆迁</w:t>
      </w:r>
      <w:r>
        <w:rPr>
          <w:rFonts w:ascii="Times New Roman" w:hAnsi="Times New Roman" w:cs="Times New Roman" w:hint="eastAsia"/>
          <w:color w:val="000000"/>
          <w:highlight w:val="none"/>
          <w:lang w:val="en-US" w:eastAsia="zh-CN"/>
        </w:rPr>
        <w:t xml:space="preserve">补偿安置</w:t>
      </w:r>
      <w:r>
        <w:rPr>
          <w:rFonts w:ascii="Times New Roman" w:hAnsi="Times New Roman" w:cs="Times New Roman" w:hint="default"/>
          <w:color w:val="000000"/>
          <w:highlight w:val="none"/>
          <w:lang w:val="en-US" w:eastAsia="zh-CN"/>
        </w:rPr>
        <w:t xml:space="preserve">任务，</w:t>
      </w:r>
      <w:r>
        <w:rPr>
          <w:rFonts w:ascii="Times New Roman" w:hAnsi="Times New Roman" w:cs="Times New Roman" w:hint="eastAsia"/>
          <w:color w:val="000000"/>
          <w:highlight w:val="none"/>
          <w:lang w:val="en-US" w:eastAsia="zh-CN"/>
        </w:rPr>
        <w:t xml:space="preserve">补偿资金按照协议约定时间节点补偿到位，</w:t>
      </w:r>
      <w:r>
        <w:rPr>
          <w:rFonts w:ascii="Times New Roman" w:hAnsi="Times New Roman" w:cs="Times New Roman" w:hint="default"/>
          <w:color w:val="000000"/>
          <w:highlight w:val="none"/>
          <w:lang w:val="en-US" w:eastAsia="zh-CN"/>
        </w:rPr>
        <w:t xml:space="preserve">被拆迁人满意度高，</w:t>
      </w:r>
      <w:r>
        <w:rPr>
          <w:rFonts w:ascii="Times New Roman" w:hAnsi="Times New Roman" w:cs="Times New Roman" w:hint="eastAsia"/>
          <w:color w:val="000000"/>
          <w:highlight w:val="none"/>
          <w:lang w:val="en-US" w:eastAsia="zh-CN"/>
        </w:rPr>
        <w:t xml:space="preserve">五是</w:t>
      </w:r>
      <w:r>
        <w:rPr>
          <w:rFonts w:ascii="Times New Roman" w:hAnsi="Times New Roman" w:cs="Times New Roman" w:hint="default"/>
          <w:color w:val="000000"/>
          <w:highlight w:val="none"/>
          <w:lang w:val="en-US" w:eastAsia="zh-CN"/>
        </w:rPr>
        <w:t xml:space="preserve">收回15亩国有土地</w:t>
      </w:r>
      <w:r>
        <w:rPr>
          <w:rFonts w:ascii="Times New Roman" w:hAnsi="Times New Roman" w:cs="Times New Roman" w:hint="eastAsia"/>
          <w:color w:val="000000"/>
          <w:highlight w:val="none"/>
          <w:lang w:val="en-US" w:eastAsia="zh-CN"/>
        </w:rPr>
        <w:t xml:space="preserve">后</w:t>
      </w:r>
      <w:r>
        <w:rPr>
          <w:rFonts w:ascii="Times New Roman" w:hAnsi="Times New Roman" w:cs="Times New Roman" w:hint="default"/>
          <w:color w:val="000000"/>
          <w:highlight w:val="none"/>
          <w:lang w:val="en-US" w:eastAsia="zh-CN"/>
        </w:rPr>
        <w:t xml:space="preserve">，县人民政府可按规划将土地进行重新挂牌出让，为我县其他重点项目的实施提供土地资源。项目完成后，将进一步提升城市精细化管理水平，统筹布局社会各项事业长远发展。</w:t>
      </w:r>
    </w:p>
    <w:p>
      <w:pPr>
        <w:pStyle w:val="Heading3"/>
        <w:bidi w:val="0"/>
        <w:jc w:val="both"/>
        <w:outlineLvl w:val="1"/>
        <w:rPr>
          <w:rFonts w:ascii="楷体" w:eastAsia="楷体" w:hAnsi="楷体" w:cs="楷体" w:hint="eastAsia"/>
          <w:color w:val="000000"/>
          <w:highlight w:val="none"/>
        </w:rPr>
      </w:pPr>
      <w:bookmarkStart w:id="176" w:name="_Toc11238"/>
      <w:bookmarkStart w:id="177" w:name="_Toc8629"/>
      <w:bookmarkStart w:id="178" w:name="_Toc27408"/>
      <w:bookmarkStart w:id="179" w:name="_Toc4673"/>
      <w:bookmarkStart w:id="180" w:name="_Toc6359"/>
      <w:r>
        <w:rPr>
          <w:rFonts w:ascii="楷体" w:eastAsia="楷体" w:hAnsi="楷体" w:cs="楷体" w:hint="eastAsia"/>
          <w:color w:val="000000"/>
          <w:highlight w:val="none"/>
        </w:rPr>
        <w:t xml:space="preserve">（二）存在的问题及分析</w:t>
      </w:r>
      <w:bookmarkEnd w:id="176"/>
      <w:bookmarkEnd w:id="177"/>
      <w:bookmarkEnd w:id="178"/>
      <w:bookmarkEnd w:id="179"/>
      <w:bookmarkEnd w:id="180"/>
    </w:p>
    <w:p>
      <w:pPr>
        <w:bidi w:val="0"/>
        <w:rPr>
          <w:rFonts w:hint="eastAsia"/>
          <w:color w:val="000000"/>
          <w:highlight w:val="none"/>
          <w:lang w:val="en-US" w:eastAsia="zh-CN"/>
        </w:rPr>
      </w:pPr>
      <w:bookmarkStart w:id="181" w:name="_Toc13270"/>
      <w:bookmarkStart w:id="182" w:name="_Toc13345"/>
      <w:bookmarkStart w:id="183" w:name="_Toc22271"/>
      <w:bookmarkStart w:id="184" w:name="_Toc5702"/>
      <w:bookmarkStart w:id="185" w:name="_Toc20116"/>
      <w:r>
        <w:rPr>
          <w:rFonts w:hint="eastAsia"/>
          <w:color w:val="000000"/>
          <w:highlight w:val="none"/>
          <w:lang w:val="en-US" w:eastAsia="zh-CN"/>
        </w:rPr>
        <w:t xml:space="preserve">1、履行主体责任方面</w:t>
      </w:r>
    </w:p>
    <w:p>
      <w:pPr>
        <w:bidi w:val="0"/>
        <w:rPr>
          <w:rFonts w:hint="eastAsia"/>
          <w:color w:val="000000"/>
          <w:highlight w:val="none"/>
          <w:lang w:val="en-US" w:eastAsia="zh-CN"/>
        </w:rPr>
      </w:pPr>
      <w:r>
        <w:rPr>
          <w:rFonts w:hint="eastAsia"/>
          <w:color w:val="000000"/>
          <w:highlight w:val="none"/>
          <w:lang w:val="en-US" w:eastAsia="zh-CN"/>
        </w:rPr>
        <w:t xml:space="preserve">落实主体责任与开展征收工作的融合不够。如在实施征收补偿的工作中，《征收工作实施方案》中明确了征收工作的领导机构，但很多工作仍然集中在县房屋征收与补偿管理办公室，领导机构及部门协调方面未能有效的发挥作用。</w:t>
      </w:r>
    </w:p>
    <w:p>
      <w:pPr>
        <w:bidi w:val="0"/>
        <w:rPr>
          <w:rFonts w:hint="eastAsia"/>
          <w:color w:val="000000"/>
          <w:highlight w:val="none"/>
          <w:lang w:val="en-US" w:eastAsia="zh-CN"/>
        </w:rPr>
      </w:pPr>
      <w:bookmarkStart w:id="186" w:name="_Toc6719"/>
      <w:r>
        <w:rPr>
          <w:rFonts w:hint="eastAsia"/>
          <w:color w:val="000000"/>
          <w:highlight w:val="none"/>
          <w:lang w:val="en-US" w:eastAsia="zh-CN"/>
        </w:rPr>
        <w:t xml:space="preserve">2、内部机制方面</w:t>
      </w:r>
      <w:bookmarkEnd w:id="186"/>
    </w:p>
    <w:p>
      <w:pPr>
        <w:bidi w:val="0"/>
        <w:rPr>
          <w:rFonts w:hint="eastAsia"/>
          <w:color w:val="000000"/>
          <w:highlight w:val="none"/>
          <w:lang w:val="en-US" w:eastAsia="zh-CN"/>
        </w:rPr>
      </w:pPr>
      <w:r>
        <w:rPr>
          <w:rFonts w:hint="eastAsia"/>
          <w:color w:val="000000"/>
          <w:highlight w:val="none"/>
          <w:lang w:val="en-US" w:eastAsia="zh-CN"/>
        </w:rPr>
        <w:t xml:space="preserve">一是征收制度不健全。如在开展征收工作中，未经自然资源部门依法对征收范围内未经登记的建筑进行调查、认定和处理，仅依据第三方评估公司提供的评估报告和镇、村的认定即进行补偿，存在多支补偿资金的风险。二是监督主体单一，主要依赖征收办内部监督，外部监督主要是靠上级专项审计，问题难以及时发现。</w:t>
      </w:r>
    </w:p>
    <w:p>
      <w:pPr>
        <w:bidi w:val="0"/>
        <w:rPr>
          <w:rFonts w:hint="default"/>
          <w:color w:val="000000"/>
          <w:highlight w:val="none"/>
          <w:lang w:val="en-US" w:eastAsia="zh-CN"/>
        </w:rPr>
      </w:pPr>
      <w:r>
        <w:rPr>
          <w:rFonts w:hint="eastAsia"/>
          <w:color w:val="000000"/>
          <w:highlight w:val="none"/>
          <w:lang w:val="en-US" w:eastAsia="zh-CN"/>
        </w:rPr>
        <w:t xml:space="preserve">3、财政支出绩效评价意识有待提高。应尽量安排专人进行预算绩效管理，并形成预算绩效管理长效机制。</w:t>
      </w:r>
    </w:p>
    <w:p>
      <w:pPr>
        <w:pStyle w:val="Heading2"/>
        <w:bidi w:val="0"/>
        <w:jc w:val="both"/>
        <w:outlineLvl w:val="0"/>
        <w:rPr>
          <w:rFonts w:ascii="黑体" w:eastAsia="黑体" w:hAnsi="黑体" w:cs="黑体" w:hint="eastAsia"/>
          <w:color w:val="000000"/>
          <w:highlight w:val="none"/>
        </w:rPr>
      </w:pPr>
      <w:bookmarkStart w:id="187" w:name="_Toc18896"/>
      <w:r>
        <w:rPr>
          <w:rFonts w:ascii="黑体" w:eastAsia="黑体" w:hAnsi="黑体" w:cs="黑体" w:hint="eastAsia"/>
          <w:color w:val="000000"/>
          <w:highlight w:val="none"/>
        </w:rPr>
        <w:t xml:space="preserve">六、有关建议</w:t>
      </w:r>
      <w:bookmarkEnd w:id="181"/>
      <w:bookmarkEnd w:id="182"/>
      <w:bookmarkEnd w:id="183"/>
      <w:bookmarkEnd w:id="184"/>
      <w:bookmarkEnd w:id="185"/>
      <w:bookmarkEnd w:id="187"/>
    </w:p>
    <w:p>
      <w:pPr>
        <w:numPr>
          <w:ilvl w:val="0"/>
          <w:numId w:val="0"/>
        </w:numPr>
        <w:bidi w:val="0"/>
        <w:ind w:firstLine="640" w:firstLineChars="200"/>
        <w:rPr>
          <w:rFonts w:hint="eastAsia"/>
          <w:color w:val="000000"/>
          <w:highlight w:val="none"/>
          <w:lang w:val="en-US" w:eastAsia="zh-CN"/>
        </w:rPr>
      </w:pPr>
      <w:r>
        <w:rPr>
          <w:rFonts w:eastAsia="仿宋_GB2312" w:hint="eastAsia"/>
          <w:color w:val="000000"/>
          <w:kern w:val="2"/>
          <w:sz w:val="32"/>
          <w:szCs w:val="22"/>
          <w:highlight w:val="none"/>
          <w:lang w:val="en-US" w:eastAsia="zh-CN" w:bidi="ar-SA"/>
        </w:rPr>
        <w:t xml:space="preserve">1、</w:t>
      </w:r>
      <w:r>
        <w:rPr>
          <w:rFonts w:hint="eastAsia"/>
          <w:color w:val="000000"/>
          <w:highlight w:val="none"/>
          <w:lang w:val="en-US" w:eastAsia="zh-CN"/>
        </w:rPr>
        <w:t xml:space="preserve">因部门整体支出的预算资金安排和使用上仍有不可预见性，导致预算控制率低，建议加强预算管理、严格预算执行，科学编制预算。</w:t>
      </w:r>
    </w:p>
    <w:p>
      <w:pPr>
        <w:numPr>
          <w:ilvl w:val="0"/>
          <w:numId w:val="0"/>
        </w:numPr>
        <w:bidi w:val="0"/>
        <w:ind w:firstLine="640" w:firstLineChars="200"/>
        <w:rPr>
          <w:rFonts w:hint="eastAsia"/>
          <w:color w:val="000000"/>
          <w:highlight w:val="none"/>
          <w:lang w:val="en-US" w:eastAsia="zh-CN"/>
        </w:rPr>
      </w:pPr>
      <w:r>
        <w:rPr>
          <w:rFonts w:eastAsia="仿宋_GB2312" w:hint="eastAsia"/>
          <w:color w:val="000000"/>
          <w:kern w:val="2"/>
          <w:sz w:val="32"/>
          <w:szCs w:val="22"/>
          <w:highlight w:val="none"/>
          <w:lang w:val="en-US" w:eastAsia="zh-CN" w:bidi="ar-SA"/>
        </w:rPr>
        <w:t xml:space="preserve">2、</w:t>
      </w:r>
      <w:r>
        <w:rPr>
          <w:rFonts w:hint="eastAsia"/>
          <w:color w:val="000000"/>
          <w:highlight w:val="none"/>
          <w:lang w:val="en-US" w:eastAsia="zh-CN"/>
        </w:rPr>
        <w:t xml:space="preserve">加强队伍建设，培养财政支出绩效意识，主动、自觉学习绩效评价相关知识，和技术，委派专人进行部门整体支出绩效评价管理，建立部门整体支出绩效评价的长效机制。</w:t>
      </w:r>
    </w:p>
    <w:p>
      <w:pPr>
        <w:numPr>
          <w:ilvl w:val="0"/>
          <w:numId w:val="0"/>
        </w:numPr>
        <w:bidi w:val="0"/>
        <w:ind w:firstLine="640" w:firstLineChars="200"/>
        <w:rPr>
          <w:rFonts w:hint="eastAsia"/>
          <w:color w:val="000000"/>
          <w:highlight w:val="none"/>
          <w:lang w:val="en-US" w:eastAsia="zh-CN"/>
        </w:rPr>
      </w:pPr>
      <w:r>
        <w:rPr>
          <w:rFonts w:eastAsia="仿宋_GB2312" w:hint="eastAsia"/>
          <w:color w:val="000000"/>
          <w:kern w:val="2"/>
          <w:sz w:val="32"/>
          <w:szCs w:val="22"/>
          <w:highlight w:val="none"/>
          <w:lang w:val="en-US" w:eastAsia="zh-CN" w:bidi="ar-SA"/>
        </w:rPr>
        <w:t xml:space="preserve">3、</w:t>
      </w:r>
      <w:r>
        <w:rPr>
          <w:rFonts w:hint="eastAsia"/>
          <w:color w:val="000000"/>
          <w:highlight w:val="none"/>
          <w:lang w:val="en-US" w:eastAsia="zh-CN"/>
        </w:rPr>
        <w:t xml:space="preserve">进一步加强重点支出项目的后续监督管理工作，督促资金按计划进度使用，业务按既定方案实施，提高资金的使用效益。</w:t>
      </w:r>
    </w:p>
    <w:p>
      <w:pPr>
        <w:pStyle w:val="Heading2"/>
        <w:bidi w:val="0"/>
        <w:jc w:val="both"/>
        <w:outlineLvl w:val="0"/>
        <w:rPr>
          <w:rFonts w:ascii="黑体" w:eastAsia="黑体" w:hAnsi="黑体" w:cs="黑体" w:hint="default"/>
          <w:bCs/>
          <w:iCs/>
          <w:color w:val="000000"/>
          <w:highlight w:val="none"/>
        </w:rPr>
      </w:pPr>
      <w:bookmarkStart w:id="188" w:name="_Toc22823"/>
      <w:bookmarkStart w:id="189" w:name="_Toc24871"/>
      <w:bookmarkStart w:id="190" w:name="_Toc12100"/>
      <w:bookmarkStart w:id="191" w:name="_Toc31553"/>
      <w:bookmarkStart w:id="192" w:name="_Toc5794"/>
      <w:bookmarkStart w:id="193" w:name="_Toc21621"/>
      <w:r>
        <w:rPr>
          <w:rFonts w:ascii="黑体" w:eastAsia="黑体" w:hAnsi="黑体" w:cs="黑体" w:hint="default"/>
          <w:bCs/>
          <w:iCs/>
          <w:color w:val="000000"/>
          <w:highlight w:val="none"/>
        </w:rPr>
        <w:t xml:space="preserve">七、其他需要说明的问题</w:t>
      </w:r>
      <w:bookmarkEnd w:id="188"/>
      <w:bookmarkEnd w:id="189"/>
      <w:bookmarkEnd w:id="190"/>
      <w:bookmarkEnd w:id="191"/>
      <w:bookmarkEnd w:id="192"/>
      <w:bookmarkEnd w:id="193"/>
    </w:p>
    <w:p>
      <w:pPr>
        <w:bidi w:val="0"/>
        <w:jc w:val="both"/>
        <w:rPr>
          <w:rFonts w:ascii="Times New Roman" w:eastAsia="仿宋_GB2312" w:hAnsi="Times New Roman" w:cs="Times New Roman" w:hint="default"/>
          <w:color w:val="000000"/>
          <w:highlight w:val="none"/>
        </w:rPr>
      </w:pPr>
      <w:bookmarkStart w:id="194" w:name="OLE_LINK6"/>
      <w:bookmarkStart w:id="195" w:name="_Toc28493"/>
      <w:bookmarkStart w:id="196" w:name="_Toc30245"/>
      <w:bookmarkStart w:id="197" w:name="_Toc4210"/>
      <w:r>
        <w:rPr>
          <w:rFonts w:ascii="Times New Roman" w:hAnsi="Times New Roman" w:cs="Times New Roman" w:hint="eastAsia"/>
          <w:color w:val="000000"/>
          <w:highlight w:val="none"/>
          <w:lang w:val="en-US" w:eastAsia="zh-CN"/>
        </w:rPr>
        <w:t xml:space="preserve">1、</w:t>
      </w:r>
      <w:r>
        <w:rPr>
          <w:rFonts w:ascii="Times New Roman" w:eastAsia="仿宋_GB2312" w:hAnsi="Times New Roman" w:cs="Times New Roman" w:hint="default"/>
          <w:color w:val="000000"/>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000000"/>
          <w:highlight w:val="none"/>
        </w:rPr>
      </w:pPr>
      <w:r>
        <w:rPr>
          <w:rFonts w:ascii="Times New Roman" w:hAnsi="Times New Roman" w:cs="Times New Roman" w:hint="eastAsia"/>
          <w:color w:val="000000"/>
          <w:highlight w:val="none"/>
          <w:lang w:val="en-US" w:eastAsia="zh-CN"/>
        </w:rPr>
        <w:t xml:space="preserve">2、</w:t>
      </w:r>
      <w:r>
        <w:rPr>
          <w:rFonts w:ascii="Times New Roman" w:eastAsia="仿宋_GB2312" w:hAnsi="Times New Roman" w:cs="Times New Roman" w:hint="default"/>
          <w:color w:val="000000"/>
          <w:highlight w:val="none"/>
        </w:rPr>
        <w:t xml:space="preserve">评价结果分别编入政府决算和部门预算，报送本级人民代表大会常务委员会，并依法予以公开。</w:t>
      </w:r>
      <w:bookmarkEnd w:id="194"/>
    </w:p>
    <w:p>
      <w:pPr>
        <w:pStyle w:val="Heading2"/>
        <w:bidi w:val="0"/>
        <w:jc w:val="both"/>
        <w:outlineLvl w:val="0"/>
        <w:rPr>
          <w:rFonts w:ascii="黑体" w:eastAsia="黑体" w:hAnsi="黑体" w:cs="黑体" w:hint="default"/>
          <w:bCs/>
          <w:iCs/>
          <w:color w:val="000000"/>
          <w:highlight w:val="none"/>
        </w:rPr>
      </w:pPr>
      <w:bookmarkStart w:id="198" w:name="_Toc17269"/>
      <w:r>
        <w:rPr>
          <w:rFonts w:ascii="黑体" w:eastAsia="黑体" w:hAnsi="黑体" w:cs="黑体" w:hint="default"/>
          <w:bCs/>
          <w:iCs/>
          <w:color w:val="000000"/>
          <w:highlight w:val="none"/>
        </w:rPr>
        <w:t xml:space="preserve">八、附件</w:t>
      </w:r>
      <w:bookmarkEnd w:id="195"/>
      <w:bookmarkEnd w:id="196"/>
      <w:bookmarkEnd w:id="197"/>
      <w:bookmarkEnd w:id="198"/>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1、项目支出绩效自评表</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2、项目支出绩效评价指标体系及评分</w:t>
      </w:r>
    </w:p>
    <w:p>
      <w:pPr>
        <w:jc w:val="both"/>
        <w:rPr>
          <w:rFonts w:ascii="Times New Roman" w:eastAsia="仿宋_GB2312" w:hAnsi="Times New Roman" w:cs="Times New Roman" w:hint="default"/>
          <w:color w:val="000000"/>
          <w:highlight w:val="none"/>
        </w:rPr>
      </w:pPr>
    </w:p>
    <w:p>
      <w:pPr>
        <w:jc w:val="both"/>
        <w:rPr>
          <w:rFonts w:ascii="Times New Roman" w:eastAsia="仿宋_GB2312" w:hAnsi="Times New Roman" w:cs="Times New Roman" w:hint="default"/>
          <w:color w:val="000000"/>
          <w:highlight w:val="none"/>
        </w:rPr>
      </w:pPr>
    </w:p>
    <w:p>
      <w:pPr>
        <w:jc w:val="both"/>
        <w:rPr>
          <w:rFonts w:ascii="Times New Roman" w:eastAsia="仿宋_GB2312" w:hAnsi="Times New Roman" w:cs="Times New Roman" w:hint="default"/>
          <w:color w:val="000000"/>
          <w:highlight w:val="none"/>
        </w:rPr>
      </w:pPr>
    </w:p>
    <w:p>
      <w:pPr>
        <w:jc w:val="both"/>
        <w:rPr>
          <w:rFonts w:ascii="Times New Roman" w:eastAsia="仿宋_GB2312" w:hAnsi="Times New Roman" w:cs="Times New Roman" w:hint="default"/>
          <w:color w:val="000000"/>
          <w:highlight w:val="none"/>
        </w:rPr>
      </w:pPr>
    </w:p>
    <w:p>
      <w:pPr>
        <w:pStyle w:val="Heading2"/>
        <w:bidi w:val="0"/>
        <w:jc w:val="both"/>
        <w:outlineLvl w:val="0"/>
        <w:rPr>
          <w:rFonts w:ascii="Times New Roman" w:eastAsia="仿宋_GB2312" w:hAnsi="Times New Roman" w:cs="Times New Roman" w:hint="default"/>
          <w:color w:val="000000"/>
          <w:highlight w:val="none"/>
        </w:rPr>
      </w:pPr>
      <w:bookmarkStart w:id="199" w:name="_Toc28598"/>
      <w:bookmarkStart w:id="200" w:name="_Toc15698"/>
      <w:r>
        <w:br w:type="page"/>
      </w:r>
      <w:bookmarkStart w:id="201" w:name="_Toc28118"/>
      <w:bookmarkStart w:id="202" w:name="_Toc15984"/>
      <w:r>
        <w:rPr>
          <w:rFonts w:ascii="Times New Roman" w:eastAsia="仿宋_GB2312" w:hAnsi="Times New Roman" w:cs="Times New Roman" w:hint="default"/>
          <w:bCs/>
          <w:iCs/>
          <w:color w:val="000000"/>
          <w:highlight w:val="none"/>
        </w:rPr>
        <w:t xml:space="preserve">附件1：</w:t>
      </w:r>
      <w:bookmarkEnd w:id="199"/>
      <w:bookmarkEnd w:id="200"/>
      <w:r>
        <w:rPr>
          <w:rFonts w:ascii="Times New Roman" w:eastAsia="仿宋_GB2312" w:hAnsi="Times New Roman" w:cs="Times New Roman" w:hint="default"/>
          <w:color w:val="000000"/>
          <w:highlight w:val="none"/>
        </w:rPr>
        <w:t xml:space="preserve">项目支出绩效自评表</w:t>
      </w:r>
      <w:bookmarkEnd w:id="201"/>
      <w:bookmarkEnd w:id="202"/>
    </w:p>
    <w:tbl>
      <w:tblPr>
        <w:tblStyle w:val="NormalTable"/>
        <w:tblpPr w:leftFromText="180" w:rightFromText="180" w:vertAnchor="text" w:horzAnchor="page" w:tblpXSpec="center" w:tblpY="453"/>
        <w:tblOverlap w:val="never"/>
        <w:tblW w:w="558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Look w:firstRow="0" w:lastRow="0" w:firstColumn="0" w:lastColumn="0" w:noHBand="1" w:noVBand="1"/>
      </w:tblPr>
      <w:tblGrid>
        <w:gridCol w:w="514"/>
        <w:gridCol w:w="550"/>
        <w:gridCol w:w="516"/>
        <w:gridCol w:w="1236"/>
        <w:gridCol w:w="714"/>
        <w:gridCol w:w="584"/>
        <w:gridCol w:w="483"/>
        <w:gridCol w:w="602"/>
        <w:gridCol w:w="725"/>
        <w:gridCol w:w="700"/>
        <w:gridCol w:w="650"/>
        <w:gridCol w:w="600"/>
        <w:gridCol w:w="633"/>
        <w:gridCol w:w="1017"/>
      </w:tblGrid>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20"/>
          <w:jc w:val="center"/>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rPr>
                <w:color w:val="000000"/>
                <w:szCs w:val="15"/>
                <w:highlight w:val="none"/>
              </w:rPr>
            </w:pPr>
            <w:bookmarkStart w:id="203" w:name="_Toc8864"/>
            <w:bookmarkStart w:id="204" w:name="_Toc7635"/>
            <w:r>
              <w:rPr>
                <w:rFonts w:hint="default"/>
                <w:color w:val="000000"/>
                <w:highlight w:val="none"/>
                <w:lang w:val="en-US" w:eastAsia="zh-CN"/>
              </w:rPr>
              <w:t xml:space="preserve">项目支出绩效自评表</w:t>
            </w:r>
            <w:bookmarkEnd w:id="203"/>
            <w:bookmarkEnd w:id="204"/>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90"/>
          <w:jc w:val="center"/>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(2024年度)</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70"/>
          <w:jc w:val="center"/>
        </w:trPr>
        <w:tc>
          <w:tcPr>
            <w:tcW w:w="55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项目名称</w:t>
            </w:r>
          </w:p>
        </w:tc>
        <w:tc>
          <w:tcPr>
            <w:tcW w:w="4441"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中石油新疆销售有限公司巴州分公司尉犁楼兰加油站征收项目</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23"/>
          <w:jc w:val="center"/>
        </w:trPr>
        <w:tc>
          <w:tcPr>
            <w:tcW w:w="55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主管部门</w:t>
            </w:r>
          </w:p>
        </w:tc>
        <w:tc>
          <w:tcPr>
            <w:tcW w:w="1854"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尉犁县房屋征收与补偿管理办公室</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实施单位</w:t>
            </w:r>
          </w:p>
        </w:tc>
        <w:tc>
          <w:tcPr>
            <w:tcW w:w="188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尉犁县房屋征收与补偿管理办公室</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jc w:val="center"/>
        </w:trPr>
        <w:tc>
          <w:tcPr>
            <w:tcW w:w="558"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项目资金</w:t>
            </w:r>
            <w:r>
              <w:rPr>
                <w:rFonts w:hint="eastAsia"/>
                <w:color w:val="000000"/>
                <w:sz w:val="15"/>
                <w:szCs w:val="15"/>
                <w:highlight w:val="none"/>
                <w:lang w:val="en-US" w:eastAsia="zh-CN"/>
              </w:rPr>
              <w:br/>
            </w:r>
            <w:r>
              <w:rPr>
                <w:rFonts w:hint="eastAsia"/>
                <w:color w:val="000000"/>
                <w:sz w:val="15"/>
                <w:szCs w:val="15"/>
                <w:highlight w:val="none"/>
                <w:lang w:val="en-US" w:eastAsia="zh-CN"/>
              </w:rPr>
              <w:t xml:space="preserve">（万元）</w:t>
            </w:r>
          </w:p>
        </w:tc>
        <w:tc>
          <w:tcPr>
            <w:tcW w:w="91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资金来源</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年初预算数</w:t>
            </w:r>
          </w:p>
        </w:tc>
        <w:tc>
          <w:tcPr>
            <w:tcW w:w="56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全年预算数</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全年执行数</w:t>
            </w:r>
          </w:p>
        </w:tc>
        <w:tc>
          <w:tcPr>
            <w:tcW w:w="70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分值权重</w:t>
            </w:r>
          </w:p>
        </w:tc>
        <w:tc>
          <w:tcPr>
            <w:tcW w:w="64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执行率</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得分</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30"/>
          <w:jc w:val="center"/>
        </w:trPr>
        <w:tc>
          <w:tcPr>
            <w:tcW w:w="558"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91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年度资金总额</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643.04</w:t>
            </w:r>
          </w:p>
        </w:tc>
        <w:tc>
          <w:tcPr>
            <w:tcW w:w="56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643.04</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643.04</w:t>
            </w:r>
          </w:p>
        </w:tc>
        <w:tc>
          <w:tcPr>
            <w:tcW w:w="70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64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100.00%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10.00分</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197"/>
          <w:jc w:val="center"/>
        </w:trPr>
        <w:tc>
          <w:tcPr>
            <w:tcW w:w="558"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91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其中：当年财政拨款</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643.04</w:t>
            </w:r>
          </w:p>
        </w:tc>
        <w:tc>
          <w:tcPr>
            <w:tcW w:w="56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643.04</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643.04</w:t>
            </w:r>
          </w:p>
        </w:tc>
        <w:tc>
          <w:tcPr>
            <w:tcW w:w="70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w:t>
            </w:r>
          </w:p>
        </w:tc>
        <w:tc>
          <w:tcPr>
            <w:tcW w:w="64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97"/>
          <w:jc w:val="center"/>
        </w:trPr>
        <w:tc>
          <w:tcPr>
            <w:tcW w:w="558"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91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其他资金</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0.00</w:t>
            </w:r>
          </w:p>
        </w:tc>
        <w:tc>
          <w:tcPr>
            <w:tcW w:w="56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0.00</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eastAsia="仿宋_GB2312" w:hint="eastAsia"/>
                <w:color w:val="000000"/>
                <w:sz w:val="15"/>
                <w:szCs w:val="15"/>
                <w:highlight w:val="none"/>
                <w:lang w:val="en-US" w:eastAsia="zh-CN"/>
              </w:rPr>
            </w:pPr>
            <w:r>
              <w:rPr>
                <w:rFonts w:hint="eastAsia"/>
                <w:color w:val="000000"/>
                <w:sz w:val="15"/>
                <w:szCs w:val="15"/>
                <w:highlight w:val="none"/>
                <w:lang w:val="en-US" w:eastAsia="zh-CN"/>
              </w:rPr>
              <w:t xml:space="preserve">0</w:t>
            </w:r>
          </w:p>
        </w:tc>
        <w:tc>
          <w:tcPr>
            <w:tcW w:w="70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w:t>
            </w:r>
          </w:p>
        </w:tc>
        <w:tc>
          <w:tcPr>
            <w:tcW w:w="64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06"/>
          <w:jc w:val="center"/>
        </w:trPr>
        <w:tc>
          <w:tcPr>
            <w:tcW w:w="269"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年度总体目标</w:t>
            </w:r>
          </w:p>
        </w:tc>
        <w:tc>
          <w:tcPr>
            <w:tcW w:w="2840"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总体目标</w:t>
            </w:r>
          </w:p>
        </w:tc>
        <w:tc>
          <w:tcPr>
            <w:tcW w:w="188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总体目标完成情况</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40"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将643万元资金用于完成中石油新疆销售有限公司巴州分公司尉犁楼兰加油站征收工作.中石油新疆销售有限公司巴州分公司楼兰加油站征收补偿工作实施完成后，将收回15亩国有土地，县人民政府可按规划将土地进行重新挂牌出让，为我县其他重点项目的实施提供土地资源。项目完成后，将进一步提升城市精细化管理水平，统筹布局社会各项事业长远发展。</w:t>
            </w:r>
          </w:p>
        </w:tc>
        <w:tc>
          <w:tcPr>
            <w:tcW w:w="188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中石油新疆销售有限公司巴州分公司楼兰加油站征收补偿工作实施完成后，共收回15亩国有土地，县人民政府可按规划将土地进行重新挂牌出让，为我县其他重点项目的实施提供土地资源。项目完成后，进一步提升了城市精细化管理水平，统筹布局社会各项事业长远发展。</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960"/>
          <w:jc w:val="center"/>
        </w:trPr>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一级指标</w:t>
            </w: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二级指标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三级指标</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指标值</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指标值设置依据</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上年完成值</w:t>
            </w: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指标分值权重</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指标赋分规则</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佐证资料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指标实际完成值</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完成率</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指标得分</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偏差原因分析及改进措施</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年度绩效指标完成情况</w:t>
            </w:r>
          </w:p>
        </w:tc>
        <w:tc>
          <w:tcPr>
            <w:tcW w:w="288"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产出指标</w:t>
            </w: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数量指标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征收户数</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=1户</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按照完成比例赋分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=1户</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数量指标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征收面积</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=10200平方米</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按照完成比例赋分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=10200平方米</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质量指标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征收补偿发放合规率</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按照完成比例赋分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时效指标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资金支付及时率</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按照完成比例赋分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成本指标</w:t>
            </w: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经济成本指标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征收补偿费用</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=642.04万元</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按照完成比例赋分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原始凭证</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=642.04万元</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经济成本指标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评估费用</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=10000元</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按照完成比例赋分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原始凭证</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=10000元</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效益指标</w:t>
            </w: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社会效益指标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保障征收工作顺利实施</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有效保障</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20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按评判等级赋分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达成目标</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20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满意度指标</w:t>
            </w: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满意度指标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受益企业满意度</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&gt;=95%</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满意度赋分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105.26%</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年初预期目标设置较低，但年末按照设置指标值全部完成预期目标，因此出现偏差。</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500"/>
          <w:jc w:val="center"/>
        </w:trPr>
        <w:tc>
          <w:tcPr>
            <w:tcW w:w="1478"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总分</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100.00分</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bl>
    <w:p>
      <w:pPr>
        <w:ind w:left="0" w:firstLine="0" w:leftChars="0" w:firstLineChars="0"/>
        <w:jc w:val="both"/>
        <w:rPr>
          <w:rFonts w:ascii="Times New Roman" w:eastAsia="仿宋_GB2312" w:hAnsi="Times New Roman" w:cs="Times New Roman" w:hint="default"/>
          <w:color w:val="000000"/>
          <w:sz w:val="18"/>
          <w:szCs w:val="18"/>
          <w:highlight w:val="none"/>
        </w:rPr>
      </w:pPr>
    </w:p>
    <w:p>
      <w:pPr>
        <w:pStyle w:val="Heading3"/>
        <w:ind w:left="0" w:firstLine="0" w:leftChars="0" w:firstLineChars="0"/>
        <w:jc w:val="both"/>
        <w:outlineLvl w:val="9"/>
        <w:rPr>
          <w:rFonts w:ascii="Times New Roman" w:eastAsia="仿宋_GB2312" w:hAnsi="Times New Roman" w:cs="Times New Roman" w:hint="default"/>
          <w:color w:val="000000"/>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bookmarkStart w:id="205" w:name="_Toc28099"/>
      <w:bookmarkStart w:id="206" w:name="_Toc5134"/>
      <w:bookmarkStart w:id="207" w:name="_Toc22143"/>
      <w:bookmarkStart w:id="208" w:name="_Toc1641"/>
    </w:p>
    <w:p>
      <w:pPr>
        <w:pStyle w:val="表格标题"/>
        <w:bidi w:val="0"/>
        <w:ind w:firstLine="320" w:firstLineChars="100"/>
        <w:jc w:val="both"/>
        <w:rPr>
          <w:rFonts w:ascii="Times New Roman" w:eastAsia="仿宋_GB2312" w:hAnsi="Times New Roman" w:cs="Times New Roman" w:hint="default"/>
          <w:color w:val="000000"/>
          <w:highlight w:val="none"/>
        </w:rPr>
      </w:pPr>
      <w:bookmarkStart w:id="209" w:name="_Toc31300"/>
      <w:bookmarkStart w:id="210" w:name="_Toc3648"/>
      <w:bookmarkStart w:id="211" w:name="_Toc29757"/>
      <w:bookmarkStart w:id="212" w:name="_Toc10041"/>
      <w:r>
        <w:rPr>
          <w:rFonts w:ascii="Times New Roman" w:eastAsia="仿宋_GB2312" w:hAnsi="Times New Roman" w:cs="Times New Roman" w:hint="default"/>
          <w:color w:val="000000"/>
          <w:highlight w:val="none"/>
        </w:rPr>
        <w:t xml:space="preserve">附件2：</w:t>
      </w:r>
      <w:bookmarkEnd w:id="205"/>
      <w:bookmarkEnd w:id="206"/>
      <w:bookmarkEnd w:id="207"/>
      <w:bookmarkEnd w:id="208"/>
      <w:bookmarkEnd w:id="209"/>
      <w:bookmarkEnd w:id="210"/>
      <w:bookmarkEnd w:id="211"/>
      <w:r>
        <w:rPr>
          <w:rFonts w:ascii="Times New Roman" w:eastAsia="仿宋_GB2312" w:hAnsi="Times New Roman" w:cs="Times New Roman" w:hint="default"/>
          <w:color w:val="000000"/>
          <w:highlight w:val="none"/>
        </w:rPr>
        <w:t xml:space="preserve">项目支出绩效评价指标体系及评分</w:t>
      </w:r>
      <w:bookmarkEnd w:id="212"/>
    </w:p>
    <w:p>
      <w:pPr>
        <w:pStyle w:val="表格标题"/>
        <w:bidi w:val="0"/>
        <w:jc w:val="center"/>
        <w:rPr>
          <w:rFonts w:ascii="Times New Roman" w:eastAsia="仿宋_GB2312" w:hAnsi="Times New Roman" w:cs="Times New Roman" w:hint="default"/>
          <w:color w:val="000000"/>
          <w:highlight w:val="none"/>
        </w:rPr>
      </w:pPr>
      <w:bookmarkStart w:id="213" w:name="_Toc11457"/>
      <w:bookmarkStart w:id="214" w:name="_Toc27449"/>
      <w:bookmarkStart w:id="215" w:name="_Toc28172"/>
      <w:bookmarkStart w:id="216" w:name="_Toc29561"/>
      <w:r>
        <w:rPr>
          <w:rFonts w:ascii="Times New Roman" w:eastAsia="仿宋_GB2312" w:hAnsi="Times New Roman" w:cs="Times New Roman" w:hint="default"/>
          <w:color w:val="000000"/>
          <w:highlight w:val="none"/>
        </w:rPr>
        <w:t xml:space="preserve">项目支出绩效评价指标体系及评分</w:t>
      </w:r>
      <w:bookmarkEnd w:id="213"/>
      <w:bookmarkEnd w:id="214"/>
      <w:bookmarkEnd w:id="215"/>
      <w:bookmarkEnd w:id="216"/>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eastAsia"/>
                <w:color w:val="000000"/>
                <w:sz w:val="18"/>
                <w:szCs w:val="18"/>
                <w:highlight w:val="none"/>
                <w:lang w:eastAsia="zh-CN"/>
              </w:rPr>
            </w:pPr>
            <w:r>
              <w:rPr>
                <w:rFonts w:ascii="Times New Roman" w:eastAsia="仿宋_GB2312" w:hAnsi="Times New Roman" w:cs="Times New Roman" w:hint="default"/>
                <w:color w:val="000000"/>
                <w:sz w:val="18"/>
                <w:szCs w:val="18"/>
                <w:highlight w:val="none"/>
              </w:rPr>
              <w:t xml:space="preserve">项目</w:t>
            </w:r>
            <w:r>
              <w:rPr>
                <w:rFonts w:cs="Times New Roman" w:hint="eastAsia"/>
                <w:color w:val="000000"/>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是否符合法律法规、相关政策、发展规划以及部门职责，用以反映和考核项目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项目申请、设立过程是否符合相关要求，用以反映和考核项目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03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eastAsia="zh-CN"/>
              </w:rPr>
            </w:pPr>
            <w:r>
              <w:rPr>
                <w:rFonts w:ascii="Times New Roman" w:eastAsia="仿宋_GB2312" w:hAnsi="Times New Roman" w:cs="Times New Roman" w:hint="default"/>
                <w:color w:val="000000"/>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val="en-US" w:eastAsia="zh-CN"/>
              </w:rPr>
            </w:pPr>
            <w:r>
              <w:rPr>
                <w:rFonts w:ascii="Times New Roman" w:eastAsia="仿宋_GB2312" w:hAnsi="Times New Roman" w:cs="Times New Roman" w:hint="default"/>
                <w:color w:val="000000"/>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val="en-US" w:eastAsia="zh-CN"/>
              </w:rPr>
            </w:pPr>
            <w:r>
              <w:rPr>
                <w:rFonts w:ascii="Times New Roman" w:eastAsia="仿宋_GB2312" w:hAnsi="Times New Roman" w:cs="Times New Roman" w:hint="default"/>
                <w:color w:val="000000"/>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成本节约率=〔（计划成本</w:t>
            </w:r>
            <w:r>
              <w:rPr>
                <w:rFonts w:ascii="Times New Roman" w:eastAsia="仿宋_GB2312" w:hAnsi="Times New Roman" w:cs="Times New Roman" w:hint="default"/>
                <w:color w:val="000000"/>
                <w:sz w:val="18"/>
                <w:szCs w:val="18"/>
                <w:highlight w:val="none"/>
                <w:lang w:eastAsia="zh-CN"/>
              </w:rPr>
              <w:t xml:space="preserve">－</w:t>
            </w:r>
            <w:r>
              <w:rPr>
                <w:rFonts w:ascii="Times New Roman" w:eastAsia="仿宋_GB2312" w:hAnsi="Times New Roman" w:cs="Times New Roman" w:hint="default"/>
                <w:color w:val="000000"/>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效益</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8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满意度</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val="en-US" w:eastAsia="zh-CN"/>
              </w:rPr>
            </w:pPr>
            <w:r>
              <w:rPr>
                <w:rFonts w:ascii="Times New Roman" w:eastAsia="仿宋_GB2312" w:hAnsi="Times New Roman" w:cs="Times New Roman" w:hint="default"/>
                <w:color w:val="000000"/>
                <w:sz w:val="18"/>
                <w:szCs w:val="18"/>
                <w:highlight w:val="none"/>
                <w:lang w:val="en-US" w:eastAsia="zh-CN"/>
              </w:rPr>
              <w:t xml:space="preserve">100</w:t>
            </w:r>
          </w:p>
        </w:tc>
      </w:tr>
    </w:tbl>
    <w:p>
      <w:pPr>
        <w:ind w:firstLine="640"/>
        <w:jc w:val="both"/>
        <w:rPr>
          <w:rFonts w:ascii="Times New Roman" w:eastAsia="仿宋_GB2312" w:hAnsi="Times New Roman" w:cs="Times New Roman" w:hint="default"/>
          <w:color w:val="000000"/>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1CD7FC8-2F48-4192-9A78-14C0CACB275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0F63F7D8-C71D-4455-A0F3-95E5B191735D}"/>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D84C5C06-3A7A-440B-B024-AB0E0AEBB52F}"/>
  </w:font>
  <w:font w:name="仿宋">
    <w:panose1 w:val="02010609060101010101"/>
    <w:charset w:val="86"/>
    <w:family w:val="auto"/>
    <w:pitch w:val="default"/>
    <w:sig w:usb0="800002BF" w:usb1="38CF7CFA" w:usb2="00000016" w:usb3="00000000" w:csb0="00040001" w:csb1="00000000"/>
    <w:embedRegular r:id="rId4" w:fontKey="{895B19CC-B602-4D95-A772-4EDA24FDDE9B}"/>
  </w:font>
  <w:font w:name="方正仿宋_GBK">
    <w:panose1 w:val="02000000000000000000"/>
    <w:charset w:val="86"/>
    <w:family w:val="script"/>
    <w:pitch w:val="default"/>
    <w:sig w:usb0="A00002BF" w:usb1="38CF7CFA" w:usb2="00082016" w:usb3="00000000" w:csb0="00040001" w:csb1="00000000"/>
    <w:embedRegular r:id="rId5" w:fontKey="{582A48B0-D4FA-408B-A080-F577E3BC3D98}"/>
  </w:font>
  <w:font w:name="方正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60"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NormalIndent">
    <w:name w:val="Normal Indent"/>
    <w:basedOn w:val="Normal"/>
    <w:qFormat/>
    <w:pPr>
      <w:ind w:firstLine="420" w:firstLineChars="200"/>
    </w:pPr>
    <w:r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qFormat/>
    <w:rPr>
      <w:b/>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页脚字符">
    <w:name w:val="页脚 字符"/>
    <w:link w:val="Footer"/>
    <w:uiPriority w:val="99"/>
    <w:rPr>
      <w:rFonts w:eastAsia="仿宋_GB2312" w:cs="Times New Roman"/>
      <w:kern w:val="2"/>
      <w:sz w:val="18"/>
      <w:szCs w:val="22"/>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标题2字符">
    <w:name w:val="标题 2 字符"/>
    <w:link w:val="Heading2"/>
    <w:uiPriority w:val="99"/>
    <w:qFormat/>
    <w:rPr>
      <w:rFonts w:eastAsia="黑体"/>
      <w:bCs/>
      <w:iCs/>
      <w:kern w:val="2"/>
      <w:sz w:val="32"/>
      <w:szCs w:val="21"/>
    </w:rPr>
  </w:style>
  <w:style w:type="character" w:customStyle="1" w:styleId="font112">
    <w:name w:val="font112"/>
    <w:basedOn w:val="DefaultParagraphFont"/>
    <w:rPr>
      <w:rFonts w:ascii="宋体" w:eastAsia="宋体" w:hAnsi="宋体" w:cs="宋体" w:hint="eastAsia"/>
      <w:color w:val="000000"/>
      <w:sz w:val="22"/>
      <w:szCs w:val="22"/>
      <w:u w:val="none"/>
    </w:rPr>
  </w:style>
  <w:style w:type="paragraph" w:customStyle="1" w:styleId="WPSOffice手动目录1">
    <w:name w:val="WPSOffice手动目录 1"/>
    <w:pPr>
      <w:ind w:leftChars="0"/>
    </w:pPr>
    <w:rPr>
      <w:sz w:val="20"/>
      <w:szCs w:val="20"/>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WPSOffice手动目录2">
    <w:name w:val="WPSOffice手动目录 2"/>
    <w:pPr>
      <w:ind w:leftChars="200"/>
    </w:pPr>
    <w:rPr>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 Id="rId4" Type="http://schemas.openxmlformats.org/officeDocument/2006/relationships/font" Target="fonts/font4.odttf"/><Relationship Id="rId5" Type="http://schemas.openxmlformats.org/officeDocument/2006/relationships/font" Target="fonts/font5.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4A535D272F324489A13D173A747EDA9D_13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060"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24</Pages>
  <Words>9412</Words>
  <Characters>9941</Characters>
  <Application>WPS Office_12.1.0.15120_F1E327BC-269C-435d-A152-05C5408002CA</Application>
  <DocSecurity>0</DocSecurity>
  <Lines>110</Lines>
  <Paragraphs>31</Paragraphs>
  <Company>Microsoft</Company>
  <CharactersWithSpaces>9970</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2025-09-02T03:33:39Z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4A535D272F324489A13D173A747EDA9D_13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