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cx="http://schemas.microsoft.com/office/drawing/2014/chartex">
  <w:body>
    <w:p>
      <w:pPr/>
      <w:r/>
    </w:p>
    <w:p>
      <w:pPr>
        <w:bidi w:val="0"/>
        <w:jc w:val="both"/>
        <w:rPr>
          <w:rFonts w:ascii="Times New Roman" w:eastAsia="宋体" w:hAnsi="Times New Roman" w:cs="Times New Roman" w:hint="default"/>
          <w:color w:val="auto"/>
          <w:highlight w:val="none"/>
        </w:rPr>
      </w:pPr>
      <w:bookmarkStart w:id="0" w:name="_GoBack"/>
      <w:bookmarkEnd w:id="0"/>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color w:val="auto"/>
          <w:highlight w:val="none"/>
        </w:rPr>
      </w:pPr>
    </w:p>
    <w:p>
      <w:pPr>
        <w:pStyle w:val="Heading1"/>
        <w:bidi w:val="0"/>
        <w:rPr>
          <w:rFonts w:ascii="Times New Roman" w:hAnsi="Times New Roman" w:cs="Times New Roman" w:hint="default"/>
          <w:color w:val="auto"/>
          <w:sz w:val="44"/>
          <w:szCs w:val="44"/>
          <w:highlight w:val="none"/>
        </w:rPr>
      </w:pPr>
      <w:bookmarkStart w:id="1" w:name="_Toc24054"/>
      <w:bookmarkStart w:id="2" w:name="_Toc14852"/>
      <w:bookmarkStart w:id="3" w:name="_Toc27118"/>
      <w:bookmarkStart w:id="4" w:name="_Toc28201"/>
      <w:r>
        <w:rPr>
          <w:rFonts w:ascii="Times New Roman" w:hAnsi="Times New Roman" w:cs="Times New Roman" w:hint="default"/>
          <w:color w:val="auto"/>
          <w:sz w:val="44"/>
          <w:szCs w:val="44"/>
          <w:highlight w:val="none"/>
        </w:rPr>
        <w:t xml:space="preserve">项目支出绩效评价报告</w:t>
      </w:r>
      <w:bookmarkEnd w:id="1"/>
      <w:bookmarkEnd w:id="2"/>
      <w:bookmarkEnd w:id="3"/>
      <w:bookmarkEnd w:id="4"/>
    </w:p>
    <w:p>
      <w:pPr>
        <w:ind w:firstLine="883"/>
        <w:jc w:val="both"/>
        <w:rPr>
          <w:rFonts w:ascii="Times New Roman" w:eastAsia="宋体" w:hAnsi="Times New Roman" w:cs="Times New Roman" w:hint="default"/>
          <w:b/>
          <w:bCs/>
          <w:color w:val="auto"/>
          <w:sz w:val="44"/>
          <w:szCs w:val="44"/>
          <w:highlight w:val="none"/>
        </w:rPr>
      </w:pPr>
    </w:p>
    <w:p>
      <w:pPr>
        <w:bidi w:val="0"/>
        <w:jc w:val="both"/>
        <w:rPr>
          <w:rFonts w:ascii="Times New Roman" w:eastAsia="宋体" w:hAnsi="Times New Roman" w:cs="Times New Roman" w:hint="default"/>
          <w:color w:val="auto"/>
          <w:highlight w:val="none"/>
        </w:rPr>
      </w:pPr>
    </w:p>
    <w:p>
      <w:pPr>
        <w:bidi w:val="0"/>
        <w:ind w:left="0" w:firstLine="0" w:leftChars="0" w:firstLineChars="0"/>
        <w:jc w:val="center"/>
        <w:rPr>
          <w:rFonts w:ascii="Times New Roman" w:eastAsia="宋体" w:hAnsi="Times New Roman" w:cs="Times New Roman" w:hint="default"/>
          <w:color w:val="auto"/>
          <w:highlight w:val="none"/>
        </w:rPr>
      </w:pPr>
      <w:r>
        <w:rPr>
          <w:color w:val="auto"/>
          <w:sz w:val="28"/>
          <w:szCs w:val="28"/>
          <w:highlight w:val="none"/>
        </w:rPr>
        <w:t xml:space="preserve">（202</w:t>
      </w:r>
      <w:r>
        <w:rPr>
          <w:rFonts w:hint="eastAsia"/>
          <w:color w:val="auto"/>
          <w:sz w:val="28"/>
          <w:szCs w:val="28"/>
          <w:highlight w:val="none"/>
          <w:lang w:val="en-US" w:eastAsia="zh-CN"/>
        </w:rPr>
        <w:t xml:space="preserve">4</w:t>
      </w:r>
      <w:r>
        <w:rPr>
          <w:color w:val="auto"/>
          <w:sz w:val="28"/>
          <w:szCs w:val="28"/>
          <w:highlight w:val="none"/>
        </w:rPr>
        <w:t xml:space="preserve">年度）</w:t>
      </w:r>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b/>
          <w:bCs/>
          <w:color w:val="auto"/>
          <w:highlight w:val="none"/>
        </w:rPr>
      </w:pPr>
    </w:p>
    <w:p>
      <w:pPr>
        <w:bidi w:val="0"/>
        <w:jc w:val="both"/>
        <w:rPr>
          <w:rFonts w:ascii="仿宋_GB2312" w:eastAsia="仿宋_GB2312" w:hAnsi="仿宋_GB2312" w:cs="仿宋_GB2312" w:hint="eastAsia"/>
          <w:b w:val="0"/>
          <w:bCs w:val="0"/>
          <w:color w:val="auto"/>
          <w:highlight w:val="none"/>
        </w:rPr>
      </w:pPr>
      <w:r>
        <w:rPr>
          <w:rFonts w:ascii="仿宋_GB2312" w:eastAsia="仿宋_GB2312" w:hAnsi="仿宋_GB2312" w:cs="仿宋_GB2312" w:hint="eastAsia"/>
          <w:b w:val="0"/>
          <w:bCs w:val="0"/>
          <w:color w:val="auto"/>
          <w:highlight w:val="none"/>
        </w:rPr>
        <w:t xml:space="preserve">项目名称：</w:t>
      </w:r>
      <w:r>
        <w:rPr>
          <w:rFonts w:ascii="仿宋_GB2312" w:hAnsi="仿宋_GB2312" w:cs="仿宋_GB2312" w:hint="eastAsia"/>
          <w:b w:val="0"/>
          <w:bCs w:val="0"/>
          <w:color w:val="auto"/>
          <w:highlight w:val="none"/>
          <w:lang w:val="en-US" w:eastAsia="zh-CN"/>
        </w:rPr>
        <w:t xml:space="preserve">尉犁县城镇污水处理厂（二期）工程PPP项目</w:t>
      </w:r>
    </w:p>
    <w:p>
      <w:pPr>
        <w:bidi w:val="0"/>
        <w:jc w:val="both"/>
        <w:rPr>
          <w:rFonts w:ascii="仿宋_GB2312" w:eastAsia="仿宋_GB2312" w:hAnsi="仿宋_GB2312" w:cs="仿宋_GB2312" w:hint="default"/>
          <w:b w:val="0"/>
          <w:bCs w:val="0"/>
          <w:color w:val="auto"/>
          <w:highlight w:val="none"/>
          <w:lang w:val="en-US" w:eastAsia="zh-CN"/>
        </w:rPr>
      </w:pPr>
      <w:r>
        <w:rPr>
          <w:rFonts w:ascii="仿宋_GB2312" w:eastAsia="仿宋_GB2312" w:hAnsi="仿宋_GB2312" w:cs="仿宋_GB2312" w:hint="eastAsia"/>
          <w:b w:val="0"/>
          <w:bCs w:val="0"/>
          <w:color w:val="auto"/>
          <w:highlight w:val="none"/>
        </w:rPr>
        <w:t xml:space="preserve">实施单位（公章）：</w:t>
      </w:r>
      <w:r>
        <w:rPr>
          <w:rFonts w:ascii="仿宋_GB2312" w:hAnsi="仿宋_GB2312" w:cs="仿宋_GB2312" w:hint="eastAsia"/>
          <w:b w:val="0"/>
          <w:bCs w:val="0"/>
          <w:color w:val="auto"/>
          <w:highlight w:val="none"/>
          <w:lang w:val="en-US" w:eastAsia="zh-CN"/>
        </w:rPr>
        <w:t xml:space="preserve">新疆科发环境工程有限公司</w:t>
      </w:r>
    </w:p>
    <w:p>
      <w:pPr>
        <w:bidi w:val="0"/>
        <w:jc w:val="both"/>
        <w:rPr>
          <w:rFonts w:ascii="仿宋_GB2312" w:eastAsia="仿宋_GB2312" w:hAnsi="仿宋_GB2312" w:cs="仿宋_GB2312" w:hint="default"/>
          <w:b w:val="0"/>
          <w:bCs w:val="0"/>
          <w:color w:val="auto"/>
          <w:highlight w:val="none"/>
          <w:lang w:val="en-US"/>
        </w:rPr>
      </w:pPr>
      <w:r>
        <w:rPr>
          <w:rFonts w:ascii="仿宋_GB2312" w:eastAsia="仿宋_GB2312" w:hAnsi="仿宋_GB2312" w:cs="仿宋_GB2312" w:hint="eastAsia"/>
          <w:b w:val="0"/>
          <w:bCs w:val="0"/>
          <w:color w:val="auto"/>
          <w:highlight w:val="none"/>
        </w:rPr>
        <w:t xml:space="preserve">主管部门（公章）：</w:t>
      </w:r>
      <w:r>
        <w:rPr>
          <w:rFonts w:ascii="仿宋_GB2312" w:hAnsi="仿宋_GB2312" w:cs="仿宋_GB2312" w:hint="eastAsia"/>
          <w:b w:val="0"/>
          <w:bCs w:val="0"/>
          <w:color w:val="auto"/>
          <w:highlight w:val="none"/>
          <w:lang w:val="en-US" w:eastAsia="zh-CN"/>
        </w:rPr>
        <w:t xml:space="preserve">尉犁县住房和城乡建设局</w:t>
      </w:r>
    </w:p>
    <w:p>
      <w:pPr>
        <w:bidi w:val="0"/>
        <w:jc w:val="both"/>
        <w:rPr>
          <w:rFonts w:ascii="仿宋_GB2312" w:eastAsia="仿宋_GB2312" w:hAnsi="仿宋_GB2312" w:cs="仿宋_GB2312" w:hint="default"/>
          <w:b w:val="0"/>
          <w:bCs w:val="0"/>
          <w:color w:val="auto"/>
          <w:highlight w:val="none"/>
          <w:lang w:val="en-US" w:eastAsia="zh-CN"/>
        </w:rPr>
      </w:pPr>
      <w:r>
        <w:rPr>
          <w:rFonts w:ascii="仿宋_GB2312" w:eastAsia="仿宋_GB2312" w:hAnsi="仿宋_GB2312" w:cs="仿宋_GB2312" w:hint="eastAsia"/>
          <w:b w:val="0"/>
          <w:bCs w:val="0"/>
          <w:color w:val="auto"/>
          <w:highlight w:val="none"/>
        </w:rPr>
        <w:t xml:space="preserve">项目负责人（签章）：</w:t>
      </w:r>
      <w:r>
        <w:rPr>
          <w:rFonts w:ascii="仿宋_GB2312" w:hAnsi="仿宋_GB2312" w:cs="仿宋_GB2312" w:hint="eastAsia"/>
          <w:b w:val="0"/>
          <w:bCs w:val="0"/>
          <w:color w:val="auto"/>
          <w:highlight w:val="none"/>
          <w:lang w:val="en-US" w:eastAsia="zh-CN"/>
        </w:rPr>
        <w:t xml:space="preserve">李超锋</w:t>
      </w:r>
    </w:p>
    <w:p>
      <w:pPr>
        <w:bidi w:val="0"/>
        <w:jc w:val="both"/>
        <w:rPr>
          <w:rFonts w:ascii="仿宋_GB2312" w:eastAsia="仿宋_GB2312" w:hAnsi="仿宋_GB2312" w:cs="仿宋_GB2312" w:hint="eastAsia"/>
          <w:b w:val="0"/>
          <w:bCs w:val="0"/>
          <w:color w:val="auto"/>
          <w:highlight w:val="none"/>
        </w:rPr>
      </w:pPr>
      <w:r>
        <w:rPr>
          <w:rFonts w:ascii="仿宋_GB2312" w:eastAsia="仿宋_GB2312" w:hAnsi="仿宋_GB2312" w:cs="仿宋_GB2312" w:hint="eastAsia"/>
          <w:b w:val="0"/>
          <w:bCs w:val="0"/>
          <w:color w:val="auto"/>
          <w:highlight w:val="none"/>
        </w:rPr>
        <w:t xml:space="preserve">填报时间：</w:t>
      </w:r>
      <w:r>
        <w:rPr>
          <w:rFonts w:ascii="仿宋_GB2312" w:hAnsi="仿宋_GB2312" w:cs="仿宋_GB2312" w:hint="eastAsia"/>
          <w:b w:val="0"/>
          <w:bCs w:val="0"/>
          <w:color w:val="auto"/>
          <w:highlight w:val="none"/>
          <w:lang w:val="en-US" w:eastAsia="zh-CN"/>
        </w:rPr>
        <w:t xml:space="preserve">2025</w:t>
      </w:r>
      <w:r>
        <w:rPr>
          <w:rFonts w:ascii="仿宋_GB2312" w:eastAsia="仿宋_GB2312" w:hAnsi="仿宋_GB2312" w:cs="仿宋_GB2312" w:hint="eastAsia"/>
          <w:b w:val="0"/>
          <w:bCs w:val="0"/>
          <w:color w:val="auto"/>
          <w:highlight w:val="none"/>
        </w:rPr>
        <w:t xml:space="preserve">年</w:t>
      </w:r>
      <w:r>
        <w:rPr>
          <w:rFonts w:ascii="仿宋_GB2312" w:hAnsi="仿宋_GB2312" w:cs="仿宋_GB2312" w:hint="eastAsia"/>
          <w:b w:val="0"/>
          <w:bCs w:val="0"/>
          <w:color w:val="auto"/>
          <w:highlight w:val="none"/>
          <w:lang w:val="en-US" w:eastAsia="zh-CN"/>
        </w:rPr>
        <w:t xml:space="preserve">3</w:t>
      </w:r>
      <w:r>
        <w:rPr>
          <w:rFonts w:ascii="仿宋_GB2312" w:eastAsia="仿宋_GB2312" w:hAnsi="仿宋_GB2312" w:cs="仿宋_GB2312" w:hint="eastAsia"/>
          <w:b w:val="0"/>
          <w:bCs w:val="0"/>
          <w:color w:val="auto"/>
          <w:highlight w:val="none"/>
        </w:rPr>
        <w:t xml:space="preserve">月</w:t>
      </w:r>
      <w:r>
        <w:rPr>
          <w:rFonts w:ascii="仿宋_GB2312" w:hAnsi="仿宋_GB2312" w:cs="仿宋_GB2312" w:hint="eastAsia"/>
          <w:b w:val="0"/>
          <w:bCs w:val="0"/>
          <w:color w:val="auto"/>
          <w:highlight w:val="none"/>
          <w:lang w:val="en-US" w:eastAsia="zh-CN"/>
        </w:rPr>
        <w:t xml:space="preserve">31</w:t>
      </w:r>
      <w:r>
        <w:rPr>
          <w:rFonts w:ascii="仿宋_GB2312" w:eastAsia="仿宋_GB2312" w:hAnsi="仿宋_GB2312" w:cs="仿宋_GB2312" w:hint="eastAsia"/>
          <w:b w:val="0"/>
          <w:bCs w:val="0"/>
          <w:color w:val="auto"/>
          <w:highlight w:val="none"/>
        </w:rPr>
        <w:t xml:space="preserve">日</w:t>
      </w:r>
    </w:p>
    <w:p>
      <w:pPr>
        <w:bidi w:val="0"/>
        <w:jc w:val="both"/>
        <w:rPr>
          <w:rFonts w:ascii="Times New Roman" w:eastAsia="宋体" w:hAnsi="Times New Roman" w:cs="Times New Roman" w:hint="default"/>
          <w:b w:val="0"/>
          <w:bCs w:val="0"/>
          <w:color w:val="auto"/>
          <w:highlight w:val="none"/>
        </w:rPr>
      </w:pPr>
    </w:p>
    <w:p>
      <w:pPr>
        <w:bidi w:val="0"/>
        <w:jc w:val="both"/>
        <w:rPr>
          <w:rFonts w:ascii="Times New Roman" w:eastAsia="宋体" w:hAnsi="Times New Roman" w:cs="Times New Roman" w:hint="default"/>
          <w:b w:val="0"/>
          <w:bCs w:val="0"/>
          <w:color w:val="auto"/>
          <w:highlight w:val="none"/>
        </w:rPr>
        <w:sectPr>
          <w:pgSz w:w="11906" w:h="16838" w:orient="portrait"/>
          <w:pgMar w:top="1440" w:right="1800" w:bottom="1440" w:left="1800" w:header="851" w:footer="992" w:gutter="0"/>
          <w:pgBorders/>
          <w:pgNumType w:start="1"/>
          <w:cols w:num="1" w:space="720">
            <w:col w:w="8306" w:space="720"/>
          </w:cols>
          <w:docGrid w:type="lines" w:linePitch="312" w:charSpace="0"/>
        </w:sectPr>
      </w:pPr>
    </w:p>
    <w:p>
      <w:pPr>
        <w:keepLines w:val="0"/>
        <w:pageBreakBefore w:val="0"/>
        <w:kinsoku/>
        <w:wordWrap/>
        <w:overflowPunct/>
        <w:topLinePunct w:val="0"/>
        <w:autoSpaceDE/>
        <w:autoSpaceDN/>
        <w:bidi w:val="0"/>
        <w:adjustRightInd/>
        <w:snapToGrid/>
        <w:spacing w:before="0" w:beforeLines="0" w:after="0" w:afterLines="0" w:line="580" w:lineRule="exact"/>
        <w:ind w:left="0" w:right="0" w:firstLine="0" w:leftChars="0" w:rightChars="0" w:firstLineChars="0"/>
        <w:jc w:val="center"/>
        <w:textAlignment w:val="auto"/>
        <w:rPr>
          <w:b/>
          <w:bCs/>
          <w:color w:val="auto"/>
          <w:sz w:val="32"/>
          <w:szCs w:val="32"/>
          <w:highlight w:val="none"/>
        </w:rPr>
      </w:pPr>
      <w:bookmarkStart w:id="5" w:name="_Toc1891"/>
      <w:bookmarkStart w:id="6" w:name="_Toc15542"/>
      <w:bookmarkStart w:id="7" w:name="_Toc14721"/>
      <w:bookmarkStart w:id="8" w:name="_Toc11827"/>
      <w:bookmarkStart w:id="9" w:name="_Toc18707"/>
      <w:bookmarkStart w:id="10" w:name="_Toc5473"/>
      <w:r>
        <w:rPr>
          <w:rFonts w:ascii="宋体" w:eastAsia="宋体" w:hAnsi="宋体"/>
          <w:b/>
          <w:bCs/>
          <w:color w:val="auto"/>
          <w:sz w:val="32"/>
          <w:szCs w:val="32"/>
          <w:highlight w:val="none"/>
        </w:rPr>
        <w:t xml:space="preserve">目</w:t>
      </w:r>
      <w:r>
        <w:rPr>
          <w:rFonts w:ascii="宋体" w:eastAsia="宋体" w:hAnsi="宋体" w:hint="eastAsia"/>
          <w:b/>
          <w:bCs/>
          <w:color w:val="auto"/>
          <w:sz w:val="32"/>
          <w:szCs w:val="32"/>
          <w:highlight w:val="none"/>
          <w:lang w:val="en-US" w:eastAsia="zh-CN"/>
        </w:rPr>
        <w:t xml:space="preserve">  </w:t>
      </w:r>
      <w:r>
        <w:rPr>
          <w:rFonts w:ascii="宋体" w:eastAsia="宋体" w:hAnsi="宋体"/>
          <w:b/>
          <w:bCs/>
          <w:color w:val="auto"/>
          <w:sz w:val="32"/>
          <w:szCs w:val="32"/>
          <w:highlight w:val="none"/>
        </w:rPr>
        <w:t xml:space="preserve">录</w:t>
      </w:r>
    </w:p>
    <w:p>
      <w:pPr>
        <w:pStyle w:val="WPSOffice手动目录1"/>
        <w:keepLines w:val="0"/>
        <w:pageBreakBefore w:val="0"/>
        <w:tabs>
          <w:tab w:val="right" w:leader="dot" w:pos="8306"/>
        </w:tabs>
        <w:kinsoku/>
        <w:wordWrap/>
        <w:overflowPunct/>
        <w:topLinePunct w:val="0"/>
        <w:autoSpaceDE/>
        <w:autoSpaceDN/>
        <w:bidi w:val="0"/>
        <w:adjustRightInd/>
        <w:snapToGrid/>
        <w:spacing w:line="580" w:lineRule="exact"/>
        <w:textAlignment w:val="auto"/>
        <w:rPr>
          <w:b/>
          <w:color w:val="auto"/>
          <w:sz w:val="32"/>
          <w:szCs w:val="32"/>
          <w:highlight w:val="none"/>
        </w:rPr>
      </w:pPr>
      <w:r>
        <w:rPr>
          <w:rFonts w:hint="default"/>
          <w:color w:val="auto"/>
          <w:sz w:val="32"/>
          <w:szCs w:val="32"/>
          <w:highlight w:val="none"/>
          <w:lang w:val="en-US" w:eastAsia="zh-CN"/>
        </w:rPr>
        <w:fldChar w:fldCharType="begin"/>
      </w:r>
      <w:r>
        <w:rPr>
          <w:rFonts w:hint="default"/>
          <w:color w:val="auto"/>
          <w:sz w:val="32"/>
          <w:szCs w:val="32"/>
          <w:highlight w:val="none"/>
          <w:lang w:val="en-US" w:eastAsia="zh-CN"/>
        </w:rPr>
        <w:instrText xml:space="preserve">TOC \o "1-2" \h \u</w:instrText>
      </w:r>
      <w:r>
        <w:rPr>
          <w:rFonts w:hint="default"/>
          <w:color w:val="auto"/>
          <w:sz w:val="32"/>
          <w:szCs w:val="32"/>
          <w:highlight w:val="none"/>
          <w:lang w:val="en-US" w:eastAsia="zh-CN"/>
        </w:rPr>
        <w:fldChar w:fldCharType="separate"/>
      </w:r>
    </w:p>
    <w:p>
      <w:pPr>
        <w:pStyle w:val="WPSOffice手动目录2"/>
        <w:keepLines w:val="0"/>
        <w:pageBreakBefore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color w:val="auto"/>
          <w:sz w:val="32"/>
          <w:szCs w:val="32"/>
          <w:highlight w:val="none"/>
        </w:rPr>
      </w:pPr>
      <w:hyperlink w:anchor="_Toc21641" w:history="1">
        <w:r>
          <w:rPr>
            <w:rStyle w:val="标题2字符"/>
            <w:rFonts w:hint="default"/>
            <w:color w:val="auto"/>
            <w:highlight w:val="none"/>
            <w:lang w:val="en-US" w:eastAsia="zh-CN"/>
          </w:rPr>
          <w:t xml:space="preserve">一、基本情况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_Toc21641 \h </w:instrText>
        </w:r>
        <w:r>
          <w:rPr>
            <w:color w:val="auto"/>
            <w:sz w:val="32"/>
            <w:szCs w:val="32"/>
            <w:highlight w:val="none"/>
          </w:rPr>
          <w:fldChar w:fldCharType="separate"/>
        </w:r>
        <w:r>
          <w:rPr>
            <w:color w:val="auto"/>
            <w:sz w:val="32"/>
            <w:szCs w:val="32"/>
            <w:highlight w:val="none"/>
          </w:rPr>
          <w:t xml:space="preserve">1</w:t>
        </w:r>
        <w:r>
          <w:rPr>
            <w:color w:val="auto"/>
            <w:sz w:val="32"/>
            <w:szCs w:val="32"/>
            <w:highlight w:val="none"/>
          </w:rPr>
          <w:fldChar w:fldCharType="end"/>
        </w:r>
      </w:hyperlink>
    </w:p>
    <w:p>
      <w:pPr>
        <w:pStyle w:val="WPSOffice手动目录2"/>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hyperlink w:anchor="_Toc31267" w:history="1">
        <w:r>
          <w:rPr>
            <w:rFonts w:ascii="Times New Roman" w:eastAsia="楷体" w:hAnsi="Times New Roman" w:cs="Times New Roman" w:hint="default"/>
            <w:color w:val="auto"/>
            <w:sz w:val="32"/>
            <w:szCs w:val="32"/>
            <w:highlight w:val="none"/>
          </w:rPr>
          <w:t xml:space="preserve">（一）项目概况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_Toc31267 \h </w:instrText>
        </w:r>
        <w:r>
          <w:rPr>
            <w:color w:val="auto"/>
            <w:sz w:val="32"/>
            <w:szCs w:val="32"/>
            <w:highlight w:val="none"/>
          </w:rPr>
          <w:fldChar w:fldCharType="separate"/>
        </w:r>
        <w:r>
          <w:rPr>
            <w:color w:val="auto"/>
            <w:sz w:val="32"/>
            <w:szCs w:val="32"/>
            <w:highlight w:val="none"/>
          </w:rPr>
          <w:t xml:space="preserve">1</w:t>
        </w:r>
        <w:r>
          <w:rPr>
            <w:color w:val="auto"/>
            <w:sz w:val="32"/>
            <w:szCs w:val="32"/>
            <w:highlight w:val="none"/>
          </w:rPr>
          <w:fldChar w:fldCharType="end"/>
        </w:r>
      </w:hyperlink>
    </w:p>
    <w:p>
      <w:pPr>
        <w:pStyle w:val="WPSOffice手动目录2"/>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hyperlink w:anchor="_Toc10600" w:history="1">
        <w:r>
          <w:rPr>
            <w:rFonts w:ascii="Times New Roman" w:eastAsia="楷体" w:hAnsi="Times New Roman" w:cs="Times New Roman" w:hint="default"/>
            <w:color w:val="auto"/>
            <w:sz w:val="32"/>
            <w:szCs w:val="32"/>
            <w:highlight w:val="none"/>
          </w:rPr>
          <w:t xml:space="preserve">（二）项目绩效目标</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_Toc10600 \h </w:instrText>
        </w:r>
        <w:r>
          <w:rPr>
            <w:color w:val="auto"/>
            <w:sz w:val="32"/>
            <w:szCs w:val="32"/>
            <w:highlight w:val="none"/>
          </w:rPr>
          <w:fldChar w:fldCharType="separate"/>
        </w:r>
        <w:r>
          <w:rPr>
            <w:color w:val="auto"/>
            <w:sz w:val="32"/>
            <w:szCs w:val="32"/>
            <w:highlight w:val="none"/>
          </w:rPr>
          <w:t xml:space="preserve">5</w:t>
        </w:r>
        <w:r>
          <w:rPr>
            <w:color w:val="auto"/>
            <w:sz w:val="32"/>
            <w:szCs w:val="32"/>
            <w:highlight w:val="none"/>
          </w:rPr>
          <w:fldChar w:fldCharType="end"/>
        </w:r>
      </w:hyperlink>
    </w:p>
    <w:p>
      <w:pPr>
        <w:pStyle w:val="WPSOffice手动目录2"/>
        <w:keepLines w:val="0"/>
        <w:pageBreakBefore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color w:val="auto"/>
          <w:sz w:val="32"/>
          <w:szCs w:val="32"/>
          <w:highlight w:val="none"/>
        </w:rPr>
      </w:pPr>
      <w:hyperlink w:anchor="_Toc9610" w:history="1">
        <w:r>
          <w:rPr>
            <w:rFonts w:ascii="Times New Roman" w:eastAsia="黑体" w:hAnsi="Times New Roman" w:cs="Times New Roman" w:hint="default"/>
            <w:color w:val="auto"/>
            <w:sz w:val="32"/>
            <w:szCs w:val="32"/>
            <w:highlight w:val="none"/>
          </w:rPr>
          <w:t xml:space="preserve">二、绩效评价工作开展情况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_Toc9610 \h </w:instrText>
        </w:r>
        <w:r>
          <w:rPr>
            <w:color w:val="auto"/>
            <w:sz w:val="32"/>
            <w:szCs w:val="32"/>
            <w:highlight w:val="none"/>
          </w:rPr>
          <w:fldChar w:fldCharType="separate"/>
        </w:r>
        <w:r>
          <w:rPr>
            <w:color w:val="auto"/>
            <w:sz w:val="32"/>
            <w:szCs w:val="32"/>
            <w:highlight w:val="none"/>
          </w:rPr>
          <w:t xml:space="preserve">6</w:t>
        </w:r>
        <w:r>
          <w:rPr>
            <w:color w:val="auto"/>
            <w:sz w:val="32"/>
            <w:szCs w:val="32"/>
            <w:highlight w:val="none"/>
          </w:rPr>
          <w:fldChar w:fldCharType="end"/>
        </w:r>
      </w:hyperlink>
    </w:p>
    <w:p>
      <w:pPr>
        <w:pStyle w:val="WPSOffice手动目录2"/>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hyperlink w:anchor="_Toc5312" w:history="1">
        <w:r>
          <w:rPr>
            <w:rFonts w:ascii="Times New Roman" w:eastAsia="楷体" w:hAnsi="Times New Roman" w:cs="Times New Roman" w:hint="default"/>
            <w:color w:val="auto"/>
            <w:sz w:val="32"/>
            <w:szCs w:val="32"/>
            <w:highlight w:val="none"/>
          </w:rPr>
          <w:t xml:space="preserve">（一）绩效评价目的、对象和范围</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_Toc5312 \h </w:instrText>
        </w:r>
        <w:r>
          <w:rPr>
            <w:color w:val="auto"/>
            <w:sz w:val="32"/>
            <w:szCs w:val="32"/>
            <w:highlight w:val="none"/>
          </w:rPr>
          <w:fldChar w:fldCharType="separate"/>
        </w:r>
        <w:r>
          <w:rPr>
            <w:color w:val="auto"/>
            <w:sz w:val="32"/>
            <w:szCs w:val="32"/>
            <w:highlight w:val="none"/>
          </w:rPr>
          <w:t xml:space="preserve">6</w:t>
        </w:r>
        <w:r>
          <w:rPr>
            <w:color w:val="auto"/>
            <w:sz w:val="32"/>
            <w:szCs w:val="32"/>
            <w:highlight w:val="none"/>
          </w:rPr>
          <w:fldChar w:fldCharType="end"/>
        </w:r>
      </w:hyperlink>
    </w:p>
    <w:p>
      <w:pPr>
        <w:pStyle w:val="WPSOffice手动目录2"/>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hyperlink w:anchor="_Toc22526" w:history="1">
        <w:r>
          <w:rPr>
            <w:rFonts w:ascii="楷体" w:eastAsia="楷体" w:hAnsi="楷体" w:cs="楷体" w:hint="eastAsia"/>
            <w:color w:val="auto"/>
            <w:sz w:val="32"/>
            <w:szCs w:val="32"/>
            <w:highlight w:val="none"/>
          </w:rPr>
          <w:t xml:space="preserve">（二）绩效评价原则、评价指标体系、评价方法、评价标准</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_Toc22526 \h </w:instrText>
        </w:r>
        <w:r>
          <w:rPr>
            <w:color w:val="auto"/>
            <w:sz w:val="32"/>
            <w:szCs w:val="32"/>
            <w:highlight w:val="none"/>
          </w:rPr>
          <w:fldChar w:fldCharType="separate"/>
        </w:r>
        <w:r>
          <w:rPr>
            <w:color w:val="auto"/>
            <w:sz w:val="32"/>
            <w:szCs w:val="32"/>
            <w:highlight w:val="none"/>
          </w:rPr>
          <w:t xml:space="preserve">8</w:t>
        </w:r>
        <w:r>
          <w:rPr>
            <w:color w:val="auto"/>
            <w:sz w:val="32"/>
            <w:szCs w:val="32"/>
            <w:highlight w:val="none"/>
          </w:rPr>
          <w:fldChar w:fldCharType="end"/>
        </w:r>
      </w:hyperlink>
    </w:p>
    <w:p>
      <w:pPr>
        <w:pStyle w:val="WPSOffice手动目录2"/>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hyperlink w:anchor="_Toc26775" w:history="1">
        <w:r>
          <w:rPr>
            <w:rFonts w:ascii="楷体" w:eastAsia="楷体" w:hAnsi="楷体" w:cs="楷体" w:hint="eastAsia"/>
            <w:color w:val="auto"/>
            <w:sz w:val="32"/>
            <w:szCs w:val="32"/>
            <w:highlight w:val="none"/>
          </w:rPr>
          <w:t xml:space="preserve">（三）绩效评价工作过程</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_Toc26775 \h </w:instrText>
        </w:r>
        <w:r>
          <w:rPr>
            <w:color w:val="auto"/>
            <w:sz w:val="32"/>
            <w:szCs w:val="32"/>
            <w:highlight w:val="none"/>
          </w:rPr>
          <w:fldChar w:fldCharType="separate"/>
        </w:r>
        <w:r>
          <w:rPr>
            <w:color w:val="auto"/>
            <w:sz w:val="32"/>
            <w:szCs w:val="32"/>
            <w:highlight w:val="none"/>
          </w:rPr>
          <w:t xml:space="preserve">11</w:t>
        </w:r>
        <w:r>
          <w:rPr>
            <w:color w:val="auto"/>
            <w:sz w:val="32"/>
            <w:szCs w:val="32"/>
            <w:highlight w:val="none"/>
          </w:rPr>
          <w:fldChar w:fldCharType="end"/>
        </w:r>
      </w:hyperlink>
    </w:p>
    <w:p>
      <w:pPr>
        <w:pStyle w:val="WPSOffice手动目录2"/>
        <w:keepLines w:val="0"/>
        <w:pageBreakBefore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color w:val="auto"/>
          <w:sz w:val="32"/>
          <w:szCs w:val="32"/>
          <w:highlight w:val="none"/>
        </w:rPr>
      </w:pPr>
      <w:hyperlink w:anchor="_Toc16639" w:history="1">
        <w:r>
          <w:rPr>
            <w:rFonts w:ascii="黑体" w:eastAsia="黑体" w:hAnsi="黑体" w:cs="黑体" w:hint="eastAsia"/>
            <w:color w:val="auto"/>
            <w:sz w:val="32"/>
            <w:szCs w:val="32"/>
            <w:highlight w:val="none"/>
          </w:rPr>
          <w:t xml:space="preserve">三、综合评价情况及评价结论</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_Toc16639 \h </w:instrText>
        </w:r>
        <w:r>
          <w:rPr>
            <w:color w:val="auto"/>
            <w:sz w:val="32"/>
            <w:szCs w:val="32"/>
            <w:highlight w:val="none"/>
          </w:rPr>
          <w:fldChar w:fldCharType="separate"/>
        </w:r>
        <w:r>
          <w:rPr>
            <w:color w:val="auto"/>
            <w:sz w:val="32"/>
            <w:szCs w:val="32"/>
            <w:highlight w:val="none"/>
          </w:rPr>
          <w:t xml:space="preserve">13</w:t>
        </w:r>
        <w:r>
          <w:rPr>
            <w:color w:val="auto"/>
            <w:sz w:val="32"/>
            <w:szCs w:val="32"/>
            <w:highlight w:val="none"/>
          </w:rPr>
          <w:fldChar w:fldCharType="end"/>
        </w:r>
      </w:hyperlink>
    </w:p>
    <w:p>
      <w:pPr>
        <w:pStyle w:val="WPSOffice手动目录2"/>
        <w:keepLines w:val="0"/>
        <w:pageBreakBefore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color w:val="auto"/>
          <w:sz w:val="32"/>
          <w:szCs w:val="32"/>
          <w:highlight w:val="none"/>
        </w:rPr>
      </w:pPr>
      <w:hyperlink w:anchor="_Toc2973" w:history="1">
        <w:r>
          <w:rPr>
            <w:rFonts w:ascii="黑体" w:eastAsia="黑体" w:hAnsi="黑体" w:cs="黑体" w:hint="eastAsia"/>
            <w:color w:val="auto"/>
            <w:sz w:val="32"/>
            <w:szCs w:val="32"/>
            <w:highlight w:val="none"/>
          </w:rPr>
          <w:t xml:space="preserve">四、绩效评价指标分析</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_Toc2973 \h </w:instrText>
        </w:r>
        <w:r>
          <w:rPr>
            <w:color w:val="auto"/>
            <w:sz w:val="32"/>
            <w:szCs w:val="32"/>
            <w:highlight w:val="none"/>
          </w:rPr>
          <w:fldChar w:fldCharType="separate"/>
        </w:r>
        <w:r>
          <w:rPr>
            <w:color w:val="auto"/>
            <w:sz w:val="32"/>
            <w:szCs w:val="32"/>
            <w:highlight w:val="none"/>
          </w:rPr>
          <w:t xml:space="preserve">14</w:t>
        </w:r>
        <w:r>
          <w:rPr>
            <w:color w:val="auto"/>
            <w:sz w:val="32"/>
            <w:szCs w:val="32"/>
            <w:highlight w:val="none"/>
          </w:rPr>
          <w:fldChar w:fldCharType="end"/>
        </w:r>
      </w:hyperlink>
    </w:p>
    <w:p>
      <w:pPr>
        <w:pStyle w:val="WPSOffice手动目录2"/>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hyperlink w:anchor="_Toc7706" w:history="1">
        <w:r>
          <w:rPr>
            <w:rFonts w:ascii="楷体" w:eastAsia="楷体" w:hAnsi="楷体" w:cs="楷体" w:hint="eastAsia"/>
            <w:color w:val="auto"/>
            <w:sz w:val="32"/>
            <w:szCs w:val="32"/>
            <w:highlight w:val="none"/>
          </w:rPr>
          <w:t xml:space="preserve">（一）项目决策情况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_Toc7706 \h </w:instrText>
        </w:r>
        <w:r>
          <w:rPr>
            <w:color w:val="auto"/>
            <w:sz w:val="32"/>
            <w:szCs w:val="32"/>
            <w:highlight w:val="none"/>
          </w:rPr>
          <w:fldChar w:fldCharType="separate"/>
        </w:r>
        <w:r>
          <w:rPr>
            <w:color w:val="auto"/>
            <w:sz w:val="32"/>
            <w:szCs w:val="32"/>
            <w:highlight w:val="none"/>
          </w:rPr>
          <w:t xml:space="preserve">14</w:t>
        </w:r>
        <w:r>
          <w:rPr>
            <w:color w:val="auto"/>
            <w:sz w:val="32"/>
            <w:szCs w:val="32"/>
            <w:highlight w:val="none"/>
          </w:rPr>
          <w:fldChar w:fldCharType="end"/>
        </w:r>
      </w:hyperlink>
    </w:p>
    <w:p>
      <w:pPr>
        <w:pStyle w:val="WPSOffice手动目录2"/>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hyperlink w:anchor="_Toc28165" w:history="1">
        <w:r>
          <w:rPr>
            <w:rFonts w:ascii="黑体" w:eastAsia="黑体" w:hAnsi="黑体" w:cs="黑体" w:hint="eastAsia"/>
            <w:color w:val="auto"/>
            <w:sz w:val="32"/>
            <w:szCs w:val="32"/>
            <w:highlight w:val="none"/>
          </w:rPr>
          <w:t xml:space="preserve">（</w:t>
        </w:r>
        <w:r>
          <w:rPr>
            <w:rFonts w:ascii="楷体" w:eastAsia="楷体" w:hAnsi="楷体" w:cs="楷体" w:hint="eastAsia"/>
            <w:color w:val="auto"/>
            <w:sz w:val="32"/>
            <w:szCs w:val="32"/>
            <w:highlight w:val="none"/>
          </w:rPr>
          <w:t xml:space="preserve">二）项目过程情况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_Toc28165 \h </w:instrText>
        </w:r>
        <w:r>
          <w:rPr>
            <w:color w:val="auto"/>
            <w:sz w:val="32"/>
            <w:szCs w:val="32"/>
            <w:highlight w:val="none"/>
          </w:rPr>
          <w:fldChar w:fldCharType="separate"/>
        </w:r>
        <w:r>
          <w:rPr>
            <w:color w:val="auto"/>
            <w:sz w:val="32"/>
            <w:szCs w:val="32"/>
            <w:highlight w:val="none"/>
          </w:rPr>
          <w:t xml:space="preserve">17</w:t>
        </w:r>
        <w:r>
          <w:rPr>
            <w:color w:val="auto"/>
            <w:sz w:val="32"/>
            <w:szCs w:val="32"/>
            <w:highlight w:val="none"/>
          </w:rPr>
          <w:fldChar w:fldCharType="end"/>
        </w:r>
      </w:hyperlink>
    </w:p>
    <w:p>
      <w:pPr>
        <w:pStyle w:val="WPSOffice手动目录2"/>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hyperlink w:anchor="_Toc8652" w:history="1">
        <w:r>
          <w:rPr>
            <w:rFonts w:ascii="楷体" w:eastAsia="楷体" w:hAnsi="楷体" w:cs="楷体" w:hint="eastAsia"/>
            <w:color w:val="auto"/>
            <w:sz w:val="32"/>
            <w:szCs w:val="32"/>
            <w:highlight w:val="none"/>
          </w:rPr>
          <w:t xml:space="preserve">（三）项目产出情况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_Toc8652 \h </w:instrText>
        </w:r>
        <w:r>
          <w:rPr>
            <w:color w:val="auto"/>
            <w:sz w:val="32"/>
            <w:szCs w:val="32"/>
            <w:highlight w:val="none"/>
          </w:rPr>
          <w:fldChar w:fldCharType="separate"/>
        </w:r>
        <w:r>
          <w:rPr>
            <w:color w:val="auto"/>
            <w:sz w:val="32"/>
            <w:szCs w:val="32"/>
            <w:highlight w:val="none"/>
          </w:rPr>
          <w:t xml:space="preserve">18</w:t>
        </w:r>
        <w:r>
          <w:rPr>
            <w:color w:val="auto"/>
            <w:sz w:val="32"/>
            <w:szCs w:val="32"/>
            <w:highlight w:val="none"/>
          </w:rPr>
          <w:fldChar w:fldCharType="end"/>
        </w:r>
      </w:hyperlink>
    </w:p>
    <w:p>
      <w:pPr>
        <w:pStyle w:val="WPSOffice手动目录2"/>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hyperlink w:anchor="_Toc11983" w:history="1">
        <w:r>
          <w:rPr>
            <w:rFonts w:ascii="楷体" w:eastAsia="楷体" w:hAnsi="楷体" w:cs="楷体" w:hint="eastAsia"/>
            <w:color w:val="auto"/>
            <w:sz w:val="32"/>
            <w:szCs w:val="32"/>
            <w:highlight w:val="none"/>
          </w:rPr>
          <w:t xml:space="preserve">（四）项目效益情况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_Toc11983 \h </w:instrText>
        </w:r>
        <w:r>
          <w:rPr>
            <w:color w:val="auto"/>
            <w:sz w:val="32"/>
            <w:szCs w:val="32"/>
            <w:highlight w:val="none"/>
          </w:rPr>
          <w:fldChar w:fldCharType="separate"/>
        </w:r>
        <w:r>
          <w:rPr>
            <w:color w:val="auto"/>
            <w:sz w:val="32"/>
            <w:szCs w:val="32"/>
            <w:highlight w:val="none"/>
          </w:rPr>
          <w:t xml:space="preserve">19</w:t>
        </w:r>
        <w:r>
          <w:rPr>
            <w:color w:val="auto"/>
            <w:sz w:val="32"/>
            <w:szCs w:val="32"/>
            <w:highlight w:val="none"/>
          </w:rPr>
          <w:fldChar w:fldCharType="end"/>
        </w:r>
      </w:hyperlink>
    </w:p>
    <w:p>
      <w:pPr>
        <w:pStyle w:val="WPSOffice手动目录2"/>
        <w:keepLines w:val="0"/>
        <w:pageBreakBefore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color w:val="auto"/>
          <w:sz w:val="32"/>
          <w:szCs w:val="32"/>
          <w:highlight w:val="none"/>
        </w:rPr>
      </w:pPr>
      <w:hyperlink w:anchor="_Toc5616" w:history="1">
        <w:r>
          <w:rPr>
            <w:rFonts w:ascii="黑体" w:eastAsia="黑体" w:hAnsi="黑体" w:cs="黑体" w:hint="eastAsia"/>
            <w:color w:val="auto"/>
            <w:sz w:val="32"/>
            <w:szCs w:val="32"/>
            <w:highlight w:val="none"/>
          </w:rPr>
          <w:t xml:space="preserve">五、主要经验及做法、存在的问题及原因分析</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_Toc5616 \h </w:instrText>
        </w:r>
        <w:r>
          <w:rPr>
            <w:color w:val="auto"/>
            <w:sz w:val="32"/>
            <w:szCs w:val="32"/>
            <w:highlight w:val="none"/>
          </w:rPr>
          <w:fldChar w:fldCharType="separate"/>
        </w:r>
        <w:r>
          <w:rPr>
            <w:color w:val="auto"/>
            <w:sz w:val="32"/>
            <w:szCs w:val="32"/>
            <w:highlight w:val="none"/>
          </w:rPr>
          <w:t xml:space="preserve">20</w:t>
        </w:r>
        <w:r>
          <w:rPr>
            <w:color w:val="auto"/>
            <w:sz w:val="32"/>
            <w:szCs w:val="32"/>
            <w:highlight w:val="none"/>
          </w:rPr>
          <w:fldChar w:fldCharType="end"/>
        </w:r>
      </w:hyperlink>
    </w:p>
    <w:p>
      <w:pPr>
        <w:pStyle w:val="WPSOffice手动目录2"/>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hyperlink w:anchor="_Toc24709" w:history="1">
        <w:r>
          <w:rPr>
            <w:rFonts w:ascii="楷体" w:eastAsia="楷体" w:hAnsi="楷体" w:cs="楷体" w:hint="eastAsia"/>
            <w:color w:val="auto"/>
            <w:sz w:val="32"/>
            <w:szCs w:val="32"/>
            <w:highlight w:val="none"/>
          </w:rPr>
          <w:t xml:space="preserve">（一）主要经验及做法</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_Toc24709 \h </w:instrText>
        </w:r>
        <w:r>
          <w:rPr>
            <w:color w:val="auto"/>
            <w:sz w:val="32"/>
            <w:szCs w:val="32"/>
            <w:highlight w:val="none"/>
          </w:rPr>
          <w:fldChar w:fldCharType="separate"/>
        </w:r>
        <w:r>
          <w:rPr>
            <w:color w:val="auto"/>
            <w:sz w:val="32"/>
            <w:szCs w:val="32"/>
            <w:highlight w:val="none"/>
          </w:rPr>
          <w:t xml:space="preserve">20</w:t>
        </w:r>
        <w:r>
          <w:rPr>
            <w:color w:val="auto"/>
            <w:sz w:val="32"/>
            <w:szCs w:val="32"/>
            <w:highlight w:val="none"/>
          </w:rPr>
          <w:fldChar w:fldCharType="end"/>
        </w:r>
      </w:hyperlink>
    </w:p>
    <w:p>
      <w:pPr>
        <w:pStyle w:val="WPSOffice手动目录2"/>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hyperlink w:anchor="_Toc16779" w:history="1">
        <w:r>
          <w:rPr>
            <w:rFonts w:ascii="楷体" w:eastAsia="楷体" w:hAnsi="楷体" w:cs="楷体" w:hint="eastAsia"/>
            <w:color w:val="auto"/>
            <w:sz w:val="32"/>
            <w:szCs w:val="32"/>
            <w:highlight w:val="none"/>
          </w:rPr>
          <w:t xml:space="preserve">（二）存在的问题及分析</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_Toc16779 \h </w:instrText>
        </w:r>
        <w:r>
          <w:rPr>
            <w:color w:val="auto"/>
            <w:sz w:val="32"/>
            <w:szCs w:val="32"/>
            <w:highlight w:val="none"/>
          </w:rPr>
          <w:fldChar w:fldCharType="separate"/>
        </w:r>
        <w:r>
          <w:rPr>
            <w:color w:val="auto"/>
            <w:sz w:val="32"/>
            <w:szCs w:val="32"/>
            <w:highlight w:val="none"/>
          </w:rPr>
          <w:t xml:space="preserve">21</w:t>
        </w:r>
        <w:r>
          <w:rPr>
            <w:color w:val="auto"/>
            <w:sz w:val="32"/>
            <w:szCs w:val="32"/>
            <w:highlight w:val="none"/>
          </w:rPr>
          <w:fldChar w:fldCharType="end"/>
        </w:r>
      </w:hyperlink>
    </w:p>
    <w:p>
      <w:pPr>
        <w:pStyle w:val="WPSOffice手动目录2"/>
        <w:keepLines w:val="0"/>
        <w:pageBreakBefore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color w:val="auto"/>
          <w:sz w:val="32"/>
          <w:szCs w:val="32"/>
          <w:highlight w:val="none"/>
        </w:rPr>
      </w:pPr>
      <w:hyperlink w:anchor="_Toc23062" w:history="1">
        <w:r>
          <w:rPr>
            <w:rFonts w:ascii="黑体" w:eastAsia="黑体" w:hAnsi="黑体" w:cs="黑体" w:hint="eastAsia"/>
            <w:color w:val="auto"/>
            <w:sz w:val="32"/>
            <w:szCs w:val="32"/>
            <w:highlight w:val="none"/>
          </w:rPr>
          <w:t xml:space="preserve">六、有关建议</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_Toc23062 \h </w:instrText>
        </w:r>
        <w:r>
          <w:rPr>
            <w:color w:val="auto"/>
            <w:sz w:val="32"/>
            <w:szCs w:val="32"/>
            <w:highlight w:val="none"/>
          </w:rPr>
          <w:fldChar w:fldCharType="separate"/>
        </w:r>
        <w:r>
          <w:rPr>
            <w:color w:val="auto"/>
            <w:sz w:val="32"/>
            <w:szCs w:val="32"/>
            <w:highlight w:val="none"/>
          </w:rPr>
          <w:t xml:space="preserve">21</w:t>
        </w:r>
        <w:r>
          <w:rPr>
            <w:color w:val="auto"/>
            <w:sz w:val="32"/>
            <w:szCs w:val="32"/>
            <w:highlight w:val="none"/>
          </w:rPr>
          <w:fldChar w:fldCharType="end"/>
        </w:r>
      </w:hyperlink>
    </w:p>
    <w:p>
      <w:pPr>
        <w:pStyle w:val="WPSOffice手动目录2"/>
        <w:keepLines w:val="0"/>
        <w:pageBreakBefore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color w:val="auto"/>
          <w:sz w:val="32"/>
          <w:szCs w:val="32"/>
          <w:highlight w:val="none"/>
        </w:rPr>
      </w:pPr>
      <w:hyperlink w:anchor="_Toc9170" w:history="1">
        <w:r>
          <w:rPr>
            <w:rFonts w:ascii="黑体" w:eastAsia="黑体" w:hAnsi="黑体" w:cs="黑体" w:hint="default"/>
            <w:bCs/>
            <w:iCs/>
            <w:color w:val="auto"/>
            <w:sz w:val="32"/>
            <w:szCs w:val="32"/>
            <w:highlight w:val="none"/>
          </w:rPr>
          <w:t xml:space="preserve">七、其他需要说明的问题</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_Toc9170 \h </w:instrText>
        </w:r>
        <w:r>
          <w:rPr>
            <w:color w:val="auto"/>
            <w:sz w:val="32"/>
            <w:szCs w:val="32"/>
            <w:highlight w:val="none"/>
          </w:rPr>
          <w:fldChar w:fldCharType="separate"/>
        </w:r>
        <w:r>
          <w:rPr>
            <w:color w:val="auto"/>
            <w:sz w:val="32"/>
            <w:szCs w:val="32"/>
            <w:highlight w:val="none"/>
          </w:rPr>
          <w:t xml:space="preserve">22</w:t>
        </w:r>
        <w:r>
          <w:rPr>
            <w:color w:val="auto"/>
            <w:sz w:val="32"/>
            <w:szCs w:val="32"/>
            <w:highlight w:val="none"/>
          </w:rPr>
          <w:fldChar w:fldCharType="end"/>
        </w:r>
      </w:hyperlink>
    </w:p>
    <w:p>
      <w:pPr>
        <w:pStyle w:val="WPSOffice手动目录2"/>
        <w:keepLines w:val="0"/>
        <w:pageBreakBefore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color w:val="auto"/>
          <w:sz w:val="32"/>
          <w:szCs w:val="32"/>
          <w:highlight w:val="none"/>
        </w:rPr>
      </w:pPr>
      <w:hyperlink w:anchor="_Toc31222" w:history="1">
        <w:r>
          <w:rPr>
            <w:rFonts w:ascii="黑体" w:eastAsia="黑体" w:hAnsi="黑体" w:cs="黑体" w:hint="default"/>
            <w:bCs/>
            <w:iCs/>
            <w:color w:val="auto"/>
            <w:sz w:val="32"/>
            <w:szCs w:val="32"/>
            <w:highlight w:val="none"/>
          </w:rPr>
          <w:t xml:space="preserve">八、附件</w:t>
        </w:r>
        <w:r>
          <w:rPr>
            <w:rFonts w:ascii="Times New Roman" w:eastAsia="仿宋_GB2312" w:hAnsi="Times New Roman" w:cs="Times New Roman" w:hint="default"/>
            <w:color w:val="auto"/>
            <w:sz w:val="32"/>
            <w:szCs w:val="32"/>
            <w:highlight w:val="none"/>
          </w:rPr>
          <w:t xml:space="preserve">项目支出绩效自评表</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_Toc31222 \h </w:instrText>
        </w:r>
        <w:r>
          <w:rPr>
            <w:color w:val="auto"/>
            <w:sz w:val="32"/>
            <w:szCs w:val="32"/>
            <w:highlight w:val="none"/>
          </w:rPr>
          <w:fldChar w:fldCharType="separate"/>
        </w:r>
        <w:r>
          <w:rPr>
            <w:color w:val="auto"/>
            <w:sz w:val="32"/>
            <w:szCs w:val="32"/>
            <w:highlight w:val="none"/>
          </w:rPr>
          <w:t xml:space="preserve">22</w:t>
        </w:r>
        <w:r>
          <w:rPr>
            <w:color w:val="auto"/>
            <w:sz w:val="32"/>
            <w:szCs w:val="32"/>
            <w:highlight w:val="none"/>
          </w:rPr>
          <w:fldChar w:fldCharType="end"/>
        </w:r>
      </w:hyperlink>
    </w:p>
    <w:p>
      <w:pPr>
        <w:pStyle w:val="WPSOffice手动目录2"/>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hyperlink w:anchor="_Toc21805" w:history="1">
        <w:r>
          <w:rPr>
            <w:rFonts w:ascii="Times New Roman" w:eastAsia="仿宋_GB2312" w:hAnsi="Times New Roman" w:cs="Times New Roman" w:hint="default"/>
            <w:bCs/>
            <w:iCs/>
            <w:color w:val="auto"/>
            <w:sz w:val="32"/>
            <w:szCs w:val="32"/>
            <w:highlight w:val="none"/>
          </w:rPr>
          <w:t xml:space="preserve">附件1：</w:t>
        </w:r>
        <w:r>
          <w:rPr>
            <w:rFonts w:ascii="Times New Roman" w:eastAsia="仿宋_GB2312" w:hAnsi="Times New Roman" w:cs="Times New Roman" w:hint="default"/>
            <w:color w:val="auto"/>
            <w:sz w:val="32"/>
            <w:szCs w:val="32"/>
            <w:highlight w:val="none"/>
          </w:rPr>
          <w:t xml:space="preserve">项目支出绩效自评表</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_Toc21805 \h </w:instrText>
        </w:r>
        <w:r>
          <w:rPr>
            <w:color w:val="auto"/>
            <w:sz w:val="32"/>
            <w:szCs w:val="32"/>
            <w:highlight w:val="none"/>
          </w:rPr>
          <w:fldChar w:fldCharType="separate"/>
        </w:r>
        <w:r>
          <w:rPr>
            <w:color w:val="auto"/>
            <w:sz w:val="32"/>
            <w:szCs w:val="32"/>
            <w:highlight w:val="none"/>
          </w:rPr>
          <w:t xml:space="preserve">23</w:t>
        </w:r>
        <w:r>
          <w:rPr>
            <w:color w:val="auto"/>
            <w:sz w:val="32"/>
            <w:szCs w:val="32"/>
            <w:highlight w:val="none"/>
          </w:rPr>
          <w:fldChar w:fldCharType="end"/>
        </w:r>
      </w:hyperlink>
    </w:p>
    <w:p>
      <w:pPr>
        <w:pStyle w:val="WPSOffice手动目录1"/>
        <w:keepLines w:val="0"/>
        <w:pageBreakBefore w:val="0"/>
        <w:tabs>
          <w:tab w:val="right" w:leader="dot" w:pos="8306"/>
        </w:tabs>
        <w:kinsoku/>
        <w:wordWrap/>
        <w:overflowPunct/>
        <w:topLinePunct w:val="0"/>
        <w:autoSpaceDE/>
        <w:autoSpaceDN/>
        <w:bidi w:val="0"/>
        <w:adjustRightInd/>
        <w:snapToGrid/>
        <w:spacing w:line="580" w:lineRule="exact"/>
        <w:ind w:firstLine="640" w:firstLineChars="200"/>
        <w:textAlignment w:val="auto"/>
        <w:rPr>
          <w:rFonts w:ascii="Times New Roman" w:eastAsia="仿宋_GB2312" w:hAnsi="Times New Roman" w:cs="Times New Roman" w:hint="default"/>
          <w:bCs/>
          <w:iCs/>
          <w:color w:val="auto"/>
          <w:sz w:val="32"/>
          <w:szCs w:val="32"/>
          <w:highlight w:val="none"/>
        </w:rPr>
      </w:pPr>
      <w:hyperlink w:anchor="_Toc28010" w:history="1">
        <w:r>
          <w:rPr>
            <w:rFonts w:ascii="Times New Roman" w:eastAsia="仿宋_GB2312" w:hAnsi="Times New Roman" w:cs="Times New Roman" w:hint="default"/>
            <w:bCs/>
            <w:iCs/>
            <w:color w:val="auto"/>
            <w:sz w:val="32"/>
            <w:szCs w:val="32"/>
            <w:highlight w:val="none"/>
            <w:lang w:val="en-US" w:eastAsia="zh-CN"/>
          </w:rPr>
          <w:t xml:space="preserve">附件2：项目支出绩效评价指标体系及评分</w:t>
        </w:r>
        <w:r>
          <w:rPr>
            <w:rFonts w:ascii="Times New Roman" w:eastAsia="仿宋_GB2312" w:hAnsi="Times New Roman" w:cs="Times New Roman" w:hint="default"/>
            <w:bCs/>
            <w:iCs/>
            <w:color w:val="auto"/>
            <w:sz w:val="32"/>
            <w:szCs w:val="32"/>
            <w:highlight w:val="none"/>
          </w:rPr>
          <w:tab/>
        </w:r>
        <w:r>
          <w:rPr>
            <w:rFonts w:ascii="Times New Roman" w:eastAsia="仿宋_GB2312" w:hAnsi="Times New Roman" w:cs="Times New Roman" w:hint="default"/>
            <w:bCs/>
            <w:iCs/>
            <w:color w:val="auto"/>
            <w:sz w:val="32"/>
            <w:szCs w:val="32"/>
            <w:highlight w:val="none"/>
          </w:rPr>
          <w:fldChar w:fldCharType="begin"/>
        </w:r>
        <w:r>
          <w:rPr>
            <w:rFonts w:ascii="Times New Roman" w:eastAsia="仿宋_GB2312" w:hAnsi="Times New Roman" w:cs="Times New Roman" w:hint="default"/>
            <w:bCs/>
            <w:iCs/>
            <w:color w:val="auto"/>
            <w:sz w:val="32"/>
            <w:szCs w:val="32"/>
            <w:highlight w:val="none"/>
          </w:rPr>
          <w:instrText xml:space="preserve"> PAGEREF _Toc28010 \h </w:instrText>
        </w:r>
        <w:r>
          <w:rPr>
            <w:rFonts w:ascii="Times New Roman" w:eastAsia="仿宋_GB2312" w:hAnsi="Times New Roman" w:cs="Times New Roman" w:hint="default"/>
            <w:bCs/>
            <w:iCs/>
            <w:color w:val="auto"/>
            <w:sz w:val="32"/>
            <w:szCs w:val="32"/>
            <w:highlight w:val="none"/>
          </w:rPr>
          <w:fldChar w:fldCharType="separate"/>
        </w:r>
        <w:r>
          <w:rPr>
            <w:rFonts w:ascii="Times New Roman" w:eastAsia="仿宋_GB2312" w:hAnsi="Times New Roman" w:cs="Times New Roman" w:hint="default"/>
            <w:bCs/>
            <w:iCs/>
            <w:color w:val="auto"/>
            <w:sz w:val="32"/>
            <w:szCs w:val="32"/>
            <w:highlight w:val="none"/>
          </w:rPr>
          <w:t xml:space="preserve">25</w:t>
        </w:r>
        <w:r>
          <w:rPr>
            <w:rFonts w:ascii="Times New Roman" w:eastAsia="仿宋_GB2312" w:hAnsi="Times New Roman" w:cs="Times New Roman" w:hint="default"/>
            <w:bCs/>
            <w:iCs/>
            <w:color w:val="auto"/>
            <w:sz w:val="32"/>
            <w:szCs w:val="32"/>
            <w:highlight w:val="none"/>
          </w:rPr>
          <w:fldChar w:fldCharType="end"/>
        </w:r>
      </w:hyperlink>
    </w:p>
    <w:p>
      <w:pPr>
        <w:pStyle w:val="WPSOffice手动目录1"/>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Times New Roman" w:eastAsia="仿宋_GB2312" w:hAnsi="Times New Roman" w:cs="Times New Roman" w:hint="default"/>
          <w:bCs/>
          <w:iCs/>
          <w:color w:val="auto"/>
          <w:sz w:val="32"/>
          <w:szCs w:val="32"/>
          <w:highlight w:val="none"/>
        </w:rPr>
        <w:sectPr>
          <w:footerReference w:type="default" r:id="rId3"/>
          <w:pgSz w:w="11906" w:h="16838" w:orient="portrait"/>
          <w:pgMar w:top="1440" w:right="1800" w:bottom="1440" w:left="1800" w:header="851" w:footer="992" w:gutter="0"/>
          <w:pgBorders/>
          <w:pgNumType w:fmt="decimal" w:start="1"/>
          <w:cols w:num="1" w:space="720">
            <w:col w:w="8306" w:space="720"/>
          </w:cols>
          <w:docGrid w:type="lines" w:linePitch="312" w:charSpace="0"/>
        </w:sectPr>
      </w:pPr>
    </w:p>
    <w:p>
      <w:pPr>
        <w:pStyle w:val="WPSOffice手动目录1"/>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Times New Roman" w:eastAsia="仿宋_GB2312" w:hAnsi="Times New Roman" w:cs="Times New Roman" w:hint="default"/>
          <w:bCs/>
          <w:iCs/>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80" w:lineRule="exact"/>
        <w:ind w:left="0" w:firstLine="0" w:leftChars="0" w:firstLineChars="0"/>
        <w:textAlignment w:val="auto"/>
        <w:outlineLvl w:val="0"/>
        <w:rPr>
          <w:rStyle w:val="标题2字符"/>
          <w:rFonts w:hint="default"/>
          <w:color w:val="auto"/>
          <w:highlight w:val="none"/>
          <w:lang w:val="en-US" w:eastAsia="zh-CN"/>
        </w:rPr>
      </w:pPr>
      <w:r>
        <w:rPr>
          <w:rFonts w:hint="default"/>
          <w:b/>
          <w:color w:val="auto"/>
          <w:sz w:val="32"/>
          <w:szCs w:val="32"/>
          <w:highlight w:val="none"/>
          <w:lang w:val="en-US" w:eastAsia="zh-CN"/>
        </w:rPr>
        <w:fldChar w:fldCharType="end"/>
      </w:r>
      <w:bookmarkStart w:id="11" w:name="_Toc21641"/>
      <w:bookmarkStart w:id="12" w:name="_Toc20380"/>
      <w:r>
        <w:rPr>
          <w:rFonts w:hint="eastAsia"/>
          <w:b/>
          <w:color w:val="auto"/>
          <w:sz w:val="32"/>
          <w:szCs w:val="32"/>
          <w:highlight w:val="none"/>
          <w:lang w:val="en-US" w:eastAsia="zh-CN"/>
        </w:rPr>
        <w:t xml:space="preserve">   </w:t>
      </w:r>
      <w:r>
        <w:rPr>
          <w:rStyle w:val="标题2字符"/>
          <w:rFonts w:hint="default"/>
          <w:color w:val="auto"/>
          <w:highlight w:val="none"/>
          <w:lang w:val="en-US" w:eastAsia="zh-CN"/>
        </w:rPr>
        <w:t xml:space="preserve">一、基本情况</w:t>
      </w:r>
      <w:bookmarkEnd w:id="5"/>
      <w:bookmarkEnd w:id="6"/>
      <w:bookmarkEnd w:id="7"/>
      <w:bookmarkEnd w:id="8"/>
      <w:bookmarkEnd w:id="9"/>
      <w:bookmarkEnd w:id="10"/>
      <w:bookmarkEnd w:id="11"/>
      <w:bookmarkEnd w:id="12"/>
      <w:bookmarkStart w:id="13" w:name="_Toc27593"/>
    </w:p>
    <w:p>
      <w:pPr>
        <w:pStyle w:val="Heading3"/>
        <w:bidi w:val="0"/>
        <w:jc w:val="both"/>
        <w:outlineLvl w:val="1"/>
        <w:rPr>
          <w:rFonts w:ascii="Times New Roman" w:eastAsia="楷体" w:hAnsi="Times New Roman" w:cs="Times New Roman" w:hint="default"/>
          <w:color w:val="auto"/>
          <w:highlight w:val="none"/>
        </w:rPr>
      </w:pPr>
      <w:bookmarkStart w:id="14" w:name="_Toc31267"/>
      <w:bookmarkStart w:id="15" w:name="_Toc4187"/>
      <w:bookmarkStart w:id="16" w:name="_Toc9236"/>
      <w:bookmarkStart w:id="17" w:name="_Toc24706"/>
      <w:bookmarkStart w:id="18" w:name="_Toc24048"/>
      <w:bookmarkStart w:id="19" w:name="_Toc26183"/>
      <w:r>
        <w:rPr>
          <w:rFonts w:ascii="Times New Roman" w:eastAsia="楷体" w:hAnsi="Times New Roman" w:cs="Times New Roman" w:hint="default"/>
          <w:color w:val="auto"/>
          <w:highlight w:val="none"/>
        </w:rPr>
        <w:t xml:space="preserve">（一）项目概况</w:t>
      </w:r>
      <w:bookmarkEnd w:id="13"/>
      <w:bookmarkEnd w:id="14"/>
      <w:bookmarkEnd w:id="15"/>
      <w:bookmarkEnd w:id="16"/>
      <w:bookmarkEnd w:id="17"/>
      <w:bookmarkEnd w:id="18"/>
      <w:bookmarkEnd w:id="19"/>
    </w:p>
    <w:p>
      <w:pPr>
        <w:bidi w:val="0"/>
        <w:jc w:val="both"/>
        <w:rPr>
          <w:rFonts w:ascii="Times New Roman" w:eastAsia="仿宋_GB2312" w:hAnsi="Times New Roman" w:cs="Times New Roman" w:hint="default"/>
          <w:b/>
          <w:bCs/>
          <w:color w:val="auto"/>
          <w:highlight w:val="none"/>
        </w:rPr>
      </w:pPr>
      <w:bookmarkStart w:id="20" w:name="_Toc19984"/>
      <w:bookmarkStart w:id="21" w:name="_Toc11427"/>
      <w:r>
        <w:rPr>
          <w:rFonts w:ascii="Times New Roman" w:eastAsia="仿宋_GB2312" w:hAnsi="Times New Roman" w:cs="Times New Roman" w:hint="default"/>
          <w:b/>
          <w:bCs/>
          <w:color w:val="auto"/>
          <w:highlight w:val="none"/>
        </w:rPr>
        <w:t xml:space="preserve">1.项目背景</w:t>
      </w:r>
      <w:bookmarkEnd w:id="20"/>
      <w:bookmarkEnd w:id="21"/>
    </w:p>
    <w:p>
      <w:pPr>
        <w:bidi w:val="0"/>
        <w:jc w:val="both"/>
        <w:rPr>
          <w:rFonts w:ascii="Times New Roman" w:hAnsi="Times New Roman" w:cs="Times New Roman" w:hint="default"/>
          <w:color w:val="auto"/>
          <w:highlight w:val="none"/>
          <w:lang w:val="en-US" w:eastAsia="zh-CN"/>
        </w:rPr>
      </w:pPr>
      <w:bookmarkStart w:id="22" w:name="_Toc22216"/>
      <w:bookmarkStart w:id="23" w:name="_Toc22079"/>
      <w:r>
        <w:rPr>
          <w:rFonts w:ascii="Times New Roman" w:hAnsi="Times New Roman" w:cs="Times New Roman" w:hint="default"/>
          <w:color w:val="auto"/>
          <w:highlight w:val="none"/>
          <w:lang w:val="en-US" w:eastAsia="zh-CN"/>
        </w:rPr>
        <w:t xml:space="preserve">近年来，内地来尉犁县投资的客商络绎不绝，尉犁县也同全疆一样迎来了大开发、大建设、大发展历史性机遇。随着产业结构调整和升级步伐的加快，内地有很多产业已经向中西部地区转移，为尉犁县工业园招</w:t>
      </w:r>
      <w:r>
        <w:rPr>
          <w:rFonts w:ascii="Times New Roman" w:hAnsi="Times New Roman" w:cs="Times New Roman" w:hint="default"/>
          <w:color w:val="auto"/>
          <w:highlight w:val="none"/>
          <w:lang w:val="en-US" w:eastAsia="zh-CN"/>
        </w:rPr>
        <w:t xml:space="preserve">招商引资</w:t>
      </w:r>
      <w:r>
        <w:rPr>
          <w:rFonts w:ascii="Times New Roman" w:hAnsi="Times New Roman" w:cs="Times New Roman" w:hint="default"/>
          <w:color w:val="auto"/>
          <w:highlight w:val="none"/>
          <w:lang w:val="en-US" w:eastAsia="zh-CN"/>
        </w:rPr>
        <w:t xml:space="preserve">、承接产业转移提供良好机遇。尉犁县土地、矿产、农产品资源丰富，为实施优势资源转换战略、加快工业发展提供了机遇。</w:t>
      </w:r>
    </w:p>
    <w:p>
      <w:pPr>
        <w:bidi w:val="0"/>
        <w:jc w:val="both"/>
        <w:rPr>
          <w:rFonts w:ascii="Times New Roman" w:hAnsi="Times New Roman" w:cs="Times New Roman" w:hint="default"/>
          <w:color w:val="auto"/>
          <w:highlight w:val="none"/>
          <w:lang w:val="en-US" w:eastAsia="zh-CN"/>
        </w:rPr>
      </w:pPr>
      <w:r>
        <w:rPr>
          <w:rFonts w:ascii="Times New Roman" w:hAnsi="Times New Roman" w:cs="Times New Roman" w:hint="default"/>
          <w:color w:val="auto"/>
          <w:highlight w:val="none"/>
          <w:lang w:val="en-US" w:eastAsia="zh-CN"/>
        </w:rPr>
        <w:t xml:space="preserve">随着县城城镇化进程逐渐加快，环境总体上有所好转，市政污废水污染也得到一定控制。但是现状尉犁县污水处理设施简陋，处理能力和功能有限，出水水质仅达到国家污水厂污染物综合排放标准的二级标准，污水处理后的水质已经不符合国家环保部门的要求</w:t>
      </w:r>
      <w:r>
        <w:rPr>
          <w:rFonts w:ascii="Times New Roman" w:hAnsi="Times New Roman" w:cs="Times New Roman" w:hint="eastAsia"/>
          <w:color w:val="auto"/>
          <w:highlight w:val="none"/>
          <w:lang w:val="en-US" w:eastAsia="zh-CN"/>
        </w:rPr>
        <w:t xml:space="preserve">（</w:t>
      </w:r>
      <w:r>
        <w:rPr>
          <w:rFonts w:ascii="Times New Roman" w:hAnsi="Times New Roman" w:cs="Times New Roman" w:hint="default"/>
          <w:color w:val="auto"/>
          <w:highlight w:val="none"/>
          <w:lang w:val="en-US" w:eastAsia="zh-CN"/>
        </w:rPr>
        <w:t xml:space="preserve">对城镇污水排放标准的要求已提高到一级A标准</w:t>
      </w:r>
      <w:r>
        <w:rPr>
          <w:rFonts w:ascii="Times New Roman" w:hAnsi="Times New Roman" w:cs="Times New Roman" w:hint="eastAsia"/>
          <w:color w:val="auto"/>
          <w:highlight w:val="none"/>
          <w:lang w:val="en-US" w:eastAsia="zh-CN"/>
        </w:rPr>
        <w:t xml:space="preserve">）</w:t>
      </w:r>
      <w:r>
        <w:rPr>
          <w:rFonts w:ascii="Times New Roman" w:hAnsi="Times New Roman" w:cs="Times New Roman" w:hint="default"/>
          <w:color w:val="auto"/>
          <w:highlight w:val="none"/>
          <w:lang w:val="en-US" w:eastAsia="zh-CN"/>
        </w:rPr>
        <w:t xml:space="preserve">，污水处理不到位污染周边环境，这种境况严重威胁着县城人民的健康和生活品质。若污水排放不达标的情况得不到有效解决，将会制约县城的综合发展及招商引资的条件。</w:t>
      </w:r>
    </w:p>
    <w:p>
      <w:pPr>
        <w:bidi w:val="0"/>
        <w:jc w:val="both"/>
        <w:rPr>
          <w:rFonts w:ascii="Times New Roman" w:hAnsi="Times New Roman" w:cs="Times New Roman" w:hint="default"/>
          <w:color w:val="auto"/>
          <w:highlight w:val="none"/>
          <w:lang w:val="en-US" w:eastAsia="zh-CN"/>
        </w:rPr>
      </w:pPr>
      <w:r>
        <w:rPr>
          <w:rFonts w:ascii="Times New Roman" w:hAnsi="Times New Roman" w:cs="Times New Roman" w:hint="default"/>
          <w:color w:val="auto"/>
          <w:highlight w:val="none"/>
          <w:lang w:val="en-US" w:eastAsia="zh-CN"/>
        </w:rPr>
        <w:t xml:space="preserve">基于上述考虑，为了满足城镇经济可持续发展和创造环境优美干净整洁的市容条件，县城急需新建一座安全可靠、工艺先进的二级污水处理厂，以解决县城污水污染的现状困境。《关于尉犁县城镇污水处理厂 </w:t>
      </w:r>
      <w:r>
        <w:rPr>
          <w:rFonts w:ascii="Times New Roman" w:hAnsi="Times New Roman" w:cs="Times New Roman" w:hint="eastAsia"/>
          <w:color w:val="auto"/>
          <w:highlight w:val="none"/>
          <w:lang w:val="en-US" w:eastAsia="zh-CN"/>
        </w:rPr>
        <w:t xml:space="preserve">（</w:t>
      </w:r>
      <w:r>
        <w:rPr>
          <w:rFonts w:ascii="Times New Roman" w:hAnsi="Times New Roman" w:cs="Times New Roman" w:hint="default"/>
          <w:color w:val="auto"/>
          <w:highlight w:val="none"/>
          <w:lang w:val="en-US" w:eastAsia="zh-CN"/>
        </w:rPr>
        <w:t xml:space="preserve">二期</w:t>
      </w:r>
      <w:r>
        <w:rPr>
          <w:rFonts w:ascii="Times New Roman" w:hAnsi="Times New Roman" w:cs="Times New Roman" w:hint="eastAsia"/>
          <w:color w:val="auto"/>
          <w:highlight w:val="none"/>
          <w:lang w:val="en-US" w:eastAsia="zh-CN"/>
        </w:rPr>
        <w:t xml:space="preserve">）</w:t>
      </w:r>
      <w:r>
        <w:rPr>
          <w:rFonts w:ascii="Times New Roman" w:hAnsi="Times New Roman" w:cs="Times New Roman" w:hint="default"/>
          <w:color w:val="auto"/>
          <w:highlight w:val="none"/>
          <w:lang w:val="en-US" w:eastAsia="zh-CN"/>
        </w:rPr>
        <w:t xml:space="preserve"> 工程 PPP 项目立项的批复》（尉发改〔2017〕87 号）文件的出台，为尉犁县城镇污水处理厂 </w:t>
      </w:r>
      <w:r>
        <w:rPr>
          <w:rFonts w:ascii="Times New Roman" w:hAnsi="Times New Roman" w:cs="Times New Roman" w:hint="eastAsia"/>
          <w:color w:val="auto"/>
          <w:highlight w:val="none"/>
          <w:lang w:val="en-US" w:eastAsia="zh-CN"/>
        </w:rPr>
        <w:t xml:space="preserve">（</w:t>
      </w:r>
      <w:r>
        <w:rPr>
          <w:rFonts w:ascii="Times New Roman" w:hAnsi="Times New Roman" w:cs="Times New Roman" w:hint="default"/>
          <w:color w:val="auto"/>
          <w:highlight w:val="none"/>
          <w:lang w:val="en-US" w:eastAsia="zh-CN"/>
        </w:rPr>
        <w:t xml:space="preserve">二期</w:t>
      </w:r>
      <w:r>
        <w:rPr>
          <w:rFonts w:ascii="Times New Roman" w:hAnsi="Times New Roman" w:cs="Times New Roman" w:hint="eastAsia"/>
          <w:color w:val="auto"/>
          <w:highlight w:val="none"/>
          <w:lang w:val="en-US" w:eastAsia="zh-CN"/>
        </w:rPr>
        <w:t xml:space="preserve">）</w:t>
      </w:r>
      <w:r>
        <w:rPr>
          <w:rFonts w:ascii="Times New Roman" w:hAnsi="Times New Roman" w:cs="Times New Roman" w:hint="default"/>
          <w:color w:val="auto"/>
          <w:highlight w:val="none"/>
          <w:lang w:val="en-US" w:eastAsia="zh-CN"/>
        </w:rPr>
        <w:t xml:space="preserve"> 工程 PPP 项目的顺利开展奠定了坚实基础。</w:t>
      </w:r>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2.项目主要内容</w:t>
      </w:r>
      <w:bookmarkEnd w:id="22"/>
      <w:bookmarkEnd w:id="23"/>
    </w:p>
    <w:p>
      <w:pPr>
        <w:bidi w:val="0"/>
        <w:jc w:val="both"/>
        <w:rPr>
          <w:rFonts w:ascii="Times New Roman" w:hAnsi="Times New Roman" w:cs="Times New Roman" w:hint="default"/>
          <w:color w:val="auto"/>
          <w:highlight w:val="none"/>
          <w:lang w:val="en-US" w:eastAsia="zh-CN"/>
        </w:rPr>
      </w:pPr>
      <w:bookmarkStart w:id="24" w:name="_Toc21529"/>
      <w:bookmarkStart w:id="25" w:name="_Toc31519"/>
      <w:r>
        <w:rPr>
          <w:rFonts w:ascii="Times New Roman" w:hAnsi="Times New Roman" w:cs="Times New Roman" w:hint="eastAsia"/>
          <w:color w:val="auto"/>
          <w:highlight w:val="none"/>
          <w:lang w:val="en-US" w:eastAsia="zh-CN"/>
        </w:rPr>
        <w:t xml:space="preserve">项目内容</w:t>
      </w:r>
      <w:r>
        <w:rPr>
          <w:rFonts w:ascii="Times New Roman" w:hAnsi="Times New Roman" w:cs="Times New Roman" w:hint="default"/>
          <w:color w:val="auto"/>
          <w:highlight w:val="none"/>
          <w:lang w:val="en-US" w:eastAsia="zh-CN"/>
        </w:rPr>
        <w:t xml:space="preserve">聚焦污水净化的全流程处理，将城镇生活污水转化为达标排放或可回用的水资源，核心围绕污水深度净化及相关配套处理工作。采用成熟且高效的污水处理工艺，</w:t>
      </w:r>
      <w:r>
        <w:rPr>
          <w:rFonts w:ascii="Times New Roman" w:hAnsi="Times New Roman" w:cs="Times New Roman" w:hint="eastAsia"/>
          <w:color w:val="auto"/>
          <w:highlight w:val="none"/>
          <w:lang w:val="en-US" w:eastAsia="zh-CN"/>
        </w:rPr>
        <w:t xml:space="preserve">“</w:t>
      </w:r>
      <w:r>
        <w:rPr>
          <w:rFonts w:ascii="Times New Roman" w:hAnsi="Times New Roman" w:cs="Times New Roman" w:hint="default"/>
          <w:color w:val="auto"/>
          <w:highlight w:val="none"/>
          <w:lang w:val="en-US" w:eastAsia="zh-CN"/>
        </w:rPr>
        <w:t xml:space="preserve">预处理</w:t>
      </w:r>
      <w:r>
        <w:rPr>
          <w:rFonts w:ascii="Times New Roman" w:hAnsi="Times New Roman" w:cs="Times New Roman" w:hint="eastAsia"/>
          <w:color w:val="auto"/>
          <w:highlight w:val="none"/>
          <w:lang w:val="en-US" w:eastAsia="zh-CN"/>
        </w:rPr>
        <w:t xml:space="preserve">-</w:t>
      </w:r>
      <w:r>
        <w:rPr>
          <w:rFonts w:ascii="Times New Roman" w:hAnsi="Times New Roman" w:cs="Times New Roman" w:hint="default"/>
          <w:color w:val="auto"/>
          <w:highlight w:val="none"/>
          <w:lang w:val="en-US" w:eastAsia="zh-CN"/>
        </w:rPr>
        <w:t xml:space="preserve">生物处理</w:t>
      </w:r>
      <w:r>
        <w:rPr>
          <w:rFonts w:ascii="Times New Roman" w:hAnsi="Times New Roman" w:cs="Times New Roman" w:hint="eastAsia"/>
          <w:color w:val="auto"/>
          <w:highlight w:val="none"/>
          <w:lang w:val="en-US" w:eastAsia="zh-CN"/>
        </w:rPr>
        <w:t xml:space="preserve">-</w:t>
      </w:r>
      <w:r>
        <w:rPr>
          <w:rFonts w:ascii="Times New Roman" w:hAnsi="Times New Roman" w:cs="Times New Roman" w:hint="default"/>
          <w:color w:val="auto"/>
          <w:highlight w:val="none"/>
          <w:lang w:val="en-US" w:eastAsia="zh-CN"/>
        </w:rPr>
        <w:t xml:space="preserve">深度处理</w:t>
      </w:r>
      <w:r>
        <w:rPr>
          <w:rFonts w:ascii="Times New Roman" w:hAnsi="Times New Roman" w:cs="Times New Roman" w:hint="eastAsia"/>
          <w:color w:val="auto"/>
          <w:highlight w:val="none"/>
          <w:lang w:val="en-US" w:eastAsia="zh-CN"/>
        </w:rPr>
        <w:t xml:space="preserve">”</w:t>
      </w:r>
      <w:r>
        <w:rPr>
          <w:rFonts w:ascii="Times New Roman" w:hAnsi="Times New Roman" w:cs="Times New Roman" w:hint="default"/>
          <w:color w:val="auto"/>
          <w:highlight w:val="none"/>
          <w:lang w:val="en-US" w:eastAsia="zh-CN"/>
        </w:rPr>
        <w:t xml:space="preserve">组合工艺。预处理阶段污水首先进入预处理阶段。粗格栅拦截树枝、塑料瓶等大尺寸杂物，防止其堵塞后续管道与设备；细格栅进一步去除毫米级固体颗粒，保障处理流程顺畅。随后污水流入沉砂池，利用重力沉降原理，使砂粒、碎玻璃等无机杂质沉淀分离，避免其磨损设备，降低后续处理负荷。此阶段能去除污水中大部分可见固体物，为后续深度处理奠定基础。生物处理环节借助微生物强大的分解能力净化污水。活性污泥法中，曝气池内富含好氧微生物的活性污泥与污水充分混合，微生物以污水中的有机物、氮、磷等，通过新陈代谢将其分解转化。同步实现有机物降解、脱氮除磷，使污水中化学需氧量（COD）、氨氮、总磷等污染物指标大幅降低</w:t>
      </w:r>
      <w:r>
        <w:rPr>
          <w:rFonts w:ascii="Times New Roman" w:hAnsi="Times New Roman" w:cs="Times New Roman" w:hint="eastAsia"/>
          <w:color w:val="auto"/>
          <w:highlight w:val="none"/>
          <w:lang w:val="en-US" w:eastAsia="zh-CN"/>
        </w:rPr>
        <w:t xml:space="preserve">。</w:t>
      </w:r>
      <w:r>
        <w:rPr>
          <w:rFonts w:ascii="Times New Roman" w:hAnsi="Times New Roman" w:cs="Times New Roman" w:hint="default"/>
          <w:color w:val="auto"/>
          <w:highlight w:val="none"/>
          <w:lang w:val="en-US" w:eastAsia="zh-CN"/>
        </w:rPr>
        <w:t xml:space="preserve">经生物处理后，污水进入深度处理阶段。通过截留微小颗粒、细菌、病毒及部分溶解性有机物，进一步提升水质纯度</w:t>
      </w:r>
      <w:r>
        <w:rPr>
          <w:rFonts w:ascii="Times New Roman" w:hAnsi="Times New Roman" w:cs="Times New Roman" w:hint="eastAsia"/>
          <w:color w:val="auto"/>
          <w:highlight w:val="none"/>
          <w:lang w:val="en-US" w:eastAsia="zh-CN"/>
        </w:rPr>
        <w:t xml:space="preserve">，</w:t>
      </w:r>
      <w:r>
        <w:rPr>
          <w:rFonts w:ascii="Times New Roman" w:hAnsi="Times New Roman" w:cs="Times New Roman" w:hint="default"/>
          <w:color w:val="auto"/>
          <w:highlight w:val="none"/>
          <w:lang w:val="en-US" w:eastAsia="zh-CN"/>
        </w:rPr>
        <w:t xml:space="preserve">确保出水水质稳定达到《城镇污水处理厂污染物排放标准》一级 A 标准。</w:t>
      </w:r>
      <w:r>
        <w:rPr>
          <w:rFonts w:ascii="Times New Roman" w:hAnsi="Times New Roman" w:cs="Times New Roman" w:hint="eastAsia"/>
          <w:color w:val="auto"/>
          <w:highlight w:val="none"/>
          <w:lang w:val="en-US" w:eastAsia="zh-CN"/>
        </w:rPr>
        <w:t xml:space="preserve">通过</w:t>
      </w:r>
      <w:r>
        <w:rPr>
          <w:rFonts w:ascii="Times New Roman" w:hAnsi="Times New Roman" w:cs="Times New Roman" w:hint="default"/>
          <w:color w:val="auto"/>
          <w:highlight w:val="none"/>
          <w:lang w:val="en-US" w:eastAsia="zh-CN"/>
        </w:rPr>
        <w:t xml:space="preserve">将达标处理后的中水，通过专门管网输送至城市绿化灌溉区域，用于浇灌花草树木，既能满足绿植生长用水需求，又有效节约大量新鲜水资源，缓解城市供水压力，助力构建节水型城市，实现水资源的循环可持续利用，让每一滴水都发挥最大价值，为城镇生态环境改善与可持续发展提供坚实保障。</w:t>
      </w:r>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3.项目实施情况</w:t>
      </w:r>
      <w:bookmarkEnd w:id="24"/>
      <w:bookmarkEnd w:id="25"/>
      <w:bookmarkStart w:id="26" w:name="_Toc20138"/>
    </w:p>
    <w:p>
      <w:pPr>
        <w:bidi w:val="0"/>
        <w:jc w:val="both"/>
        <w:rPr>
          <w:rFonts w:ascii="Times New Roman" w:hAnsi="Times New Roman" w:cs="Times New Roman" w:hint="default"/>
          <w:color w:val="auto"/>
          <w:highlight w:val="none"/>
          <w:lang w:val="en-US" w:eastAsia="zh-CN"/>
        </w:rPr>
      </w:pPr>
      <w:bookmarkStart w:id="27" w:name="_Toc1111"/>
      <w:r>
        <w:rPr>
          <w:rFonts w:ascii="Times New Roman" w:hAnsi="Times New Roman" w:cs="Times New Roman" w:hint="default"/>
          <w:color w:val="auto"/>
          <w:highlight w:val="none"/>
          <w:lang w:val="en-US" w:eastAsia="zh-CN"/>
        </w:rPr>
        <w:t xml:space="preserve">尉犁县城镇污水处理厂（二期）工程PPP项目自投入运营以来，运行情况稳定良好。全年每月稳定运行，污水处理量持续保持在较高水平。该项目采用先进的AAO生物池</w:t>
      </w:r>
      <w:r>
        <w:rPr>
          <w:rFonts w:ascii="Times New Roman" w:hAnsi="Times New Roman" w:cs="Times New Roman" w:hint="eastAsia"/>
          <w:color w:val="auto"/>
          <w:highlight w:val="none"/>
          <w:lang w:val="en-US" w:eastAsia="zh-CN"/>
        </w:rPr>
        <w:t xml:space="preserve">+</w:t>
      </w:r>
      <w:r>
        <w:rPr>
          <w:rFonts w:ascii="Times New Roman" w:hAnsi="Times New Roman" w:cs="Times New Roman" w:hint="default"/>
          <w:color w:val="auto"/>
          <w:highlight w:val="none"/>
          <w:lang w:val="en-US" w:eastAsia="zh-CN"/>
        </w:rPr>
        <w:t xml:space="preserve">二沉池</w:t>
      </w:r>
      <w:r>
        <w:rPr>
          <w:rFonts w:ascii="Times New Roman" w:hAnsi="Times New Roman" w:cs="Times New Roman" w:hint="eastAsia"/>
          <w:color w:val="auto"/>
          <w:highlight w:val="none"/>
          <w:lang w:val="en-US" w:eastAsia="zh-CN"/>
        </w:rPr>
        <w:t xml:space="preserve">+</w:t>
      </w:r>
      <w:r>
        <w:rPr>
          <w:rFonts w:ascii="Times New Roman" w:hAnsi="Times New Roman" w:cs="Times New Roman" w:hint="default"/>
          <w:color w:val="auto"/>
          <w:highlight w:val="none"/>
          <w:lang w:val="en-US" w:eastAsia="zh-CN"/>
        </w:rPr>
        <w:t xml:space="preserve">强化沉淀池工艺，对污水进行集中处理。</w:t>
      </w:r>
    </w:p>
    <w:p>
      <w:pPr>
        <w:bidi w:val="0"/>
        <w:jc w:val="both"/>
        <w:rPr>
          <w:rFonts w:ascii="Times New Roman" w:hAnsi="Times New Roman" w:cs="Times New Roman" w:hint="default"/>
          <w:color w:val="auto"/>
          <w:highlight w:val="none"/>
          <w:lang w:val="en-US" w:eastAsia="zh-CN"/>
        </w:rPr>
      </w:pPr>
      <w:r>
        <w:rPr>
          <w:rFonts w:ascii="Times New Roman" w:hAnsi="Times New Roman" w:cs="Times New Roman" w:hint="default"/>
          <w:color w:val="auto"/>
          <w:highlight w:val="none"/>
          <w:lang w:val="en-US" w:eastAsia="zh-CN"/>
        </w:rPr>
        <w:t xml:space="preserve">在日常运营中，格按照相关标准和规范进行操作管理，确保污水处理设施高效运行。通过自动化监测设备，实时掌握进水水质、水量以及处理过程中各环节的关键数据，如水质的酸碱度、化学需氧量、氨氮含量等指标，一旦数据出现异常波动，能迅速采取相应措施进行调整。同时，定期对设备进行维护保养和检修，及时更换磨损部件，保障设备的正常运转，减少因设备故障导致的运行中断风险。</w:t>
      </w:r>
    </w:p>
    <w:p>
      <w:pPr>
        <w:bidi w:val="0"/>
        <w:jc w:val="both"/>
        <w:rPr>
          <w:rFonts w:ascii="Times New Roman" w:eastAsia="仿宋_GB2312" w:hAnsi="Times New Roman" w:cs="Times New Roman" w:hint="default"/>
          <w:b/>
          <w:bCs/>
          <w:color w:val="auto"/>
          <w:highlight w:val="none"/>
        </w:rPr>
      </w:pPr>
      <w:r>
        <w:rPr>
          <w:rFonts w:ascii="Times New Roman" w:hAnsi="Times New Roman" w:cs="Times New Roman" w:hint="eastAsia"/>
          <w:color w:val="auto"/>
          <w:highlight w:val="none"/>
          <w:lang w:val="en-US" w:eastAsia="zh-CN"/>
        </w:rPr>
        <w:t xml:space="preserve">目前</w:t>
      </w:r>
      <w:r>
        <w:rPr>
          <w:rFonts w:ascii="Times New Roman" w:hAnsi="Times New Roman" w:cs="Times New Roman" w:hint="default"/>
          <w:color w:val="auto"/>
          <w:highlight w:val="none"/>
          <w:lang w:val="en-US" w:eastAsia="zh-CN"/>
        </w:rPr>
        <w:t xml:space="preserve">该污水处理厂年日均进水量约为</w:t>
      </w:r>
      <w:r>
        <w:rPr>
          <w:rFonts w:ascii="Times New Roman" w:hAnsi="Times New Roman" w:cs="Times New Roman" w:hint="eastAsia"/>
          <w:color w:val="auto"/>
          <w:highlight w:val="none"/>
          <w:lang w:val="en-US" w:eastAsia="zh-CN"/>
        </w:rPr>
        <w:t xml:space="preserve">4200</w:t>
      </w:r>
      <w:r>
        <w:rPr>
          <w:rFonts w:ascii="Times New Roman" w:hAnsi="Times New Roman" w:cs="Times New Roman" w:hint="default"/>
          <w:color w:val="auto"/>
          <w:highlight w:val="none"/>
          <w:lang w:val="en-US" w:eastAsia="zh-CN"/>
        </w:rPr>
        <w:t xml:space="preserve">方，污水集中处理设施运行期各项指标均稳定达到了一级</w:t>
      </w:r>
      <w:r>
        <w:rPr>
          <w:rFonts w:ascii="Times New Roman" w:hAnsi="Times New Roman" w:cs="Times New Roman" w:hint="eastAsia"/>
          <w:color w:val="auto"/>
          <w:highlight w:val="none"/>
          <w:lang w:val="en-US" w:eastAsia="zh-CN"/>
        </w:rPr>
        <w:t xml:space="preserve">A</w:t>
      </w:r>
      <w:r>
        <w:rPr>
          <w:rFonts w:ascii="Times New Roman" w:hAnsi="Times New Roman" w:cs="Times New Roman" w:hint="default"/>
          <w:color w:val="auto"/>
          <w:highlight w:val="none"/>
          <w:lang w:val="en-US" w:eastAsia="zh-CN"/>
        </w:rPr>
        <w:t xml:space="preserve">排放标准。处理后的中水水质清澈，基本无异味。达标后的中水全部汇入生态回用尾水库中，目前已先行用于湿地公园园林绿化</w:t>
      </w:r>
      <w:r>
        <w:rPr>
          <w:rFonts w:ascii="Times New Roman" w:hAnsi="Times New Roman" w:cs="Times New Roman" w:hint="eastAsia"/>
          <w:color w:val="auto"/>
          <w:highlight w:val="none"/>
          <w:lang w:val="en-US" w:eastAsia="zh-CN"/>
        </w:rPr>
        <w:t xml:space="preserve">，</w:t>
      </w:r>
      <w:r>
        <w:rPr>
          <w:rFonts w:ascii="Times New Roman" w:hAnsi="Times New Roman" w:cs="Times New Roman" w:hint="default"/>
          <w:color w:val="auto"/>
          <w:highlight w:val="none"/>
          <w:lang w:val="en-US" w:eastAsia="zh-CN"/>
        </w:rPr>
        <w:t xml:space="preserve">有效缓解了县城绿化用水资源短缺问题，为生态环境的改善发挥了重要作用。</w:t>
      </w:r>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4.资金投入情况</w:t>
      </w:r>
      <w:bookmarkEnd w:id="26"/>
      <w:bookmarkEnd w:id="27"/>
    </w:p>
    <w:p>
      <w:pPr>
        <w:bidi w:val="0"/>
        <w:jc w:val="both"/>
        <w:rPr>
          <w:rFonts w:ascii="Times New Roman" w:eastAsia="仿宋_GB2312" w:hAnsi="Times New Roman" w:cs="Times New Roman" w:hint="default"/>
          <w:color w:val="auto"/>
          <w:highlight w:val="none"/>
          <w:lang w:eastAsia="zh-CN"/>
        </w:rPr>
      </w:pPr>
      <w:bookmarkStart w:id="28" w:name="_Toc7324"/>
      <w:r>
        <w:rPr>
          <w:rFonts w:ascii="Times New Roman" w:eastAsia="仿宋_GB2312" w:hAnsi="Times New Roman" w:cs="Times New Roman" w:hint="default"/>
          <w:color w:val="auto"/>
          <w:highlight w:val="none"/>
        </w:rPr>
        <w:t xml:space="preserve">根据《</w:t>
      </w:r>
      <w:r>
        <w:rPr>
          <w:rFonts w:ascii="Times New Roman" w:hAnsi="Times New Roman" w:cs="Times New Roman" w:hint="eastAsia"/>
          <w:color w:val="auto"/>
          <w:highlight w:val="none"/>
          <w:lang w:val="en-US" w:eastAsia="zh-CN"/>
        </w:rPr>
        <w:t xml:space="preserve">关于批复2024年部门预算的通知</w:t>
      </w: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尉财发</w:t>
      </w: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2024</w:t>
      </w: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3</w:t>
      </w:r>
      <w:r>
        <w:rPr>
          <w:rFonts w:ascii="Times New Roman" w:eastAsia="仿宋_GB2312" w:hAnsi="Times New Roman" w:cs="Times New Roman" w:hint="default"/>
          <w:color w:val="auto"/>
          <w:highlight w:val="none"/>
        </w:rPr>
        <w:t xml:space="preserve">号），下达</w:t>
      </w:r>
      <w:r>
        <w:rPr>
          <w:rFonts w:ascii="Times New Roman" w:hAnsi="Times New Roman" w:cs="Times New Roman" w:hint="eastAsia"/>
          <w:color w:val="auto"/>
          <w:highlight w:val="none"/>
          <w:lang w:val="en-US" w:eastAsia="zh-CN"/>
        </w:rPr>
        <w:t xml:space="preserve">县本级</w:t>
      </w:r>
      <w:r>
        <w:rPr>
          <w:rFonts w:ascii="Times New Roman" w:eastAsia="仿宋_GB2312" w:hAnsi="Times New Roman" w:cs="Times New Roman" w:hint="default"/>
          <w:color w:val="auto"/>
          <w:highlight w:val="none"/>
        </w:rPr>
        <w:t xml:space="preserve">资金</w:t>
      </w:r>
      <w:r>
        <w:rPr>
          <w:rFonts w:ascii="Times New Roman" w:hAnsi="Times New Roman" w:cs="Times New Roman" w:hint="eastAsia"/>
          <w:color w:val="auto"/>
          <w:highlight w:val="none"/>
          <w:lang w:val="en-US" w:eastAsia="zh-CN"/>
        </w:rPr>
        <w:t xml:space="preserve">331</w:t>
      </w:r>
      <w:r>
        <w:rPr>
          <w:rFonts w:ascii="Times New Roman" w:eastAsia="仿宋_GB2312" w:hAnsi="Times New Roman" w:cs="Times New Roman" w:hint="default"/>
          <w:color w:val="auto"/>
          <w:highlight w:val="none"/>
        </w:rPr>
        <w:t xml:space="preserve">万元。其中用于</w:t>
      </w:r>
      <w:r>
        <w:rPr>
          <w:rFonts w:ascii="仿宋_GB2312" w:hAnsi="仿宋_GB2312" w:cs="仿宋_GB2312" w:hint="eastAsia"/>
          <w:b w:val="0"/>
          <w:bCs w:val="0"/>
          <w:color w:val="auto"/>
          <w:highlight w:val="none"/>
          <w:lang w:val="en-US" w:eastAsia="zh-CN"/>
        </w:rPr>
        <w:t xml:space="preserve">尉犁县城镇污水处理厂（二期）工程PPP项目污水处理费331</w:t>
      </w:r>
      <w:r>
        <w:rPr>
          <w:rFonts w:ascii="Times New Roman" w:eastAsia="仿宋_GB2312" w:hAnsi="Times New Roman" w:cs="Times New Roman" w:hint="default"/>
          <w:color w:val="auto"/>
          <w:highlight w:val="none"/>
        </w:rPr>
        <w:t xml:space="preserve">万元</w:t>
      </w:r>
      <w:r>
        <w:rPr>
          <w:rFonts w:ascii="Times New Roman" w:eastAsia="仿宋_GB2312" w:hAnsi="Times New Roman" w:cs="Times New Roman" w:hint="default"/>
          <w:color w:val="auto"/>
          <w:highlight w:val="none"/>
          <w:lang w:eastAsia="zh-CN"/>
        </w:rPr>
        <w:t xml:space="preserve">。</w:t>
      </w:r>
    </w:p>
    <w:p>
      <w:pPr>
        <w:bidi w:val="0"/>
        <w:jc w:val="both"/>
        <w:rPr>
          <w:rFonts w:ascii="Times New Roman" w:eastAsia="仿宋_GB2312" w:hAnsi="Times New Roman" w:cs="Times New Roman" w:hint="default"/>
          <w:color w:val="auto"/>
          <w:highlight w:val="none"/>
          <w:lang w:eastAsia="zh-CN"/>
        </w:rPr>
      </w:pPr>
      <w:r>
        <w:rPr>
          <w:rFonts w:ascii="Times New Roman" w:eastAsia="仿宋_GB2312" w:hAnsi="Times New Roman" w:cs="Times New Roman" w:hint="default"/>
          <w:color w:val="auto"/>
          <w:highlight w:val="none"/>
        </w:rPr>
        <w:t xml:space="preserve">实施</w:t>
      </w:r>
      <w:r>
        <w:rPr>
          <w:rFonts w:ascii="仿宋_GB2312" w:hAnsi="仿宋_GB2312" w:cs="仿宋_GB2312" w:hint="eastAsia"/>
          <w:b w:val="0"/>
          <w:bCs w:val="0"/>
          <w:color w:val="auto"/>
          <w:highlight w:val="none"/>
          <w:lang w:val="en-US" w:eastAsia="zh-CN"/>
        </w:rPr>
        <w:t xml:space="preserve">尉犁县城镇污水处理厂（二期）工程PPP项目</w:t>
      </w:r>
      <w:r>
        <w:rPr>
          <w:rFonts w:ascii="Times New Roman" w:eastAsia="仿宋_GB2312" w:hAnsi="Times New Roman" w:cs="Times New Roman" w:hint="default"/>
          <w:color w:val="auto"/>
          <w:highlight w:val="none"/>
        </w:rPr>
        <w:t xml:space="preserve">投入</w:t>
      </w:r>
      <w:r>
        <w:rPr>
          <w:rFonts w:ascii="Times New Roman" w:hAnsi="Times New Roman" w:cs="Times New Roman" w:hint="eastAsia"/>
          <w:color w:val="auto"/>
          <w:highlight w:val="none"/>
          <w:lang w:val="en-US" w:eastAsia="zh-CN"/>
        </w:rPr>
        <w:t xml:space="preserve">331</w:t>
      </w:r>
      <w:r>
        <w:rPr>
          <w:rFonts w:ascii="Times New Roman" w:eastAsia="仿宋_GB2312" w:hAnsi="Times New Roman" w:cs="Times New Roman" w:hint="default"/>
          <w:color w:val="auto"/>
          <w:highlight w:val="none"/>
        </w:rPr>
        <w:t xml:space="preserve">万元，</w:t>
      </w:r>
      <w:r>
        <w:rPr>
          <w:rFonts w:ascii="Times New Roman" w:hAnsi="Times New Roman" w:cs="Times New Roman" w:hint="eastAsia"/>
          <w:color w:val="auto"/>
          <w:highlight w:val="none"/>
          <w:lang w:val="en-US" w:eastAsia="zh-CN"/>
        </w:rPr>
        <w:t xml:space="preserve">资金来源为县本级</w:t>
      </w:r>
      <w:r>
        <w:rPr>
          <w:rFonts w:ascii="Times New Roman" w:eastAsia="仿宋_GB2312" w:hAnsi="Times New Roman" w:cs="Times New Roman" w:hint="default"/>
          <w:color w:val="auto"/>
          <w:highlight w:val="none"/>
        </w:rPr>
        <w:t xml:space="preserve">资金</w:t>
      </w:r>
      <w:r>
        <w:rPr>
          <w:rFonts w:ascii="Times New Roman" w:hAnsi="Times New Roman" w:cs="Times New Roman" w:hint="eastAsia"/>
          <w:color w:val="auto"/>
          <w:highlight w:val="none"/>
          <w:lang w:val="en-US" w:eastAsia="zh-CN"/>
        </w:rPr>
        <w:t xml:space="preserve">331</w:t>
      </w:r>
      <w:r>
        <w:rPr>
          <w:rFonts w:ascii="Times New Roman" w:eastAsia="仿宋_GB2312" w:hAnsi="Times New Roman" w:cs="Times New Roman" w:hint="default"/>
          <w:color w:val="auto"/>
          <w:highlight w:val="none"/>
        </w:rPr>
        <w:t xml:space="preserve">万元。</w:t>
      </w:r>
    </w:p>
    <w:p>
      <w:pPr>
        <w:bidi w:val="0"/>
        <w:jc w:val="both"/>
        <w:rPr>
          <w:rFonts w:ascii="Times New Roman" w:eastAsia="仿宋_GB2312" w:hAnsi="Times New Roman" w:cs="Times New Roman" w:hint="default"/>
          <w:b/>
          <w:bCs/>
          <w:color w:val="auto"/>
          <w:highlight w:val="none"/>
        </w:rPr>
      </w:pPr>
      <w:bookmarkStart w:id="29" w:name="_Toc10837"/>
      <w:r>
        <w:rPr>
          <w:rFonts w:ascii="Times New Roman" w:eastAsia="仿宋_GB2312" w:hAnsi="Times New Roman" w:cs="Times New Roman" w:hint="default"/>
          <w:b/>
          <w:bCs/>
          <w:color w:val="auto"/>
          <w:highlight w:val="none"/>
        </w:rPr>
        <w:t xml:space="preserve">5.资金使用情况</w:t>
      </w:r>
      <w:bookmarkEnd w:id="28"/>
      <w:bookmarkEnd w:id="29"/>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val="en-US" w:eastAsia="zh-CN"/>
        </w:rPr>
        <w:t xml:space="preserve">2024</w:t>
      </w:r>
      <w:r>
        <w:rPr>
          <w:rFonts w:ascii="Times New Roman" w:eastAsia="仿宋_GB2312" w:hAnsi="Times New Roman" w:cs="Times New Roman" w:hint="default"/>
          <w:color w:val="auto"/>
          <w:sz w:val="32"/>
          <w:szCs w:val="32"/>
          <w:highlight w:val="none"/>
          <w:lang w:eastAsia="zh-CN"/>
        </w:rPr>
        <w:t xml:space="preserve">年初预算数</w:t>
      </w:r>
      <w:r>
        <w:rPr>
          <w:rFonts w:ascii="Times New Roman" w:hAnsi="Times New Roman" w:cs="Times New Roman" w:hint="eastAsia"/>
          <w:color w:val="auto"/>
          <w:highlight w:val="none"/>
          <w:lang w:val="en-US" w:eastAsia="zh-CN"/>
        </w:rPr>
        <w:t xml:space="preserve">331</w:t>
      </w:r>
      <w:r>
        <w:rPr>
          <w:rFonts w:ascii="Times New Roman" w:eastAsia="仿宋_GB2312" w:hAnsi="Times New Roman" w:cs="Times New Roman" w:hint="default"/>
          <w:color w:val="auto"/>
          <w:highlight w:val="none"/>
        </w:rPr>
        <w:t xml:space="preserve">万元</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实际到位资金</w:t>
      </w:r>
      <w:r>
        <w:rPr>
          <w:rFonts w:ascii="Times New Roman" w:hAnsi="Times New Roman" w:cs="Times New Roman" w:hint="eastAsia"/>
          <w:color w:val="auto"/>
          <w:highlight w:val="none"/>
          <w:lang w:val="en-US" w:eastAsia="zh-CN"/>
        </w:rPr>
        <w:t xml:space="preserve">331</w:t>
      </w:r>
      <w:r>
        <w:rPr>
          <w:rFonts w:ascii="Times New Roman" w:eastAsia="仿宋_GB2312" w:hAnsi="Times New Roman" w:cs="Times New Roman" w:hint="default"/>
          <w:color w:val="auto"/>
          <w:highlight w:val="none"/>
        </w:rPr>
        <w:t xml:space="preserve">万元</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截止202</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年12月31日</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项目实际使用资金</w:t>
      </w:r>
      <w:r>
        <w:rPr>
          <w:rFonts w:ascii="Times New Roman" w:hAnsi="Times New Roman" w:cs="Times New Roman" w:hint="eastAsia"/>
          <w:color w:val="auto"/>
          <w:highlight w:val="none"/>
          <w:lang w:val="en-US" w:eastAsia="zh-CN"/>
        </w:rPr>
        <w:t xml:space="preserve">329.40</w:t>
      </w:r>
      <w:r>
        <w:rPr>
          <w:rFonts w:ascii="Times New Roman" w:eastAsia="仿宋_GB2312" w:hAnsi="Times New Roman" w:cs="Times New Roman" w:hint="default"/>
          <w:color w:val="auto"/>
          <w:highlight w:val="none"/>
        </w:rPr>
        <w:t xml:space="preserve">万元，资金</w:t>
      </w:r>
      <w:r>
        <w:rPr>
          <w:rFonts w:ascii="Times New Roman" w:eastAsia="仿宋_GB2312" w:hAnsi="Times New Roman" w:cs="Times New Roman" w:hint="default"/>
          <w:color w:val="auto"/>
          <w:highlight w:val="none"/>
          <w:lang w:val="en-US" w:eastAsia="zh-CN"/>
        </w:rPr>
        <w:t xml:space="preserve">使用</w:t>
      </w:r>
      <w:r>
        <w:rPr>
          <w:rFonts w:ascii="Times New Roman" w:eastAsia="仿宋_GB2312" w:hAnsi="Times New Roman" w:cs="Times New Roman" w:hint="default"/>
          <w:color w:val="auto"/>
          <w:highlight w:val="none"/>
        </w:rPr>
        <w:t xml:space="preserve">率达到了</w:t>
      </w:r>
      <w:r>
        <w:rPr>
          <w:rFonts w:ascii="Times New Roman" w:hAnsi="Times New Roman" w:cs="Times New Roman" w:hint="eastAsia"/>
          <w:color w:val="auto"/>
          <w:highlight w:val="none"/>
          <w:lang w:val="en-US" w:eastAsia="zh-CN"/>
        </w:rPr>
        <w:t xml:space="preserve">99.52</w:t>
      </w:r>
      <w:r>
        <w:rPr>
          <w:rFonts w:ascii="Times New Roman" w:eastAsia="仿宋_GB2312" w:hAnsi="Times New Roman" w:cs="Times New Roman" w:hint="default"/>
          <w:color w:val="auto"/>
          <w:highlight w:val="none"/>
        </w:rPr>
        <w:t xml:space="preserve">%。具体资金支付情况：</w:t>
      </w:r>
    </w:p>
    <w:p>
      <w:pPr>
        <w:bidi w:val="0"/>
        <w:jc w:val="both"/>
        <w:rPr>
          <w:rFonts w:ascii="Times New Roman" w:hAnsi="Times New Roman" w:cs="Times New Roman" w:hint="eastAsia"/>
          <w:color w:val="auto"/>
          <w:highlight w:val="none"/>
          <w:lang w:val="en-US" w:eastAsia="zh-CN"/>
        </w:rPr>
      </w:pPr>
      <w:r>
        <w:rPr>
          <w:rFonts w:ascii="Times New Roman" w:hAnsi="Times New Roman" w:cs="Times New Roman" w:hint="default"/>
          <w:color w:val="auto"/>
          <w:highlight w:val="none"/>
          <w:lang w:val="en-US" w:eastAsia="zh-CN"/>
        </w:rPr>
        <w:t xml:space="preserve">202</w:t>
      </w:r>
      <w:r>
        <w:rPr>
          <w:rFonts w:ascii="Times New Roman" w:hAnsi="Times New Roman" w:cs="Times New Roman" w:hint="eastAsia"/>
          <w:color w:val="auto"/>
          <w:highlight w:val="none"/>
          <w:lang w:val="en-US" w:eastAsia="zh-CN"/>
        </w:rPr>
        <w:t xml:space="preserve">4</w:t>
      </w:r>
      <w:r>
        <w:rPr>
          <w:rFonts w:ascii="Times New Roman" w:hAnsi="Times New Roman" w:cs="Times New Roman" w:hint="default"/>
          <w:color w:val="auto"/>
          <w:highlight w:val="none"/>
          <w:lang w:val="en-US" w:eastAsia="zh-CN"/>
        </w:rPr>
        <w:t xml:space="preserve">年</w:t>
      </w:r>
      <w:r>
        <w:rPr>
          <w:rFonts w:ascii="Times New Roman" w:hAnsi="Times New Roman" w:cs="Times New Roman" w:hint="eastAsia"/>
          <w:color w:val="auto"/>
          <w:highlight w:val="none"/>
          <w:lang w:val="en-US" w:eastAsia="zh-CN"/>
        </w:rPr>
        <w:t xml:space="preserve">1</w:t>
      </w:r>
      <w:r>
        <w:rPr>
          <w:rFonts w:ascii="Times New Roman" w:hAnsi="Times New Roman" w:cs="Times New Roman" w:hint="default"/>
          <w:color w:val="auto"/>
          <w:highlight w:val="none"/>
          <w:lang w:val="en-US" w:eastAsia="zh-CN"/>
        </w:rPr>
        <w:t xml:space="preserve">月</w:t>
      </w:r>
      <w:r>
        <w:rPr>
          <w:rFonts w:ascii="Times New Roman" w:hAnsi="Times New Roman" w:cs="Times New Roman" w:hint="eastAsia"/>
          <w:color w:val="auto"/>
          <w:highlight w:val="none"/>
          <w:lang w:val="en-US" w:eastAsia="zh-CN"/>
        </w:rPr>
        <w:t xml:space="preserve">4</w:t>
      </w:r>
      <w:r>
        <w:rPr>
          <w:rFonts w:ascii="Times New Roman" w:hAnsi="Times New Roman" w:cs="Times New Roman" w:hint="default"/>
          <w:color w:val="auto"/>
          <w:highlight w:val="none"/>
          <w:lang w:val="en-US" w:eastAsia="zh-CN"/>
        </w:rPr>
        <w:t xml:space="preserve">日，支付</w:t>
      </w:r>
      <w:r>
        <w:rPr>
          <w:rFonts w:ascii="Times New Roman" w:hAnsi="Times New Roman" w:cs="Times New Roman" w:hint="eastAsia"/>
          <w:color w:val="auto"/>
          <w:highlight w:val="none"/>
          <w:lang w:val="en-US" w:eastAsia="zh-CN"/>
        </w:rPr>
        <w:t xml:space="preserve">27.9</w:t>
      </w:r>
      <w:r>
        <w:rPr>
          <w:rFonts w:ascii="Times New Roman" w:hAnsi="Times New Roman" w:cs="Times New Roman" w:hint="default"/>
          <w:color w:val="auto"/>
          <w:highlight w:val="none"/>
          <w:lang w:val="en-US" w:eastAsia="zh-CN"/>
        </w:rPr>
        <w:t xml:space="preserve">万元</w:t>
      </w:r>
      <w:r>
        <w:rPr>
          <w:rFonts w:ascii="Times New Roman" w:hAnsi="Times New Roman" w:cs="Times New Roman" w:hint="eastAsia"/>
          <w:color w:val="auto"/>
          <w:highlight w:val="none"/>
          <w:lang w:val="en-US" w:eastAsia="zh-CN"/>
        </w:rPr>
        <w:t xml:space="preserve">，</w:t>
      </w:r>
    </w:p>
    <w:p>
      <w:pPr>
        <w:bidi w:val="0"/>
        <w:jc w:val="both"/>
        <w:rPr>
          <w:rFonts w:ascii="Times New Roman" w:hAnsi="Times New Roman" w:cs="Times New Roman" w:hint="eastAsia"/>
          <w:color w:val="auto"/>
          <w:highlight w:val="none"/>
          <w:lang w:val="en-US" w:eastAsia="zh-CN"/>
        </w:rPr>
      </w:pPr>
      <w:r>
        <w:rPr>
          <w:rFonts w:ascii="Times New Roman" w:hAnsi="Times New Roman" w:cs="Times New Roman" w:hint="default"/>
          <w:color w:val="auto"/>
          <w:highlight w:val="none"/>
          <w:lang w:val="en-US" w:eastAsia="zh-CN"/>
        </w:rPr>
        <w:t xml:space="preserve">202</w:t>
      </w:r>
      <w:r>
        <w:rPr>
          <w:rFonts w:ascii="Times New Roman" w:hAnsi="Times New Roman" w:cs="Times New Roman" w:hint="eastAsia"/>
          <w:color w:val="auto"/>
          <w:highlight w:val="none"/>
          <w:lang w:val="en-US" w:eastAsia="zh-CN"/>
        </w:rPr>
        <w:t xml:space="preserve">4</w:t>
      </w:r>
      <w:r>
        <w:rPr>
          <w:rFonts w:ascii="Times New Roman" w:hAnsi="Times New Roman" w:cs="Times New Roman" w:hint="default"/>
          <w:color w:val="auto"/>
          <w:highlight w:val="none"/>
          <w:lang w:val="en-US" w:eastAsia="zh-CN"/>
        </w:rPr>
        <w:t xml:space="preserve">年</w:t>
      </w:r>
      <w:r>
        <w:rPr>
          <w:rFonts w:ascii="Times New Roman" w:hAnsi="Times New Roman" w:cs="Times New Roman" w:hint="eastAsia"/>
          <w:color w:val="auto"/>
          <w:highlight w:val="none"/>
          <w:lang w:val="en-US" w:eastAsia="zh-CN"/>
        </w:rPr>
        <w:t xml:space="preserve">2</w:t>
      </w:r>
      <w:r>
        <w:rPr>
          <w:rFonts w:ascii="Times New Roman" w:hAnsi="Times New Roman" w:cs="Times New Roman" w:hint="default"/>
          <w:color w:val="auto"/>
          <w:highlight w:val="none"/>
          <w:lang w:val="en-US" w:eastAsia="zh-CN"/>
        </w:rPr>
        <w:t xml:space="preserve">月</w:t>
      </w:r>
      <w:r>
        <w:rPr>
          <w:rFonts w:ascii="Times New Roman" w:hAnsi="Times New Roman" w:cs="Times New Roman" w:hint="eastAsia"/>
          <w:color w:val="auto"/>
          <w:highlight w:val="none"/>
          <w:lang w:val="en-US" w:eastAsia="zh-CN"/>
        </w:rPr>
        <w:t xml:space="preserve">5</w:t>
      </w:r>
      <w:r>
        <w:rPr>
          <w:rFonts w:ascii="Times New Roman" w:hAnsi="Times New Roman" w:cs="Times New Roman" w:hint="default"/>
          <w:color w:val="auto"/>
          <w:highlight w:val="none"/>
          <w:lang w:val="en-US" w:eastAsia="zh-CN"/>
        </w:rPr>
        <w:t xml:space="preserve">日，支付</w:t>
      </w:r>
      <w:r>
        <w:rPr>
          <w:rFonts w:ascii="Times New Roman" w:hAnsi="Times New Roman" w:cs="Times New Roman" w:hint="eastAsia"/>
          <w:color w:val="auto"/>
          <w:highlight w:val="none"/>
          <w:lang w:val="en-US" w:eastAsia="zh-CN"/>
        </w:rPr>
        <w:t xml:space="preserve">27.9</w:t>
      </w:r>
      <w:r>
        <w:rPr>
          <w:rFonts w:ascii="Times New Roman" w:hAnsi="Times New Roman" w:cs="Times New Roman" w:hint="default"/>
          <w:color w:val="auto"/>
          <w:highlight w:val="none"/>
          <w:lang w:val="en-US" w:eastAsia="zh-CN"/>
        </w:rPr>
        <w:t xml:space="preserve">万元</w:t>
      </w:r>
      <w:r>
        <w:rPr>
          <w:rFonts w:ascii="Times New Roman" w:hAnsi="Times New Roman" w:cs="Times New Roman" w:hint="eastAsia"/>
          <w:color w:val="auto"/>
          <w:highlight w:val="none"/>
          <w:lang w:val="en-US" w:eastAsia="zh-CN"/>
        </w:rPr>
        <w:t xml:space="preserve">。</w:t>
      </w:r>
    </w:p>
    <w:p>
      <w:pPr>
        <w:bidi w:val="0"/>
        <w:jc w:val="both"/>
        <w:rPr>
          <w:rFonts w:ascii="Times New Roman" w:hAnsi="Times New Roman" w:cs="Times New Roman" w:hint="eastAsia"/>
          <w:color w:val="auto"/>
          <w:highlight w:val="none"/>
          <w:lang w:val="en-US" w:eastAsia="zh-CN"/>
        </w:rPr>
      </w:pPr>
      <w:bookmarkStart w:id="30" w:name="_Toc26395"/>
      <w:bookmarkStart w:id="31" w:name="_Toc31302"/>
      <w:bookmarkStart w:id="32" w:name="_Toc9567"/>
      <w:bookmarkStart w:id="33" w:name="_Toc14296"/>
      <w:bookmarkStart w:id="34" w:name="_Toc11967"/>
      <w:r>
        <w:rPr>
          <w:rFonts w:ascii="Times New Roman" w:hAnsi="Times New Roman" w:cs="Times New Roman" w:hint="default"/>
          <w:color w:val="auto"/>
          <w:highlight w:val="none"/>
          <w:lang w:val="en-US" w:eastAsia="zh-CN"/>
        </w:rPr>
        <w:t xml:space="preserve">202</w:t>
      </w:r>
      <w:r>
        <w:rPr>
          <w:rFonts w:ascii="Times New Roman" w:hAnsi="Times New Roman" w:cs="Times New Roman" w:hint="eastAsia"/>
          <w:color w:val="auto"/>
          <w:highlight w:val="none"/>
          <w:lang w:val="en-US" w:eastAsia="zh-CN"/>
        </w:rPr>
        <w:t xml:space="preserve">4</w:t>
      </w:r>
      <w:r>
        <w:rPr>
          <w:rFonts w:ascii="Times New Roman" w:hAnsi="Times New Roman" w:cs="Times New Roman" w:hint="default"/>
          <w:color w:val="auto"/>
          <w:highlight w:val="none"/>
          <w:lang w:val="en-US" w:eastAsia="zh-CN"/>
        </w:rPr>
        <w:t xml:space="preserve">年</w:t>
      </w:r>
      <w:r>
        <w:rPr>
          <w:rFonts w:ascii="Times New Roman" w:hAnsi="Times New Roman" w:cs="Times New Roman" w:hint="eastAsia"/>
          <w:color w:val="auto"/>
          <w:highlight w:val="none"/>
          <w:lang w:val="en-US" w:eastAsia="zh-CN"/>
        </w:rPr>
        <w:t xml:space="preserve">3</w:t>
      </w:r>
      <w:r>
        <w:rPr>
          <w:rFonts w:ascii="Times New Roman" w:hAnsi="Times New Roman" w:cs="Times New Roman" w:hint="default"/>
          <w:color w:val="auto"/>
          <w:highlight w:val="none"/>
          <w:lang w:val="en-US" w:eastAsia="zh-CN"/>
        </w:rPr>
        <w:t xml:space="preserve">月</w:t>
      </w:r>
      <w:r>
        <w:rPr>
          <w:rFonts w:ascii="Times New Roman" w:hAnsi="Times New Roman" w:cs="Times New Roman" w:hint="eastAsia"/>
          <w:color w:val="auto"/>
          <w:highlight w:val="none"/>
          <w:lang w:val="en-US" w:eastAsia="zh-CN"/>
        </w:rPr>
        <w:t xml:space="preserve">10</w:t>
      </w:r>
      <w:r>
        <w:rPr>
          <w:rFonts w:ascii="Times New Roman" w:hAnsi="Times New Roman" w:cs="Times New Roman" w:hint="default"/>
          <w:color w:val="auto"/>
          <w:highlight w:val="none"/>
          <w:lang w:val="en-US" w:eastAsia="zh-CN"/>
        </w:rPr>
        <w:t xml:space="preserve">日，支付</w:t>
      </w:r>
      <w:r>
        <w:rPr>
          <w:rFonts w:ascii="Times New Roman" w:hAnsi="Times New Roman" w:cs="Times New Roman" w:hint="eastAsia"/>
          <w:color w:val="auto"/>
          <w:highlight w:val="none"/>
          <w:lang w:val="en-US" w:eastAsia="zh-CN"/>
        </w:rPr>
        <w:t xml:space="preserve">26.1</w:t>
      </w:r>
      <w:r>
        <w:rPr>
          <w:rFonts w:ascii="Times New Roman" w:hAnsi="Times New Roman" w:cs="Times New Roman" w:hint="default"/>
          <w:color w:val="auto"/>
          <w:highlight w:val="none"/>
          <w:lang w:val="en-US" w:eastAsia="zh-CN"/>
        </w:rPr>
        <w:t xml:space="preserve">万元</w:t>
      </w:r>
      <w:r>
        <w:rPr>
          <w:rFonts w:ascii="Times New Roman" w:hAnsi="Times New Roman" w:cs="Times New Roman" w:hint="eastAsia"/>
          <w:color w:val="auto"/>
          <w:highlight w:val="none"/>
          <w:lang w:val="en-US" w:eastAsia="zh-CN"/>
        </w:rPr>
        <w:t xml:space="preserve">，</w:t>
      </w:r>
    </w:p>
    <w:p>
      <w:pPr>
        <w:bidi w:val="0"/>
        <w:jc w:val="both"/>
        <w:rPr>
          <w:rFonts w:ascii="Times New Roman" w:hAnsi="Times New Roman" w:cs="Times New Roman" w:hint="eastAsia"/>
          <w:color w:val="auto"/>
          <w:highlight w:val="none"/>
          <w:lang w:val="en-US" w:eastAsia="zh-CN"/>
        </w:rPr>
      </w:pPr>
      <w:r>
        <w:rPr>
          <w:rFonts w:ascii="Times New Roman" w:hAnsi="Times New Roman" w:cs="Times New Roman" w:hint="default"/>
          <w:color w:val="auto"/>
          <w:highlight w:val="none"/>
          <w:lang w:val="en-US" w:eastAsia="zh-CN"/>
        </w:rPr>
        <w:t xml:space="preserve">202</w:t>
      </w:r>
      <w:r>
        <w:rPr>
          <w:rFonts w:ascii="Times New Roman" w:hAnsi="Times New Roman" w:cs="Times New Roman" w:hint="eastAsia"/>
          <w:color w:val="auto"/>
          <w:highlight w:val="none"/>
          <w:lang w:val="en-US" w:eastAsia="zh-CN"/>
        </w:rPr>
        <w:t xml:space="preserve">4</w:t>
      </w:r>
      <w:r>
        <w:rPr>
          <w:rFonts w:ascii="Times New Roman" w:hAnsi="Times New Roman" w:cs="Times New Roman" w:hint="default"/>
          <w:color w:val="auto"/>
          <w:highlight w:val="none"/>
          <w:lang w:val="en-US" w:eastAsia="zh-CN"/>
        </w:rPr>
        <w:t xml:space="preserve">年</w:t>
      </w:r>
      <w:r>
        <w:rPr>
          <w:rFonts w:ascii="Times New Roman" w:hAnsi="Times New Roman" w:cs="Times New Roman" w:hint="eastAsia"/>
          <w:color w:val="auto"/>
          <w:highlight w:val="none"/>
          <w:lang w:val="en-US" w:eastAsia="zh-CN"/>
        </w:rPr>
        <w:t xml:space="preserve">4</w:t>
      </w:r>
      <w:r>
        <w:rPr>
          <w:rFonts w:ascii="Times New Roman" w:hAnsi="Times New Roman" w:cs="Times New Roman" w:hint="default"/>
          <w:color w:val="auto"/>
          <w:highlight w:val="none"/>
          <w:lang w:val="en-US" w:eastAsia="zh-CN"/>
        </w:rPr>
        <w:t xml:space="preserve">月</w:t>
      </w:r>
      <w:r>
        <w:rPr>
          <w:rFonts w:ascii="Times New Roman" w:hAnsi="Times New Roman" w:cs="Times New Roman" w:hint="eastAsia"/>
          <w:color w:val="auto"/>
          <w:highlight w:val="none"/>
          <w:lang w:val="en-US" w:eastAsia="zh-CN"/>
        </w:rPr>
        <w:t xml:space="preserve">5</w:t>
      </w:r>
      <w:r>
        <w:rPr>
          <w:rFonts w:ascii="Times New Roman" w:hAnsi="Times New Roman" w:cs="Times New Roman" w:hint="default"/>
          <w:color w:val="auto"/>
          <w:highlight w:val="none"/>
          <w:lang w:val="en-US" w:eastAsia="zh-CN"/>
        </w:rPr>
        <w:t xml:space="preserve">日，支付</w:t>
      </w:r>
      <w:r>
        <w:rPr>
          <w:rFonts w:ascii="Times New Roman" w:hAnsi="Times New Roman" w:cs="Times New Roman" w:hint="eastAsia"/>
          <w:color w:val="auto"/>
          <w:highlight w:val="none"/>
          <w:lang w:val="en-US" w:eastAsia="zh-CN"/>
        </w:rPr>
        <w:t xml:space="preserve">27.9</w:t>
      </w:r>
      <w:r>
        <w:rPr>
          <w:rFonts w:ascii="Times New Roman" w:hAnsi="Times New Roman" w:cs="Times New Roman" w:hint="default"/>
          <w:color w:val="auto"/>
          <w:highlight w:val="none"/>
          <w:lang w:val="en-US" w:eastAsia="zh-CN"/>
        </w:rPr>
        <w:t xml:space="preserve">万元</w:t>
      </w:r>
      <w:r>
        <w:rPr>
          <w:rFonts w:ascii="Times New Roman" w:hAnsi="Times New Roman" w:cs="Times New Roman" w:hint="eastAsia"/>
          <w:color w:val="auto"/>
          <w:highlight w:val="none"/>
          <w:lang w:val="en-US" w:eastAsia="zh-CN"/>
        </w:rPr>
        <w:t xml:space="preserve">，</w:t>
      </w:r>
    </w:p>
    <w:p>
      <w:pPr>
        <w:bidi w:val="0"/>
        <w:jc w:val="both"/>
        <w:rPr>
          <w:rFonts w:ascii="Times New Roman" w:hAnsi="Times New Roman" w:cs="Times New Roman" w:hint="eastAsia"/>
          <w:color w:val="auto"/>
          <w:highlight w:val="none"/>
          <w:lang w:val="en-US" w:eastAsia="zh-CN"/>
        </w:rPr>
      </w:pPr>
      <w:r>
        <w:rPr>
          <w:rFonts w:ascii="Times New Roman" w:hAnsi="Times New Roman" w:cs="Times New Roman" w:hint="default"/>
          <w:color w:val="auto"/>
          <w:highlight w:val="none"/>
          <w:lang w:val="en-US" w:eastAsia="zh-CN"/>
        </w:rPr>
        <w:t xml:space="preserve">202</w:t>
      </w:r>
      <w:r>
        <w:rPr>
          <w:rFonts w:ascii="Times New Roman" w:hAnsi="Times New Roman" w:cs="Times New Roman" w:hint="eastAsia"/>
          <w:color w:val="auto"/>
          <w:highlight w:val="none"/>
          <w:lang w:val="en-US" w:eastAsia="zh-CN"/>
        </w:rPr>
        <w:t xml:space="preserve">4</w:t>
      </w:r>
      <w:r>
        <w:rPr>
          <w:rFonts w:ascii="Times New Roman" w:hAnsi="Times New Roman" w:cs="Times New Roman" w:hint="default"/>
          <w:color w:val="auto"/>
          <w:highlight w:val="none"/>
          <w:lang w:val="en-US" w:eastAsia="zh-CN"/>
        </w:rPr>
        <w:t xml:space="preserve">年</w:t>
      </w:r>
      <w:r>
        <w:rPr>
          <w:rFonts w:ascii="Times New Roman" w:hAnsi="Times New Roman" w:cs="Times New Roman" w:hint="eastAsia"/>
          <w:color w:val="auto"/>
          <w:highlight w:val="none"/>
          <w:lang w:val="en-US" w:eastAsia="zh-CN"/>
        </w:rPr>
        <w:t xml:space="preserve">5</w:t>
      </w:r>
      <w:r>
        <w:rPr>
          <w:rFonts w:ascii="Times New Roman" w:hAnsi="Times New Roman" w:cs="Times New Roman" w:hint="default"/>
          <w:color w:val="auto"/>
          <w:highlight w:val="none"/>
          <w:lang w:val="en-US" w:eastAsia="zh-CN"/>
        </w:rPr>
        <w:t xml:space="preserve">月</w:t>
      </w:r>
      <w:r>
        <w:rPr>
          <w:rFonts w:ascii="Times New Roman" w:hAnsi="Times New Roman" w:cs="Times New Roman" w:hint="eastAsia"/>
          <w:color w:val="auto"/>
          <w:highlight w:val="none"/>
          <w:lang w:val="en-US" w:eastAsia="zh-CN"/>
        </w:rPr>
        <w:t xml:space="preserve">15</w:t>
      </w:r>
      <w:r>
        <w:rPr>
          <w:rFonts w:ascii="Times New Roman" w:hAnsi="Times New Roman" w:cs="Times New Roman" w:hint="default"/>
          <w:color w:val="auto"/>
          <w:highlight w:val="none"/>
          <w:lang w:val="en-US" w:eastAsia="zh-CN"/>
        </w:rPr>
        <w:t xml:space="preserve">日，支付</w:t>
      </w:r>
      <w:r>
        <w:rPr>
          <w:rFonts w:ascii="Times New Roman" w:hAnsi="Times New Roman" w:cs="Times New Roman" w:hint="eastAsia"/>
          <w:color w:val="auto"/>
          <w:highlight w:val="none"/>
          <w:lang w:val="en-US" w:eastAsia="zh-CN"/>
        </w:rPr>
        <w:t xml:space="preserve">27</w:t>
      </w:r>
      <w:r>
        <w:rPr>
          <w:rFonts w:ascii="Times New Roman" w:hAnsi="Times New Roman" w:cs="Times New Roman" w:hint="default"/>
          <w:color w:val="auto"/>
          <w:highlight w:val="none"/>
          <w:lang w:val="en-US" w:eastAsia="zh-CN"/>
        </w:rPr>
        <w:t xml:space="preserve">万元</w:t>
      </w:r>
      <w:r>
        <w:rPr>
          <w:rFonts w:ascii="Times New Roman" w:hAnsi="Times New Roman" w:cs="Times New Roman" w:hint="eastAsia"/>
          <w:color w:val="auto"/>
          <w:highlight w:val="none"/>
          <w:lang w:val="en-US" w:eastAsia="zh-CN"/>
        </w:rPr>
        <w:t xml:space="preserve">，</w:t>
      </w:r>
    </w:p>
    <w:p>
      <w:pPr>
        <w:bidi w:val="0"/>
        <w:jc w:val="both"/>
        <w:rPr>
          <w:rFonts w:ascii="Times New Roman" w:hAnsi="Times New Roman" w:cs="Times New Roman" w:hint="eastAsia"/>
          <w:color w:val="auto"/>
          <w:highlight w:val="none"/>
          <w:lang w:val="en-US" w:eastAsia="zh-CN"/>
        </w:rPr>
      </w:pPr>
      <w:r>
        <w:rPr>
          <w:rFonts w:ascii="Times New Roman" w:hAnsi="Times New Roman" w:cs="Times New Roman" w:hint="default"/>
          <w:color w:val="auto"/>
          <w:highlight w:val="none"/>
          <w:lang w:val="en-US" w:eastAsia="zh-CN"/>
        </w:rPr>
        <w:t xml:space="preserve">202</w:t>
      </w:r>
      <w:r>
        <w:rPr>
          <w:rFonts w:ascii="Times New Roman" w:hAnsi="Times New Roman" w:cs="Times New Roman" w:hint="eastAsia"/>
          <w:color w:val="auto"/>
          <w:highlight w:val="none"/>
          <w:lang w:val="en-US" w:eastAsia="zh-CN"/>
        </w:rPr>
        <w:t xml:space="preserve">4</w:t>
      </w:r>
      <w:r>
        <w:rPr>
          <w:rFonts w:ascii="Times New Roman" w:hAnsi="Times New Roman" w:cs="Times New Roman" w:hint="default"/>
          <w:color w:val="auto"/>
          <w:highlight w:val="none"/>
          <w:lang w:val="en-US" w:eastAsia="zh-CN"/>
        </w:rPr>
        <w:t xml:space="preserve">年</w:t>
      </w:r>
      <w:r>
        <w:rPr>
          <w:rFonts w:ascii="Times New Roman" w:hAnsi="Times New Roman" w:cs="Times New Roman" w:hint="eastAsia"/>
          <w:color w:val="auto"/>
          <w:highlight w:val="none"/>
          <w:lang w:val="en-US" w:eastAsia="zh-CN"/>
        </w:rPr>
        <w:t xml:space="preserve">7</w:t>
      </w:r>
      <w:r>
        <w:rPr>
          <w:rFonts w:ascii="Times New Roman" w:hAnsi="Times New Roman" w:cs="Times New Roman" w:hint="default"/>
          <w:color w:val="auto"/>
          <w:highlight w:val="none"/>
          <w:lang w:val="en-US" w:eastAsia="zh-CN"/>
        </w:rPr>
        <w:t xml:space="preserve">月</w:t>
      </w:r>
      <w:r>
        <w:rPr>
          <w:rFonts w:ascii="Times New Roman" w:hAnsi="Times New Roman" w:cs="Times New Roman" w:hint="eastAsia"/>
          <w:color w:val="auto"/>
          <w:highlight w:val="none"/>
          <w:lang w:val="en-US" w:eastAsia="zh-CN"/>
        </w:rPr>
        <w:t xml:space="preserve">3</w:t>
      </w:r>
      <w:r>
        <w:rPr>
          <w:rFonts w:ascii="Times New Roman" w:hAnsi="Times New Roman" w:cs="Times New Roman" w:hint="default"/>
          <w:color w:val="auto"/>
          <w:highlight w:val="none"/>
          <w:lang w:val="en-US" w:eastAsia="zh-CN"/>
        </w:rPr>
        <w:t xml:space="preserve">日，支付</w:t>
      </w:r>
      <w:r>
        <w:rPr>
          <w:rFonts w:ascii="Times New Roman" w:hAnsi="Times New Roman" w:cs="Times New Roman" w:hint="eastAsia"/>
          <w:color w:val="auto"/>
          <w:highlight w:val="none"/>
          <w:lang w:val="en-US" w:eastAsia="zh-CN"/>
        </w:rPr>
        <w:t xml:space="preserve">27.9</w:t>
      </w:r>
      <w:r>
        <w:rPr>
          <w:rFonts w:ascii="Times New Roman" w:hAnsi="Times New Roman" w:cs="Times New Roman" w:hint="default"/>
          <w:color w:val="auto"/>
          <w:highlight w:val="none"/>
          <w:lang w:val="en-US" w:eastAsia="zh-CN"/>
        </w:rPr>
        <w:t xml:space="preserve">万元</w:t>
      </w:r>
      <w:r>
        <w:rPr>
          <w:rFonts w:ascii="Times New Roman" w:hAnsi="Times New Roman" w:cs="Times New Roman" w:hint="eastAsia"/>
          <w:color w:val="auto"/>
          <w:highlight w:val="none"/>
          <w:lang w:val="en-US" w:eastAsia="zh-CN"/>
        </w:rPr>
        <w:t xml:space="preserve">，</w:t>
      </w:r>
    </w:p>
    <w:p>
      <w:pPr>
        <w:bidi w:val="0"/>
        <w:jc w:val="both"/>
        <w:rPr>
          <w:rFonts w:ascii="Times New Roman" w:hAnsi="Times New Roman" w:cs="Times New Roman" w:hint="eastAsia"/>
          <w:color w:val="auto"/>
          <w:highlight w:val="none"/>
          <w:lang w:val="en-US" w:eastAsia="zh-CN"/>
        </w:rPr>
      </w:pPr>
      <w:r>
        <w:rPr>
          <w:rFonts w:ascii="Times New Roman" w:hAnsi="Times New Roman" w:cs="Times New Roman" w:hint="default"/>
          <w:color w:val="auto"/>
          <w:highlight w:val="none"/>
          <w:lang w:val="en-US" w:eastAsia="zh-CN"/>
        </w:rPr>
        <w:t xml:space="preserve">202</w:t>
      </w:r>
      <w:r>
        <w:rPr>
          <w:rFonts w:ascii="Times New Roman" w:hAnsi="Times New Roman" w:cs="Times New Roman" w:hint="eastAsia"/>
          <w:color w:val="auto"/>
          <w:highlight w:val="none"/>
          <w:lang w:val="en-US" w:eastAsia="zh-CN"/>
        </w:rPr>
        <w:t xml:space="preserve">4</w:t>
      </w:r>
      <w:r>
        <w:rPr>
          <w:rFonts w:ascii="Times New Roman" w:hAnsi="Times New Roman" w:cs="Times New Roman" w:hint="default"/>
          <w:color w:val="auto"/>
          <w:highlight w:val="none"/>
          <w:lang w:val="en-US" w:eastAsia="zh-CN"/>
        </w:rPr>
        <w:t xml:space="preserve">年</w:t>
      </w:r>
      <w:r>
        <w:rPr>
          <w:rFonts w:ascii="Times New Roman" w:hAnsi="Times New Roman" w:cs="Times New Roman" w:hint="eastAsia"/>
          <w:color w:val="auto"/>
          <w:highlight w:val="none"/>
          <w:lang w:val="en-US" w:eastAsia="zh-CN"/>
        </w:rPr>
        <w:t xml:space="preserve">7</w:t>
      </w:r>
      <w:r>
        <w:rPr>
          <w:rFonts w:ascii="Times New Roman" w:hAnsi="Times New Roman" w:cs="Times New Roman" w:hint="default"/>
          <w:color w:val="auto"/>
          <w:highlight w:val="none"/>
          <w:lang w:val="en-US" w:eastAsia="zh-CN"/>
        </w:rPr>
        <w:t xml:space="preserve">月</w:t>
      </w:r>
      <w:r>
        <w:rPr>
          <w:rFonts w:ascii="Times New Roman" w:hAnsi="Times New Roman" w:cs="Times New Roman" w:hint="eastAsia"/>
          <w:color w:val="auto"/>
          <w:highlight w:val="none"/>
          <w:lang w:val="en-US" w:eastAsia="zh-CN"/>
        </w:rPr>
        <w:t xml:space="preserve">13</w:t>
      </w:r>
      <w:r>
        <w:rPr>
          <w:rFonts w:ascii="Times New Roman" w:hAnsi="Times New Roman" w:cs="Times New Roman" w:hint="default"/>
          <w:color w:val="auto"/>
          <w:highlight w:val="none"/>
          <w:lang w:val="en-US" w:eastAsia="zh-CN"/>
        </w:rPr>
        <w:t xml:space="preserve">日，支付</w:t>
      </w:r>
      <w:r>
        <w:rPr>
          <w:rFonts w:ascii="Times New Roman" w:hAnsi="Times New Roman" w:cs="Times New Roman" w:hint="eastAsia"/>
          <w:color w:val="auto"/>
          <w:highlight w:val="none"/>
          <w:lang w:val="en-US" w:eastAsia="zh-CN"/>
        </w:rPr>
        <w:t xml:space="preserve">27</w:t>
      </w:r>
      <w:r>
        <w:rPr>
          <w:rFonts w:ascii="Times New Roman" w:hAnsi="Times New Roman" w:cs="Times New Roman" w:hint="default"/>
          <w:color w:val="auto"/>
          <w:highlight w:val="none"/>
          <w:lang w:val="en-US" w:eastAsia="zh-CN"/>
        </w:rPr>
        <w:t xml:space="preserve">万元</w:t>
      </w:r>
      <w:r>
        <w:rPr>
          <w:rFonts w:ascii="Times New Roman" w:hAnsi="Times New Roman" w:cs="Times New Roman" w:hint="eastAsia"/>
          <w:color w:val="auto"/>
          <w:highlight w:val="none"/>
          <w:lang w:val="en-US" w:eastAsia="zh-CN"/>
        </w:rPr>
        <w:t xml:space="preserve">，</w:t>
      </w:r>
    </w:p>
    <w:p>
      <w:pPr>
        <w:bidi w:val="0"/>
        <w:jc w:val="both"/>
        <w:rPr>
          <w:rFonts w:ascii="Times New Roman" w:hAnsi="Times New Roman" w:cs="Times New Roman" w:hint="eastAsia"/>
          <w:color w:val="auto"/>
          <w:highlight w:val="none"/>
          <w:lang w:val="en-US" w:eastAsia="zh-CN"/>
        </w:rPr>
      </w:pPr>
      <w:r>
        <w:rPr>
          <w:rFonts w:ascii="Times New Roman" w:hAnsi="Times New Roman" w:cs="Times New Roman" w:hint="default"/>
          <w:color w:val="auto"/>
          <w:highlight w:val="none"/>
          <w:lang w:val="en-US" w:eastAsia="zh-CN"/>
        </w:rPr>
        <w:t xml:space="preserve">202</w:t>
      </w:r>
      <w:r>
        <w:rPr>
          <w:rFonts w:ascii="Times New Roman" w:hAnsi="Times New Roman" w:cs="Times New Roman" w:hint="eastAsia"/>
          <w:color w:val="auto"/>
          <w:highlight w:val="none"/>
          <w:lang w:val="en-US" w:eastAsia="zh-CN"/>
        </w:rPr>
        <w:t xml:space="preserve">4</w:t>
      </w:r>
      <w:r>
        <w:rPr>
          <w:rFonts w:ascii="Times New Roman" w:hAnsi="Times New Roman" w:cs="Times New Roman" w:hint="default"/>
          <w:color w:val="auto"/>
          <w:highlight w:val="none"/>
          <w:lang w:val="en-US" w:eastAsia="zh-CN"/>
        </w:rPr>
        <w:t xml:space="preserve">年</w:t>
      </w:r>
      <w:r>
        <w:rPr>
          <w:rFonts w:ascii="Times New Roman" w:hAnsi="Times New Roman" w:cs="Times New Roman" w:hint="eastAsia"/>
          <w:color w:val="auto"/>
          <w:highlight w:val="none"/>
          <w:lang w:val="en-US" w:eastAsia="zh-CN"/>
        </w:rPr>
        <w:t xml:space="preserve">8</w:t>
      </w:r>
      <w:r>
        <w:rPr>
          <w:rFonts w:ascii="Times New Roman" w:hAnsi="Times New Roman" w:cs="Times New Roman" w:hint="default"/>
          <w:color w:val="auto"/>
          <w:highlight w:val="none"/>
          <w:lang w:val="en-US" w:eastAsia="zh-CN"/>
        </w:rPr>
        <w:t xml:space="preserve">月</w:t>
      </w:r>
      <w:r>
        <w:rPr>
          <w:rFonts w:ascii="Times New Roman" w:hAnsi="Times New Roman" w:cs="Times New Roman" w:hint="eastAsia"/>
          <w:color w:val="auto"/>
          <w:highlight w:val="none"/>
          <w:lang w:val="en-US" w:eastAsia="zh-CN"/>
        </w:rPr>
        <w:t xml:space="preserve">16</w:t>
      </w:r>
      <w:r>
        <w:rPr>
          <w:rFonts w:ascii="Times New Roman" w:hAnsi="Times New Roman" w:cs="Times New Roman" w:hint="default"/>
          <w:color w:val="auto"/>
          <w:highlight w:val="none"/>
          <w:lang w:val="en-US" w:eastAsia="zh-CN"/>
        </w:rPr>
        <w:t xml:space="preserve">日，支付</w:t>
      </w:r>
      <w:r>
        <w:rPr>
          <w:rFonts w:ascii="Times New Roman" w:hAnsi="Times New Roman" w:cs="Times New Roman" w:hint="eastAsia"/>
          <w:color w:val="auto"/>
          <w:highlight w:val="none"/>
          <w:lang w:val="en-US" w:eastAsia="zh-CN"/>
        </w:rPr>
        <w:t xml:space="preserve">27.9</w:t>
      </w:r>
      <w:r>
        <w:rPr>
          <w:rFonts w:ascii="Times New Roman" w:hAnsi="Times New Roman" w:cs="Times New Roman" w:hint="default"/>
          <w:color w:val="auto"/>
          <w:highlight w:val="none"/>
          <w:lang w:val="en-US" w:eastAsia="zh-CN"/>
        </w:rPr>
        <w:t xml:space="preserve">万元</w:t>
      </w:r>
      <w:r>
        <w:rPr>
          <w:rFonts w:ascii="Times New Roman" w:hAnsi="Times New Roman" w:cs="Times New Roman" w:hint="eastAsia"/>
          <w:color w:val="auto"/>
          <w:highlight w:val="none"/>
          <w:lang w:val="en-US" w:eastAsia="zh-CN"/>
        </w:rPr>
        <w:t xml:space="preserve">，</w:t>
      </w:r>
    </w:p>
    <w:p>
      <w:pPr>
        <w:bidi w:val="0"/>
        <w:jc w:val="both"/>
        <w:rPr>
          <w:rFonts w:ascii="Times New Roman" w:hAnsi="Times New Roman" w:cs="Times New Roman" w:hint="eastAsia"/>
          <w:color w:val="auto"/>
          <w:highlight w:val="none"/>
          <w:lang w:val="en-US" w:eastAsia="zh-CN"/>
        </w:rPr>
      </w:pPr>
      <w:r>
        <w:rPr>
          <w:rFonts w:ascii="Times New Roman" w:hAnsi="Times New Roman" w:cs="Times New Roman" w:hint="default"/>
          <w:color w:val="auto"/>
          <w:highlight w:val="none"/>
          <w:lang w:val="en-US" w:eastAsia="zh-CN"/>
        </w:rPr>
        <w:t xml:space="preserve">202</w:t>
      </w:r>
      <w:r>
        <w:rPr>
          <w:rFonts w:ascii="Times New Roman" w:hAnsi="Times New Roman" w:cs="Times New Roman" w:hint="eastAsia"/>
          <w:color w:val="auto"/>
          <w:highlight w:val="none"/>
          <w:lang w:val="en-US" w:eastAsia="zh-CN"/>
        </w:rPr>
        <w:t xml:space="preserve">4</w:t>
      </w:r>
      <w:r>
        <w:rPr>
          <w:rFonts w:ascii="Times New Roman" w:hAnsi="Times New Roman" w:cs="Times New Roman" w:hint="default"/>
          <w:color w:val="auto"/>
          <w:highlight w:val="none"/>
          <w:lang w:val="en-US" w:eastAsia="zh-CN"/>
        </w:rPr>
        <w:t xml:space="preserve">年</w:t>
      </w:r>
      <w:r>
        <w:rPr>
          <w:rFonts w:ascii="Times New Roman" w:hAnsi="Times New Roman" w:cs="Times New Roman" w:hint="eastAsia"/>
          <w:color w:val="auto"/>
          <w:highlight w:val="none"/>
          <w:lang w:val="en-US" w:eastAsia="zh-CN"/>
        </w:rPr>
        <w:t xml:space="preserve">9</w:t>
      </w:r>
      <w:r>
        <w:rPr>
          <w:rFonts w:ascii="Times New Roman" w:hAnsi="Times New Roman" w:cs="Times New Roman" w:hint="default"/>
          <w:color w:val="auto"/>
          <w:highlight w:val="none"/>
          <w:lang w:val="en-US" w:eastAsia="zh-CN"/>
        </w:rPr>
        <w:t xml:space="preserve">月</w:t>
      </w:r>
      <w:r>
        <w:rPr>
          <w:rFonts w:ascii="Times New Roman" w:hAnsi="Times New Roman" w:cs="Times New Roman" w:hint="eastAsia"/>
          <w:color w:val="auto"/>
          <w:highlight w:val="none"/>
          <w:lang w:val="en-US" w:eastAsia="zh-CN"/>
        </w:rPr>
        <w:t xml:space="preserve">14</w:t>
      </w:r>
      <w:r>
        <w:rPr>
          <w:rFonts w:ascii="Times New Roman" w:hAnsi="Times New Roman" w:cs="Times New Roman" w:hint="default"/>
          <w:color w:val="auto"/>
          <w:highlight w:val="none"/>
          <w:lang w:val="en-US" w:eastAsia="zh-CN"/>
        </w:rPr>
        <w:t xml:space="preserve">日，支付</w:t>
      </w:r>
      <w:r>
        <w:rPr>
          <w:rFonts w:ascii="Times New Roman" w:hAnsi="Times New Roman" w:cs="Times New Roman" w:hint="eastAsia"/>
          <w:color w:val="auto"/>
          <w:highlight w:val="none"/>
          <w:lang w:val="en-US" w:eastAsia="zh-CN"/>
        </w:rPr>
        <w:t xml:space="preserve">27.9</w:t>
      </w:r>
      <w:r>
        <w:rPr>
          <w:rFonts w:ascii="Times New Roman" w:hAnsi="Times New Roman" w:cs="Times New Roman" w:hint="default"/>
          <w:color w:val="auto"/>
          <w:highlight w:val="none"/>
          <w:lang w:val="en-US" w:eastAsia="zh-CN"/>
        </w:rPr>
        <w:t xml:space="preserve">万元</w:t>
      </w:r>
      <w:r>
        <w:rPr>
          <w:rFonts w:ascii="Times New Roman" w:hAnsi="Times New Roman" w:cs="Times New Roman" w:hint="eastAsia"/>
          <w:color w:val="auto"/>
          <w:highlight w:val="none"/>
          <w:lang w:val="en-US" w:eastAsia="zh-CN"/>
        </w:rPr>
        <w:t xml:space="preserve">，</w:t>
      </w:r>
    </w:p>
    <w:p>
      <w:pPr>
        <w:bidi w:val="0"/>
        <w:jc w:val="both"/>
        <w:rPr>
          <w:rFonts w:ascii="Times New Roman" w:hAnsi="Times New Roman" w:cs="Times New Roman" w:hint="eastAsia"/>
          <w:color w:val="auto"/>
          <w:highlight w:val="none"/>
          <w:lang w:val="en-US" w:eastAsia="zh-CN"/>
        </w:rPr>
      </w:pPr>
      <w:r>
        <w:rPr>
          <w:rFonts w:ascii="Times New Roman" w:hAnsi="Times New Roman" w:cs="Times New Roman" w:hint="default"/>
          <w:color w:val="auto"/>
          <w:highlight w:val="none"/>
          <w:lang w:val="en-US" w:eastAsia="zh-CN"/>
        </w:rPr>
        <w:t xml:space="preserve">202</w:t>
      </w:r>
      <w:r>
        <w:rPr>
          <w:rFonts w:ascii="Times New Roman" w:hAnsi="Times New Roman" w:cs="Times New Roman" w:hint="eastAsia"/>
          <w:color w:val="auto"/>
          <w:highlight w:val="none"/>
          <w:lang w:val="en-US" w:eastAsia="zh-CN"/>
        </w:rPr>
        <w:t xml:space="preserve">4</w:t>
      </w:r>
      <w:r>
        <w:rPr>
          <w:rFonts w:ascii="Times New Roman" w:hAnsi="Times New Roman" w:cs="Times New Roman" w:hint="default"/>
          <w:color w:val="auto"/>
          <w:highlight w:val="none"/>
          <w:lang w:val="en-US" w:eastAsia="zh-CN"/>
        </w:rPr>
        <w:t xml:space="preserve">年</w:t>
      </w:r>
      <w:r>
        <w:rPr>
          <w:rFonts w:ascii="Times New Roman" w:hAnsi="Times New Roman" w:cs="Times New Roman" w:hint="eastAsia"/>
          <w:color w:val="auto"/>
          <w:highlight w:val="none"/>
          <w:lang w:val="en-US" w:eastAsia="zh-CN"/>
        </w:rPr>
        <w:t xml:space="preserve">10</w:t>
      </w:r>
      <w:r>
        <w:rPr>
          <w:rFonts w:ascii="Times New Roman" w:hAnsi="Times New Roman" w:cs="Times New Roman" w:hint="default"/>
          <w:color w:val="auto"/>
          <w:highlight w:val="none"/>
          <w:lang w:val="en-US" w:eastAsia="zh-CN"/>
        </w:rPr>
        <w:t xml:space="preserve">月</w:t>
      </w:r>
      <w:r>
        <w:rPr>
          <w:rFonts w:ascii="Times New Roman" w:hAnsi="Times New Roman" w:cs="Times New Roman" w:hint="eastAsia"/>
          <w:color w:val="auto"/>
          <w:highlight w:val="none"/>
          <w:lang w:val="en-US" w:eastAsia="zh-CN"/>
        </w:rPr>
        <w:t xml:space="preserve">12</w:t>
      </w:r>
      <w:r>
        <w:rPr>
          <w:rFonts w:ascii="Times New Roman" w:hAnsi="Times New Roman" w:cs="Times New Roman" w:hint="default"/>
          <w:color w:val="auto"/>
          <w:highlight w:val="none"/>
          <w:lang w:val="en-US" w:eastAsia="zh-CN"/>
        </w:rPr>
        <w:t xml:space="preserve">日，支付</w:t>
      </w:r>
      <w:r>
        <w:rPr>
          <w:rFonts w:ascii="Times New Roman" w:hAnsi="Times New Roman" w:cs="Times New Roman" w:hint="eastAsia"/>
          <w:color w:val="auto"/>
          <w:highlight w:val="none"/>
          <w:lang w:val="en-US" w:eastAsia="zh-CN"/>
        </w:rPr>
        <w:t xml:space="preserve">27</w:t>
      </w:r>
      <w:r>
        <w:rPr>
          <w:rFonts w:ascii="Times New Roman" w:hAnsi="Times New Roman" w:cs="Times New Roman" w:hint="default"/>
          <w:color w:val="auto"/>
          <w:highlight w:val="none"/>
          <w:lang w:val="en-US" w:eastAsia="zh-CN"/>
        </w:rPr>
        <w:t xml:space="preserve">万元</w:t>
      </w:r>
      <w:r>
        <w:rPr>
          <w:rFonts w:ascii="Times New Roman" w:hAnsi="Times New Roman" w:cs="Times New Roman" w:hint="eastAsia"/>
          <w:color w:val="auto"/>
          <w:highlight w:val="none"/>
          <w:lang w:val="en-US" w:eastAsia="zh-CN"/>
        </w:rPr>
        <w:t xml:space="preserve">，</w:t>
      </w:r>
    </w:p>
    <w:p>
      <w:pPr>
        <w:bidi w:val="0"/>
        <w:jc w:val="both"/>
        <w:rPr>
          <w:rFonts w:ascii="Times New Roman" w:hAnsi="Times New Roman" w:cs="Times New Roman" w:hint="eastAsia"/>
          <w:color w:val="auto"/>
          <w:highlight w:val="none"/>
          <w:lang w:val="en-US" w:eastAsia="zh-CN"/>
        </w:rPr>
      </w:pPr>
      <w:r>
        <w:rPr>
          <w:rFonts w:ascii="Times New Roman" w:hAnsi="Times New Roman" w:cs="Times New Roman" w:hint="default"/>
          <w:color w:val="auto"/>
          <w:highlight w:val="none"/>
          <w:lang w:val="en-US" w:eastAsia="zh-CN"/>
        </w:rPr>
        <w:t xml:space="preserve">202</w:t>
      </w:r>
      <w:r>
        <w:rPr>
          <w:rFonts w:ascii="Times New Roman" w:hAnsi="Times New Roman" w:cs="Times New Roman" w:hint="eastAsia"/>
          <w:color w:val="auto"/>
          <w:highlight w:val="none"/>
          <w:lang w:val="en-US" w:eastAsia="zh-CN"/>
        </w:rPr>
        <w:t xml:space="preserve">4</w:t>
      </w:r>
      <w:r>
        <w:rPr>
          <w:rFonts w:ascii="Times New Roman" w:hAnsi="Times New Roman" w:cs="Times New Roman" w:hint="default"/>
          <w:color w:val="auto"/>
          <w:highlight w:val="none"/>
          <w:lang w:val="en-US" w:eastAsia="zh-CN"/>
        </w:rPr>
        <w:t xml:space="preserve">年</w:t>
      </w:r>
      <w:r>
        <w:rPr>
          <w:rFonts w:ascii="Times New Roman" w:hAnsi="Times New Roman" w:cs="Times New Roman" w:hint="eastAsia"/>
          <w:color w:val="auto"/>
          <w:highlight w:val="none"/>
          <w:lang w:val="en-US" w:eastAsia="zh-CN"/>
        </w:rPr>
        <w:t xml:space="preserve">11</w:t>
      </w:r>
      <w:r>
        <w:rPr>
          <w:rFonts w:ascii="Times New Roman" w:hAnsi="Times New Roman" w:cs="Times New Roman" w:hint="default"/>
          <w:color w:val="auto"/>
          <w:highlight w:val="none"/>
          <w:lang w:val="en-US" w:eastAsia="zh-CN"/>
        </w:rPr>
        <w:t xml:space="preserve">月</w:t>
      </w:r>
      <w:r>
        <w:rPr>
          <w:rFonts w:ascii="Times New Roman" w:hAnsi="Times New Roman" w:cs="Times New Roman" w:hint="eastAsia"/>
          <w:color w:val="auto"/>
          <w:highlight w:val="none"/>
          <w:lang w:val="en-US" w:eastAsia="zh-CN"/>
        </w:rPr>
        <w:t xml:space="preserve">6</w:t>
      </w:r>
      <w:r>
        <w:rPr>
          <w:rFonts w:ascii="Times New Roman" w:hAnsi="Times New Roman" w:cs="Times New Roman" w:hint="default"/>
          <w:color w:val="auto"/>
          <w:highlight w:val="none"/>
          <w:lang w:val="en-US" w:eastAsia="zh-CN"/>
        </w:rPr>
        <w:t xml:space="preserve">日，支付</w:t>
      </w:r>
      <w:r>
        <w:rPr>
          <w:rFonts w:ascii="Times New Roman" w:hAnsi="Times New Roman" w:cs="Times New Roman" w:hint="eastAsia"/>
          <w:color w:val="auto"/>
          <w:highlight w:val="none"/>
          <w:lang w:val="en-US" w:eastAsia="zh-CN"/>
        </w:rPr>
        <w:t xml:space="preserve">27.9</w:t>
      </w:r>
      <w:r>
        <w:rPr>
          <w:rFonts w:ascii="Times New Roman" w:hAnsi="Times New Roman" w:cs="Times New Roman" w:hint="default"/>
          <w:color w:val="auto"/>
          <w:highlight w:val="none"/>
          <w:lang w:val="en-US" w:eastAsia="zh-CN"/>
        </w:rPr>
        <w:t xml:space="preserve">万元</w:t>
      </w:r>
      <w:r>
        <w:rPr>
          <w:rFonts w:ascii="Times New Roman" w:hAnsi="Times New Roman" w:cs="Times New Roman" w:hint="eastAsia"/>
          <w:color w:val="auto"/>
          <w:highlight w:val="none"/>
          <w:lang w:val="en-US" w:eastAsia="zh-CN"/>
        </w:rPr>
        <w:t xml:space="preserve">，</w:t>
      </w:r>
    </w:p>
    <w:p>
      <w:pPr>
        <w:bidi w:val="0"/>
        <w:jc w:val="both"/>
        <w:rPr>
          <w:rFonts w:ascii="Times New Roman" w:hAnsi="Times New Roman" w:cs="Times New Roman" w:hint="default"/>
          <w:color w:val="auto"/>
          <w:highlight w:val="none"/>
          <w:lang w:val="en-US" w:eastAsia="zh-CN"/>
        </w:rPr>
      </w:pPr>
      <w:r>
        <w:rPr>
          <w:rFonts w:ascii="Times New Roman" w:hAnsi="Times New Roman" w:cs="Times New Roman" w:hint="default"/>
          <w:color w:val="auto"/>
          <w:highlight w:val="none"/>
          <w:lang w:val="en-US" w:eastAsia="zh-CN"/>
        </w:rPr>
        <w:t xml:space="preserve">202</w:t>
      </w:r>
      <w:r>
        <w:rPr>
          <w:rFonts w:ascii="Times New Roman" w:hAnsi="Times New Roman" w:cs="Times New Roman" w:hint="eastAsia"/>
          <w:color w:val="auto"/>
          <w:highlight w:val="none"/>
          <w:lang w:val="en-US" w:eastAsia="zh-CN"/>
        </w:rPr>
        <w:t xml:space="preserve">4</w:t>
      </w:r>
      <w:r>
        <w:rPr>
          <w:rFonts w:ascii="Times New Roman" w:hAnsi="Times New Roman" w:cs="Times New Roman" w:hint="default"/>
          <w:color w:val="auto"/>
          <w:highlight w:val="none"/>
          <w:lang w:val="en-US" w:eastAsia="zh-CN"/>
        </w:rPr>
        <w:t xml:space="preserve">年</w:t>
      </w:r>
      <w:r>
        <w:rPr>
          <w:rFonts w:ascii="Times New Roman" w:hAnsi="Times New Roman" w:cs="Times New Roman" w:hint="eastAsia"/>
          <w:color w:val="auto"/>
          <w:highlight w:val="none"/>
          <w:lang w:val="en-US" w:eastAsia="zh-CN"/>
        </w:rPr>
        <w:t xml:space="preserve">12</w:t>
      </w:r>
      <w:r>
        <w:rPr>
          <w:rFonts w:ascii="Times New Roman" w:hAnsi="Times New Roman" w:cs="Times New Roman" w:hint="default"/>
          <w:color w:val="auto"/>
          <w:highlight w:val="none"/>
          <w:lang w:val="en-US" w:eastAsia="zh-CN"/>
        </w:rPr>
        <w:t xml:space="preserve">月</w:t>
      </w:r>
      <w:r>
        <w:rPr>
          <w:rFonts w:ascii="Times New Roman" w:hAnsi="Times New Roman" w:cs="Times New Roman" w:hint="eastAsia"/>
          <w:color w:val="auto"/>
          <w:highlight w:val="none"/>
          <w:lang w:val="en-US" w:eastAsia="zh-CN"/>
        </w:rPr>
        <w:t xml:space="preserve">12</w:t>
      </w:r>
      <w:r>
        <w:rPr>
          <w:rFonts w:ascii="Times New Roman" w:hAnsi="Times New Roman" w:cs="Times New Roman" w:hint="default"/>
          <w:color w:val="auto"/>
          <w:highlight w:val="none"/>
          <w:lang w:val="en-US" w:eastAsia="zh-CN"/>
        </w:rPr>
        <w:t xml:space="preserve">日，支付</w:t>
      </w:r>
      <w:r>
        <w:rPr>
          <w:rFonts w:ascii="Times New Roman" w:hAnsi="Times New Roman" w:cs="Times New Roman" w:hint="eastAsia"/>
          <w:color w:val="auto"/>
          <w:highlight w:val="none"/>
          <w:lang w:val="en-US" w:eastAsia="zh-CN"/>
        </w:rPr>
        <w:t xml:space="preserve">27</w:t>
      </w:r>
      <w:r>
        <w:rPr>
          <w:rFonts w:ascii="Times New Roman" w:hAnsi="Times New Roman" w:cs="Times New Roman" w:hint="default"/>
          <w:color w:val="auto"/>
          <w:highlight w:val="none"/>
          <w:lang w:val="en-US" w:eastAsia="zh-CN"/>
        </w:rPr>
        <w:t xml:space="preserve">万元</w:t>
      </w:r>
      <w:r>
        <w:rPr>
          <w:rFonts w:ascii="Times New Roman" w:hAnsi="Times New Roman" w:cs="Times New Roman" w:hint="eastAsia"/>
          <w:color w:val="auto"/>
          <w:highlight w:val="none"/>
          <w:lang w:val="en-US" w:eastAsia="zh-CN"/>
        </w:rPr>
        <w:t xml:space="preserve">。</w:t>
      </w:r>
    </w:p>
    <w:p>
      <w:pPr>
        <w:pStyle w:val="Heading3"/>
        <w:bidi w:val="0"/>
        <w:jc w:val="both"/>
        <w:outlineLvl w:val="1"/>
        <w:rPr>
          <w:rFonts w:ascii="Times New Roman" w:eastAsia="楷体" w:hAnsi="Times New Roman" w:cs="Times New Roman" w:hint="default"/>
          <w:color w:val="auto"/>
          <w:highlight w:val="none"/>
        </w:rPr>
      </w:pPr>
      <w:bookmarkStart w:id="35" w:name="_Toc20284"/>
      <w:bookmarkStart w:id="36" w:name="_Toc10600"/>
      <w:r>
        <w:rPr>
          <w:rFonts w:ascii="Times New Roman" w:eastAsia="楷体" w:hAnsi="Times New Roman" w:cs="Times New Roman" w:hint="default"/>
          <w:color w:val="auto"/>
          <w:highlight w:val="none"/>
        </w:rPr>
        <w:t xml:space="preserve">（二）项目绩效目标</w:t>
      </w:r>
      <w:bookmarkEnd w:id="30"/>
      <w:bookmarkEnd w:id="31"/>
      <w:bookmarkEnd w:id="32"/>
      <w:bookmarkEnd w:id="33"/>
      <w:bookmarkEnd w:id="34"/>
      <w:bookmarkEnd w:id="35"/>
      <w:bookmarkEnd w:id="36"/>
    </w:p>
    <w:p>
      <w:pPr>
        <w:bidi w:val="0"/>
        <w:jc w:val="both"/>
        <w:rPr>
          <w:rFonts w:ascii="Times New Roman" w:eastAsia="仿宋_GB2312" w:hAnsi="Times New Roman" w:cs="Times New Roman" w:hint="default"/>
          <w:b/>
          <w:bCs/>
          <w:color w:val="auto"/>
          <w:highlight w:val="none"/>
        </w:rPr>
      </w:pPr>
      <w:bookmarkStart w:id="37" w:name="_Toc905"/>
      <w:bookmarkStart w:id="38" w:name="_Toc18809"/>
      <w:r>
        <w:rPr>
          <w:rFonts w:ascii="Times New Roman" w:eastAsia="仿宋_GB2312" w:hAnsi="Times New Roman" w:cs="Times New Roman" w:hint="default"/>
          <w:b/>
          <w:bCs/>
          <w:color w:val="auto"/>
          <w:highlight w:val="none"/>
        </w:rPr>
        <w:t xml:space="preserve">1.总体目标</w:t>
      </w:r>
      <w:bookmarkEnd w:id="37"/>
      <w:bookmarkEnd w:id="38"/>
    </w:p>
    <w:p>
      <w:pPr>
        <w:bidi w:val="0"/>
        <w:jc w:val="both"/>
        <w:rPr>
          <w:rFonts w:ascii="Times New Roman" w:eastAsia="仿宋_GB2312" w:hAnsi="Times New Roman" w:cs="Times New Roman" w:hint="eastAsia"/>
          <w:color w:val="auto"/>
          <w:highlight w:val="none"/>
          <w:lang w:eastAsia="zh-CN"/>
        </w:rPr>
      </w:pPr>
      <w:bookmarkStart w:id="39" w:name="_Toc10045"/>
      <w:r>
        <w:rPr>
          <w:rFonts w:ascii="Times New Roman" w:eastAsia="仿宋_GB2312" w:hAnsi="Times New Roman" w:cs="Times New Roman" w:hint="eastAsia"/>
          <w:color w:val="auto"/>
          <w:highlight w:val="none"/>
          <w:lang w:eastAsia="zh-CN"/>
        </w:rPr>
        <w:t xml:space="preserve">依据关于将尉犁县污水处理厂（二期）工程PPP项目财政支出责任分年度列入财政预算批复的工作要求，完成全县城镇污水处理服务年度任务；运营项目公司年污水处理规模按100~183万立方米，按月实际处理天数付费；污水处理出水水质达到国家一级A标准，达标率100%；中水利用率达到50%以上，污泥无害化填埋处理率100%。改善人居环境，减少污染，满足环保要求。中水回用解决县城绿化缺水的紧张形势。</w:t>
      </w:r>
    </w:p>
    <w:p>
      <w:pPr>
        <w:bidi w:val="0"/>
        <w:jc w:val="both"/>
        <w:rPr>
          <w:rFonts w:ascii="Times New Roman" w:eastAsia="仿宋_GB2312" w:hAnsi="Times New Roman" w:cs="Times New Roman" w:hint="default"/>
          <w:b/>
          <w:bCs/>
          <w:color w:val="auto"/>
          <w:highlight w:val="none"/>
        </w:rPr>
      </w:pPr>
      <w:bookmarkStart w:id="40" w:name="_Toc11195"/>
      <w:r>
        <w:rPr>
          <w:rFonts w:ascii="Times New Roman" w:eastAsia="仿宋_GB2312" w:hAnsi="Times New Roman" w:cs="Times New Roman" w:hint="default"/>
          <w:b/>
          <w:bCs/>
          <w:color w:val="auto"/>
          <w:highlight w:val="none"/>
        </w:rPr>
        <w:t xml:space="preserve">2.阶段性目标</w:t>
      </w:r>
      <w:bookmarkEnd w:id="39"/>
      <w:bookmarkEnd w:id="40"/>
      <w:bookmarkStart w:id="41" w:name="_Toc31122"/>
      <w:bookmarkStart w:id="42" w:name="_Toc6534"/>
      <w:bookmarkStart w:id="43" w:name="_Toc6156"/>
      <w:bookmarkStart w:id="44" w:name="_Toc857"/>
      <w:bookmarkStart w:id="45" w:name="_Toc25321"/>
    </w:p>
    <w:p>
      <w:pPr>
        <w:bidi w:val="0"/>
        <w:jc w:val="both"/>
        <w:rPr>
          <w:rFonts w:ascii="Times New Roman" w:eastAsia="仿宋_GB2312" w:hAnsi="Times New Roman" w:cs="Times New Roman" w:hint="default"/>
          <w:bCs w:val="0"/>
          <w:iCs w:val="0"/>
          <w:color w:val="auto"/>
          <w:kern w:val="2"/>
          <w:sz w:val="32"/>
          <w:szCs w:val="22"/>
          <w:highlight w:val="none"/>
          <w:lang w:val="en-US" w:eastAsia="zh-CN" w:bidi="ar-SA"/>
        </w:rPr>
      </w:pPr>
      <w:r>
        <w:rPr>
          <w:rFonts w:ascii="Times New Roman" w:eastAsia="仿宋_GB2312" w:hAnsi="Times New Roman" w:cs="Times New Roman" w:hint="default"/>
          <w:bCs w:val="0"/>
          <w:iCs w:val="0"/>
          <w:color w:val="auto"/>
          <w:kern w:val="2"/>
          <w:sz w:val="32"/>
          <w:szCs w:val="22"/>
          <w:highlight w:val="none"/>
          <w:lang w:val="en-US" w:eastAsia="zh-CN" w:bidi="ar-SA"/>
        </w:rPr>
        <w:t xml:space="preserve">1月</w:t>
      </w:r>
      <w:r>
        <w:rPr>
          <w:rFonts w:ascii="Times New Roman" w:hAnsi="Times New Roman" w:cs="Times New Roman" w:hint="eastAsia"/>
          <w:bCs w:val="0"/>
          <w:iCs w:val="0"/>
          <w:color w:val="auto"/>
          <w:kern w:val="2"/>
          <w:sz w:val="32"/>
          <w:szCs w:val="22"/>
          <w:highlight w:val="none"/>
          <w:lang w:val="en-US" w:eastAsia="zh-CN" w:bidi="ar-SA"/>
        </w:rPr>
        <w:t xml:space="preserve">计划开展：</w:t>
      </w:r>
      <w:r>
        <w:rPr>
          <w:rFonts w:ascii="Times New Roman" w:eastAsia="仿宋_GB2312" w:hAnsi="Times New Roman" w:cs="Times New Roman" w:hint="default"/>
          <w:bCs w:val="0"/>
          <w:iCs w:val="0"/>
          <w:color w:val="auto"/>
          <w:kern w:val="2"/>
          <w:sz w:val="32"/>
          <w:szCs w:val="22"/>
          <w:highlight w:val="none"/>
          <w:lang w:val="en-US" w:eastAsia="zh-CN" w:bidi="ar-SA"/>
        </w:rPr>
        <w:t xml:space="preserve">全面检测分析冬季进水水质特点，确保出水化学需氧量（COD）、氨氮、总磷等关键指标稳定达标。完成所有关键设备（格栅机、曝气机、污泥脱水机等）的年度保养计划制定，对设备进行全面检查，记录设备运行状况，储备必要的设备零部件。</w:t>
      </w:r>
    </w:p>
    <w:p>
      <w:pPr>
        <w:bidi w:val="0"/>
        <w:ind w:firstLine="960" w:firstLineChars="300"/>
        <w:jc w:val="both"/>
        <w:rPr>
          <w:rFonts w:ascii="Times New Roman" w:eastAsia="仿宋_GB2312" w:hAnsi="Times New Roman" w:cs="Times New Roman" w:hint="default"/>
          <w:bCs w:val="0"/>
          <w:iCs w:val="0"/>
          <w:color w:val="auto"/>
          <w:kern w:val="2"/>
          <w:sz w:val="32"/>
          <w:szCs w:val="22"/>
          <w:highlight w:val="none"/>
          <w:lang w:val="en-US" w:eastAsia="zh-CN" w:bidi="ar-SA"/>
        </w:rPr>
      </w:pPr>
      <w:r>
        <w:rPr>
          <w:rFonts w:ascii="Times New Roman" w:eastAsia="仿宋_GB2312" w:hAnsi="Times New Roman" w:cs="Times New Roman" w:hint="eastAsia"/>
          <w:bCs w:val="0"/>
          <w:iCs w:val="0"/>
          <w:color w:val="auto"/>
          <w:kern w:val="2"/>
          <w:sz w:val="32"/>
          <w:szCs w:val="22"/>
          <w:highlight w:val="none"/>
          <w:lang w:val="en-US" w:eastAsia="zh-CN" w:bidi="ar-SA"/>
        </w:rPr>
        <w:t xml:space="preserve">4</w:t>
      </w:r>
      <w:r>
        <w:rPr>
          <w:rFonts w:ascii="Times New Roman" w:eastAsia="仿宋_GB2312" w:hAnsi="Times New Roman" w:cs="Times New Roman" w:hint="default"/>
          <w:bCs w:val="0"/>
          <w:iCs w:val="0"/>
          <w:color w:val="auto"/>
          <w:kern w:val="2"/>
          <w:sz w:val="32"/>
          <w:szCs w:val="22"/>
          <w:highlight w:val="none"/>
          <w:lang w:val="en-US" w:eastAsia="zh-CN" w:bidi="ar-SA"/>
        </w:rPr>
        <w:t xml:space="preserve">月</w:t>
      </w:r>
      <w:r>
        <w:rPr>
          <w:rFonts w:ascii="Times New Roman" w:hAnsi="Times New Roman" w:cs="Times New Roman" w:hint="eastAsia"/>
          <w:bCs w:val="0"/>
          <w:iCs w:val="0"/>
          <w:color w:val="auto"/>
          <w:kern w:val="2"/>
          <w:sz w:val="32"/>
          <w:szCs w:val="22"/>
          <w:highlight w:val="none"/>
          <w:lang w:val="en-US" w:eastAsia="zh-CN" w:bidi="ar-SA"/>
        </w:rPr>
        <w:t xml:space="preserve">计划开展：</w:t>
      </w:r>
      <w:r>
        <w:rPr>
          <w:rFonts w:ascii="Times New Roman" w:eastAsia="仿宋_GB2312" w:hAnsi="Times New Roman" w:cs="Times New Roman" w:hint="default"/>
          <w:bCs w:val="0"/>
          <w:iCs w:val="0"/>
          <w:color w:val="auto"/>
          <w:kern w:val="2"/>
          <w:sz w:val="32"/>
          <w:szCs w:val="22"/>
          <w:highlight w:val="none"/>
          <w:lang w:val="en-US" w:eastAsia="zh-CN" w:bidi="ar-SA"/>
        </w:rPr>
        <w:t xml:space="preserve">调试污泥浓缩设备</w:t>
      </w:r>
      <w:r>
        <w:rPr>
          <w:rFonts w:ascii="Times New Roman" w:eastAsia="仿宋_GB2312" w:hAnsi="Times New Roman" w:cs="Times New Roman" w:hint="eastAsia"/>
          <w:bCs w:val="0"/>
          <w:iCs w:val="0"/>
          <w:color w:val="auto"/>
          <w:kern w:val="2"/>
          <w:sz w:val="32"/>
          <w:szCs w:val="22"/>
          <w:highlight w:val="none"/>
          <w:lang w:val="en-US" w:eastAsia="zh-CN" w:bidi="ar-SA"/>
        </w:rPr>
        <w:t xml:space="preserve">，</w:t>
      </w:r>
      <w:r>
        <w:rPr>
          <w:rFonts w:ascii="Times New Roman" w:eastAsia="仿宋_GB2312" w:hAnsi="Times New Roman" w:cs="Times New Roman" w:hint="default"/>
          <w:bCs w:val="0"/>
          <w:iCs w:val="0"/>
          <w:color w:val="auto"/>
          <w:kern w:val="2"/>
          <w:sz w:val="32"/>
          <w:szCs w:val="22"/>
          <w:highlight w:val="none"/>
          <w:lang w:val="en-US" w:eastAsia="zh-CN" w:bidi="ar-SA"/>
        </w:rPr>
        <w:t xml:space="preserve">排查管网渗漏点并及时修复。重点维护预处理阶段设备，对格栅机的齿耙、链条进行检修更换，清理沉砂池积砂，保障预处理设备高效运</w:t>
      </w:r>
    </w:p>
    <w:p>
      <w:pPr>
        <w:bidi w:val="0"/>
        <w:jc w:val="both"/>
        <w:rPr>
          <w:rFonts w:ascii="Times New Roman" w:eastAsia="仿宋_GB2312" w:hAnsi="Times New Roman" w:cs="Times New Roman" w:hint="default"/>
          <w:bCs w:val="0"/>
          <w:iCs w:val="0"/>
          <w:color w:val="auto"/>
          <w:kern w:val="2"/>
          <w:sz w:val="32"/>
          <w:szCs w:val="22"/>
          <w:highlight w:val="none"/>
          <w:lang w:val="en-US" w:eastAsia="zh-CN" w:bidi="ar-SA"/>
        </w:rPr>
      </w:pPr>
      <w:r>
        <w:rPr>
          <w:rFonts w:ascii="Times New Roman" w:eastAsia="仿宋_GB2312" w:hAnsi="Times New Roman" w:cs="Times New Roman" w:hint="default"/>
          <w:bCs w:val="0"/>
          <w:iCs w:val="0"/>
          <w:color w:val="auto"/>
          <w:kern w:val="2"/>
          <w:sz w:val="32"/>
          <w:szCs w:val="22"/>
          <w:highlight w:val="none"/>
          <w:lang w:val="en-US" w:eastAsia="zh-CN" w:bidi="ar-SA"/>
        </w:rPr>
        <w:t xml:space="preserve">。</w:t>
      </w:r>
    </w:p>
    <w:p>
      <w:pPr>
        <w:bidi w:val="0"/>
        <w:rPr>
          <w:rFonts w:hint="default"/>
          <w:color w:val="auto"/>
          <w:highlight w:val="none"/>
          <w:lang w:val="en-US" w:eastAsia="zh-CN"/>
        </w:rPr>
      </w:pPr>
      <w:r>
        <w:rPr>
          <w:rFonts w:hint="default"/>
          <w:color w:val="auto"/>
          <w:highlight w:val="none"/>
          <w:lang w:val="en-US" w:eastAsia="zh-CN"/>
        </w:rPr>
        <w:t xml:space="preserve">6</w:t>
      </w:r>
      <w:r>
        <w:rPr>
          <w:rFonts w:hint="eastAsia"/>
          <w:color w:val="auto"/>
          <w:highlight w:val="none"/>
          <w:lang w:val="en-US" w:eastAsia="zh-CN"/>
        </w:rPr>
        <w:t xml:space="preserve">、</w:t>
      </w:r>
      <w:r>
        <w:rPr>
          <w:rFonts w:hint="default"/>
          <w:color w:val="auto"/>
          <w:highlight w:val="none"/>
          <w:lang w:val="en-US" w:eastAsia="zh-CN"/>
        </w:rPr>
        <w:t xml:space="preserve">月计划开展：随着夏季居民用水量增加，污水量同步上升，启动污水处理厂满负荷运行应急预案，提前调试备用设备，确保处理能力满足高峰需求。</w:t>
      </w:r>
    </w:p>
    <w:p>
      <w:pPr>
        <w:bidi w:val="0"/>
        <w:rPr>
          <w:rFonts w:hint="default"/>
          <w:color w:val="auto"/>
          <w:highlight w:val="none"/>
          <w:lang w:val="en-US" w:eastAsia="zh-CN"/>
        </w:rPr>
      </w:pPr>
      <w:r>
        <w:rPr>
          <w:rFonts w:hint="default"/>
          <w:color w:val="auto"/>
          <w:highlight w:val="none"/>
          <w:lang w:val="en-US" w:eastAsia="zh-CN"/>
        </w:rPr>
        <w:t xml:space="preserve">8月计划开展：针对夏季高温对微生物处理效能的影响，调整生物处理池的曝气量及微生物菌群结构，保障处理效果稳定。</w:t>
      </w:r>
    </w:p>
    <w:p>
      <w:pPr>
        <w:bidi w:val="0"/>
        <w:rPr>
          <w:rFonts w:hint="default"/>
          <w:color w:val="auto"/>
          <w:highlight w:val="none"/>
          <w:lang w:val="en-US" w:eastAsia="zh-CN"/>
        </w:rPr>
      </w:pPr>
      <w:r>
        <w:rPr>
          <w:rFonts w:hint="default"/>
          <w:color w:val="auto"/>
          <w:highlight w:val="none"/>
          <w:lang w:val="en-US" w:eastAsia="zh-CN"/>
        </w:rPr>
        <w:t xml:space="preserve">1</w:t>
      </w:r>
      <w:r>
        <w:rPr>
          <w:rFonts w:hint="eastAsia"/>
          <w:color w:val="auto"/>
          <w:highlight w:val="none"/>
          <w:lang w:val="en-US" w:eastAsia="zh-CN"/>
        </w:rPr>
        <w:t xml:space="preserve">1</w:t>
      </w:r>
      <w:r>
        <w:rPr>
          <w:rFonts w:hint="default"/>
          <w:color w:val="auto"/>
          <w:highlight w:val="none"/>
          <w:lang w:val="en-US" w:eastAsia="zh-CN"/>
        </w:rPr>
        <w:t xml:space="preserve">月计划开展：调整冬季污水处理工艺参数，适应低温水质特点。储备冬季设备防寒保暖物资，对设备采取保温措施。</w:t>
      </w:r>
    </w:p>
    <w:p>
      <w:pPr>
        <w:pStyle w:val="Heading2"/>
        <w:bidi w:val="0"/>
        <w:jc w:val="both"/>
        <w:outlineLvl w:val="0"/>
        <w:rPr>
          <w:rFonts w:ascii="Times New Roman" w:eastAsia="黑体" w:hAnsi="Times New Roman" w:cs="Times New Roman" w:hint="default"/>
          <w:color w:val="auto"/>
          <w:highlight w:val="none"/>
        </w:rPr>
      </w:pPr>
      <w:bookmarkStart w:id="46" w:name="_Toc9610"/>
      <w:bookmarkStart w:id="47" w:name="_Toc15916"/>
      <w:r>
        <w:rPr>
          <w:rFonts w:ascii="Times New Roman" w:eastAsia="黑体" w:hAnsi="Times New Roman" w:cs="Times New Roman" w:hint="default"/>
          <w:color w:val="auto"/>
          <w:highlight w:val="none"/>
        </w:rPr>
        <w:t xml:space="preserve">二、绩效评价工作开展情况</w:t>
      </w:r>
      <w:bookmarkEnd w:id="41"/>
      <w:bookmarkEnd w:id="42"/>
      <w:bookmarkEnd w:id="43"/>
      <w:bookmarkEnd w:id="44"/>
      <w:bookmarkEnd w:id="45"/>
      <w:bookmarkEnd w:id="46"/>
      <w:bookmarkEnd w:id="47"/>
    </w:p>
    <w:p>
      <w:pPr>
        <w:pStyle w:val="Heading3"/>
        <w:bidi w:val="0"/>
        <w:jc w:val="both"/>
        <w:outlineLvl w:val="1"/>
        <w:rPr>
          <w:rFonts w:ascii="Times New Roman" w:eastAsia="楷体" w:hAnsi="Times New Roman" w:cs="Times New Roman" w:hint="default"/>
          <w:color w:val="auto"/>
          <w:highlight w:val="none"/>
        </w:rPr>
      </w:pPr>
      <w:bookmarkStart w:id="48" w:name="_Toc8658"/>
      <w:bookmarkStart w:id="49" w:name="_Toc17516"/>
      <w:bookmarkStart w:id="50" w:name="_Toc5312"/>
      <w:bookmarkStart w:id="51" w:name="_Toc10300"/>
      <w:bookmarkStart w:id="52" w:name="_Toc30569"/>
      <w:bookmarkStart w:id="53" w:name="_Toc32557"/>
      <w:r>
        <w:rPr>
          <w:rFonts w:ascii="Times New Roman" w:eastAsia="楷体" w:hAnsi="Times New Roman" w:cs="Times New Roman" w:hint="default"/>
          <w:color w:val="auto"/>
          <w:highlight w:val="none"/>
        </w:rPr>
        <w:t xml:space="preserve">（一）绩效评价目的、对象和范围</w:t>
      </w:r>
      <w:bookmarkEnd w:id="48"/>
      <w:bookmarkEnd w:id="49"/>
      <w:bookmarkEnd w:id="50"/>
      <w:bookmarkEnd w:id="51"/>
      <w:bookmarkEnd w:id="52"/>
      <w:bookmarkEnd w:id="53"/>
    </w:p>
    <w:p>
      <w:pPr>
        <w:bidi w:val="0"/>
        <w:jc w:val="both"/>
        <w:rPr>
          <w:rFonts w:ascii="Times New Roman" w:eastAsia="仿宋_GB2312" w:hAnsi="Times New Roman" w:cs="Times New Roman" w:hint="default"/>
          <w:b/>
          <w:bCs/>
          <w:color w:val="auto"/>
          <w:highlight w:val="none"/>
        </w:rPr>
      </w:pPr>
      <w:bookmarkStart w:id="54" w:name="_Toc11562"/>
      <w:bookmarkStart w:id="55" w:name="_Toc12440"/>
      <w:r>
        <w:rPr>
          <w:rFonts w:ascii="Times New Roman" w:eastAsia="仿宋_GB2312" w:hAnsi="Times New Roman" w:cs="Times New Roman" w:hint="default"/>
          <w:b/>
          <w:bCs/>
          <w:color w:val="auto"/>
          <w:highlight w:val="none"/>
        </w:rPr>
        <w:t xml:space="preserve">1.绩效评价目的</w:t>
      </w:r>
      <w:bookmarkEnd w:id="54"/>
      <w:bookmarkEnd w:id="55"/>
    </w:p>
    <w:p>
      <w:pPr>
        <w:bidi w:val="0"/>
        <w:jc w:val="both"/>
        <w:rPr>
          <w:color w:val="auto"/>
          <w:highlight w:val="none"/>
        </w:rPr>
      </w:pPr>
      <w:r>
        <w:rPr>
          <w:rFonts w:ascii="Times New Roman" w:eastAsia="仿宋_GB2312" w:hAnsi="Times New Roman" w:cs="Times New Roman" w:hint="default"/>
          <w:color w:val="auto"/>
          <w:highlight w:val="none"/>
        </w:rPr>
        <w:t xml:space="preserve">本次绩效评价遵循财政部《关于印发</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项目支出绩效评价管理办法</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的通知》（财预〔2020〕10号）文件精神，对</w:t>
      </w:r>
      <w:r>
        <w:rPr>
          <w:rFonts w:ascii="仿宋_GB2312" w:hAnsi="仿宋_GB2312" w:cs="仿宋_GB2312" w:hint="eastAsia"/>
          <w:b w:val="0"/>
          <w:bCs w:val="0"/>
          <w:color w:val="auto"/>
          <w:highlight w:val="none"/>
          <w:lang w:val="en-US" w:eastAsia="zh-CN"/>
        </w:rPr>
        <w:t xml:space="preserve">2024年尉犁县城镇污水处理厂（二期）工程PPP项目服务费</w:t>
      </w:r>
      <w:r>
        <w:rPr>
          <w:rFonts w:ascii="Times New Roman" w:eastAsia="仿宋_GB2312" w:hAnsi="Times New Roman" w:cs="Times New Roman" w:hint="default"/>
          <w:color w:val="auto"/>
          <w:highlight w:val="none"/>
        </w:rPr>
        <w:t xml:space="preserve">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6" w:name="OLE_LINK1"/>
      <w:bookmarkStart w:id="57" w:name="OLE_LINK7"/>
      <w:r>
        <w:rPr>
          <w:rFonts w:hint="eastAsia"/>
          <w:color w:val="auto"/>
          <w:highlight w:val="none"/>
        </w:rPr>
        <w:t xml:space="preserve">具体绩效评价的目的细分如下：</w:t>
      </w:r>
    </w:p>
    <w:p>
      <w:pPr>
        <w:ind w:firstLine="560"/>
        <w:rPr>
          <w:color w:val="auto"/>
          <w:highlight w:val="none"/>
        </w:rPr>
      </w:pPr>
      <w:r>
        <w:rPr>
          <w:rFonts w:hint="eastAsia"/>
          <w:color w:val="auto"/>
          <w:highlight w:val="none"/>
        </w:rPr>
        <w:t xml:space="preserve">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 xml:space="preserve">，</w:t>
      </w:r>
      <w:r>
        <w:rPr>
          <w:rFonts w:hint="eastAsia"/>
          <w:color w:val="auto"/>
          <w:highlight w:val="none"/>
        </w:rPr>
        <w:t xml:space="preserve">提升财政资金的使用效能。</w:t>
      </w:r>
    </w:p>
    <w:p>
      <w:pPr>
        <w:ind w:firstLine="560"/>
        <w:rPr>
          <w:color w:val="auto"/>
          <w:highlight w:val="none"/>
        </w:rPr>
      </w:pPr>
      <w:r>
        <w:rPr>
          <w:rFonts w:hint="eastAsia"/>
          <w:color w:val="auto"/>
          <w:highlight w:val="none"/>
        </w:rPr>
        <w:t xml:space="preserve">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ind w:firstLine="560"/>
        <w:rPr>
          <w:color w:val="auto"/>
          <w:highlight w:val="none"/>
        </w:rPr>
      </w:pPr>
      <w:r>
        <w:rPr>
          <w:rFonts w:hint="eastAsia"/>
          <w:color w:val="auto"/>
          <w:highlight w:val="none"/>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rPr>
          <w:rFonts w:hint="eastAsia"/>
          <w:color w:val="auto"/>
          <w:highlight w:val="none"/>
        </w:rPr>
      </w:pPr>
      <w:r>
        <w:rPr>
          <w:rFonts w:hint="eastAsia"/>
          <w:color w:val="auto"/>
          <w:highlight w:val="none"/>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6"/>
      <w:bookmarkEnd w:id="57"/>
      <w:bookmarkStart w:id="58" w:name="_Toc8924"/>
      <w:bookmarkStart w:id="59" w:name="_Toc2159"/>
    </w:p>
    <w:p>
      <w:pPr>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2.绩效评价对象</w:t>
      </w:r>
      <w:bookmarkEnd w:id="58"/>
      <w:r>
        <w:rPr>
          <w:rFonts w:ascii="Times New Roman" w:eastAsia="仿宋_GB2312" w:hAnsi="Times New Roman" w:cs="Times New Roman" w:hint="default"/>
          <w:b/>
          <w:bCs/>
          <w:color w:val="auto"/>
          <w:highlight w:val="none"/>
        </w:rPr>
        <w:t xml:space="preserve">和范围</w:t>
      </w:r>
      <w:bookmarkEnd w:id="59"/>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根据《财政支出绩效评价管理办法》（财预〔2020〕10号）文件要求，对</w:t>
      </w:r>
      <w:r>
        <w:rPr>
          <w:rFonts w:ascii="仿宋_GB2312" w:hAnsi="仿宋_GB2312" w:cs="仿宋_GB2312" w:hint="eastAsia"/>
          <w:b w:val="0"/>
          <w:bCs w:val="0"/>
          <w:color w:val="auto"/>
          <w:highlight w:val="none"/>
          <w:lang w:val="en-US" w:eastAsia="zh-CN"/>
        </w:rPr>
        <w:t xml:space="preserve">2024年尉犁县城镇污水处理厂（二期）工程PPP项目服务费</w:t>
      </w:r>
      <w:r>
        <w:rPr>
          <w:rFonts w:ascii="Times New Roman" w:eastAsia="仿宋_GB2312" w:hAnsi="Times New Roman" w:cs="Times New Roman" w:hint="default"/>
          <w:color w:val="auto"/>
          <w:highlight w:val="none"/>
        </w:rPr>
        <w:t xml:space="preserve">开展绩效评价，本次绩效评价范围主要围绕项目决策（包括项目</w:t>
      </w:r>
      <w:r>
        <w:rPr>
          <w:rFonts w:ascii="Times New Roman" w:hAnsi="Times New Roman" w:cs="Times New Roman" w:hint="eastAsia"/>
          <w:color w:val="auto"/>
          <w:highlight w:val="none"/>
          <w:lang w:eastAsia="zh-CN"/>
        </w:rPr>
        <w:t xml:space="preserve">实施</w:t>
      </w:r>
      <w:r>
        <w:rPr>
          <w:rFonts w:ascii="Times New Roman" w:eastAsia="仿宋_GB2312" w:hAnsi="Times New Roman" w:cs="Times New Roman" w:hint="default"/>
          <w:color w:val="auto"/>
          <w:highlight w:val="none"/>
        </w:rPr>
        <w:t xml:space="preserve">、绩效目标、资金投入）、项目过程（包括资金管理、组织实施）、项目产出（包括产出数量、质量、时效、成本）和项目效益等进行评价。</w:t>
      </w:r>
    </w:p>
    <w:p>
      <w:pPr>
        <w:pStyle w:val="Heading3"/>
        <w:bidi w:val="0"/>
        <w:jc w:val="both"/>
        <w:outlineLvl w:val="1"/>
        <w:rPr>
          <w:rFonts w:ascii="楷体" w:eastAsia="楷体" w:hAnsi="楷体" w:cs="楷体" w:hint="eastAsia"/>
          <w:color w:val="auto"/>
          <w:highlight w:val="none"/>
        </w:rPr>
      </w:pPr>
      <w:bookmarkStart w:id="60" w:name="_Toc13496"/>
      <w:bookmarkStart w:id="61" w:name="_Toc3054"/>
      <w:bookmarkStart w:id="62" w:name="_Toc19566"/>
      <w:bookmarkStart w:id="63" w:name="_Toc15409"/>
      <w:bookmarkStart w:id="64" w:name="_Toc22526"/>
      <w:bookmarkStart w:id="65" w:name="_Toc17158"/>
      <w:r>
        <w:rPr>
          <w:rFonts w:ascii="楷体" w:eastAsia="楷体" w:hAnsi="楷体" w:cs="楷体" w:hint="eastAsia"/>
          <w:color w:val="auto"/>
          <w:highlight w:val="none"/>
        </w:rPr>
        <w:t xml:space="preserve">（二）绩效评价原则、评价指标体系、评价方法、评价标准</w:t>
      </w:r>
      <w:bookmarkEnd w:id="60"/>
      <w:bookmarkEnd w:id="61"/>
      <w:bookmarkEnd w:id="62"/>
      <w:bookmarkEnd w:id="63"/>
      <w:bookmarkEnd w:id="64"/>
      <w:bookmarkEnd w:id="65"/>
    </w:p>
    <w:p>
      <w:pPr>
        <w:bidi w:val="0"/>
        <w:jc w:val="both"/>
        <w:rPr>
          <w:rFonts w:ascii="Times New Roman" w:eastAsia="仿宋_GB2312" w:hAnsi="Times New Roman" w:cs="Times New Roman" w:hint="default"/>
          <w:b/>
          <w:bCs/>
          <w:color w:val="auto"/>
          <w:highlight w:val="none"/>
        </w:rPr>
      </w:pPr>
      <w:bookmarkStart w:id="66" w:name="_Toc18268"/>
      <w:bookmarkStart w:id="67" w:name="_Toc23487"/>
      <w:r>
        <w:rPr>
          <w:rFonts w:ascii="Times New Roman" w:eastAsia="仿宋_GB2312" w:hAnsi="Times New Roman" w:cs="Times New Roman" w:hint="default"/>
          <w:b/>
          <w:bCs/>
          <w:color w:val="auto"/>
          <w:highlight w:val="none"/>
        </w:rPr>
        <w:t xml:space="preserve">1.绩效评价原则</w:t>
      </w:r>
      <w:bookmarkEnd w:id="66"/>
      <w:bookmarkEnd w:id="67"/>
    </w:p>
    <w:p>
      <w:pPr>
        <w:ind w:firstLine="560"/>
        <w:rPr>
          <w:color w:val="auto"/>
          <w:highlight w:val="none"/>
        </w:rPr>
      </w:pPr>
      <w:bookmarkStart w:id="68" w:name="OLE_LINK8"/>
      <w:bookmarkStart w:id="69" w:name="OLE_LINK2"/>
      <w:r>
        <w:rPr>
          <w:rFonts w:hint="eastAsia"/>
          <w:color w:val="auto"/>
          <w:highlight w:val="none"/>
        </w:rPr>
        <w:t xml:space="preserve">依据《中华人民共和国预算法》《中共 中央国务院关于全面实施预算绩效管理的意见》（中发〔2018〕34号）《项目支出绩效评价管理办法》（财预〔2020〕10号</w:t>
      </w:r>
      <w:r>
        <w:rPr>
          <w:rFonts w:hint="eastAsia"/>
          <w:color w:val="auto"/>
          <w:highlight w:val="none"/>
          <w:lang w:eastAsia="zh-CN"/>
        </w:rPr>
        <w:t xml:space="preserve">）</w:t>
      </w:r>
      <w:r>
        <w:rPr>
          <w:rFonts w:hint="eastAsia"/>
          <w:color w:val="auto"/>
          <w:highlight w:val="none"/>
        </w:rPr>
        <w:t xml:space="preserve">《自治区党委自治区人民政府关于全面实施预算绩效管理的实施意见》（新党发〔2018〕30号）《自治区财政支出绩效评价管理暂行办法》（新财预〔2018〕189号）等要求，绩效评价应遵循如下原则：</w:t>
      </w:r>
      <w:bookmarkEnd w:id="68"/>
      <w:bookmarkEnd w:id="69"/>
    </w:p>
    <w:p>
      <w:pPr>
        <w:bidi w:val="0"/>
        <w:ind w:left="0" w:firstLine="640" w:leftChars="0" w:firstLineChars="20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（1）科学公正。绩效评价应当运用科学合理的方法，按照规范的程序，对项目绩效进行客观、</w:t>
      </w:r>
      <w:r>
        <w:rPr>
          <w:rFonts w:ascii="Times New Roman" w:eastAsia="仿宋_GB2312" w:hAnsi="Times New Roman" w:cs="Times New Roman" w:hint="default"/>
          <w:color w:val="auto"/>
          <w:highlight w:val="none"/>
          <w:lang w:eastAsia="zh-CN"/>
        </w:rPr>
        <w:t xml:space="preserve">公正地反映</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（2）统筹兼顾。单位自评应由项目单位自主实施，即“谁支出、谁自评”。</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（3）激励约束。绩效评价结果应与预算安排、政策调整、改进管理实质性挂钩，体现奖优罚劣和激励相容导向，有效要安排、低效要压减、无效要问责。</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（4）公开透明。</w:t>
      </w:r>
      <w:r>
        <w:rPr>
          <w:rFonts w:ascii="Times New Roman" w:eastAsia="仿宋_GB2312" w:hAnsi="Times New Roman" w:cs="Times New Roman" w:hint="default"/>
          <w:color w:val="auto"/>
          <w:highlight w:val="none"/>
          <w:lang w:val="en-US" w:eastAsia="zh-CN"/>
        </w:rPr>
        <w:t xml:space="preserve">本次项目支出绩效评价结果已依法依规在</w:t>
      </w:r>
      <w:r>
        <w:rPr>
          <w:rFonts w:ascii="Times New Roman" w:hAnsi="Times New Roman" w:cs="Times New Roman" w:hint="eastAsia"/>
          <w:color w:val="auto"/>
          <w:highlight w:val="none"/>
          <w:lang w:val="en-US" w:eastAsia="zh-CN"/>
        </w:rPr>
        <w:t xml:space="preserve">尉犁</w:t>
      </w:r>
      <w:r>
        <w:rPr>
          <w:rFonts w:ascii="Times New Roman" w:eastAsia="仿宋_GB2312" w:hAnsi="Times New Roman" w:cs="Times New Roman" w:hint="default"/>
          <w:color w:val="auto"/>
          <w:highlight w:val="none"/>
          <w:lang w:val="en-US" w:eastAsia="zh-CN"/>
        </w:rPr>
        <w:t xml:space="preserve">县人民政府网站上公开，并自觉接受社会监督</w:t>
      </w:r>
      <w:r>
        <w:rPr>
          <w:rFonts w:ascii="Times New Roman" w:eastAsia="仿宋_GB2312" w:hAnsi="Times New Roman" w:cs="Times New Roman" w:hint="default"/>
          <w:color w:val="auto"/>
          <w:highlight w:val="none"/>
        </w:rPr>
        <w:t xml:space="preserve">。</w:t>
      </w:r>
    </w:p>
    <w:p>
      <w:pPr>
        <w:keepNext w:val="0"/>
        <w:keepLines w:val="0"/>
        <w:pageBreakBefore w:val="0"/>
        <w:widowControl w:val="0"/>
        <w:kinsoku/>
        <w:wordWrap/>
        <w:overflowPunct/>
        <w:topLinePunct w:val="0"/>
        <w:autoSpaceDE/>
        <w:autoSpaceDN/>
        <w:bidi w:val="0"/>
        <w:adjustRightInd/>
        <w:snapToGrid/>
        <w:ind w:firstLine="560"/>
        <w:textAlignment w:val="auto"/>
        <w:rPr>
          <w:color w:val="auto"/>
          <w:highlight w:val="none"/>
        </w:rPr>
      </w:pPr>
      <w:bookmarkStart w:id="70" w:name="OLE_LINK9"/>
      <w:bookmarkStart w:id="71" w:name="OLE_LINK3"/>
      <w:r>
        <w:rPr>
          <w:rFonts w:hint="eastAsia"/>
          <w:color w:val="auto"/>
          <w:highlight w:val="none"/>
        </w:rPr>
        <w:t xml:space="preserve">根据以上原则</w:t>
      </w:r>
      <w:r>
        <w:rPr>
          <w:rFonts w:hint="eastAsia"/>
          <w:color w:val="auto"/>
          <w:highlight w:val="none"/>
          <w:lang w:eastAsia="zh-CN"/>
        </w:rPr>
        <w:t xml:space="preserve">，</w:t>
      </w:r>
      <w:r>
        <w:rPr>
          <w:rFonts w:hint="eastAsia"/>
          <w:color w:val="auto"/>
          <w:highlight w:val="none"/>
        </w:rPr>
        <w:t xml:space="preserve">绩效评价应遵循如下要求:</w:t>
      </w:r>
    </w:p>
    <w:p>
      <w:pPr>
        <w:keepNext w:val="0"/>
        <w:keepLines w:val="0"/>
        <w:pageBreakBefore w:val="0"/>
        <w:widowControl w:val="0"/>
        <w:kinsoku/>
        <w:wordWrap/>
        <w:overflowPunct/>
        <w:topLinePunct w:val="0"/>
        <w:autoSpaceDE/>
        <w:autoSpaceDN/>
        <w:bidi w:val="0"/>
        <w:adjustRightInd/>
        <w:snapToGrid/>
        <w:ind w:firstLine="560"/>
        <w:textAlignment w:val="auto"/>
        <w:rPr>
          <w:color w:val="auto"/>
          <w:highlight w:val="none"/>
        </w:rPr>
      </w:pPr>
      <w:r>
        <w:rPr>
          <w:rFonts w:hint="eastAsia"/>
          <w:color w:val="auto"/>
          <w:highlight w:val="none"/>
        </w:rPr>
        <w:t xml:space="preserve">（1）在数据采集时</w:t>
      </w:r>
      <w:r>
        <w:rPr>
          <w:rFonts w:hint="eastAsia"/>
          <w:color w:val="auto"/>
          <w:highlight w:val="none"/>
          <w:lang w:eastAsia="zh-CN"/>
        </w:rPr>
        <w:t xml:space="preserve">，</w:t>
      </w:r>
      <w:r>
        <w:rPr>
          <w:rFonts w:hint="eastAsia"/>
          <w:color w:val="auto"/>
          <w:highlight w:val="none"/>
        </w:rPr>
        <w:t xml:space="preserve">采取客观数据</w:t>
      </w:r>
      <w:r>
        <w:rPr>
          <w:rFonts w:hint="eastAsia"/>
          <w:color w:val="auto"/>
          <w:highlight w:val="none"/>
          <w:lang w:eastAsia="zh-CN"/>
        </w:rPr>
        <w:t xml:space="preserve">，</w:t>
      </w:r>
      <w:r>
        <w:rPr>
          <w:rFonts w:hint="eastAsia"/>
          <w:color w:val="auto"/>
          <w:highlight w:val="none"/>
        </w:rPr>
        <w:t xml:space="preserve">主管部门审查、社会中介组织复查</w:t>
      </w:r>
      <w:r>
        <w:rPr>
          <w:rFonts w:hint="eastAsia"/>
          <w:color w:val="auto"/>
          <w:highlight w:val="none"/>
          <w:lang w:eastAsia="zh-CN"/>
        </w:rPr>
        <w:t xml:space="preserve">，</w:t>
      </w:r>
      <w:r>
        <w:rPr>
          <w:rFonts w:hint="eastAsia"/>
          <w:color w:val="auto"/>
          <w:highlight w:val="none"/>
        </w:rPr>
        <w:t xml:space="preserve">与问卷调查相结合的形式</w:t>
      </w:r>
      <w:r>
        <w:rPr>
          <w:rFonts w:hint="eastAsia"/>
          <w:color w:val="auto"/>
          <w:highlight w:val="none"/>
          <w:lang w:eastAsia="zh-CN"/>
        </w:rPr>
        <w:t xml:space="preserve">，</w:t>
      </w:r>
      <w:r>
        <w:rPr>
          <w:rFonts w:hint="eastAsia"/>
          <w:color w:val="auto"/>
          <w:highlight w:val="none"/>
        </w:rPr>
        <w:t xml:space="preserve">以保证各项指标的真实性。</w:t>
      </w:r>
    </w:p>
    <w:p>
      <w:pPr>
        <w:keepNext w:val="0"/>
        <w:keepLines w:val="0"/>
        <w:pageBreakBefore w:val="0"/>
        <w:widowControl w:val="0"/>
        <w:kinsoku/>
        <w:wordWrap/>
        <w:overflowPunct/>
        <w:topLinePunct w:val="0"/>
        <w:autoSpaceDE/>
        <w:autoSpaceDN/>
        <w:bidi w:val="0"/>
        <w:adjustRightInd/>
        <w:snapToGrid/>
        <w:ind w:firstLine="560"/>
        <w:textAlignment w:val="auto"/>
        <w:rPr>
          <w:color w:val="auto"/>
          <w:highlight w:val="none"/>
        </w:rPr>
      </w:pPr>
      <w:r>
        <w:rPr>
          <w:rFonts w:hint="eastAsia"/>
          <w:color w:val="auto"/>
          <w:highlight w:val="none"/>
        </w:rPr>
        <w:t xml:space="preserve">（2）保证评价结果的真实性、公正性</w:t>
      </w:r>
      <w:r>
        <w:rPr>
          <w:rFonts w:hint="eastAsia"/>
          <w:color w:val="auto"/>
          <w:highlight w:val="none"/>
          <w:lang w:eastAsia="zh-CN"/>
        </w:rPr>
        <w:t xml:space="preserve">，</w:t>
      </w:r>
      <w:r>
        <w:rPr>
          <w:rFonts w:hint="eastAsia"/>
          <w:color w:val="auto"/>
          <w:highlight w:val="none"/>
        </w:rPr>
        <w:t xml:space="preserve">提高评价报告的公信力。</w:t>
      </w:r>
    </w:p>
    <w:p>
      <w:pPr>
        <w:keepNext w:val="0"/>
        <w:keepLines w:val="0"/>
        <w:pageBreakBefore w:val="0"/>
        <w:widowControl w:val="0"/>
        <w:kinsoku/>
        <w:wordWrap/>
        <w:overflowPunct/>
        <w:topLinePunct w:val="0"/>
        <w:autoSpaceDE/>
        <w:autoSpaceDN/>
        <w:bidi w:val="0"/>
        <w:adjustRightInd/>
        <w:snapToGrid/>
        <w:ind w:firstLine="560"/>
        <w:textAlignment w:val="auto"/>
        <w:rPr>
          <w:color w:val="auto"/>
          <w:highlight w:val="none"/>
        </w:rPr>
      </w:pPr>
      <w:r>
        <w:rPr>
          <w:rFonts w:hint="eastAsia"/>
          <w:color w:val="auto"/>
          <w:highlight w:val="none"/>
        </w:rPr>
        <w:t xml:space="preserve">（3）</w:t>
      </w:r>
      <w:r>
        <w:rPr>
          <w:rFonts w:hint="eastAsia"/>
          <w:color w:val="auto"/>
          <w:highlight w:val="none"/>
          <w:lang w:val="en-US" w:eastAsia="zh-CN"/>
        </w:rPr>
        <w:t xml:space="preserve">绩效</w:t>
      </w:r>
      <w:r>
        <w:rPr>
          <w:rFonts w:hint="eastAsia"/>
          <w:color w:val="auto"/>
          <w:highlight w:val="none"/>
        </w:rPr>
        <w:t xml:space="preserve">评价报告应当简明扼要</w:t>
      </w:r>
      <w:r>
        <w:rPr>
          <w:rFonts w:hint="eastAsia"/>
          <w:color w:val="auto"/>
          <w:highlight w:val="none"/>
          <w:lang w:eastAsia="zh-CN"/>
        </w:rPr>
        <w:t xml:space="preserve">，</w:t>
      </w:r>
      <w:r>
        <w:rPr>
          <w:rFonts w:hint="eastAsia"/>
          <w:color w:val="auto"/>
          <w:highlight w:val="none"/>
        </w:rPr>
        <w:t xml:space="preserve">除了对绩效评价的过程、结果描述外</w:t>
      </w:r>
      <w:r>
        <w:rPr>
          <w:rFonts w:hint="eastAsia"/>
          <w:color w:val="auto"/>
          <w:highlight w:val="none"/>
          <w:lang w:eastAsia="zh-CN"/>
        </w:rPr>
        <w:t xml:space="preserve">，</w:t>
      </w:r>
      <w:r>
        <w:rPr>
          <w:rFonts w:hint="eastAsia"/>
          <w:color w:val="auto"/>
          <w:highlight w:val="none"/>
        </w:rPr>
        <w:t xml:space="preserve">还应总结经验</w:t>
      </w:r>
      <w:r>
        <w:rPr>
          <w:rFonts w:hint="eastAsia"/>
          <w:color w:val="auto"/>
          <w:highlight w:val="none"/>
          <w:lang w:eastAsia="zh-CN"/>
        </w:rPr>
        <w:t xml:space="preserve">，</w:t>
      </w:r>
      <w:r>
        <w:rPr>
          <w:rFonts w:hint="eastAsia"/>
          <w:color w:val="auto"/>
          <w:highlight w:val="none"/>
        </w:rPr>
        <w:t xml:space="preserve">指出问题</w:t>
      </w:r>
      <w:r>
        <w:rPr>
          <w:rFonts w:hint="eastAsia"/>
          <w:color w:val="auto"/>
          <w:highlight w:val="none"/>
          <w:lang w:eastAsia="zh-CN"/>
        </w:rPr>
        <w:t xml:space="preserve">，</w:t>
      </w:r>
      <w:r>
        <w:rPr>
          <w:rFonts w:hint="eastAsia"/>
          <w:color w:val="auto"/>
          <w:highlight w:val="none"/>
        </w:rPr>
        <w:t xml:space="preserve">并就共性问题提出可操作性改进建议。评价工作组本着科学规范、公平公正、绩效相关的原则，采用全面、重点、现场和非现场相结合的方式进行评价。</w:t>
      </w:r>
      <w:bookmarkEnd w:id="70"/>
      <w:bookmarkEnd w:id="71"/>
    </w:p>
    <w:p>
      <w:pPr>
        <w:bidi w:val="0"/>
        <w:ind w:left="0" w:firstLine="640" w:leftChars="0" w:firstLineChars="200"/>
        <w:jc w:val="both"/>
        <w:rPr>
          <w:rFonts w:ascii="Times New Roman" w:eastAsia="仿宋_GB2312" w:hAnsi="Times New Roman" w:cs="Times New Roman" w:hint="default"/>
          <w:b/>
          <w:bCs/>
          <w:color w:val="auto"/>
          <w:highlight w:val="none"/>
        </w:rPr>
      </w:pPr>
      <w:bookmarkStart w:id="72" w:name="_Toc23112"/>
      <w:bookmarkStart w:id="73" w:name="_Toc28342"/>
      <w:r>
        <w:rPr>
          <w:rFonts w:ascii="Times New Roman" w:eastAsia="仿宋_GB2312" w:hAnsi="Times New Roman" w:cs="Times New Roman" w:hint="default"/>
          <w:b/>
          <w:bCs/>
          <w:color w:val="auto"/>
          <w:highlight w:val="none"/>
        </w:rPr>
        <w:t xml:space="preserve">2.评价指标体系</w:t>
      </w:r>
      <w:bookmarkEnd w:id="72"/>
      <w:bookmarkEnd w:id="73"/>
    </w:p>
    <w:p>
      <w:pPr>
        <w:bidi w:val="0"/>
        <w:jc w:val="both"/>
        <w:rPr>
          <w:rFonts w:ascii="Times New Roman" w:eastAsia="仿宋_GB2312" w:hAnsi="Times New Roman" w:cs="Times New Roman" w:hint="default"/>
          <w:color w:val="auto"/>
          <w:highlight w:val="none"/>
        </w:rPr>
      </w:pPr>
      <w:r>
        <w:rPr>
          <w:rFonts w:ascii="仿宋_GB2312" w:hAnsi="仿宋_GB2312" w:cs="仿宋_GB2312" w:hint="eastAsia"/>
          <w:b w:val="0"/>
          <w:bCs w:val="0"/>
          <w:color w:val="auto"/>
          <w:highlight w:val="none"/>
          <w:lang w:val="en-US" w:eastAsia="zh-CN"/>
        </w:rPr>
        <w:t xml:space="preserve">2024年尉犁县城镇污水处理厂（二期）工程PPP项目服务费</w:t>
      </w:r>
      <w:r>
        <w:rPr>
          <w:rFonts w:ascii="Times New Roman" w:eastAsia="仿宋_GB2312" w:hAnsi="Times New Roman" w:cs="Times New Roman" w:hint="default"/>
          <w:color w:val="auto"/>
          <w:highlight w:val="none"/>
        </w:rPr>
        <w:t xml:space="preserve">绩效评价（部门自评）指标体系的设计，是在充分掌握项目状况的基础上，形成了</w:t>
      </w:r>
      <w:r>
        <w:rPr>
          <w:rFonts w:ascii="仿宋_GB2312" w:hAnsi="仿宋_GB2312" w:cs="仿宋_GB2312" w:hint="eastAsia"/>
          <w:b w:val="0"/>
          <w:bCs w:val="0"/>
          <w:color w:val="auto"/>
          <w:highlight w:val="none"/>
          <w:lang w:val="en-US" w:eastAsia="zh-CN"/>
        </w:rPr>
        <w:t xml:space="preserve">2024年尉犁县城镇污水处理厂（二期）工程PPP项目服务费</w:t>
      </w:r>
      <w:r>
        <w:rPr>
          <w:rFonts w:ascii="Times New Roman" w:eastAsia="仿宋_GB2312" w:hAnsi="Times New Roman" w:cs="Times New Roman" w:hint="default"/>
          <w:color w:val="auto"/>
          <w:highlight w:val="none"/>
        </w:rPr>
        <w:t xml:space="preserve">的项目支出绩效评价指标体系（部门自评）。本项目设计绩效评价指标体系满分100分。四个级别分别是：优、良、中、差，90（含）-100分为优、80（含）-90分为良、60（含）-80分为中、60分以下为差。</w:t>
      </w:r>
    </w:p>
    <w:p>
      <w:pPr>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按照财预〔2020〕10号文件关于“原则上产出、效益指标权重不低于60%”的要求，本项目产出、效益指标权重60%（即60分）。</w:t>
      </w:r>
      <w:bookmarkStart w:id="74" w:name="_Toc10631"/>
      <w:bookmarkStart w:id="75" w:name="_Toc15680"/>
      <w:r>
        <w:rPr>
          <w:rFonts w:eastAsia="仿宋_GB2312" w:cs="Times New Roman" w:hint="eastAsia"/>
          <w:bCs w:val="0"/>
          <w:iCs w:val="0"/>
          <w:color w:val="auto"/>
          <w:kern w:val="2"/>
          <w:sz w:val="32"/>
          <w:szCs w:val="22"/>
          <w:highlight w:val="none"/>
          <w:lang w:val="en-US" w:eastAsia="zh-CN" w:bidi="ar-SA"/>
        </w:rPr>
        <w:t xml:space="preserve">（详见：附表2）</w:t>
      </w:r>
    </w:p>
    <w:p>
      <w:pPr>
        <w:bidi w:val="0"/>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3.绩效评价方法</w:t>
      </w:r>
      <w:bookmarkEnd w:id="74"/>
      <w:bookmarkEnd w:id="75"/>
    </w:p>
    <w:p>
      <w:pPr>
        <w:keepNext w:val="0"/>
        <w:keepLines w:val="0"/>
        <w:widowControl/>
        <w:suppressLineNumbers w:val="0"/>
        <w:jc w:val="left"/>
        <w:rPr>
          <w:color w:val="auto"/>
          <w:sz w:val="32"/>
          <w:szCs w:val="32"/>
          <w:highlight w:val="none"/>
        </w:rPr>
      </w:pPr>
      <w:bookmarkStart w:id="76" w:name="OLE_LINK10"/>
      <w:r>
        <w:rPr>
          <w:rFonts w:ascii="仿宋_GB2312" w:eastAsia="仿宋_GB2312" w:hAnsi="宋体" w:cs="仿宋_GB2312"/>
          <w:color w:val="auto"/>
          <w:kern w:val="0"/>
          <w:sz w:val="32"/>
          <w:szCs w:val="32"/>
          <w:highlight w:val="none"/>
          <w:lang w:val="en-US" w:eastAsia="zh-CN"/>
        </w:rPr>
        <w:t xml:space="preserve">绩效评价从项目决策、项目过程、项目产出、项目效益四</w:t>
      </w:r>
      <w:r>
        <w:rPr>
          <w:rFonts w:ascii="仿宋_GB2312" w:eastAsia="仿宋_GB2312" w:hAnsi="宋体" w:cs="仿宋_GB2312" w:hint="eastAsia"/>
          <w:color w:val="auto"/>
          <w:kern w:val="0"/>
          <w:sz w:val="32"/>
          <w:szCs w:val="32"/>
          <w:highlight w:val="none"/>
          <w:lang w:val="en-US" w:eastAsia="zh-CN"/>
        </w:rPr>
        <w:t xml:space="preserve">个维度进行评价。评价对象为项目目标实施情况，评价核心为资金的支出完成情况和项目的产出效益。</w:t>
      </w:r>
      <w:bookmarkEnd w:id="76"/>
    </w:p>
    <w:p>
      <w:pPr>
        <w:bidi w:val="0"/>
        <w:jc w:val="both"/>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rPr>
        <w:t xml:space="preserve">结合</w:t>
      </w:r>
      <w:r>
        <w:rPr>
          <w:rFonts w:ascii="仿宋_GB2312" w:hAnsi="仿宋_GB2312" w:cs="仿宋_GB2312" w:hint="eastAsia"/>
          <w:b w:val="0"/>
          <w:bCs w:val="0"/>
          <w:color w:val="auto"/>
          <w:highlight w:val="none"/>
          <w:lang w:val="en-US" w:eastAsia="zh-CN"/>
        </w:rPr>
        <w:t xml:space="preserve">2024年尉犁县城镇污水处理厂（二期）工程PPP项目服务费</w:t>
      </w:r>
      <w:r>
        <w:rPr>
          <w:rFonts w:ascii="Times New Roman" w:eastAsia="仿宋_GB2312" w:hAnsi="Times New Roman" w:cs="Times New Roman" w:hint="default"/>
          <w:color w:val="auto"/>
          <w:highlight w:val="none"/>
        </w:rPr>
        <w:t xml:space="preserve">的特点，</w:t>
      </w:r>
      <w:r>
        <w:rPr>
          <w:rFonts w:ascii="Times New Roman" w:hAnsi="Times New Roman" w:cs="Times New Roman" w:hint="eastAsia"/>
          <w:color w:val="auto"/>
          <w:highlight w:val="none"/>
          <w:lang w:val="en-US" w:eastAsia="zh-CN"/>
        </w:rPr>
        <w:t xml:space="preserve">本次评价主要运用比较法、公众评判法，原因是：</w:t>
      </w:r>
    </w:p>
    <w:p>
      <w:pPr>
        <w:bidi w:val="0"/>
        <w:jc w:val="both"/>
        <w:rPr>
          <w:rFonts w:ascii="Times New Roman" w:eastAsia="仿宋_GB2312" w:hAnsi="Times New Roman" w:cs="Times New Roman" w:hint="default"/>
          <w:color w:val="auto"/>
          <w:highlight w:val="none"/>
          <w:lang w:val="en-US" w:eastAsia="zh-CN"/>
        </w:rPr>
      </w:pPr>
      <w:r>
        <w:rPr>
          <w:rFonts w:ascii="Times New Roman" w:hAnsi="Times New Roman" w:cs="Times New Roman" w:hint="eastAsia"/>
          <w:color w:val="auto"/>
          <w:highlight w:val="none"/>
          <w:lang w:val="en-US" w:eastAsia="zh-CN"/>
        </w:rPr>
        <w:t xml:space="preserve">比较法：</w:t>
      </w:r>
      <w:r>
        <w:rPr>
          <w:rFonts w:ascii="Times New Roman" w:eastAsia="仿宋_GB2312" w:hAnsi="Times New Roman" w:cs="Times New Roman" w:hint="default"/>
          <w:color w:val="auto"/>
          <w:highlight w:val="none"/>
          <w:lang w:val="en-US" w:eastAsia="zh-CN"/>
        </w:rPr>
        <w:t xml:space="preserve">本项目绩效评价将项目实施情况即实际完成的</w:t>
      </w:r>
      <w:r>
        <w:rPr>
          <w:rFonts w:ascii="Times New Roman" w:hAnsi="Times New Roman" w:cs="Times New Roman" w:hint="eastAsia"/>
          <w:color w:val="auto"/>
          <w:highlight w:val="none"/>
          <w:lang w:val="en-US" w:eastAsia="zh-CN"/>
        </w:rPr>
        <w:t xml:space="preserve">污水处理厂处理能力</w:t>
      </w:r>
      <w:r>
        <w:rPr>
          <w:rFonts w:ascii="Times New Roman" w:eastAsia="仿宋_GB2312" w:hAnsi="Times New Roman" w:cs="Times New Roman" w:hint="default"/>
          <w:color w:val="auto"/>
          <w:highlight w:val="none"/>
          <w:lang w:val="en-US" w:eastAsia="zh-CN"/>
        </w:rPr>
        <w:t xml:space="preserve">、</w:t>
      </w:r>
      <w:r>
        <w:rPr>
          <w:rFonts w:ascii="Times New Roman" w:hAnsi="Times New Roman" w:cs="Times New Roman" w:hint="eastAsia"/>
          <w:color w:val="auto"/>
          <w:highlight w:val="none"/>
          <w:lang w:val="en-US" w:eastAsia="zh-CN"/>
        </w:rPr>
        <w:t xml:space="preserve">生活污水处理率</w:t>
      </w:r>
      <w:r>
        <w:rPr>
          <w:rFonts w:ascii="Times New Roman" w:eastAsia="仿宋_GB2312" w:hAnsi="Times New Roman" w:cs="Times New Roman" w:hint="default"/>
          <w:color w:val="auto"/>
          <w:highlight w:val="none"/>
          <w:lang w:val="en-US" w:eastAsia="zh-CN"/>
        </w:rPr>
        <w:t xml:space="preserve">等指标与年初设定的目标值进行比较</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b/>
          <w:bCs/>
          <w:color w:val="auto"/>
          <w:highlight w:val="none"/>
        </w:rPr>
      </w:pPr>
      <w:bookmarkStart w:id="77" w:name="_Toc15525"/>
      <w:bookmarkStart w:id="78" w:name="_Toc3155"/>
      <w:r>
        <w:rPr>
          <w:rFonts w:ascii="Times New Roman" w:eastAsia="仿宋_GB2312" w:hAnsi="Times New Roman" w:cs="Times New Roman" w:hint="default"/>
          <w:b/>
          <w:bCs/>
          <w:color w:val="auto"/>
          <w:highlight w:val="none"/>
        </w:rPr>
        <w:t xml:space="preserve">4.绩效评价标准</w:t>
      </w:r>
      <w:bookmarkEnd w:id="77"/>
      <w:bookmarkEnd w:id="78"/>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绩效评价标准通常包括计划标准、行业标准、历史标准等，用于对绩效指标完成情况进行比较。</w:t>
      </w:r>
    </w:p>
    <w:p>
      <w:pPr>
        <w:pStyle w:val="CommentText"/>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结合</w:t>
      </w:r>
      <w:r>
        <w:rPr>
          <w:rFonts w:ascii="仿宋_GB2312" w:hAnsi="仿宋_GB2312" w:cs="仿宋_GB2312" w:hint="eastAsia"/>
          <w:b w:val="0"/>
          <w:bCs w:val="0"/>
          <w:color w:val="auto"/>
          <w:highlight w:val="none"/>
          <w:lang w:val="en-US" w:eastAsia="zh-CN"/>
        </w:rPr>
        <w:t xml:space="preserve">尉犁县城镇污水处理厂（二期）工程PPP项目</w:t>
      </w:r>
      <w:r>
        <w:rPr>
          <w:rFonts w:ascii="Times New Roman" w:eastAsia="仿宋_GB2312" w:hAnsi="Times New Roman" w:cs="Times New Roman" w:hint="default"/>
          <w:color w:val="auto"/>
          <w:highlight w:val="none"/>
        </w:rPr>
        <w:t xml:space="preserve">的特点，</w:t>
      </w:r>
      <w:bookmarkStart w:id="79" w:name="_Toc30219"/>
      <w:bookmarkStart w:id="80" w:name="_Toc15381"/>
      <w:bookmarkStart w:id="81" w:name="_Toc17851"/>
      <w:bookmarkStart w:id="82" w:name="_Toc26411"/>
      <w:r>
        <w:rPr>
          <w:rFonts w:ascii="Times New Roman" w:eastAsia="仿宋_GB2312" w:hAnsi="Times New Roman" w:cs="Times New Roman" w:hint="default"/>
          <w:bCs/>
          <w:color w:val="auto"/>
          <w:kern w:val="2"/>
          <w:sz w:val="32"/>
          <w:szCs w:val="32"/>
          <w:highlight w:val="none"/>
          <w:lang w:val="en-US" w:eastAsia="zh-CN" w:bidi="ar-SA"/>
        </w:rPr>
        <w:t xml:space="preserve">本项目绩效评价以预先制定的</w:t>
      </w:r>
      <w:r>
        <w:rPr>
          <w:rFonts w:ascii="Times New Roman" w:hAnsi="Times New Roman" w:cs="Times New Roman" w:hint="eastAsia"/>
          <w:color w:val="auto"/>
          <w:highlight w:val="none"/>
          <w:lang w:val="en-US" w:eastAsia="zh-CN"/>
        </w:rPr>
        <w:t xml:space="preserve">污水处理厂处理能力</w:t>
      </w:r>
      <w:r>
        <w:rPr>
          <w:rFonts w:ascii="Times New Roman" w:eastAsia="仿宋_GB2312" w:hAnsi="Times New Roman" w:cs="Times New Roman" w:hint="default"/>
          <w:color w:val="auto"/>
          <w:highlight w:val="none"/>
          <w:lang w:val="en-US" w:eastAsia="zh-CN"/>
        </w:rPr>
        <w:t xml:space="preserve">、</w:t>
      </w:r>
      <w:r>
        <w:rPr>
          <w:rFonts w:ascii="Times New Roman" w:hAnsi="Times New Roman" w:cs="Times New Roman" w:hint="eastAsia"/>
          <w:color w:val="auto"/>
          <w:highlight w:val="none"/>
          <w:lang w:val="en-US" w:eastAsia="zh-CN"/>
        </w:rPr>
        <w:t xml:space="preserve">生活污水处理率</w:t>
      </w:r>
      <w:r>
        <w:rPr>
          <w:rFonts w:ascii="Times New Roman" w:eastAsia="仿宋_GB2312" w:hAnsi="Times New Roman" w:cs="Times New Roman" w:hint="default"/>
          <w:bCs/>
          <w:color w:val="auto"/>
          <w:kern w:val="2"/>
          <w:sz w:val="32"/>
          <w:szCs w:val="32"/>
          <w:highlight w:val="none"/>
          <w:lang w:val="en-US" w:eastAsia="zh-CN" w:bidi="ar-SA"/>
        </w:rPr>
        <w:t xml:space="preserve">为计划数作为评价标准。</w:t>
      </w:r>
      <w:r>
        <w:rPr>
          <w:rFonts w:ascii="Times New Roman" w:hAnsi="Times New Roman" w:cs="Times New Roman" w:hint="eastAsia"/>
          <w:bCs/>
          <w:color w:val="auto"/>
          <w:kern w:val="2"/>
          <w:sz w:val="32"/>
          <w:szCs w:val="32"/>
          <w:highlight w:val="none"/>
          <w:lang w:val="en-US" w:eastAsia="zh-CN" w:bidi="ar-SA"/>
        </w:rPr>
        <w:t xml:space="preserve">参照本单位同类项目绩效评价指标的历史数据作为样本，运用一定的统计学方法计算出各类指标的平均历史水平作为评价标准。</w:t>
      </w:r>
      <w:r>
        <w:rPr>
          <w:rFonts w:ascii="Times New Roman" w:eastAsia="仿宋_GB2312" w:hAnsi="Times New Roman" w:cs="Times New Roman" w:hint="default"/>
          <w:bCs/>
          <w:color w:val="auto"/>
          <w:kern w:val="2"/>
          <w:sz w:val="32"/>
          <w:szCs w:val="32"/>
          <w:highlight w:val="none"/>
          <w:lang w:val="en-US" w:eastAsia="zh-CN" w:bidi="ar-SA"/>
        </w:rPr>
        <w:t xml:space="preserve">因此，采取的绩效评价标准为：计划标准、</w:t>
      </w:r>
      <w:r>
        <w:rPr>
          <w:rFonts w:ascii="Times New Roman" w:hAnsi="Times New Roman" w:cs="Times New Roman" w:hint="eastAsia"/>
          <w:bCs/>
          <w:color w:val="auto"/>
          <w:kern w:val="2"/>
          <w:sz w:val="32"/>
          <w:szCs w:val="32"/>
          <w:highlight w:val="none"/>
          <w:lang w:val="en-US" w:eastAsia="zh-CN" w:bidi="ar-SA"/>
        </w:rPr>
        <w:t xml:space="preserve">历史</w:t>
      </w:r>
      <w:r>
        <w:rPr>
          <w:rFonts w:ascii="Times New Roman" w:eastAsia="仿宋_GB2312" w:hAnsi="Times New Roman" w:cs="Times New Roman" w:hint="default"/>
          <w:bCs/>
          <w:color w:val="auto"/>
          <w:kern w:val="2"/>
          <w:sz w:val="32"/>
          <w:szCs w:val="32"/>
          <w:highlight w:val="none"/>
          <w:lang w:val="en-US" w:eastAsia="zh-CN" w:bidi="ar-SA"/>
        </w:rPr>
        <w:t xml:space="preserve">标准。</w:t>
      </w:r>
    </w:p>
    <w:p>
      <w:pPr>
        <w:pStyle w:val="Heading3"/>
        <w:bidi w:val="0"/>
        <w:jc w:val="both"/>
        <w:outlineLvl w:val="1"/>
        <w:rPr>
          <w:rFonts w:ascii="楷体" w:eastAsia="楷体" w:hAnsi="楷体" w:cs="楷体" w:hint="eastAsia"/>
          <w:color w:val="auto"/>
          <w:highlight w:val="none"/>
        </w:rPr>
      </w:pPr>
      <w:bookmarkStart w:id="83" w:name="_Toc26775"/>
      <w:bookmarkStart w:id="84" w:name="_Toc23335"/>
      <w:r>
        <w:rPr>
          <w:rFonts w:ascii="楷体" w:eastAsia="楷体" w:hAnsi="楷体" w:cs="楷体" w:hint="eastAsia"/>
          <w:color w:val="auto"/>
          <w:highlight w:val="none"/>
        </w:rPr>
        <w:t xml:space="preserve">（三）绩效评价工作过程</w:t>
      </w:r>
      <w:bookmarkEnd w:id="79"/>
      <w:bookmarkEnd w:id="80"/>
      <w:bookmarkEnd w:id="81"/>
      <w:bookmarkEnd w:id="82"/>
      <w:bookmarkEnd w:id="83"/>
      <w:bookmarkEnd w:id="84"/>
    </w:p>
    <w:p>
      <w:pPr>
        <w:bidi w:val="0"/>
        <w:jc w:val="both"/>
        <w:rPr>
          <w:rFonts w:ascii="Times New Roman" w:eastAsia="仿宋_GB2312" w:hAnsi="Times New Roman" w:cs="Times New Roman" w:hint="eastAsia"/>
          <w:b/>
          <w:bCs/>
          <w:color w:val="auto"/>
          <w:highlight w:val="none"/>
          <w:lang w:eastAsia="zh-CN"/>
        </w:rPr>
      </w:pPr>
      <w:bookmarkStart w:id="85" w:name="_Toc27442"/>
      <w:bookmarkStart w:id="86" w:name="_Toc17595"/>
      <w:bookmarkStart w:id="87" w:name="_Toc30911"/>
      <w:bookmarkStart w:id="88" w:name="_Toc22987"/>
      <w:bookmarkStart w:id="89" w:name="_Toc31054"/>
      <w:r>
        <w:rPr>
          <w:rFonts w:ascii="Times New Roman" w:eastAsia="仿宋_GB2312" w:hAnsi="Times New Roman" w:cs="Times New Roman" w:hint="default"/>
          <w:b/>
          <w:bCs/>
          <w:color w:val="auto"/>
          <w:highlight w:val="none"/>
        </w:rPr>
        <w:t xml:space="preserve">1.前期准备</w:t>
      </w:r>
      <w:bookmarkEnd w:id="85"/>
      <w:bookmarkEnd w:id="86"/>
      <w:bookmarkEnd w:id="87"/>
      <w:bookmarkEnd w:id="88"/>
      <w:bookmarkEnd w:id="89"/>
      <w:r>
        <w:rPr>
          <w:rFonts w:ascii="Times New Roman" w:hAnsi="Times New Roman" w:cs="Times New Roman" w:hint="eastAsia"/>
          <w:b/>
          <w:bCs/>
          <w:color w:val="auto"/>
          <w:highlight w:val="none"/>
          <w:lang w:eastAsia="zh-CN"/>
        </w:rPr>
        <w:t xml:space="preserve">（</w:t>
      </w:r>
      <w:r>
        <w:rPr>
          <w:rFonts w:ascii="Times New Roman" w:hAnsi="Times New Roman" w:cs="Times New Roman" w:hint="eastAsia"/>
          <w:b/>
          <w:bCs/>
          <w:color w:val="auto"/>
          <w:highlight w:val="none"/>
          <w:lang w:val="en-US" w:eastAsia="zh-CN"/>
        </w:rPr>
        <w:t xml:space="preserve">2025年2月10日-2025年2月28日</w:t>
      </w:r>
      <w:r>
        <w:rPr>
          <w:rFonts w:ascii="Times New Roman" w:hAnsi="Times New Roman" w:cs="Times New Roman" w:hint="eastAsia"/>
          <w:b/>
          <w:bCs/>
          <w:color w:val="auto"/>
          <w:highlight w:val="none"/>
          <w:lang w:eastAsia="zh-CN"/>
        </w:rPr>
        <w:t xml:space="preserve">）</w:t>
      </w:r>
    </w:p>
    <w:p>
      <w:pPr>
        <w:spacing w:line="600" w:lineRule="exact"/>
        <w:ind w:firstLine="640"/>
        <w:jc w:val="both"/>
        <w:rPr>
          <w:rFonts w:ascii="Times New Roman" w:hAnsi="Times New Roman" w:cs="Times New Roman" w:hint="eastAsia"/>
          <w:bCs/>
          <w:color w:val="auto"/>
          <w:szCs w:val="32"/>
          <w:highlight w:val="none"/>
          <w:lang w:val="en-US" w:eastAsia="zh-CN"/>
        </w:rPr>
      </w:pPr>
      <w:bookmarkStart w:id="90" w:name="_Toc2579"/>
      <w:r>
        <w:rPr>
          <w:rFonts w:ascii="Times New Roman" w:eastAsia="仿宋_GB2312" w:hAnsi="Times New Roman" w:cs="Times New Roman" w:hint="default"/>
          <w:bCs/>
          <w:color w:val="auto"/>
          <w:szCs w:val="32"/>
          <w:highlight w:val="none"/>
        </w:rPr>
        <w:t xml:space="preserve">按照《项目支出绩效评价管理办法》（财预〔2020〕10号）文件要求，</w:t>
      </w:r>
      <w:r>
        <w:rPr>
          <w:rFonts w:ascii="Times New Roman" w:hAnsi="Times New Roman" w:cs="Times New Roman" w:hint="eastAsia"/>
          <w:color w:val="auto"/>
          <w:highlight w:val="none"/>
          <w:lang w:val="en-US" w:eastAsia="zh-CN"/>
        </w:rPr>
        <w:t xml:space="preserve">尉犁</w:t>
      </w:r>
      <w:r>
        <w:rPr>
          <w:rFonts w:ascii="Times New Roman" w:eastAsia="仿宋_GB2312" w:hAnsi="Times New Roman" w:cs="Times New Roman" w:hint="default"/>
          <w:color w:val="auto"/>
          <w:highlight w:val="none"/>
        </w:rPr>
        <w:t xml:space="preserve">县</w:t>
      </w:r>
      <w:r>
        <w:rPr>
          <w:rFonts w:ascii="Times New Roman" w:hAnsi="Times New Roman" w:cs="Times New Roman" w:hint="eastAsia"/>
          <w:color w:val="auto"/>
          <w:highlight w:val="none"/>
          <w:lang w:val="en-US" w:eastAsia="zh-CN"/>
        </w:rPr>
        <w:t xml:space="preserve">住房和城乡建设局</w:t>
      </w:r>
      <w:r>
        <w:rPr>
          <w:rFonts w:ascii="Times New Roman" w:eastAsia="仿宋_GB2312" w:hAnsi="Times New Roman" w:cs="Times New Roman" w:hint="default"/>
          <w:bCs/>
          <w:color w:val="auto"/>
          <w:szCs w:val="32"/>
          <w:highlight w:val="none"/>
        </w:rPr>
        <w:t xml:space="preserve">成立了绩效评价小组，对项目实施的全过程，收集、整理项目实施的相关资料，了解项目实施情况和资金支付情况。从项目内容出发，结合项目预期目标，制定绩效评价的指标体系。</w:t>
      </w:r>
      <w:r>
        <w:rPr>
          <w:rFonts w:ascii="Times New Roman" w:hAnsi="Times New Roman" w:cs="Times New Roman" w:hint="eastAsia"/>
          <w:bCs/>
          <w:color w:val="auto"/>
          <w:szCs w:val="32"/>
          <w:highlight w:val="none"/>
          <w:lang w:val="en-US" w:eastAsia="zh-CN"/>
        </w:rPr>
        <w:t xml:space="preserve">绩效评价工作小组人员名单及分工如下：</w:t>
      </w:r>
    </w:p>
    <w:p>
      <w:pPr>
        <w:bidi w:val="0"/>
        <w:rPr>
          <w:rFonts w:hint="eastAsia"/>
          <w:color w:val="auto"/>
          <w:highlight w:val="none"/>
          <w:lang w:val="en-US" w:eastAsia="zh-CN"/>
        </w:rPr>
      </w:pPr>
      <w:r>
        <w:rPr>
          <w:rFonts w:hint="eastAsia"/>
          <w:color w:val="auto"/>
          <w:highlight w:val="none"/>
          <w:lang w:val="en-US" w:eastAsia="zh-CN"/>
        </w:rPr>
        <w:t xml:space="preserve">评价小组组长：李超锋，主要负责协调相关科室、部门对项目整体运行情况进行验收、评估。</w:t>
      </w:r>
    </w:p>
    <w:p>
      <w:pPr>
        <w:bidi w:val="0"/>
        <w:rPr>
          <w:rFonts w:hint="default"/>
          <w:color w:val="auto"/>
          <w:highlight w:val="none"/>
          <w:lang w:val="en-US" w:eastAsia="zh-CN"/>
        </w:rPr>
      </w:pPr>
      <w:r>
        <w:rPr>
          <w:rFonts w:hint="eastAsia"/>
          <w:color w:val="auto"/>
          <w:highlight w:val="none"/>
          <w:lang w:val="en-US" w:eastAsia="zh-CN"/>
        </w:rPr>
        <w:t xml:space="preserve">评价小组组员：吐依洪·克来木，主要负责制定评价指标体系及评价标准。</w:t>
      </w:r>
    </w:p>
    <w:p>
      <w:pPr>
        <w:rPr>
          <w:rFonts w:hint="default"/>
          <w:color w:val="auto"/>
          <w:highlight w:val="none"/>
          <w:lang w:val="en-US" w:eastAsia="zh-CN"/>
        </w:rPr>
      </w:pPr>
      <w:r>
        <w:rPr>
          <w:rFonts w:hint="eastAsia"/>
          <w:color w:val="auto"/>
          <w:highlight w:val="none"/>
          <w:lang w:val="en-US" w:eastAsia="zh-CN"/>
        </w:rPr>
        <w:t xml:space="preserve">评价小组组员：李登峰，主要负责</w:t>
      </w:r>
      <w:r>
        <w:rPr>
          <w:rFonts w:ascii="Times New Roman" w:hAnsi="Times New Roman" w:cs="Times New Roman" w:hint="eastAsia"/>
          <w:color w:val="auto"/>
          <w:highlight w:val="none"/>
          <w:lang w:val="en-US" w:eastAsia="zh-CN"/>
        </w:rPr>
        <w:t xml:space="preserve">尉犁县城镇污水处理厂（二期）工程PPP项目项目实施、</w:t>
      </w:r>
      <w:r>
        <w:rPr>
          <w:rFonts w:hint="eastAsia"/>
          <w:color w:val="auto"/>
          <w:highlight w:val="none"/>
          <w:lang w:val="en-US" w:eastAsia="zh-CN"/>
        </w:rPr>
        <w:t xml:space="preserve">监督、评估工作。</w:t>
      </w:r>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2.组织实施</w:t>
      </w:r>
      <w:bookmarkEnd w:id="90"/>
      <w:r>
        <w:rPr>
          <w:rFonts w:ascii="Times New Roman" w:hAnsi="Times New Roman" w:cs="Times New Roman" w:hint="eastAsia"/>
          <w:b/>
          <w:bCs/>
          <w:color w:val="auto"/>
          <w:highlight w:val="none"/>
          <w:lang w:eastAsia="zh-CN"/>
        </w:rPr>
        <w:t xml:space="preserve">（</w:t>
      </w:r>
      <w:r>
        <w:rPr>
          <w:rFonts w:ascii="Times New Roman" w:hAnsi="Times New Roman" w:cs="Times New Roman" w:hint="eastAsia"/>
          <w:b/>
          <w:bCs/>
          <w:color w:val="auto"/>
          <w:highlight w:val="none"/>
          <w:lang w:val="en-US" w:eastAsia="zh-CN"/>
        </w:rPr>
        <w:t xml:space="preserve">2025年3月1日-2025年3月10日</w:t>
      </w:r>
      <w:r>
        <w:rPr>
          <w:rFonts w:ascii="Times New Roman" w:hAnsi="Times New Roman" w:cs="Times New Roman" w:hint="eastAsia"/>
          <w:b/>
          <w:bCs/>
          <w:color w:val="auto"/>
          <w:highlight w:val="none"/>
          <w:lang w:eastAsia="zh-CN"/>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评价的具体实施根据评价指标及评价工作要求，对具体评价内容和不同环节，采用以下取得的资料与评价方式。</w:t>
      </w:r>
    </w:p>
    <w:p>
      <w:pPr>
        <w:bidi w:val="0"/>
        <w:jc w:val="both"/>
        <w:rPr>
          <w:rFonts w:hint="eastAsia"/>
          <w:color w:val="auto"/>
          <w:highlight w:val="none"/>
          <w:lang w:val="en-US" w:eastAsia="zh-CN"/>
        </w:rPr>
      </w:pPr>
      <w:r>
        <w:rPr>
          <w:rFonts w:hint="eastAsia"/>
          <w:color w:val="auto"/>
          <w:highlight w:val="none"/>
        </w:rPr>
        <w:t xml:space="preserve">（1）</w:t>
      </w:r>
      <w:r>
        <w:rPr>
          <w:rFonts w:hint="eastAsia"/>
          <w:color w:val="auto"/>
          <w:highlight w:val="none"/>
          <w:lang w:val="en-US" w:eastAsia="zh-CN"/>
        </w:rPr>
        <w:t xml:space="preserve">根据绩效管理的要求，本单位成立项目评价小组，全过程跟踪监管项目实施过程，包括项目资金到位时绩效工作的安排、年中2次绩效监控工作的监督，项目实施完成之后收集资料开展项目绩效评价。</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2</w:t>
      </w:r>
      <w:r>
        <w:rPr>
          <w:rFonts w:ascii="Times New Roman" w:eastAsia="仿宋_GB2312" w:hAnsi="Times New Roman" w:cs="Times New Roman" w:hint="default"/>
          <w:color w:val="auto"/>
          <w:highlight w:val="none"/>
        </w:rPr>
        <w:t xml:space="preserve">）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3</w:t>
      </w:r>
      <w:r>
        <w:rPr>
          <w:rFonts w:ascii="Times New Roman" w:eastAsia="仿宋_GB2312" w:hAnsi="Times New Roman" w:cs="Times New Roman" w:hint="default"/>
          <w:color w:val="auto"/>
          <w:highlight w:val="none"/>
        </w:rPr>
        <w:t xml:space="preserve">）问卷调查。选择与项目评价有关的调查对象，设计调查问卷。通过问卷调查，对有关评价内容完成情况进行打分，并根据分值评价绩效目标完成情况，作为对项目评价的依据。</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jc w:val="both"/>
        <w:rPr>
          <w:rFonts w:ascii="Times New Roman" w:eastAsia="仿宋_GB2312" w:hAnsi="Times New Roman" w:cs="Times New Roman" w:hint="default"/>
          <w:b/>
          <w:bCs/>
          <w:color w:val="auto"/>
          <w:highlight w:val="none"/>
        </w:rPr>
      </w:pPr>
      <w:bookmarkStart w:id="91" w:name="_Toc19781"/>
      <w:r>
        <w:rPr>
          <w:rFonts w:ascii="Times New Roman" w:eastAsia="仿宋_GB2312" w:hAnsi="Times New Roman" w:cs="Times New Roman" w:hint="default"/>
          <w:b/>
          <w:bCs/>
          <w:color w:val="auto"/>
          <w:highlight w:val="none"/>
        </w:rPr>
        <w:t xml:space="preserve">3.数据集中分析</w:t>
      </w:r>
      <w:bookmarkEnd w:id="91"/>
      <w:r>
        <w:rPr>
          <w:rFonts w:ascii="Times New Roman" w:hAnsi="Times New Roman" w:cs="Times New Roman" w:hint="eastAsia"/>
          <w:b/>
          <w:bCs/>
          <w:color w:val="auto"/>
          <w:highlight w:val="none"/>
          <w:lang w:eastAsia="zh-CN"/>
        </w:rPr>
        <w:t xml:space="preserve">（</w:t>
      </w:r>
      <w:r>
        <w:rPr>
          <w:rFonts w:ascii="Times New Roman" w:hAnsi="Times New Roman" w:cs="Times New Roman" w:hint="eastAsia"/>
          <w:b/>
          <w:bCs/>
          <w:color w:val="auto"/>
          <w:highlight w:val="none"/>
          <w:lang w:val="en-US" w:eastAsia="zh-CN"/>
        </w:rPr>
        <w:t xml:space="preserve">2025年3月11日-2025年3月20日</w:t>
      </w:r>
      <w:r>
        <w:rPr>
          <w:rFonts w:ascii="Times New Roman" w:hAnsi="Times New Roman" w:cs="Times New Roman" w:hint="eastAsia"/>
          <w:b/>
          <w:bCs/>
          <w:color w:val="auto"/>
          <w:highlight w:val="none"/>
          <w:lang w:eastAsia="zh-CN"/>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对相关资料，包括资金文件、项目实施方案、相关管理办法，问卷调查等进行集中分析。在查阅大量项目资料的基础上，根据考察、考评的结果进行整理、分析。</w:t>
      </w:r>
    </w:p>
    <w:p>
      <w:pPr>
        <w:bidi w:val="0"/>
        <w:jc w:val="both"/>
        <w:rPr>
          <w:rFonts w:ascii="Times New Roman" w:eastAsia="仿宋_GB2312" w:hAnsi="Times New Roman" w:cs="Times New Roman" w:hint="default"/>
          <w:b/>
          <w:bCs/>
          <w:color w:val="auto"/>
          <w:highlight w:val="none"/>
        </w:rPr>
      </w:pPr>
      <w:bookmarkStart w:id="92" w:name="_Toc5021"/>
      <w:r>
        <w:rPr>
          <w:rFonts w:ascii="Times New Roman" w:eastAsia="仿宋_GB2312" w:hAnsi="Times New Roman" w:cs="Times New Roman" w:hint="default"/>
          <w:b/>
          <w:bCs/>
          <w:color w:val="auto"/>
          <w:highlight w:val="none"/>
        </w:rPr>
        <w:t xml:space="preserve">4.分析总结</w:t>
      </w:r>
      <w:bookmarkEnd w:id="92"/>
      <w:r>
        <w:rPr>
          <w:rFonts w:ascii="Times New Roman" w:hAnsi="Times New Roman" w:cs="Times New Roman" w:hint="eastAsia"/>
          <w:b/>
          <w:bCs/>
          <w:color w:val="auto"/>
          <w:highlight w:val="none"/>
          <w:lang w:eastAsia="zh-CN"/>
        </w:rPr>
        <w:t xml:space="preserve">（</w:t>
      </w:r>
      <w:r>
        <w:rPr>
          <w:rFonts w:ascii="Times New Roman" w:hAnsi="Times New Roman" w:cs="Times New Roman" w:hint="eastAsia"/>
          <w:b/>
          <w:bCs/>
          <w:color w:val="auto"/>
          <w:highlight w:val="none"/>
          <w:lang w:val="en-US" w:eastAsia="zh-CN"/>
        </w:rPr>
        <w:t xml:space="preserve">2025年3月21日-2025年3月31日</w:t>
      </w:r>
      <w:r>
        <w:rPr>
          <w:rFonts w:ascii="Times New Roman" w:hAnsi="Times New Roman" w:cs="Times New Roman" w:hint="eastAsia"/>
          <w:b/>
          <w:bCs/>
          <w:color w:val="auto"/>
          <w:highlight w:val="none"/>
          <w:lang w:eastAsia="zh-CN"/>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（1）根据部门自评的意见及考察、考评的结果进行整理、分析，撰写绩效评价报告初稿；</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（2）就部门自评报告与部门具体有关股室征求意见，形成最终的绩效评价报告。</w:t>
      </w:r>
    </w:p>
    <w:p>
      <w:pPr>
        <w:bidi w:val="0"/>
        <w:rPr>
          <w:rFonts w:hint="default"/>
          <w:color w:val="auto"/>
          <w:highlight w:val="none"/>
        </w:rPr>
      </w:pPr>
      <w:r>
        <w:rPr>
          <w:rFonts w:hint="default"/>
          <w:color w:val="auto"/>
          <w:highlight w:val="none"/>
        </w:rPr>
        <w:t xml:space="preserve">5.问题整改</w:t>
      </w:r>
    </w:p>
    <w:p>
      <w:pPr>
        <w:bidi w:val="0"/>
        <w:rPr>
          <w:rFonts w:hint="default"/>
          <w:color w:val="auto"/>
          <w:highlight w:val="none"/>
        </w:rPr>
      </w:pPr>
      <w:r>
        <w:rPr>
          <w:rFonts w:hint="default"/>
          <w:color w:val="auto"/>
          <w:highlight w:val="none"/>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bidi w:val="0"/>
        <w:rPr>
          <w:rFonts w:hint="default"/>
          <w:color w:val="auto"/>
          <w:highlight w:val="none"/>
        </w:rPr>
      </w:pPr>
      <w:r>
        <w:rPr>
          <w:rFonts w:hint="default"/>
          <w:color w:val="auto"/>
          <w:highlight w:val="none"/>
        </w:rPr>
        <w:t xml:space="preserve">6.档案整理</w:t>
      </w:r>
    </w:p>
    <w:p>
      <w:pPr>
        <w:bidi w:val="0"/>
        <w:rPr>
          <w:rFonts w:hint="default"/>
          <w:color w:val="auto"/>
          <w:highlight w:val="none"/>
        </w:rPr>
      </w:pPr>
      <w:r>
        <w:rPr>
          <w:rFonts w:hint="default"/>
          <w:color w:val="auto"/>
          <w:highlight w:val="none"/>
        </w:rPr>
        <w:t xml:space="preserve">建立和落实档案管理制度，将项目相关资料存档，包括但不限于：评价项目基本情况和相关文件、评价实施方案、项目支付资料等相关档案。</w:t>
      </w:r>
    </w:p>
    <w:p>
      <w:pPr>
        <w:pStyle w:val="Heading2"/>
        <w:bidi w:val="0"/>
        <w:jc w:val="both"/>
        <w:outlineLvl w:val="0"/>
        <w:rPr>
          <w:rFonts w:ascii="黑体" w:eastAsia="黑体" w:hAnsi="黑体" w:cs="黑体" w:hint="eastAsia"/>
          <w:color w:val="auto"/>
          <w:highlight w:val="none"/>
        </w:rPr>
      </w:pPr>
      <w:bookmarkStart w:id="93" w:name="_Toc1808"/>
      <w:bookmarkStart w:id="94" w:name="_Toc7874"/>
      <w:bookmarkStart w:id="95" w:name="_Toc21627"/>
      <w:bookmarkStart w:id="96" w:name="_Toc31058"/>
      <w:bookmarkStart w:id="97" w:name="_Toc16639"/>
      <w:bookmarkStart w:id="98" w:name="_Toc32641"/>
      <w:bookmarkStart w:id="99" w:name="_Toc25201"/>
      <w:r>
        <w:rPr>
          <w:rFonts w:ascii="黑体" w:eastAsia="黑体" w:hAnsi="黑体" w:cs="黑体" w:hint="eastAsia"/>
          <w:color w:val="auto"/>
          <w:highlight w:val="none"/>
        </w:rPr>
        <w:t xml:space="preserve">三、综合评价情况及评价结论</w:t>
      </w:r>
      <w:bookmarkEnd w:id="93"/>
      <w:bookmarkEnd w:id="94"/>
      <w:bookmarkEnd w:id="95"/>
      <w:bookmarkEnd w:id="96"/>
      <w:bookmarkEnd w:id="97"/>
      <w:bookmarkEnd w:id="98"/>
      <w:bookmarkEnd w:id="99"/>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本项目的绩效评价结果为“优”，综合评分</w:t>
      </w:r>
      <w:r>
        <w:rPr>
          <w:rFonts w:ascii="Times New Roman" w:hAnsi="Times New Roman" w:cs="Times New Roman" w:hint="eastAsia"/>
          <w:color w:val="auto"/>
          <w:highlight w:val="none"/>
          <w:lang w:val="en-US" w:eastAsia="zh-CN"/>
        </w:rPr>
        <w:t xml:space="preserve">99.34</w:t>
      </w:r>
      <w:r>
        <w:rPr>
          <w:rFonts w:ascii="Times New Roman" w:eastAsia="仿宋_GB2312" w:hAnsi="Times New Roman" w:cs="Times New Roman" w:hint="default"/>
          <w:color w:val="auto"/>
          <w:highlight w:val="none"/>
        </w:rPr>
        <w:t xml:space="preserve">分。其中项目决策22分，项目过程</w:t>
      </w:r>
      <w:r>
        <w:rPr>
          <w:rFonts w:ascii="Times New Roman" w:hAnsi="Times New Roman" w:cs="Times New Roman" w:hint="eastAsia"/>
          <w:color w:val="auto"/>
          <w:highlight w:val="none"/>
          <w:lang w:val="en-US" w:eastAsia="zh-CN"/>
        </w:rPr>
        <w:t xml:space="preserve">17.98</w:t>
      </w:r>
      <w:r>
        <w:rPr>
          <w:rFonts w:ascii="Times New Roman" w:eastAsia="仿宋_GB2312" w:hAnsi="Times New Roman" w:cs="Times New Roman" w:hint="default"/>
          <w:color w:val="auto"/>
          <w:highlight w:val="none"/>
        </w:rPr>
        <w:t xml:space="preserve">分，</w:t>
      </w:r>
      <w:r>
        <w:rPr>
          <w:rFonts w:ascii="Times New Roman" w:hAnsi="Times New Roman" w:cs="Times New Roman" w:hint="eastAsia"/>
          <w:color w:val="auto"/>
          <w:highlight w:val="none"/>
          <w:lang w:val="en-US" w:eastAsia="zh-CN"/>
        </w:rPr>
        <w:t xml:space="preserve">扣分原因：</w:t>
      </w:r>
      <w:r>
        <w:rPr>
          <w:rFonts w:ascii="Times New Roman" w:eastAsia="仿宋_GB2312" w:hAnsi="Times New Roman" w:cs="Times New Roman" w:hint="default"/>
          <w:color w:val="auto"/>
          <w:highlight w:val="none"/>
        </w:rPr>
        <w:t xml:space="preserve">本项目到位资金</w:t>
      </w:r>
      <w:r>
        <w:rPr>
          <w:rFonts w:ascii="Times New Roman" w:eastAsia="仿宋_GB2312" w:hAnsi="Times New Roman" w:cs="Times New Roman" w:hint="eastAsia"/>
          <w:color w:val="auto"/>
          <w:highlight w:val="none"/>
          <w:lang w:val="en-US" w:eastAsia="zh-CN"/>
        </w:rPr>
        <w:t xml:space="preserve">331</w:t>
      </w:r>
      <w:r>
        <w:rPr>
          <w:rFonts w:ascii="Times New Roman" w:eastAsia="仿宋_GB2312" w:hAnsi="Times New Roman" w:cs="Times New Roman" w:hint="default"/>
          <w:color w:val="auto"/>
          <w:highlight w:val="none"/>
        </w:rPr>
        <w:t xml:space="preserve">万元，实际支付资金</w:t>
      </w:r>
      <w:r>
        <w:rPr>
          <w:rFonts w:ascii="Times New Roman" w:eastAsia="仿宋_GB2312" w:hAnsi="Times New Roman" w:cs="Times New Roman" w:hint="eastAsia"/>
          <w:color w:val="auto"/>
          <w:highlight w:val="none"/>
          <w:lang w:val="en-US" w:eastAsia="zh-CN"/>
        </w:rPr>
        <w:t xml:space="preserve">329.4</w:t>
      </w:r>
      <w:r>
        <w:rPr>
          <w:rFonts w:ascii="Times New Roman" w:eastAsia="仿宋_GB2312" w:hAnsi="Times New Roman" w:cs="Times New Roman" w:hint="default"/>
          <w:color w:val="auto"/>
          <w:highlight w:val="none"/>
        </w:rPr>
        <w:t xml:space="preserve">万元，预算执行率为</w:t>
      </w:r>
      <w:r>
        <w:rPr>
          <w:rFonts w:ascii="Times New Roman" w:eastAsia="仿宋_GB2312" w:hAnsi="Times New Roman" w:cs="Times New Roman" w:hint="eastAsia"/>
          <w:color w:val="auto"/>
          <w:highlight w:val="none"/>
          <w:lang w:val="en-US" w:eastAsia="zh-CN"/>
        </w:rPr>
        <w:t xml:space="preserve">99.52</w:t>
      </w: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eastAsia="zh-CN"/>
        </w:rPr>
        <w:t xml:space="preserve">；</w:t>
      </w:r>
      <w:r>
        <w:rPr>
          <w:rFonts w:ascii="Times New Roman" w:eastAsia="仿宋_GB2312" w:hAnsi="Times New Roman" w:cs="Times New Roman" w:hint="default"/>
          <w:color w:val="auto"/>
          <w:highlight w:val="none"/>
        </w:rPr>
        <w:t xml:space="preserve">项目产出管理得分</w:t>
      </w:r>
      <w:r>
        <w:rPr>
          <w:rFonts w:ascii="Times New Roman" w:hAnsi="Times New Roman" w:cs="Times New Roman" w:hint="eastAsia"/>
          <w:color w:val="auto"/>
          <w:highlight w:val="none"/>
          <w:lang w:val="en-US" w:eastAsia="zh-CN"/>
        </w:rPr>
        <w:t xml:space="preserve">39.36</w:t>
      </w:r>
      <w:r>
        <w:rPr>
          <w:rFonts w:ascii="Times New Roman" w:eastAsia="仿宋_GB2312" w:hAnsi="Times New Roman" w:cs="Times New Roman" w:hint="default"/>
          <w:color w:val="auto"/>
          <w:highlight w:val="none"/>
        </w:rPr>
        <w:t xml:space="preserve">分</w:t>
      </w:r>
      <w:r>
        <w:rPr>
          <w:rFonts w:ascii="Times New Roman" w:hAnsi="Times New Roman" w:cs="Times New Roman" w:hint="eastAsia"/>
          <w:color w:val="auto"/>
          <w:highlight w:val="none"/>
          <w:lang w:eastAsia="zh-CN"/>
        </w:rPr>
        <w:t xml:space="preserve">，</w:t>
      </w:r>
      <w:r>
        <w:rPr>
          <w:rFonts w:ascii="Times New Roman" w:hAnsi="Times New Roman" w:cs="Times New Roman" w:hint="eastAsia"/>
          <w:color w:val="auto"/>
          <w:highlight w:val="none"/>
          <w:lang w:val="en-US" w:eastAsia="zh-CN"/>
        </w:rPr>
        <w:t xml:space="preserve">扣</w:t>
      </w:r>
      <w:r>
        <w:rPr>
          <w:rFonts w:ascii="Times New Roman" w:eastAsia="仿宋_GB2312" w:hAnsi="Times New Roman" w:cs="Times New Roman" w:hint="eastAsia"/>
          <w:color w:val="auto"/>
          <w:highlight w:val="none"/>
          <w:lang w:val="en-US" w:eastAsia="zh-CN"/>
        </w:rPr>
        <w:t xml:space="preserve">分原因</w:t>
      </w:r>
      <w:r>
        <w:rPr>
          <w:rFonts w:ascii="Times New Roman" w:hAnsi="Times New Roman" w:cs="Times New Roman" w:hint="eastAsia"/>
          <w:color w:val="auto"/>
          <w:highlight w:val="none"/>
          <w:lang w:val="en-US" w:eastAsia="zh-CN"/>
        </w:rPr>
        <w:t xml:space="preserve">：1.</w:t>
      </w:r>
      <w:r>
        <w:rPr>
          <w:rFonts w:ascii="Times New Roman" w:eastAsia="仿宋_GB2312" w:hAnsi="Times New Roman" w:cs="Times New Roman" w:hint="eastAsia"/>
          <w:color w:val="auto"/>
          <w:highlight w:val="none"/>
          <w:lang w:val="en-US" w:eastAsia="zh-CN"/>
        </w:rPr>
        <w:t xml:space="preserve">污水处理厂处理能力年初设定目标值过高，实际处理能力未达到。</w:t>
      </w:r>
      <w:r>
        <w:rPr>
          <w:rFonts w:ascii="Times New Roman" w:hAnsi="Times New Roman" w:cs="Times New Roman" w:hint="eastAsia"/>
          <w:color w:val="auto"/>
          <w:highlight w:val="none"/>
          <w:lang w:val="en-US" w:eastAsia="zh-CN"/>
        </w:rPr>
        <w:t xml:space="preserve">2.</w:t>
      </w:r>
      <w:r>
        <w:rPr>
          <w:rFonts w:ascii="Times New Roman" w:eastAsia="仿宋_GB2312" w:hAnsi="Times New Roman" w:cs="Times New Roman" w:hint="eastAsia"/>
          <w:color w:val="auto"/>
          <w:highlight w:val="none"/>
          <w:lang w:val="en-US" w:eastAsia="zh-CN"/>
        </w:rPr>
        <w:t xml:space="preserve">全年预算污水处理费用</w:t>
      </w:r>
      <w:r>
        <w:rPr>
          <w:rFonts w:ascii="Times New Roman" w:hAnsi="Times New Roman" w:cs="Times New Roman" w:hint="eastAsia"/>
          <w:color w:val="auto"/>
          <w:highlight w:val="none"/>
          <w:lang w:val="en-US" w:eastAsia="zh-CN"/>
        </w:rPr>
        <w:t xml:space="preserve">未支付完，</w:t>
      </w:r>
      <w:r>
        <w:rPr>
          <w:rFonts w:ascii="Times New Roman" w:eastAsia="仿宋_GB2312" w:hAnsi="Times New Roman" w:cs="Times New Roman" w:hint="eastAsia"/>
          <w:color w:val="auto"/>
          <w:highlight w:val="none"/>
          <w:lang w:val="en-US" w:eastAsia="zh-CN"/>
        </w:rPr>
        <w:t xml:space="preserve">剩余资金为风险金</w:t>
      </w:r>
      <w:r>
        <w:rPr>
          <w:rFonts w:ascii="Times New Roman" w:hAnsi="Times New Roman" w:cs="Times New Roman" w:hint="eastAsia"/>
          <w:color w:val="auto"/>
          <w:highlight w:val="none"/>
          <w:lang w:eastAsia="zh-CN"/>
        </w:rPr>
        <w:t xml:space="preserve">）；</w:t>
      </w:r>
      <w:r>
        <w:rPr>
          <w:rFonts w:ascii="Times New Roman" w:eastAsia="仿宋_GB2312" w:hAnsi="Times New Roman" w:cs="Times New Roman" w:hint="default"/>
          <w:color w:val="auto"/>
          <w:highlight w:val="none"/>
        </w:rPr>
        <w:t xml:space="preserve">项目效益20分</w:t>
      </w:r>
      <w:r>
        <w:rPr>
          <w:rFonts w:ascii="Times New Roman" w:eastAsia="仿宋_GB2312" w:hAnsi="Times New Roman" w:cs="Times New Roman" w:hint="default"/>
          <w:color w:val="auto"/>
          <w:highlight w:val="none"/>
          <w:lang w:val="en-US" w:eastAsia="zh-CN"/>
        </w:rPr>
        <w:t xml:space="preserve">。各部分权重和绩效汇总分值如下表所示：</w:t>
      </w:r>
    </w:p>
    <w:tbl>
      <w:tblPr>
        <w:tblStyle w:val="NormalTable"/>
        <w:tblW w:w="8289" w:type="dxa"/>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blPrEx>
          <w:tblW w:w="8289" w:type="dxa"/>
          <w:tblLayout w:type="fixed"/>
          <w:tblCellMar>
            <w:top w:w="0" w:type="dxa"/>
            <w:left w:w="0" w:type="dxa"/>
            <w:bottom w:w="0" w:type="dxa"/>
            <w:right w:w="0" w:type="dxa"/>
          </w:tblCellMar>
        </w:tblPrEx>
        <w:trPr>
          <w:trHeight w:val="375"/>
          <w:jc w:val="center"/>
        </w:trPr>
        <w:tc>
          <w:tcPr>
            <w:tcW w:w="8289" w:type="dxa"/>
            <w:gridSpan w:val="6"/>
            <w:tcBorders>
              <w:top w:val="nil"/>
              <w:left w:val="nil"/>
              <w:bottom w:val="nil"/>
              <w:right w:val="nil"/>
            </w:tcBorders>
            <w:noWrap w:val="1"/>
            <w:tcMar>
              <w:top w:w="15" w:type="dxa"/>
              <w:left w:w="15" w:type="dxa"/>
              <w:bottom w:w="0" w:type="dxa"/>
              <w:right w:w="15" w:type="dxa"/>
            </w:tcMar>
            <w:vAlign w:val="center"/>
          </w:tcPr>
          <w:p>
            <w:pPr>
              <w:pStyle w:val="表格标题"/>
              <w:bidi w:val="0"/>
              <w:jc w:val="center"/>
              <w:rPr>
                <w:rFonts w:ascii="Times New Roman" w:hAnsi="Times New Roman" w:cs="Times New Roman" w:hint="eastAsia"/>
                <w:color w:val="auto"/>
                <w:highlight w:val="none"/>
                <w:lang w:val="en-US" w:eastAsia="zh-CN"/>
              </w:rPr>
            </w:pPr>
            <w:bookmarkStart w:id="100" w:name="_Toc3488"/>
            <w:bookmarkStart w:id="101" w:name="_Toc29260"/>
            <w:bookmarkStart w:id="102" w:name="_Toc30727"/>
            <w:bookmarkStart w:id="103" w:name="_Toc17356"/>
            <w:r>
              <w:rPr>
                <w:rFonts w:ascii="Times New Roman" w:hAnsi="Times New Roman" w:cs="Times New Roman" w:hint="eastAsia"/>
                <w:color w:val="auto"/>
                <w:highlight w:val="none"/>
                <w:lang w:val="en-US" w:eastAsia="zh-CN"/>
              </w:rPr>
              <w:t xml:space="preserve">2024年尉犁县城镇污水处理厂（二期）工程PPP项目</w:t>
            </w:r>
            <w:bookmarkEnd w:id="100"/>
            <w:bookmarkEnd w:id="101"/>
          </w:p>
          <w:p>
            <w:pPr>
              <w:pStyle w:val="表格标题"/>
              <w:bidi w:val="0"/>
              <w:jc w:val="center"/>
              <w:rPr>
                <w:rFonts w:ascii="Times New Roman" w:eastAsia="仿宋_GB2312" w:hAnsi="Times New Roman" w:cs="Times New Roman" w:hint="default"/>
                <w:color w:val="auto"/>
                <w:highlight w:val="none"/>
              </w:rPr>
            </w:pPr>
            <w:bookmarkStart w:id="104" w:name="_Toc17932"/>
            <w:bookmarkStart w:id="105" w:name="_Toc2274"/>
            <w:r>
              <w:rPr>
                <w:rFonts w:ascii="Times New Roman" w:hAnsi="Times New Roman" w:cs="Times New Roman" w:hint="eastAsia"/>
                <w:color w:val="auto"/>
                <w:highlight w:val="none"/>
                <w:lang w:val="en-US" w:eastAsia="zh-CN"/>
              </w:rPr>
              <w:t xml:space="preserve">服务费</w:t>
            </w:r>
            <w:bookmarkStart w:id="106" w:name="_Toc16086"/>
            <w:bookmarkStart w:id="107" w:name="_Toc3703"/>
            <w:r>
              <w:rPr>
                <w:rFonts w:ascii="Times New Roman" w:eastAsia="仿宋_GB2312" w:hAnsi="Times New Roman" w:cs="Times New Roman" w:hint="default"/>
                <w:color w:val="auto"/>
                <w:highlight w:val="none"/>
              </w:rPr>
              <w:t xml:space="preserve">绩效评价</w:t>
            </w:r>
            <w:r>
              <w:rPr>
                <w:rFonts w:ascii="Times New Roman" w:eastAsia="仿宋_GB2312" w:hAnsi="Times New Roman" w:cs="Times New Roman" w:hint="default"/>
                <w:color w:val="auto"/>
                <w:highlight w:val="none"/>
                <w:lang w:val="zh-TW" w:eastAsia="zh-TW"/>
              </w:rPr>
              <w:t xml:space="preserve">得分表</w:t>
            </w:r>
            <w:bookmarkEnd w:id="104"/>
            <w:bookmarkEnd w:id="105"/>
            <w:bookmarkEnd w:id="106"/>
            <w:bookmarkEnd w:id="107"/>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指标类别</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1.项目决策</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2.过程管理</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3.项目产出</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4.项目效益</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合计</w:t>
            </w:r>
          </w:p>
        </w:tc>
      </w:tr>
      <w:tr>
        <w:tblPrEx>
          <w:tblW w:w="8289" w:type="dxa"/>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权重</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eastAsia"/>
                <w:color w:val="auto"/>
                <w:highlight w:val="none"/>
                <w:lang w:val="en-US" w:eastAsia="zh-CN"/>
              </w:rPr>
            </w:pPr>
            <w:r>
              <w:rPr>
                <w:rFonts w:ascii="Times New Roman" w:eastAsia="仿宋_GB2312" w:hAnsi="Times New Roman" w:cs="Times New Roman" w:hint="default"/>
                <w:color w:val="auto"/>
                <w:highlight w:val="none"/>
              </w:rPr>
              <w:t xml:space="preserve">100</w:t>
            </w:r>
            <w:r>
              <w:rPr>
                <w:rFonts w:cs="Times New Roman" w:hint="eastAsia"/>
                <w:color w:val="auto"/>
                <w:highlight w:val="none"/>
                <w:lang w:val="en-US" w:eastAsia="zh-CN"/>
              </w:rPr>
              <w:t xml:space="preserve">%</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分值</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得分</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lang w:val="en-US" w:eastAsia="zh-CN"/>
              </w:rPr>
            </w:pPr>
            <w:r>
              <w:rPr>
                <w:rFonts w:cs="Times New Roman" w:hint="eastAsia"/>
                <w:color w:val="auto"/>
                <w:highlight w:val="none"/>
                <w:lang w:val="en-US" w:eastAsia="zh-CN"/>
              </w:rPr>
              <w:t xml:space="preserve">17.98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lang w:val="en-US" w:eastAsia="zh-CN"/>
              </w:rPr>
            </w:pPr>
            <w:r>
              <w:rPr>
                <w:rFonts w:cs="Times New Roman" w:hint="eastAsia"/>
                <w:color w:val="auto"/>
                <w:highlight w:val="none"/>
                <w:lang w:val="en-US" w:eastAsia="zh-CN"/>
              </w:rPr>
              <w:t xml:space="preserve">39.36</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lang w:val="en-US" w:eastAsia="zh-CN"/>
              </w:rPr>
            </w:pPr>
            <w:r>
              <w:rPr>
                <w:rFonts w:cs="Times New Roman" w:hint="eastAsia"/>
                <w:color w:val="auto"/>
                <w:highlight w:val="none"/>
                <w:lang w:val="en-US" w:eastAsia="zh-CN"/>
              </w:rPr>
              <w:t xml:space="preserve">99.34</w:t>
            </w:r>
          </w:p>
        </w:tc>
      </w:tr>
    </w:tbl>
    <w:p>
      <w:pPr>
        <w:pStyle w:val="Heading2"/>
        <w:bidi w:val="0"/>
        <w:jc w:val="both"/>
        <w:outlineLvl w:val="0"/>
        <w:rPr>
          <w:rFonts w:ascii="黑体" w:eastAsia="黑体" w:hAnsi="黑体" w:cs="黑体" w:hint="eastAsia"/>
          <w:color w:val="auto"/>
          <w:highlight w:val="none"/>
        </w:rPr>
      </w:pPr>
      <w:bookmarkStart w:id="108" w:name="_Toc4904"/>
      <w:bookmarkStart w:id="109" w:name="_Toc13630"/>
      <w:bookmarkStart w:id="110" w:name="_Toc29439"/>
      <w:bookmarkStart w:id="111" w:name="_Toc9061"/>
      <w:bookmarkStart w:id="112" w:name="_Toc2973"/>
      <w:r>
        <w:rPr>
          <w:rFonts w:ascii="黑体" w:eastAsia="黑体" w:hAnsi="黑体" w:cs="黑体" w:hint="eastAsia"/>
          <w:color w:val="auto"/>
          <w:highlight w:val="none"/>
        </w:rPr>
        <w:t xml:space="preserve">四、绩效评价指标分析</w:t>
      </w:r>
      <w:bookmarkEnd w:id="102"/>
      <w:bookmarkEnd w:id="103"/>
      <w:bookmarkEnd w:id="108"/>
      <w:bookmarkEnd w:id="109"/>
      <w:bookmarkEnd w:id="110"/>
      <w:bookmarkEnd w:id="111"/>
      <w:bookmarkEnd w:id="112"/>
    </w:p>
    <w:p>
      <w:pPr>
        <w:pStyle w:val="Heading3"/>
        <w:bidi w:val="0"/>
        <w:jc w:val="both"/>
        <w:outlineLvl w:val="1"/>
        <w:rPr>
          <w:rFonts w:ascii="楷体" w:eastAsia="楷体" w:hAnsi="楷体" w:cs="楷体" w:hint="eastAsia"/>
          <w:color w:val="auto"/>
          <w:highlight w:val="none"/>
        </w:rPr>
      </w:pPr>
      <w:bookmarkStart w:id="113" w:name="_Toc2901"/>
      <w:bookmarkStart w:id="114" w:name="_Toc7706"/>
      <w:bookmarkStart w:id="115" w:name="_Toc28477"/>
      <w:bookmarkStart w:id="116" w:name="_Toc30337"/>
      <w:bookmarkStart w:id="117" w:name="_Toc1968"/>
      <w:bookmarkStart w:id="118" w:name="_Toc22323"/>
      <w:r>
        <w:rPr>
          <w:rFonts w:ascii="楷体" w:eastAsia="楷体" w:hAnsi="楷体" w:cs="楷体" w:hint="eastAsia"/>
          <w:color w:val="auto"/>
          <w:highlight w:val="none"/>
        </w:rPr>
        <w:t xml:space="preserve">（一）项目决策情况</w:t>
      </w:r>
      <w:bookmarkEnd w:id="113"/>
      <w:bookmarkEnd w:id="114"/>
      <w:bookmarkEnd w:id="115"/>
      <w:bookmarkEnd w:id="116"/>
      <w:bookmarkEnd w:id="117"/>
      <w:bookmarkEnd w:id="118"/>
    </w:p>
    <w:p>
      <w:pPr>
        <w:bidi w:val="0"/>
        <w:jc w:val="both"/>
        <w:rPr>
          <w:rFonts w:ascii="Times New Roman" w:eastAsia="仿宋_GB2312" w:hAnsi="Times New Roman" w:cs="Times New Roman" w:hint="default"/>
          <w:b/>
          <w:bCs/>
          <w:color w:val="auto"/>
          <w:highlight w:val="none"/>
        </w:rPr>
      </w:pPr>
      <w:bookmarkStart w:id="119" w:name="_Toc22511"/>
      <w:bookmarkStart w:id="120" w:name="_Toc510"/>
      <w:r>
        <w:rPr>
          <w:rFonts w:ascii="Times New Roman" w:eastAsia="仿宋_GB2312" w:hAnsi="Times New Roman" w:cs="Times New Roman" w:hint="default"/>
          <w:b/>
          <w:bCs/>
          <w:color w:val="auto"/>
          <w:highlight w:val="none"/>
        </w:rPr>
        <w:t xml:space="preserve">1.</w:t>
      </w:r>
      <w:r>
        <w:rPr>
          <w:rFonts w:ascii="Times New Roman" w:hAnsi="Times New Roman" w:cs="Times New Roman" w:hint="eastAsia"/>
          <w:b/>
          <w:bCs/>
          <w:color w:val="auto"/>
          <w:highlight w:val="none"/>
          <w:lang w:val="en-US" w:eastAsia="zh-CN"/>
        </w:rPr>
        <w:t xml:space="preserve">实施</w:t>
      </w:r>
      <w:r>
        <w:rPr>
          <w:rFonts w:ascii="Times New Roman" w:eastAsia="仿宋_GB2312" w:hAnsi="Times New Roman" w:cs="Times New Roman" w:hint="default"/>
          <w:b/>
          <w:bCs/>
          <w:color w:val="auto"/>
          <w:highlight w:val="none"/>
        </w:rPr>
        <w:t xml:space="preserve">依据充分性</w:t>
      </w:r>
      <w:bookmarkEnd w:id="119"/>
      <w:bookmarkEnd w:id="120"/>
    </w:p>
    <w:p>
      <w:pPr>
        <w:bidi w:val="0"/>
        <w:rPr>
          <w:rFonts w:eastAsia="仿宋_GB2312" w:hint="eastAsia"/>
          <w:b/>
          <w:bCs/>
          <w:color w:val="auto"/>
          <w:highlight w:val="none"/>
          <w:lang w:val="en-US" w:eastAsia="zh-CN"/>
        </w:rPr>
      </w:pPr>
      <w:r>
        <w:rPr>
          <w:rFonts w:hint="eastAsia"/>
          <w:b/>
          <w:bCs/>
          <w:color w:val="auto"/>
          <w:highlight w:val="none"/>
          <w:lang w:eastAsia="zh-CN"/>
        </w:rPr>
        <w:t xml:space="preserve">（</w:t>
      </w:r>
      <w:r>
        <w:rPr>
          <w:rFonts w:hint="eastAsia"/>
          <w:b/>
          <w:bCs/>
          <w:color w:val="auto"/>
          <w:highlight w:val="none"/>
        </w:rPr>
        <w:t xml:space="preserve">与本项目相关的自治区级或中央级政策或法律法规</w:t>
      </w:r>
      <w:r>
        <w:rPr>
          <w:rFonts w:hint="eastAsia"/>
          <w:b/>
          <w:bCs/>
          <w:color w:val="auto"/>
          <w:highlight w:val="none"/>
          <w:lang w:eastAsia="zh-CN"/>
        </w:rPr>
        <w:t xml:space="preserve">；</w:t>
      </w:r>
      <w:r>
        <w:rPr>
          <w:rFonts w:hint="eastAsia"/>
          <w:b/>
          <w:bCs/>
          <w:color w:val="auto"/>
          <w:highlight w:val="none"/>
        </w:rPr>
        <w:t xml:space="preserve">本项目所涉及的行业发展规划中的内容及规划文件。</w:t>
      </w:r>
      <w:r>
        <w:rPr>
          <w:rFonts w:hint="eastAsia"/>
          <w:b/>
          <w:bCs/>
          <w:color w:val="auto"/>
          <w:highlight w:val="none"/>
          <w:lang w:eastAsia="zh-CN"/>
        </w:rPr>
        <w:t xml:space="preserve">）</w:t>
      </w:r>
    </w:p>
    <w:p>
      <w:pPr>
        <w:bidi w:val="0"/>
        <w:jc w:val="both"/>
        <w:rPr>
          <w:rFonts w:ascii="Times New Roman" w:eastAsia="仿宋_GB2312" w:hAnsi="Times New Roman" w:cs="Times New Roman" w:hint="default"/>
          <w:color w:val="auto"/>
          <w:highlight w:val="none"/>
        </w:rPr>
      </w:pPr>
      <w:r>
        <w:rPr>
          <w:rFonts w:hint="eastAsia"/>
          <w:color w:val="auto"/>
          <w:highlight w:val="none"/>
        </w:rPr>
        <w:t xml:space="preserve">本</w:t>
      </w:r>
      <w:r>
        <w:rPr>
          <w:rFonts w:hint="eastAsia"/>
          <w:color w:val="auto"/>
          <w:highlight w:val="none"/>
        </w:rPr>
        <w:t xml:space="preserve">项目</w:t>
      </w:r>
      <w:r>
        <w:rPr>
          <w:rFonts w:hint="eastAsia"/>
          <w:color w:val="auto"/>
          <w:highlight w:val="none"/>
          <w:lang w:val="en-US" w:eastAsia="zh-CN"/>
        </w:rPr>
        <w:t xml:space="preserve">实施</w:t>
      </w:r>
      <w:r>
        <w:rPr>
          <w:rFonts w:hint="eastAsia"/>
          <w:color w:val="auto"/>
          <w:highlight w:val="none"/>
        </w:rPr>
        <w:t xml:space="preserve">符合新疆维吾尔自治区发展改革委、新疆维吾尔自治区财政厅、新疆维吾尔自治区住建厅颁发的《关于制定和调整污水处理收费标准等有关问题的通知》</w:t>
      </w:r>
      <w:r>
        <w:rPr>
          <w:rFonts w:hint="eastAsia"/>
          <w:color w:val="auto"/>
          <w:highlight w:val="none"/>
        </w:rPr>
        <w:t xml:space="preserve">（发改价格〔</w:t>
      </w:r>
      <w:r>
        <w:rPr>
          <w:rFonts w:hint="eastAsia"/>
          <w:color w:val="auto"/>
          <w:highlight w:val="none"/>
          <w:lang w:val="en-US" w:eastAsia="zh-CN"/>
        </w:rPr>
        <w:t xml:space="preserve">2015</w:t>
      </w:r>
      <w:r>
        <w:rPr>
          <w:rFonts w:hint="eastAsia"/>
          <w:color w:val="auto"/>
          <w:highlight w:val="none"/>
        </w:rPr>
        <w:t xml:space="preserve">〕</w:t>
      </w:r>
      <w:r>
        <w:rPr>
          <w:rFonts w:hint="eastAsia"/>
          <w:color w:val="auto"/>
          <w:highlight w:val="none"/>
          <w:lang w:val="en-US" w:eastAsia="zh-CN"/>
        </w:rPr>
        <w:t xml:space="preserve">119</w:t>
      </w:r>
      <w:r>
        <w:rPr>
          <w:rFonts w:hint="eastAsia"/>
          <w:color w:val="auto"/>
          <w:highlight w:val="none"/>
        </w:rPr>
        <w:t xml:space="preserve">号）中</w:t>
      </w:r>
      <w:r>
        <w:rPr>
          <w:rFonts w:hint="eastAsia"/>
          <w:color w:val="auto"/>
          <w:highlight w:val="none"/>
        </w:rPr>
        <w:t xml:space="preserve">：“四、鼓励社会资本投入。各地应充分发挥价格杠杆作用，合理制定和调整污水处理收费标准，形成合理预期，吸引更多社会资本通过特许经营、政府购买服务、股权合作等方式，积极参与污水处理设施的投资建设和运营服务，提高污水处理能力和运营效率。政府应严格按照运营维护合同约定，及时足额拨付污水处理运营服务费，确保收取的污水处理费专项用于城镇污水处理设施建设、运行和污泥处理处置。鼓励工业园区</w:t>
      </w:r>
      <w:r>
        <w:rPr>
          <w:rFonts w:hint="eastAsia"/>
          <w:color w:val="auto"/>
          <w:highlight w:val="none"/>
          <w:lang w:eastAsia="zh-CN"/>
        </w:rPr>
        <w:t xml:space="preserve">（</w:t>
      </w:r>
      <w:r>
        <w:rPr>
          <w:rFonts w:hint="eastAsia"/>
          <w:color w:val="auto"/>
          <w:highlight w:val="none"/>
        </w:rPr>
        <w:t xml:space="preserve">开发区</w:t>
      </w:r>
      <w:r>
        <w:rPr>
          <w:rFonts w:hint="eastAsia"/>
          <w:color w:val="auto"/>
          <w:highlight w:val="none"/>
          <w:lang w:eastAsia="zh-CN"/>
        </w:rPr>
        <w:t xml:space="preserve">）</w:t>
      </w:r>
      <w:r>
        <w:rPr>
          <w:rFonts w:hint="eastAsia"/>
          <w:color w:val="auto"/>
          <w:highlight w:val="none"/>
        </w:rPr>
        <w:t xml:space="preserve">内污水处理单位与污水排放企业协商确定污水处理收费，提高污水处理市场化程度和处理效率”</w:t>
      </w:r>
      <w:r>
        <w:rPr>
          <w:rFonts w:hint="eastAsia"/>
          <w:color w:val="auto"/>
          <w:highlight w:val="none"/>
        </w:rPr>
        <w:t xml:space="preserve">；本项目</w:t>
      </w:r>
      <w:r>
        <w:rPr>
          <w:rFonts w:hint="eastAsia"/>
          <w:color w:val="auto"/>
          <w:highlight w:val="none"/>
          <w:lang w:val="en-US" w:eastAsia="zh-CN"/>
        </w:rPr>
        <w:t xml:space="preserve">实施</w:t>
      </w:r>
      <w:r>
        <w:rPr>
          <w:rFonts w:hint="eastAsia"/>
          <w:color w:val="auto"/>
          <w:highlight w:val="none"/>
        </w:rPr>
        <w:t xml:space="preserve">符合《关于制定和调整污水处理收费标准等有关问题的通知</w:t>
      </w:r>
      <w:r>
        <w:rPr>
          <w:rFonts w:hint="eastAsia"/>
          <w:color w:val="auto"/>
          <w:highlight w:val="none"/>
        </w:rPr>
        <w:t xml:space="preserve">》</w:t>
      </w:r>
      <w:r>
        <w:rPr>
          <w:rFonts w:hint="eastAsia"/>
          <w:color w:val="auto"/>
          <w:highlight w:val="none"/>
        </w:rPr>
        <w:t xml:space="preserve">中</w:t>
      </w:r>
      <w:r>
        <w:rPr>
          <w:rFonts w:hint="eastAsia"/>
          <w:color w:val="auto"/>
          <w:highlight w:val="none"/>
        </w:rPr>
        <w:t xml:space="preserve">：“</w:t>
      </w:r>
      <w:r>
        <w:rPr>
          <w:rFonts w:hint="eastAsia"/>
          <w:color w:val="auto"/>
          <w:highlight w:val="none"/>
        </w:rPr>
        <w:t xml:space="preserve">政府应严格按照运营维护合同约定，及时足额拨付污水处理运营服务费，确保收取的污水处理费专项用于城镇污水处理设施建设、运行和污泥处理处置。</w:t>
      </w:r>
      <w:r>
        <w:rPr>
          <w:rFonts w:hint="eastAsia"/>
          <w:color w:val="auto"/>
          <w:highlight w:val="none"/>
        </w:rPr>
        <w:t xml:space="preserve">”</w:t>
      </w:r>
      <w:r>
        <w:rPr>
          <w:rFonts w:hint="eastAsia"/>
          <w:color w:val="auto"/>
          <w:highlight w:val="none"/>
        </w:rPr>
        <w:t xml:space="preserve">内容</w:t>
      </w:r>
      <w:r>
        <w:rPr>
          <w:rFonts w:hint="eastAsia"/>
          <w:color w:val="auto"/>
          <w:highlight w:val="none"/>
          <w:lang w:eastAsia="zh-CN"/>
        </w:rPr>
        <w:t xml:space="preserve">。</w:t>
      </w:r>
      <w:r>
        <w:rPr>
          <w:rFonts w:hint="eastAsia"/>
          <w:color w:val="auto"/>
          <w:highlight w:val="none"/>
          <w:lang w:val="en-US" w:eastAsia="zh-CN"/>
        </w:rPr>
        <w:t xml:space="preserve">因此，</w:t>
      </w:r>
      <w:r>
        <w:rPr>
          <w:rFonts w:hint="eastAsia"/>
          <w:color w:val="auto"/>
          <w:highlight w:val="none"/>
        </w:rPr>
        <w:t xml:space="preserve">符合行业发展规划和政策要求</w:t>
      </w:r>
      <w:r>
        <w:rPr>
          <w:rFonts w:ascii="Times New Roman" w:hAnsi="Times New Roman" w:cs="Times New Roman" w:hint="eastAsia"/>
          <w:color w:val="auto"/>
          <w:highlight w:val="none"/>
          <w:lang w:val="en-US" w:eastAsia="zh-CN"/>
        </w:rPr>
        <w:t xml:space="preserve">。</w:t>
      </w:r>
      <w:r>
        <w:rPr>
          <w:rFonts w:ascii="Times New Roman" w:eastAsia="仿宋_GB2312" w:hAnsi="Times New Roman" w:cs="Times New Roman" w:hint="default"/>
          <w:color w:val="auto"/>
          <w:highlight w:val="none"/>
        </w:rPr>
        <w:t xml:space="preserve">项目</w:t>
      </w:r>
      <w:r>
        <w:rPr>
          <w:rFonts w:ascii="Times New Roman" w:eastAsia="仿宋_GB2312" w:hAnsi="Times New Roman" w:cs="Times New Roman" w:hint="default"/>
          <w:color w:val="auto"/>
          <w:highlight w:val="none"/>
          <w:lang w:val="en-US" w:eastAsia="zh-CN"/>
        </w:rPr>
        <w:t xml:space="preserve">实施</w:t>
      </w:r>
      <w:r>
        <w:rPr>
          <w:rFonts w:ascii="Times New Roman" w:eastAsia="仿宋_GB2312" w:hAnsi="Times New Roman" w:cs="Times New Roman" w:hint="default"/>
          <w:color w:val="auto"/>
          <w:highlight w:val="none"/>
        </w:rPr>
        <w:t xml:space="preserve">符合国家法律法规、国民经济发展规划和相关政策；符合行业发展规划和政策要求；与部门职责范围相符，属</w:t>
      </w:r>
      <w:r>
        <w:rPr>
          <w:rFonts w:ascii="Times New Roman" w:eastAsia="仿宋_GB2312" w:hAnsi="Times New Roman" w:cs="Times New Roman" w:hint="default"/>
          <w:color w:val="auto"/>
          <w:highlight w:val="none"/>
        </w:rPr>
        <w:t xml:space="preserve">干部</w:t>
      </w:r>
      <w:r>
        <w:rPr>
          <w:rFonts w:ascii="Times New Roman" w:eastAsia="仿宋_GB2312" w:hAnsi="Times New Roman" w:cs="Times New Roman" w:hint="default"/>
          <w:color w:val="auto"/>
          <w:highlight w:val="none"/>
        </w:rPr>
        <w:t xml:space="preserve">门履职所需；属于公共财政支持范围，符合中央、地方事权支出责任划分原则；</w:t>
      </w:r>
      <w:r>
        <w:rPr>
          <w:rFonts w:ascii="Times New Roman" w:eastAsia="仿宋_GB2312" w:hAnsi="Times New Roman" w:cs="Times New Roman" w:hint="default"/>
          <w:color w:val="auto"/>
          <w:highlight w:val="none"/>
          <w:lang w:val="en-US" w:eastAsia="zh-CN"/>
        </w:rPr>
        <w:t xml:space="preserve">不存在</w:t>
      </w:r>
      <w:r>
        <w:rPr>
          <w:rFonts w:ascii="Times New Roman" w:eastAsia="仿宋_GB2312" w:hAnsi="Times New Roman" w:cs="Times New Roman" w:hint="default"/>
          <w:color w:val="auto"/>
          <w:highlight w:val="none"/>
        </w:rPr>
        <w:t xml:space="preserve">与相关部门同类项目或部门内部相关项目重复</w:t>
      </w:r>
      <w:r>
        <w:rPr>
          <w:rFonts w:ascii="Times New Roman" w:eastAsia="仿宋_GB2312" w:hAnsi="Times New Roman" w:cs="Times New Roman" w:hint="default"/>
          <w:color w:val="auto"/>
          <w:highlight w:val="none"/>
          <w:lang w:val="en-US" w:eastAsia="zh-CN"/>
        </w:rPr>
        <w:t xml:space="preserve">的现象</w:t>
      </w:r>
      <w:r>
        <w:rPr>
          <w:rFonts w:ascii="Times New Roman" w:eastAsia="仿宋_GB2312" w:hAnsi="Times New Roman" w:cs="Times New Roman" w:hint="default"/>
          <w:color w:val="auto"/>
          <w:highlight w:val="none"/>
        </w:rPr>
        <w:t xml:space="preserve">。</w:t>
      </w:r>
      <w:r>
        <w:rPr>
          <w:rFonts w:ascii="Times New Roman" w:eastAsia="仿宋_GB2312" w:hAnsi="Times New Roman" w:cs="Times New Roman" w:hint="default"/>
          <w:color w:val="auto"/>
          <w:highlight w:val="none"/>
          <w:lang w:val="en-US" w:eastAsia="zh-CN"/>
        </w:rPr>
        <w:t xml:space="preserve">项目</w:t>
      </w:r>
      <w:r>
        <w:rPr>
          <w:rFonts w:ascii="Times New Roman" w:hAnsi="Times New Roman" w:cs="Times New Roman" w:hint="eastAsia"/>
          <w:color w:val="auto"/>
          <w:highlight w:val="none"/>
          <w:lang w:val="en-US" w:eastAsia="zh-CN"/>
        </w:rPr>
        <w:t xml:space="preserve">实施</w:t>
      </w:r>
      <w:r>
        <w:rPr>
          <w:rFonts w:ascii="Times New Roman" w:eastAsia="仿宋_GB2312" w:hAnsi="Times New Roman" w:cs="Times New Roman" w:hint="default"/>
          <w:color w:val="auto"/>
          <w:highlight w:val="none"/>
          <w:lang w:val="en-US" w:eastAsia="zh-CN"/>
        </w:rPr>
        <w:t xml:space="preserve">依据充分。</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本项满分3分，评估得分3分。</w:t>
      </w:r>
    </w:p>
    <w:p>
      <w:pPr>
        <w:bidi w:val="0"/>
        <w:jc w:val="both"/>
        <w:rPr>
          <w:rFonts w:ascii="Times New Roman" w:eastAsia="仿宋_GB2312" w:hAnsi="Times New Roman" w:cs="Times New Roman" w:hint="default"/>
          <w:b/>
          <w:bCs/>
          <w:color w:val="auto"/>
          <w:highlight w:val="none"/>
        </w:rPr>
      </w:pPr>
      <w:bookmarkStart w:id="121" w:name="_Toc283"/>
      <w:bookmarkStart w:id="122" w:name="_Toc27895"/>
      <w:r>
        <w:rPr>
          <w:rFonts w:ascii="Times New Roman" w:eastAsia="仿宋_GB2312" w:hAnsi="Times New Roman" w:cs="Times New Roman" w:hint="default"/>
          <w:b/>
          <w:bCs/>
          <w:color w:val="auto"/>
          <w:highlight w:val="none"/>
        </w:rPr>
        <w:t xml:space="preserve">2.</w:t>
      </w:r>
      <w:r>
        <w:rPr>
          <w:rFonts w:ascii="Times New Roman" w:hAnsi="Times New Roman" w:cs="Times New Roman" w:hint="eastAsia"/>
          <w:b/>
          <w:bCs/>
          <w:color w:val="auto"/>
          <w:highlight w:val="none"/>
          <w:lang w:val="en-US" w:eastAsia="zh-CN"/>
        </w:rPr>
        <w:t xml:space="preserve">实施</w:t>
      </w:r>
      <w:r>
        <w:rPr>
          <w:rFonts w:ascii="Times New Roman" w:eastAsia="仿宋_GB2312" w:hAnsi="Times New Roman" w:cs="Times New Roman" w:hint="default"/>
          <w:b/>
          <w:bCs/>
          <w:color w:val="auto"/>
          <w:highlight w:val="none"/>
        </w:rPr>
        <w:t xml:space="preserve">程序规范性</w:t>
      </w:r>
      <w:bookmarkEnd w:id="121"/>
      <w:bookmarkEnd w:id="122"/>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本项目实施单位编制了</w:t>
      </w:r>
      <w:r>
        <w:rPr>
          <w:rFonts w:ascii="Times New Roman" w:hAnsi="Times New Roman" w:cs="Times New Roman" w:hint="eastAsia"/>
          <w:color w:val="auto"/>
          <w:highlight w:val="none"/>
          <w:lang w:eastAsia="zh-CN"/>
        </w:rPr>
        <w:t xml:space="preserve">《</w:t>
      </w:r>
      <w:r>
        <w:rPr>
          <w:rFonts w:ascii="Times New Roman" w:eastAsia="仿宋_GB2312" w:hAnsi="Times New Roman" w:cs="Times New Roman" w:hint="default"/>
          <w:color w:val="auto"/>
          <w:highlight w:val="none"/>
        </w:rPr>
        <w:t xml:space="preserve">尉犁县城镇污水处理厂 </w:t>
      </w:r>
      <w:r>
        <w:rPr>
          <w:rFonts w:ascii="Times New Roman" w:hAnsi="Times New Roman" w:cs="Times New Roman" w:hint="eastAsia"/>
          <w:color w:val="auto"/>
          <w:highlight w:val="none"/>
          <w:lang w:eastAsia="zh-CN"/>
        </w:rPr>
        <w:t xml:space="preserve">（</w:t>
      </w:r>
      <w:r>
        <w:rPr>
          <w:rFonts w:ascii="Times New Roman" w:eastAsia="仿宋_GB2312" w:hAnsi="Times New Roman" w:cs="Times New Roman" w:hint="default"/>
          <w:color w:val="auto"/>
          <w:highlight w:val="none"/>
        </w:rPr>
        <w:t xml:space="preserve">二期</w:t>
      </w:r>
      <w:r>
        <w:rPr>
          <w:rFonts w:ascii="Times New Roman" w:hAnsi="Times New Roman" w:cs="Times New Roman" w:hint="eastAsia"/>
          <w:color w:val="auto"/>
          <w:highlight w:val="none"/>
          <w:lang w:eastAsia="zh-CN"/>
        </w:rPr>
        <w:t xml:space="preserve">）</w:t>
      </w:r>
      <w:r>
        <w:rPr>
          <w:rFonts w:ascii="Times New Roman" w:eastAsia="仿宋_GB2312" w:hAnsi="Times New Roman" w:cs="Times New Roman" w:hint="default"/>
          <w:color w:val="auto"/>
          <w:highlight w:val="none"/>
        </w:rPr>
        <w:t xml:space="preserve"> 工程 PPP 项目实施方案</w:t>
      </w:r>
      <w:r>
        <w:rPr>
          <w:rFonts w:ascii="Times New Roman" w:hAnsi="Times New Roman" w:cs="Times New Roman" w:hint="eastAsia"/>
          <w:color w:val="auto"/>
          <w:highlight w:val="none"/>
          <w:lang w:eastAsia="zh-CN"/>
        </w:rPr>
        <w:t xml:space="preserve">》</w:t>
      </w: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2017</w:t>
      </w:r>
      <w:r>
        <w:rPr>
          <w:rFonts w:ascii="Times New Roman" w:eastAsia="仿宋_GB2312" w:hAnsi="Times New Roman" w:cs="Times New Roman" w:hint="default"/>
          <w:color w:val="auto"/>
          <w:highlight w:val="none"/>
        </w:rPr>
        <w:t xml:space="preserve">年</w:t>
      </w:r>
      <w:r>
        <w:rPr>
          <w:rFonts w:ascii="Times New Roman" w:hAnsi="Times New Roman" w:cs="Times New Roman" w:hint="eastAsia"/>
          <w:color w:val="auto"/>
          <w:highlight w:val="none"/>
          <w:lang w:val="en-US" w:eastAsia="zh-CN"/>
        </w:rPr>
        <w:t xml:space="preserve">7</w:t>
      </w:r>
      <w:r>
        <w:rPr>
          <w:rFonts w:ascii="Times New Roman" w:eastAsia="仿宋_GB2312" w:hAnsi="Times New Roman" w:cs="Times New Roman" w:hint="default"/>
          <w:color w:val="auto"/>
          <w:highlight w:val="none"/>
        </w:rPr>
        <w:t xml:space="preserve">月完成实施方案编制。得到了</w:t>
      </w:r>
      <w:r>
        <w:rPr>
          <w:rFonts w:ascii="Times New Roman" w:hAnsi="Times New Roman" w:cs="Times New Roman" w:hint="eastAsia"/>
          <w:color w:val="auto"/>
          <w:highlight w:val="none"/>
          <w:lang w:val="en-US" w:eastAsia="zh-CN"/>
        </w:rPr>
        <w:t xml:space="preserve">尉犁县</w:t>
      </w:r>
      <w:r>
        <w:rPr>
          <w:rFonts w:ascii="Times New Roman" w:eastAsia="仿宋_GB2312" w:hAnsi="Times New Roman" w:cs="Times New Roman" w:hint="default"/>
          <w:color w:val="auto"/>
          <w:highlight w:val="none"/>
        </w:rPr>
        <w:t xml:space="preserve">发展和改革委员会《</w:t>
      </w:r>
      <w:r>
        <w:rPr>
          <w:rFonts w:ascii="Times New Roman" w:hAnsi="Times New Roman" w:cs="Times New Roman" w:hint="eastAsia"/>
          <w:color w:val="auto"/>
          <w:highlight w:val="none"/>
          <w:lang w:val="en-US" w:eastAsia="zh-CN"/>
        </w:rPr>
        <w:t xml:space="preserve">关于尉犁县城镇污水处理厂（二期）工程PPP项目立项的批复</w:t>
      </w: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尉发改</w:t>
      </w: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2017</w:t>
      </w: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87</w:t>
      </w:r>
      <w:r>
        <w:rPr>
          <w:rFonts w:ascii="Times New Roman" w:eastAsia="仿宋_GB2312" w:hAnsi="Times New Roman" w:cs="Times New Roman" w:hint="default"/>
          <w:color w:val="auto"/>
          <w:highlight w:val="none"/>
        </w:rPr>
        <w:t xml:space="preserve">号），批复时间</w:t>
      </w:r>
      <w:r>
        <w:rPr>
          <w:rFonts w:ascii="Times New Roman" w:hAnsi="Times New Roman" w:cs="Times New Roman" w:hint="eastAsia"/>
          <w:color w:val="auto"/>
          <w:highlight w:val="none"/>
          <w:lang w:val="en-US" w:eastAsia="zh-CN"/>
        </w:rPr>
        <w:t xml:space="preserve">2017</w:t>
      </w:r>
      <w:r>
        <w:rPr>
          <w:rFonts w:ascii="Times New Roman" w:eastAsia="仿宋_GB2312" w:hAnsi="Times New Roman" w:cs="Times New Roman" w:hint="default"/>
          <w:color w:val="auto"/>
          <w:highlight w:val="none"/>
        </w:rPr>
        <w:t xml:space="preserve">年</w:t>
      </w:r>
      <w:r>
        <w:rPr>
          <w:rFonts w:ascii="Times New Roman" w:hAnsi="Times New Roman" w:cs="Times New Roman" w:hint="eastAsia"/>
          <w:color w:val="auto"/>
          <w:highlight w:val="none"/>
          <w:lang w:val="en-US" w:eastAsia="zh-CN"/>
        </w:rPr>
        <w:t xml:space="preserve">7</w:t>
      </w:r>
      <w:r>
        <w:rPr>
          <w:rFonts w:ascii="Times New Roman" w:eastAsia="仿宋_GB2312" w:hAnsi="Times New Roman" w:cs="Times New Roman" w:hint="default"/>
          <w:color w:val="auto"/>
          <w:highlight w:val="none"/>
        </w:rPr>
        <w:t xml:space="preserve">月</w:t>
      </w:r>
      <w:r>
        <w:rPr>
          <w:rFonts w:ascii="Times New Roman" w:hAnsi="Times New Roman" w:cs="Times New Roman" w:hint="eastAsia"/>
          <w:color w:val="auto"/>
          <w:highlight w:val="none"/>
          <w:lang w:val="en-US" w:eastAsia="zh-CN"/>
        </w:rPr>
        <w:t xml:space="preserve">18</w:t>
      </w:r>
      <w:r>
        <w:rPr>
          <w:rFonts w:ascii="Times New Roman" w:eastAsia="仿宋_GB2312" w:hAnsi="Times New Roman" w:cs="Times New Roman" w:hint="default"/>
          <w:color w:val="auto"/>
          <w:highlight w:val="none"/>
        </w:rPr>
        <w:t xml:space="preserve">日，</w:t>
      </w:r>
      <w:r>
        <w:rPr>
          <w:rFonts w:ascii="Times New Roman" w:hAnsi="Times New Roman" w:cs="Times New Roman" w:hint="eastAsia"/>
          <w:color w:val="auto"/>
          <w:highlight w:val="none"/>
          <w:lang w:val="en-US" w:eastAsia="zh-CN"/>
        </w:rPr>
        <w:t xml:space="preserve">根据《关于将尉犁县城镇污水处理厂（二期）工程PPP项目财政支出责任分年度列入财政预算的批复》</w:t>
      </w:r>
      <w:r>
        <w:rPr>
          <w:rFonts w:ascii="Times New Roman" w:hAnsi="Times New Roman" w:cs="Times New Roman" w:hint="default"/>
          <w:color w:val="auto"/>
          <w:highlight w:val="none"/>
          <w:lang w:val="en-US" w:eastAsia="zh-CN"/>
        </w:rPr>
        <w:t xml:space="preserve">（</w:t>
      </w:r>
      <w:r>
        <w:rPr>
          <w:rFonts w:ascii="Times New Roman" w:hAnsi="Times New Roman" w:cs="Times New Roman" w:hint="eastAsia"/>
          <w:color w:val="auto"/>
          <w:highlight w:val="none"/>
          <w:lang w:val="en-US" w:eastAsia="zh-CN"/>
        </w:rPr>
        <w:t xml:space="preserve">尉人委</w:t>
      </w:r>
      <w:r>
        <w:rPr>
          <w:rFonts w:ascii="Times New Roman" w:hAnsi="Times New Roman" w:cs="Times New Roman" w:hint="default"/>
          <w:color w:val="auto"/>
          <w:highlight w:val="none"/>
          <w:lang w:val="en-US" w:eastAsia="zh-CN"/>
        </w:rPr>
        <w:t xml:space="preserve">〔</w:t>
      </w:r>
      <w:r>
        <w:rPr>
          <w:rFonts w:ascii="Times New Roman" w:hAnsi="Times New Roman" w:cs="Times New Roman" w:hint="eastAsia"/>
          <w:color w:val="auto"/>
          <w:highlight w:val="none"/>
          <w:lang w:val="en-US" w:eastAsia="zh-CN"/>
        </w:rPr>
        <w:t xml:space="preserve">2018</w:t>
      </w:r>
      <w:r>
        <w:rPr>
          <w:rFonts w:ascii="Times New Roman" w:hAnsi="Times New Roman" w:cs="Times New Roman" w:hint="default"/>
          <w:color w:val="auto"/>
          <w:highlight w:val="none"/>
          <w:lang w:val="en-US" w:eastAsia="zh-CN"/>
        </w:rPr>
        <w:t xml:space="preserve">〕</w:t>
      </w:r>
      <w:r>
        <w:rPr>
          <w:rFonts w:ascii="Times New Roman" w:hAnsi="Times New Roman" w:cs="Times New Roman" w:hint="eastAsia"/>
          <w:color w:val="auto"/>
          <w:highlight w:val="none"/>
          <w:lang w:val="en-US" w:eastAsia="zh-CN"/>
        </w:rPr>
        <w:t xml:space="preserve">12</w:t>
      </w:r>
      <w:r>
        <w:rPr>
          <w:rFonts w:ascii="Times New Roman" w:hAnsi="Times New Roman" w:cs="Times New Roman" w:hint="default"/>
          <w:color w:val="auto"/>
          <w:highlight w:val="none"/>
          <w:lang w:val="en-US" w:eastAsia="zh-CN"/>
        </w:rPr>
        <w:t xml:space="preserve">号）</w:t>
      </w:r>
      <w:r>
        <w:rPr>
          <w:rFonts w:ascii="Times New Roman" w:hAnsi="Times New Roman" w:cs="Times New Roman" w:hint="eastAsia"/>
          <w:color w:val="auto"/>
          <w:highlight w:val="none"/>
          <w:lang w:val="en-US" w:eastAsia="zh-CN"/>
        </w:rPr>
        <w:t xml:space="preserve">文件，2024年继续支付</w:t>
      </w:r>
      <w:r>
        <w:rPr>
          <w:rFonts w:ascii="Times New Roman" w:eastAsia="仿宋_GB2312" w:hAnsi="Times New Roman" w:cs="Times New Roman" w:hint="default"/>
          <w:color w:val="auto"/>
          <w:highlight w:val="none"/>
        </w:rPr>
        <w:t xml:space="preserve">尉犁县城镇污水处理厂</w:t>
      </w:r>
      <w:r>
        <w:rPr>
          <w:rFonts w:ascii="Times New Roman" w:hAnsi="Times New Roman" w:cs="Times New Roman" w:hint="eastAsia"/>
          <w:color w:val="auto"/>
          <w:highlight w:val="none"/>
          <w:lang w:eastAsia="zh-CN"/>
        </w:rPr>
        <w:t xml:space="preserve">（</w:t>
      </w:r>
      <w:r>
        <w:rPr>
          <w:rFonts w:ascii="Times New Roman" w:eastAsia="仿宋_GB2312" w:hAnsi="Times New Roman" w:cs="Times New Roman" w:hint="default"/>
          <w:color w:val="auto"/>
          <w:highlight w:val="none"/>
        </w:rPr>
        <w:t xml:space="preserve">二期</w:t>
      </w:r>
      <w:r>
        <w:rPr>
          <w:rFonts w:ascii="Times New Roman" w:hAnsi="Times New Roman" w:cs="Times New Roman" w:hint="eastAsia"/>
          <w:color w:val="auto"/>
          <w:highlight w:val="none"/>
          <w:lang w:eastAsia="zh-CN"/>
        </w:rPr>
        <w:t xml:space="preserve">）</w:t>
      </w:r>
      <w:r>
        <w:rPr>
          <w:rFonts w:ascii="Times New Roman" w:eastAsia="仿宋_GB2312" w:hAnsi="Times New Roman" w:cs="Times New Roman" w:hint="default"/>
          <w:color w:val="auto"/>
          <w:highlight w:val="none"/>
        </w:rPr>
        <w:t xml:space="preserve">工程PPP项目</w:t>
      </w:r>
      <w:r>
        <w:rPr>
          <w:rFonts w:ascii="Times New Roman" w:hAnsi="Times New Roman" w:cs="Times New Roman" w:hint="eastAsia"/>
          <w:color w:val="auto"/>
          <w:highlight w:val="none"/>
          <w:lang w:val="en-US" w:eastAsia="zh-CN"/>
        </w:rPr>
        <w:t xml:space="preserve">服务费，实施</w:t>
      </w:r>
      <w:r>
        <w:rPr>
          <w:rFonts w:ascii="Times New Roman" w:eastAsia="仿宋_GB2312" w:hAnsi="Times New Roman" w:cs="Times New Roman" w:hint="default"/>
          <w:color w:val="auto"/>
          <w:highlight w:val="none"/>
        </w:rPr>
        <w:t xml:space="preserve">程序规范。</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本项满分3分，评估得分3分。</w:t>
      </w:r>
    </w:p>
    <w:p>
      <w:pPr>
        <w:bidi w:val="0"/>
        <w:jc w:val="both"/>
        <w:rPr>
          <w:rFonts w:ascii="Times New Roman" w:eastAsia="仿宋_GB2312" w:hAnsi="Times New Roman" w:cs="Times New Roman" w:hint="default"/>
          <w:b/>
          <w:bCs/>
          <w:color w:val="auto"/>
          <w:highlight w:val="none"/>
        </w:rPr>
      </w:pPr>
      <w:bookmarkStart w:id="123" w:name="_Toc13368"/>
      <w:bookmarkStart w:id="124" w:name="_Toc20471"/>
      <w:r>
        <w:rPr>
          <w:rFonts w:ascii="Times New Roman" w:eastAsia="仿宋_GB2312" w:hAnsi="Times New Roman" w:cs="Times New Roman" w:hint="default"/>
          <w:b/>
          <w:bCs/>
          <w:color w:val="auto"/>
          <w:highlight w:val="none"/>
        </w:rPr>
        <w:t xml:space="preserve">3.绩效目标合理性</w:t>
      </w:r>
      <w:bookmarkEnd w:id="123"/>
      <w:bookmarkEnd w:id="124"/>
    </w:p>
    <w:p>
      <w:pPr>
        <w:bidi w:val="0"/>
        <w:jc w:val="both"/>
        <w:rPr>
          <w:rFonts w:ascii="Times New Roman" w:eastAsia="仿宋_GB2312" w:hAnsi="Times New Roman" w:cs="Times New Roman" w:hint="default"/>
          <w:color w:val="auto"/>
          <w:highlight w:val="none"/>
        </w:rPr>
      </w:pPr>
      <w:r>
        <w:rPr>
          <w:rFonts w:ascii="仿宋_GB2312" w:hAnsi="仿宋_GB2312" w:cs="仿宋_GB2312" w:hint="eastAsia"/>
          <w:b w:val="0"/>
          <w:bCs w:val="0"/>
          <w:color w:val="auto"/>
          <w:highlight w:val="none"/>
          <w:lang w:val="en-US" w:eastAsia="zh-CN"/>
        </w:rPr>
        <w:t xml:space="preserve">2024年尉犁县城镇污水处理厂（二期）工程PPP项目服务费</w:t>
      </w:r>
      <w:r>
        <w:rPr>
          <w:rFonts w:ascii="Times New Roman" w:eastAsia="仿宋_GB2312" w:hAnsi="Times New Roman" w:cs="Times New Roman" w:hint="default"/>
          <w:color w:val="auto"/>
          <w:highlight w:val="none"/>
        </w:rPr>
        <w:t xml:space="preserve">设立了项目绩效目标，绩效目标指标设置合理，项目绩效目标与实际工作内容相关性较强；项目预期产出效益和效果符合正常的业绩水平；绩效目标与预算确定的项目投资额相匹配。</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bidi w:val="0"/>
        <w:jc w:val="both"/>
        <w:rPr>
          <w:rFonts w:ascii="Times New Roman" w:eastAsia="仿宋_GB2312" w:hAnsi="Times New Roman" w:cs="Times New Roman" w:hint="default"/>
          <w:b/>
          <w:bCs/>
          <w:color w:val="auto"/>
          <w:highlight w:val="none"/>
        </w:rPr>
      </w:pPr>
      <w:bookmarkStart w:id="125" w:name="_Toc21087"/>
      <w:bookmarkStart w:id="126" w:name="_Toc15543"/>
      <w:r>
        <w:rPr>
          <w:rFonts w:ascii="Times New Roman" w:eastAsia="仿宋_GB2312" w:hAnsi="Times New Roman" w:cs="Times New Roman" w:hint="default"/>
          <w:b/>
          <w:bCs/>
          <w:color w:val="auto"/>
          <w:highlight w:val="none"/>
        </w:rPr>
        <w:t xml:space="preserve">4.绩效指标明确性</w:t>
      </w:r>
      <w:bookmarkEnd w:id="125"/>
      <w:bookmarkEnd w:id="126"/>
    </w:p>
    <w:p>
      <w:pPr>
        <w:bidi w:val="0"/>
        <w:jc w:val="both"/>
        <w:rPr>
          <w:rFonts w:ascii="Times New Roman" w:eastAsia="仿宋_GB2312" w:hAnsi="Times New Roman" w:cs="Times New Roman" w:hint="default"/>
          <w:color w:val="auto"/>
          <w:highlight w:val="none"/>
        </w:rPr>
      </w:pPr>
      <w:r>
        <w:rPr>
          <w:rFonts w:ascii="仿宋_GB2312" w:hAnsi="仿宋_GB2312" w:cs="仿宋_GB2312" w:hint="eastAsia"/>
          <w:b w:val="0"/>
          <w:bCs w:val="0"/>
          <w:color w:val="auto"/>
          <w:highlight w:val="none"/>
          <w:lang w:val="en-US" w:eastAsia="zh-CN"/>
        </w:rPr>
        <w:t xml:space="preserve">2024年尉犁县城镇污水处理厂（二期）工程PPP项目服务费</w:t>
      </w:r>
      <w:r>
        <w:rPr>
          <w:rFonts w:ascii="Times New Roman" w:eastAsia="仿宋_GB2312" w:hAnsi="Times New Roman" w:cs="Times New Roman" w:hint="default"/>
          <w:color w:val="auto"/>
          <w:highlight w:val="none"/>
        </w:rPr>
        <w:t xml:space="preserve">，设置一级指标</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条，二级指标</w:t>
      </w:r>
      <w:r>
        <w:rPr>
          <w:rFonts w:ascii="Times New Roman" w:hAnsi="Times New Roman" w:cs="Times New Roman" w:hint="eastAsia"/>
          <w:color w:val="auto"/>
          <w:highlight w:val="none"/>
          <w:lang w:val="en-US" w:eastAsia="zh-CN"/>
        </w:rPr>
        <w:t xml:space="preserve">6</w:t>
      </w:r>
      <w:r>
        <w:rPr>
          <w:rFonts w:ascii="Times New Roman" w:eastAsia="仿宋_GB2312" w:hAnsi="Times New Roman" w:cs="Times New Roman" w:hint="default"/>
          <w:color w:val="auto"/>
          <w:highlight w:val="none"/>
        </w:rPr>
        <w:t xml:space="preserve">条，三级指标</w:t>
      </w:r>
      <w:r>
        <w:rPr>
          <w:rFonts w:ascii="Times New Roman" w:hAnsi="Times New Roman" w:cs="Times New Roman" w:hint="eastAsia"/>
          <w:color w:val="auto"/>
          <w:highlight w:val="none"/>
          <w:lang w:val="en-US" w:eastAsia="zh-CN"/>
        </w:rPr>
        <w:t xml:space="preserve">8</w:t>
      </w:r>
      <w:r>
        <w:rPr>
          <w:rFonts w:ascii="Times New Roman" w:eastAsia="仿宋_GB2312" w:hAnsi="Times New Roman" w:cs="Times New Roman" w:hint="default"/>
          <w:color w:val="auto"/>
          <w:highlight w:val="none"/>
        </w:rPr>
        <w:t xml:space="preserve">条，其中量化指标</w:t>
      </w:r>
      <w:r>
        <w:rPr>
          <w:rFonts w:ascii="Times New Roman" w:hAnsi="Times New Roman" w:cs="Times New Roman" w:hint="eastAsia"/>
          <w:color w:val="auto"/>
          <w:highlight w:val="none"/>
          <w:lang w:val="en-US" w:eastAsia="zh-CN"/>
        </w:rPr>
        <w:t xml:space="preserve">7</w:t>
      </w:r>
      <w:r>
        <w:rPr>
          <w:rFonts w:ascii="Times New Roman" w:eastAsia="仿宋_GB2312" w:hAnsi="Times New Roman" w:cs="Times New Roman" w:hint="default"/>
          <w:color w:val="auto"/>
          <w:highlight w:val="none"/>
        </w:rPr>
        <w:t xml:space="preserve">条，绩效目标指标设定清晰、可衡量性较强，与项目目标任务计划数对应性较强。</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bidi w:val="0"/>
        <w:jc w:val="both"/>
        <w:rPr>
          <w:rFonts w:ascii="Times New Roman" w:eastAsia="仿宋_GB2312" w:hAnsi="Times New Roman" w:cs="Times New Roman" w:hint="default"/>
          <w:b/>
          <w:bCs/>
          <w:color w:val="auto"/>
          <w:highlight w:val="none"/>
        </w:rPr>
      </w:pPr>
      <w:bookmarkStart w:id="127" w:name="_Toc21476"/>
      <w:bookmarkStart w:id="128" w:name="_Toc25638"/>
      <w:r>
        <w:rPr>
          <w:rFonts w:ascii="Times New Roman" w:eastAsia="仿宋_GB2312" w:hAnsi="Times New Roman" w:cs="Times New Roman" w:hint="default"/>
          <w:b/>
          <w:bCs/>
          <w:color w:val="auto"/>
          <w:highlight w:val="none"/>
        </w:rPr>
        <w:t xml:space="preserve">5.预算编制科学性</w:t>
      </w:r>
      <w:bookmarkEnd w:id="127"/>
      <w:bookmarkEnd w:id="128"/>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本项目预算资金</w:t>
      </w:r>
      <w:r>
        <w:rPr>
          <w:rFonts w:ascii="Times New Roman" w:hAnsi="Times New Roman" w:cs="Times New Roman" w:hint="eastAsia"/>
          <w:color w:val="auto"/>
          <w:highlight w:val="none"/>
          <w:lang w:val="en-US" w:eastAsia="zh-CN"/>
        </w:rPr>
        <w:t xml:space="preserve">331</w:t>
      </w:r>
      <w:r>
        <w:rPr>
          <w:rFonts w:ascii="Times New Roman" w:eastAsia="仿宋_GB2312" w:hAnsi="Times New Roman" w:cs="Times New Roman" w:hint="default"/>
          <w:color w:val="auto"/>
          <w:highlight w:val="none"/>
        </w:rPr>
        <w:t xml:space="preserve">万元，来源为</w:t>
      </w:r>
      <w:r>
        <w:rPr>
          <w:rFonts w:ascii="Times New Roman" w:hAnsi="Times New Roman" w:cs="Times New Roman" w:hint="eastAsia"/>
          <w:color w:val="auto"/>
          <w:highlight w:val="none"/>
          <w:lang w:val="en-US" w:eastAsia="zh-CN"/>
        </w:rPr>
        <w:t xml:space="preserve">县本级资金331</w:t>
      </w:r>
      <w:r>
        <w:rPr>
          <w:rFonts w:ascii="Times New Roman" w:eastAsia="仿宋_GB2312" w:hAnsi="Times New Roman" w:cs="Times New Roman" w:hint="default"/>
          <w:color w:val="auto"/>
          <w:highlight w:val="none"/>
        </w:rPr>
        <w:t xml:space="preserve">万元，预算编制较为科学，预算内容与项目建设内容相匹配，预算额度测算依据充分，预算确定的资金量与工程量相匹配。</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bidi w:val="0"/>
        <w:jc w:val="both"/>
        <w:rPr>
          <w:rFonts w:ascii="Times New Roman" w:eastAsia="仿宋_GB2312" w:hAnsi="Times New Roman" w:cs="Times New Roman" w:hint="default"/>
          <w:b/>
          <w:bCs/>
          <w:color w:val="auto"/>
          <w:highlight w:val="none"/>
        </w:rPr>
      </w:pPr>
      <w:bookmarkStart w:id="129" w:name="_Toc30661"/>
      <w:bookmarkStart w:id="130" w:name="_Toc21577"/>
      <w:r>
        <w:rPr>
          <w:rFonts w:ascii="Times New Roman" w:eastAsia="仿宋_GB2312" w:hAnsi="Times New Roman" w:cs="Times New Roman" w:hint="default"/>
          <w:b/>
          <w:bCs/>
          <w:color w:val="auto"/>
          <w:highlight w:val="none"/>
        </w:rPr>
        <w:t xml:space="preserve">6.资金分配合理性</w:t>
      </w:r>
      <w:bookmarkEnd w:id="129"/>
      <w:bookmarkEnd w:id="130"/>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本项目预算资金分配依据充分；资金分配额度合理，与项目单位实际相适应。</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pStyle w:val="Heading3"/>
        <w:bidi w:val="0"/>
        <w:jc w:val="both"/>
        <w:outlineLvl w:val="1"/>
        <w:rPr>
          <w:rFonts w:ascii="黑体" w:eastAsia="黑体" w:hAnsi="黑体" w:cs="黑体" w:hint="eastAsia"/>
          <w:color w:val="auto"/>
          <w:highlight w:val="none"/>
        </w:rPr>
      </w:pPr>
      <w:bookmarkStart w:id="131" w:name="_Toc30992"/>
      <w:bookmarkStart w:id="132" w:name="_Toc9897"/>
      <w:bookmarkStart w:id="133" w:name="_Toc28165"/>
      <w:bookmarkStart w:id="134" w:name="_Toc27855"/>
      <w:bookmarkStart w:id="135" w:name="_Toc7400"/>
      <w:bookmarkStart w:id="136" w:name="_Toc13442"/>
      <w:r>
        <w:rPr>
          <w:rFonts w:ascii="黑体" w:eastAsia="黑体" w:hAnsi="黑体" w:cs="黑体" w:hint="eastAsia"/>
          <w:color w:val="auto"/>
          <w:highlight w:val="none"/>
        </w:rPr>
        <w:t xml:space="preserve">（二）项目过程情况</w:t>
      </w:r>
      <w:bookmarkEnd w:id="131"/>
      <w:bookmarkEnd w:id="132"/>
      <w:bookmarkEnd w:id="133"/>
      <w:bookmarkEnd w:id="134"/>
      <w:bookmarkEnd w:id="135"/>
      <w:bookmarkEnd w:id="136"/>
    </w:p>
    <w:p>
      <w:pPr>
        <w:bidi w:val="0"/>
        <w:jc w:val="both"/>
        <w:rPr>
          <w:rFonts w:ascii="Times New Roman" w:eastAsia="仿宋_GB2312" w:hAnsi="Times New Roman" w:cs="Times New Roman" w:hint="default"/>
          <w:b/>
          <w:bCs/>
          <w:color w:val="auto"/>
          <w:highlight w:val="none"/>
        </w:rPr>
      </w:pPr>
      <w:bookmarkStart w:id="137" w:name="_Toc29417"/>
      <w:bookmarkStart w:id="138" w:name="_Toc19854"/>
      <w:r>
        <w:rPr>
          <w:rFonts w:ascii="Times New Roman" w:eastAsia="仿宋_GB2312" w:hAnsi="Times New Roman" w:cs="Times New Roman" w:hint="default"/>
          <w:b/>
          <w:bCs/>
          <w:color w:val="auto"/>
          <w:highlight w:val="none"/>
        </w:rPr>
        <w:t xml:space="preserve">1.资金到位率</w:t>
      </w:r>
      <w:bookmarkEnd w:id="137"/>
      <w:bookmarkEnd w:id="138"/>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本项目预算资金</w:t>
      </w:r>
      <w:r>
        <w:rPr>
          <w:rFonts w:ascii="Times New Roman" w:hAnsi="Times New Roman" w:cs="Times New Roman" w:hint="eastAsia"/>
          <w:color w:val="auto"/>
          <w:highlight w:val="none"/>
          <w:lang w:val="en-US" w:eastAsia="zh-CN"/>
        </w:rPr>
        <w:t xml:space="preserve">331</w:t>
      </w:r>
      <w:r>
        <w:rPr>
          <w:rFonts w:ascii="Times New Roman" w:eastAsia="仿宋_GB2312" w:hAnsi="Times New Roman" w:cs="Times New Roman" w:hint="default"/>
          <w:color w:val="auto"/>
          <w:highlight w:val="none"/>
        </w:rPr>
        <w:t xml:space="preserve">万元，实际到位资金</w:t>
      </w:r>
      <w:r>
        <w:rPr>
          <w:rFonts w:ascii="Times New Roman" w:hAnsi="Times New Roman" w:cs="Times New Roman" w:hint="eastAsia"/>
          <w:color w:val="auto"/>
          <w:highlight w:val="none"/>
          <w:lang w:val="en-US" w:eastAsia="zh-CN"/>
        </w:rPr>
        <w:t xml:space="preserve">331</w:t>
      </w:r>
      <w:r>
        <w:rPr>
          <w:rFonts w:ascii="Times New Roman" w:eastAsia="仿宋_GB2312" w:hAnsi="Times New Roman" w:cs="Times New Roman" w:hint="default"/>
          <w:color w:val="auto"/>
          <w:highlight w:val="none"/>
        </w:rPr>
        <w:t xml:space="preserve">万元，资金到位率100%。</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bidi w:val="0"/>
        <w:jc w:val="both"/>
        <w:rPr>
          <w:rFonts w:ascii="Times New Roman" w:eastAsia="仿宋_GB2312" w:hAnsi="Times New Roman" w:cs="Times New Roman" w:hint="default"/>
          <w:b/>
          <w:bCs/>
          <w:color w:val="auto"/>
          <w:highlight w:val="none"/>
        </w:rPr>
      </w:pPr>
      <w:bookmarkStart w:id="139" w:name="_Toc13724"/>
      <w:bookmarkStart w:id="140" w:name="_Toc29889"/>
      <w:r>
        <w:rPr>
          <w:rFonts w:ascii="Times New Roman" w:eastAsia="仿宋_GB2312" w:hAnsi="Times New Roman" w:cs="Times New Roman" w:hint="default"/>
          <w:b/>
          <w:bCs/>
          <w:color w:val="auto"/>
          <w:highlight w:val="none"/>
        </w:rPr>
        <w:t xml:space="preserve">2.预算执行率</w:t>
      </w:r>
      <w:bookmarkEnd w:id="139"/>
      <w:bookmarkEnd w:id="140"/>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本项目到位资金</w:t>
      </w:r>
      <w:r>
        <w:rPr>
          <w:rFonts w:ascii="Times New Roman" w:hAnsi="Times New Roman" w:cs="Times New Roman" w:hint="eastAsia"/>
          <w:color w:val="auto"/>
          <w:highlight w:val="none"/>
          <w:lang w:val="en-US" w:eastAsia="zh-CN"/>
        </w:rPr>
        <w:t xml:space="preserve">331</w:t>
      </w:r>
      <w:r>
        <w:rPr>
          <w:rFonts w:ascii="Times New Roman" w:eastAsia="仿宋_GB2312" w:hAnsi="Times New Roman" w:cs="Times New Roman" w:hint="default"/>
          <w:color w:val="auto"/>
          <w:highlight w:val="none"/>
        </w:rPr>
        <w:t xml:space="preserve">万元，实际支付资金</w:t>
      </w:r>
      <w:r>
        <w:rPr>
          <w:rFonts w:ascii="Times New Roman" w:hAnsi="Times New Roman" w:cs="Times New Roman" w:hint="eastAsia"/>
          <w:color w:val="auto"/>
          <w:highlight w:val="none"/>
          <w:lang w:val="en-US" w:eastAsia="zh-CN"/>
        </w:rPr>
        <w:t xml:space="preserve">329.4</w:t>
      </w:r>
      <w:r>
        <w:rPr>
          <w:rFonts w:ascii="Times New Roman" w:eastAsia="仿宋_GB2312" w:hAnsi="Times New Roman" w:cs="Times New Roman" w:hint="default"/>
          <w:color w:val="auto"/>
          <w:highlight w:val="none"/>
        </w:rPr>
        <w:t xml:space="preserve">万元，预算执行率为</w:t>
      </w:r>
      <w:r>
        <w:rPr>
          <w:rFonts w:ascii="Times New Roman" w:hAnsi="Times New Roman" w:cs="Times New Roman" w:hint="eastAsia"/>
          <w:color w:val="auto"/>
          <w:highlight w:val="none"/>
          <w:lang w:val="en-US" w:eastAsia="zh-CN"/>
        </w:rPr>
        <w:t xml:space="preserve">99.52</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w:t>
      </w:r>
      <w:r>
        <w:rPr>
          <w:rFonts w:ascii="Times New Roman" w:hAnsi="Times New Roman" w:cs="Times New Roman" w:hint="eastAsia"/>
          <w:color w:val="auto"/>
          <w:highlight w:val="none"/>
          <w:lang w:val="en-US" w:eastAsia="zh-CN"/>
        </w:rPr>
        <w:t xml:space="preserve">3.98</w:t>
      </w:r>
      <w:r>
        <w:rPr>
          <w:rFonts w:ascii="Times New Roman" w:eastAsia="仿宋_GB2312" w:hAnsi="Times New Roman" w:cs="Times New Roman" w:hint="default"/>
          <w:color w:val="auto"/>
          <w:highlight w:val="none"/>
        </w:rPr>
        <w:t xml:space="preserve">分。</w:t>
      </w:r>
    </w:p>
    <w:p>
      <w:pPr>
        <w:bidi w:val="0"/>
        <w:jc w:val="both"/>
        <w:rPr>
          <w:rFonts w:ascii="Times New Roman" w:eastAsia="仿宋_GB2312" w:hAnsi="Times New Roman" w:cs="Times New Roman" w:hint="default"/>
          <w:b/>
          <w:bCs/>
          <w:color w:val="auto"/>
          <w:highlight w:val="none"/>
        </w:rPr>
      </w:pPr>
      <w:bookmarkStart w:id="141" w:name="_Toc8316"/>
      <w:bookmarkStart w:id="142" w:name="_Toc2484"/>
      <w:r>
        <w:rPr>
          <w:rFonts w:ascii="Times New Roman" w:eastAsia="仿宋_GB2312" w:hAnsi="Times New Roman" w:cs="Times New Roman" w:hint="default"/>
          <w:b/>
          <w:bCs/>
          <w:color w:val="auto"/>
          <w:highlight w:val="none"/>
        </w:rPr>
        <w:t xml:space="preserve">3.资金使用合规性</w:t>
      </w:r>
      <w:bookmarkEnd w:id="141"/>
      <w:bookmarkEnd w:id="142"/>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本项目资金的使用符合</w:t>
      </w:r>
      <w:r>
        <w:rPr>
          <w:rFonts w:ascii="Times New Roman" w:eastAsia="仿宋_GB2312" w:hAnsi="Times New Roman" w:cs="Times New Roman" w:hint="default"/>
          <w:color w:val="auto"/>
          <w:highlight w:val="none"/>
          <w:lang w:val="en-US" w:eastAsia="zh-CN"/>
        </w:rPr>
        <w:t xml:space="preserve">《中华人民共和国预算法》《中华人民共和国会计法》</w:t>
      </w:r>
      <w:r>
        <w:rPr>
          <w:rFonts w:ascii="Times New Roman" w:eastAsia="仿宋_GB2312" w:hAnsi="Times New Roman" w:cs="Times New Roman" w:hint="default"/>
          <w:color w:val="auto"/>
          <w:highlight w:val="none"/>
          <w:lang w:val="en-US" w:eastAsia="zh-CN"/>
        </w:rPr>
        <w:t xml:space="preserve">《中华人民共和国招标投标法》</w:t>
      </w:r>
      <w:r>
        <w:rPr>
          <w:rFonts w:ascii="Times New Roman" w:eastAsia="仿宋_GB2312" w:hAnsi="Times New Roman" w:cs="Times New Roman" w:hint="default"/>
          <w:color w:val="auto"/>
          <w:highlight w:val="none"/>
          <w:lang w:val="en-US" w:eastAsia="zh-CN"/>
        </w:rPr>
        <w:t xml:space="preserve">等</w:t>
      </w:r>
      <w:r>
        <w:rPr>
          <w:rFonts w:ascii="Times New Roman" w:eastAsia="仿宋_GB2312" w:hAnsi="Times New Roman" w:cs="Times New Roman" w:hint="default"/>
          <w:color w:val="auto"/>
          <w:highlight w:val="none"/>
          <w:lang w:eastAsia="zh-CN"/>
        </w:rPr>
        <w:t xml:space="preserve">国家</w:t>
      </w:r>
      <w:r>
        <w:rPr>
          <w:rFonts w:ascii="Times New Roman" w:eastAsia="仿宋_GB2312" w:hAnsi="Times New Roman" w:cs="Times New Roman" w:hint="default"/>
          <w:color w:val="auto"/>
          <w:highlight w:val="none"/>
          <w:lang w:val="en-US" w:eastAsia="zh-CN"/>
        </w:rPr>
        <w:t xml:space="preserve">有关</w:t>
      </w:r>
      <w:r>
        <w:rPr>
          <w:rFonts w:ascii="Times New Roman" w:eastAsia="仿宋_GB2312" w:hAnsi="Times New Roman" w:cs="Times New Roman" w:hint="default"/>
          <w:color w:val="auto"/>
          <w:highlight w:val="none"/>
          <w:lang w:eastAsia="zh-CN"/>
        </w:rPr>
        <w:t xml:space="preserve">财经法规</w:t>
      </w:r>
      <w:r>
        <w:rPr>
          <w:rFonts w:ascii="Times New Roman" w:eastAsia="仿宋_GB2312" w:hAnsi="Times New Roman" w:cs="Times New Roman" w:hint="default"/>
          <w:color w:val="auto"/>
          <w:highlight w:val="none"/>
          <w:lang w:val="en-US" w:eastAsia="zh-CN"/>
        </w:rPr>
        <w:t xml:space="preserve">以及预算管理制度。</w:t>
      </w:r>
      <w:r>
        <w:rPr>
          <w:rFonts w:ascii="Times New Roman" w:eastAsia="仿宋_GB2312" w:hAnsi="Times New Roman" w:cs="Times New Roman" w:hint="default"/>
          <w:color w:val="auto"/>
          <w:highlight w:val="none"/>
        </w:rPr>
        <w:t xml:space="preserve">资金的</w:t>
      </w:r>
      <w:r>
        <w:rPr>
          <w:rFonts w:ascii="Times New Roman" w:eastAsia="仿宋_GB2312" w:hAnsi="Times New Roman" w:cs="Times New Roman" w:hint="default"/>
          <w:color w:val="auto"/>
          <w:highlight w:val="none"/>
          <w:lang w:val="en-US" w:eastAsia="zh-CN"/>
        </w:rPr>
        <w:t xml:space="preserve">审批和</w:t>
      </w:r>
      <w:r>
        <w:rPr>
          <w:rFonts w:ascii="Times New Roman" w:eastAsia="仿宋_GB2312" w:hAnsi="Times New Roman" w:cs="Times New Roman" w:hint="default"/>
          <w:color w:val="auto"/>
          <w:highlight w:val="none"/>
        </w:rPr>
        <w:t xml:space="preserve">拨付</w:t>
      </w:r>
      <w:r>
        <w:rPr>
          <w:rFonts w:ascii="Times New Roman" w:eastAsia="仿宋_GB2312" w:hAnsi="Times New Roman" w:cs="Times New Roman" w:hint="default"/>
          <w:color w:val="auto"/>
          <w:highlight w:val="none"/>
          <w:lang w:val="en-US" w:eastAsia="zh-CN"/>
        </w:rPr>
        <w:t xml:space="preserve">按照《</w:t>
      </w:r>
      <w:r>
        <w:rPr>
          <w:rFonts w:ascii="Times New Roman" w:hAnsi="Times New Roman" w:cs="Times New Roman" w:hint="eastAsia"/>
          <w:color w:val="auto"/>
          <w:highlight w:val="none"/>
          <w:lang w:val="en-US" w:eastAsia="zh-CN"/>
        </w:rPr>
        <w:t xml:space="preserve">尉犁</w:t>
      </w:r>
      <w:r>
        <w:rPr>
          <w:rFonts w:ascii="Times New Roman" w:eastAsia="仿宋_GB2312" w:hAnsi="Times New Roman" w:cs="Times New Roman" w:hint="default"/>
          <w:color w:val="auto"/>
          <w:highlight w:val="none"/>
          <w:lang w:val="en-US" w:eastAsia="zh-CN"/>
        </w:rPr>
        <w:t xml:space="preserve">县财政资金审批管理办法》执行</w:t>
      </w:r>
      <w:r>
        <w:rPr>
          <w:rFonts w:ascii="Times New Roman" w:eastAsia="仿宋_GB2312" w:hAnsi="Times New Roman" w:cs="Times New Roman" w:hint="default"/>
          <w:color w:val="auto"/>
          <w:highlight w:val="none"/>
        </w:rPr>
        <w:t xml:space="preserve">。资金的拨付有完整的审批程序和手续；资金使用符合专项资金支持的范围。不存在截留、挤占、挪用、虚列支出等情况。</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bidi w:val="0"/>
        <w:jc w:val="both"/>
        <w:rPr>
          <w:rFonts w:ascii="Times New Roman" w:eastAsia="仿宋_GB2312" w:hAnsi="Times New Roman" w:cs="Times New Roman" w:hint="default"/>
          <w:b/>
          <w:bCs/>
          <w:color w:val="auto"/>
          <w:highlight w:val="none"/>
        </w:rPr>
      </w:pPr>
      <w:bookmarkStart w:id="143" w:name="_Toc15332"/>
      <w:bookmarkStart w:id="144" w:name="_Toc20651"/>
      <w:r>
        <w:rPr>
          <w:rFonts w:ascii="Times New Roman" w:eastAsia="仿宋_GB2312" w:hAnsi="Times New Roman" w:cs="Times New Roman" w:hint="default"/>
          <w:b/>
          <w:bCs/>
          <w:color w:val="auto"/>
          <w:highlight w:val="none"/>
        </w:rPr>
        <w:t xml:space="preserve">4.管理制度健全性</w:t>
      </w:r>
      <w:bookmarkEnd w:id="143"/>
      <w:bookmarkEnd w:id="144"/>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val="en-US" w:eastAsia="zh-CN"/>
        </w:rPr>
        <w:t xml:space="preserve">尉犁县住房和城乡建设局</w:t>
      </w:r>
      <w:r>
        <w:rPr>
          <w:rFonts w:ascii="Times New Roman" w:eastAsia="仿宋_GB2312" w:hAnsi="Times New Roman" w:cs="Times New Roman" w:hint="default"/>
          <w:color w:val="auto"/>
          <w:highlight w:val="none"/>
        </w:rPr>
        <w:t xml:space="preserve">制定了</w:t>
      </w:r>
      <w:r>
        <w:rPr>
          <w:rFonts w:ascii="Times New Roman" w:eastAsia="仿宋_GB2312" w:hAnsi="Times New Roman" w:cs="Times New Roman" w:hint="default"/>
          <w:color w:val="auto"/>
          <w:highlight w:val="none"/>
          <w:lang w:val="en-US" w:eastAsia="zh-CN"/>
        </w:rPr>
        <w:t xml:space="preserve">《</w:t>
      </w:r>
      <w:r>
        <w:rPr>
          <w:rFonts w:ascii="Times New Roman" w:hAnsi="Times New Roman" w:cs="Times New Roman" w:hint="eastAsia"/>
          <w:color w:val="auto"/>
          <w:highlight w:val="none"/>
          <w:lang w:val="en-US" w:eastAsia="zh-CN"/>
        </w:rPr>
        <w:t xml:space="preserve">尉犁县住房和城乡建设局</w:t>
      </w:r>
      <w:r>
        <w:rPr>
          <w:rFonts w:ascii="Times New Roman" w:eastAsia="仿宋_GB2312" w:hAnsi="Times New Roman" w:cs="Times New Roman" w:hint="default"/>
          <w:color w:val="auto"/>
          <w:highlight w:val="none"/>
          <w:lang w:val="en-US" w:eastAsia="zh-CN"/>
        </w:rPr>
        <w:t xml:space="preserve">财务管理制度》和《</w:t>
      </w:r>
      <w:r>
        <w:rPr>
          <w:rFonts w:ascii="Times New Roman" w:hAnsi="Times New Roman" w:cs="Times New Roman" w:hint="eastAsia"/>
          <w:color w:val="auto"/>
          <w:highlight w:val="none"/>
          <w:lang w:val="en-US" w:eastAsia="zh-CN"/>
        </w:rPr>
        <w:t xml:space="preserve">尉犁县住房和城乡建设局</w:t>
      </w:r>
      <w:r>
        <w:rPr>
          <w:rFonts w:ascii="Times New Roman" w:eastAsia="仿宋_GB2312" w:hAnsi="Times New Roman" w:cs="Times New Roman" w:hint="default"/>
          <w:color w:val="auto"/>
          <w:highlight w:val="none"/>
          <w:lang w:val="en-US" w:eastAsia="zh-CN"/>
        </w:rPr>
        <w:t xml:space="preserve">预算管理内控制度》，制定了较为全面的项目管理制度，对项目实施、组织与管理、跟踪与验收、监督与评价以及资金管理等方面都做出明确的规范要求。同时，项目的实施严格遵守《中华人民共和国预算法》《中华人民共和国会计法》《</w:t>
      </w:r>
      <w:r>
        <w:rPr>
          <w:rFonts w:ascii="Times New Roman" w:eastAsia="仿宋_GB2312" w:hAnsi="Times New Roman" w:cs="Times New Roman" w:hint="default"/>
          <w:color w:val="auto"/>
          <w:highlight w:val="none"/>
          <w:lang w:val="en-US" w:eastAsia="zh-CN"/>
        </w:rPr>
        <w:t xml:space="preserve">中华人民共和国招标投标法</w:t>
      </w:r>
      <w:r>
        <w:rPr>
          <w:rFonts w:ascii="Times New Roman" w:eastAsia="仿宋_GB2312" w:hAnsi="Times New Roman" w:cs="Times New Roman" w:hint="default"/>
          <w:color w:val="auto"/>
          <w:highlight w:val="none"/>
          <w:lang w:val="en-US" w:eastAsia="zh-CN"/>
        </w:rPr>
        <w:t xml:space="preserve">》《政府投资条例》等法律法规、财经制度的要求，</w:t>
      </w:r>
      <w:r>
        <w:rPr>
          <w:rFonts w:ascii="Times New Roman" w:eastAsia="仿宋_GB2312" w:hAnsi="Times New Roman" w:cs="Times New Roman" w:hint="default"/>
          <w:color w:val="auto"/>
          <w:highlight w:val="none"/>
        </w:rPr>
        <w:t xml:space="preserve">资金管理等方面都做出明确的规范的要求</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财务制度和业务管理制度</w:t>
      </w:r>
      <w:r>
        <w:rPr>
          <w:rFonts w:ascii="Times New Roman" w:eastAsia="仿宋_GB2312" w:hAnsi="Times New Roman" w:cs="Times New Roman" w:hint="default"/>
          <w:color w:val="auto"/>
          <w:highlight w:val="none"/>
          <w:lang w:val="en-US" w:eastAsia="zh-CN"/>
        </w:rPr>
        <w:t xml:space="preserve">健全</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本项满分3分，评估得分3分。</w:t>
      </w:r>
    </w:p>
    <w:p>
      <w:pPr>
        <w:bidi w:val="0"/>
        <w:jc w:val="both"/>
        <w:rPr>
          <w:rFonts w:ascii="Times New Roman" w:eastAsia="仿宋_GB2312" w:hAnsi="Times New Roman" w:cs="Times New Roman" w:hint="default"/>
          <w:b/>
          <w:bCs/>
          <w:color w:val="auto"/>
          <w:highlight w:val="none"/>
        </w:rPr>
      </w:pPr>
      <w:bookmarkStart w:id="145" w:name="_Toc14023"/>
      <w:bookmarkStart w:id="146" w:name="_Toc14853"/>
      <w:r>
        <w:rPr>
          <w:rFonts w:ascii="Times New Roman" w:eastAsia="仿宋_GB2312" w:hAnsi="Times New Roman" w:cs="Times New Roman" w:hint="default"/>
          <w:b/>
          <w:bCs/>
          <w:color w:val="auto"/>
          <w:highlight w:val="none"/>
        </w:rPr>
        <w:t xml:space="preserve">5.制度执行有效性</w:t>
      </w:r>
      <w:bookmarkEnd w:id="145"/>
      <w:bookmarkEnd w:id="146"/>
    </w:p>
    <w:p>
      <w:pPr>
        <w:bidi w:val="0"/>
        <w:jc w:val="both"/>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rPr>
        <w:t xml:space="preserve">本项目在实施过程中严格遵守相关法律法规和相关管理规定，如《中华人民共和国预算法</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中华人民共和国会计法</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等，严格执行基本建设程序，执行项目法人责任制、招标投标制和合同管理制，污水达标排放、污泥无害化处置、设备安全运行</w:t>
      </w:r>
      <w:r>
        <w:rPr>
          <w:rFonts w:ascii="Times New Roman" w:hAnsi="Times New Roman" w:cs="Times New Roman" w:hint="eastAsia"/>
          <w:color w:val="auto"/>
          <w:highlight w:val="none"/>
          <w:lang w:val="en-US" w:eastAsia="zh-CN"/>
        </w:rPr>
        <w:t xml:space="preserve">等</w:t>
      </w:r>
      <w:r>
        <w:rPr>
          <w:rFonts w:ascii="Times New Roman" w:eastAsia="仿宋_GB2312" w:hAnsi="Times New Roman" w:cs="Times New Roman" w:hint="default"/>
          <w:color w:val="auto"/>
          <w:highlight w:val="none"/>
        </w:rPr>
        <w:t xml:space="preserve">均符合国家和自治区有关</w:t>
      </w:r>
      <w:r>
        <w:rPr>
          <w:rFonts w:ascii="Times New Roman" w:hAnsi="Times New Roman" w:cs="Times New Roman" w:hint="eastAsia"/>
          <w:color w:val="auto"/>
          <w:highlight w:val="none"/>
          <w:lang w:val="en-US" w:eastAsia="zh-CN"/>
        </w:rPr>
        <w:t xml:space="preserve">规定</w:t>
      </w:r>
      <w:r>
        <w:rPr>
          <w:rFonts w:ascii="Times New Roman" w:eastAsia="仿宋_GB2312" w:hAnsi="Times New Roman" w:cs="Times New Roman" w:hint="default"/>
          <w:color w:val="auto"/>
          <w:highlight w:val="none"/>
        </w:rPr>
        <w:t xml:space="preserve">和</w:t>
      </w:r>
      <w:r>
        <w:rPr>
          <w:rFonts w:ascii="Times New Roman" w:hAnsi="Times New Roman" w:cs="Times New Roman" w:hint="eastAsia"/>
          <w:color w:val="auto"/>
          <w:highlight w:val="none"/>
          <w:lang w:val="en-US" w:eastAsia="zh-CN"/>
        </w:rPr>
        <w:t xml:space="preserve">管理</w:t>
      </w:r>
      <w:r>
        <w:rPr>
          <w:rFonts w:ascii="Times New Roman" w:eastAsia="仿宋_GB2312" w:hAnsi="Times New Roman" w:cs="Times New Roman" w:hint="default"/>
          <w:color w:val="auto"/>
          <w:highlight w:val="none"/>
        </w:rPr>
        <w:t xml:space="preserve">规范。有关资料齐全，并及时整理归档。</w:t>
      </w:r>
      <w:r>
        <w:rPr>
          <w:rFonts w:ascii="Times New Roman" w:eastAsia="仿宋_GB2312" w:hAnsi="Times New Roman" w:cs="Times New Roman" w:hint="default"/>
          <w:color w:val="auto"/>
          <w:highlight w:val="none"/>
          <w:lang w:val="en-US" w:eastAsia="zh-CN"/>
        </w:rPr>
        <w:t xml:space="preserve">本项目无项目调整及支出调整，制度执行有效性较高。</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本项满分3分，评估得分3分。</w:t>
      </w:r>
    </w:p>
    <w:p>
      <w:pPr>
        <w:pStyle w:val="Heading3"/>
        <w:bidi w:val="0"/>
        <w:jc w:val="both"/>
        <w:outlineLvl w:val="1"/>
        <w:rPr>
          <w:rFonts w:ascii="楷体" w:eastAsia="楷体" w:hAnsi="楷体" w:cs="楷体" w:hint="eastAsia"/>
          <w:color w:val="auto"/>
          <w:highlight w:val="none"/>
        </w:rPr>
      </w:pPr>
      <w:bookmarkStart w:id="147" w:name="_Toc26351"/>
      <w:bookmarkStart w:id="148" w:name="_Toc22156"/>
      <w:bookmarkStart w:id="149" w:name="_Toc8652"/>
      <w:bookmarkStart w:id="150" w:name="_Toc5161"/>
      <w:bookmarkStart w:id="151" w:name="_Toc6865"/>
      <w:bookmarkStart w:id="152" w:name="_Toc31545"/>
      <w:r>
        <w:rPr>
          <w:rFonts w:ascii="楷体" w:eastAsia="楷体" w:hAnsi="楷体" w:cs="楷体" w:hint="eastAsia"/>
          <w:color w:val="auto"/>
          <w:highlight w:val="none"/>
        </w:rPr>
        <w:t xml:space="preserve">（三）项目产出情况</w:t>
      </w:r>
      <w:bookmarkEnd w:id="147"/>
      <w:bookmarkEnd w:id="148"/>
      <w:bookmarkEnd w:id="149"/>
      <w:bookmarkEnd w:id="150"/>
      <w:bookmarkEnd w:id="151"/>
      <w:bookmarkEnd w:id="152"/>
    </w:p>
    <w:p>
      <w:pPr>
        <w:bidi w:val="0"/>
        <w:jc w:val="both"/>
        <w:rPr>
          <w:rFonts w:ascii="Times New Roman" w:eastAsia="仿宋_GB2312" w:hAnsi="Times New Roman" w:cs="Times New Roman" w:hint="default"/>
          <w:b/>
          <w:bCs/>
          <w:color w:val="auto"/>
          <w:highlight w:val="none"/>
        </w:rPr>
      </w:pPr>
      <w:bookmarkStart w:id="153" w:name="_Toc31041"/>
      <w:bookmarkStart w:id="154" w:name="_Toc4184"/>
      <w:r>
        <w:rPr>
          <w:rFonts w:ascii="Times New Roman" w:eastAsia="仿宋_GB2312" w:hAnsi="Times New Roman" w:cs="Times New Roman" w:hint="default"/>
          <w:b/>
          <w:bCs/>
          <w:color w:val="auto"/>
          <w:highlight w:val="none"/>
        </w:rPr>
        <w:t xml:space="preserve">1.产出数量</w:t>
      </w:r>
      <w:bookmarkEnd w:id="153"/>
      <w:bookmarkEnd w:id="154"/>
    </w:p>
    <w:p>
      <w:pPr>
        <w:bidi w:val="0"/>
        <w:jc w:val="both"/>
        <w:rPr>
          <w:rFonts w:ascii="Times New Roman" w:eastAsia="仿宋_GB2312" w:hAnsi="Times New Roman" w:cs="Times New Roman" w:hint="eastAsia"/>
          <w:color w:val="auto"/>
          <w:highlight w:val="none"/>
          <w:lang w:val="en-US" w:eastAsia="zh-CN"/>
        </w:rPr>
      </w:pPr>
      <w:r>
        <w:rPr>
          <w:rFonts w:ascii="Times New Roman" w:eastAsia="仿宋_GB2312" w:hAnsi="Times New Roman" w:cs="Times New Roman" w:hint="default"/>
          <w:bCs/>
          <w:color w:val="auto"/>
          <w:szCs w:val="32"/>
          <w:highlight w:val="none"/>
          <w:lang w:val="en-US" w:eastAsia="zh-CN"/>
        </w:rPr>
        <w:t xml:space="preserve">指标1：</w:t>
      </w:r>
      <w:r>
        <w:rPr>
          <w:rFonts w:ascii="Times New Roman" w:hAnsi="Times New Roman" w:cs="Times New Roman" w:hint="eastAsia"/>
          <w:color w:val="auto"/>
          <w:highlight w:val="none"/>
          <w:lang w:val="en-US" w:eastAsia="zh-CN"/>
        </w:rPr>
        <w:t xml:space="preserve">污水处理厂处理能力</w:t>
      </w:r>
      <w:r>
        <w:rPr>
          <w:rFonts w:ascii="Times New Roman" w:eastAsia="仿宋_GB2312" w:hAnsi="Times New Roman" w:cs="Times New Roman" w:hint="default"/>
          <w:color w:val="auto"/>
          <w:highlight w:val="none"/>
        </w:rPr>
        <w:t xml:space="preserve">，预期指标值</w:t>
      </w:r>
      <w:r>
        <w:rPr>
          <w:rFonts w:ascii="Times New Roman" w:hAnsi="Times New Roman" w:cs="Times New Roman" w:hint="eastAsia"/>
          <w:color w:val="auto"/>
          <w:highlight w:val="none"/>
          <w:lang w:val="en-US" w:eastAsia="zh-CN"/>
        </w:rPr>
        <w:t xml:space="preserve">大于或等于160万立方米</w:t>
      </w:r>
      <w:r>
        <w:rPr>
          <w:rFonts w:ascii="Times New Roman" w:eastAsia="仿宋_GB2312" w:hAnsi="Times New Roman" w:cs="Times New Roman" w:hint="default"/>
          <w:color w:val="auto"/>
          <w:highlight w:val="none"/>
        </w:rPr>
        <w:t xml:space="preserve">，指标完成值：</w:t>
      </w:r>
      <w:r>
        <w:rPr>
          <w:rFonts w:ascii="Times New Roman" w:hAnsi="Times New Roman" w:cs="Times New Roman" w:hint="eastAsia"/>
          <w:color w:val="auto"/>
          <w:highlight w:val="none"/>
          <w:lang w:val="en-US" w:eastAsia="zh-CN"/>
        </w:rPr>
        <w:t xml:space="preserve">等于151.84万立方米</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94.9%</w:t>
      </w: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原因是：年初设定目标值过高，实际处理能力未达到。</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本项满分12分，评估得分</w:t>
      </w:r>
      <w:r>
        <w:rPr>
          <w:rFonts w:ascii="Times New Roman" w:hAnsi="Times New Roman" w:cs="Times New Roman" w:hint="eastAsia"/>
          <w:color w:val="auto"/>
          <w:highlight w:val="none"/>
          <w:lang w:val="en-US" w:eastAsia="zh-CN"/>
        </w:rPr>
        <w:t xml:space="preserve">11.38</w:t>
      </w:r>
      <w:r>
        <w:rPr>
          <w:rFonts w:ascii="Times New Roman" w:eastAsia="仿宋_GB2312" w:hAnsi="Times New Roman" w:cs="Times New Roman" w:hint="default"/>
          <w:color w:val="auto"/>
          <w:highlight w:val="none"/>
        </w:rPr>
        <w:t xml:space="preserve">分。</w:t>
      </w:r>
    </w:p>
    <w:p>
      <w:pPr>
        <w:bidi w:val="0"/>
        <w:jc w:val="both"/>
        <w:rPr>
          <w:rFonts w:ascii="Times New Roman" w:eastAsia="仿宋_GB2312" w:hAnsi="Times New Roman" w:cs="Times New Roman" w:hint="default"/>
          <w:b/>
          <w:bCs/>
          <w:color w:val="auto"/>
          <w:highlight w:val="none"/>
        </w:rPr>
      </w:pPr>
      <w:bookmarkStart w:id="155" w:name="_Toc21607"/>
      <w:bookmarkStart w:id="156" w:name="_Toc7420"/>
      <w:r>
        <w:rPr>
          <w:rFonts w:ascii="Times New Roman" w:eastAsia="仿宋_GB2312" w:hAnsi="Times New Roman" w:cs="Times New Roman" w:hint="default"/>
          <w:b/>
          <w:bCs/>
          <w:color w:val="auto"/>
          <w:highlight w:val="none"/>
        </w:rPr>
        <w:t xml:space="preserve">2.产出质量</w:t>
      </w:r>
      <w:bookmarkEnd w:id="155"/>
      <w:bookmarkEnd w:id="156"/>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b w:val="0"/>
          <w:bCs/>
          <w:color w:val="auto"/>
          <w:kern w:val="2"/>
          <w:sz w:val="32"/>
          <w:szCs w:val="32"/>
          <w:highlight w:val="none"/>
          <w:lang w:val="en-US" w:eastAsia="zh-CN" w:bidi="ar-SA"/>
        </w:rPr>
        <w:t xml:space="preserve">指标</w:t>
      </w:r>
      <w:r>
        <w:rPr>
          <w:rFonts w:ascii="Times New Roman" w:hAnsi="Times New Roman" w:cs="Times New Roman" w:hint="eastAsia"/>
          <w:b w:val="0"/>
          <w:bCs/>
          <w:color w:val="auto"/>
          <w:kern w:val="2"/>
          <w:sz w:val="32"/>
          <w:szCs w:val="32"/>
          <w:highlight w:val="none"/>
          <w:lang w:val="en-US" w:eastAsia="zh-CN" w:bidi="ar-SA"/>
        </w:rPr>
        <w:t xml:space="preserve">1</w:t>
      </w:r>
      <w:r>
        <w:rPr>
          <w:rFonts w:ascii="Times New Roman" w:eastAsia="仿宋_GB2312" w:hAnsi="Times New Roman" w:cs="Times New Roman" w:hint="default"/>
          <w:b w:val="0"/>
          <w:bCs/>
          <w:color w:val="auto"/>
          <w:kern w:val="2"/>
          <w:sz w:val="32"/>
          <w:szCs w:val="32"/>
          <w:highlight w:val="none"/>
          <w:lang w:val="en-US" w:eastAsia="zh-CN" w:bidi="ar-SA"/>
        </w:rPr>
        <w:t xml:space="preserve">：</w:t>
      </w:r>
      <w:r>
        <w:rPr>
          <w:rFonts w:ascii="Times New Roman" w:hAnsi="Times New Roman" w:cs="Times New Roman" w:hint="eastAsia"/>
          <w:color w:val="auto"/>
          <w:highlight w:val="none"/>
          <w:lang w:val="en-US" w:eastAsia="zh-CN"/>
        </w:rPr>
        <w:t xml:space="preserve">生活污水处理率</w:t>
      </w:r>
      <w:r>
        <w:rPr>
          <w:rFonts w:ascii="Times New Roman" w:eastAsia="仿宋_GB2312" w:hAnsi="Times New Roman" w:cs="Times New Roman" w:hint="default"/>
          <w:color w:val="auto"/>
          <w:highlight w:val="none"/>
        </w:rPr>
        <w:t xml:space="preserve">，预期指标值</w:t>
      </w:r>
      <w:r>
        <w:rPr>
          <w:rFonts w:ascii="Times New Roman" w:hAnsi="Times New Roman" w:cs="Times New Roman" w:hint="eastAsia"/>
          <w:color w:val="auto"/>
          <w:highlight w:val="none"/>
          <w:lang w:val="en-US" w:eastAsia="zh-CN"/>
        </w:rPr>
        <w:t xml:space="preserve">大于或等于98%</w:t>
      </w:r>
      <w:r>
        <w:rPr>
          <w:rFonts w:ascii="Times New Roman" w:eastAsia="仿宋_GB2312" w:hAnsi="Times New Roman" w:cs="Times New Roman" w:hint="default"/>
          <w:color w:val="auto"/>
          <w:highlight w:val="none"/>
        </w:rPr>
        <w:t xml:space="preserve">，指标完成值：</w:t>
      </w:r>
      <w:r>
        <w:rPr>
          <w:rFonts w:ascii="Times New Roman" w:hAnsi="Times New Roman" w:cs="Times New Roman" w:hint="eastAsia"/>
          <w:color w:val="auto"/>
          <w:highlight w:val="none"/>
          <w:lang w:val="en-US" w:eastAsia="zh-CN"/>
        </w:rPr>
        <w:t xml:space="preserve">等于98.25%</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100.26%</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b w:val="0"/>
          <w:bCs/>
          <w:color w:val="auto"/>
          <w:kern w:val="2"/>
          <w:sz w:val="32"/>
          <w:szCs w:val="32"/>
          <w:highlight w:val="none"/>
          <w:lang w:val="en-US" w:eastAsia="zh-CN" w:bidi="ar-SA"/>
        </w:rPr>
        <w:t xml:space="preserve">指标</w:t>
      </w:r>
      <w:r>
        <w:rPr>
          <w:rFonts w:ascii="Times New Roman" w:hAnsi="Times New Roman" w:cs="Times New Roman" w:hint="eastAsia"/>
          <w:b w:val="0"/>
          <w:bCs/>
          <w:color w:val="auto"/>
          <w:kern w:val="2"/>
          <w:sz w:val="32"/>
          <w:szCs w:val="32"/>
          <w:highlight w:val="none"/>
          <w:lang w:val="en-US" w:eastAsia="zh-CN" w:bidi="ar-SA"/>
        </w:rPr>
        <w:t xml:space="preserve">2</w:t>
      </w:r>
      <w:r>
        <w:rPr>
          <w:rFonts w:ascii="Times New Roman" w:eastAsia="仿宋_GB2312" w:hAnsi="Times New Roman" w:cs="Times New Roman" w:hint="default"/>
          <w:b w:val="0"/>
          <w:bCs/>
          <w:color w:val="auto"/>
          <w:kern w:val="2"/>
          <w:sz w:val="32"/>
          <w:szCs w:val="32"/>
          <w:highlight w:val="none"/>
          <w:lang w:val="en-US" w:eastAsia="zh-CN" w:bidi="ar-SA"/>
        </w:rPr>
        <w:t xml:space="preserve">：</w:t>
      </w:r>
      <w:r>
        <w:rPr>
          <w:rFonts w:ascii="Times New Roman" w:hAnsi="Times New Roman" w:cs="Times New Roman" w:hint="eastAsia"/>
          <w:color w:val="auto"/>
          <w:highlight w:val="none"/>
          <w:lang w:val="en-US" w:eastAsia="zh-CN"/>
        </w:rPr>
        <w:t xml:space="preserve">污水处理出水水质达标率等于100%</w:t>
      </w:r>
      <w:r>
        <w:rPr>
          <w:rFonts w:ascii="Times New Roman" w:eastAsia="仿宋_GB2312" w:hAnsi="Times New Roman" w:cs="Times New Roman" w:hint="default"/>
          <w:color w:val="auto"/>
          <w:highlight w:val="none"/>
        </w:rPr>
        <w:t xml:space="preserve">，预期指标值</w:t>
      </w:r>
      <w:r>
        <w:rPr>
          <w:rFonts w:ascii="Times New Roman" w:hAnsi="Times New Roman" w:cs="Times New Roman" w:hint="eastAsia"/>
          <w:color w:val="auto"/>
          <w:highlight w:val="none"/>
          <w:lang w:val="en-US" w:eastAsia="zh-CN"/>
        </w:rPr>
        <w:t xml:space="preserve">等于100%</w:t>
      </w:r>
      <w:r>
        <w:rPr>
          <w:rFonts w:ascii="Times New Roman" w:eastAsia="仿宋_GB2312" w:hAnsi="Times New Roman" w:cs="Times New Roman" w:hint="default"/>
          <w:color w:val="auto"/>
          <w:highlight w:val="none"/>
        </w:rPr>
        <w:t xml:space="preserve">，指标完成值：</w:t>
      </w:r>
      <w:r>
        <w:rPr>
          <w:rFonts w:ascii="Times New Roman" w:hAnsi="Times New Roman" w:cs="Times New Roman" w:hint="eastAsia"/>
          <w:color w:val="auto"/>
          <w:highlight w:val="none"/>
          <w:lang w:val="en-US" w:eastAsia="zh-CN"/>
        </w:rPr>
        <w:t xml:space="preserve">等于100%</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本项满分12分，评估得分12分。</w:t>
      </w:r>
    </w:p>
    <w:p>
      <w:pPr>
        <w:bidi w:val="0"/>
        <w:jc w:val="both"/>
        <w:rPr>
          <w:rFonts w:ascii="Times New Roman" w:eastAsia="仿宋_GB2312" w:hAnsi="Times New Roman" w:cs="Times New Roman" w:hint="default"/>
          <w:b/>
          <w:bCs/>
          <w:color w:val="auto"/>
          <w:highlight w:val="none"/>
        </w:rPr>
      </w:pPr>
      <w:bookmarkStart w:id="157" w:name="_Toc6277"/>
      <w:bookmarkStart w:id="158" w:name="_Toc5394"/>
      <w:r>
        <w:rPr>
          <w:rFonts w:ascii="Times New Roman" w:eastAsia="仿宋_GB2312" w:hAnsi="Times New Roman" w:cs="Times New Roman" w:hint="default"/>
          <w:b/>
          <w:bCs/>
          <w:color w:val="auto"/>
          <w:highlight w:val="none"/>
        </w:rPr>
        <w:t xml:space="preserve">3.产出时效</w:t>
      </w:r>
      <w:bookmarkEnd w:id="157"/>
      <w:bookmarkEnd w:id="158"/>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b w:val="0"/>
          <w:bCs/>
          <w:color w:val="auto"/>
          <w:kern w:val="2"/>
          <w:sz w:val="32"/>
          <w:szCs w:val="32"/>
          <w:highlight w:val="none"/>
          <w:lang w:val="en-US" w:eastAsia="zh-CN" w:bidi="ar-SA"/>
        </w:rPr>
        <w:t xml:space="preserve">指标</w:t>
      </w:r>
      <w:r>
        <w:rPr>
          <w:rFonts w:ascii="Times New Roman" w:hAnsi="Times New Roman" w:cs="Times New Roman" w:hint="eastAsia"/>
          <w:b w:val="0"/>
          <w:bCs/>
          <w:color w:val="auto"/>
          <w:kern w:val="2"/>
          <w:sz w:val="32"/>
          <w:szCs w:val="32"/>
          <w:highlight w:val="none"/>
          <w:lang w:val="en-US" w:eastAsia="zh-CN" w:bidi="ar-SA"/>
        </w:rPr>
        <w:t xml:space="preserve">1</w:t>
      </w:r>
      <w:r>
        <w:rPr>
          <w:rFonts w:ascii="Times New Roman" w:eastAsia="仿宋_GB2312" w:hAnsi="Times New Roman" w:cs="Times New Roman" w:hint="default"/>
          <w:b w:val="0"/>
          <w:bCs/>
          <w:color w:val="auto"/>
          <w:kern w:val="2"/>
          <w:sz w:val="32"/>
          <w:szCs w:val="32"/>
          <w:highlight w:val="none"/>
          <w:lang w:val="en-US" w:eastAsia="zh-CN" w:bidi="ar-SA"/>
        </w:rPr>
        <w:t xml:space="preserve">：</w:t>
      </w:r>
      <w:r>
        <w:rPr>
          <w:rFonts w:ascii="Times New Roman" w:hAnsi="Times New Roman" w:cs="Times New Roman" w:hint="eastAsia"/>
          <w:color w:val="auto"/>
          <w:highlight w:val="none"/>
          <w:lang w:val="en-US" w:eastAsia="zh-CN"/>
        </w:rPr>
        <w:t xml:space="preserve">污泥无害化填埋处理及时率</w:t>
      </w:r>
      <w:r>
        <w:rPr>
          <w:rFonts w:ascii="Times New Roman" w:eastAsia="仿宋_GB2312" w:hAnsi="Times New Roman" w:cs="Times New Roman" w:hint="default"/>
          <w:color w:val="auto"/>
          <w:highlight w:val="none"/>
        </w:rPr>
        <w:t xml:space="preserve">，预期指标值</w:t>
      </w:r>
      <w:r>
        <w:rPr>
          <w:rFonts w:ascii="Times New Roman" w:hAnsi="Times New Roman" w:cs="Times New Roman" w:hint="eastAsia"/>
          <w:color w:val="auto"/>
          <w:highlight w:val="none"/>
          <w:lang w:val="en-US" w:eastAsia="zh-CN"/>
        </w:rPr>
        <w:t xml:space="preserve">等于100%</w:t>
      </w:r>
      <w:r>
        <w:rPr>
          <w:rFonts w:ascii="Times New Roman" w:eastAsia="仿宋_GB2312" w:hAnsi="Times New Roman" w:cs="Times New Roman" w:hint="default"/>
          <w:color w:val="auto"/>
          <w:highlight w:val="none"/>
        </w:rPr>
        <w:t xml:space="preserve">，指标完成值：</w:t>
      </w:r>
      <w:r>
        <w:rPr>
          <w:rFonts w:ascii="Times New Roman" w:hAnsi="Times New Roman" w:cs="Times New Roman" w:hint="eastAsia"/>
          <w:color w:val="auto"/>
          <w:highlight w:val="none"/>
          <w:lang w:val="en-US" w:eastAsia="zh-CN"/>
        </w:rPr>
        <w:t xml:space="preserve">等于100%</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b w:val="0"/>
          <w:bCs/>
          <w:color w:val="auto"/>
          <w:kern w:val="2"/>
          <w:sz w:val="32"/>
          <w:szCs w:val="32"/>
          <w:highlight w:val="none"/>
          <w:lang w:val="en-US" w:eastAsia="zh-CN" w:bidi="ar-SA"/>
        </w:rPr>
        <w:t xml:space="preserve">指标</w:t>
      </w:r>
      <w:r>
        <w:rPr>
          <w:rFonts w:ascii="Times New Roman" w:hAnsi="Times New Roman" w:cs="Times New Roman" w:hint="eastAsia"/>
          <w:b w:val="0"/>
          <w:bCs/>
          <w:color w:val="auto"/>
          <w:kern w:val="2"/>
          <w:sz w:val="32"/>
          <w:szCs w:val="32"/>
          <w:highlight w:val="none"/>
          <w:lang w:val="en-US" w:eastAsia="zh-CN" w:bidi="ar-SA"/>
        </w:rPr>
        <w:t xml:space="preserve">2</w:t>
      </w:r>
      <w:r>
        <w:rPr>
          <w:rFonts w:ascii="Times New Roman" w:eastAsia="仿宋_GB2312" w:hAnsi="Times New Roman" w:cs="Times New Roman" w:hint="default"/>
          <w:b w:val="0"/>
          <w:bCs/>
          <w:color w:val="auto"/>
          <w:kern w:val="2"/>
          <w:sz w:val="32"/>
          <w:szCs w:val="32"/>
          <w:highlight w:val="none"/>
          <w:lang w:val="en-US" w:eastAsia="zh-CN" w:bidi="ar-SA"/>
        </w:rPr>
        <w:t xml:space="preserve">：</w:t>
      </w:r>
      <w:r>
        <w:rPr>
          <w:rFonts w:ascii="Times New Roman" w:hAnsi="Times New Roman" w:cs="Times New Roman" w:hint="eastAsia"/>
          <w:color w:val="auto"/>
          <w:highlight w:val="none"/>
          <w:lang w:val="en-US" w:eastAsia="zh-CN"/>
        </w:rPr>
        <w:t xml:space="preserve">资金拨付及时率</w:t>
      </w:r>
      <w:r>
        <w:rPr>
          <w:rFonts w:ascii="Times New Roman" w:eastAsia="仿宋_GB2312" w:hAnsi="Times New Roman" w:cs="Times New Roman" w:hint="default"/>
          <w:color w:val="auto"/>
          <w:highlight w:val="none"/>
        </w:rPr>
        <w:t xml:space="preserve">，预期指标值</w:t>
      </w:r>
      <w:r>
        <w:rPr>
          <w:rFonts w:ascii="Times New Roman" w:hAnsi="Times New Roman" w:cs="Times New Roman" w:hint="eastAsia"/>
          <w:color w:val="auto"/>
          <w:highlight w:val="none"/>
          <w:lang w:val="en-US" w:eastAsia="zh-CN"/>
        </w:rPr>
        <w:t xml:space="preserve">大于或等于95%</w:t>
      </w:r>
      <w:r>
        <w:rPr>
          <w:rFonts w:ascii="Times New Roman" w:eastAsia="仿宋_GB2312" w:hAnsi="Times New Roman" w:cs="Times New Roman" w:hint="default"/>
          <w:color w:val="auto"/>
          <w:highlight w:val="none"/>
        </w:rPr>
        <w:t xml:space="preserve">，指标完成值：</w:t>
      </w:r>
      <w:r>
        <w:rPr>
          <w:rFonts w:ascii="Times New Roman" w:hAnsi="Times New Roman" w:cs="Times New Roman" w:hint="eastAsia"/>
          <w:color w:val="auto"/>
          <w:highlight w:val="none"/>
          <w:lang w:val="en-US" w:eastAsia="zh-CN"/>
        </w:rPr>
        <w:t xml:space="preserve">等于99.52%</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104.76%</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本项满分12分，评估得分</w:t>
      </w:r>
      <w:r>
        <w:rPr>
          <w:rFonts w:ascii="Times New Roman" w:eastAsia="仿宋_GB2312" w:hAnsi="Times New Roman" w:cs="Times New Roman" w:hint="default"/>
          <w:color w:val="auto"/>
          <w:highlight w:val="none"/>
          <w:lang w:val="en-US" w:eastAsia="zh-CN"/>
        </w:rPr>
        <w:t xml:space="preserve">12</w:t>
      </w:r>
      <w:r>
        <w:rPr>
          <w:rFonts w:ascii="Times New Roman" w:eastAsia="仿宋_GB2312" w:hAnsi="Times New Roman" w:cs="Times New Roman" w:hint="default"/>
          <w:color w:val="auto"/>
          <w:highlight w:val="none"/>
        </w:rPr>
        <w:t xml:space="preserve">分。</w:t>
      </w:r>
    </w:p>
    <w:p>
      <w:pPr>
        <w:bidi w:val="0"/>
        <w:jc w:val="both"/>
        <w:rPr>
          <w:rFonts w:ascii="Times New Roman" w:eastAsia="仿宋_GB2312" w:hAnsi="Times New Roman" w:cs="Times New Roman" w:hint="default"/>
          <w:b/>
          <w:bCs/>
          <w:color w:val="auto"/>
          <w:highlight w:val="none"/>
        </w:rPr>
      </w:pPr>
      <w:bookmarkStart w:id="159" w:name="_Toc28975"/>
      <w:bookmarkStart w:id="160" w:name="_Toc18558"/>
      <w:r>
        <w:rPr>
          <w:rFonts w:ascii="Times New Roman" w:eastAsia="仿宋_GB2312" w:hAnsi="Times New Roman" w:cs="Times New Roman" w:hint="default"/>
          <w:b/>
          <w:bCs/>
          <w:color w:val="auto"/>
          <w:highlight w:val="none"/>
        </w:rPr>
        <w:t xml:space="preserve">4.产出成本</w:t>
      </w:r>
      <w:bookmarkEnd w:id="159"/>
      <w:bookmarkEnd w:id="160"/>
    </w:p>
    <w:p>
      <w:pPr>
        <w:bidi w:val="0"/>
        <w:jc w:val="both"/>
        <w:rPr>
          <w:rFonts w:ascii="Times New Roman" w:eastAsia="仿宋_GB2312" w:hAnsi="Times New Roman" w:cs="Times New Roman" w:hint="eastAsia"/>
          <w:color w:val="auto"/>
          <w:highlight w:val="none"/>
          <w:lang w:val="en-US" w:eastAsia="zh-CN"/>
        </w:rPr>
      </w:pPr>
      <w:r>
        <w:rPr>
          <w:rFonts w:ascii="Times New Roman" w:eastAsia="仿宋_GB2312" w:hAnsi="Times New Roman" w:cs="Times New Roman" w:hint="default"/>
          <w:b w:val="0"/>
          <w:bCs/>
          <w:color w:val="auto"/>
          <w:kern w:val="2"/>
          <w:sz w:val="32"/>
          <w:szCs w:val="32"/>
          <w:highlight w:val="none"/>
          <w:lang w:val="en-US" w:eastAsia="zh-CN" w:bidi="ar-SA"/>
        </w:rPr>
        <w:t xml:space="preserve">指标1：</w:t>
      </w:r>
      <w:r>
        <w:rPr>
          <w:rFonts w:ascii="Times New Roman" w:hAnsi="Times New Roman" w:cs="Times New Roman" w:hint="eastAsia"/>
          <w:color w:val="auto"/>
          <w:highlight w:val="none"/>
          <w:lang w:val="en-US" w:eastAsia="zh-CN"/>
        </w:rPr>
        <w:t xml:space="preserve">全年预算污水处理费用</w:t>
      </w:r>
      <w:r>
        <w:rPr>
          <w:rFonts w:ascii="Times New Roman" w:eastAsia="仿宋_GB2312" w:hAnsi="Times New Roman" w:cs="Times New Roman" w:hint="default"/>
          <w:color w:val="auto"/>
          <w:highlight w:val="none"/>
        </w:rPr>
        <w:t xml:space="preserve">，预期指标值</w:t>
      </w:r>
      <w:r>
        <w:rPr>
          <w:rFonts w:ascii="Times New Roman" w:hAnsi="Times New Roman" w:cs="Times New Roman" w:hint="eastAsia"/>
          <w:color w:val="auto"/>
          <w:highlight w:val="none"/>
          <w:lang w:val="en-US" w:eastAsia="zh-CN"/>
        </w:rPr>
        <w:t xml:space="preserve">小于或等于331万元</w:t>
      </w:r>
      <w:r>
        <w:rPr>
          <w:rFonts w:ascii="Times New Roman" w:eastAsia="仿宋_GB2312" w:hAnsi="Times New Roman" w:cs="Times New Roman" w:hint="default"/>
          <w:color w:val="auto"/>
          <w:highlight w:val="none"/>
        </w:rPr>
        <w:t xml:space="preserve">，指标完成值：</w:t>
      </w:r>
      <w:r>
        <w:rPr>
          <w:rFonts w:ascii="Times New Roman" w:hAnsi="Times New Roman" w:cs="Times New Roman" w:hint="eastAsia"/>
          <w:color w:val="auto"/>
          <w:highlight w:val="none"/>
          <w:lang w:val="en-US" w:eastAsia="zh-CN"/>
        </w:rPr>
        <w:t xml:space="preserve">等于329.4万元</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99.52%</w:t>
      </w: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原因是：剩余资金为风险金。</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w:t>
      </w:r>
      <w:r>
        <w:rPr>
          <w:rFonts w:ascii="Times New Roman" w:hAnsi="Times New Roman" w:cs="Times New Roman" w:hint="eastAsia"/>
          <w:color w:val="auto"/>
          <w:highlight w:val="none"/>
          <w:lang w:val="en-US" w:eastAsia="zh-CN"/>
        </w:rPr>
        <w:t xml:space="preserve">3.98</w:t>
      </w:r>
      <w:r>
        <w:rPr>
          <w:rFonts w:ascii="Times New Roman" w:eastAsia="仿宋_GB2312" w:hAnsi="Times New Roman" w:cs="Times New Roman" w:hint="default"/>
          <w:color w:val="auto"/>
          <w:highlight w:val="none"/>
        </w:rPr>
        <w:t xml:space="preserve">分。</w:t>
      </w:r>
    </w:p>
    <w:p>
      <w:pPr>
        <w:pStyle w:val="Heading3"/>
        <w:bidi w:val="0"/>
        <w:jc w:val="both"/>
        <w:outlineLvl w:val="1"/>
        <w:rPr>
          <w:rFonts w:ascii="楷体" w:eastAsia="楷体" w:hAnsi="楷体" w:cs="楷体" w:hint="eastAsia"/>
          <w:color w:val="auto"/>
          <w:highlight w:val="none"/>
        </w:rPr>
      </w:pPr>
      <w:bookmarkStart w:id="161" w:name="_Toc18194"/>
      <w:bookmarkStart w:id="162" w:name="_Toc24492"/>
      <w:bookmarkStart w:id="163" w:name="_Toc14881"/>
      <w:bookmarkStart w:id="164" w:name="_Toc15319"/>
      <w:bookmarkStart w:id="165" w:name="_Toc27548"/>
      <w:bookmarkStart w:id="166" w:name="_Toc11983"/>
      <w:r>
        <w:rPr>
          <w:rFonts w:ascii="楷体" w:eastAsia="楷体" w:hAnsi="楷体" w:cs="楷体" w:hint="eastAsia"/>
          <w:color w:val="auto"/>
          <w:highlight w:val="none"/>
        </w:rPr>
        <w:t xml:space="preserve">（四）项目效益情况</w:t>
      </w:r>
      <w:bookmarkEnd w:id="161"/>
      <w:bookmarkEnd w:id="162"/>
      <w:bookmarkEnd w:id="163"/>
      <w:bookmarkEnd w:id="164"/>
      <w:bookmarkEnd w:id="165"/>
      <w:bookmarkEnd w:id="166"/>
    </w:p>
    <w:p>
      <w:pPr>
        <w:bidi w:val="0"/>
        <w:jc w:val="both"/>
        <w:rPr>
          <w:rFonts w:ascii="Times New Roman" w:eastAsia="仿宋_GB2312" w:hAnsi="Times New Roman" w:cs="Times New Roman" w:hint="default"/>
          <w:b/>
          <w:bCs/>
          <w:color w:val="auto"/>
          <w:highlight w:val="none"/>
        </w:rPr>
      </w:pPr>
      <w:bookmarkStart w:id="167" w:name="_Toc8370"/>
      <w:bookmarkStart w:id="168" w:name="_Toc15599"/>
      <w:r>
        <w:rPr>
          <w:rFonts w:ascii="Times New Roman" w:eastAsia="仿宋_GB2312" w:hAnsi="Times New Roman" w:cs="Times New Roman" w:hint="default"/>
          <w:b/>
          <w:bCs/>
          <w:color w:val="auto"/>
          <w:highlight w:val="none"/>
        </w:rPr>
        <w:t xml:space="preserve">1.实施效益</w:t>
      </w:r>
      <w:bookmarkEnd w:id="167"/>
      <w:bookmarkEnd w:id="168"/>
    </w:p>
    <w:p>
      <w:pPr>
        <w:bidi w:val="0"/>
        <w:jc w:val="both"/>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rPr>
        <w:t xml:space="preserve">本项目实施所产生的效益主要包括社会效益和生态效益。项目的实施</w:t>
      </w:r>
      <w:r>
        <w:rPr>
          <w:rFonts w:ascii="Times New Roman" w:hAnsi="Times New Roman" w:cs="Times New Roman" w:hint="eastAsia"/>
          <w:color w:val="auto"/>
          <w:highlight w:val="none"/>
          <w:lang w:val="en-US" w:eastAsia="zh-CN"/>
        </w:rPr>
        <w:t xml:space="preserve">有效缓解县城绿化缺水矛盾，提高中水回用利用率达50%。</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w:t>
      </w:r>
      <w:r>
        <w:rPr>
          <w:rFonts w:ascii="Times New Roman" w:hAnsi="Times New Roman" w:cs="Times New Roman" w:hint="eastAsia"/>
          <w:color w:val="auto"/>
          <w:highlight w:val="none"/>
          <w:lang w:val="en-US" w:eastAsia="zh-CN"/>
        </w:rPr>
        <w:t xml:space="preserve">2</w:t>
      </w:r>
      <w:r>
        <w:rPr>
          <w:rFonts w:ascii="Times New Roman" w:eastAsia="仿宋_GB2312" w:hAnsi="Times New Roman" w:cs="Times New Roman" w:hint="default"/>
          <w:color w:val="auto"/>
          <w:highlight w:val="none"/>
        </w:rPr>
        <w:t xml:space="preserve">0分，评估得分</w:t>
      </w:r>
      <w:r>
        <w:rPr>
          <w:rFonts w:ascii="Times New Roman" w:hAnsi="Times New Roman" w:cs="Times New Roman" w:hint="eastAsia"/>
          <w:color w:val="auto"/>
          <w:highlight w:val="none"/>
          <w:lang w:val="en-US" w:eastAsia="zh-CN"/>
        </w:rPr>
        <w:t xml:space="preserve">2</w:t>
      </w:r>
      <w:r>
        <w:rPr>
          <w:rFonts w:ascii="Times New Roman" w:eastAsia="仿宋_GB2312" w:hAnsi="Times New Roman" w:cs="Times New Roman" w:hint="default"/>
          <w:color w:val="auto"/>
          <w:highlight w:val="none"/>
        </w:rPr>
        <w:t xml:space="preserve">0分。</w:t>
      </w:r>
    </w:p>
    <w:p>
      <w:pPr>
        <w:pStyle w:val="Heading2"/>
        <w:bidi w:val="0"/>
        <w:jc w:val="both"/>
        <w:outlineLvl w:val="0"/>
        <w:rPr>
          <w:rFonts w:ascii="Times New Roman" w:eastAsia="仿宋_GB2312" w:hAnsi="Times New Roman" w:cs="Times New Roman" w:hint="default"/>
          <w:color w:val="auto"/>
          <w:highlight w:val="none"/>
        </w:rPr>
      </w:pPr>
      <w:bookmarkStart w:id="169" w:name="_Toc3310"/>
      <w:bookmarkStart w:id="170" w:name="_Toc23114"/>
      <w:bookmarkStart w:id="171" w:name="_Toc5616"/>
      <w:bookmarkStart w:id="172" w:name="_Toc9234"/>
      <w:bookmarkStart w:id="173" w:name="_Toc17413"/>
      <w:bookmarkStart w:id="174" w:name="_Toc24261"/>
      <w:bookmarkStart w:id="175" w:name="_Toc20473"/>
      <w:r>
        <w:rPr>
          <w:rFonts w:ascii="黑体" w:eastAsia="黑体" w:hAnsi="黑体" w:cs="黑体" w:hint="eastAsia"/>
          <w:color w:val="auto"/>
          <w:highlight w:val="none"/>
        </w:rPr>
        <w:t xml:space="preserve">五、主要经验及做法、存在的问题及原因分析</w:t>
      </w:r>
      <w:bookmarkEnd w:id="169"/>
      <w:bookmarkEnd w:id="170"/>
      <w:bookmarkEnd w:id="171"/>
      <w:bookmarkEnd w:id="172"/>
      <w:bookmarkEnd w:id="173"/>
      <w:bookmarkEnd w:id="174"/>
      <w:bookmarkEnd w:id="175"/>
    </w:p>
    <w:p>
      <w:pPr>
        <w:pStyle w:val="Heading3"/>
        <w:bidi w:val="0"/>
        <w:jc w:val="both"/>
        <w:outlineLvl w:val="1"/>
        <w:rPr>
          <w:rFonts w:ascii="楷体" w:eastAsia="楷体" w:hAnsi="楷体" w:cs="楷体" w:hint="eastAsia"/>
          <w:color w:val="auto"/>
          <w:highlight w:val="none"/>
        </w:rPr>
      </w:pPr>
      <w:bookmarkStart w:id="176" w:name="_Toc14362"/>
      <w:bookmarkStart w:id="177" w:name="_Toc6522"/>
      <w:bookmarkStart w:id="178" w:name="_Toc10514"/>
      <w:bookmarkStart w:id="179" w:name="_Toc6741"/>
      <w:bookmarkStart w:id="180" w:name="_Toc24709"/>
      <w:bookmarkStart w:id="181" w:name="_Toc30393"/>
      <w:r>
        <w:rPr>
          <w:rFonts w:ascii="楷体" w:eastAsia="楷体" w:hAnsi="楷体" w:cs="楷体" w:hint="eastAsia"/>
          <w:color w:val="auto"/>
          <w:highlight w:val="none"/>
        </w:rPr>
        <w:t xml:space="preserve">（一）主要经验及做法</w:t>
      </w:r>
      <w:bookmarkEnd w:id="176"/>
      <w:bookmarkEnd w:id="177"/>
      <w:bookmarkEnd w:id="178"/>
      <w:bookmarkEnd w:id="179"/>
      <w:bookmarkEnd w:id="180"/>
      <w:bookmarkEnd w:id="181"/>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尉犁县城镇污水处理厂（二期）工程 PPP 项目在县委、县政府的大力支持，以及相关部门的积极配合下，全面顺利完成，绩效评价获评 “优”。主要经验及做法如下：</w:t>
      </w:r>
    </w:p>
    <w:p>
      <w:pPr>
        <w:bidi w:val="0"/>
        <w:jc w:val="both"/>
        <w:rPr>
          <w:rFonts w:ascii="Times New Roman" w:eastAsia="仿宋_GB2312" w:hAnsi="Times New Roman" w:cs="Times New Roman" w:hint="eastAsia"/>
          <w:b w:val="0"/>
          <w:color w:val="auto"/>
          <w:kern w:val="2"/>
          <w:sz w:val="32"/>
          <w:szCs w:val="22"/>
          <w:highlight w:val="none"/>
          <w:lang w:val="en-US" w:eastAsia="zh-CN" w:bidi="ar-SA"/>
        </w:rPr>
      </w:pPr>
      <w:r>
        <w:rPr>
          <w:rFonts w:ascii="Times New Roman" w:eastAsia="仿宋_GB2312" w:hAnsi="Times New Roman" w:cs="Times New Roman" w:hint="eastAsia"/>
          <w:b w:val="0"/>
          <w:color w:val="auto"/>
          <w:kern w:val="2"/>
          <w:sz w:val="32"/>
          <w:szCs w:val="22"/>
          <w:highlight w:val="none"/>
          <w:lang w:val="en-US" w:eastAsia="zh-CN" w:bidi="ar-SA"/>
        </w:rPr>
        <w:t xml:space="preserve">1.动态工艺优化保障水质稳定</w:t>
      </w:r>
      <w:r>
        <w:rPr>
          <w:rFonts w:ascii="Times New Roman" w:hAnsi="Times New Roman" w:cs="Times New Roman" w:hint="eastAsia"/>
          <w:b w:val="0"/>
          <w:color w:val="auto"/>
          <w:kern w:val="2"/>
          <w:sz w:val="32"/>
          <w:szCs w:val="22"/>
          <w:highlight w:val="none"/>
          <w:lang w:val="en-US" w:eastAsia="zh-CN" w:bidi="ar-SA"/>
        </w:rPr>
        <w:t xml:space="preserve">。</w:t>
      </w:r>
      <w:r>
        <w:rPr>
          <w:rFonts w:ascii="Times New Roman" w:eastAsia="仿宋_GB2312" w:hAnsi="Times New Roman" w:cs="Times New Roman" w:hint="eastAsia"/>
          <w:b w:val="0"/>
          <w:color w:val="auto"/>
          <w:kern w:val="2"/>
          <w:sz w:val="32"/>
          <w:szCs w:val="22"/>
          <w:highlight w:val="none"/>
          <w:lang w:val="en-US" w:eastAsia="zh-CN" w:bidi="ar-SA"/>
        </w:rPr>
        <w:t xml:space="preserve">建立“数据监测</w:t>
      </w:r>
      <w:r>
        <w:rPr>
          <w:rFonts w:ascii="Times New Roman" w:hAnsi="Times New Roman" w:cs="Times New Roman" w:hint="eastAsia"/>
          <w:b w:val="0"/>
          <w:color w:val="auto"/>
          <w:kern w:val="2"/>
          <w:sz w:val="32"/>
          <w:szCs w:val="22"/>
          <w:highlight w:val="none"/>
          <w:lang w:val="en-US" w:eastAsia="zh-CN" w:bidi="ar-SA"/>
        </w:rPr>
        <w:t xml:space="preserve">、</w:t>
      </w:r>
      <w:r>
        <w:rPr>
          <w:rFonts w:ascii="Times New Roman" w:eastAsia="仿宋_GB2312" w:hAnsi="Times New Roman" w:cs="Times New Roman" w:hint="eastAsia"/>
          <w:b w:val="0"/>
          <w:color w:val="auto"/>
          <w:kern w:val="2"/>
          <w:sz w:val="32"/>
          <w:szCs w:val="22"/>
          <w:highlight w:val="none"/>
          <w:lang w:val="en-US" w:eastAsia="zh-CN" w:bidi="ar-SA"/>
        </w:rPr>
        <w:t xml:space="preserve">分析研判</w:t>
      </w:r>
      <w:r>
        <w:rPr>
          <w:rFonts w:ascii="Times New Roman" w:hAnsi="Times New Roman" w:cs="Times New Roman" w:hint="eastAsia"/>
          <w:b w:val="0"/>
          <w:color w:val="auto"/>
          <w:kern w:val="2"/>
          <w:sz w:val="32"/>
          <w:szCs w:val="22"/>
          <w:highlight w:val="none"/>
          <w:lang w:val="en-US" w:eastAsia="zh-CN" w:bidi="ar-SA"/>
        </w:rPr>
        <w:t xml:space="preserve">、参数</w:t>
      </w:r>
      <w:r>
        <w:rPr>
          <w:rFonts w:ascii="Times New Roman" w:eastAsia="仿宋_GB2312" w:hAnsi="Times New Roman" w:cs="Times New Roman" w:hint="eastAsia"/>
          <w:b w:val="0"/>
          <w:color w:val="auto"/>
          <w:kern w:val="2"/>
          <w:sz w:val="32"/>
          <w:szCs w:val="22"/>
          <w:highlight w:val="none"/>
          <w:lang w:val="en-US" w:eastAsia="zh-CN" w:bidi="ar-SA"/>
        </w:rPr>
        <w:t xml:space="preserve">调整”闭环管理机制，每日监测进出水化学需氧量（COD）、氨氮、总磷等核心指标，结合季节变化、污水负荷波动，动态调整生物处理环节的曝气量、污泥回流比等参数。例如在夏季高温期，通过优化微生物菌群结构，确保污水处理效率不受温度影响，出水水质长期稳定达到《城镇污水处理厂污染物排放标准》一级A标准。</w:t>
      </w:r>
    </w:p>
    <w:p>
      <w:pPr>
        <w:bidi w:val="0"/>
        <w:rPr>
          <w:rFonts w:hint="eastAsia"/>
          <w:color w:val="auto"/>
          <w:highlight w:val="none"/>
          <w:lang w:val="en-US" w:eastAsia="zh-CN"/>
        </w:rPr>
      </w:pPr>
      <w:bookmarkStart w:id="182" w:name="_Toc27408"/>
      <w:bookmarkStart w:id="183" w:name="_Toc6359"/>
      <w:bookmarkStart w:id="184" w:name="_Toc11238"/>
      <w:bookmarkStart w:id="185" w:name="_Toc4673"/>
      <w:r>
        <w:rPr>
          <w:rFonts w:hint="eastAsia"/>
          <w:color w:val="auto"/>
          <w:highlight w:val="none"/>
          <w:lang w:val="en-US" w:eastAsia="zh-CN"/>
        </w:rPr>
        <w:t xml:space="preserve">2.规范化设备运维确保稳定运行。制定详细的设备维护管理制度，对格栅机、曝气机、污泥脱水机等关键设备实行 严格管理，定期开展巡检、保养和维修。建立设备故障应急处理机制，储备常用零部件，确保设备突发故障时能快速响应</w:t>
      </w:r>
      <w:r>
        <w:rPr>
          <w:rFonts w:hint="eastAsia"/>
          <w:color w:val="auto"/>
          <w:highlight w:val="none"/>
          <w:lang w:val="en-US" w:eastAsia="zh-CN"/>
        </w:rPr>
        <w:t xml:space="preserve">及</w:t>
      </w:r>
      <w:r>
        <w:rPr>
          <w:rFonts w:hint="eastAsia"/>
          <w:color w:val="auto"/>
          <w:highlight w:val="none"/>
          <w:lang w:val="en-US" w:eastAsia="zh-CN"/>
        </w:rPr>
        <w:t xml:space="preserve">时修复，设备完好率始终保持在98%以上，保障污水处理全流程顺畅运转。​</w:t>
      </w:r>
    </w:p>
    <w:p>
      <w:pPr>
        <w:bidi w:val="0"/>
        <w:rPr>
          <w:rFonts w:hint="eastAsia"/>
          <w:color w:val="auto"/>
          <w:highlight w:val="none"/>
        </w:rPr>
      </w:pPr>
      <w:r>
        <w:rPr>
          <w:rFonts w:hint="eastAsia"/>
          <w:color w:val="auto"/>
          <w:highlight w:val="none"/>
          <w:lang w:val="en-US" w:eastAsia="zh-CN"/>
        </w:rPr>
        <w:t xml:space="preserve">3.标准化污泥处置杜绝二次污染。严格遵循污泥处理相关规范，对污水处理过程中产生的污泥进行浓缩、脱水处理，将污泥含水率降至60%以下，运送至指定的无害化填埋场进行处置。建立污泥转运联单制度，详细记录污泥产生量、处理量、转运时间及去向，实现污泥处置全过程可追溯，有效避免污泥随意倾倒造成的环境污染问题。</w:t>
      </w:r>
    </w:p>
    <w:p>
      <w:pPr>
        <w:pStyle w:val="Heading3"/>
        <w:keepNext w:val="0"/>
        <w:keepLines w:val="0"/>
        <w:pageBreakBefore w:val="0"/>
        <w:widowControl w:val="0"/>
        <w:kinsoku/>
        <w:wordWrap/>
        <w:overflowPunct/>
        <w:topLinePunct w:val="0"/>
        <w:autoSpaceDE/>
        <w:autoSpaceDN/>
        <w:bidi w:val="0"/>
        <w:adjustRightInd/>
        <w:snapToGrid/>
        <w:jc w:val="both"/>
        <w:textAlignment w:val="auto"/>
        <w:outlineLvl w:val="1"/>
        <w:rPr>
          <w:rFonts w:ascii="楷体" w:eastAsia="楷体" w:hAnsi="楷体" w:cs="楷体" w:hint="eastAsia"/>
          <w:color w:val="auto"/>
          <w:highlight w:val="none"/>
        </w:rPr>
      </w:pPr>
      <w:bookmarkStart w:id="186" w:name="_Toc23593"/>
      <w:bookmarkStart w:id="187" w:name="_Toc16779"/>
      <w:r>
        <w:rPr>
          <w:rFonts w:ascii="楷体" w:eastAsia="楷体" w:hAnsi="楷体" w:cs="楷体" w:hint="eastAsia"/>
          <w:color w:val="auto"/>
          <w:highlight w:val="none"/>
        </w:rPr>
        <w:t xml:space="preserve">（二）存在的问题及分析</w:t>
      </w:r>
      <w:bookmarkEnd w:id="182"/>
      <w:bookmarkEnd w:id="183"/>
      <w:bookmarkEnd w:id="184"/>
      <w:bookmarkEnd w:id="185"/>
      <w:bookmarkEnd w:id="186"/>
      <w:bookmarkEnd w:id="187"/>
    </w:p>
    <w:p>
      <w:pPr>
        <w:bidi w:val="0"/>
        <w:rPr>
          <w:rFonts w:hint="eastAsia"/>
          <w:color w:val="auto"/>
          <w:highlight w:val="none"/>
          <w:lang w:val="en-US" w:eastAsia="zh-CN"/>
        </w:rPr>
      </w:pPr>
      <w:bookmarkStart w:id="188" w:name="_Toc5702"/>
      <w:bookmarkStart w:id="189" w:name="_Toc13270"/>
      <w:bookmarkStart w:id="190" w:name="_Toc13345"/>
      <w:bookmarkStart w:id="191" w:name="_Toc22271"/>
      <w:bookmarkStart w:id="192" w:name="_Toc20116"/>
      <w:r>
        <w:rPr>
          <w:rFonts w:hint="eastAsia"/>
          <w:color w:val="auto"/>
          <w:highlight w:val="none"/>
          <w:lang w:val="en-US" w:eastAsia="zh-CN"/>
        </w:rPr>
        <w:t xml:space="preserve">一是2024年冬季低温环境下，污水处理厂内部部分污水管网出现冻裂、跑水现象，导致污水泄漏和处理效率下降。主要原因在于2024年冬季遭遇极端低温天气，保温措施不足，管道外部仅覆盖常规保温材料，难以抵御严寒。</w:t>
      </w:r>
    </w:p>
    <w:p>
      <w:pPr>
        <w:bidi w:val="0"/>
        <w:rPr>
          <w:rFonts w:hint="eastAsia"/>
          <w:color w:val="auto"/>
          <w:highlight w:val="none"/>
        </w:rPr>
      </w:pPr>
      <w:r>
        <w:rPr>
          <w:rFonts w:hint="eastAsia"/>
          <w:color w:val="auto"/>
          <w:highlight w:val="none"/>
          <w:lang w:val="en-US" w:eastAsia="zh-CN"/>
        </w:rPr>
        <w:t xml:space="preserve">二是管网运行多年后，存在腐蚀老化情况，在冬季低温收缩作用下进一步加剧冻损风险。</w:t>
      </w:r>
    </w:p>
    <w:p>
      <w:pPr>
        <w:bidi w:val="0"/>
        <w:rPr>
          <w:rFonts w:hint="default"/>
          <w:color w:val="auto"/>
          <w:highlight w:val="none"/>
          <w:lang w:val="en-US" w:eastAsia="zh-CN"/>
        </w:rPr>
      </w:pPr>
      <w:r>
        <w:rPr>
          <w:rFonts w:hint="eastAsia"/>
          <w:color w:val="auto"/>
          <w:highlight w:val="none"/>
          <w:lang w:val="en-US" w:eastAsia="zh-CN"/>
        </w:rPr>
        <w:t xml:space="preserve">三是项目全年预算资金为331万元，实际支付资金329.4万元，资金支付率99.52%，剩余资金为风险金导致资金未支付完。</w:t>
      </w:r>
    </w:p>
    <w:p>
      <w:pPr>
        <w:pStyle w:val="Heading2"/>
        <w:keepNext w:val="0"/>
        <w:keepLines w:val="0"/>
        <w:pageBreakBefore w:val="0"/>
        <w:widowControl w:val="0"/>
        <w:kinsoku/>
        <w:wordWrap/>
        <w:overflowPunct/>
        <w:topLinePunct w:val="0"/>
        <w:autoSpaceDE/>
        <w:autoSpaceDN/>
        <w:bidi w:val="0"/>
        <w:adjustRightInd/>
        <w:snapToGrid/>
        <w:jc w:val="both"/>
        <w:textAlignment w:val="auto"/>
        <w:outlineLvl w:val="0"/>
        <w:rPr>
          <w:rFonts w:ascii="黑体" w:eastAsia="黑体" w:hAnsi="黑体" w:cs="黑体" w:hint="eastAsia"/>
          <w:color w:val="auto"/>
          <w:highlight w:val="none"/>
        </w:rPr>
      </w:pPr>
      <w:bookmarkStart w:id="193" w:name="_Toc23062"/>
      <w:bookmarkStart w:id="194" w:name="_Toc21851"/>
      <w:r>
        <w:rPr>
          <w:rFonts w:ascii="黑体" w:eastAsia="黑体" w:hAnsi="黑体" w:cs="黑体" w:hint="eastAsia"/>
          <w:color w:val="auto"/>
          <w:highlight w:val="none"/>
        </w:rPr>
        <w:t xml:space="preserve">六、有关建议</w:t>
      </w:r>
      <w:bookmarkEnd w:id="188"/>
      <w:bookmarkEnd w:id="189"/>
      <w:bookmarkEnd w:id="190"/>
      <w:bookmarkEnd w:id="191"/>
      <w:bookmarkEnd w:id="192"/>
      <w:bookmarkEnd w:id="193"/>
      <w:bookmarkEnd w:id="194"/>
    </w:p>
    <w:p>
      <w:pPr>
        <w:bidi w:val="0"/>
        <w:rPr>
          <w:rFonts w:hint="default"/>
          <w:color w:val="auto"/>
          <w:highlight w:val="none"/>
        </w:rPr>
      </w:pPr>
      <w:bookmarkStart w:id="195" w:name="_Toc24871"/>
      <w:bookmarkStart w:id="196" w:name="_Toc22823"/>
      <w:bookmarkStart w:id="197" w:name="_Toc5794"/>
      <w:bookmarkStart w:id="198" w:name="_Toc12100"/>
      <w:bookmarkStart w:id="199" w:name="_Toc21621"/>
      <w:r>
        <w:rPr>
          <w:rFonts w:hint="eastAsia"/>
          <w:color w:val="auto"/>
          <w:highlight w:val="none"/>
          <w:lang w:val="en-US" w:eastAsia="zh-CN"/>
        </w:rPr>
        <w:t xml:space="preserve">一是</w:t>
      </w:r>
      <w:r>
        <w:rPr>
          <w:rFonts w:hint="default"/>
          <w:color w:val="auto"/>
          <w:highlight w:val="none"/>
        </w:rPr>
        <w:t xml:space="preserve">实施管网保温升级改造</w:t>
      </w:r>
      <w:r>
        <w:rPr>
          <w:rFonts w:hint="eastAsia"/>
          <w:color w:val="auto"/>
          <w:highlight w:val="none"/>
          <w:lang w:eastAsia="zh-CN"/>
        </w:rPr>
        <w:t xml:space="preserve">。</w:t>
      </w:r>
      <w:r>
        <w:rPr>
          <w:rFonts w:hint="default"/>
          <w:color w:val="auto"/>
          <w:highlight w:val="none"/>
        </w:rPr>
        <w:t xml:space="preserve">对易受冻区域的污水管网进行专项改造，将现有常规保温材料更换保温层，增加厚度并外覆耐候性防水保护层，形成多层防护结构。</w:t>
      </w:r>
    </w:p>
    <w:p>
      <w:pPr>
        <w:bidi w:val="0"/>
        <w:rPr>
          <w:rFonts w:hint="default"/>
          <w:color w:val="auto"/>
          <w:highlight w:val="none"/>
        </w:rPr>
      </w:pPr>
      <w:r>
        <w:rPr>
          <w:rFonts w:hint="eastAsia"/>
          <w:color w:val="auto"/>
          <w:highlight w:val="none"/>
          <w:lang w:val="en-US" w:eastAsia="zh-CN"/>
        </w:rPr>
        <w:t xml:space="preserve">二是</w:t>
      </w:r>
      <w:r>
        <w:rPr>
          <w:rFonts w:hint="default"/>
          <w:color w:val="auto"/>
          <w:highlight w:val="none"/>
        </w:rPr>
        <w:t xml:space="preserve">更换老化管材</w:t>
      </w:r>
      <w:r>
        <w:rPr>
          <w:rFonts w:hint="eastAsia"/>
          <w:color w:val="auto"/>
          <w:highlight w:val="none"/>
          <w:lang w:eastAsia="zh-CN"/>
        </w:rPr>
        <w:t xml:space="preserve">。</w:t>
      </w:r>
      <w:r>
        <w:rPr>
          <w:rFonts w:hint="default"/>
          <w:color w:val="auto"/>
          <w:highlight w:val="none"/>
        </w:rPr>
        <w:t xml:space="preserve">全面排查管网接口，对腐蚀严重、存在结构性隐患的管道，优先采用耐腐蚀、抗冻性能强的新型管材进行替换，提升管网整体稳定性。</w:t>
      </w:r>
    </w:p>
    <w:p>
      <w:pPr>
        <w:bidi w:val="0"/>
        <w:rPr>
          <w:rFonts w:hint="default"/>
          <w:color w:val="auto"/>
          <w:highlight w:val="none"/>
          <w:lang w:val="en-US" w:eastAsia="zh-CN"/>
        </w:rPr>
      </w:pPr>
      <w:r>
        <w:rPr>
          <w:rFonts w:hint="eastAsia"/>
          <w:color w:val="auto"/>
          <w:highlight w:val="none"/>
          <w:lang w:val="en-US" w:eastAsia="zh-CN"/>
        </w:rPr>
        <w:t xml:space="preserve">三是科学编制项目资金预算，结合污水处理规模、运营成本及历史数据，建立动态预算调整机制，提高项目资金支付率。</w:t>
      </w:r>
    </w:p>
    <w:p>
      <w:pPr>
        <w:pStyle w:val="Heading2"/>
        <w:keepNext w:val="0"/>
        <w:keepLines w:val="0"/>
        <w:pageBreakBefore w:val="0"/>
        <w:widowControl w:val="0"/>
        <w:kinsoku/>
        <w:wordWrap/>
        <w:overflowPunct/>
        <w:topLinePunct w:val="0"/>
        <w:autoSpaceDE/>
        <w:autoSpaceDN/>
        <w:bidi w:val="0"/>
        <w:adjustRightInd/>
        <w:snapToGrid/>
        <w:jc w:val="both"/>
        <w:textAlignment w:val="auto"/>
        <w:outlineLvl w:val="0"/>
        <w:rPr>
          <w:rFonts w:ascii="黑体" w:eastAsia="黑体" w:hAnsi="黑体" w:cs="黑体" w:hint="default"/>
          <w:bCs/>
          <w:iCs/>
          <w:color w:val="auto"/>
          <w:highlight w:val="none"/>
        </w:rPr>
      </w:pPr>
      <w:bookmarkStart w:id="200" w:name="_Toc26672"/>
      <w:bookmarkStart w:id="201" w:name="_Toc9170"/>
      <w:r>
        <w:rPr>
          <w:rFonts w:ascii="黑体" w:eastAsia="黑体" w:hAnsi="黑体" w:cs="黑体" w:hint="default"/>
          <w:bCs/>
          <w:iCs/>
          <w:color w:val="auto"/>
          <w:highlight w:val="none"/>
        </w:rPr>
        <w:t xml:space="preserve">七、其他需要说明的问题</w:t>
      </w:r>
      <w:bookmarkEnd w:id="195"/>
      <w:bookmarkEnd w:id="196"/>
      <w:bookmarkEnd w:id="197"/>
      <w:bookmarkEnd w:id="198"/>
      <w:bookmarkEnd w:id="199"/>
      <w:bookmarkEnd w:id="200"/>
      <w:bookmarkEnd w:id="201"/>
    </w:p>
    <w:p>
      <w:pPr>
        <w:bidi w:val="0"/>
        <w:jc w:val="both"/>
        <w:rPr>
          <w:rFonts w:ascii="Times New Roman" w:eastAsia="仿宋_GB2312" w:hAnsi="Times New Roman" w:cs="Times New Roman" w:hint="default"/>
          <w:color w:val="auto"/>
          <w:highlight w:val="none"/>
        </w:rPr>
      </w:pPr>
      <w:bookmarkStart w:id="202" w:name="OLE_LINK6"/>
      <w:bookmarkStart w:id="203" w:name="OLE_LINK5"/>
      <w:bookmarkStart w:id="204" w:name="_Toc30245"/>
      <w:bookmarkStart w:id="205" w:name="_Toc4210"/>
      <w:bookmarkStart w:id="206" w:name="_Toc28493"/>
      <w:r>
        <w:rPr>
          <w:rFonts w:ascii="Times New Roman" w:hAnsi="Times New Roman" w:cs="Times New Roman" w:hint="eastAsia"/>
          <w:color w:val="auto"/>
          <w:highlight w:val="none"/>
          <w:lang w:val="en-US" w:eastAsia="zh-CN"/>
        </w:rPr>
        <w:t xml:space="preserve">1、</w:t>
      </w:r>
      <w:r>
        <w:rPr>
          <w:rFonts w:ascii="Times New Roman" w:eastAsia="仿宋_GB2312" w:hAnsi="Times New Roman" w:cs="Times New Roman" w:hint="default"/>
          <w:color w:val="auto"/>
          <w:highlight w:val="none"/>
        </w:rPr>
        <w:t xml:space="preserve">本项目部分间接产生的效果无法准确在短期内衡量，因此很难认定项目产生的全部效果。通过指标来反映绩效，指标的科学性和全面性需要不断地完善和研究。</w:t>
      </w:r>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val="en-US" w:eastAsia="zh-CN"/>
        </w:rPr>
        <w:t xml:space="preserve">2、</w:t>
      </w:r>
      <w:r>
        <w:rPr>
          <w:rFonts w:ascii="Times New Roman" w:eastAsia="仿宋_GB2312" w:hAnsi="Times New Roman" w:cs="Times New Roman" w:hint="default"/>
          <w:color w:val="auto"/>
          <w:highlight w:val="none"/>
        </w:rPr>
        <w:t xml:space="preserve">评价结果分别编入政府决算和部门预算，报送本级人民代表大会常务委员会，并依法予以公开。</w:t>
      </w:r>
      <w:bookmarkEnd w:id="202"/>
      <w:bookmarkEnd w:id="203"/>
    </w:p>
    <w:p>
      <w:pPr>
        <w:pStyle w:val="Heading2"/>
        <w:keepNext w:val="0"/>
        <w:keepLines w:val="0"/>
        <w:pageBreakBefore w:val="0"/>
        <w:widowControl w:val="0"/>
        <w:kinsoku/>
        <w:wordWrap/>
        <w:overflowPunct/>
        <w:topLinePunct w:val="0"/>
        <w:autoSpaceDE/>
        <w:autoSpaceDN/>
        <w:bidi w:val="0"/>
        <w:adjustRightInd/>
        <w:snapToGrid/>
        <w:jc w:val="both"/>
        <w:textAlignment w:val="auto"/>
        <w:outlineLvl w:val="0"/>
        <w:rPr>
          <w:rFonts w:ascii="黑体" w:eastAsia="黑体" w:hAnsi="黑体" w:cs="黑体" w:hint="default"/>
          <w:bCs/>
          <w:iCs/>
          <w:color w:val="auto"/>
          <w:highlight w:val="none"/>
        </w:rPr>
      </w:pPr>
      <w:bookmarkStart w:id="207" w:name="_Toc930"/>
      <w:bookmarkStart w:id="208" w:name="_Toc31222"/>
      <w:r>
        <w:rPr>
          <w:rFonts w:ascii="黑体" w:eastAsia="黑体" w:hAnsi="黑体" w:cs="黑体" w:hint="default"/>
          <w:bCs/>
          <w:iCs/>
          <w:color w:val="auto"/>
          <w:highlight w:val="none"/>
        </w:rPr>
        <w:t xml:space="preserve">八、附件</w:t>
      </w:r>
      <w:bookmarkEnd w:id="204"/>
      <w:bookmarkEnd w:id="205"/>
      <w:bookmarkEnd w:id="206"/>
      <w:bookmarkEnd w:id="207"/>
      <w:bookmarkEnd w:id="208"/>
    </w:p>
    <w:p>
      <w:pPr>
        <w:keepNext w:val="0"/>
        <w:keepLines w:val="0"/>
        <w:pageBreakBefore w:val="0"/>
        <w:widowControl w:val="0"/>
        <w:kinsoku/>
        <w:wordWrap/>
        <w:overflowPunct/>
        <w:topLinePunct w:val="0"/>
        <w:autoSpaceDE/>
        <w:autoSpaceDN/>
        <w:bidi w:val="0"/>
        <w:adjustRightInd/>
        <w:snapToGrid/>
        <w:jc w:val="both"/>
        <w:textAlignment w:val="auto"/>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1、项目支出绩效自评表</w:t>
      </w:r>
    </w:p>
    <w:p>
      <w:pPr>
        <w:keepNext w:val="0"/>
        <w:keepLines w:val="0"/>
        <w:pageBreakBefore w:val="0"/>
        <w:widowControl w:val="0"/>
        <w:kinsoku/>
        <w:wordWrap/>
        <w:overflowPunct/>
        <w:topLinePunct w:val="0"/>
        <w:autoSpaceDE/>
        <w:autoSpaceDN/>
        <w:bidi w:val="0"/>
        <w:adjustRightInd/>
        <w:snapToGrid/>
        <w:jc w:val="both"/>
        <w:textAlignment w:val="auto"/>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2、项目支出绩效评价指标体系及评分</w:t>
      </w:r>
    </w:p>
    <w:p>
      <w:pPr>
        <w:keepNext w:val="0"/>
        <w:keepLines w:val="0"/>
        <w:pageBreakBefore w:val="0"/>
        <w:widowControl w:val="0"/>
        <w:kinsoku/>
        <w:wordWrap/>
        <w:overflowPunct/>
        <w:topLinePunct w:val="0"/>
        <w:autoSpaceDE/>
        <w:autoSpaceDN/>
        <w:bidi w:val="0"/>
        <w:adjustRightInd/>
        <w:snapToGrid/>
        <w:jc w:val="both"/>
        <w:textAlignment w:val="auto"/>
        <w:rPr>
          <w:rFonts w:ascii="Times New Roman" w:eastAsia="仿宋_GB2312" w:hAnsi="Times New Roman" w:cs="Times New Roman" w:hint="default"/>
          <w:color w:val="auto"/>
          <w:highlight w:val="none"/>
        </w:rPr>
      </w:pPr>
    </w:p>
    <w:p>
      <w:pPr>
        <w:jc w:val="both"/>
        <w:rPr>
          <w:rFonts w:ascii="Times New Roman" w:eastAsia="仿宋_GB2312" w:hAnsi="Times New Roman" w:cs="Times New Roman" w:hint="default"/>
          <w:color w:val="auto"/>
          <w:highlight w:val="none"/>
        </w:rPr>
      </w:pPr>
    </w:p>
    <w:p>
      <w:pPr>
        <w:jc w:val="both"/>
        <w:rPr>
          <w:rFonts w:ascii="Times New Roman" w:eastAsia="仿宋_GB2312" w:hAnsi="Times New Roman" w:cs="Times New Roman" w:hint="default"/>
          <w:color w:val="auto"/>
          <w:highlight w:val="none"/>
        </w:rPr>
      </w:pPr>
    </w:p>
    <w:p>
      <w:pPr>
        <w:jc w:val="both"/>
        <w:rPr>
          <w:rFonts w:ascii="Times New Roman" w:eastAsia="仿宋_GB2312" w:hAnsi="Times New Roman" w:cs="Times New Roman" w:hint="default"/>
          <w:color w:val="auto"/>
          <w:highlight w:val="none"/>
        </w:rPr>
        <w:sectPr>
          <w:footerReference w:type="default" r:id="rId4"/>
          <w:pgSz w:w="11906" w:h="16838" w:orient="portrait"/>
          <w:pgMar w:top="1440" w:right="1800" w:bottom="1440" w:left="1800" w:header="851" w:footer="992" w:gutter="0"/>
          <w:pgBorders/>
          <w:pgNumType w:fmt="decimal" w:start="1"/>
          <w:cols w:num="1" w:space="720">
            <w:col w:w="8306" w:space="720"/>
          </w:cols>
          <w:docGrid w:type="lines" w:linePitch="312" w:charSpace="0"/>
        </w:sectPr>
      </w:pPr>
    </w:p>
    <w:p>
      <w:pPr>
        <w:pStyle w:val="Heading2"/>
        <w:bidi w:val="0"/>
        <w:jc w:val="both"/>
        <w:outlineLvl w:val="0"/>
        <w:rPr>
          <w:rFonts w:ascii="Times New Roman" w:eastAsia="仿宋_GB2312" w:hAnsi="Times New Roman" w:cs="Times New Roman" w:hint="default"/>
          <w:bCs/>
          <w:iCs/>
          <w:color w:val="auto"/>
          <w:highlight w:val="none"/>
        </w:rPr>
      </w:pPr>
      <w:bookmarkStart w:id="209" w:name="_Toc28598"/>
      <w:bookmarkStart w:id="210" w:name="_Toc15698"/>
      <w:bookmarkStart w:id="211" w:name="_Toc21805"/>
      <w:bookmarkStart w:id="212" w:name="_Toc2022"/>
      <w:r>
        <w:rPr>
          <w:rFonts w:ascii="Times New Roman" w:eastAsia="仿宋_GB2312" w:hAnsi="Times New Roman" w:cs="Times New Roman" w:hint="default"/>
          <w:bCs/>
          <w:iCs/>
          <w:color w:val="auto"/>
          <w:highlight w:val="none"/>
        </w:rPr>
        <w:t xml:space="preserve">附件1：</w:t>
      </w:r>
      <w:bookmarkEnd w:id="209"/>
      <w:bookmarkEnd w:id="210"/>
      <w:r>
        <w:rPr>
          <w:rFonts w:ascii="Times New Roman" w:eastAsia="仿宋_GB2312" w:hAnsi="Times New Roman" w:cs="Times New Roman" w:hint="default"/>
          <w:color w:val="auto"/>
          <w:highlight w:val="none"/>
        </w:rPr>
        <w:t xml:space="preserve">项目支出绩效自评表</w:t>
      </w:r>
      <w:bookmarkEnd w:id="211"/>
      <w:bookmarkEnd w:id="212"/>
    </w:p>
    <w:tbl>
      <w:tblPr>
        <w:tblStyle w:val="NormalTable"/>
        <w:tblW w:w="50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firstRow="0" w:lastRow="0" w:firstColumn="0" w:lastColumn="0" w:noHBand="1" w:noVBand="1"/>
      </w:tblPr>
      <w:tblGrid>
        <w:gridCol w:w="791"/>
        <w:gridCol w:w="806"/>
        <w:gridCol w:w="980"/>
        <w:gridCol w:w="2090"/>
        <w:gridCol w:w="1125"/>
        <w:gridCol w:w="974"/>
        <w:gridCol w:w="1333"/>
        <w:gridCol w:w="648"/>
        <w:gridCol w:w="1070"/>
        <w:gridCol w:w="752"/>
        <w:gridCol w:w="983"/>
        <w:gridCol w:w="969"/>
        <w:gridCol w:w="694"/>
        <w:gridCol w:w="1240"/>
      </w:tblGrid>
      <w:tr>
        <w:tblPrEx>
          <w:tblW w:w="50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20"/>
        </w:trPr>
        <w:tc>
          <w:tcPr>
            <w:tcW w:w="5000" w:type="pct"/>
            <w:gridSpan w:val="14"/>
            <w:tcBorders>
              <w:top w:val="single" w:sz="4" w:space="0" w:color="auto"/>
              <w:left w:val="single" w:sz="4" w:space="0" w:color="auto"/>
              <w:bottom w:val="single" w:sz="4" w:space="0" w:color="auto"/>
              <w:right w:val="single" w:sz="4" w:space="0" w:color="auto"/>
            </w:tcBorders>
            <w:noWrap w:val="0"/>
            <w:vAlign w:val="center"/>
          </w:tcPr>
          <w:p>
            <w:pPr>
              <w:pStyle w:val="表格标题"/>
              <w:bidi w:val="0"/>
              <w:rPr>
                <w:color w:val="auto"/>
                <w:highlight w:val="none"/>
              </w:rPr>
            </w:pPr>
            <w:bookmarkStart w:id="213" w:name="_Toc916"/>
            <w:bookmarkStart w:id="214" w:name="_Toc16379"/>
            <w:r>
              <w:rPr>
                <w:rFonts w:hint="eastAsia"/>
                <w:color w:val="auto"/>
                <w:highlight w:val="none"/>
                <w:lang w:val="en-US" w:eastAsia="zh-CN"/>
              </w:rPr>
              <w:t xml:space="preserve">项目支出绩效自评表</w:t>
            </w:r>
            <w:bookmarkEnd w:id="213"/>
            <w:bookmarkEnd w:id="214"/>
          </w:p>
        </w:tc>
      </w:tr>
      <w:tr>
        <w:tblPrEx>
          <w:tblW w:w="50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63"/>
        </w:trPr>
        <w:tc>
          <w:tcPr>
            <w:tcW w:w="5000" w:type="pct"/>
            <w:gridSpan w:val="14"/>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（2024年度）</w:t>
            </w:r>
          </w:p>
        </w:tc>
      </w:tr>
      <w:tr>
        <w:tblPrEx>
          <w:tblW w:w="50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270"/>
        </w:trPr>
        <w:tc>
          <w:tcPr>
            <w:tcW w:w="553"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项目名称</w:t>
            </w:r>
          </w:p>
        </w:tc>
        <w:tc>
          <w:tcPr>
            <w:tcW w:w="4446" w:type="pct"/>
            <w:gridSpan w:val="1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2024年尉犁县城镇污水处理厂（二期）工程PPP项目服务费</w:t>
            </w:r>
          </w:p>
        </w:tc>
      </w:tr>
      <w:tr>
        <w:tblPrEx>
          <w:tblW w:w="50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553"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主管部门</w:t>
            </w:r>
          </w:p>
        </w:tc>
        <w:tc>
          <w:tcPr>
            <w:tcW w:w="2249"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尉犁县住房和城乡建设局</w:t>
            </w:r>
          </w:p>
        </w:tc>
        <w:tc>
          <w:tcPr>
            <w:tcW w:w="593"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实施单位</w:t>
            </w:r>
          </w:p>
        </w:tc>
        <w:tc>
          <w:tcPr>
            <w:tcW w:w="1604"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尉犁县住房和城乡建设局</w:t>
            </w:r>
          </w:p>
        </w:tc>
      </w:tr>
      <w:tr>
        <w:tblPrEx>
          <w:tblW w:w="50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40"/>
        </w:trPr>
        <w:tc>
          <w:tcPr>
            <w:tcW w:w="553" w:type="pct"/>
            <w:gridSpan w:val="2"/>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项目资金</w:t>
            </w:r>
            <w:r>
              <w:rPr>
                <w:rFonts w:hint="eastAsia"/>
                <w:color w:val="auto"/>
                <w:highlight w:val="none"/>
                <w:lang w:val="en-US" w:eastAsia="zh-CN"/>
              </w:rPr>
              <w:br/>
            </w:r>
            <w:r>
              <w:rPr>
                <w:rFonts w:hint="eastAsia"/>
                <w:color w:val="auto"/>
                <w:highlight w:val="none"/>
                <w:lang w:val="en-US" w:eastAsia="zh-CN"/>
              </w:rPr>
              <w:t xml:space="preserve">（万元）</w:t>
            </w:r>
          </w:p>
        </w:tc>
        <w:tc>
          <w:tcPr>
            <w:tcW w:w="106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资金来源</w:t>
            </w:r>
          </w:p>
        </w:tc>
        <w:tc>
          <w:tcPr>
            <w:tcW w:w="38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年初预算数</w:t>
            </w:r>
          </w:p>
        </w:tc>
        <w:tc>
          <w:tcPr>
            <w:tcW w:w="797"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全年预算数</w:t>
            </w:r>
          </w:p>
        </w:tc>
        <w:tc>
          <w:tcPr>
            <w:tcW w:w="593"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全年执行数</w:t>
            </w:r>
          </w:p>
        </w:tc>
        <w:tc>
          <w:tcPr>
            <w:tcW w:w="60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分值权重</w:t>
            </w:r>
          </w:p>
        </w:tc>
        <w:tc>
          <w:tcPr>
            <w:tcW w:w="57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执行率</w:t>
            </w:r>
          </w:p>
        </w:tc>
        <w:tc>
          <w:tcPr>
            <w:tcW w:w="42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得分</w:t>
            </w:r>
          </w:p>
        </w:tc>
      </w:tr>
      <w:tr>
        <w:tblPrEx>
          <w:tblW w:w="50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40"/>
        </w:trPr>
        <w:tc>
          <w:tcPr>
            <w:tcW w:w="553"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106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年度资金总额</w:t>
            </w:r>
          </w:p>
        </w:tc>
        <w:tc>
          <w:tcPr>
            <w:tcW w:w="38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331.00</w:t>
            </w:r>
          </w:p>
        </w:tc>
        <w:tc>
          <w:tcPr>
            <w:tcW w:w="797"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331.00</w:t>
            </w:r>
          </w:p>
        </w:tc>
        <w:tc>
          <w:tcPr>
            <w:tcW w:w="593"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329.40</w:t>
            </w:r>
          </w:p>
        </w:tc>
        <w:tc>
          <w:tcPr>
            <w:tcW w:w="60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10</w:t>
            </w:r>
          </w:p>
        </w:tc>
        <w:tc>
          <w:tcPr>
            <w:tcW w:w="57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99.52%</w:t>
            </w:r>
          </w:p>
        </w:tc>
        <w:tc>
          <w:tcPr>
            <w:tcW w:w="42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9.88分</w:t>
            </w:r>
          </w:p>
        </w:tc>
      </w:tr>
      <w:tr>
        <w:tblPrEx>
          <w:tblW w:w="50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40"/>
        </w:trPr>
        <w:tc>
          <w:tcPr>
            <w:tcW w:w="553"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106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其中：当年财政拨款</w:t>
            </w:r>
          </w:p>
        </w:tc>
        <w:tc>
          <w:tcPr>
            <w:tcW w:w="38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331</w:t>
            </w:r>
          </w:p>
        </w:tc>
        <w:tc>
          <w:tcPr>
            <w:tcW w:w="797"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331</w:t>
            </w:r>
          </w:p>
        </w:tc>
        <w:tc>
          <w:tcPr>
            <w:tcW w:w="593"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329.4</w:t>
            </w:r>
          </w:p>
        </w:tc>
        <w:tc>
          <w:tcPr>
            <w:tcW w:w="60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w:t>
            </w:r>
          </w:p>
        </w:tc>
        <w:tc>
          <w:tcPr>
            <w:tcW w:w="57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w:t>
            </w:r>
          </w:p>
        </w:tc>
        <w:tc>
          <w:tcPr>
            <w:tcW w:w="42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w:t>
            </w:r>
          </w:p>
        </w:tc>
      </w:tr>
      <w:tr>
        <w:tblPrEx>
          <w:tblW w:w="50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40"/>
        </w:trPr>
        <w:tc>
          <w:tcPr>
            <w:tcW w:w="553"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106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其他资金</w:t>
            </w:r>
          </w:p>
        </w:tc>
        <w:tc>
          <w:tcPr>
            <w:tcW w:w="38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0</w:t>
            </w:r>
          </w:p>
        </w:tc>
        <w:tc>
          <w:tcPr>
            <w:tcW w:w="797"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0</w:t>
            </w:r>
          </w:p>
        </w:tc>
        <w:tc>
          <w:tcPr>
            <w:tcW w:w="593"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0</w:t>
            </w:r>
          </w:p>
        </w:tc>
        <w:tc>
          <w:tcPr>
            <w:tcW w:w="60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w:t>
            </w:r>
          </w:p>
        </w:tc>
        <w:tc>
          <w:tcPr>
            <w:tcW w:w="57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w:t>
            </w:r>
          </w:p>
        </w:tc>
        <w:tc>
          <w:tcPr>
            <w:tcW w:w="42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w:t>
            </w:r>
          </w:p>
        </w:tc>
      </w:tr>
      <w:tr>
        <w:tblPrEx>
          <w:tblW w:w="50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74"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年度总体目标</w:t>
            </w:r>
          </w:p>
        </w:tc>
        <w:tc>
          <w:tcPr>
            <w:tcW w:w="3121"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总体目标</w:t>
            </w:r>
          </w:p>
        </w:tc>
        <w:tc>
          <w:tcPr>
            <w:tcW w:w="1604"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总体目标完成情况</w:t>
            </w:r>
          </w:p>
        </w:tc>
      </w:tr>
      <w:tr>
        <w:tblPrEx>
          <w:tblW w:w="50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280"/>
        </w:trPr>
        <w:tc>
          <w:tcPr>
            <w:tcW w:w="274"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3121"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依据关于将尉犁县污水处理厂（二期）工程PPP项目财政支出责任分年度列入财政预算批复的工作要求，完成全县城镇污水处理服务年度任务；运营项目公司年污水处理规模按100~183万立方米，按月实际处理天数付费；污水处理出水水质达到国家一级A标准，达标率100%；中水利用率达到50%以上，污泥无害化填埋处理率100%。改善人居环境，减少污染，满足环保要求。中水回用解决县城绿化缺水的紧张形势。</w:t>
            </w:r>
          </w:p>
        </w:tc>
        <w:tc>
          <w:tcPr>
            <w:tcW w:w="1604"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本年实际完成运营项目公司年污水处理151.47万立方米，按月实际处理天数付费；生活污水处理率98.24%，污水处理出水水质达到国家一级A标准；中水利用率达到50%，污泥无害化填埋处理率100%。改善人居环境，减少污染，满足环保要求。中水回用解决县城绿化缺水的紧张形势。</w:t>
            </w:r>
          </w:p>
        </w:tc>
      </w:tr>
      <w:tr>
        <w:tblPrEx>
          <w:tblW w:w="50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918"/>
        </w:trPr>
        <w:tc>
          <w:tcPr>
            <w:tcW w:w="27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27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一级指标</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二级指标</w:t>
            </w:r>
          </w:p>
        </w:tc>
        <w:tc>
          <w:tcPr>
            <w:tcW w:w="72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三级指标</w:t>
            </w:r>
          </w:p>
        </w:tc>
        <w:tc>
          <w:tcPr>
            <w:tcW w:w="38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指标值</w:t>
            </w: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指标值设置依据</w:t>
            </w:r>
          </w:p>
        </w:tc>
        <w:tc>
          <w:tcPr>
            <w:tcW w:w="46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上年完成值</w:t>
            </w:r>
          </w:p>
        </w:tc>
        <w:tc>
          <w:tcPr>
            <w:tcW w:w="22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指标分值权重</w:t>
            </w:r>
          </w:p>
        </w:tc>
        <w:tc>
          <w:tcPr>
            <w:tcW w:w="36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指标赋分规则</w:t>
            </w:r>
          </w:p>
        </w:tc>
        <w:tc>
          <w:tcPr>
            <w:tcW w:w="26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佐证资料</w:t>
            </w:r>
          </w:p>
        </w:tc>
        <w:tc>
          <w:tcPr>
            <w:tcW w:w="34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指标实际完成值</w:t>
            </w:r>
          </w:p>
        </w:tc>
        <w:tc>
          <w:tcPr>
            <w:tcW w:w="33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完成率</w:t>
            </w:r>
          </w:p>
        </w:tc>
        <w:tc>
          <w:tcPr>
            <w:tcW w:w="24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指标得分</w:t>
            </w:r>
          </w:p>
        </w:tc>
        <w:tc>
          <w:tcPr>
            <w:tcW w:w="42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偏差原因分析及改进措施</w:t>
            </w:r>
          </w:p>
        </w:tc>
      </w:tr>
      <w:tr>
        <w:tblPrEx>
          <w:tblW w:w="50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74"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年度绩效指标完成情况</w:t>
            </w:r>
          </w:p>
        </w:tc>
        <w:tc>
          <w:tcPr>
            <w:tcW w:w="278"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产出指标</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数量指标</w:t>
            </w:r>
          </w:p>
        </w:tc>
        <w:tc>
          <w:tcPr>
            <w:tcW w:w="72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污水处理厂处理能力</w:t>
            </w:r>
          </w:p>
        </w:tc>
        <w:tc>
          <w:tcPr>
            <w:tcW w:w="38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&gt;=160万立方米</w:t>
            </w: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计划标准</w:t>
            </w:r>
          </w:p>
        </w:tc>
        <w:tc>
          <w:tcPr>
            <w:tcW w:w="46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158.16万平方米</w:t>
            </w:r>
          </w:p>
        </w:tc>
        <w:tc>
          <w:tcPr>
            <w:tcW w:w="22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8</w:t>
            </w:r>
          </w:p>
        </w:tc>
        <w:tc>
          <w:tcPr>
            <w:tcW w:w="36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按照完成比例赋分</w:t>
            </w:r>
          </w:p>
        </w:tc>
        <w:tc>
          <w:tcPr>
            <w:tcW w:w="26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工作资料</w:t>
            </w:r>
          </w:p>
        </w:tc>
        <w:tc>
          <w:tcPr>
            <w:tcW w:w="34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=151.84万立方米</w:t>
            </w:r>
          </w:p>
        </w:tc>
        <w:tc>
          <w:tcPr>
            <w:tcW w:w="33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94.9%</w:t>
            </w:r>
          </w:p>
        </w:tc>
        <w:tc>
          <w:tcPr>
            <w:tcW w:w="24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6.98</w:t>
            </w:r>
          </w:p>
        </w:tc>
        <w:tc>
          <w:tcPr>
            <w:tcW w:w="42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年初设定目标值过高，实际处理能力未达到。</w:t>
            </w:r>
          </w:p>
        </w:tc>
      </w:tr>
      <w:tr>
        <w:tblPrEx>
          <w:tblW w:w="50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74"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27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质量指标</w:t>
            </w:r>
          </w:p>
        </w:tc>
        <w:tc>
          <w:tcPr>
            <w:tcW w:w="72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生活污水处理率</w:t>
            </w:r>
          </w:p>
        </w:tc>
        <w:tc>
          <w:tcPr>
            <w:tcW w:w="38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&gt;=98%</w:t>
            </w: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计划标准</w:t>
            </w:r>
          </w:p>
        </w:tc>
        <w:tc>
          <w:tcPr>
            <w:tcW w:w="46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98%</w:t>
            </w:r>
          </w:p>
        </w:tc>
        <w:tc>
          <w:tcPr>
            <w:tcW w:w="22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8</w:t>
            </w:r>
          </w:p>
        </w:tc>
        <w:tc>
          <w:tcPr>
            <w:tcW w:w="36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按照完成比例赋分</w:t>
            </w:r>
          </w:p>
        </w:tc>
        <w:tc>
          <w:tcPr>
            <w:tcW w:w="26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工作资料</w:t>
            </w:r>
          </w:p>
        </w:tc>
        <w:tc>
          <w:tcPr>
            <w:tcW w:w="34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=98.25%</w:t>
            </w:r>
          </w:p>
        </w:tc>
        <w:tc>
          <w:tcPr>
            <w:tcW w:w="33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100.26%</w:t>
            </w:r>
          </w:p>
        </w:tc>
        <w:tc>
          <w:tcPr>
            <w:tcW w:w="24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7.98</w:t>
            </w:r>
          </w:p>
        </w:tc>
        <w:tc>
          <w:tcPr>
            <w:tcW w:w="42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r>
      <w:tr>
        <w:tblPrEx>
          <w:tblW w:w="50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74"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27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质量指标</w:t>
            </w:r>
          </w:p>
        </w:tc>
        <w:tc>
          <w:tcPr>
            <w:tcW w:w="72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污水处理出水水质达标率</w:t>
            </w:r>
          </w:p>
        </w:tc>
        <w:tc>
          <w:tcPr>
            <w:tcW w:w="38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计划标准</w:t>
            </w:r>
          </w:p>
        </w:tc>
        <w:tc>
          <w:tcPr>
            <w:tcW w:w="46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22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8</w:t>
            </w:r>
          </w:p>
        </w:tc>
        <w:tc>
          <w:tcPr>
            <w:tcW w:w="36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按照完成比例赋分</w:t>
            </w:r>
          </w:p>
        </w:tc>
        <w:tc>
          <w:tcPr>
            <w:tcW w:w="26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工作资料</w:t>
            </w:r>
          </w:p>
        </w:tc>
        <w:tc>
          <w:tcPr>
            <w:tcW w:w="34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33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24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8</w:t>
            </w:r>
          </w:p>
        </w:tc>
        <w:tc>
          <w:tcPr>
            <w:tcW w:w="42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r>
      <w:tr>
        <w:tblPrEx>
          <w:tblW w:w="50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74"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27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时效指标</w:t>
            </w:r>
          </w:p>
        </w:tc>
        <w:tc>
          <w:tcPr>
            <w:tcW w:w="72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污泥无害化填埋处理及时率</w:t>
            </w:r>
          </w:p>
        </w:tc>
        <w:tc>
          <w:tcPr>
            <w:tcW w:w="38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计划标准</w:t>
            </w:r>
          </w:p>
        </w:tc>
        <w:tc>
          <w:tcPr>
            <w:tcW w:w="46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22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8</w:t>
            </w:r>
          </w:p>
        </w:tc>
        <w:tc>
          <w:tcPr>
            <w:tcW w:w="36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按照完成比例赋分</w:t>
            </w:r>
          </w:p>
        </w:tc>
        <w:tc>
          <w:tcPr>
            <w:tcW w:w="26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工作资料</w:t>
            </w:r>
          </w:p>
        </w:tc>
        <w:tc>
          <w:tcPr>
            <w:tcW w:w="34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33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24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8</w:t>
            </w:r>
          </w:p>
        </w:tc>
        <w:tc>
          <w:tcPr>
            <w:tcW w:w="42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r>
      <w:tr>
        <w:tblPrEx>
          <w:tblW w:w="50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74"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27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时效指标</w:t>
            </w:r>
          </w:p>
        </w:tc>
        <w:tc>
          <w:tcPr>
            <w:tcW w:w="72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资金拨付及时率</w:t>
            </w:r>
          </w:p>
        </w:tc>
        <w:tc>
          <w:tcPr>
            <w:tcW w:w="38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&gt;=95%</w:t>
            </w: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计划标准</w:t>
            </w:r>
          </w:p>
        </w:tc>
        <w:tc>
          <w:tcPr>
            <w:tcW w:w="46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95%</w:t>
            </w:r>
          </w:p>
        </w:tc>
        <w:tc>
          <w:tcPr>
            <w:tcW w:w="22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8</w:t>
            </w:r>
          </w:p>
        </w:tc>
        <w:tc>
          <w:tcPr>
            <w:tcW w:w="36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按照完成比例赋分</w:t>
            </w:r>
          </w:p>
        </w:tc>
        <w:tc>
          <w:tcPr>
            <w:tcW w:w="26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工作资料</w:t>
            </w:r>
          </w:p>
        </w:tc>
        <w:tc>
          <w:tcPr>
            <w:tcW w:w="34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=99.52%</w:t>
            </w:r>
          </w:p>
        </w:tc>
        <w:tc>
          <w:tcPr>
            <w:tcW w:w="33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104.76%</w:t>
            </w:r>
          </w:p>
        </w:tc>
        <w:tc>
          <w:tcPr>
            <w:tcW w:w="24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default"/>
                <w:color w:val="auto"/>
                <w:highlight w:val="none"/>
                <w:lang w:val="en-US"/>
              </w:rPr>
            </w:pPr>
            <w:r>
              <w:rPr>
                <w:rFonts w:hint="eastAsia"/>
                <w:color w:val="auto"/>
                <w:highlight w:val="none"/>
                <w:lang w:val="en-US" w:eastAsia="zh-CN"/>
              </w:rPr>
              <w:t xml:space="preserve">7.62</w:t>
            </w:r>
          </w:p>
        </w:tc>
        <w:tc>
          <w:tcPr>
            <w:tcW w:w="42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rPr>
              <w:t xml:space="preserve">按月实际处理天数付费，已完成支付全年污水处理费</w:t>
            </w:r>
          </w:p>
        </w:tc>
      </w:tr>
      <w:tr>
        <w:tblPrEx>
          <w:tblW w:w="50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74"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27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成本指标</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经济成本指标</w:t>
            </w:r>
          </w:p>
        </w:tc>
        <w:tc>
          <w:tcPr>
            <w:tcW w:w="72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全年预算污水处理费用</w:t>
            </w:r>
          </w:p>
        </w:tc>
        <w:tc>
          <w:tcPr>
            <w:tcW w:w="38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&lt;=331万元</w:t>
            </w: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计划标准</w:t>
            </w:r>
          </w:p>
        </w:tc>
        <w:tc>
          <w:tcPr>
            <w:tcW w:w="46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w:t>
            </w:r>
          </w:p>
        </w:tc>
        <w:tc>
          <w:tcPr>
            <w:tcW w:w="22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20</w:t>
            </w:r>
          </w:p>
        </w:tc>
        <w:tc>
          <w:tcPr>
            <w:tcW w:w="36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按照完成比例赋分</w:t>
            </w:r>
          </w:p>
        </w:tc>
        <w:tc>
          <w:tcPr>
            <w:tcW w:w="26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原始凭证</w:t>
            </w:r>
          </w:p>
        </w:tc>
        <w:tc>
          <w:tcPr>
            <w:tcW w:w="34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=329.4万元</w:t>
            </w:r>
          </w:p>
        </w:tc>
        <w:tc>
          <w:tcPr>
            <w:tcW w:w="33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99.52%</w:t>
            </w:r>
          </w:p>
        </w:tc>
        <w:tc>
          <w:tcPr>
            <w:tcW w:w="24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19.76</w:t>
            </w:r>
          </w:p>
        </w:tc>
        <w:tc>
          <w:tcPr>
            <w:tcW w:w="42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剩余资金为风险金。</w:t>
            </w:r>
          </w:p>
        </w:tc>
      </w:tr>
      <w:tr>
        <w:tblPrEx>
          <w:tblW w:w="50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74"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278"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效益指标</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社会效益指标</w:t>
            </w:r>
          </w:p>
        </w:tc>
        <w:tc>
          <w:tcPr>
            <w:tcW w:w="72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缓解县城绿化缺水矛盾</w:t>
            </w:r>
          </w:p>
        </w:tc>
        <w:tc>
          <w:tcPr>
            <w:tcW w:w="38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有效缓解</w:t>
            </w: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计划标准</w:t>
            </w:r>
          </w:p>
        </w:tc>
        <w:tc>
          <w:tcPr>
            <w:tcW w:w="46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达成目标</w:t>
            </w:r>
          </w:p>
        </w:tc>
        <w:tc>
          <w:tcPr>
            <w:tcW w:w="22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15</w:t>
            </w:r>
          </w:p>
        </w:tc>
        <w:tc>
          <w:tcPr>
            <w:tcW w:w="36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按评判等级赋分</w:t>
            </w:r>
          </w:p>
        </w:tc>
        <w:tc>
          <w:tcPr>
            <w:tcW w:w="26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工作资料</w:t>
            </w:r>
          </w:p>
        </w:tc>
        <w:tc>
          <w:tcPr>
            <w:tcW w:w="34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达成目标</w:t>
            </w:r>
          </w:p>
        </w:tc>
        <w:tc>
          <w:tcPr>
            <w:tcW w:w="33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24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15</w:t>
            </w:r>
          </w:p>
        </w:tc>
        <w:tc>
          <w:tcPr>
            <w:tcW w:w="42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r>
      <w:tr>
        <w:tblPrEx>
          <w:tblW w:w="50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74"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27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生态效益指标</w:t>
            </w:r>
          </w:p>
        </w:tc>
        <w:tc>
          <w:tcPr>
            <w:tcW w:w="72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中水回用利用率</w:t>
            </w:r>
          </w:p>
        </w:tc>
        <w:tc>
          <w:tcPr>
            <w:tcW w:w="38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&gt;=50%</w:t>
            </w: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计划标准</w:t>
            </w:r>
          </w:p>
        </w:tc>
        <w:tc>
          <w:tcPr>
            <w:tcW w:w="46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50%</w:t>
            </w:r>
          </w:p>
        </w:tc>
        <w:tc>
          <w:tcPr>
            <w:tcW w:w="22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15</w:t>
            </w:r>
          </w:p>
        </w:tc>
        <w:tc>
          <w:tcPr>
            <w:tcW w:w="36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按照完成比例赋分</w:t>
            </w:r>
          </w:p>
        </w:tc>
        <w:tc>
          <w:tcPr>
            <w:tcW w:w="26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工作资料</w:t>
            </w:r>
          </w:p>
        </w:tc>
        <w:tc>
          <w:tcPr>
            <w:tcW w:w="34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=50%</w:t>
            </w:r>
          </w:p>
        </w:tc>
        <w:tc>
          <w:tcPr>
            <w:tcW w:w="33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24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15</w:t>
            </w:r>
          </w:p>
        </w:tc>
        <w:tc>
          <w:tcPr>
            <w:tcW w:w="42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r>
      <w:tr>
        <w:tblPrEx>
          <w:tblW w:w="5099"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500"/>
        </w:trPr>
        <w:tc>
          <w:tcPr>
            <w:tcW w:w="1615" w:type="pct"/>
            <w:gridSpan w:val="4"/>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总分</w:t>
            </w:r>
          </w:p>
        </w:tc>
        <w:tc>
          <w:tcPr>
            <w:tcW w:w="38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46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22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36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26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34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33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24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98.22分</w:t>
            </w:r>
          </w:p>
        </w:tc>
        <w:tc>
          <w:tcPr>
            <w:tcW w:w="42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r>
    </w:tbl>
    <w:p>
      <w:pPr>
        <w:ind w:left="0" w:firstLine="0" w:leftChars="0" w:firstLineChars="0"/>
        <w:jc w:val="both"/>
        <w:rPr>
          <w:rFonts w:ascii="Times New Roman" w:eastAsia="仿宋_GB2312" w:hAnsi="Times New Roman" w:cs="Times New Roman" w:hint="default"/>
          <w:color w:val="auto"/>
          <w:sz w:val="18"/>
          <w:szCs w:val="18"/>
          <w:highlight w:val="none"/>
        </w:rPr>
      </w:pPr>
    </w:p>
    <w:p>
      <w:pPr>
        <w:pStyle w:val="Heading3"/>
        <w:ind w:left="0" w:firstLine="0" w:leftChars="0" w:firstLineChars="0"/>
        <w:jc w:val="both"/>
        <w:outlineLvl w:val="9"/>
        <w:rPr>
          <w:rFonts w:ascii="Times New Roman" w:eastAsia="仿宋_GB2312" w:hAnsi="Times New Roman" w:cs="Times New Roman" w:hint="default"/>
          <w:color w:val="auto"/>
          <w:highlight w:val="none"/>
        </w:rPr>
        <w:sectPr>
          <w:pgSz w:w="16838" w:h="11906" w:orient="landscape"/>
          <w:pgMar w:top="1800" w:right="1440" w:bottom="1800" w:left="1440" w:header="851" w:footer="992" w:gutter="0"/>
          <w:pgBorders/>
          <w:pgNumType w:fmt="decimal"/>
          <w:cols w:num="1" w:space="720">
            <w:col w:w="13958" w:space="720"/>
          </w:cols>
          <w:docGrid w:type="lines" w:linePitch="312" w:charSpace="0"/>
        </w:sectPr>
      </w:pPr>
      <w:bookmarkStart w:id="215" w:name="_Toc1641"/>
      <w:bookmarkStart w:id="216" w:name="_Toc5134"/>
      <w:bookmarkStart w:id="217" w:name="_Toc28099"/>
      <w:bookmarkStart w:id="218" w:name="_Toc22143"/>
    </w:p>
    <w:p>
      <w:pPr>
        <w:pStyle w:val="表格标题"/>
        <w:bidi w:val="0"/>
        <w:jc w:val="both"/>
        <w:rPr>
          <w:rFonts w:ascii="Times New Roman" w:eastAsia="仿宋_GB2312" w:hAnsi="Times New Roman" w:cs="Times New Roman" w:hint="default"/>
          <w:b w:val="0"/>
          <w:bCs/>
          <w:iCs/>
          <w:color w:val="auto"/>
          <w:kern w:val="2"/>
          <w:sz w:val="32"/>
          <w:szCs w:val="21"/>
          <w:highlight w:val="none"/>
          <w:lang w:val="en-US" w:eastAsia="zh-CN" w:bidi="ar-SA"/>
        </w:rPr>
      </w:pPr>
      <w:bookmarkStart w:id="219" w:name="_Toc31300"/>
      <w:bookmarkStart w:id="220" w:name="_Toc29757"/>
      <w:bookmarkStart w:id="221" w:name="_Toc12042"/>
      <w:bookmarkStart w:id="222" w:name="_Toc28010"/>
      <w:r>
        <w:rPr>
          <w:rFonts w:ascii="Times New Roman" w:eastAsia="仿宋_GB2312" w:hAnsi="Times New Roman" w:cs="Times New Roman" w:hint="default"/>
          <w:b w:val="0"/>
          <w:bCs/>
          <w:iCs/>
          <w:color w:val="auto"/>
          <w:kern w:val="2"/>
          <w:sz w:val="32"/>
          <w:szCs w:val="21"/>
          <w:highlight w:val="none"/>
          <w:lang w:val="en-US" w:eastAsia="zh-CN" w:bidi="ar-SA"/>
        </w:rPr>
        <w:t xml:space="preserve">附件2：</w:t>
      </w:r>
      <w:bookmarkEnd w:id="215"/>
      <w:bookmarkEnd w:id="216"/>
      <w:bookmarkEnd w:id="217"/>
      <w:bookmarkEnd w:id="218"/>
      <w:bookmarkEnd w:id="219"/>
      <w:bookmarkEnd w:id="220"/>
      <w:r>
        <w:rPr>
          <w:rFonts w:ascii="Times New Roman" w:eastAsia="仿宋_GB2312" w:hAnsi="Times New Roman" w:cs="Times New Roman" w:hint="default"/>
          <w:b w:val="0"/>
          <w:bCs/>
          <w:iCs/>
          <w:color w:val="auto"/>
          <w:kern w:val="2"/>
          <w:sz w:val="32"/>
          <w:szCs w:val="21"/>
          <w:highlight w:val="none"/>
          <w:lang w:val="en-US" w:eastAsia="zh-CN" w:bidi="ar-SA"/>
        </w:rPr>
        <w:t xml:space="preserve">项目支出绩效评价指标体系及评分</w:t>
      </w:r>
      <w:bookmarkEnd w:id="221"/>
      <w:bookmarkEnd w:id="222"/>
    </w:p>
    <w:p>
      <w:pPr>
        <w:pStyle w:val="表格标题"/>
        <w:keepNext/>
        <w:keepLines/>
        <w:pageBreakBefore w:val="0"/>
        <w:widowControl w:val="0"/>
        <w:kinsoku/>
        <w:wordWrap/>
        <w:overflowPunct/>
        <w:topLinePunct w:val="0"/>
        <w:autoSpaceDE/>
        <w:autoSpaceDN/>
        <w:bidi w:val="0"/>
        <w:adjustRightInd/>
        <w:snapToGrid/>
        <w:textAlignment w:val="auto"/>
        <w:outlineLvl w:val="0"/>
        <w:rPr>
          <w:rFonts w:hint="default"/>
          <w:color w:val="auto"/>
          <w:highlight w:val="none"/>
        </w:rPr>
      </w:pPr>
      <w:bookmarkStart w:id="223" w:name="_Toc29561"/>
      <w:bookmarkStart w:id="224" w:name="_Toc10788"/>
      <w:bookmarkStart w:id="225" w:name="_Toc28172"/>
      <w:bookmarkStart w:id="226" w:name="_Toc28976"/>
      <w:r>
        <w:rPr>
          <w:rFonts w:hint="default"/>
          <w:color w:val="auto"/>
          <w:highlight w:val="none"/>
        </w:rPr>
        <w:t xml:space="preserve">项目支出绩效评价指标体系及评分</w:t>
      </w:r>
      <w:bookmarkEnd w:id="223"/>
      <w:bookmarkEnd w:id="224"/>
      <w:bookmarkEnd w:id="225"/>
      <w:bookmarkEnd w:id="226"/>
    </w:p>
    <w:tbl>
      <w:tblPr>
        <w:tblStyle w:val="NormalTable"/>
        <w:tblW w:w="5674" w:type="pct"/>
        <w:jc w:val="center"/>
        <w:tblLayout w:type="fixed"/>
        <w:tblCellMar>
          <w:top w:w="0" w:type="dxa"/>
          <w:left w:w="108" w:type="dxa"/>
          <w:bottom w:w="0" w:type="dxa"/>
          <w:right w:w="108" w:type="dxa"/>
        </w:tblCellMar>
        <w:tblLook w:firstRow="0" w:lastRow="0" w:firstColumn="0" w:lastColumn="0" w:noHBand="1" w:noVBand="1"/>
      </w:tblPr>
      <w:tblGrid>
        <w:gridCol w:w="592"/>
        <w:gridCol w:w="669"/>
        <w:gridCol w:w="816"/>
        <w:gridCol w:w="2173"/>
        <w:gridCol w:w="4183"/>
        <w:gridCol w:w="613"/>
        <w:gridCol w:w="625"/>
      </w:tblGrid>
      <w:tr>
        <w:tblPrEx>
          <w:tblW w:w="5674" w:type="pct"/>
          <w:tblLayout w:type="fixed"/>
          <w:tblCellMar>
            <w:top w:w="0" w:type="dxa"/>
            <w:left w:w="108" w:type="dxa"/>
            <w:bottom w:w="0" w:type="dxa"/>
            <w:right w:w="108" w:type="dxa"/>
          </w:tblCellMar>
        </w:tblPrEx>
        <w:trPr>
          <w:trHeight w:val="460"/>
          <w:jc w:val="center"/>
        </w:trPr>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一级</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指标</w:t>
            </w:r>
          </w:p>
        </w:tc>
        <w:tc>
          <w:tcPr>
            <w:tcW w:w="34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二级指标</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三级</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指标</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指标解释</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指标说明</w:t>
            </w:r>
          </w:p>
        </w:tc>
        <w:tc>
          <w:tcPr>
            <w:tcW w:w="3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分值</w:t>
            </w:r>
          </w:p>
        </w:tc>
        <w:tc>
          <w:tcPr>
            <w:tcW w:w="32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得分</w:t>
            </w:r>
          </w:p>
        </w:tc>
      </w:tr>
      <w:tr>
        <w:tblPrEx>
          <w:tblW w:w="5674" w:type="pct"/>
          <w:tblLayout w:type="fixed"/>
          <w:tblCellMar>
            <w:top w:w="0" w:type="dxa"/>
            <w:left w:w="108" w:type="dxa"/>
            <w:bottom w:w="0" w:type="dxa"/>
            <w:right w:w="108" w:type="dxa"/>
          </w:tblCellMar>
        </w:tblPrEx>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决策</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eastAsia"/>
                <w:color w:val="auto"/>
                <w:sz w:val="18"/>
                <w:szCs w:val="18"/>
                <w:highlight w:val="none"/>
                <w:lang w:eastAsia="zh-CN"/>
              </w:rPr>
            </w:pPr>
            <w:r>
              <w:rPr>
                <w:rFonts w:ascii="Times New Roman" w:eastAsia="仿宋_GB2312" w:hAnsi="Times New Roman" w:cs="Times New Roman" w:hint="default"/>
                <w:color w:val="auto"/>
                <w:sz w:val="18"/>
                <w:szCs w:val="18"/>
                <w:highlight w:val="none"/>
              </w:rPr>
              <w:t xml:space="preserve">项目</w:t>
            </w:r>
            <w:r>
              <w:rPr>
                <w:rFonts w:cs="Times New Roman" w:hint="eastAsia"/>
                <w:color w:val="auto"/>
                <w:sz w:val="18"/>
                <w:szCs w:val="18"/>
                <w:highlight w:val="none"/>
                <w:lang w:eastAsia="zh-CN"/>
              </w:rPr>
              <w:t xml:space="preserve">实施</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依据充分性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w:t>
            </w: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是否符合法律法规、相关政策、发展规划以及部门职责，用以反映和考核项目</w:t>
            </w: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依据情况。</w:t>
            </w: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①项目</w:t>
            </w: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②项目</w:t>
            </w: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③项目</w:t>
            </w: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⑤项目是否与相关部门同类项目或部门内部相关项目重复。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3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程序规范性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项目申请、设立过程是否符合相关要求，用以反映和考核项目</w:t>
            </w: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的规范情况。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10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254"/>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③事前是否已经过必要的可行性研究、专家论证、风险评估、绩效评估、集体决策。</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22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绩效目标</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绩效目标合理性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15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①项目是否有绩效目标；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9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53"/>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绩效指标明确性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依据绩效目标设定的绩效指标是否清晰、细化、可衡量等，用以反映和考核项目绩效目标的明细化情况。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4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②是否通过清晰、可衡量的指标值予以体现；</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3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资金投入</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预算编制科学性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76"/>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资金分配合理性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08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top"/>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过程</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资金管理</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资金到位率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资金到位率=（实际到位资金/预算资金）×100%。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58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预算资金：一定时期（本年度或项目期）内预算安排到具体项目的资金。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预算执行率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预算执行率=（实际支出资金/实际到位资金）×100%。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val="en-US" w:eastAsia="zh-CN"/>
              </w:rPr>
            </w:pPr>
            <w:r>
              <w:rPr>
                <w:rFonts w:cs="Times New Roman" w:hint="eastAsia"/>
                <w:color w:val="auto"/>
                <w:sz w:val="18"/>
                <w:szCs w:val="18"/>
                <w:highlight w:val="none"/>
                <w:lang w:val="en-US" w:eastAsia="zh-CN"/>
              </w:rPr>
              <w:t xml:space="preserve">3.98</w:t>
            </w:r>
          </w:p>
        </w:tc>
      </w:tr>
      <w:tr>
        <w:tblPrEx>
          <w:tblW w:w="5674" w:type="pct"/>
          <w:tblLayout w:type="fixed"/>
          <w:tblCellMar>
            <w:top w:w="0" w:type="dxa"/>
            <w:left w:w="108" w:type="dxa"/>
            <w:bottom w:w="0" w:type="dxa"/>
            <w:right w:w="108" w:type="dxa"/>
          </w:tblCellMar>
        </w:tblPrEx>
        <w:trPr>
          <w:trHeight w:val="62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资金使用合规性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19"/>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组织实施</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管理制度健全性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②财务和业务管理制度是否合法、合规、完整。</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233"/>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制度执行有效性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15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产出数量</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实际完成率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实际完成率=（实际产出数/计划产出数）×100%。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val="en-US" w:eastAsia="zh-CN"/>
              </w:rPr>
            </w:pPr>
            <w:r>
              <w:rPr>
                <w:rFonts w:cs="Times New Roman" w:hint="eastAsia"/>
                <w:color w:val="auto"/>
                <w:sz w:val="18"/>
                <w:szCs w:val="18"/>
                <w:highlight w:val="none"/>
                <w:lang w:val="en-US" w:eastAsia="zh-CN"/>
              </w:rPr>
              <w:t xml:space="preserve">11.38</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33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产出质量</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质量达标率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质量达标率=（质量达标产出数/实际产出数）×100%。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r>
      <w:tr>
        <w:tblPrEx>
          <w:tblW w:w="5674" w:type="pct"/>
          <w:tblLayout w:type="fixed"/>
          <w:tblCellMar>
            <w:top w:w="0" w:type="dxa"/>
            <w:left w:w="108" w:type="dxa"/>
            <w:bottom w:w="0" w:type="dxa"/>
            <w:right w:w="108" w:type="dxa"/>
          </w:tblCellMar>
        </w:tblPrEx>
        <w:trPr>
          <w:trHeight w:val="88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产出时效</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完成及时性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val="en-US" w:eastAsia="zh-CN"/>
              </w:rPr>
            </w:pPr>
            <w:r>
              <w:rPr>
                <w:rFonts w:ascii="Times New Roman" w:eastAsia="仿宋_GB2312" w:hAnsi="Times New Roman" w:cs="Times New Roman" w:hint="default"/>
                <w:color w:val="auto"/>
                <w:sz w:val="18"/>
                <w:szCs w:val="18"/>
                <w:highlight w:val="none"/>
                <w:lang w:val="en-US" w:eastAsia="zh-CN"/>
              </w:rPr>
              <w:t xml:space="preserve">12</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产出成本</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成本节约率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val="en-US" w:eastAsia="zh-CN"/>
              </w:rPr>
            </w:pPr>
            <w:r>
              <w:rPr>
                <w:rFonts w:cs="Times New Roman" w:hint="eastAsia"/>
                <w:color w:val="auto"/>
                <w:sz w:val="18"/>
                <w:szCs w:val="18"/>
                <w:highlight w:val="none"/>
                <w:lang w:val="en-US" w:eastAsia="zh-CN"/>
              </w:rPr>
              <w:t xml:space="preserve">3.98</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成本节约率=〔（计划成本</w:t>
            </w:r>
            <w:r>
              <w:rPr>
                <w:rFonts w:ascii="Times New Roman" w:eastAsia="仿宋_GB2312" w:hAnsi="Times New Roman" w:cs="Times New Roman" w:hint="default"/>
                <w:color w:val="auto"/>
                <w:sz w:val="18"/>
                <w:szCs w:val="18"/>
                <w:highlight w:val="none"/>
                <w:lang w:eastAsia="zh-CN"/>
              </w:rPr>
              <w:t xml:space="preserve">－</w:t>
            </w:r>
            <w:r>
              <w:rPr>
                <w:rFonts w:ascii="Times New Roman" w:eastAsia="仿宋_GB2312" w:hAnsi="Times New Roman" w:cs="Times New Roman" w:hint="default"/>
                <w:color w:val="auto"/>
                <w:sz w:val="18"/>
                <w:szCs w:val="18"/>
                <w:highlight w:val="none"/>
              </w:rPr>
              <w:t xml:space="preserve">实际成本）/计划成本〕×100%。</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780"/>
          <w:jc w:val="center"/>
        </w:trPr>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效益</w:t>
            </w:r>
          </w:p>
        </w:tc>
        <w:tc>
          <w:tcPr>
            <w:tcW w:w="34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项目效益</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实施</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效益</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项目实施所产生的效益。</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cs="Times New Roman" w:hint="eastAsia"/>
                <w:color w:val="auto"/>
                <w:sz w:val="18"/>
                <w:szCs w:val="18"/>
                <w:highlight w:val="none"/>
                <w:lang w:val="en-US" w:eastAsia="zh-CN"/>
              </w:rPr>
              <w:t xml:space="preserve">2</w:t>
            </w:r>
            <w:r>
              <w:rPr>
                <w:rFonts w:ascii="Times New Roman" w:eastAsia="仿宋_GB2312" w:hAnsi="Times New Roman" w:cs="Times New Roman" w:hint="default"/>
                <w:color w:val="auto"/>
                <w:sz w:val="18"/>
                <w:szCs w:val="18"/>
                <w:highlight w:val="none"/>
              </w:rPr>
              <w:t xml:space="preserve">0</w:t>
            </w:r>
          </w:p>
        </w:tc>
      </w:tr>
      <w:tr>
        <w:tblPrEx>
          <w:tblW w:w="5674" w:type="pct"/>
          <w:tblLayout w:type="fixed"/>
          <w:tblCellMar>
            <w:top w:w="0" w:type="dxa"/>
            <w:left w:w="108" w:type="dxa"/>
            <w:bottom w:w="0" w:type="dxa"/>
            <w:right w:w="108" w:type="dxa"/>
          </w:tblCellMar>
        </w:tblPrEx>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合计</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100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val="en-US" w:eastAsia="zh-CN"/>
              </w:rPr>
            </w:pPr>
            <w:r>
              <w:rPr>
                <w:rFonts w:cs="Times New Roman" w:hint="eastAsia"/>
                <w:color w:val="auto"/>
                <w:sz w:val="18"/>
                <w:szCs w:val="18"/>
                <w:highlight w:val="none"/>
                <w:lang w:val="en-US" w:eastAsia="zh-CN"/>
              </w:rPr>
              <w:t xml:space="preserve">99.34</w:t>
            </w:r>
          </w:p>
        </w:tc>
      </w:tr>
    </w:tbl>
    <w:p>
      <w:pPr>
        <w:ind w:firstLine="640"/>
        <w:jc w:val="both"/>
        <w:rPr>
          <w:rFonts w:ascii="Times New Roman" w:eastAsia="仿宋_GB2312" w:hAnsi="Times New Roman" w:cs="Times New Roman" w:hint="default"/>
          <w:color w:val="auto"/>
          <w:highlight w:val="none"/>
        </w:rPr>
      </w:pPr>
    </w:p>
    <w:sectPr>
      <w:pgSz w:w="11906" w:h="16838" w:orient="portrait"/>
      <w:pgMar w:top="1440" w:right="1800" w:bottom="1440" w:left="1800" w:header="851" w:footer="992" w:gutter="0"/>
      <w:pgBorders/>
      <w:pgNumType w:fmt="decimal"/>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3EB2906-E95B-495C-A819-D7DAEEC4509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ACDC6348-EDF3-4CDF-BC25-52FBF30CCF5A}"/>
  </w:font>
  <w:font w:name="方正小标宋_GBK">
    <w:altName w:val="微软雅黑"/>
    <w:panose1 w:val="02000000000000000000"/>
    <w:charset w:val="86"/>
    <w:family w:val="auto"/>
    <w:pitch w:val="default"/>
    <w:sig w:usb0="00000001" w:usb1="08000000" w:usb2="0000000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auto"/>
    <w:pitch w:val="default"/>
    <w:sig w:usb0="800002BF" w:usb1="38CF7CFA" w:usb2="00000016" w:usb3="00000000" w:csb0="00040001" w:csb1="00000000"/>
    <w:embedRegular r:id="rId3" w:fontKey="{0CDDE561-2564-42C3-BB51-FA85DF7A1712}"/>
  </w:font>
  <w:font w:name="仿宋">
    <w:panose1 w:val="00000000000000000000"/>
    <w:charset w:val="01"/>
    <w:family w:val="auto"/>
    <w:pitch w:val="default"/>
    <w:sig w:usb0="00000000" w:usb1="00000000" w:usb2="00000000" w:usb3="00000000" w:csb0="00000000" w:csb1="00000000"/>
  </w:font>
  <w:font w:name="方正小标宋">
    <w:panose1 w:val="00000000000000000000"/>
    <w:charset w:val="01"/>
    <w:family w:val="auto"/>
    <w:pitch w:val="default"/>
    <w:sig w:usb0="00000000" w:usb1="00000000" w:usb2="0000000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r>
      <w:pict>
        <v:shapetype id="_x0000_t202" coordsize="21600,21600" o:spt="202" path="m,l,21600r21600,l21600,xe">
          <v:stroke joinstyle="miter"/>
          <v:path gradientshapeok="t" o:connecttype="rect"/>
        </v:shapetype>
        <v:shape id="_x0000_s2061" o:spid="_x0000_s2049" type="#_x0000_t202" style="width:2in;height:2in;margin-top:0;margin-left:0;mso-height-relative:page;mso-position-horizontal:center;mso-position-horizontal-relative:margin;mso-width-relative:page;mso-wrap-style:none;position:absolute;z-index:251658240"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 xml:space="preserve">1</w:t>
                </w:r>
                <w:r>
                  <w:fldChar w:fldCharType="end"/>
                </w:r>
              </w:p>
            </w:txbxContent>
          </v:textbox>
          <w10:wrap anchorx="margin"/>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w:zoom w:percent="110"/>
  <w:embedTrueTypeFonts/>
  <w:saveSubsetFonts/>
  <w:bordersDoNotSurroundFooter w:val="0"/>
  <w:bordersDoNotSurroundHeader w:val="0"/>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qFormat="1"/>
    <w:lsdException w:name="annotation text" w:semiHidden="0" w:uiPriority="0" w:unhideWhenUsed="0"/>
    <w:lsdException w:name="header" w:semiHidden="0"/>
    <w:lsdException w:name="footer" w:semiHidden="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qFormat/>
    <w:pPr>
      <w:widowControl w:val="0"/>
      <w:spacing w:line="360" w:lineRule="auto"/>
      <w:ind w:firstLine="880" w:firstLineChars="200"/>
      <w:jc w:val="both"/>
    </w:pPr>
    <w:rPr>
      <w:rFonts w:eastAsia="仿宋_GB2312"/>
      <w:kern w:val="2"/>
      <w:sz w:val="32"/>
      <w:szCs w:val="22"/>
      <w:lang w:val="en-US" w:eastAsia="zh-CN" w:bidi="ar-SA"/>
    </w:rPr>
  </w:style>
  <w:style w:type="paragraph" w:styleId="Heading1">
    <w:name w:val="Heading 1"/>
    <w:basedOn w:val="Normal"/>
    <w:next w:val="Normal"/>
    <w:link w:val="标题1Char"/>
    <w:uiPriority w:val="9"/>
    <w:qFormat/>
    <w:pPr>
      <w:keepNext/>
      <w:keepLines/>
      <w:ind w:firstLine="0" w:firstLineChars="0"/>
      <w:jc w:val="center"/>
      <w:outlineLvl w:val="0"/>
    </w:pPr>
    <w:rPr>
      <w:rFonts w:eastAsia="方正小标宋_GBK"/>
      <w:kern w:val="44"/>
      <w:sz w:val="36"/>
    </w:rPr>
  </w:style>
  <w:style w:type="paragraph" w:styleId="Heading2">
    <w:name w:val="Heading 2"/>
    <w:basedOn w:val="Normal"/>
    <w:next w:val="Normal"/>
    <w:link w:val="标题2字符"/>
    <w:uiPriority w:val="99"/>
    <w:qFormat/>
    <w:pPr>
      <w:keepNext/>
      <w:outlineLvl w:val="1"/>
    </w:pPr>
    <w:rPr>
      <w:rFonts w:eastAsia="黑体" w:cs="Times New Roman"/>
      <w:bCs/>
      <w:iCs/>
      <w:szCs w:val="21"/>
    </w:rPr>
  </w:style>
  <w:style w:type="paragraph" w:styleId="Heading3">
    <w:name w:val="Heading 3"/>
    <w:basedOn w:val="Normal"/>
    <w:next w:val="Normal"/>
    <w:link w:val="标题3字符"/>
    <w:uiPriority w:val="9"/>
    <w:unhideWhenUsed/>
    <w:qFormat/>
    <w:pPr>
      <w:keepNext/>
      <w:keepLines/>
      <w:outlineLvl w:val="2"/>
    </w:pPr>
    <w:rPr>
      <w:rFonts w:eastAsia="楷体_GB2312"/>
      <w:b/>
    </w:rPr>
  </w:style>
  <w:style w:type="paragraph" w:styleId="Heading4">
    <w:name w:val="Heading 4"/>
    <w:basedOn w:val="Normal"/>
    <w:next w:val="Normal"/>
    <w:qFormat/>
    <w:pPr>
      <w:keepNext/>
      <w:keepLines/>
      <w:spacing w:before="280" w:after="290" w:line="376" w:lineRule="auto"/>
      <w:outlineLvl w:val="3"/>
    </w:pPr>
    <w:rPr>
      <w:rFonts w:ascii="Cambria" w:eastAsia="宋体" w:hAnsi="Cambria"/>
      <w:b/>
      <w:bCs/>
      <w:sz w:val="28"/>
      <w:szCs w:val="28"/>
    </w:rPr>
  </w:style>
  <w:style w:type="character" w:default="1" w:styleId="DefaultParagraphFont">
    <w:name w:val="Default Paragraph Font"/>
    <w:uiPriority w:val="1"/>
    <w:unhideWhenUsed/>
    <w:rPr/>
  </w:style>
  <w:style w:type="table" w:default="1" w:styleId="NormalTable">
    <w:name w:val="Normal Table"/>
    <w:semiHidden/>
    <w:qFormat/>
    <w:rPr/>
    <w:tblPr>
      <w:tblCellMar>
        <w:top w:w="0" w:type="dxa"/>
        <w:left w:w="108" w:type="dxa"/>
        <w:bottom w:w="0" w:type="dxa"/>
        <w:right w:w="108" w:type="dxa"/>
      </w:tblCellMar>
    </w:tblPr>
  </w:style>
  <w:style w:type="paragraph" w:styleId="CommentText">
    <w:name w:val="Comment Text"/>
    <w:basedOn w:val="Normal"/>
    <w:qFormat/>
    <w:pPr>
      <w:jc w:val="left"/>
    </w:pPr>
    <w:rPr/>
  </w:style>
  <w:style w:type="paragraph" w:styleId="TOC3">
    <w:name w:val="TOC 3"/>
    <w:basedOn w:val="Normal"/>
    <w:next w:val="Normal"/>
    <w:uiPriority w:val="39"/>
    <w:qFormat/>
    <w:pPr>
      <w:ind w:left="840" w:leftChars="400"/>
    </w:pPr>
    <w:rPr/>
  </w:style>
  <w:style w:type="paragraph" w:styleId="Footer">
    <w:name w:val="Footer"/>
    <w:basedOn w:val="Normal"/>
    <w:link w:val="页脚字符"/>
    <w:uiPriority w:val="99"/>
    <w:unhideWhenUsed/>
    <w:qFormat/>
    <w:pPr>
      <w:tabs>
        <w:tab w:val="center" w:pos="4153"/>
        <w:tab w:val="right" w:pos="8306"/>
      </w:tabs>
      <w:snapToGrid w:val="0"/>
      <w:jc w:val="left"/>
    </w:pPr>
    <w:rPr>
      <w:sz w:val="18"/>
    </w:rPr>
  </w:style>
  <w:style w:type="paragraph" w:styleId="Header">
    <w:name w:val="Header"/>
    <w:basedOn w:val="Normal"/>
    <w:link w:val="页眉字符"/>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TOC1">
    <w:name w:val="TOC 1"/>
    <w:basedOn w:val="Normal"/>
    <w:next w:val="Normal"/>
    <w:uiPriority w:val="39"/>
    <w:qFormat/>
    <w:rPr/>
  </w:style>
  <w:style w:type="paragraph" w:styleId="TOC2">
    <w:name w:val="TOC 2"/>
    <w:basedOn w:val="Normal"/>
    <w:next w:val="Normal"/>
    <w:uiPriority w:val="39"/>
    <w:qFormat/>
    <w:pPr>
      <w:ind w:left="420" w:leftChars="200"/>
    </w:pPr>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Strong">
    <w:name w:val="Strong"/>
    <w:basedOn w:val="DefaultParagraphFont"/>
    <w:qFormat/>
    <w:rPr>
      <w:b/>
    </w:rPr>
  </w:style>
  <w:style w:type="character" w:customStyle="1" w:styleId="标题2字符">
    <w:name w:val="标题 2 字符"/>
    <w:link w:val="Heading2"/>
    <w:uiPriority w:val="99"/>
    <w:qFormat/>
    <w:rPr>
      <w:rFonts w:eastAsia="黑体"/>
      <w:bCs/>
      <w:iCs/>
      <w:kern w:val="2"/>
      <w:sz w:val="32"/>
      <w:szCs w:val="21"/>
    </w:rPr>
  </w:style>
  <w:style w:type="character" w:customStyle="1" w:styleId="标题1Char">
    <w:name w:val="标题 1 Char"/>
    <w:link w:val="Heading1"/>
    <w:uiPriority w:val="9"/>
    <w:rPr>
      <w:rFonts w:eastAsia="方正小标宋_GBK"/>
      <w:kern w:val="44"/>
      <w:sz w:val="36"/>
    </w:rPr>
  </w:style>
  <w:style w:type="character" w:customStyle="1" w:styleId="标题3字符">
    <w:name w:val="标题 3 字符"/>
    <w:link w:val="Heading3"/>
    <w:uiPriority w:val="9"/>
    <w:qFormat/>
    <w:rPr>
      <w:rFonts w:eastAsia="楷体_GB2312" w:cs="Times New Roman"/>
      <w:b/>
      <w:kern w:val="2"/>
      <w:sz w:val="32"/>
      <w:szCs w:val="22"/>
    </w:rPr>
  </w:style>
  <w:style w:type="character" w:customStyle="1" w:styleId="页脚字符">
    <w:name w:val="页脚 字符"/>
    <w:link w:val="Footer"/>
    <w:uiPriority w:val="99"/>
    <w:rPr>
      <w:rFonts w:eastAsia="仿宋_GB2312" w:cs="Times New Roman"/>
      <w:kern w:val="2"/>
      <w:sz w:val="18"/>
      <w:szCs w:val="22"/>
    </w:rPr>
  </w:style>
  <w:style w:type="character" w:customStyle="1" w:styleId="页眉字符">
    <w:name w:val="页眉 字符"/>
    <w:link w:val="Header"/>
    <w:uiPriority w:val="99"/>
    <w:rPr>
      <w:rFonts w:eastAsia="仿宋_GB2312" w:cs="Times New Roman"/>
      <w:kern w:val="2"/>
      <w:sz w:val="18"/>
      <w:szCs w:val="22"/>
    </w:rPr>
  </w:style>
  <w:style w:type="character" w:customStyle="1" w:styleId="font21">
    <w:name w:val="font21"/>
    <w:basedOn w:val="DefaultParagraphFont"/>
    <w:rPr>
      <w:rFonts w:ascii="Times New Roman" w:hAnsi="Times New Roman" w:cs="Times New Roman" w:hint="default"/>
      <w:color w:val="000000"/>
      <w:sz w:val="22"/>
      <w:szCs w:val="22"/>
      <w:u w:val="none"/>
    </w:rPr>
  </w:style>
  <w:style w:type="character" w:customStyle="1" w:styleId="font101">
    <w:name w:val="font101"/>
    <w:basedOn w:val="DefaultParagraphFont"/>
    <w:rPr>
      <w:rFonts w:ascii="宋体" w:eastAsia="宋体" w:hAnsi="宋体" w:cs="宋体" w:hint="eastAsia"/>
      <w:color w:val="000000"/>
      <w:sz w:val="18"/>
      <w:szCs w:val="18"/>
      <w:u w:val="none"/>
    </w:rPr>
  </w:style>
  <w:style w:type="character" w:customStyle="1" w:styleId="font71">
    <w:name w:val="font71"/>
    <w:basedOn w:val="DefaultParagraphFont"/>
    <w:rPr>
      <w:rFonts w:ascii="宋体" w:eastAsia="宋体" w:hAnsi="宋体" w:cs="宋体" w:hint="eastAsia"/>
      <w:color w:val="000000"/>
      <w:sz w:val="22"/>
      <w:szCs w:val="22"/>
      <w:u w:val="none"/>
    </w:rPr>
  </w:style>
  <w:style w:type="character" w:customStyle="1" w:styleId="font112">
    <w:name w:val="font112"/>
    <w:basedOn w:val="DefaultParagraphFont"/>
    <w:rPr>
      <w:rFonts w:ascii="宋体" w:eastAsia="宋体" w:hAnsi="宋体" w:cs="宋体" w:hint="eastAsia"/>
      <w:color w:val="000000"/>
      <w:sz w:val="22"/>
      <w:szCs w:val="22"/>
      <w:u w:val="none"/>
    </w:rPr>
  </w:style>
  <w:style w:type="character" w:customStyle="1" w:styleId="font81">
    <w:name w:val="font81"/>
    <w:basedOn w:val="DefaultParagraphFont"/>
    <w:rPr>
      <w:rFonts w:ascii="宋体" w:eastAsia="宋体" w:hAnsi="宋体" w:cs="宋体" w:hint="eastAsia"/>
      <w:color w:val="000000"/>
      <w:sz w:val="22"/>
      <w:szCs w:val="22"/>
      <w:u w:val="none"/>
    </w:rPr>
  </w:style>
  <w:style w:type="character" w:customStyle="1" w:styleId="font131">
    <w:name w:val="font131"/>
    <w:basedOn w:val="DefaultParagraphFont"/>
    <w:rPr>
      <w:rFonts w:ascii="宋体" w:eastAsia="宋体" w:hAnsi="宋体" w:cs="宋体" w:hint="eastAsia"/>
      <w:color w:val="000000"/>
      <w:sz w:val="18"/>
      <w:szCs w:val="18"/>
      <w:u w:val="none"/>
    </w:rPr>
  </w:style>
  <w:style w:type="character" w:customStyle="1" w:styleId="font91">
    <w:name w:val="font91"/>
    <w:basedOn w:val="DefaultParagraphFont"/>
    <w:rPr>
      <w:rFonts w:ascii="Times New Roman" w:hAnsi="Times New Roman" w:cs="Times New Roman" w:hint="default"/>
      <w:color w:val="000000"/>
      <w:sz w:val="18"/>
      <w:szCs w:val="18"/>
      <w:u w:val="none"/>
    </w:rPr>
  </w:style>
  <w:style w:type="character" w:customStyle="1" w:styleId="font41">
    <w:name w:val="font41"/>
    <w:basedOn w:val="DefaultParagraphFont"/>
    <w:rPr>
      <w:rFonts w:ascii="宋体" w:eastAsia="宋体" w:hAnsi="宋体" w:cs="宋体" w:hint="eastAsia"/>
      <w:color w:val="000000"/>
      <w:sz w:val="22"/>
      <w:szCs w:val="22"/>
      <w:u w:val="none"/>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paragraph" w:customStyle="1" w:styleId="表格内容">
    <w:name w:val="表格内容"/>
    <w:basedOn w:val="Normal"/>
    <w:next w:val="Normal"/>
    <w:qFormat/>
    <w:pPr>
      <w:keepNext w:val="0"/>
      <w:keepLines/>
      <w:spacing w:line="240" w:lineRule="auto"/>
      <w:ind w:firstLine="0" w:firstLineChars="0"/>
      <w:jc w:val="center"/>
      <w:outlineLvl w:val="9"/>
    </w:pPr>
    <w:rPr>
      <w:rFonts w:ascii="Times New Roman" w:hAnsi="Times New Roman" w:hint="eastAsia"/>
      <w:kern w:val="44"/>
      <w:sz w:val="21"/>
    </w:rPr>
  </w:style>
  <w:style w:type="paragraph" w:customStyle="1" w:styleId="WPSOffice手动目录1">
    <w:name w:val="WPSOffice手动目录 1"/>
    <w:qFormat/>
    <w:pPr>
      <w:ind w:leftChars="0"/>
    </w:pPr>
    <w:rPr>
      <w:sz w:val="20"/>
      <w:szCs w:val="20"/>
    </w:rPr>
  </w:style>
  <w:style w:type="paragraph" w:customStyle="1" w:styleId="WPSOffice手动目录2">
    <w:name w:val="WPSOffice手动目录 2"/>
    <w:qFormat/>
    <w:pPr>
      <w:ind w:leftChars="200"/>
    </w:pPr>
    <w:rPr>
      <w:sz w:val="20"/>
      <w:szCs w:val="20"/>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theme" Target="theme/theme1.xml"/><Relationship Id="rId6" Type="http://schemas.openxmlformats.org/officeDocument/2006/relationships/styles" Target="styles.xml"/><Relationship Id="rId7" Type="http://schemas.openxmlformats.org/officeDocument/2006/relationships/webSettings" Target="webSettings.xml"/><Relationship Id="rId8" Type="http://schemas.openxmlformats.org/officeDocument/2006/relationships/fontTable" Target="fontTable.xml"/><Relationship Id="rId9" Type="http://schemas.openxmlformats.org/officeDocument/2006/relationships/settings" Target="setting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 Id="rId2" Type="http://schemas.openxmlformats.org/officeDocument/2006/relationships/font" Target="fonts/font2.odttf"/><Relationship Id="rId3" Type="http://schemas.openxmlformats.org/officeDocument/2006/relationships/font" Target="fonts/font3.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702682AE7E264253A4057EC85BD0FDEF_13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61" textRotate="1"/>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28</Pages>
  <Words>8180</Words>
  <Characters>8632</Characters>
  <Application>WPS Office_12.1.0.15120_F1E327BC-269C-435d-A152-05C5408002CA</Application>
  <DocSecurity>0</DocSecurity>
  <Lines>110</Lines>
  <Paragraphs>31</Paragraphs>
  <Company>Microsoft</Company>
  <CharactersWithSpaces>8671</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郭子歪</cp:lastModifiedBy>
  <cp:revision>3</cp:revision>
  <dcterms:created xsi:type="dcterms:W3CDTF">2019-11-25T12:51:00Z</dcterms:created>
  <dcterms:modified xsi:type="dcterms:W3CDTF">2025-09-02T03:33:41Z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2052-12.1.0.15120</vt:lpwstr>
  </property>
  <property fmtid="{D5CDD505-2E9C-101B-9397-08002B2CF9AE}" pid="3" name="ICV">
    <vt:lpwstr>702682AE7E264253A4057EC85BD0FDEF_13</vt:lpwstr>
  </property>
  <property fmtid="{D5CDD505-2E9C-101B-9397-08002B2CF9AE}" pid="4" name="commondata">
    <vt:lpwstr>eyJoZGlkIjoiMzFhODQ1NGNmNGU5ZTQ0MGUxMDEzMGEzNzMxNWFjNDkifQ_x003D__x003D_</vt:lpwstr>
  </property>
  <property fmtid="{D5CDD505-2E9C-101B-9397-08002B2CF9AE}" pid="5" name="KSOTemplateDocerSaveRecord">
    <vt:lpwstr>eyJoZGlkIjoiODRhYjhkNzI4OGQ5M2E5NzE5YzFiNzg2M2ZlMzkxMWUiLCJ1c2VySWQiOiIxMTQ4NTc0MTIzIn0_x003D_</vt:lpwstr>
  </property>
</Properties>
</file>