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pStyle w:val="3"/>
        <w:bidi w:val="0"/>
        <w:rPr>
          <w:rFonts w:hint="default" w:ascii="Times New Roman" w:hAnsi="Times New Roman" w:cs="Times New Roman"/>
          <w:color w:val="auto"/>
          <w:sz w:val="44"/>
          <w:szCs w:val="44"/>
          <w:highlight w:val="none"/>
        </w:rPr>
      </w:pPr>
      <w:bookmarkStart w:id="0" w:name="_Toc24054"/>
      <w:bookmarkStart w:id="1" w:name="_Toc14852"/>
      <w:bookmarkStart w:id="2" w:name="_Toc27118"/>
      <w:bookmarkStart w:id="3" w:name="_Toc28201"/>
      <w:r>
        <w:rPr>
          <w:rFonts w:hint="default" w:ascii="Times New Roman" w:hAnsi="Times New Roman" w:cs="Times New Roman"/>
          <w:color w:val="auto"/>
          <w:sz w:val="44"/>
          <w:szCs w:val="44"/>
          <w:highlight w:val="none"/>
        </w:rPr>
        <w:t>项目支出绩效评价报告</w:t>
      </w:r>
      <w:bookmarkEnd w:id="0"/>
      <w:bookmarkEnd w:id="1"/>
      <w:bookmarkEnd w:id="2"/>
      <w:bookmarkEnd w:id="3"/>
    </w:p>
    <w:p>
      <w:pPr>
        <w:ind w:firstLine="883"/>
        <w:jc w:val="both"/>
        <w:rPr>
          <w:rFonts w:hint="default" w:ascii="Times New Roman" w:hAnsi="Times New Roman" w:eastAsia="宋体" w:cs="Times New Roman"/>
          <w:b/>
          <w:bCs/>
          <w:color w:val="auto"/>
          <w:sz w:val="44"/>
          <w:szCs w:val="44"/>
          <w:highlight w:val="none"/>
        </w:rPr>
      </w:pPr>
    </w:p>
    <w:p>
      <w:pPr>
        <w:bidi w:val="0"/>
        <w:jc w:val="both"/>
        <w:rPr>
          <w:rFonts w:hint="default" w:ascii="Times New Roman" w:hAnsi="Times New Roman" w:eastAsia="宋体" w:cs="Times New Roman"/>
          <w:color w:val="auto"/>
          <w:highlight w:val="none"/>
        </w:rPr>
      </w:pPr>
    </w:p>
    <w:p>
      <w:pPr>
        <w:bidi w:val="0"/>
        <w:ind w:left="0" w:leftChars="0" w:firstLine="0" w:firstLineChars="0"/>
        <w:jc w:val="center"/>
        <w:rPr>
          <w:rFonts w:hint="default" w:ascii="Times New Roman" w:hAnsi="Times New Roman" w:eastAsia="宋体" w:cs="Times New Roman"/>
          <w:color w:val="auto"/>
          <w:highlight w:val="none"/>
        </w:rPr>
      </w:pPr>
      <w:r>
        <w:rPr>
          <w:color w:val="auto"/>
          <w:sz w:val="28"/>
          <w:szCs w:val="28"/>
          <w:highlight w:val="none"/>
        </w:rPr>
        <w:t>（202</w:t>
      </w:r>
      <w:r>
        <w:rPr>
          <w:rFonts w:hint="eastAsia"/>
          <w:color w:val="auto"/>
          <w:sz w:val="28"/>
          <w:szCs w:val="28"/>
          <w:highlight w:val="none"/>
          <w:lang w:val="en-US" w:eastAsia="zh-CN"/>
        </w:rPr>
        <w:t>4</w:t>
      </w:r>
      <w:r>
        <w:rPr>
          <w:color w:val="auto"/>
          <w:sz w:val="28"/>
          <w:szCs w:val="28"/>
          <w:highlight w:val="none"/>
        </w:rPr>
        <w:t>年度）</w:t>
      </w: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b/>
          <w:bCs/>
          <w:color w:val="auto"/>
          <w:highlight w:val="none"/>
        </w:rPr>
      </w:pPr>
    </w:p>
    <w:p>
      <w:pPr>
        <w:bidi w:val="0"/>
        <w:jc w:val="both"/>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项目名称：</w:t>
      </w:r>
      <w:r>
        <w:rPr>
          <w:rFonts w:hint="eastAsia" w:ascii="仿宋_GB2312" w:hAnsi="仿宋_GB2312" w:cs="仿宋_GB2312"/>
          <w:b w:val="0"/>
          <w:bCs w:val="0"/>
          <w:color w:val="auto"/>
          <w:highlight w:val="none"/>
          <w:lang w:val="en-US" w:eastAsia="zh-CN"/>
        </w:rPr>
        <w:t>尉犁县城镇污水处理厂（二期）工程PPP项目</w:t>
      </w:r>
    </w:p>
    <w:p>
      <w:pPr>
        <w:bidi w:val="0"/>
        <w:jc w:val="both"/>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实施单位（公章）：</w:t>
      </w:r>
      <w:r>
        <w:rPr>
          <w:rFonts w:hint="eastAsia" w:ascii="仿宋_GB2312" w:hAnsi="仿宋_GB2312" w:cs="仿宋_GB2312"/>
          <w:b w:val="0"/>
          <w:bCs w:val="0"/>
          <w:color w:val="auto"/>
          <w:highlight w:val="none"/>
          <w:lang w:val="en-US" w:eastAsia="zh-CN"/>
        </w:rPr>
        <w:t>新疆科发环境工程有限公司</w:t>
      </w:r>
    </w:p>
    <w:p>
      <w:pPr>
        <w:bidi w:val="0"/>
        <w:jc w:val="both"/>
        <w:rPr>
          <w:rFonts w:hint="default" w:ascii="仿宋_GB2312" w:hAnsi="仿宋_GB2312" w:eastAsia="仿宋_GB2312" w:cs="仿宋_GB2312"/>
          <w:b w:val="0"/>
          <w:bCs w:val="0"/>
          <w:color w:val="auto"/>
          <w:highlight w:val="none"/>
          <w:lang w:val="en-US"/>
        </w:rPr>
      </w:pPr>
      <w:r>
        <w:rPr>
          <w:rFonts w:hint="eastAsia" w:ascii="仿宋_GB2312" w:hAnsi="仿宋_GB2312" w:eastAsia="仿宋_GB2312" w:cs="仿宋_GB2312"/>
          <w:b w:val="0"/>
          <w:bCs w:val="0"/>
          <w:color w:val="auto"/>
          <w:highlight w:val="none"/>
        </w:rPr>
        <w:t>主管部门（公章）：</w:t>
      </w:r>
      <w:r>
        <w:rPr>
          <w:rFonts w:hint="eastAsia" w:ascii="仿宋_GB2312" w:hAnsi="仿宋_GB2312" w:cs="仿宋_GB2312"/>
          <w:b w:val="0"/>
          <w:bCs w:val="0"/>
          <w:color w:val="auto"/>
          <w:highlight w:val="none"/>
          <w:lang w:val="en-US" w:eastAsia="zh-CN"/>
        </w:rPr>
        <w:t>尉犁县住房和城乡建设局</w:t>
      </w:r>
    </w:p>
    <w:p>
      <w:pPr>
        <w:bidi w:val="0"/>
        <w:jc w:val="both"/>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项目负责人（签章）：</w:t>
      </w:r>
      <w:r>
        <w:rPr>
          <w:rFonts w:hint="eastAsia" w:ascii="仿宋_GB2312" w:hAnsi="仿宋_GB2312" w:cs="仿宋_GB2312"/>
          <w:b w:val="0"/>
          <w:bCs w:val="0"/>
          <w:color w:val="auto"/>
          <w:highlight w:val="none"/>
          <w:lang w:val="en-US" w:eastAsia="zh-CN"/>
        </w:rPr>
        <w:t>李超锋</w:t>
      </w:r>
    </w:p>
    <w:p>
      <w:pPr>
        <w:bidi w:val="0"/>
        <w:jc w:val="both"/>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填报时间：</w:t>
      </w:r>
      <w:r>
        <w:rPr>
          <w:rFonts w:hint="eastAsia" w:ascii="仿宋_GB2312" w:hAnsi="仿宋_GB2312" w:cs="仿宋_GB2312"/>
          <w:b w:val="0"/>
          <w:bCs w:val="0"/>
          <w:color w:val="auto"/>
          <w:highlight w:val="none"/>
          <w:lang w:val="en-US" w:eastAsia="zh-CN"/>
        </w:rPr>
        <w:t>2025</w:t>
      </w:r>
      <w:r>
        <w:rPr>
          <w:rFonts w:hint="eastAsia" w:ascii="仿宋_GB2312" w:hAnsi="仿宋_GB2312" w:eastAsia="仿宋_GB2312" w:cs="仿宋_GB2312"/>
          <w:b w:val="0"/>
          <w:bCs w:val="0"/>
          <w:color w:val="auto"/>
          <w:highlight w:val="none"/>
        </w:rPr>
        <w:t>年</w:t>
      </w:r>
      <w:r>
        <w:rPr>
          <w:rFonts w:hint="eastAsia" w:ascii="仿宋_GB2312" w:hAnsi="仿宋_GB2312" w:cs="仿宋_GB2312"/>
          <w:b w:val="0"/>
          <w:bCs w:val="0"/>
          <w:color w:val="auto"/>
          <w:highlight w:val="none"/>
          <w:lang w:val="en-US" w:eastAsia="zh-CN"/>
        </w:rPr>
        <w:t>3</w:t>
      </w:r>
      <w:r>
        <w:rPr>
          <w:rFonts w:hint="eastAsia" w:ascii="仿宋_GB2312" w:hAnsi="仿宋_GB2312" w:eastAsia="仿宋_GB2312" w:cs="仿宋_GB2312"/>
          <w:b w:val="0"/>
          <w:bCs w:val="0"/>
          <w:color w:val="auto"/>
          <w:highlight w:val="none"/>
        </w:rPr>
        <w:t>月</w:t>
      </w:r>
      <w:r>
        <w:rPr>
          <w:rFonts w:hint="eastAsia" w:ascii="仿宋_GB2312" w:hAnsi="仿宋_GB2312" w:cs="仿宋_GB2312"/>
          <w:b w:val="0"/>
          <w:bCs w:val="0"/>
          <w:color w:val="auto"/>
          <w:highlight w:val="none"/>
          <w:lang w:val="en-US" w:eastAsia="zh-CN"/>
        </w:rPr>
        <w:t>31</w:t>
      </w:r>
      <w:r>
        <w:rPr>
          <w:rFonts w:hint="eastAsia" w:ascii="仿宋_GB2312" w:hAnsi="仿宋_GB2312" w:eastAsia="仿宋_GB2312" w:cs="仿宋_GB2312"/>
          <w:b w:val="0"/>
          <w:bCs w:val="0"/>
          <w:color w:val="auto"/>
          <w:highlight w:val="none"/>
        </w:rPr>
        <w:t>日</w:t>
      </w:r>
    </w:p>
    <w:p>
      <w:pPr>
        <w:bidi w:val="0"/>
        <w:jc w:val="both"/>
        <w:rPr>
          <w:rFonts w:hint="default" w:ascii="Times New Roman" w:hAnsi="Times New Roman" w:eastAsia="宋体" w:cs="Times New Roman"/>
          <w:b w:val="0"/>
          <w:bCs w:val="0"/>
          <w:color w:val="auto"/>
          <w:highlight w:val="none"/>
        </w:rPr>
      </w:pPr>
    </w:p>
    <w:p>
      <w:pPr>
        <w:bidi w:val="0"/>
        <w:jc w:val="both"/>
        <w:rPr>
          <w:rFonts w:hint="default" w:ascii="Times New Roman" w:hAnsi="Times New Roman" w:eastAsia="宋体" w:cs="Times New Roman"/>
          <w:b w:val="0"/>
          <w:bCs w:val="0"/>
          <w:color w:val="auto"/>
          <w:highlight w:val="none"/>
        </w:rPr>
        <w:sectPr>
          <w:pgSz w:w="11906" w:h="16838"/>
          <w:pgMar w:top="1440" w:right="1800" w:bottom="1440" w:left="1800" w:header="851" w:footer="992" w:gutter="0"/>
          <w:pgNumType w:start="1"/>
          <w:cols w:space="720" w:num="1"/>
          <w:docGrid w:type="lines" w:linePitch="312" w:charSpace="0"/>
        </w:sectPr>
      </w:pPr>
    </w:p>
    <w:p>
      <w:pPr>
        <w:keepLines w:val="0"/>
        <w:pageBreakBefore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rPr>
          <w:b/>
          <w:bCs/>
          <w:color w:val="auto"/>
          <w:sz w:val="32"/>
          <w:szCs w:val="32"/>
          <w:highlight w:val="none"/>
        </w:rPr>
      </w:pPr>
      <w:bookmarkStart w:id="4" w:name="_Toc14721"/>
      <w:bookmarkStart w:id="5" w:name="_Toc1891"/>
      <w:bookmarkStart w:id="6" w:name="_Toc15542"/>
      <w:bookmarkStart w:id="7" w:name="_Toc11827"/>
      <w:bookmarkStart w:id="8" w:name="_Toc18707"/>
      <w:bookmarkStart w:id="9" w:name="_Toc5473"/>
      <w:r>
        <w:rPr>
          <w:rFonts w:ascii="宋体" w:hAnsi="宋体" w:eastAsia="宋体"/>
          <w:b/>
          <w:bCs/>
          <w:color w:val="auto"/>
          <w:sz w:val="32"/>
          <w:szCs w:val="32"/>
          <w:highlight w:val="none"/>
        </w:rPr>
        <w:t>目</w:t>
      </w:r>
      <w:r>
        <w:rPr>
          <w:rFonts w:hint="eastAsia" w:ascii="宋体" w:hAnsi="宋体" w:eastAsia="宋体"/>
          <w:b/>
          <w:bCs/>
          <w:color w:val="auto"/>
          <w:sz w:val="32"/>
          <w:szCs w:val="32"/>
          <w:highlight w:val="none"/>
          <w:lang w:val="en-US" w:eastAsia="zh-CN"/>
        </w:rPr>
        <w:t xml:space="preserve">  </w:t>
      </w:r>
      <w:r>
        <w:rPr>
          <w:rFonts w:ascii="宋体" w:hAnsi="宋体" w:eastAsia="宋体"/>
          <w:b/>
          <w:bCs/>
          <w:color w:val="auto"/>
          <w:sz w:val="32"/>
          <w:szCs w:val="32"/>
          <w:highlight w:val="none"/>
        </w:rPr>
        <w:t>录</w:t>
      </w:r>
    </w:p>
    <w:p>
      <w:pPr>
        <w:pStyle w:val="32"/>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r>
        <w:rPr>
          <w:rFonts w:hint="default"/>
          <w:color w:val="auto"/>
          <w:sz w:val="32"/>
          <w:szCs w:val="32"/>
          <w:highlight w:val="none"/>
          <w:lang w:val="en-US" w:eastAsia="zh-CN"/>
        </w:rPr>
        <w:fldChar w:fldCharType="begin"/>
      </w:r>
      <w:r>
        <w:rPr>
          <w:rFonts w:hint="default"/>
          <w:color w:val="auto"/>
          <w:sz w:val="32"/>
          <w:szCs w:val="32"/>
          <w:highlight w:val="none"/>
          <w:lang w:val="en-US" w:eastAsia="zh-CN"/>
        </w:rPr>
        <w:instrText xml:space="preserve">TOC \o "1-2" \h \u</w:instrText>
      </w:r>
      <w:r>
        <w:rPr>
          <w:rFonts w:hint="default"/>
          <w:color w:val="auto"/>
          <w:sz w:val="32"/>
          <w:szCs w:val="32"/>
          <w:highlight w:val="none"/>
          <w:lang w:val="en-US" w:eastAsia="zh-CN"/>
        </w:rPr>
        <w:fldChar w:fldCharType="separate"/>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"_Toc21641" </w:instrText>
      </w:r>
      <w:r>
        <w:fldChar w:fldCharType="separate"/>
      </w:r>
      <w:r>
        <w:rPr>
          <w:rStyle w:val="17"/>
          <w:rFonts w:hint="default"/>
          <w:color w:val="auto"/>
          <w:highlight w:val="none"/>
          <w:lang w:val="en-US" w:eastAsia="zh-CN"/>
        </w:rPr>
        <w:t>一、基本情况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_Toc21641 \h </w:instrText>
      </w:r>
      <w:r>
        <w:rPr>
          <w:color w:val="auto"/>
          <w:sz w:val="32"/>
          <w:szCs w:val="32"/>
          <w:highlight w:val="none"/>
        </w:rPr>
        <w:fldChar w:fldCharType="separate"/>
      </w:r>
      <w:r>
        <w:rPr>
          <w:color w:val="auto"/>
          <w:sz w:val="32"/>
          <w:szCs w:val="32"/>
          <w:highlight w:val="none"/>
        </w:rPr>
        <w:t>1</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"_Toc31267" </w:instrText>
      </w:r>
      <w:r>
        <w:fldChar w:fldCharType="separate"/>
      </w:r>
      <w:r>
        <w:rPr>
          <w:rFonts w:hint="default" w:ascii="Times New Roman" w:hAnsi="Times New Roman" w:eastAsia="楷体" w:cs="Times New Roman"/>
          <w:color w:val="auto"/>
          <w:sz w:val="32"/>
          <w:szCs w:val="32"/>
          <w:highlight w:val="none"/>
        </w:rPr>
        <w:t>（一）项目概况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_Toc31267 \h </w:instrText>
      </w:r>
      <w:r>
        <w:rPr>
          <w:color w:val="auto"/>
          <w:sz w:val="32"/>
          <w:szCs w:val="32"/>
          <w:highlight w:val="none"/>
        </w:rPr>
        <w:fldChar w:fldCharType="separate"/>
      </w:r>
      <w:r>
        <w:rPr>
          <w:color w:val="auto"/>
          <w:sz w:val="32"/>
          <w:szCs w:val="32"/>
          <w:highlight w:val="none"/>
        </w:rPr>
        <w:t>1</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"_Toc10600" </w:instrText>
      </w:r>
      <w:r>
        <w:fldChar w:fldCharType="separate"/>
      </w:r>
      <w:r>
        <w:rPr>
          <w:rFonts w:hint="default" w:ascii="Times New Roman" w:hAnsi="Times New Roman" w:eastAsia="楷体" w:cs="Times New Roman"/>
          <w:color w:val="auto"/>
          <w:sz w:val="32"/>
          <w:szCs w:val="32"/>
          <w:highlight w:val="none"/>
        </w:rPr>
        <w:t>（二）项目绩效目标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_Toc10600 \h </w:instrText>
      </w:r>
      <w:r>
        <w:rPr>
          <w:color w:val="auto"/>
          <w:sz w:val="32"/>
          <w:szCs w:val="32"/>
          <w:highlight w:val="none"/>
        </w:rPr>
        <w:fldChar w:fldCharType="separate"/>
      </w:r>
      <w:r>
        <w:rPr>
          <w:color w:val="auto"/>
          <w:sz w:val="32"/>
          <w:szCs w:val="32"/>
          <w:highlight w:val="none"/>
        </w:rPr>
        <w:t>5</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"_Toc9610" </w:instrText>
      </w:r>
      <w:r>
        <w:fldChar w:fldCharType="separate"/>
      </w:r>
      <w:r>
        <w:rPr>
          <w:rFonts w:hint="default" w:ascii="Times New Roman" w:hAnsi="Times New Roman" w:eastAsia="黑体" w:cs="Times New Roman"/>
          <w:color w:val="auto"/>
          <w:sz w:val="32"/>
          <w:szCs w:val="32"/>
          <w:highlight w:val="none"/>
        </w:rPr>
        <w:t>二、绩效评价工作开展情况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_Toc9610 \h </w:instrText>
      </w:r>
      <w:r>
        <w:rPr>
          <w:color w:val="auto"/>
          <w:sz w:val="32"/>
          <w:szCs w:val="32"/>
          <w:highlight w:val="none"/>
        </w:rPr>
        <w:fldChar w:fldCharType="separate"/>
      </w:r>
      <w:r>
        <w:rPr>
          <w:color w:val="auto"/>
          <w:sz w:val="32"/>
          <w:szCs w:val="32"/>
          <w:highlight w:val="none"/>
        </w:rPr>
        <w:t>6</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"_Toc5312" </w:instrText>
      </w:r>
      <w:r>
        <w:fldChar w:fldCharType="separate"/>
      </w:r>
      <w:r>
        <w:rPr>
          <w:rFonts w:hint="default" w:ascii="Times New Roman" w:hAnsi="Times New Roman" w:eastAsia="楷体" w:cs="Times New Roman"/>
          <w:color w:val="auto"/>
          <w:sz w:val="32"/>
          <w:szCs w:val="32"/>
          <w:highlight w:val="none"/>
        </w:rPr>
        <w:t>（一）绩效评价目的、对象和范围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_Toc5312 \h </w:instrText>
      </w:r>
      <w:r>
        <w:rPr>
          <w:color w:val="auto"/>
          <w:sz w:val="32"/>
          <w:szCs w:val="32"/>
          <w:highlight w:val="none"/>
        </w:rPr>
        <w:fldChar w:fldCharType="separate"/>
      </w:r>
      <w:r>
        <w:rPr>
          <w:color w:val="auto"/>
          <w:sz w:val="32"/>
          <w:szCs w:val="32"/>
          <w:highlight w:val="none"/>
        </w:rPr>
        <w:t>6</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"_Toc22526" </w:instrText>
      </w:r>
      <w:r>
        <w:fldChar w:fldCharType="separate"/>
      </w:r>
      <w:r>
        <w:rPr>
          <w:rFonts w:hint="eastAsia" w:ascii="楷体" w:hAnsi="楷体" w:eastAsia="楷体" w:cs="楷体"/>
          <w:color w:val="auto"/>
          <w:sz w:val="32"/>
          <w:szCs w:val="32"/>
          <w:highlight w:val="none"/>
        </w:rPr>
        <w:t>（二）绩效评价原则、评价指标体系、评价方法、评价标准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_Toc22526 \h </w:instrText>
      </w:r>
      <w:r>
        <w:rPr>
          <w:color w:val="auto"/>
          <w:sz w:val="32"/>
          <w:szCs w:val="32"/>
          <w:highlight w:val="none"/>
        </w:rPr>
        <w:fldChar w:fldCharType="separate"/>
      </w:r>
      <w:r>
        <w:rPr>
          <w:color w:val="auto"/>
          <w:sz w:val="32"/>
          <w:szCs w:val="32"/>
          <w:highlight w:val="none"/>
        </w:rPr>
        <w:t>8</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"_Toc26775" </w:instrText>
      </w:r>
      <w:r>
        <w:fldChar w:fldCharType="separate"/>
      </w:r>
      <w:r>
        <w:rPr>
          <w:rFonts w:hint="eastAsia" w:ascii="楷体" w:hAnsi="楷体" w:eastAsia="楷体" w:cs="楷体"/>
          <w:color w:val="auto"/>
          <w:sz w:val="32"/>
          <w:szCs w:val="32"/>
          <w:highlight w:val="none"/>
        </w:rPr>
        <w:t>（三）绩效评价工作过程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_Toc26775 \h </w:instrText>
      </w:r>
      <w:r>
        <w:rPr>
          <w:color w:val="auto"/>
          <w:sz w:val="32"/>
          <w:szCs w:val="32"/>
          <w:highlight w:val="none"/>
        </w:rPr>
        <w:fldChar w:fldCharType="separate"/>
      </w:r>
      <w:r>
        <w:rPr>
          <w:color w:val="auto"/>
          <w:sz w:val="32"/>
          <w:szCs w:val="32"/>
          <w:highlight w:val="none"/>
        </w:rPr>
        <w:t>11</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"_Toc16639" </w:instrText>
      </w:r>
      <w:r>
        <w:fldChar w:fldCharType="separate"/>
      </w:r>
      <w:r>
        <w:rPr>
          <w:rFonts w:hint="eastAsia" w:ascii="黑体" w:hAnsi="黑体" w:eastAsia="黑体" w:cs="黑体"/>
          <w:color w:val="auto"/>
          <w:sz w:val="32"/>
          <w:szCs w:val="32"/>
          <w:highlight w:val="none"/>
        </w:rPr>
        <w:t>三、综合评价情况及评价结论</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_Toc16639 \h </w:instrText>
      </w:r>
      <w:r>
        <w:rPr>
          <w:color w:val="auto"/>
          <w:sz w:val="32"/>
          <w:szCs w:val="32"/>
          <w:highlight w:val="none"/>
        </w:rPr>
        <w:fldChar w:fldCharType="separate"/>
      </w:r>
      <w:r>
        <w:rPr>
          <w:color w:val="auto"/>
          <w:sz w:val="32"/>
          <w:szCs w:val="32"/>
          <w:highlight w:val="none"/>
        </w:rPr>
        <w:t>13</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"_Toc2973" </w:instrText>
      </w:r>
      <w:r>
        <w:fldChar w:fldCharType="separate"/>
      </w:r>
      <w:r>
        <w:rPr>
          <w:rFonts w:hint="eastAsia" w:ascii="黑体" w:hAnsi="黑体" w:eastAsia="黑体" w:cs="黑体"/>
          <w:color w:val="auto"/>
          <w:sz w:val="32"/>
          <w:szCs w:val="32"/>
          <w:highlight w:val="none"/>
        </w:rPr>
        <w:t>四、绩效评价指标分析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_Toc2973 \h </w:instrText>
      </w:r>
      <w:r>
        <w:rPr>
          <w:color w:val="auto"/>
          <w:sz w:val="32"/>
          <w:szCs w:val="32"/>
          <w:highlight w:val="none"/>
        </w:rPr>
        <w:fldChar w:fldCharType="separate"/>
      </w:r>
      <w:r>
        <w:rPr>
          <w:color w:val="auto"/>
          <w:sz w:val="32"/>
          <w:szCs w:val="32"/>
          <w:highlight w:val="none"/>
        </w:rPr>
        <w:t>14</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"_Toc7706" </w:instrText>
      </w:r>
      <w:r>
        <w:fldChar w:fldCharType="separate"/>
      </w:r>
      <w:r>
        <w:rPr>
          <w:rFonts w:hint="eastAsia" w:ascii="楷体" w:hAnsi="楷体" w:eastAsia="楷体" w:cs="楷体"/>
          <w:color w:val="auto"/>
          <w:sz w:val="32"/>
          <w:szCs w:val="32"/>
          <w:highlight w:val="none"/>
        </w:rPr>
        <w:t>（一）项目决策情况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_Toc7706 \h </w:instrText>
      </w:r>
      <w:r>
        <w:rPr>
          <w:color w:val="auto"/>
          <w:sz w:val="32"/>
          <w:szCs w:val="32"/>
          <w:highlight w:val="none"/>
        </w:rPr>
        <w:fldChar w:fldCharType="separate"/>
      </w:r>
      <w:r>
        <w:rPr>
          <w:color w:val="auto"/>
          <w:sz w:val="32"/>
          <w:szCs w:val="32"/>
          <w:highlight w:val="none"/>
        </w:rPr>
        <w:t>14</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"_Toc28165" </w:instrText>
      </w:r>
      <w:r>
        <w:fldChar w:fldCharType="separate"/>
      </w:r>
      <w:r>
        <w:rPr>
          <w:rFonts w:hint="eastAsia" w:ascii="黑体" w:hAnsi="黑体" w:eastAsia="黑体" w:cs="黑体"/>
          <w:color w:val="auto"/>
          <w:sz w:val="32"/>
          <w:szCs w:val="32"/>
          <w:highlight w:val="none"/>
        </w:rPr>
        <w:t>（</w:t>
      </w:r>
      <w:r>
        <w:rPr>
          <w:rFonts w:hint="eastAsia" w:ascii="楷体" w:hAnsi="楷体" w:eastAsia="楷体" w:cs="楷体"/>
          <w:color w:val="auto"/>
          <w:sz w:val="32"/>
          <w:szCs w:val="32"/>
          <w:highlight w:val="none"/>
        </w:rPr>
        <w:t>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_Toc28165 \h </w:instrText>
      </w:r>
      <w:r>
        <w:rPr>
          <w:color w:val="auto"/>
          <w:sz w:val="32"/>
          <w:szCs w:val="32"/>
          <w:highlight w:val="none"/>
        </w:rPr>
        <w:fldChar w:fldCharType="separate"/>
      </w:r>
      <w:r>
        <w:rPr>
          <w:color w:val="auto"/>
          <w:sz w:val="32"/>
          <w:szCs w:val="32"/>
          <w:highlight w:val="none"/>
        </w:rPr>
        <w:t>17</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"_Toc8652" </w:instrText>
      </w:r>
      <w:r>
        <w:fldChar w:fldCharType="separate"/>
      </w:r>
      <w:r>
        <w:rPr>
          <w:rFonts w:hint="eastAsia" w:ascii="楷体" w:hAnsi="楷体" w:eastAsia="楷体" w:cs="楷体"/>
          <w:color w:val="auto"/>
          <w:sz w:val="32"/>
          <w:szCs w:val="32"/>
          <w:highlight w:val="none"/>
        </w:rPr>
        <w:t>（三）项目产出情况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_Toc8652 \h </w:instrText>
      </w:r>
      <w:r>
        <w:rPr>
          <w:color w:val="auto"/>
          <w:sz w:val="32"/>
          <w:szCs w:val="32"/>
          <w:highlight w:val="none"/>
        </w:rPr>
        <w:fldChar w:fldCharType="separate"/>
      </w:r>
      <w:r>
        <w:rPr>
          <w:color w:val="auto"/>
          <w:sz w:val="32"/>
          <w:szCs w:val="32"/>
          <w:highlight w:val="none"/>
        </w:rPr>
        <w:t>18</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"_Toc11983" </w:instrText>
      </w:r>
      <w:r>
        <w:fldChar w:fldCharType="separate"/>
      </w:r>
      <w:r>
        <w:rPr>
          <w:rFonts w:hint="eastAsia" w:ascii="楷体" w:hAnsi="楷体" w:eastAsia="楷体" w:cs="楷体"/>
          <w:color w:val="auto"/>
          <w:sz w:val="32"/>
          <w:szCs w:val="32"/>
          <w:highlight w:val="none"/>
        </w:rPr>
        <w:t>（四）项目效益情况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_Toc11983 \h </w:instrText>
      </w:r>
      <w:r>
        <w:rPr>
          <w:color w:val="auto"/>
          <w:sz w:val="32"/>
          <w:szCs w:val="32"/>
          <w:highlight w:val="none"/>
        </w:rPr>
        <w:fldChar w:fldCharType="separate"/>
      </w:r>
      <w:r>
        <w:rPr>
          <w:color w:val="auto"/>
          <w:sz w:val="32"/>
          <w:szCs w:val="32"/>
          <w:highlight w:val="none"/>
        </w:rPr>
        <w:t>19</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"_Toc5616" </w:instrText>
      </w:r>
      <w:r>
        <w:fldChar w:fldCharType="separate"/>
      </w:r>
      <w:r>
        <w:rPr>
          <w:rFonts w:hint="eastAsia" w:ascii="黑体" w:hAnsi="黑体" w:eastAsia="黑体" w:cs="黑体"/>
          <w:color w:val="auto"/>
          <w:sz w:val="32"/>
          <w:szCs w:val="32"/>
          <w:highlight w:val="none"/>
        </w:rPr>
        <w:t>五、主要经验及做法、存在的问题及原因分析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_Toc5616 \h </w:instrText>
      </w:r>
      <w:r>
        <w:rPr>
          <w:color w:val="auto"/>
          <w:sz w:val="32"/>
          <w:szCs w:val="32"/>
          <w:highlight w:val="none"/>
        </w:rPr>
        <w:fldChar w:fldCharType="separate"/>
      </w:r>
      <w:r>
        <w:rPr>
          <w:color w:val="auto"/>
          <w:sz w:val="32"/>
          <w:szCs w:val="32"/>
          <w:highlight w:val="none"/>
        </w:rPr>
        <w:t>20</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"_Toc24709" </w:instrText>
      </w:r>
      <w:r>
        <w:fldChar w:fldCharType="separate"/>
      </w:r>
      <w:r>
        <w:rPr>
          <w:rFonts w:hint="eastAsia" w:ascii="楷体" w:hAnsi="楷体" w:eastAsia="楷体" w:cs="楷体"/>
          <w:color w:val="auto"/>
          <w:sz w:val="32"/>
          <w:szCs w:val="32"/>
          <w:highlight w:val="none"/>
        </w:rPr>
        <w:t>（一）主要经验及做法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_Toc24709 \h </w:instrText>
      </w:r>
      <w:r>
        <w:rPr>
          <w:color w:val="auto"/>
          <w:sz w:val="32"/>
          <w:szCs w:val="32"/>
          <w:highlight w:val="none"/>
        </w:rPr>
        <w:fldChar w:fldCharType="separate"/>
      </w:r>
      <w:r>
        <w:rPr>
          <w:color w:val="auto"/>
          <w:sz w:val="32"/>
          <w:szCs w:val="32"/>
          <w:highlight w:val="none"/>
        </w:rPr>
        <w:t>20</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"_Toc16779" </w:instrText>
      </w:r>
      <w:r>
        <w:fldChar w:fldCharType="separate"/>
      </w:r>
      <w:r>
        <w:rPr>
          <w:rFonts w:hint="eastAsia" w:ascii="楷体" w:hAnsi="楷体" w:eastAsia="楷体" w:cs="楷体"/>
          <w:color w:val="auto"/>
          <w:sz w:val="32"/>
          <w:szCs w:val="32"/>
          <w:highlight w:val="none"/>
        </w:rPr>
        <w:t>（二）存在的问题及分析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_Toc16779 \h </w:instrText>
      </w:r>
      <w:r>
        <w:rPr>
          <w:color w:val="auto"/>
          <w:sz w:val="32"/>
          <w:szCs w:val="32"/>
          <w:highlight w:val="none"/>
        </w:rPr>
        <w:fldChar w:fldCharType="separate"/>
      </w:r>
      <w:r>
        <w:rPr>
          <w:color w:val="auto"/>
          <w:sz w:val="32"/>
          <w:szCs w:val="32"/>
          <w:highlight w:val="none"/>
        </w:rPr>
        <w:t>21</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"_Toc23062" </w:instrText>
      </w:r>
      <w:r>
        <w:fldChar w:fldCharType="separate"/>
      </w:r>
      <w:r>
        <w:rPr>
          <w:rFonts w:hint="eastAsia" w:ascii="黑体" w:hAnsi="黑体" w:eastAsia="黑体" w:cs="黑体"/>
          <w:color w:val="auto"/>
          <w:sz w:val="32"/>
          <w:szCs w:val="32"/>
          <w:highlight w:val="none"/>
        </w:rPr>
        <w:t>六、有关建议</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_Toc23062 \h </w:instrText>
      </w:r>
      <w:r>
        <w:rPr>
          <w:color w:val="auto"/>
          <w:sz w:val="32"/>
          <w:szCs w:val="32"/>
          <w:highlight w:val="none"/>
        </w:rPr>
        <w:fldChar w:fldCharType="separate"/>
      </w:r>
      <w:r>
        <w:rPr>
          <w:color w:val="auto"/>
          <w:sz w:val="32"/>
          <w:szCs w:val="32"/>
          <w:highlight w:val="none"/>
        </w:rPr>
        <w:t>21</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"_Toc9170" </w:instrText>
      </w:r>
      <w:r>
        <w:fldChar w:fldCharType="separate"/>
      </w:r>
      <w:r>
        <w:rPr>
          <w:rFonts w:hint="default" w:ascii="黑体" w:hAnsi="黑体" w:eastAsia="黑体" w:cs="黑体"/>
          <w:bCs/>
          <w:iCs/>
          <w:color w:val="auto"/>
          <w:sz w:val="32"/>
          <w:szCs w:val="32"/>
          <w:highlight w:val="none"/>
        </w:rPr>
        <w:t>七、其他需要说明的问题</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_Toc9170 \h </w:instrText>
      </w:r>
      <w:r>
        <w:rPr>
          <w:color w:val="auto"/>
          <w:sz w:val="32"/>
          <w:szCs w:val="32"/>
          <w:highlight w:val="none"/>
        </w:rPr>
        <w:fldChar w:fldCharType="separate"/>
      </w:r>
      <w:r>
        <w:rPr>
          <w:color w:val="auto"/>
          <w:sz w:val="32"/>
          <w:szCs w:val="32"/>
          <w:highlight w:val="none"/>
        </w:rPr>
        <w:t>22</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auto"/>
          <w:sz w:val="32"/>
          <w:szCs w:val="32"/>
          <w:highlight w:val="none"/>
        </w:rPr>
      </w:pPr>
      <w:r>
        <w:fldChar w:fldCharType="begin"/>
      </w:r>
      <w:r>
        <w:instrText xml:space="preserve"> HYPERLINK \l "_Toc31222" </w:instrText>
      </w:r>
      <w:r>
        <w:fldChar w:fldCharType="separate"/>
      </w:r>
      <w:r>
        <w:rPr>
          <w:rFonts w:hint="default" w:ascii="黑体" w:hAnsi="黑体" w:eastAsia="黑体" w:cs="黑体"/>
          <w:bCs/>
          <w:iCs/>
          <w:color w:val="auto"/>
          <w:sz w:val="32"/>
          <w:szCs w:val="32"/>
          <w:highlight w:val="none"/>
        </w:rPr>
        <w:t>八、附件</w:t>
      </w:r>
      <w:r>
        <w:rPr>
          <w:rFonts w:hint="default" w:ascii="Times New Roman" w:hAnsi="Times New Roman" w:eastAsia="仿宋_GB2312" w:cs="Times New Roman"/>
          <w:color w:val="auto"/>
          <w:sz w:val="32"/>
          <w:szCs w:val="32"/>
          <w:highlight w:val="none"/>
        </w:rPr>
        <w:t>项目支出绩效自评表</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_Toc31222 \h </w:instrText>
      </w:r>
      <w:r>
        <w:rPr>
          <w:color w:val="auto"/>
          <w:sz w:val="32"/>
          <w:szCs w:val="32"/>
          <w:highlight w:val="none"/>
        </w:rPr>
        <w:fldChar w:fldCharType="separate"/>
      </w:r>
      <w:r>
        <w:rPr>
          <w:color w:val="auto"/>
          <w:sz w:val="32"/>
          <w:szCs w:val="32"/>
          <w:highlight w:val="none"/>
        </w:rPr>
        <w:t>22</w:t>
      </w:r>
      <w:r>
        <w:rPr>
          <w:color w:val="auto"/>
          <w:sz w:val="32"/>
          <w:szCs w:val="32"/>
          <w:highlight w:val="none"/>
        </w:rPr>
        <w:fldChar w:fldCharType="end"/>
      </w:r>
      <w:r>
        <w:rPr>
          <w:color w:val="auto"/>
          <w:sz w:val="32"/>
          <w:szCs w:val="32"/>
          <w:highlight w:val="none"/>
        </w:rPr>
        <w:fldChar w:fldCharType="end"/>
      </w:r>
    </w:p>
    <w:p>
      <w:pPr>
        <w:pStyle w:val="33"/>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r>
        <w:fldChar w:fldCharType="begin"/>
      </w:r>
      <w:r>
        <w:instrText xml:space="preserve"> HYPERLINK \l "_Toc21805" </w:instrText>
      </w:r>
      <w:r>
        <w:fldChar w:fldCharType="separate"/>
      </w:r>
      <w:r>
        <w:rPr>
          <w:rFonts w:hint="default" w:ascii="Times New Roman" w:hAnsi="Times New Roman" w:eastAsia="仿宋_GB2312" w:cs="Times New Roman"/>
          <w:bCs/>
          <w:iCs/>
          <w:color w:val="auto"/>
          <w:sz w:val="32"/>
          <w:szCs w:val="32"/>
          <w:highlight w:val="none"/>
        </w:rPr>
        <w:t>附件1：</w:t>
      </w:r>
      <w:r>
        <w:rPr>
          <w:rFonts w:hint="default" w:ascii="Times New Roman" w:hAnsi="Times New Roman" w:eastAsia="仿宋_GB2312" w:cs="Times New Roman"/>
          <w:color w:val="auto"/>
          <w:sz w:val="32"/>
          <w:szCs w:val="32"/>
          <w:highlight w:val="none"/>
        </w:rPr>
        <w:t>项目支出绩效自评表</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_Toc21805 \h </w:instrText>
      </w:r>
      <w:r>
        <w:rPr>
          <w:color w:val="auto"/>
          <w:sz w:val="32"/>
          <w:szCs w:val="32"/>
          <w:highlight w:val="none"/>
        </w:rPr>
        <w:fldChar w:fldCharType="separate"/>
      </w:r>
      <w:r>
        <w:rPr>
          <w:color w:val="auto"/>
          <w:sz w:val="32"/>
          <w:szCs w:val="32"/>
          <w:highlight w:val="none"/>
        </w:rPr>
        <w:t>23</w:t>
      </w:r>
      <w:r>
        <w:rPr>
          <w:color w:val="auto"/>
          <w:sz w:val="32"/>
          <w:szCs w:val="32"/>
          <w:highlight w:val="none"/>
        </w:rPr>
        <w:fldChar w:fldCharType="end"/>
      </w:r>
      <w:r>
        <w:rPr>
          <w:color w:val="auto"/>
          <w:sz w:val="32"/>
          <w:szCs w:val="32"/>
          <w:highlight w:val="none"/>
        </w:rPr>
        <w:fldChar w:fldCharType="end"/>
      </w:r>
    </w:p>
    <w:p>
      <w:pPr>
        <w:pStyle w:val="32"/>
        <w:keepLines w:val="0"/>
        <w:pageBreakBefore w:val="0"/>
        <w:tabs>
          <w:tab w:val="right" w:leader="dot" w:pos="8306"/>
        </w:tabs>
        <w:kinsoku/>
        <w:wordWrap/>
        <w:overflowPunct/>
        <w:topLinePunct w:val="0"/>
        <w:autoSpaceDE/>
        <w:autoSpaceDN/>
        <w:bidi w:val="0"/>
        <w:adjustRightInd/>
        <w:snapToGrid/>
        <w:spacing w:line="580" w:lineRule="exact"/>
        <w:ind w:firstLine="400" w:firstLineChars="200"/>
        <w:textAlignment w:val="auto"/>
        <w:rPr>
          <w:rFonts w:hint="default" w:ascii="Times New Roman" w:hAnsi="Times New Roman" w:eastAsia="仿宋_GB2312" w:cs="Times New Roman"/>
          <w:bCs/>
          <w:iCs/>
          <w:color w:val="auto"/>
          <w:sz w:val="32"/>
          <w:szCs w:val="32"/>
          <w:highlight w:val="none"/>
        </w:rPr>
      </w:pPr>
      <w:r>
        <w:fldChar w:fldCharType="begin"/>
      </w:r>
      <w:r>
        <w:instrText xml:space="preserve"> HYPERLINK \l "_Toc28010" </w:instrText>
      </w:r>
      <w:r>
        <w:fldChar w:fldCharType="separate"/>
      </w:r>
      <w:r>
        <w:rPr>
          <w:rFonts w:hint="default" w:ascii="Times New Roman" w:hAnsi="Times New Roman" w:eastAsia="仿宋_GB2312" w:cs="Times New Roman"/>
          <w:bCs/>
          <w:iCs/>
          <w:color w:val="auto"/>
          <w:sz w:val="32"/>
          <w:szCs w:val="32"/>
          <w:highlight w:val="none"/>
          <w:lang w:val="en-US" w:eastAsia="zh-CN"/>
        </w:rPr>
        <w:t>附件2：项目支出绩效评价指标体系及评分</w:t>
      </w:r>
      <w:r>
        <w:rPr>
          <w:rFonts w:hint="default" w:ascii="Times New Roman" w:hAnsi="Times New Roman" w:eastAsia="仿宋_GB2312" w:cs="Times New Roman"/>
          <w:bCs/>
          <w:iCs/>
          <w:color w:val="auto"/>
          <w:sz w:val="32"/>
          <w:szCs w:val="32"/>
          <w:highlight w:val="none"/>
        </w:rPr>
        <w:tab/>
      </w:r>
      <w:r>
        <w:rPr>
          <w:rFonts w:hint="default" w:ascii="Times New Roman" w:hAnsi="Times New Roman" w:eastAsia="仿宋_GB2312" w:cs="Times New Roman"/>
          <w:bCs/>
          <w:iCs/>
          <w:color w:val="auto"/>
          <w:sz w:val="32"/>
          <w:szCs w:val="32"/>
          <w:highlight w:val="none"/>
        </w:rPr>
        <w:fldChar w:fldCharType="begin"/>
      </w:r>
      <w:r>
        <w:rPr>
          <w:rFonts w:hint="default" w:ascii="Times New Roman" w:hAnsi="Times New Roman" w:eastAsia="仿宋_GB2312" w:cs="Times New Roman"/>
          <w:bCs/>
          <w:iCs/>
          <w:color w:val="auto"/>
          <w:sz w:val="32"/>
          <w:szCs w:val="32"/>
          <w:highlight w:val="none"/>
        </w:rPr>
        <w:instrText xml:space="preserve"> PAGEREF _Toc28010 \h </w:instrText>
      </w:r>
      <w:r>
        <w:rPr>
          <w:rFonts w:hint="default" w:ascii="Times New Roman" w:hAnsi="Times New Roman" w:eastAsia="仿宋_GB2312" w:cs="Times New Roman"/>
          <w:bCs/>
          <w:iCs/>
          <w:color w:val="auto"/>
          <w:sz w:val="32"/>
          <w:szCs w:val="32"/>
          <w:highlight w:val="none"/>
        </w:rPr>
        <w:fldChar w:fldCharType="separate"/>
      </w:r>
      <w:r>
        <w:rPr>
          <w:rFonts w:hint="default" w:ascii="Times New Roman" w:hAnsi="Times New Roman" w:eastAsia="仿宋_GB2312" w:cs="Times New Roman"/>
          <w:bCs/>
          <w:iCs/>
          <w:color w:val="auto"/>
          <w:sz w:val="32"/>
          <w:szCs w:val="32"/>
          <w:highlight w:val="none"/>
        </w:rPr>
        <w:t>25</w:t>
      </w:r>
      <w:r>
        <w:rPr>
          <w:rFonts w:hint="default" w:ascii="Times New Roman" w:hAnsi="Times New Roman" w:eastAsia="仿宋_GB2312" w:cs="Times New Roman"/>
          <w:bCs/>
          <w:iCs/>
          <w:color w:val="auto"/>
          <w:sz w:val="32"/>
          <w:szCs w:val="32"/>
          <w:highlight w:val="none"/>
        </w:rPr>
        <w:fldChar w:fldCharType="end"/>
      </w:r>
      <w:r>
        <w:rPr>
          <w:rFonts w:hint="default" w:ascii="Times New Roman" w:hAnsi="Times New Roman" w:eastAsia="仿宋_GB2312" w:cs="Times New Roman"/>
          <w:bCs/>
          <w:iCs/>
          <w:color w:val="auto"/>
          <w:sz w:val="32"/>
          <w:szCs w:val="32"/>
          <w:highlight w:val="none"/>
        </w:rPr>
        <w:fldChar w:fldCharType="end"/>
      </w:r>
    </w:p>
    <w:p>
      <w:pPr>
        <w:pStyle w:val="32"/>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bCs/>
          <w:iCs/>
          <w:color w:val="auto"/>
          <w:sz w:val="32"/>
          <w:szCs w:val="32"/>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pPr>
        <w:pStyle w:val="32"/>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bCs/>
          <w:i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outlineLvl w:val="0"/>
        <w:rPr>
          <w:rStyle w:val="17"/>
          <w:rFonts w:hint="default"/>
          <w:color w:val="auto"/>
          <w:highlight w:val="none"/>
          <w:lang w:val="en-US" w:eastAsia="zh-CN"/>
        </w:rPr>
      </w:pPr>
      <w:r>
        <w:rPr>
          <w:rFonts w:hint="default"/>
          <w:b/>
          <w:color w:val="auto"/>
          <w:sz w:val="32"/>
          <w:szCs w:val="32"/>
          <w:highlight w:val="none"/>
          <w:lang w:val="en-US" w:eastAsia="zh-CN"/>
        </w:rPr>
        <w:fldChar w:fldCharType="end"/>
      </w:r>
      <w:bookmarkStart w:id="10" w:name="_Toc21641"/>
      <w:bookmarkStart w:id="11" w:name="_Toc20380"/>
      <w:r>
        <w:rPr>
          <w:rFonts w:hint="eastAsia"/>
          <w:b/>
          <w:color w:val="auto"/>
          <w:sz w:val="32"/>
          <w:szCs w:val="32"/>
          <w:highlight w:val="none"/>
          <w:lang w:val="en-US" w:eastAsia="zh-CN"/>
        </w:rPr>
        <w:t xml:space="preserve">   </w:t>
      </w:r>
      <w:r>
        <w:rPr>
          <w:rStyle w:val="17"/>
          <w:rFonts w:hint="default"/>
          <w:color w:val="auto"/>
          <w:highlight w:val="none"/>
          <w:lang w:val="en-US" w:eastAsia="zh-CN"/>
        </w:rPr>
        <w:t>一、基本情况</w:t>
      </w:r>
      <w:bookmarkEnd w:id="4"/>
      <w:bookmarkEnd w:id="5"/>
      <w:bookmarkEnd w:id="6"/>
      <w:bookmarkEnd w:id="7"/>
      <w:bookmarkEnd w:id="8"/>
      <w:bookmarkEnd w:id="9"/>
      <w:bookmarkEnd w:id="10"/>
      <w:bookmarkEnd w:id="11"/>
      <w:bookmarkStart w:id="12" w:name="_Toc27593"/>
    </w:p>
    <w:p>
      <w:pPr>
        <w:pStyle w:val="4"/>
        <w:bidi w:val="0"/>
        <w:jc w:val="both"/>
        <w:outlineLvl w:val="1"/>
        <w:rPr>
          <w:rFonts w:hint="default" w:ascii="Times New Roman" w:hAnsi="Times New Roman" w:eastAsia="楷体" w:cs="Times New Roman"/>
          <w:color w:val="auto"/>
          <w:highlight w:val="none"/>
        </w:rPr>
      </w:pPr>
      <w:bookmarkStart w:id="13" w:name="_Toc24048"/>
      <w:bookmarkStart w:id="14" w:name="_Toc31267"/>
      <w:bookmarkStart w:id="15" w:name="_Toc9236"/>
      <w:bookmarkStart w:id="16" w:name="_Toc26183"/>
      <w:bookmarkStart w:id="17" w:name="_Toc4187"/>
      <w:bookmarkStart w:id="18" w:name="_Toc24706"/>
      <w:r>
        <w:rPr>
          <w:rFonts w:hint="default" w:ascii="Times New Roman" w:hAnsi="Times New Roman" w:eastAsia="楷体" w:cs="Times New Roman"/>
          <w:color w:val="auto"/>
          <w:highlight w:val="none"/>
        </w:rPr>
        <w:t>（一）项目概况</w:t>
      </w:r>
      <w:bookmarkEnd w:id="12"/>
      <w:bookmarkEnd w:id="13"/>
      <w:bookmarkEnd w:id="14"/>
      <w:bookmarkEnd w:id="15"/>
      <w:bookmarkEnd w:id="16"/>
      <w:bookmarkEnd w:id="17"/>
      <w:bookmarkEnd w:id="18"/>
    </w:p>
    <w:p>
      <w:pPr>
        <w:bidi w:val="0"/>
        <w:jc w:val="both"/>
        <w:rPr>
          <w:rFonts w:hint="default" w:ascii="Times New Roman" w:hAnsi="Times New Roman" w:eastAsia="仿宋_GB2312" w:cs="Times New Roman"/>
          <w:b/>
          <w:bCs/>
          <w:color w:val="auto"/>
          <w:highlight w:val="none"/>
        </w:rPr>
      </w:pPr>
      <w:bookmarkStart w:id="19" w:name="_Toc11427"/>
      <w:bookmarkStart w:id="20" w:name="_Toc19984"/>
      <w:r>
        <w:rPr>
          <w:rFonts w:hint="default" w:ascii="Times New Roman" w:hAnsi="Times New Roman" w:eastAsia="仿宋_GB2312" w:cs="Times New Roman"/>
          <w:b/>
          <w:bCs/>
          <w:color w:val="auto"/>
          <w:highlight w:val="none"/>
        </w:rPr>
        <w:t>1.项目背景</w:t>
      </w:r>
      <w:bookmarkEnd w:id="19"/>
      <w:bookmarkEnd w:id="20"/>
    </w:p>
    <w:p>
      <w:pPr>
        <w:bidi w:val="0"/>
        <w:jc w:val="both"/>
        <w:rPr>
          <w:rFonts w:hint="default" w:ascii="Times New Roman" w:hAnsi="Times New Roman" w:cs="Times New Roman"/>
          <w:color w:val="auto"/>
          <w:highlight w:val="none"/>
          <w:lang w:val="en-US" w:eastAsia="zh-CN"/>
        </w:rPr>
      </w:pPr>
      <w:bookmarkStart w:id="21" w:name="_Toc22216"/>
      <w:bookmarkStart w:id="22" w:name="_Toc22079"/>
      <w:r>
        <w:rPr>
          <w:rFonts w:hint="default" w:ascii="Times New Roman" w:hAnsi="Times New Roman" w:cs="Times New Roman"/>
          <w:color w:val="auto"/>
          <w:highlight w:val="none"/>
          <w:lang w:val="en-US" w:eastAsia="zh-CN"/>
        </w:rPr>
        <w:t>近年来，内地来尉犁县投资的客商络绎不绝，尉犁县也同全疆一样迎来了大开发、大建设、大发展历史性机遇。随着产业结构调整和升级步伐的加快，内地有很多产业已经向中西部地区转移，为尉犁县工业园招招商引资、承接产业转移提供良好机遇。尉犁县土地、矿产、农产品资源丰富，为实施优势资源转换战略、加快工业发展提供了机遇。</w:t>
      </w:r>
    </w:p>
    <w:p>
      <w:pPr>
        <w:bidi w:val="0"/>
        <w:jc w:val="both"/>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随着县城城镇化进程逐渐加快，环境总体上有所好转，市政污废水污染也得到一定控制。但是现状尉犁县污水处理设施简陋，处理能力和功能有限，出水水质仅达到国家污水厂污染物综合排放标准的二级标准，污水处理后的水质已经不符合国家环保部门的要求</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对城镇污水排放标准的要求已提高到一级A标准</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，污水处理不到位污染周边环境，这种境况严重威胁着县城人民的健康和生活品质。若污水排放不达标的情况得不到有效解决，将会制约县城的综合发展及招商引资的条件。</w:t>
      </w:r>
    </w:p>
    <w:p>
      <w:pPr>
        <w:bidi w:val="0"/>
        <w:jc w:val="both"/>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 xml:space="preserve">基于上述考虑，为了满足城镇经济可持续发展和创造环境优美干净整洁的市容条件，县城急需新建一座安全可靠、工艺先进的二级污水处理厂，以解决县城污水污染的现状困境。《关于尉犁县城镇污水处理厂 </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二期</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 xml:space="preserve"> 工程 PPP 项目立项的批复》（尉发改〔2017〕87 号）文件的出台，为尉犁县城镇污水处理厂 </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二期</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 xml:space="preserve"> 工程 PPP 项目的顺利开展奠定了坚实基础。</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2.项目主要内容</w:t>
      </w:r>
      <w:bookmarkEnd w:id="21"/>
      <w:bookmarkEnd w:id="22"/>
    </w:p>
    <w:p>
      <w:pPr>
        <w:bidi w:val="0"/>
        <w:jc w:val="both"/>
        <w:rPr>
          <w:rFonts w:hint="default" w:ascii="Times New Roman" w:hAnsi="Times New Roman" w:cs="Times New Roman"/>
          <w:color w:val="auto"/>
          <w:highlight w:val="none"/>
          <w:lang w:val="en-US" w:eastAsia="zh-CN"/>
        </w:rPr>
      </w:pPr>
      <w:bookmarkStart w:id="23" w:name="_Toc21529"/>
      <w:bookmarkStart w:id="24" w:name="_Toc31519"/>
      <w:r>
        <w:rPr>
          <w:rFonts w:hint="eastAsia" w:ascii="Times New Roman" w:hAnsi="Times New Roman" w:cs="Times New Roman"/>
          <w:color w:val="auto"/>
          <w:highlight w:val="none"/>
          <w:lang w:val="en-US" w:eastAsia="zh-CN"/>
        </w:rPr>
        <w:t>项目内容</w:t>
      </w:r>
      <w:r>
        <w:rPr>
          <w:rFonts w:hint="default" w:ascii="Times New Roman" w:hAnsi="Times New Roman" w:cs="Times New Roman"/>
          <w:color w:val="auto"/>
          <w:highlight w:val="none"/>
          <w:lang w:val="en-US" w:eastAsia="zh-CN"/>
        </w:rPr>
        <w:t>聚焦污水净化的全流程处理，将城镇生活污水转化为达标排放或可回用的水资源，核心围绕污水深度净化及相关配套处理工作。采用成熟且高效的污水处理工艺，</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预处理</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生物处理</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深度处理</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组合工艺。预处理阶段污水首先进入预处理阶段。粗格栅拦截树枝、塑料瓶等大尺寸杂物，防止其堵塞后续管道与设备；细格栅进一步去除毫米级固体颗粒，保障处理流程顺畅。随后污水流入沉砂池，利用重力沉降原理，使砂粒、碎玻璃等无机杂质沉淀分离，避免其磨损设备，降低后续处理负荷。此阶段能去除污水中大部分可见固体物，为后续深度处理奠定基础。生物处理环节借助微生物强大的分解能力净化污水。活性污泥法中，曝气池内富含好氧微生物的活性污泥与污水充分混合，微生物以污水中的有机物、氮、磷等，通过新陈代谢将其分解转化。同步实现有机物降解、脱氮除磷，使污水中化学需氧量（COD）、氨氮、总磷等污染物指标大幅降低</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经生物处理后，污水进入深度处理阶段。通过截留微小颗粒、细菌、病毒及部分溶解性有机物，进一步提升水质纯度</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确保出水水质稳定达到《城镇污水处理厂污染物排放标准》一级 A 标准。</w:t>
      </w:r>
      <w:r>
        <w:rPr>
          <w:rFonts w:hint="eastAsia" w:ascii="Times New Roman" w:hAnsi="Times New Roman" w:cs="Times New Roman"/>
          <w:color w:val="auto"/>
          <w:highlight w:val="none"/>
          <w:lang w:val="en-US" w:eastAsia="zh-CN"/>
        </w:rPr>
        <w:t>通过</w:t>
      </w:r>
      <w:r>
        <w:rPr>
          <w:rFonts w:hint="default" w:ascii="Times New Roman" w:hAnsi="Times New Roman" w:cs="Times New Roman"/>
          <w:color w:val="auto"/>
          <w:highlight w:val="none"/>
          <w:lang w:val="en-US" w:eastAsia="zh-CN"/>
        </w:rPr>
        <w:t>将达标处理后的中水，通过专门管网输送至城市绿化灌溉区域，用于浇灌花草树木，既能满足绿植生长用水需求，又有效节约大量新鲜水资源，缓解城市供水压力，助力构建节水型城市，实现水资源的循环可持续利用，让每一滴水都发挥最大价值，为城镇生态环境改善与可持续发展提供坚实保障。</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3.项目实施情况</w:t>
      </w:r>
      <w:bookmarkEnd w:id="23"/>
      <w:bookmarkEnd w:id="24"/>
      <w:bookmarkStart w:id="25" w:name="_Toc20138"/>
    </w:p>
    <w:p>
      <w:pPr>
        <w:bidi w:val="0"/>
        <w:jc w:val="both"/>
        <w:rPr>
          <w:rFonts w:hint="default" w:ascii="Times New Roman" w:hAnsi="Times New Roman" w:cs="Times New Roman"/>
          <w:color w:val="auto"/>
          <w:highlight w:val="none"/>
          <w:lang w:val="en-US" w:eastAsia="zh-CN"/>
        </w:rPr>
      </w:pPr>
      <w:bookmarkStart w:id="26" w:name="_Toc1111"/>
      <w:r>
        <w:rPr>
          <w:rFonts w:hint="default" w:ascii="Times New Roman" w:hAnsi="Times New Roman" w:cs="Times New Roman"/>
          <w:color w:val="auto"/>
          <w:highlight w:val="none"/>
          <w:lang w:val="en-US" w:eastAsia="zh-CN"/>
        </w:rPr>
        <w:t>尉犁县城镇污水处理厂（二期）工程PPP项目自投入运营以来，运行情况稳定良好。全年每月稳定运行，污水处理量持续保持在较高水平。该项目采用先进的AAO生物池</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二沉池</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强化沉淀池工艺，对污水进行集中处理。</w:t>
      </w:r>
    </w:p>
    <w:p>
      <w:pPr>
        <w:bidi w:val="0"/>
        <w:jc w:val="both"/>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在日常运营中，格按照相关标准和规范进行操作管理，确保污水处理设施高效运行。通过自动化监测设备，实时掌握进水水质、水量以及处理过程中各环节的关键数据，如水质的酸碱度、化学需氧量、氨氮含量等指标，一旦数据出现异常波动，能迅速采取相应措施进行调整。同时，定期对设备进行维护保养和检修，及时更换磨损部件，保障设备的正常运转，减少因设备故障导致的运行中断风险。</w:t>
      </w:r>
    </w:p>
    <w:p>
      <w:pPr>
        <w:bidi w:val="0"/>
        <w:jc w:val="both"/>
        <w:rPr>
          <w:rFonts w:hint="default" w:ascii="Times New Roman" w:hAnsi="Times New Roman" w:eastAsia="仿宋_GB2312" w:cs="Times New Roman"/>
          <w:b/>
          <w:bCs/>
          <w:color w:val="auto"/>
          <w:highlight w:val="none"/>
        </w:rPr>
      </w:pPr>
      <w:r>
        <w:rPr>
          <w:rFonts w:hint="eastAsia" w:ascii="Times New Roman" w:hAnsi="Times New Roman" w:cs="Times New Roman"/>
          <w:color w:val="auto"/>
          <w:highlight w:val="none"/>
          <w:lang w:val="en-US" w:eastAsia="zh-CN"/>
        </w:rPr>
        <w:t>目前</w:t>
      </w:r>
      <w:r>
        <w:rPr>
          <w:rFonts w:hint="default" w:ascii="Times New Roman" w:hAnsi="Times New Roman" w:cs="Times New Roman"/>
          <w:color w:val="auto"/>
          <w:highlight w:val="none"/>
          <w:lang w:val="en-US" w:eastAsia="zh-CN"/>
        </w:rPr>
        <w:t>该污水处理厂年日均进水量约为</w:t>
      </w:r>
      <w:r>
        <w:rPr>
          <w:rFonts w:hint="eastAsia" w:ascii="Times New Roman" w:hAnsi="Times New Roman" w:cs="Times New Roman"/>
          <w:color w:val="auto"/>
          <w:highlight w:val="none"/>
          <w:lang w:val="en-US" w:eastAsia="zh-CN"/>
        </w:rPr>
        <w:t>4200</w:t>
      </w:r>
      <w:r>
        <w:rPr>
          <w:rFonts w:hint="default" w:ascii="Times New Roman" w:hAnsi="Times New Roman" w:cs="Times New Roman"/>
          <w:color w:val="auto"/>
          <w:highlight w:val="none"/>
          <w:lang w:val="en-US" w:eastAsia="zh-CN"/>
        </w:rPr>
        <w:t>方，污水集中处理设施运行期各项指标均稳定达到了一级</w:t>
      </w:r>
      <w:r>
        <w:rPr>
          <w:rFonts w:hint="eastAsia" w:ascii="Times New Roman" w:hAnsi="Times New Roman" w:cs="Times New Roman"/>
          <w:color w:val="auto"/>
          <w:highlight w:val="none"/>
          <w:lang w:val="en-US" w:eastAsia="zh-CN"/>
        </w:rPr>
        <w:t>A</w:t>
      </w:r>
      <w:r>
        <w:rPr>
          <w:rFonts w:hint="default" w:ascii="Times New Roman" w:hAnsi="Times New Roman" w:cs="Times New Roman"/>
          <w:color w:val="auto"/>
          <w:highlight w:val="none"/>
          <w:lang w:val="en-US" w:eastAsia="zh-CN"/>
        </w:rPr>
        <w:t>排放标准。处理后的中水水质清澈，基本无异味。达标后的中水全部汇入生态回用尾水库中，目前已先行用于湿地公园园林绿化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有效缓解了县城绿化用水资源短缺问题，为生态环境的改善发挥了重要作用。</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4.资金投入情况</w:t>
      </w:r>
      <w:bookmarkEnd w:id="25"/>
      <w:bookmarkEnd w:id="26"/>
    </w:p>
    <w:p>
      <w:pPr>
        <w:bidi w:val="0"/>
        <w:jc w:val="both"/>
        <w:rPr>
          <w:rFonts w:hint="default" w:ascii="Times New Roman" w:hAnsi="Times New Roman" w:eastAsia="仿宋_GB2312" w:cs="Times New Roman"/>
          <w:color w:val="auto"/>
          <w:highlight w:val="none"/>
          <w:lang w:eastAsia="zh-CN"/>
        </w:rPr>
      </w:pPr>
      <w:bookmarkStart w:id="27" w:name="_Toc7324"/>
      <w:r>
        <w:rPr>
          <w:rFonts w:hint="default" w:ascii="Times New Roman" w:hAnsi="Times New Roman" w:eastAsia="仿宋_GB2312" w:cs="Times New Roman"/>
          <w:color w:val="auto"/>
          <w:highlight w:val="none"/>
        </w:rPr>
        <w:t>根据《</w:t>
      </w:r>
      <w:r>
        <w:rPr>
          <w:rFonts w:hint="eastAsia" w:ascii="Times New Roman" w:hAnsi="Times New Roman" w:cs="Times New Roman"/>
          <w:color w:val="auto"/>
          <w:highlight w:val="none"/>
          <w:lang w:val="en-US" w:eastAsia="zh-CN"/>
        </w:rPr>
        <w:t>关于批复2024年部门预算的通知</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尉财发</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2024</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号），下达</w:t>
      </w:r>
      <w:r>
        <w:rPr>
          <w:rFonts w:hint="eastAsia" w:ascii="Times New Roman" w:hAnsi="Times New Roman" w:cs="Times New Roman"/>
          <w:color w:val="auto"/>
          <w:highlight w:val="none"/>
          <w:lang w:val="en-US" w:eastAsia="zh-CN"/>
        </w:rPr>
        <w:t>县本级</w:t>
      </w:r>
      <w:r>
        <w:rPr>
          <w:rFonts w:hint="default" w:ascii="Times New Roman" w:hAnsi="Times New Roman" w:eastAsia="仿宋_GB2312" w:cs="Times New Roman"/>
          <w:color w:val="auto"/>
          <w:highlight w:val="none"/>
        </w:rPr>
        <w:t>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万元。其中用于</w:t>
      </w:r>
      <w:r>
        <w:rPr>
          <w:rFonts w:hint="eastAsia" w:ascii="仿宋_GB2312" w:hAnsi="仿宋_GB2312" w:cs="仿宋_GB2312"/>
          <w:b w:val="0"/>
          <w:bCs w:val="0"/>
          <w:color w:val="auto"/>
          <w:highlight w:val="none"/>
          <w:lang w:val="en-US" w:eastAsia="zh-CN"/>
        </w:rPr>
        <w:t>尉犁县城镇污水处理厂（二期）工程PPP项目污水处理费331</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p>
    <w:p>
      <w:pPr>
        <w:bidi w:val="0"/>
        <w:jc w:val="both"/>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实施</w:t>
      </w:r>
      <w:r>
        <w:rPr>
          <w:rFonts w:hint="eastAsia" w:ascii="仿宋_GB2312" w:hAnsi="仿宋_GB2312" w:cs="仿宋_GB2312"/>
          <w:b w:val="0"/>
          <w:bCs w:val="0"/>
          <w:color w:val="auto"/>
          <w:highlight w:val="none"/>
          <w:lang w:val="en-US" w:eastAsia="zh-CN"/>
        </w:rPr>
        <w:t>尉犁县城镇污水处理厂（二期）工程PPP项目</w:t>
      </w:r>
      <w:r>
        <w:rPr>
          <w:rFonts w:hint="default" w:ascii="Times New Roman" w:hAnsi="Times New Roman" w:eastAsia="仿宋_GB2312" w:cs="Times New Roman"/>
          <w:color w:val="auto"/>
          <w:highlight w:val="none"/>
        </w:rPr>
        <w:t>投入</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w:t>
      </w:r>
      <w:r>
        <w:rPr>
          <w:rFonts w:hint="eastAsia" w:ascii="Times New Roman" w:hAnsi="Times New Roman" w:cs="Times New Roman"/>
          <w:color w:val="auto"/>
          <w:highlight w:val="none"/>
          <w:lang w:val="en-US" w:eastAsia="zh-CN"/>
        </w:rPr>
        <w:t>资金来源为县本级</w:t>
      </w:r>
      <w:r>
        <w:rPr>
          <w:rFonts w:hint="default" w:ascii="Times New Roman" w:hAnsi="Times New Roman" w:eastAsia="仿宋_GB2312" w:cs="Times New Roman"/>
          <w:color w:val="auto"/>
          <w:highlight w:val="none"/>
        </w:rPr>
        <w:t>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w:t>
      </w:r>
    </w:p>
    <w:p>
      <w:pPr>
        <w:bidi w:val="0"/>
        <w:jc w:val="both"/>
        <w:rPr>
          <w:rFonts w:hint="default" w:ascii="Times New Roman" w:hAnsi="Times New Roman" w:eastAsia="仿宋_GB2312" w:cs="Times New Roman"/>
          <w:b/>
          <w:bCs/>
          <w:color w:val="auto"/>
          <w:highlight w:val="none"/>
        </w:rPr>
      </w:pPr>
      <w:bookmarkStart w:id="28" w:name="_Toc10837"/>
      <w:r>
        <w:rPr>
          <w:rFonts w:hint="default" w:ascii="Times New Roman" w:hAnsi="Times New Roman" w:eastAsia="仿宋_GB2312" w:cs="Times New Roman"/>
          <w:b/>
          <w:bCs/>
          <w:color w:val="auto"/>
          <w:highlight w:val="none"/>
        </w:rPr>
        <w:t>5.资金使用情况</w:t>
      </w:r>
      <w:bookmarkEnd w:id="27"/>
      <w:bookmarkEnd w:id="28"/>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2024</w:t>
      </w:r>
      <w:r>
        <w:rPr>
          <w:rFonts w:hint="default" w:ascii="Times New Roman" w:hAnsi="Times New Roman" w:eastAsia="仿宋_GB2312" w:cs="Times New Roman"/>
          <w:color w:val="auto"/>
          <w:sz w:val="32"/>
          <w:szCs w:val="32"/>
          <w:highlight w:val="none"/>
          <w:lang w:eastAsia="zh-CN"/>
        </w:rPr>
        <w:t>年初预算数</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实际到位资金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截止202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年12月31日</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项目实际使用资金</w:t>
      </w:r>
      <w:r>
        <w:rPr>
          <w:rFonts w:hint="eastAsia" w:ascii="Times New Roman" w:hAnsi="Times New Roman" w:cs="Times New Roman"/>
          <w:color w:val="auto"/>
          <w:highlight w:val="none"/>
          <w:lang w:val="en-US" w:eastAsia="zh-CN"/>
        </w:rPr>
        <w:t>329.40</w:t>
      </w:r>
      <w:r>
        <w:rPr>
          <w:rFonts w:hint="default" w:ascii="Times New Roman" w:hAnsi="Times New Roman" w:eastAsia="仿宋_GB2312" w:cs="Times New Roman"/>
          <w:color w:val="auto"/>
          <w:highlight w:val="none"/>
        </w:rPr>
        <w:t>万元，资金</w:t>
      </w:r>
      <w:r>
        <w:rPr>
          <w:rFonts w:hint="default" w:ascii="Times New Roman" w:hAnsi="Times New Roman" w:eastAsia="仿宋_GB2312" w:cs="Times New Roman"/>
          <w:color w:val="auto"/>
          <w:highlight w:val="none"/>
          <w:lang w:val="en-US" w:eastAsia="zh-CN"/>
        </w:rPr>
        <w:t>使用</w:t>
      </w:r>
      <w:r>
        <w:rPr>
          <w:rFonts w:hint="default" w:ascii="Times New Roman" w:hAnsi="Times New Roman" w:eastAsia="仿宋_GB2312" w:cs="Times New Roman"/>
          <w:color w:val="auto"/>
          <w:highlight w:val="none"/>
        </w:rPr>
        <w:t>率达到了</w:t>
      </w:r>
      <w:r>
        <w:rPr>
          <w:rFonts w:hint="eastAsia" w:ascii="Times New Roman" w:hAnsi="Times New Roman" w:cs="Times New Roman"/>
          <w:color w:val="auto"/>
          <w:highlight w:val="none"/>
          <w:lang w:val="en-US" w:eastAsia="zh-CN"/>
        </w:rPr>
        <w:t>99.52</w:t>
      </w:r>
      <w:r>
        <w:rPr>
          <w:rFonts w:hint="default" w:ascii="Times New Roman" w:hAnsi="Times New Roman" w:eastAsia="仿宋_GB2312" w:cs="Times New Roman"/>
          <w:color w:val="auto"/>
          <w:highlight w:val="none"/>
        </w:rPr>
        <w:t>%。具体资金支付情况：</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bookmarkStart w:id="29" w:name="_Toc26395"/>
      <w:bookmarkStart w:id="30" w:name="_Toc31302"/>
      <w:bookmarkStart w:id="31" w:name="_Toc9567"/>
      <w:bookmarkStart w:id="32" w:name="_Toc14296"/>
      <w:bookmarkStart w:id="33" w:name="_Toc11967"/>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10</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26.1</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15</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13</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16</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14</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10</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12</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11</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27.9</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bidi w:val="0"/>
        <w:jc w:val="both"/>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年</w:t>
      </w:r>
      <w:r>
        <w:rPr>
          <w:rFonts w:hint="eastAsia" w:ascii="Times New Roman" w:hAnsi="Times New Roman" w:cs="Times New Roman"/>
          <w:color w:val="auto"/>
          <w:highlight w:val="none"/>
          <w:lang w:val="en-US" w:eastAsia="zh-CN"/>
        </w:rPr>
        <w:t>12</w:t>
      </w:r>
      <w:r>
        <w:rPr>
          <w:rFonts w:hint="default" w:ascii="Times New Roman" w:hAnsi="Times New Roman" w:cs="Times New Roman"/>
          <w:color w:val="auto"/>
          <w:highlight w:val="none"/>
          <w:lang w:val="en-US" w:eastAsia="zh-CN"/>
        </w:rPr>
        <w:t>月</w:t>
      </w:r>
      <w:r>
        <w:rPr>
          <w:rFonts w:hint="eastAsia" w:ascii="Times New Roman" w:hAnsi="Times New Roman" w:cs="Times New Roman"/>
          <w:color w:val="auto"/>
          <w:highlight w:val="none"/>
          <w:lang w:val="en-US" w:eastAsia="zh-CN"/>
        </w:rPr>
        <w:t>12</w:t>
      </w:r>
      <w:r>
        <w:rPr>
          <w:rFonts w:hint="default" w:ascii="Times New Roman" w:hAnsi="Times New Roman" w:cs="Times New Roman"/>
          <w:color w:val="auto"/>
          <w:highlight w:val="none"/>
          <w:lang w:val="en-US" w:eastAsia="zh-CN"/>
        </w:rPr>
        <w:t>日，支付</w:t>
      </w:r>
      <w:r>
        <w:rPr>
          <w:rFonts w:hint="eastAsia" w:ascii="Times New Roman" w:hAnsi="Times New Roman" w:cs="Times New Roman"/>
          <w:color w:val="auto"/>
          <w:highlight w:val="none"/>
          <w:lang w:val="en-US" w:eastAsia="zh-CN"/>
        </w:rPr>
        <w:t>27</w:t>
      </w:r>
      <w:r>
        <w:rPr>
          <w:rFonts w:hint="default" w:ascii="Times New Roman" w:hAnsi="Times New Roman" w:cs="Times New Roman"/>
          <w:color w:val="auto"/>
          <w:highlight w:val="none"/>
          <w:lang w:val="en-US" w:eastAsia="zh-CN"/>
        </w:rPr>
        <w:t>万元</w:t>
      </w:r>
      <w:r>
        <w:rPr>
          <w:rFonts w:hint="eastAsia" w:ascii="Times New Roman" w:hAnsi="Times New Roman" w:cs="Times New Roman"/>
          <w:color w:val="auto"/>
          <w:highlight w:val="none"/>
          <w:lang w:val="en-US" w:eastAsia="zh-CN"/>
        </w:rPr>
        <w:t>。</w:t>
      </w:r>
    </w:p>
    <w:p>
      <w:pPr>
        <w:pStyle w:val="4"/>
        <w:bidi w:val="0"/>
        <w:jc w:val="both"/>
        <w:outlineLvl w:val="1"/>
        <w:rPr>
          <w:rFonts w:hint="default" w:ascii="Times New Roman" w:hAnsi="Times New Roman" w:eastAsia="楷体" w:cs="Times New Roman"/>
          <w:color w:val="auto"/>
          <w:highlight w:val="none"/>
        </w:rPr>
      </w:pPr>
      <w:bookmarkStart w:id="34" w:name="_Toc20284"/>
      <w:bookmarkStart w:id="35" w:name="_Toc10600"/>
      <w:r>
        <w:rPr>
          <w:rFonts w:hint="default" w:ascii="Times New Roman" w:hAnsi="Times New Roman" w:eastAsia="楷体" w:cs="Times New Roman"/>
          <w:color w:val="auto"/>
          <w:highlight w:val="none"/>
        </w:rPr>
        <w:t>（二）项目绩效目标</w:t>
      </w:r>
      <w:bookmarkEnd w:id="29"/>
      <w:bookmarkEnd w:id="30"/>
      <w:bookmarkEnd w:id="31"/>
      <w:bookmarkEnd w:id="32"/>
      <w:bookmarkEnd w:id="33"/>
      <w:bookmarkEnd w:id="34"/>
      <w:bookmarkEnd w:id="35"/>
    </w:p>
    <w:p>
      <w:pPr>
        <w:bidi w:val="0"/>
        <w:jc w:val="both"/>
        <w:rPr>
          <w:rFonts w:hint="default" w:ascii="Times New Roman" w:hAnsi="Times New Roman" w:eastAsia="仿宋_GB2312" w:cs="Times New Roman"/>
          <w:b/>
          <w:bCs/>
          <w:color w:val="auto"/>
          <w:highlight w:val="none"/>
        </w:rPr>
      </w:pPr>
      <w:bookmarkStart w:id="36" w:name="_Toc905"/>
      <w:bookmarkStart w:id="37" w:name="_Toc18809"/>
      <w:r>
        <w:rPr>
          <w:rFonts w:hint="default" w:ascii="Times New Roman" w:hAnsi="Times New Roman" w:eastAsia="仿宋_GB2312" w:cs="Times New Roman"/>
          <w:b/>
          <w:bCs/>
          <w:color w:val="auto"/>
          <w:highlight w:val="none"/>
        </w:rPr>
        <w:t>1.总体目标</w:t>
      </w:r>
      <w:bookmarkEnd w:id="36"/>
      <w:bookmarkEnd w:id="37"/>
    </w:p>
    <w:p>
      <w:pPr>
        <w:bidi w:val="0"/>
        <w:jc w:val="both"/>
        <w:rPr>
          <w:rFonts w:hint="eastAsia" w:ascii="Times New Roman" w:hAnsi="Times New Roman" w:eastAsia="仿宋_GB2312" w:cs="Times New Roman"/>
          <w:color w:val="auto"/>
          <w:highlight w:val="none"/>
          <w:lang w:eastAsia="zh-CN"/>
        </w:rPr>
      </w:pPr>
      <w:bookmarkStart w:id="38" w:name="_Toc10045"/>
      <w:r>
        <w:rPr>
          <w:rFonts w:hint="eastAsia" w:ascii="Times New Roman" w:hAnsi="Times New Roman" w:eastAsia="仿宋_GB2312" w:cs="Times New Roman"/>
          <w:color w:val="auto"/>
          <w:highlight w:val="none"/>
          <w:lang w:eastAsia="zh-CN"/>
        </w:rPr>
        <w:t>依据关于将尉犁县污水处理厂（二期）工程PPP项目财政支出责任分年度列入财政预算批复的工作要求，完成全县城镇污水处理服务年度任务；运营项目公司年污水处理规模按100~183万立方米，按月实际处理天数付费；污水处理出水水质达到国家一级A标准，达标率100%；中水利用率达到50%以上，污泥无害化填埋处理率100%。改善人居环境，减少污染，满足环保要求。中水回用解决县城绿化缺水的紧张形势。</w:t>
      </w:r>
    </w:p>
    <w:p>
      <w:pPr>
        <w:bidi w:val="0"/>
        <w:jc w:val="both"/>
        <w:rPr>
          <w:rFonts w:hint="default" w:ascii="Times New Roman" w:hAnsi="Times New Roman" w:eastAsia="仿宋_GB2312" w:cs="Times New Roman"/>
          <w:b/>
          <w:bCs/>
          <w:color w:val="auto"/>
          <w:highlight w:val="none"/>
        </w:rPr>
      </w:pPr>
      <w:bookmarkStart w:id="39" w:name="_Toc11195"/>
      <w:r>
        <w:rPr>
          <w:rFonts w:hint="default" w:ascii="Times New Roman" w:hAnsi="Times New Roman" w:eastAsia="仿宋_GB2312" w:cs="Times New Roman"/>
          <w:b/>
          <w:bCs/>
          <w:color w:val="auto"/>
          <w:highlight w:val="none"/>
        </w:rPr>
        <w:t>2.阶段性目标</w:t>
      </w:r>
      <w:bookmarkEnd w:id="38"/>
      <w:bookmarkEnd w:id="39"/>
      <w:bookmarkStart w:id="40" w:name="_Toc31122"/>
      <w:bookmarkStart w:id="41" w:name="_Toc6534"/>
      <w:bookmarkStart w:id="42" w:name="_Toc6156"/>
      <w:bookmarkStart w:id="43" w:name="_Toc857"/>
      <w:bookmarkStart w:id="44" w:name="_Toc25321"/>
    </w:p>
    <w:p>
      <w:pPr>
        <w:bidi w:val="0"/>
        <w:jc w:val="both"/>
        <w:rPr>
          <w:rFonts w:hint="default" w:ascii="Times New Roman" w:hAnsi="Times New Roman" w:eastAsia="仿宋_GB2312" w:cs="Times New Roman"/>
          <w:bCs w:val="0"/>
          <w:iCs w:val="0"/>
          <w:color w:val="auto"/>
          <w:kern w:val="2"/>
          <w:sz w:val="32"/>
          <w:szCs w:val="22"/>
          <w:highlight w:val="none"/>
          <w:lang w:val="en-US" w:eastAsia="zh-CN" w:bidi="ar-SA"/>
        </w:rPr>
      </w:pPr>
      <w:r>
        <w:rPr>
          <w:rFonts w:hint="default" w:ascii="Times New Roman" w:hAnsi="Times New Roman" w:eastAsia="仿宋_GB2312" w:cs="Times New Roman"/>
          <w:bCs w:val="0"/>
          <w:iCs w:val="0"/>
          <w:color w:val="auto"/>
          <w:kern w:val="2"/>
          <w:sz w:val="32"/>
          <w:szCs w:val="22"/>
          <w:highlight w:val="none"/>
          <w:lang w:val="en-US" w:eastAsia="zh-CN" w:bidi="ar-SA"/>
        </w:rPr>
        <w:t>1月</w:t>
      </w:r>
      <w:r>
        <w:rPr>
          <w:rFonts w:hint="eastAsia" w:ascii="Times New Roman" w:hAnsi="Times New Roman" w:cs="Times New Roman"/>
          <w:bCs w:val="0"/>
          <w:iCs w:val="0"/>
          <w:color w:val="auto"/>
          <w:kern w:val="2"/>
          <w:sz w:val="32"/>
          <w:szCs w:val="22"/>
          <w:highlight w:val="none"/>
          <w:lang w:val="en-US" w:eastAsia="zh-CN" w:bidi="ar-SA"/>
        </w:rPr>
        <w:t>计划开展：</w:t>
      </w:r>
      <w:r>
        <w:rPr>
          <w:rFonts w:hint="default" w:ascii="Times New Roman" w:hAnsi="Times New Roman" w:eastAsia="仿宋_GB2312" w:cs="Times New Roman"/>
          <w:bCs w:val="0"/>
          <w:iCs w:val="0"/>
          <w:color w:val="auto"/>
          <w:kern w:val="2"/>
          <w:sz w:val="32"/>
          <w:szCs w:val="22"/>
          <w:highlight w:val="none"/>
          <w:lang w:val="en-US" w:eastAsia="zh-CN" w:bidi="ar-SA"/>
        </w:rPr>
        <w:t>全面检测分析冬季进水水质特点，确保出水化学需氧量（COD）、氨氮、总磷等关键指标稳定达标。完成所有关键设备（格栅机、曝气机、污泥脱水机等）的年度保养计划制定，对设备进行全面检查，记录设备运行状况，储备必要的设备零部件。</w:t>
      </w:r>
    </w:p>
    <w:p>
      <w:pPr>
        <w:bidi w:val="0"/>
        <w:ind w:firstLine="960" w:firstLineChars="300"/>
        <w:jc w:val="both"/>
        <w:rPr>
          <w:rFonts w:hint="default" w:ascii="Times New Roman" w:hAnsi="Times New Roman" w:eastAsia="仿宋_GB2312" w:cs="Times New Roman"/>
          <w:bCs w:val="0"/>
          <w:iCs w:val="0"/>
          <w:color w:val="auto"/>
          <w:kern w:val="2"/>
          <w:sz w:val="32"/>
          <w:szCs w:val="22"/>
          <w:highlight w:val="none"/>
          <w:lang w:val="en-US" w:eastAsia="zh-CN" w:bidi="ar-SA"/>
        </w:rPr>
      </w:pPr>
      <w:r>
        <w:rPr>
          <w:rFonts w:hint="eastAsia" w:ascii="Times New Roman" w:hAnsi="Times New Roman" w:eastAsia="仿宋_GB2312" w:cs="Times New Roman"/>
          <w:bCs w:val="0"/>
          <w:iCs w:val="0"/>
          <w:color w:val="auto"/>
          <w:kern w:val="2"/>
          <w:sz w:val="32"/>
          <w:szCs w:val="22"/>
          <w:highlight w:val="none"/>
          <w:lang w:val="en-US" w:eastAsia="zh-CN" w:bidi="ar-SA"/>
        </w:rPr>
        <w:t>4</w:t>
      </w:r>
      <w:r>
        <w:rPr>
          <w:rFonts w:hint="default" w:ascii="Times New Roman" w:hAnsi="Times New Roman" w:eastAsia="仿宋_GB2312" w:cs="Times New Roman"/>
          <w:bCs w:val="0"/>
          <w:iCs w:val="0"/>
          <w:color w:val="auto"/>
          <w:kern w:val="2"/>
          <w:sz w:val="32"/>
          <w:szCs w:val="22"/>
          <w:highlight w:val="none"/>
          <w:lang w:val="en-US" w:eastAsia="zh-CN" w:bidi="ar-SA"/>
        </w:rPr>
        <w:t>月</w:t>
      </w:r>
      <w:r>
        <w:rPr>
          <w:rFonts w:hint="eastAsia" w:ascii="Times New Roman" w:hAnsi="Times New Roman" w:cs="Times New Roman"/>
          <w:bCs w:val="0"/>
          <w:iCs w:val="0"/>
          <w:color w:val="auto"/>
          <w:kern w:val="2"/>
          <w:sz w:val="32"/>
          <w:szCs w:val="22"/>
          <w:highlight w:val="none"/>
          <w:lang w:val="en-US" w:eastAsia="zh-CN" w:bidi="ar-SA"/>
        </w:rPr>
        <w:t>计划开展：</w:t>
      </w:r>
      <w:r>
        <w:rPr>
          <w:rFonts w:hint="default" w:ascii="Times New Roman" w:hAnsi="Times New Roman" w:eastAsia="仿宋_GB2312" w:cs="Times New Roman"/>
          <w:bCs w:val="0"/>
          <w:iCs w:val="0"/>
          <w:color w:val="auto"/>
          <w:kern w:val="2"/>
          <w:sz w:val="32"/>
          <w:szCs w:val="22"/>
          <w:highlight w:val="none"/>
          <w:lang w:val="en-US" w:eastAsia="zh-CN" w:bidi="ar-SA"/>
        </w:rPr>
        <w:t>调试污泥浓缩设备</w:t>
      </w:r>
      <w:r>
        <w:rPr>
          <w:rFonts w:hint="eastAsia" w:ascii="Times New Roman" w:hAnsi="Times New Roman" w:eastAsia="仿宋_GB2312" w:cs="Times New Roman"/>
          <w:bCs w:val="0"/>
          <w:iCs w:val="0"/>
          <w:color w:val="auto"/>
          <w:kern w:val="2"/>
          <w:sz w:val="32"/>
          <w:szCs w:val="22"/>
          <w:highlight w:val="none"/>
          <w:lang w:val="en-US" w:eastAsia="zh-CN" w:bidi="ar-SA"/>
        </w:rPr>
        <w:t>，</w:t>
      </w:r>
      <w:r>
        <w:rPr>
          <w:rFonts w:hint="default" w:ascii="Times New Roman" w:hAnsi="Times New Roman" w:eastAsia="仿宋_GB2312" w:cs="Times New Roman"/>
          <w:bCs w:val="0"/>
          <w:iCs w:val="0"/>
          <w:color w:val="auto"/>
          <w:kern w:val="2"/>
          <w:sz w:val="32"/>
          <w:szCs w:val="22"/>
          <w:highlight w:val="none"/>
          <w:lang w:val="en-US" w:eastAsia="zh-CN" w:bidi="ar-SA"/>
        </w:rPr>
        <w:t>排查管网渗漏点并及时修复。重点维护预处理阶段设备，对格栅机的齿耙、链条进行检修更换，清理沉砂池积砂，保障预处理设备高效运</w:t>
      </w:r>
    </w:p>
    <w:p>
      <w:pPr>
        <w:bidi w:val="0"/>
        <w:jc w:val="both"/>
        <w:rPr>
          <w:rFonts w:hint="default" w:ascii="Times New Roman" w:hAnsi="Times New Roman" w:eastAsia="仿宋_GB2312" w:cs="Times New Roman"/>
          <w:bCs w:val="0"/>
          <w:iCs w:val="0"/>
          <w:color w:val="auto"/>
          <w:kern w:val="2"/>
          <w:sz w:val="32"/>
          <w:szCs w:val="22"/>
          <w:highlight w:val="none"/>
          <w:lang w:val="en-US" w:eastAsia="zh-CN" w:bidi="ar-SA"/>
        </w:rPr>
      </w:pPr>
      <w:r>
        <w:rPr>
          <w:rFonts w:hint="default" w:ascii="Times New Roman" w:hAnsi="Times New Roman" w:eastAsia="仿宋_GB2312" w:cs="Times New Roman"/>
          <w:bCs w:val="0"/>
          <w:iCs w:val="0"/>
          <w:color w:val="auto"/>
          <w:kern w:val="2"/>
          <w:sz w:val="32"/>
          <w:szCs w:val="22"/>
          <w:highlight w:val="none"/>
          <w:lang w:val="en-US" w:eastAsia="zh-CN" w:bidi="ar-SA"/>
        </w:rPr>
        <w:t>。</w:t>
      </w:r>
    </w:p>
    <w:p>
      <w:pPr>
        <w:bidi w:val="0"/>
        <w:rPr>
          <w:rFonts w:hint="default"/>
          <w:color w:val="auto"/>
          <w:highlight w:val="none"/>
          <w:lang w:val="en-US" w:eastAsia="zh-CN"/>
        </w:rPr>
      </w:pPr>
      <w:r>
        <w:rPr>
          <w:rFonts w:hint="default"/>
          <w:color w:val="auto"/>
          <w:highlight w:val="none"/>
          <w:lang w:val="en-US" w:eastAsia="zh-CN"/>
        </w:rPr>
        <w:t>6</w:t>
      </w:r>
      <w:r>
        <w:rPr>
          <w:rFonts w:hint="eastAsia"/>
          <w:color w:val="auto"/>
          <w:highlight w:val="none"/>
          <w:lang w:val="en-US" w:eastAsia="zh-CN"/>
        </w:rPr>
        <w:t>、</w:t>
      </w:r>
      <w:r>
        <w:rPr>
          <w:rFonts w:hint="default"/>
          <w:color w:val="auto"/>
          <w:highlight w:val="none"/>
          <w:lang w:val="en-US" w:eastAsia="zh-CN"/>
        </w:rPr>
        <w:t>月计划开展：随着夏季居民用水量增加，污水量同步上升，启动污水处理厂满负荷运行应急预案，提前调试备用设备，确保处理能力满足高峰需求。</w:t>
      </w:r>
    </w:p>
    <w:p>
      <w:pPr>
        <w:bidi w:val="0"/>
        <w:rPr>
          <w:rFonts w:hint="default"/>
          <w:color w:val="auto"/>
          <w:highlight w:val="none"/>
          <w:lang w:val="en-US" w:eastAsia="zh-CN"/>
        </w:rPr>
      </w:pPr>
      <w:r>
        <w:rPr>
          <w:rFonts w:hint="default"/>
          <w:color w:val="auto"/>
          <w:highlight w:val="none"/>
          <w:lang w:val="en-US" w:eastAsia="zh-CN"/>
        </w:rPr>
        <w:t>8月计划开展：针对夏季高温对微生物处理效能的影响，调整生物处理池的曝气量及微生物菌群结构，保障处理效果稳定。</w:t>
      </w:r>
    </w:p>
    <w:p>
      <w:pPr>
        <w:bidi w:val="0"/>
        <w:rPr>
          <w:rFonts w:hint="default"/>
          <w:color w:val="auto"/>
          <w:highlight w:val="none"/>
          <w:lang w:val="en-US" w:eastAsia="zh-CN"/>
        </w:rPr>
      </w:pPr>
      <w:r>
        <w:rPr>
          <w:rFonts w:hint="default"/>
          <w:color w:val="auto"/>
          <w:highlight w:val="none"/>
          <w:lang w:val="en-US" w:eastAsia="zh-CN"/>
        </w:rPr>
        <w:t>1</w:t>
      </w:r>
      <w:r>
        <w:rPr>
          <w:rFonts w:hint="eastAsia"/>
          <w:color w:val="auto"/>
          <w:highlight w:val="none"/>
          <w:lang w:val="en-US" w:eastAsia="zh-CN"/>
        </w:rPr>
        <w:t>1</w:t>
      </w:r>
      <w:r>
        <w:rPr>
          <w:rFonts w:hint="default"/>
          <w:color w:val="auto"/>
          <w:highlight w:val="none"/>
          <w:lang w:val="en-US" w:eastAsia="zh-CN"/>
        </w:rPr>
        <w:t>月计划开展：调整冬季污水处理工艺参数，适应低温水质特点。储备冬季设备防寒保暖物资，对设备采取保温措施。</w:t>
      </w:r>
    </w:p>
    <w:p>
      <w:pPr>
        <w:pStyle w:val="2"/>
        <w:bidi w:val="0"/>
        <w:jc w:val="both"/>
        <w:outlineLvl w:val="0"/>
        <w:rPr>
          <w:rFonts w:hint="default" w:ascii="Times New Roman" w:hAnsi="Times New Roman" w:eastAsia="黑体" w:cs="Times New Roman"/>
          <w:color w:val="auto"/>
          <w:highlight w:val="none"/>
        </w:rPr>
      </w:pPr>
      <w:bookmarkStart w:id="45" w:name="_Toc9610"/>
      <w:bookmarkStart w:id="46" w:name="_Toc15916"/>
      <w:r>
        <w:rPr>
          <w:rFonts w:hint="default" w:ascii="Times New Roman" w:hAnsi="Times New Roman" w:eastAsia="黑体" w:cs="Times New Roman"/>
          <w:color w:val="auto"/>
          <w:highlight w:val="none"/>
        </w:rPr>
        <w:t>二、绩效评价工作开展情况</w:t>
      </w:r>
      <w:bookmarkEnd w:id="40"/>
      <w:bookmarkEnd w:id="41"/>
      <w:bookmarkEnd w:id="42"/>
      <w:bookmarkEnd w:id="43"/>
      <w:bookmarkEnd w:id="44"/>
      <w:bookmarkEnd w:id="45"/>
      <w:bookmarkEnd w:id="46"/>
    </w:p>
    <w:p>
      <w:pPr>
        <w:pStyle w:val="4"/>
        <w:bidi w:val="0"/>
        <w:jc w:val="both"/>
        <w:outlineLvl w:val="1"/>
        <w:rPr>
          <w:rFonts w:hint="default" w:ascii="Times New Roman" w:hAnsi="Times New Roman" w:eastAsia="楷体" w:cs="Times New Roman"/>
          <w:color w:val="auto"/>
          <w:highlight w:val="none"/>
        </w:rPr>
      </w:pPr>
      <w:bookmarkStart w:id="47" w:name="_Toc8658"/>
      <w:bookmarkStart w:id="48" w:name="_Toc17516"/>
      <w:bookmarkStart w:id="49" w:name="_Toc5312"/>
      <w:bookmarkStart w:id="50" w:name="_Toc10300"/>
      <w:bookmarkStart w:id="51" w:name="_Toc30569"/>
      <w:bookmarkStart w:id="52" w:name="_Toc32557"/>
      <w:r>
        <w:rPr>
          <w:rFonts w:hint="default" w:ascii="Times New Roman" w:hAnsi="Times New Roman" w:eastAsia="楷体" w:cs="Times New Roman"/>
          <w:color w:val="auto"/>
          <w:highlight w:val="none"/>
        </w:rPr>
        <w:t>（一）绩效评价目的、对象和范围</w:t>
      </w:r>
      <w:bookmarkEnd w:id="47"/>
      <w:bookmarkEnd w:id="48"/>
      <w:bookmarkEnd w:id="49"/>
      <w:bookmarkEnd w:id="50"/>
      <w:bookmarkEnd w:id="51"/>
      <w:bookmarkEnd w:id="52"/>
    </w:p>
    <w:p>
      <w:pPr>
        <w:bidi w:val="0"/>
        <w:jc w:val="both"/>
        <w:rPr>
          <w:rFonts w:hint="default" w:ascii="Times New Roman" w:hAnsi="Times New Roman" w:eastAsia="仿宋_GB2312" w:cs="Times New Roman"/>
          <w:b/>
          <w:bCs/>
          <w:color w:val="auto"/>
          <w:highlight w:val="none"/>
        </w:rPr>
      </w:pPr>
      <w:bookmarkStart w:id="53" w:name="_Toc12440"/>
      <w:bookmarkStart w:id="54" w:name="_Toc11562"/>
      <w:r>
        <w:rPr>
          <w:rFonts w:hint="default" w:ascii="Times New Roman" w:hAnsi="Times New Roman" w:eastAsia="仿宋_GB2312" w:cs="Times New Roman"/>
          <w:b/>
          <w:bCs/>
          <w:color w:val="auto"/>
          <w:highlight w:val="none"/>
        </w:rPr>
        <w:t>1.绩效评价目的</w:t>
      </w:r>
      <w:bookmarkEnd w:id="53"/>
      <w:bookmarkEnd w:id="54"/>
    </w:p>
    <w:p>
      <w:pPr>
        <w:bidi w:val="0"/>
        <w:jc w:val="both"/>
        <w:rPr>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w:t>
      </w: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5" w:name="OLE_LINK1"/>
      <w:bookmarkStart w:id="56" w:name="OLE_LINK7"/>
      <w:r>
        <w:rPr>
          <w:rFonts w:hint="eastAsia"/>
          <w:color w:val="auto"/>
          <w:highlight w:val="none"/>
        </w:rPr>
        <w:t>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eastAsia"/>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5"/>
      <w:bookmarkEnd w:id="56"/>
      <w:bookmarkStart w:id="57" w:name="_Toc8924"/>
      <w:bookmarkStart w:id="58" w:name="_Toc2159"/>
    </w:p>
    <w:p>
      <w:pPr>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2.绩效评价对象</w:t>
      </w:r>
      <w:bookmarkEnd w:id="57"/>
      <w:r>
        <w:rPr>
          <w:rFonts w:hint="default" w:ascii="Times New Roman" w:hAnsi="Times New Roman" w:eastAsia="仿宋_GB2312" w:cs="Times New Roman"/>
          <w:b/>
          <w:bCs/>
          <w:color w:val="auto"/>
          <w:highlight w:val="none"/>
        </w:rPr>
        <w:t>和范围</w:t>
      </w:r>
      <w:bookmarkEnd w:id="58"/>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根据《财政支出绩效评价管理办法》（财预〔2020〕10号）文件要求，对</w:t>
      </w: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开展绩效评价，本次绩效评价范围主要围绕项目决策（包括项目</w:t>
      </w:r>
      <w:r>
        <w:rPr>
          <w:rFonts w:hint="eastAsia" w:ascii="Times New Roman" w:hAnsi="Times New Roman" w:cs="Times New Roman"/>
          <w:color w:val="auto"/>
          <w:highlight w:val="none"/>
          <w:lang w:eastAsia="zh-CN"/>
        </w:rPr>
        <w:t>实施</w:t>
      </w:r>
      <w:r>
        <w:rPr>
          <w:rFonts w:hint="default" w:ascii="Times New Roman" w:hAnsi="Times New Roman" w:eastAsia="仿宋_GB2312" w:cs="Times New Roman"/>
          <w:color w:val="auto"/>
          <w:highlight w:val="none"/>
        </w:rPr>
        <w:t>、绩效目标、资金投入）、项目过程（包括资金管理、组织实施）、项目产出（包括产出数量、质量、时效、成本）和项目效益等进行评价。</w:t>
      </w:r>
    </w:p>
    <w:p>
      <w:pPr>
        <w:pStyle w:val="4"/>
        <w:bidi w:val="0"/>
        <w:jc w:val="both"/>
        <w:outlineLvl w:val="1"/>
        <w:rPr>
          <w:rFonts w:hint="eastAsia" w:ascii="楷体" w:hAnsi="楷体" w:eastAsia="楷体" w:cs="楷体"/>
          <w:color w:val="auto"/>
          <w:highlight w:val="none"/>
        </w:rPr>
      </w:pPr>
      <w:bookmarkStart w:id="59" w:name="_Toc13496"/>
      <w:bookmarkStart w:id="60" w:name="_Toc3054"/>
      <w:bookmarkStart w:id="61" w:name="_Toc19566"/>
      <w:bookmarkStart w:id="62" w:name="_Toc15409"/>
      <w:bookmarkStart w:id="63" w:name="_Toc22526"/>
      <w:bookmarkStart w:id="64" w:name="_Toc17158"/>
      <w:r>
        <w:rPr>
          <w:rFonts w:hint="eastAsia" w:ascii="楷体" w:hAnsi="楷体" w:eastAsia="楷体" w:cs="楷体"/>
          <w:color w:val="auto"/>
          <w:highlight w:val="none"/>
        </w:rPr>
        <w:t>（二）绩效评价原则、评价指标体系、评价方法、评价标准</w:t>
      </w:r>
      <w:bookmarkEnd w:id="59"/>
      <w:bookmarkEnd w:id="60"/>
      <w:bookmarkEnd w:id="61"/>
      <w:bookmarkEnd w:id="62"/>
      <w:bookmarkEnd w:id="63"/>
      <w:bookmarkEnd w:id="64"/>
    </w:p>
    <w:p>
      <w:pPr>
        <w:bidi w:val="0"/>
        <w:jc w:val="both"/>
        <w:rPr>
          <w:rFonts w:hint="default" w:ascii="Times New Roman" w:hAnsi="Times New Roman" w:eastAsia="仿宋_GB2312" w:cs="Times New Roman"/>
          <w:b/>
          <w:bCs/>
          <w:color w:val="auto"/>
          <w:highlight w:val="none"/>
        </w:rPr>
      </w:pPr>
      <w:bookmarkStart w:id="65" w:name="_Toc18268"/>
      <w:bookmarkStart w:id="66" w:name="_Toc23487"/>
      <w:r>
        <w:rPr>
          <w:rFonts w:hint="default" w:ascii="Times New Roman" w:hAnsi="Times New Roman" w:eastAsia="仿宋_GB2312" w:cs="Times New Roman"/>
          <w:b/>
          <w:bCs/>
          <w:color w:val="auto"/>
          <w:highlight w:val="none"/>
        </w:rPr>
        <w:t>1.绩效评价原则</w:t>
      </w:r>
      <w:bookmarkEnd w:id="65"/>
      <w:bookmarkEnd w:id="66"/>
    </w:p>
    <w:p>
      <w:pPr>
        <w:ind w:firstLine="560"/>
        <w:rPr>
          <w:color w:val="auto"/>
          <w:highlight w:val="none"/>
        </w:rPr>
      </w:pPr>
      <w:bookmarkStart w:id="67" w:name="OLE_LINK2"/>
      <w:bookmarkStart w:id="68" w:name="OLE_LINK8"/>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bookmarkEnd w:id="67"/>
      <w:bookmarkEnd w:id="68"/>
    </w:p>
    <w:p>
      <w:pPr>
        <w:bidi w:val="0"/>
        <w:ind w:left="0" w:leftChars="0" w:firstLine="640" w:firstLineChars="20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（1）科学公正。绩效评价应当运用科学合理的方法，按照规范的程序，对项目绩效进行客观、</w:t>
      </w:r>
      <w:r>
        <w:rPr>
          <w:rFonts w:hint="default" w:ascii="Times New Roman" w:hAnsi="Times New Roman" w:eastAsia="仿宋_GB2312" w:cs="Times New Roman"/>
          <w:color w:val="auto"/>
          <w:highlight w:val="none"/>
          <w:lang w:eastAsia="zh-CN"/>
        </w:rPr>
        <w:t>公正地反映</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（2）统筹兼顾。单位自评应由项目单位自主实施，即“谁支出、谁自评”。</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（3）激励约束。绩效评价结果应与预算安排、政策调整、改进管理实质性挂钩，体现奖优罚劣和激励相容导向，有效要安排、低效要压减、无效要问责。</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（4）公开透明。</w:t>
      </w:r>
      <w:r>
        <w:rPr>
          <w:rFonts w:hint="default" w:ascii="Times New Roman" w:hAnsi="Times New Roman" w:eastAsia="仿宋_GB2312" w:cs="Times New Roman"/>
          <w:color w:val="auto"/>
          <w:highlight w:val="none"/>
          <w:lang w:val="en-US" w:eastAsia="zh-CN"/>
        </w:rPr>
        <w:t>本次项目支出绩效评价结果已依法依规在</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县人民政府网站上公开，并自觉接受社会监督</w:t>
      </w:r>
      <w:r>
        <w:rPr>
          <w:rFonts w:hint="default" w:ascii="Times New Roman" w:hAnsi="Times New Roman" w:eastAsia="仿宋_GB2312" w:cs="Times New Roman"/>
          <w:color w:val="auto"/>
          <w:highlight w:val="none"/>
        </w:rPr>
        <w:t>。</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69" w:name="OLE_LINK9"/>
      <w:bookmarkStart w:id="70" w:name="OLE_LINK3"/>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bookmarkEnd w:id="69"/>
      <w:bookmarkEnd w:id="70"/>
    </w:p>
    <w:p>
      <w:pPr>
        <w:bidi w:val="0"/>
        <w:ind w:left="0" w:leftChars="0" w:firstLine="643" w:firstLineChars="200"/>
        <w:jc w:val="both"/>
        <w:rPr>
          <w:rFonts w:hint="default" w:ascii="Times New Roman" w:hAnsi="Times New Roman" w:eastAsia="仿宋_GB2312" w:cs="Times New Roman"/>
          <w:b/>
          <w:bCs/>
          <w:color w:val="auto"/>
          <w:highlight w:val="none"/>
        </w:rPr>
      </w:pPr>
      <w:bookmarkStart w:id="71" w:name="_Toc28342"/>
      <w:bookmarkStart w:id="72" w:name="_Toc23112"/>
      <w:r>
        <w:rPr>
          <w:rFonts w:hint="default" w:ascii="Times New Roman" w:hAnsi="Times New Roman" w:eastAsia="仿宋_GB2312" w:cs="Times New Roman"/>
          <w:b/>
          <w:bCs/>
          <w:color w:val="auto"/>
          <w:highlight w:val="none"/>
        </w:rPr>
        <w:t>2.评价指标体系</w:t>
      </w:r>
      <w:bookmarkEnd w:id="71"/>
      <w:bookmarkEnd w:id="72"/>
    </w:p>
    <w:p>
      <w:pPr>
        <w:bidi w:val="0"/>
        <w:jc w:val="both"/>
        <w:rPr>
          <w:rFonts w:hint="default" w:ascii="Times New Roman" w:hAnsi="Times New Roman" w:eastAsia="仿宋_GB2312" w:cs="Times New Roman"/>
          <w:color w:val="auto"/>
          <w:highlight w:val="none"/>
        </w:rPr>
      </w:pP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绩效评价（部门自评）指标体系的设计，是在充分掌握项目状况的基础上，形成了</w:t>
      </w: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的项目支出绩效评价指标体系（部门自评）。本项目设计绩效评价指标体系满分100分。四个级别分别是：优、良、中、差，90（含）-100分为优、80（含）-90分为良、60（含）-80分为中、60分以下为差。</w:t>
      </w:r>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按照财预〔2020〕10号文件关于“原则上产出、效益指标权重不低于60%”的要求，本项目产出、效益指标权重60%（即60分）。</w:t>
      </w:r>
      <w:bookmarkStart w:id="73" w:name="_Toc15680"/>
      <w:bookmarkStart w:id="74" w:name="_Toc10631"/>
      <w:r>
        <w:rPr>
          <w:rFonts w:hint="eastAsia" w:eastAsia="仿宋_GB2312" w:cs="Times New Roman"/>
          <w:bCs w:val="0"/>
          <w:iCs w:val="0"/>
          <w:color w:val="auto"/>
          <w:kern w:val="2"/>
          <w:sz w:val="32"/>
          <w:szCs w:val="22"/>
          <w:highlight w:val="none"/>
          <w:lang w:val="en-US" w:eastAsia="zh-CN" w:bidi="ar-SA"/>
        </w:rPr>
        <w:t>（详见：附表2）</w:t>
      </w:r>
    </w:p>
    <w:p>
      <w:pPr>
        <w:bidi w:val="0"/>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3.绩效评价方法</w:t>
      </w:r>
      <w:bookmarkEnd w:id="73"/>
      <w:bookmarkEnd w:id="74"/>
    </w:p>
    <w:p>
      <w:pPr>
        <w:keepNext w:val="0"/>
        <w:keepLines w:val="0"/>
        <w:widowControl/>
        <w:suppressLineNumbers w:val="0"/>
        <w:jc w:val="left"/>
        <w:rPr>
          <w:color w:val="auto"/>
          <w:sz w:val="32"/>
          <w:szCs w:val="32"/>
          <w:highlight w:val="none"/>
        </w:rPr>
      </w:pPr>
      <w:bookmarkStart w:id="75" w:name="OLE_LINK10"/>
      <w:r>
        <w:rPr>
          <w:rFonts w:ascii="仿宋_GB2312" w:hAnsi="宋体" w:eastAsia="仿宋_GB2312" w:cs="仿宋_GB2312"/>
          <w:color w:val="auto"/>
          <w:kern w:val="0"/>
          <w:sz w:val="32"/>
          <w:szCs w:val="32"/>
          <w:highlight w:val="none"/>
          <w:lang w:val="en-US" w:eastAsia="zh-CN"/>
        </w:rPr>
        <w:t>绩效评价从项目决策、项目过程、项目产出、项目效益四</w:t>
      </w:r>
      <w:r>
        <w:rPr>
          <w:rFonts w:hint="eastAsia" w:ascii="仿宋_GB2312" w:hAnsi="宋体" w:eastAsia="仿宋_GB2312" w:cs="仿宋_GB2312"/>
          <w:color w:val="auto"/>
          <w:kern w:val="0"/>
          <w:sz w:val="32"/>
          <w:szCs w:val="32"/>
          <w:highlight w:val="none"/>
          <w:lang w:val="en-US" w:eastAsia="zh-CN"/>
        </w:rPr>
        <w:t>个维度进行评价。评价对象为项目目标实施情况，评价核心为资金的支出完成情况和项目的产出效益。</w:t>
      </w:r>
      <w:bookmarkEnd w:id="75"/>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结合</w:t>
      </w: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的特点，</w:t>
      </w:r>
      <w:r>
        <w:rPr>
          <w:rFonts w:hint="eastAsia" w:ascii="Times New Roman" w:hAnsi="Times New Roman" w:cs="Times New Roman"/>
          <w:color w:val="auto"/>
          <w:highlight w:val="none"/>
          <w:lang w:val="en-US" w:eastAsia="zh-CN"/>
        </w:rPr>
        <w:t>本次评价主要运用比较法、公众评判法，原因是：</w:t>
      </w:r>
    </w:p>
    <w:p>
      <w:pPr>
        <w:bidi w:val="0"/>
        <w:jc w:val="both"/>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比较法：</w:t>
      </w:r>
      <w:r>
        <w:rPr>
          <w:rFonts w:hint="default" w:ascii="Times New Roman" w:hAnsi="Times New Roman" w:eastAsia="仿宋_GB2312" w:cs="Times New Roman"/>
          <w:color w:val="auto"/>
          <w:highlight w:val="none"/>
          <w:lang w:val="en-US" w:eastAsia="zh-CN"/>
        </w:rPr>
        <w:t>本项目绩效评价将项目实施情况即实际完成的</w:t>
      </w:r>
      <w:r>
        <w:rPr>
          <w:rFonts w:hint="eastAsia" w:ascii="Times New Roman" w:hAnsi="Times New Roman" w:cs="Times New Roman"/>
          <w:color w:val="auto"/>
          <w:highlight w:val="none"/>
          <w:lang w:val="en-US" w:eastAsia="zh-CN"/>
        </w:rPr>
        <w:t>污水处理厂处理能力</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生活污水处理率</w:t>
      </w:r>
      <w:r>
        <w:rPr>
          <w:rFonts w:hint="default" w:ascii="Times New Roman" w:hAnsi="Times New Roman" w:eastAsia="仿宋_GB2312" w:cs="Times New Roman"/>
          <w:color w:val="auto"/>
          <w:highlight w:val="none"/>
          <w:lang w:val="en-US" w:eastAsia="zh-CN"/>
        </w:rPr>
        <w:t>等指标与年初设定的目标值进行比较</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b/>
          <w:bCs/>
          <w:color w:val="auto"/>
          <w:highlight w:val="none"/>
        </w:rPr>
      </w:pPr>
      <w:bookmarkStart w:id="76" w:name="_Toc15525"/>
      <w:bookmarkStart w:id="77" w:name="_Toc3155"/>
      <w:r>
        <w:rPr>
          <w:rFonts w:hint="default" w:ascii="Times New Roman" w:hAnsi="Times New Roman" w:eastAsia="仿宋_GB2312" w:cs="Times New Roman"/>
          <w:b/>
          <w:bCs/>
          <w:color w:val="auto"/>
          <w:highlight w:val="none"/>
        </w:rPr>
        <w:t>4.绩效评价标准</w:t>
      </w:r>
      <w:bookmarkEnd w:id="76"/>
      <w:bookmarkEnd w:id="7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pPr>
        <w:pStyle w:val="16"/>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结合</w:t>
      </w:r>
      <w:r>
        <w:rPr>
          <w:rFonts w:hint="eastAsia" w:ascii="仿宋_GB2312" w:hAnsi="仿宋_GB2312" w:cs="仿宋_GB2312"/>
          <w:b w:val="0"/>
          <w:bCs w:val="0"/>
          <w:color w:val="auto"/>
          <w:highlight w:val="none"/>
          <w:lang w:val="en-US" w:eastAsia="zh-CN"/>
        </w:rPr>
        <w:t>尉犁县城镇污水处理厂（二期）工程PPP项目</w:t>
      </w:r>
      <w:r>
        <w:rPr>
          <w:rFonts w:hint="default" w:ascii="Times New Roman" w:hAnsi="Times New Roman" w:eastAsia="仿宋_GB2312" w:cs="Times New Roman"/>
          <w:color w:val="auto"/>
          <w:highlight w:val="none"/>
        </w:rPr>
        <w:t>的特点，</w:t>
      </w:r>
      <w:bookmarkStart w:id="78" w:name="_Toc26411"/>
      <w:bookmarkStart w:id="79" w:name="_Toc30219"/>
      <w:bookmarkStart w:id="80" w:name="_Toc15381"/>
      <w:bookmarkStart w:id="81" w:name="_Toc17851"/>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color w:val="auto"/>
          <w:highlight w:val="none"/>
          <w:lang w:val="en-US" w:eastAsia="zh-CN"/>
        </w:rPr>
        <w:t>污水处理厂处理能力</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生活污水处理率</w:t>
      </w:r>
      <w:r>
        <w:rPr>
          <w:rFonts w:hint="default" w:ascii="Times New Roman" w:hAnsi="Times New Roman" w:eastAsia="仿宋_GB2312" w:cs="Times New Roman"/>
          <w:bCs/>
          <w:color w:val="auto"/>
          <w:kern w:val="2"/>
          <w:sz w:val="32"/>
          <w:szCs w:val="32"/>
          <w:highlight w:val="none"/>
          <w:lang w:val="en-US" w:eastAsia="zh-CN" w:bidi="ar-SA"/>
        </w:rPr>
        <w:t>为计划数作为评价标准。</w:t>
      </w:r>
      <w:r>
        <w:rPr>
          <w:rFonts w:hint="eastAsia" w:ascii="Times New Roman" w:hAnsi="Times New Roman" w:cs="Times New Roman"/>
          <w:bCs/>
          <w:color w:val="auto"/>
          <w:kern w:val="2"/>
          <w:sz w:val="32"/>
          <w:szCs w:val="32"/>
          <w:highlight w:val="none"/>
          <w:lang w:val="en-US" w:eastAsia="zh-CN" w:bidi="ar-SA"/>
        </w:rPr>
        <w:t>参照本单位同类项目绩效评价指标的历史数据作为样本，运用一定的统计学方法计算出各类指标的平均历史水平作为评价标准。</w:t>
      </w:r>
      <w:r>
        <w:rPr>
          <w:rFonts w:hint="default" w:ascii="Times New Roman" w:hAnsi="Times New Roman" w:eastAsia="仿宋_GB2312" w:cs="Times New Roman"/>
          <w:bCs/>
          <w:color w:val="auto"/>
          <w:kern w:val="2"/>
          <w:sz w:val="32"/>
          <w:szCs w:val="32"/>
          <w:highlight w:val="none"/>
          <w:lang w:val="en-US" w:eastAsia="zh-CN" w:bidi="ar-SA"/>
        </w:rPr>
        <w:t>因此，采取的绩效评价标准为：计划标准、</w:t>
      </w:r>
      <w:r>
        <w:rPr>
          <w:rFonts w:hint="eastAsia" w:ascii="Times New Roman" w:hAnsi="Times New Roman" w:cs="Times New Roman"/>
          <w:bCs/>
          <w:color w:val="auto"/>
          <w:kern w:val="2"/>
          <w:sz w:val="32"/>
          <w:szCs w:val="32"/>
          <w:highlight w:val="none"/>
          <w:lang w:val="en-US" w:eastAsia="zh-CN" w:bidi="ar-SA"/>
        </w:rPr>
        <w:t>历史</w:t>
      </w:r>
      <w:r>
        <w:rPr>
          <w:rFonts w:hint="default" w:ascii="Times New Roman" w:hAnsi="Times New Roman" w:eastAsia="仿宋_GB2312" w:cs="Times New Roman"/>
          <w:bCs/>
          <w:color w:val="auto"/>
          <w:kern w:val="2"/>
          <w:sz w:val="32"/>
          <w:szCs w:val="32"/>
          <w:highlight w:val="none"/>
          <w:lang w:val="en-US" w:eastAsia="zh-CN" w:bidi="ar-SA"/>
        </w:rPr>
        <w:t>标准。</w:t>
      </w:r>
    </w:p>
    <w:p>
      <w:pPr>
        <w:pStyle w:val="4"/>
        <w:bidi w:val="0"/>
        <w:jc w:val="both"/>
        <w:outlineLvl w:val="1"/>
        <w:rPr>
          <w:rFonts w:hint="eastAsia" w:ascii="楷体" w:hAnsi="楷体" w:eastAsia="楷体" w:cs="楷体"/>
          <w:color w:val="auto"/>
          <w:highlight w:val="none"/>
        </w:rPr>
      </w:pPr>
      <w:bookmarkStart w:id="82" w:name="_Toc26775"/>
      <w:bookmarkStart w:id="83" w:name="_Toc23335"/>
      <w:r>
        <w:rPr>
          <w:rFonts w:hint="eastAsia" w:ascii="楷体" w:hAnsi="楷体" w:eastAsia="楷体" w:cs="楷体"/>
          <w:color w:val="auto"/>
          <w:highlight w:val="none"/>
        </w:rPr>
        <w:t>（三）绩效评价工作过程</w:t>
      </w:r>
      <w:bookmarkEnd w:id="78"/>
      <w:bookmarkEnd w:id="79"/>
      <w:bookmarkEnd w:id="80"/>
      <w:bookmarkEnd w:id="81"/>
      <w:bookmarkEnd w:id="82"/>
      <w:bookmarkEnd w:id="83"/>
    </w:p>
    <w:p>
      <w:pPr>
        <w:bidi w:val="0"/>
        <w:jc w:val="both"/>
        <w:rPr>
          <w:rFonts w:hint="eastAsia" w:ascii="Times New Roman" w:hAnsi="Times New Roman" w:eastAsia="仿宋_GB2312" w:cs="Times New Roman"/>
          <w:b/>
          <w:bCs/>
          <w:color w:val="auto"/>
          <w:highlight w:val="none"/>
          <w:lang w:eastAsia="zh-CN"/>
        </w:rPr>
      </w:pPr>
      <w:bookmarkStart w:id="84" w:name="_Toc31054"/>
      <w:bookmarkStart w:id="85" w:name="_Toc22987"/>
      <w:bookmarkStart w:id="86" w:name="_Toc30911"/>
      <w:bookmarkStart w:id="87" w:name="_Toc17595"/>
      <w:bookmarkStart w:id="88" w:name="_Toc27442"/>
      <w:r>
        <w:rPr>
          <w:rFonts w:hint="default" w:ascii="Times New Roman" w:hAnsi="Times New Roman" w:eastAsia="仿宋_GB2312" w:cs="Times New Roman"/>
          <w:b/>
          <w:bCs/>
          <w:color w:val="auto"/>
          <w:highlight w:val="none"/>
        </w:rPr>
        <w:t>1.前期准备</w:t>
      </w:r>
      <w:bookmarkEnd w:id="84"/>
      <w:bookmarkEnd w:id="85"/>
      <w:bookmarkEnd w:id="86"/>
      <w:bookmarkEnd w:id="87"/>
      <w:bookmarkEnd w:id="88"/>
      <w:r>
        <w:rPr>
          <w:rFonts w:hint="eastAsia" w:ascii="Times New Roman" w:hAnsi="Times New Roman" w:cs="Times New Roman"/>
          <w:b/>
          <w:bCs/>
          <w:color w:val="auto"/>
          <w:highlight w:val="none"/>
          <w:lang w:eastAsia="zh-CN"/>
        </w:rPr>
        <w:t>（</w:t>
      </w:r>
      <w:r>
        <w:rPr>
          <w:rFonts w:hint="eastAsia" w:ascii="Times New Roman" w:hAnsi="Times New Roman" w:cs="Times New Roman"/>
          <w:b/>
          <w:bCs/>
          <w:color w:val="auto"/>
          <w:highlight w:val="none"/>
          <w:lang w:val="en-US" w:eastAsia="zh-CN"/>
        </w:rPr>
        <w:t>2025年2月10日-2025年2月28日</w:t>
      </w:r>
      <w:r>
        <w:rPr>
          <w:rFonts w:hint="eastAsia" w:ascii="Times New Roman" w:hAnsi="Times New Roman" w:cs="Times New Roman"/>
          <w:b/>
          <w:bCs/>
          <w:color w:val="auto"/>
          <w:highlight w:val="none"/>
          <w:lang w:eastAsia="zh-CN"/>
        </w:rPr>
        <w:t>）</w:t>
      </w:r>
    </w:p>
    <w:p>
      <w:pPr>
        <w:spacing w:line="600" w:lineRule="exact"/>
        <w:ind w:firstLine="640"/>
        <w:jc w:val="both"/>
        <w:rPr>
          <w:rFonts w:hint="eastAsia" w:ascii="Times New Roman" w:hAnsi="Times New Roman" w:cs="Times New Roman"/>
          <w:bCs/>
          <w:color w:val="auto"/>
          <w:szCs w:val="32"/>
          <w:highlight w:val="none"/>
          <w:lang w:val="en-US" w:eastAsia="zh-CN"/>
        </w:rPr>
      </w:pPr>
      <w:bookmarkStart w:id="89" w:name="_Toc2579"/>
      <w:r>
        <w:rPr>
          <w:rFonts w:hint="default" w:ascii="Times New Roman" w:hAnsi="Times New Roman" w:eastAsia="仿宋_GB2312" w:cs="Times New Roman"/>
          <w:bCs/>
          <w:color w:val="auto"/>
          <w:szCs w:val="32"/>
          <w:highlight w:val="none"/>
        </w:rPr>
        <w:t>按照《项目支出绩效评价管理办法》（财预〔2020〕10号）文件要求，</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rPr>
        <w:t>县</w:t>
      </w:r>
      <w:r>
        <w:rPr>
          <w:rFonts w:hint="eastAsia"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r>
        <w:rPr>
          <w:rFonts w:hint="eastAsia" w:ascii="Times New Roman" w:hAnsi="Times New Roman" w:cs="Times New Roman"/>
          <w:bCs/>
          <w:color w:val="auto"/>
          <w:szCs w:val="32"/>
          <w:highlight w:val="none"/>
          <w:lang w:val="en-US" w:eastAsia="zh-CN"/>
        </w:rPr>
        <w:t>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评价小组组长：李超锋，主要负责协调相关科室、部门对项目整体运行情况进行验收、评估。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评价小组组员：吐依洪·克来木，主要负责制定评价指标体系及评价标准。</w:t>
      </w:r>
    </w:p>
    <w:p>
      <w:pPr>
        <w:rPr>
          <w:rFonts w:hint="default"/>
          <w:color w:val="auto"/>
          <w:highlight w:val="none"/>
          <w:lang w:val="en-US" w:eastAsia="zh-CN"/>
        </w:rPr>
      </w:pPr>
      <w:r>
        <w:rPr>
          <w:rFonts w:hint="eastAsia"/>
          <w:color w:val="auto"/>
          <w:highlight w:val="none"/>
          <w:lang w:val="en-US" w:eastAsia="zh-CN"/>
        </w:rPr>
        <w:t>评价小组组员：李登峰，主要负责</w:t>
      </w:r>
      <w:r>
        <w:rPr>
          <w:rFonts w:hint="eastAsia" w:ascii="Times New Roman" w:hAnsi="Times New Roman" w:cs="Times New Roman"/>
          <w:color w:val="auto"/>
          <w:highlight w:val="none"/>
          <w:lang w:val="en-US" w:eastAsia="zh-CN"/>
        </w:rPr>
        <w:t>尉犁县城镇污水处理厂（二期）工程PPP项目项目实施、</w:t>
      </w:r>
      <w:r>
        <w:rPr>
          <w:rFonts w:hint="eastAsia"/>
          <w:color w:val="auto"/>
          <w:highlight w:val="none"/>
          <w:lang w:val="en-US" w:eastAsia="zh-CN"/>
        </w:rPr>
        <w:t>监督、评估工作。</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2.组织实施</w:t>
      </w:r>
      <w:bookmarkEnd w:id="89"/>
      <w:r>
        <w:rPr>
          <w:rFonts w:hint="eastAsia" w:ascii="Times New Roman" w:hAnsi="Times New Roman" w:cs="Times New Roman"/>
          <w:b/>
          <w:bCs/>
          <w:color w:val="auto"/>
          <w:highlight w:val="none"/>
          <w:lang w:eastAsia="zh-CN"/>
        </w:rPr>
        <w:t>（</w:t>
      </w:r>
      <w:r>
        <w:rPr>
          <w:rFonts w:hint="eastAsia" w:ascii="Times New Roman" w:hAnsi="Times New Roman" w:cs="Times New Roman"/>
          <w:b/>
          <w:bCs/>
          <w:color w:val="auto"/>
          <w:highlight w:val="none"/>
          <w:lang w:val="en-US" w:eastAsia="zh-CN"/>
        </w:rPr>
        <w:t>2025年3月1日-2025年3月10日</w:t>
      </w:r>
      <w:r>
        <w:rPr>
          <w:rFonts w:hint="eastAsia" w:ascii="Times New Roman" w:hAnsi="Times New Roman" w:cs="Times New Roman"/>
          <w:b/>
          <w:bCs/>
          <w:color w:val="auto"/>
          <w:highlight w:val="none"/>
          <w:lang w:eastAsia="zh-CN"/>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default" w:ascii="Times New Roman" w:hAnsi="Times New Roman" w:eastAsia="仿宋_GB2312" w:cs="Times New Roman"/>
          <w:b/>
          <w:bCs/>
          <w:color w:val="auto"/>
          <w:highlight w:val="none"/>
        </w:rPr>
      </w:pPr>
      <w:bookmarkStart w:id="90" w:name="_Toc19781"/>
      <w:r>
        <w:rPr>
          <w:rFonts w:hint="default" w:ascii="Times New Roman" w:hAnsi="Times New Roman" w:eastAsia="仿宋_GB2312" w:cs="Times New Roman"/>
          <w:b/>
          <w:bCs/>
          <w:color w:val="auto"/>
          <w:highlight w:val="none"/>
        </w:rPr>
        <w:t>3.数据集中分析</w:t>
      </w:r>
      <w:bookmarkEnd w:id="90"/>
      <w:r>
        <w:rPr>
          <w:rFonts w:hint="eastAsia" w:ascii="Times New Roman" w:hAnsi="Times New Roman" w:cs="Times New Roman"/>
          <w:b/>
          <w:bCs/>
          <w:color w:val="auto"/>
          <w:highlight w:val="none"/>
          <w:lang w:eastAsia="zh-CN"/>
        </w:rPr>
        <w:t>（</w:t>
      </w:r>
      <w:r>
        <w:rPr>
          <w:rFonts w:hint="eastAsia" w:ascii="Times New Roman" w:hAnsi="Times New Roman" w:cs="Times New Roman"/>
          <w:b/>
          <w:bCs/>
          <w:color w:val="auto"/>
          <w:highlight w:val="none"/>
          <w:lang w:val="en-US" w:eastAsia="zh-CN"/>
        </w:rPr>
        <w:t>2025年3月11日-2025年3月20日</w:t>
      </w:r>
      <w:r>
        <w:rPr>
          <w:rFonts w:hint="eastAsia" w:ascii="Times New Roman" w:hAnsi="Times New Roman" w:cs="Times New Roman"/>
          <w:b/>
          <w:bCs/>
          <w:color w:val="auto"/>
          <w:highlight w:val="none"/>
          <w:lang w:eastAsia="zh-CN"/>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对相关资料，包括资金文件、项目实施方案、相关管理办法，问卷调查等进行集中分析。在查阅大量项目资料的基础上，根据考察、考评的结果进行整理、分析。</w:t>
      </w:r>
    </w:p>
    <w:p>
      <w:pPr>
        <w:bidi w:val="0"/>
        <w:jc w:val="both"/>
        <w:rPr>
          <w:rFonts w:hint="default" w:ascii="Times New Roman" w:hAnsi="Times New Roman" w:eastAsia="仿宋_GB2312" w:cs="Times New Roman"/>
          <w:b/>
          <w:bCs/>
          <w:color w:val="auto"/>
          <w:highlight w:val="none"/>
        </w:rPr>
      </w:pPr>
      <w:bookmarkStart w:id="91" w:name="_Toc5021"/>
      <w:r>
        <w:rPr>
          <w:rFonts w:hint="default" w:ascii="Times New Roman" w:hAnsi="Times New Roman" w:eastAsia="仿宋_GB2312" w:cs="Times New Roman"/>
          <w:b/>
          <w:bCs/>
          <w:color w:val="auto"/>
          <w:highlight w:val="none"/>
        </w:rPr>
        <w:t>4.分析总结</w:t>
      </w:r>
      <w:bookmarkEnd w:id="91"/>
      <w:r>
        <w:rPr>
          <w:rFonts w:hint="eastAsia" w:ascii="Times New Roman" w:hAnsi="Times New Roman" w:cs="Times New Roman"/>
          <w:b/>
          <w:bCs/>
          <w:color w:val="auto"/>
          <w:highlight w:val="none"/>
          <w:lang w:eastAsia="zh-CN"/>
        </w:rPr>
        <w:t>（</w:t>
      </w:r>
      <w:r>
        <w:rPr>
          <w:rFonts w:hint="eastAsia" w:ascii="Times New Roman" w:hAnsi="Times New Roman" w:cs="Times New Roman"/>
          <w:b/>
          <w:bCs/>
          <w:color w:val="auto"/>
          <w:highlight w:val="none"/>
          <w:lang w:val="en-US" w:eastAsia="zh-CN"/>
        </w:rPr>
        <w:t>2025年3月21日-2025年3月31日</w:t>
      </w:r>
      <w:r>
        <w:rPr>
          <w:rFonts w:hint="eastAsia" w:ascii="Times New Roman" w:hAnsi="Times New Roman" w:cs="Times New Roman"/>
          <w:b/>
          <w:bCs/>
          <w:color w:val="auto"/>
          <w:highlight w:val="none"/>
          <w:lang w:eastAsia="zh-CN"/>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（1）根据部门自评的意见及考察、考评的结果进行整理、分析，撰写绩效评价报告初稿；</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（2）就部门自评报告与部门具体有关股室征求意见，形成最终的绩效评价报告。</w:t>
      </w:r>
    </w:p>
    <w:p>
      <w:pPr>
        <w:bidi w:val="0"/>
        <w:rPr>
          <w:rFonts w:hint="default"/>
          <w:color w:val="auto"/>
          <w:highlight w:val="none"/>
        </w:rPr>
      </w:pPr>
      <w:r>
        <w:rPr>
          <w:rFonts w:hint="default"/>
          <w:color w:val="auto"/>
          <w:highlight w:val="none"/>
        </w:rPr>
        <w:t>5.问题整改</w:t>
      </w:r>
    </w:p>
    <w:p>
      <w:pPr>
        <w:bidi w:val="0"/>
        <w:rPr>
          <w:rFonts w:hint="default"/>
          <w:color w:val="auto"/>
          <w:highlight w:val="none"/>
        </w:rPr>
      </w:pPr>
      <w:r>
        <w:rPr>
          <w:rFonts w:hint="default"/>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rFonts w:hint="default"/>
          <w:color w:val="auto"/>
          <w:highlight w:val="none"/>
        </w:rPr>
      </w:pPr>
      <w:r>
        <w:rPr>
          <w:rFonts w:hint="default"/>
          <w:color w:val="auto"/>
          <w:highlight w:val="none"/>
        </w:rPr>
        <w:t>6.档案整理</w:t>
      </w:r>
    </w:p>
    <w:p>
      <w:pPr>
        <w:bidi w:val="0"/>
        <w:rPr>
          <w:rFonts w:hint="default"/>
          <w:color w:val="auto"/>
          <w:highlight w:val="none"/>
        </w:rPr>
      </w:pPr>
      <w:r>
        <w:rPr>
          <w:rFonts w:hint="default"/>
          <w:color w:val="auto"/>
          <w:highlight w:val="none"/>
        </w:rPr>
        <w:t>建立和落实档案管理制度，将项目相关资料存档，包括但不限于：评价项目基本情况和相关文件、评价实施方案、项目支付资料等相关档案。</w:t>
      </w:r>
    </w:p>
    <w:p>
      <w:pPr>
        <w:pStyle w:val="2"/>
        <w:bidi w:val="0"/>
        <w:jc w:val="both"/>
        <w:outlineLvl w:val="0"/>
        <w:rPr>
          <w:rFonts w:hint="eastAsia" w:ascii="黑体" w:hAnsi="黑体" w:eastAsia="黑体" w:cs="黑体"/>
          <w:color w:val="auto"/>
          <w:highlight w:val="none"/>
        </w:rPr>
      </w:pPr>
      <w:bookmarkStart w:id="92" w:name="_Toc1808"/>
      <w:bookmarkStart w:id="93" w:name="_Toc7874"/>
      <w:bookmarkStart w:id="94" w:name="_Toc21627"/>
      <w:bookmarkStart w:id="95" w:name="_Toc31058"/>
      <w:bookmarkStart w:id="96" w:name="_Toc16639"/>
      <w:bookmarkStart w:id="97" w:name="_Toc32641"/>
      <w:bookmarkStart w:id="98" w:name="_Toc25201"/>
      <w:r>
        <w:rPr>
          <w:rFonts w:hint="eastAsia" w:ascii="黑体" w:hAnsi="黑体" w:eastAsia="黑体" w:cs="黑体"/>
          <w:color w:val="auto"/>
          <w:highlight w:val="none"/>
        </w:rPr>
        <w:t>三、综合评价情况及评价结论</w:t>
      </w:r>
      <w:bookmarkEnd w:id="92"/>
      <w:bookmarkEnd w:id="93"/>
      <w:bookmarkEnd w:id="94"/>
      <w:bookmarkEnd w:id="95"/>
      <w:bookmarkEnd w:id="96"/>
      <w:bookmarkEnd w:id="97"/>
      <w:bookmarkEnd w:id="98"/>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本项目的绩效评价结果为“优”，综合评分</w:t>
      </w:r>
      <w:r>
        <w:rPr>
          <w:rFonts w:hint="eastAsia" w:ascii="Times New Roman" w:hAnsi="Times New Roman" w:cs="Times New Roman"/>
          <w:color w:val="auto"/>
          <w:highlight w:val="none"/>
          <w:lang w:val="en-US" w:eastAsia="zh-CN"/>
        </w:rPr>
        <w:t>99.34</w:t>
      </w:r>
      <w:r>
        <w:rPr>
          <w:rFonts w:hint="default" w:ascii="Times New Roman" w:hAnsi="Times New Roman" w:eastAsia="仿宋_GB2312" w:cs="Times New Roman"/>
          <w:color w:val="auto"/>
          <w:highlight w:val="none"/>
        </w:rPr>
        <w:t>分。其中项目决策22分，项目过程</w:t>
      </w:r>
      <w:r>
        <w:rPr>
          <w:rFonts w:hint="eastAsia" w:ascii="Times New Roman" w:hAnsi="Times New Roman" w:cs="Times New Roman"/>
          <w:color w:val="auto"/>
          <w:highlight w:val="none"/>
          <w:lang w:val="en-US" w:eastAsia="zh-CN"/>
        </w:rPr>
        <w:t>17.98</w:t>
      </w:r>
      <w:r>
        <w:rPr>
          <w:rFonts w:hint="default" w:ascii="Times New Roman" w:hAnsi="Times New Roman" w:eastAsia="仿宋_GB2312" w:cs="Times New Roman"/>
          <w:color w:val="auto"/>
          <w:highlight w:val="none"/>
        </w:rPr>
        <w:t>分，</w:t>
      </w:r>
      <w:r>
        <w:rPr>
          <w:rFonts w:hint="eastAsia" w:ascii="Times New Roman" w:hAnsi="Times New Roman" w:cs="Times New Roman"/>
          <w:color w:val="auto"/>
          <w:highlight w:val="none"/>
          <w:lang w:val="en-US" w:eastAsia="zh-CN"/>
        </w:rPr>
        <w:t>扣分原因：</w:t>
      </w:r>
      <w:r>
        <w:rPr>
          <w:rFonts w:hint="default" w:ascii="Times New Roman" w:hAnsi="Times New Roman" w:eastAsia="仿宋_GB2312" w:cs="Times New Roman"/>
          <w:color w:val="auto"/>
          <w:highlight w:val="none"/>
        </w:rPr>
        <w:t>本项目到位资金</w:t>
      </w:r>
      <w:r>
        <w:rPr>
          <w:rFonts w:hint="eastAsia" w:ascii="Times New Roman" w:hAnsi="Times New Roman" w:eastAsia="仿宋_GB2312" w:cs="Times New Roman"/>
          <w:color w:val="auto"/>
          <w:highlight w:val="none"/>
          <w:lang w:val="en-US" w:eastAsia="zh-CN"/>
        </w:rPr>
        <w:t>331</w:t>
      </w:r>
      <w:r>
        <w:rPr>
          <w:rFonts w:hint="default" w:ascii="Times New Roman" w:hAnsi="Times New Roman" w:eastAsia="仿宋_GB2312" w:cs="Times New Roman"/>
          <w:color w:val="auto"/>
          <w:highlight w:val="none"/>
        </w:rPr>
        <w:t>万元，实际支付资金</w:t>
      </w:r>
      <w:r>
        <w:rPr>
          <w:rFonts w:hint="eastAsia" w:ascii="Times New Roman" w:hAnsi="Times New Roman" w:eastAsia="仿宋_GB2312" w:cs="Times New Roman"/>
          <w:color w:val="auto"/>
          <w:highlight w:val="none"/>
          <w:lang w:val="en-US" w:eastAsia="zh-CN"/>
        </w:rPr>
        <w:t>329.4</w:t>
      </w:r>
      <w:r>
        <w:rPr>
          <w:rFonts w:hint="default" w:ascii="Times New Roman" w:hAnsi="Times New Roman" w:eastAsia="仿宋_GB2312" w:cs="Times New Roman"/>
          <w:color w:val="auto"/>
          <w:highlight w:val="none"/>
        </w:rPr>
        <w:t>万元，预算执行率为</w:t>
      </w:r>
      <w:r>
        <w:rPr>
          <w:rFonts w:hint="eastAsia" w:ascii="Times New Roman" w:hAnsi="Times New Roman" w:eastAsia="仿宋_GB2312" w:cs="Times New Roman"/>
          <w:color w:val="auto"/>
          <w:highlight w:val="none"/>
          <w:lang w:val="en-US" w:eastAsia="zh-CN"/>
        </w:rPr>
        <w:t>99.52</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项目产出管理得分</w:t>
      </w:r>
      <w:r>
        <w:rPr>
          <w:rFonts w:hint="eastAsia" w:ascii="Times New Roman" w:hAnsi="Times New Roman" w:cs="Times New Roman"/>
          <w:color w:val="auto"/>
          <w:highlight w:val="none"/>
          <w:lang w:val="en-US" w:eastAsia="zh-CN"/>
        </w:rPr>
        <w:t>39.36</w:t>
      </w:r>
      <w:r>
        <w:rPr>
          <w:rFonts w:hint="default" w:ascii="Times New Roman" w:hAnsi="Times New Roman" w:eastAsia="仿宋_GB2312" w:cs="Times New Roman"/>
          <w:color w:val="auto"/>
          <w:highlight w:val="none"/>
        </w:rPr>
        <w:t>分</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扣</w:t>
      </w:r>
      <w:r>
        <w:rPr>
          <w:rFonts w:hint="eastAsia" w:ascii="Times New Roman" w:hAnsi="Times New Roman" w:eastAsia="仿宋_GB2312" w:cs="Times New Roman"/>
          <w:color w:val="auto"/>
          <w:highlight w:val="none"/>
          <w:lang w:val="en-US" w:eastAsia="zh-CN"/>
        </w:rPr>
        <w:t>分原因</w:t>
      </w:r>
      <w:r>
        <w:rPr>
          <w:rFonts w:hint="eastAsia" w:ascii="Times New Roman" w:hAnsi="Times New Roman" w:cs="Times New Roman"/>
          <w:color w:val="auto"/>
          <w:highlight w:val="none"/>
          <w:lang w:val="en-US" w:eastAsia="zh-CN"/>
        </w:rPr>
        <w:t>：1.</w:t>
      </w:r>
      <w:r>
        <w:rPr>
          <w:rFonts w:hint="eastAsia" w:ascii="Times New Roman" w:hAnsi="Times New Roman" w:eastAsia="仿宋_GB2312" w:cs="Times New Roman"/>
          <w:color w:val="auto"/>
          <w:highlight w:val="none"/>
          <w:lang w:val="en-US" w:eastAsia="zh-CN"/>
        </w:rPr>
        <w:t>污水处理厂处理能力年初设定目标值过高，实际处理能力未达到。</w:t>
      </w:r>
      <w:r>
        <w:rPr>
          <w:rFonts w:hint="eastAsia" w:ascii="Times New Roman" w:hAnsi="Times New Roman" w:cs="Times New Roman"/>
          <w:color w:val="auto"/>
          <w:highlight w:val="none"/>
          <w:lang w:val="en-US" w:eastAsia="zh-CN"/>
        </w:rPr>
        <w:t>2.</w:t>
      </w:r>
      <w:r>
        <w:rPr>
          <w:rFonts w:hint="eastAsia" w:ascii="Times New Roman" w:hAnsi="Times New Roman" w:eastAsia="仿宋_GB2312" w:cs="Times New Roman"/>
          <w:color w:val="auto"/>
          <w:highlight w:val="none"/>
          <w:lang w:val="en-US" w:eastAsia="zh-CN"/>
        </w:rPr>
        <w:t>全年预算污水处理费用</w:t>
      </w:r>
      <w:r>
        <w:rPr>
          <w:rFonts w:hint="eastAsia" w:ascii="Times New Roman" w:hAnsi="Times New Roman" w:cs="Times New Roman"/>
          <w:color w:val="auto"/>
          <w:highlight w:val="none"/>
          <w:lang w:val="en-US" w:eastAsia="zh-CN"/>
        </w:rPr>
        <w:t>未支付完，</w:t>
      </w:r>
      <w:r>
        <w:rPr>
          <w:rFonts w:hint="eastAsia" w:ascii="Times New Roman" w:hAnsi="Times New Roman" w:eastAsia="仿宋_GB2312" w:cs="Times New Roman"/>
          <w:color w:val="auto"/>
          <w:highlight w:val="none"/>
          <w:lang w:val="en-US" w:eastAsia="zh-CN"/>
        </w:rPr>
        <w:t>剩余资金为风险金</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项目效益20分</w:t>
      </w:r>
      <w:r>
        <w:rPr>
          <w:rFonts w:hint="default" w:ascii="Times New Roman" w:hAnsi="Times New Roman" w:eastAsia="仿宋_GB2312" w:cs="Times New Roman"/>
          <w:color w:val="auto"/>
          <w:highlight w:val="none"/>
          <w:lang w:val="en-US" w:eastAsia="zh-CN"/>
        </w:rPr>
        <w:t>。各部分权重和绩效汇总分值如下表所示：</w:t>
      </w:r>
    </w:p>
    <w:tbl>
      <w:tblPr>
        <w:tblStyle w:val="12"/>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30"/>
              <w:bidi w:val="0"/>
              <w:jc w:val="center"/>
              <w:rPr>
                <w:rFonts w:hint="eastAsia" w:ascii="Times New Roman" w:hAnsi="Times New Roman" w:cs="Times New Roman"/>
                <w:color w:val="auto"/>
                <w:highlight w:val="none"/>
                <w:lang w:val="en-US" w:eastAsia="zh-CN"/>
              </w:rPr>
            </w:pPr>
            <w:bookmarkStart w:id="99" w:name="_Toc3488"/>
            <w:bookmarkStart w:id="100" w:name="_Toc29260"/>
            <w:bookmarkStart w:id="101" w:name="_Toc30727"/>
            <w:bookmarkStart w:id="102" w:name="_Toc17356"/>
            <w:r>
              <w:rPr>
                <w:rFonts w:hint="eastAsia" w:ascii="Times New Roman" w:hAnsi="Times New Roman" w:cs="Times New Roman"/>
                <w:color w:val="auto"/>
                <w:highlight w:val="none"/>
                <w:lang w:val="en-US" w:eastAsia="zh-CN"/>
              </w:rPr>
              <w:t>2024年尉犁县城镇污水处理厂（二期）工程PPP项目</w:t>
            </w:r>
            <w:bookmarkEnd w:id="99"/>
            <w:bookmarkEnd w:id="100"/>
          </w:p>
          <w:p>
            <w:pPr>
              <w:pStyle w:val="30"/>
              <w:bidi w:val="0"/>
              <w:jc w:val="center"/>
              <w:rPr>
                <w:rFonts w:hint="default" w:ascii="Times New Roman" w:hAnsi="Times New Roman" w:eastAsia="仿宋_GB2312" w:cs="Times New Roman"/>
                <w:color w:val="auto"/>
                <w:highlight w:val="none"/>
              </w:rPr>
            </w:pPr>
            <w:bookmarkStart w:id="103" w:name="_Toc17932"/>
            <w:bookmarkStart w:id="104" w:name="_Toc2274"/>
            <w:r>
              <w:rPr>
                <w:rFonts w:hint="eastAsia" w:ascii="Times New Roman" w:hAnsi="Times New Roman" w:cs="Times New Roman"/>
                <w:color w:val="auto"/>
                <w:highlight w:val="none"/>
                <w:lang w:val="en-US" w:eastAsia="zh-CN"/>
              </w:rPr>
              <w:t>服务费</w:t>
            </w:r>
            <w:bookmarkStart w:id="105" w:name="_Toc16086"/>
            <w:bookmarkStart w:id="106" w:name="_Toc3703"/>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103"/>
            <w:bookmarkEnd w:id="104"/>
            <w:bookmarkEnd w:id="105"/>
            <w:bookmarkEnd w:id="106"/>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100</w:t>
            </w:r>
            <w:r>
              <w:rPr>
                <w:rFonts w:hint="eastAsia" w:cs="Times New Roman"/>
                <w:color w:val="auto"/>
                <w:highlight w:val="none"/>
                <w:lang w:val="en-US" w:eastAsia="zh-CN"/>
              </w:rP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lang w:val="en-US" w:eastAsia="zh-CN"/>
              </w:rPr>
            </w:pPr>
            <w:r>
              <w:rPr>
                <w:rFonts w:hint="eastAsia" w:cs="Times New Roman"/>
                <w:color w:val="auto"/>
                <w:highlight w:val="none"/>
                <w:lang w:val="en-US" w:eastAsia="zh-CN"/>
              </w:rPr>
              <w:t>17.98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lang w:val="en-US" w:eastAsia="zh-CN"/>
              </w:rPr>
            </w:pPr>
            <w:r>
              <w:rPr>
                <w:rFonts w:hint="eastAsia" w:cs="Times New Roman"/>
                <w:color w:val="auto"/>
                <w:highlight w:val="none"/>
                <w:lang w:val="en-US" w:eastAsia="zh-CN"/>
              </w:rPr>
              <w:t>39.36</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auto"/>
                <w:highlight w:val="none"/>
                <w:lang w:val="en-US" w:eastAsia="zh-CN"/>
              </w:rPr>
            </w:pPr>
            <w:r>
              <w:rPr>
                <w:rFonts w:hint="eastAsia" w:cs="Times New Roman"/>
                <w:color w:val="auto"/>
                <w:highlight w:val="none"/>
                <w:lang w:val="en-US" w:eastAsia="zh-CN"/>
              </w:rPr>
              <w:t>99.34</w:t>
            </w:r>
          </w:p>
        </w:tc>
      </w:tr>
    </w:tbl>
    <w:p>
      <w:pPr>
        <w:pStyle w:val="2"/>
        <w:bidi w:val="0"/>
        <w:jc w:val="both"/>
        <w:outlineLvl w:val="0"/>
        <w:rPr>
          <w:rFonts w:hint="eastAsia" w:ascii="黑体" w:hAnsi="黑体" w:eastAsia="黑体" w:cs="黑体"/>
          <w:color w:val="auto"/>
          <w:highlight w:val="none"/>
        </w:rPr>
      </w:pPr>
      <w:bookmarkStart w:id="107" w:name="_Toc2973"/>
      <w:bookmarkStart w:id="108" w:name="_Toc9061"/>
      <w:bookmarkStart w:id="109" w:name="_Toc29439"/>
      <w:bookmarkStart w:id="110" w:name="_Toc13630"/>
      <w:bookmarkStart w:id="111" w:name="_Toc4904"/>
      <w:r>
        <w:rPr>
          <w:rFonts w:hint="eastAsia" w:ascii="黑体" w:hAnsi="黑体" w:eastAsia="黑体" w:cs="黑体"/>
          <w:color w:val="auto"/>
          <w:highlight w:val="none"/>
        </w:rPr>
        <w:t>四、绩效评价指标分析</w:t>
      </w:r>
      <w:bookmarkEnd w:id="101"/>
      <w:bookmarkEnd w:id="102"/>
      <w:bookmarkEnd w:id="107"/>
      <w:bookmarkEnd w:id="108"/>
      <w:bookmarkEnd w:id="109"/>
      <w:bookmarkEnd w:id="110"/>
      <w:bookmarkEnd w:id="111"/>
    </w:p>
    <w:p>
      <w:pPr>
        <w:pStyle w:val="4"/>
        <w:bidi w:val="0"/>
        <w:jc w:val="both"/>
        <w:outlineLvl w:val="1"/>
        <w:rPr>
          <w:rFonts w:hint="eastAsia" w:ascii="楷体" w:hAnsi="楷体" w:eastAsia="楷体" w:cs="楷体"/>
          <w:color w:val="auto"/>
          <w:highlight w:val="none"/>
        </w:rPr>
      </w:pPr>
      <w:bookmarkStart w:id="112" w:name="_Toc22323"/>
      <w:bookmarkStart w:id="113" w:name="_Toc1968"/>
      <w:bookmarkStart w:id="114" w:name="_Toc30337"/>
      <w:bookmarkStart w:id="115" w:name="_Toc28477"/>
      <w:bookmarkStart w:id="116" w:name="_Toc7706"/>
      <w:bookmarkStart w:id="117" w:name="_Toc2901"/>
      <w:r>
        <w:rPr>
          <w:rFonts w:hint="eastAsia" w:ascii="楷体" w:hAnsi="楷体" w:eastAsia="楷体" w:cs="楷体"/>
          <w:color w:val="auto"/>
          <w:highlight w:val="none"/>
        </w:rPr>
        <w:t>（一）项目决策情况</w:t>
      </w:r>
      <w:bookmarkEnd w:id="112"/>
      <w:bookmarkEnd w:id="113"/>
      <w:bookmarkEnd w:id="114"/>
      <w:bookmarkEnd w:id="115"/>
      <w:bookmarkEnd w:id="116"/>
      <w:bookmarkEnd w:id="117"/>
    </w:p>
    <w:p>
      <w:pPr>
        <w:bidi w:val="0"/>
        <w:jc w:val="both"/>
        <w:rPr>
          <w:rFonts w:hint="default" w:ascii="Times New Roman" w:hAnsi="Times New Roman" w:eastAsia="仿宋_GB2312" w:cs="Times New Roman"/>
          <w:b/>
          <w:bCs/>
          <w:color w:val="auto"/>
          <w:highlight w:val="none"/>
        </w:rPr>
      </w:pPr>
      <w:bookmarkStart w:id="118" w:name="_Toc510"/>
      <w:bookmarkStart w:id="119" w:name="_Toc22511"/>
      <w:r>
        <w:rPr>
          <w:rFonts w:hint="default" w:ascii="Times New Roman" w:hAnsi="Times New Roman" w:eastAsia="仿宋_GB2312" w:cs="Times New Roman"/>
          <w:b/>
          <w:bCs/>
          <w:color w:val="auto"/>
          <w:highlight w:val="none"/>
        </w:rPr>
        <w:t>1.</w:t>
      </w:r>
      <w:r>
        <w:rPr>
          <w:rFonts w:hint="eastAsia" w:ascii="Times New Roman" w:hAnsi="Times New Roman" w:cs="Times New Roman"/>
          <w:b/>
          <w:bCs/>
          <w:color w:val="auto"/>
          <w:highlight w:val="none"/>
          <w:lang w:val="en-US" w:eastAsia="zh-CN"/>
        </w:rPr>
        <w:t>实施</w:t>
      </w:r>
      <w:r>
        <w:rPr>
          <w:rFonts w:hint="default" w:ascii="Times New Roman" w:hAnsi="Times New Roman" w:eastAsia="仿宋_GB2312" w:cs="Times New Roman"/>
          <w:b/>
          <w:bCs/>
          <w:color w:val="auto"/>
          <w:highlight w:val="none"/>
        </w:rPr>
        <w:t>依据充分性</w:t>
      </w:r>
      <w:bookmarkEnd w:id="118"/>
      <w:bookmarkEnd w:id="119"/>
    </w:p>
    <w:p>
      <w:pPr>
        <w:bidi w:val="0"/>
        <w:rPr>
          <w:rFonts w:hint="eastAsia" w:eastAsia="仿宋_GB2312"/>
          <w:b/>
          <w:bCs/>
          <w:color w:val="auto"/>
          <w:highlight w:val="none"/>
          <w:lang w:val="en-US" w:eastAsia="zh-CN"/>
        </w:rPr>
      </w:pPr>
      <w:r>
        <w:rPr>
          <w:rFonts w:hint="eastAsia"/>
          <w:b/>
          <w:bCs/>
          <w:color w:val="auto"/>
          <w:highlight w:val="none"/>
          <w:lang w:eastAsia="zh-CN"/>
        </w:rPr>
        <w:t>（</w:t>
      </w:r>
      <w:r>
        <w:rPr>
          <w:rFonts w:hint="eastAsia"/>
          <w:b/>
          <w:bCs/>
          <w:color w:val="auto"/>
          <w:highlight w:val="none"/>
        </w:rPr>
        <w:t>与本项目相关的自治区级或中央级政策或法律法规</w:t>
      </w:r>
      <w:r>
        <w:rPr>
          <w:rFonts w:hint="eastAsia"/>
          <w:b/>
          <w:bCs/>
          <w:color w:val="auto"/>
          <w:highlight w:val="none"/>
          <w:lang w:eastAsia="zh-CN"/>
        </w:rPr>
        <w:t>；</w:t>
      </w:r>
      <w:r>
        <w:rPr>
          <w:rFonts w:hint="eastAsia"/>
          <w:b/>
          <w:bCs/>
          <w:color w:val="auto"/>
          <w:highlight w:val="none"/>
        </w:rPr>
        <w:t>本项目所涉及的行业发展规划中的内容及规划文件。</w:t>
      </w:r>
      <w:r>
        <w:rPr>
          <w:rFonts w:hint="eastAsia"/>
          <w:b/>
          <w:bCs/>
          <w:color w:val="auto"/>
          <w:highlight w:val="none"/>
          <w:lang w:eastAsia="zh-CN"/>
        </w:rPr>
        <w:t>）</w:t>
      </w:r>
    </w:p>
    <w:p>
      <w:pPr>
        <w:bidi w:val="0"/>
        <w:jc w:val="both"/>
        <w:rPr>
          <w:rFonts w:hint="default" w:ascii="Times New Roman" w:hAnsi="Times New Roman" w:eastAsia="仿宋_GB2312" w:cs="Times New Roman"/>
          <w:color w:val="auto"/>
          <w:highlight w:val="none"/>
        </w:rPr>
      </w:pPr>
      <w:r>
        <w:rPr>
          <w:rFonts w:hint="eastAsia"/>
          <w:color w:val="auto"/>
          <w:highlight w:val="none"/>
        </w:rPr>
        <w:t>本项目</w:t>
      </w:r>
      <w:r>
        <w:rPr>
          <w:rFonts w:hint="eastAsia"/>
          <w:color w:val="auto"/>
          <w:highlight w:val="none"/>
          <w:lang w:val="en-US" w:eastAsia="zh-CN"/>
        </w:rPr>
        <w:t>实施</w:t>
      </w:r>
      <w:r>
        <w:rPr>
          <w:rFonts w:hint="eastAsia"/>
          <w:color w:val="auto"/>
          <w:highlight w:val="none"/>
        </w:rPr>
        <w:t>符合新疆维吾尔自治区发展改革委、新疆维吾尔自治区财政厅、新疆维吾尔自治区住建厅颁发的《关于制定和调整污水处理收费标准等有关问题的通知》（发改价格〔</w:t>
      </w:r>
      <w:r>
        <w:rPr>
          <w:rFonts w:hint="eastAsia"/>
          <w:color w:val="auto"/>
          <w:highlight w:val="none"/>
          <w:lang w:val="en-US" w:eastAsia="zh-CN"/>
        </w:rPr>
        <w:t>2015</w:t>
      </w:r>
      <w:r>
        <w:rPr>
          <w:rFonts w:hint="eastAsia"/>
          <w:color w:val="auto"/>
          <w:highlight w:val="none"/>
        </w:rPr>
        <w:t>〕</w:t>
      </w:r>
      <w:r>
        <w:rPr>
          <w:rFonts w:hint="eastAsia"/>
          <w:color w:val="auto"/>
          <w:highlight w:val="none"/>
          <w:lang w:val="en-US" w:eastAsia="zh-CN"/>
        </w:rPr>
        <w:t>119</w:t>
      </w:r>
      <w:r>
        <w:rPr>
          <w:rFonts w:hint="eastAsia"/>
          <w:color w:val="auto"/>
          <w:highlight w:val="none"/>
        </w:rPr>
        <w:t>号）中：“四、鼓励社会资本投入。各地应充分发挥价格杠杆作用，合理制定和调整污水处理收费标准，形成合理预期，吸引更多社会资本通过特许经营、政府购买服务、股权合作等方式，积极参与污水处理设施的投资建设和运营服务，提高污水处理能力和运营效率。政府应严格按照运营维护合同约定，及时足额拨付污水处理运营服务费，确保收取的污水处理费专项用于城镇污水处理设施建设、运行和污泥处理处置。鼓励工业园区</w:t>
      </w:r>
      <w:r>
        <w:rPr>
          <w:rFonts w:hint="eastAsia"/>
          <w:color w:val="auto"/>
          <w:highlight w:val="none"/>
          <w:lang w:eastAsia="zh-CN"/>
        </w:rPr>
        <w:t>（</w:t>
      </w:r>
      <w:r>
        <w:rPr>
          <w:rFonts w:hint="eastAsia"/>
          <w:color w:val="auto"/>
          <w:highlight w:val="none"/>
        </w:rPr>
        <w:t>开发区</w:t>
      </w:r>
      <w:r>
        <w:rPr>
          <w:rFonts w:hint="eastAsia"/>
          <w:color w:val="auto"/>
          <w:highlight w:val="none"/>
          <w:lang w:eastAsia="zh-CN"/>
        </w:rPr>
        <w:t>）</w:t>
      </w:r>
      <w:r>
        <w:rPr>
          <w:rFonts w:hint="eastAsia"/>
          <w:color w:val="auto"/>
          <w:highlight w:val="none"/>
        </w:rPr>
        <w:t>内污水处理单位与污水排放企业协商确定污水处理收费，提高污水处理市场化程度和处理效率”；本项目</w:t>
      </w:r>
      <w:r>
        <w:rPr>
          <w:rFonts w:hint="eastAsia"/>
          <w:color w:val="auto"/>
          <w:highlight w:val="none"/>
          <w:lang w:val="en-US" w:eastAsia="zh-CN"/>
        </w:rPr>
        <w:t>实施</w:t>
      </w:r>
      <w:r>
        <w:rPr>
          <w:rFonts w:hint="eastAsia"/>
          <w:color w:val="auto"/>
          <w:highlight w:val="none"/>
        </w:rPr>
        <w:t>符合《关于制定和调整污水处理收费标准等有关问题的通知》中：“政府应严格按照运营维护合同约定，及时足额拨付污水处理运营服务费，确保收取的污水处理费专项用于城镇污水处理设施建设、运行和污泥处理处置。”内容</w:t>
      </w:r>
      <w:r>
        <w:rPr>
          <w:rFonts w:hint="eastAsia"/>
          <w:color w:val="auto"/>
          <w:highlight w:val="none"/>
          <w:lang w:eastAsia="zh-CN"/>
        </w:rPr>
        <w:t>。</w:t>
      </w:r>
      <w:r>
        <w:rPr>
          <w:rFonts w:hint="eastAsia"/>
          <w:color w:val="auto"/>
          <w:highlight w:val="none"/>
          <w:lang w:val="en-US" w:eastAsia="zh-CN"/>
        </w:rPr>
        <w:t>因此，</w:t>
      </w:r>
      <w:r>
        <w:rPr>
          <w:rFonts w:hint="eastAsia"/>
          <w:color w:val="auto"/>
          <w:highlight w:val="none"/>
        </w:rPr>
        <w:t>符合行业发展规划和政策要求</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w:t>
      </w:r>
      <w:r>
        <w:rPr>
          <w:rFonts w:hint="eastAsia" w:cs="Times New Roman"/>
          <w:color w:val="auto"/>
          <w:highlight w:val="none"/>
          <w:lang w:val="en-US" w:eastAsia="zh-CN"/>
        </w:rPr>
        <w:t>于</w:t>
      </w:r>
      <w:bookmarkStart w:id="226" w:name="_GoBack"/>
      <w:bookmarkEnd w:id="226"/>
      <w:r>
        <w:rPr>
          <w:rFonts w:hint="default" w:ascii="Times New Roman" w:hAnsi="Times New Roman" w:eastAsia="仿宋_GB2312" w:cs="Times New Roman"/>
          <w:color w:val="auto"/>
          <w:highlight w:val="none"/>
        </w:rPr>
        <w:t>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lang w:val="en-US" w:eastAsia="zh-CN"/>
        </w:rPr>
        <w:t>依据充分。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20" w:name="_Toc27895"/>
      <w:bookmarkStart w:id="121" w:name="_Toc283"/>
      <w:r>
        <w:rPr>
          <w:rFonts w:hint="default" w:ascii="Times New Roman" w:hAnsi="Times New Roman" w:eastAsia="仿宋_GB2312" w:cs="Times New Roman"/>
          <w:b/>
          <w:bCs/>
          <w:color w:val="auto"/>
          <w:highlight w:val="none"/>
        </w:rPr>
        <w:t>2.</w:t>
      </w:r>
      <w:r>
        <w:rPr>
          <w:rFonts w:hint="eastAsia" w:ascii="Times New Roman" w:hAnsi="Times New Roman" w:cs="Times New Roman"/>
          <w:b/>
          <w:bCs/>
          <w:color w:val="auto"/>
          <w:highlight w:val="none"/>
          <w:lang w:val="en-US" w:eastAsia="zh-CN"/>
        </w:rPr>
        <w:t>实施</w:t>
      </w:r>
      <w:r>
        <w:rPr>
          <w:rFonts w:hint="default" w:ascii="Times New Roman" w:hAnsi="Times New Roman" w:eastAsia="仿宋_GB2312" w:cs="Times New Roman"/>
          <w:b/>
          <w:bCs/>
          <w:color w:val="auto"/>
          <w:highlight w:val="none"/>
        </w:rPr>
        <w:t>程序规范性</w:t>
      </w:r>
      <w:bookmarkEnd w:id="120"/>
      <w:bookmarkEnd w:id="12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本项目实施单位编制了</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 xml:space="preserve">尉犁县城镇污水处理厂 </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二期</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 xml:space="preserve"> 工程 PPP 项目实施方案</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2017</w:t>
      </w:r>
      <w:r>
        <w:rPr>
          <w:rFonts w:hint="default" w:ascii="Times New Roman" w:hAnsi="Times New Roman" w:eastAsia="仿宋_GB2312" w:cs="Times New Roman"/>
          <w:color w:val="auto"/>
          <w:highlight w:val="none"/>
        </w:rPr>
        <w:t>年</w:t>
      </w:r>
      <w:r>
        <w:rPr>
          <w:rFonts w:hint="eastAsia"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月完成实施方案编制。得到了</w:t>
      </w:r>
      <w:r>
        <w:rPr>
          <w:rFonts w:hint="eastAsia" w:ascii="Times New Roman" w:hAnsi="Times New Roman" w:cs="Times New Roman"/>
          <w:color w:val="auto"/>
          <w:highlight w:val="none"/>
          <w:lang w:val="en-US" w:eastAsia="zh-CN"/>
        </w:rPr>
        <w:t>尉犁县</w:t>
      </w:r>
      <w:r>
        <w:rPr>
          <w:rFonts w:hint="default" w:ascii="Times New Roman" w:hAnsi="Times New Roman" w:eastAsia="仿宋_GB2312" w:cs="Times New Roman"/>
          <w:color w:val="auto"/>
          <w:highlight w:val="none"/>
        </w:rPr>
        <w:t>发展和改革委员会《</w:t>
      </w:r>
      <w:r>
        <w:rPr>
          <w:rFonts w:hint="eastAsia" w:ascii="Times New Roman" w:hAnsi="Times New Roman" w:cs="Times New Roman"/>
          <w:color w:val="auto"/>
          <w:highlight w:val="none"/>
          <w:lang w:val="en-US" w:eastAsia="zh-CN"/>
        </w:rPr>
        <w:t>关于尉犁县城镇污水处理厂（二期）工程PPP项目立项的批复</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尉发改</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2017</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87</w:t>
      </w:r>
      <w:r>
        <w:rPr>
          <w:rFonts w:hint="default" w:ascii="Times New Roman" w:hAnsi="Times New Roman" w:eastAsia="仿宋_GB2312" w:cs="Times New Roman"/>
          <w:color w:val="auto"/>
          <w:highlight w:val="none"/>
        </w:rPr>
        <w:t>号），批复时间</w:t>
      </w:r>
      <w:r>
        <w:rPr>
          <w:rFonts w:hint="eastAsia" w:ascii="Times New Roman" w:hAnsi="Times New Roman" w:cs="Times New Roman"/>
          <w:color w:val="auto"/>
          <w:highlight w:val="none"/>
          <w:lang w:val="en-US" w:eastAsia="zh-CN"/>
        </w:rPr>
        <w:t>2017</w:t>
      </w:r>
      <w:r>
        <w:rPr>
          <w:rFonts w:hint="default" w:ascii="Times New Roman" w:hAnsi="Times New Roman" w:eastAsia="仿宋_GB2312" w:cs="Times New Roman"/>
          <w:color w:val="auto"/>
          <w:highlight w:val="none"/>
        </w:rPr>
        <w:t>年</w:t>
      </w:r>
      <w:r>
        <w:rPr>
          <w:rFonts w:hint="eastAsia"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月</w:t>
      </w:r>
      <w:r>
        <w:rPr>
          <w:rFonts w:hint="eastAsia" w:ascii="Times New Roman" w:hAnsi="Times New Roman" w:cs="Times New Roman"/>
          <w:color w:val="auto"/>
          <w:highlight w:val="none"/>
          <w:lang w:val="en-US" w:eastAsia="zh-CN"/>
        </w:rPr>
        <w:t>18</w:t>
      </w:r>
      <w:r>
        <w:rPr>
          <w:rFonts w:hint="default" w:ascii="Times New Roman" w:hAnsi="Times New Roman" w:eastAsia="仿宋_GB2312" w:cs="Times New Roman"/>
          <w:color w:val="auto"/>
          <w:highlight w:val="none"/>
        </w:rPr>
        <w:t>日，</w:t>
      </w:r>
      <w:r>
        <w:rPr>
          <w:rFonts w:hint="eastAsia" w:ascii="Times New Roman" w:hAnsi="Times New Roman" w:cs="Times New Roman"/>
          <w:color w:val="auto"/>
          <w:highlight w:val="none"/>
          <w:lang w:val="en-US" w:eastAsia="zh-CN"/>
        </w:rPr>
        <w:t>根据《关于将尉犁县城镇污水处理厂（二期）工程PPP项目财政支出责任分年度列入财政预算的批复》</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尉人委</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2018</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12</w:t>
      </w:r>
      <w:r>
        <w:rPr>
          <w:rFonts w:hint="default" w:ascii="Times New Roman" w:hAnsi="Times New Roman" w:cs="Times New Roman"/>
          <w:color w:val="auto"/>
          <w:highlight w:val="none"/>
          <w:lang w:val="en-US" w:eastAsia="zh-CN"/>
        </w:rPr>
        <w:t>号）</w:t>
      </w:r>
      <w:r>
        <w:rPr>
          <w:rFonts w:hint="eastAsia" w:ascii="Times New Roman" w:hAnsi="Times New Roman" w:cs="Times New Roman"/>
          <w:color w:val="auto"/>
          <w:highlight w:val="none"/>
          <w:lang w:val="en-US" w:eastAsia="zh-CN"/>
        </w:rPr>
        <w:t>文件，2024年继续支付</w:t>
      </w:r>
      <w:r>
        <w:rPr>
          <w:rFonts w:hint="default" w:ascii="Times New Roman" w:hAnsi="Times New Roman" w:eastAsia="仿宋_GB2312" w:cs="Times New Roman"/>
          <w:color w:val="auto"/>
          <w:highlight w:val="none"/>
        </w:rPr>
        <w:t>尉犁县城镇污水处理厂</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二期</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工程PPP项目</w:t>
      </w:r>
      <w:r>
        <w:rPr>
          <w:rFonts w:hint="eastAsia" w:ascii="Times New Roman" w:hAnsi="Times New Roman" w:cs="Times New Roman"/>
          <w:color w:val="auto"/>
          <w:highlight w:val="none"/>
          <w:lang w:val="en-US" w:eastAsia="zh-CN"/>
        </w:rPr>
        <w:t>服务费，实施</w:t>
      </w:r>
      <w:r>
        <w:rPr>
          <w:rFonts w:hint="default" w:ascii="Times New Roman" w:hAnsi="Times New Roman" w:eastAsia="仿宋_GB2312" w:cs="Times New Roman"/>
          <w:color w:val="auto"/>
          <w:highlight w:val="none"/>
        </w:rPr>
        <w:t>程序规范。</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22" w:name="_Toc13368"/>
      <w:bookmarkStart w:id="123" w:name="_Toc20471"/>
      <w:r>
        <w:rPr>
          <w:rFonts w:hint="default" w:ascii="Times New Roman" w:hAnsi="Times New Roman" w:eastAsia="仿宋_GB2312" w:cs="Times New Roman"/>
          <w:b/>
          <w:bCs/>
          <w:color w:val="auto"/>
          <w:highlight w:val="none"/>
        </w:rPr>
        <w:t>3.绩效目标合理性</w:t>
      </w:r>
      <w:bookmarkEnd w:id="122"/>
      <w:bookmarkEnd w:id="123"/>
    </w:p>
    <w:p>
      <w:pPr>
        <w:bidi w:val="0"/>
        <w:jc w:val="both"/>
        <w:rPr>
          <w:rFonts w:hint="default" w:ascii="Times New Roman" w:hAnsi="Times New Roman" w:eastAsia="仿宋_GB2312" w:cs="Times New Roman"/>
          <w:color w:val="auto"/>
          <w:highlight w:val="none"/>
        </w:rPr>
      </w:pP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4" w:name="_Toc21087"/>
      <w:bookmarkStart w:id="125" w:name="_Toc15543"/>
      <w:r>
        <w:rPr>
          <w:rFonts w:hint="default" w:ascii="Times New Roman" w:hAnsi="Times New Roman" w:eastAsia="仿宋_GB2312" w:cs="Times New Roman"/>
          <w:b/>
          <w:bCs/>
          <w:color w:val="auto"/>
          <w:highlight w:val="none"/>
        </w:rPr>
        <w:t>4.绩效指标明确性</w:t>
      </w:r>
      <w:bookmarkEnd w:id="124"/>
      <w:bookmarkEnd w:id="125"/>
    </w:p>
    <w:p>
      <w:pPr>
        <w:bidi w:val="0"/>
        <w:jc w:val="both"/>
        <w:rPr>
          <w:rFonts w:hint="default" w:ascii="Times New Roman" w:hAnsi="Times New Roman" w:eastAsia="仿宋_GB2312" w:cs="Times New Roman"/>
          <w:color w:val="auto"/>
          <w:highlight w:val="none"/>
        </w:rPr>
      </w:pPr>
      <w:r>
        <w:rPr>
          <w:rFonts w:hint="eastAsia" w:ascii="仿宋_GB2312" w:hAnsi="仿宋_GB2312" w:cs="仿宋_GB2312"/>
          <w:b w:val="0"/>
          <w:bCs w:val="0"/>
          <w:color w:val="auto"/>
          <w:highlight w:val="none"/>
          <w:lang w:val="en-US" w:eastAsia="zh-CN"/>
        </w:rPr>
        <w:t>2024年尉犁县城镇污水处理厂（二期）工程PPP项目服务费</w:t>
      </w:r>
      <w:r>
        <w:rPr>
          <w:rFonts w:hint="default" w:ascii="Times New Roman" w:hAnsi="Times New Roman" w:eastAsia="仿宋_GB2312" w:cs="Times New Roman"/>
          <w:color w:val="auto"/>
          <w:highlight w:val="none"/>
        </w:rPr>
        <w:t>，设置一级指标</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条，二级指标</w:t>
      </w:r>
      <w:r>
        <w:rPr>
          <w:rFonts w:hint="eastAsia"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条，三级指标</w:t>
      </w:r>
      <w:r>
        <w:rPr>
          <w:rFonts w:hint="eastAsia" w:ascii="Times New Roman" w:hAnsi="Times New Roman" w:cs="Times New Roman"/>
          <w:color w:val="auto"/>
          <w:highlight w:val="none"/>
          <w:lang w:val="en-US" w:eastAsia="zh-CN"/>
        </w:rPr>
        <w:t>8</w:t>
      </w:r>
      <w:r>
        <w:rPr>
          <w:rFonts w:hint="default" w:ascii="Times New Roman" w:hAnsi="Times New Roman" w:eastAsia="仿宋_GB2312" w:cs="Times New Roman"/>
          <w:color w:val="auto"/>
          <w:highlight w:val="none"/>
        </w:rPr>
        <w:t>条，其中量化指标</w:t>
      </w:r>
      <w:r>
        <w:rPr>
          <w:rFonts w:hint="eastAsia"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条，绩效目标指标设定清晰、可衡量性较强，与项目目标任务计划数对应性较强。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6" w:name="_Toc25638"/>
      <w:bookmarkStart w:id="127" w:name="_Toc21476"/>
      <w:r>
        <w:rPr>
          <w:rFonts w:hint="default" w:ascii="Times New Roman" w:hAnsi="Times New Roman" w:eastAsia="仿宋_GB2312" w:cs="Times New Roman"/>
          <w:b/>
          <w:bCs/>
          <w:color w:val="auto"/>
          <w:highlight w:val="none"/>
        </w:rPr>
        <w:t>5.预算编制科学性</w:t>
      </w:r>
      <w:bookmarkEnd w:id="126"/>
      <w:bookmarkEnd w:id="12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万元，来源为</w:t>
      </w:r>
      <w:r>
        <w:rPr>
          <w:rFonts w:hint="eastAsia" w:ascii="Times New Roman" w:hAnsi="Times New Roman" w:cs="Times New Roman"/>
          <w:color w:val="auto"/>
          <w:highlight w:val="none"/>
          <w:lang w:val="en-US" w:eastAsia="zh-CN"/>
        </w:rPr>
        <w:t>县本级资金331</w:t>
      </w:r>
      <w:r>
        <w:rPr>
          <w:rFonts w:hint="default" w:ascii="Times New Roman" w:hAnsi="Times New Roman" w:eastAsia="仿宋_GB2312" w:cs="Times New Roman"/>
          <w:color w:val="auto"/>
          <w:highlight w:val="none"/>
        </w:rPr>
        <w:t>万元，预算编制较为科学，预算内容与项目建设内容相匹配，预算额度测算依据充分，预算确定的资金量与工程量相匹配。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8" w:name="_Toc30661"/>
      <w:bookmarkStart w:id="129" w:name="_Toc21577"/>
      <w:r>
        <w:rPr>
          <w:rFonts w:hint="default" w:ascii="Times New Roman" w:hAnsi="Times New Roman" w:eastAsia="仿宋_GB2312" w:cs="Times New Roman"/>
          <w:b/>
          <w:bCs/>
          <w:color w:val="auto"/>
          <w:highlight w:val="none"/>
        </w:rPr>
        <w:t>6.资金分配合理性</w:t>
      </w:r>
      <w:bookmarkEnd w:id="128"/>
      <w:bookmarkEnd w:id="129"/>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pStyle w:val="4"/>
        <w:bidi w:val="0"/>
        <w:jc w:val="both"/>
        <w:outlineLvl w:val="1"/>
        <w:rPr>
          <w:rFonts w:hint="eastAsia" w:ascii="黑体" w:hAnsi="黑体" w:eastAsia="黑体" w:cs="黑体"/>
          <w:color w:val="auto"/>
          <w:highlight w:val="none"/>
        </w:rPr>
      </w:pPr>
      <w:bookmarkStart w:id="130" w:name="_Toc13442"/>
      <w:bookmarkStart w:id="131" w:name="_Toc7400"/>
      <w:bookmarkStart w:id="132" w:name="_Toc27855"/>
      <w:bookmarkStart w:id="133" w:name="_Toc28165"/>
      <w:bookmarkStart w:id="134" w:name="_Toc9897"/>
      <w:bookmarkStart w:id="135" w:name="_Toc30992"/>
      <w:r>
        <w:rPr>
          <w:rFonts w:hint="eastAsia" w:ascii="黑体" w:hAnsi="黑体" w:eastAsia="黑体" w:cs="黑体"/>
          <w:color w:val="auto"/>
          <w:highlight w:val="none"/>
        </w:rPr>
        <w:t>（二）项目过程情况</w:t>
      </w:r>
      <w:bookmarkEnd w:id="130"/>
      <w:bookmarkEnd w:id="131"/>
      <w:bookmarkEnd w:id="132"/>
      <w:bookmarkEnd w:id="133"/>
      <w:bookmarkEnd w:id="134"/>
      <w:bookmarkEnd w:id="135"/>
    </w:p>
    <w:p>
      <w:pPr>
        <w:bidi w:val="0"/>
        <w:jc w:val="both"/>
        <w:rPr>
          <w:rFonts w:hint="default" w:ascii="Times New Roman" w:hAnsi="Times New Roman" w:eastAsia="仿宋_GB2312" w:cs="Times New Roman"/>
          <w:b/>
          <w:bCs/>
          <w:color w:val="auto"/>
          <w:highlight w:val="none"/>
        </w:rPr>
      </w:pPr>
      <w:bookmarkStart w:id="136" w:name="_Toc29417"/>
      <w:bookmarkStart w:id="137" w:name="_Toc19854"/>
      <w:r>
        <w:rPr>
          <w:rFonts w:hint="default" w:ascii="Times New Roman" w:hAnsi="Times New Roman" w:eastAsia="仿宋_GB2312" w:cs="Times New Roman"/>
          <w:b/>
          <w:bCs/>
          <w:color w:val="auto"/>
          <w:highlight w:val="none"/>
        </w:rPr>
        <w:t>1.资金到位率</w:t>
      </w:r>
      <w:bookmarkEnd w:id="136"/>
      <w:bookmarkEnd w:id="13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万元，实际到位资金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万元，资金到位率100%。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8" w:name="_Toc13724"/>
      <w:bookmarkStart w:id="139" w:name="_Toc29889"/>
      <w:r>
        <w:rPr>
          <w:rFonts w:hint="default" w:ascii="Times New Roman" w:hAnsi="Times New Roman" w:eastAsia="仿宋_GB2312" w:cs="Times New Roman"/>
          <w:b/>
          <w:bCs/>
          <w:color w:val="auto"/>
          <w:highlight w:val="none"/>
        </w:rPr>
        <w:t>2.预算执行率</w:t>
      </w:r>
      <w:bookmarkEnd w:id="138"/>
      <w:bookmarkEnd w:id="139"/>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本项目到位资金</w:t>
      </w:r>
      <w:r>
        <w:rPr>
          <w:rFonts w:hint="eastAsia" w:ascii="Times New Roman" w:hAnsi="Times New Roman" w:cs="Times New Roman"/>
          <w:color w:val="auto"/>
          <w:highlight w:val="none"/>
          <w:lang w:val="en-US" w:eastAsia="zh-CN"/>
        </w:rPr>
        <w:t>331</w:t>
      </w:r>
      <w:r>
        <w:rPr>
          <w:rFonts w:hint="default" w:ascii="Times New Roman" w:hAnsi="Times New Roman" w:eastAsia="仿宋_GB2312" w:cs="Times New Roman"/>
          <w:color w:val="auto"/>
          <w:highlight w:val="none"/>
        </w:rPr>
        <w:t>万元，实际支付资金</w:t>
      </w:r>
      <w:r>
        <w:rPr>
          <w:rFonts w:hint="eastAsia" w:ascii="Times New Roman" w:hAnsi="Times New Roman" w:cs="Times New Roman"/>
          <w:color w:val="auto"/>
          <w:highlight w:val="none"/>
          <w:lang w:val="en-US" w:eastAsia="zh-CN"/>
        </w:rPr>
        <w:t>329.4</w:t>
      </w:r>
      <w:r>
        <w:rPr>
          <w:rFonts w:hint="default" w:ascii="Times New Roman" w:hAnsi="Times New Roman" w:eastAsia="仿宋_GB2312" w:cs="Times New Roman"/>
          <w:color w:val="auto"/>
          <w:highlight w:val="none"/>
        </w:rPr>
        <w:t>万元，预算执行率为</w:t>
      </w:r>
      <w:r>
        <w:rPr>
          <w:rFonts w:hint="eastAsia" w:ascii="Times New Roman" w:hAnsi="Times New Roman" w:cs="Times New Roman"/>
          <w:color w:val="auto"/>
          <w:highlight w:val="none"/>
          <w:lang w:val="en-US" w:eastAsia="zh-CN"/>
        </w:rPr>
        <w:t>99.52</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eastAsia" w:ascii="Times New Roman" w:hAnsi="Times New Roman" w:cs="Times New Roman"/>
          <w:color w:val="auto"/>
          <w:highlight w:val="none"/>
          <w:lang w:val="en-US" w:eastAsia="zh-CN"/>
        </w:rPr>
        <w:t>3.98</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40" w:name="_Toc2484"/>
      <w:bookmarkStart w:id="141" w:name="_Toc8316"/>
      <w:r>
        <w:rPr>
          <w:rFonts w:hint="default" w:ascii="Times New Roman" w:hAnsi="Times New Roman" w:eastAsia="仿宋_GB2312" w:cs="Times New Roman"/>
          <w:b/>
          <w:bCs/>
          <w:color w:val="auto"/>
          <w:highlight w:val="none"/>
        </w:rPr>
        <w:t>3.资金使用合规性</w:t>
      </w:r>
      <w:bookmarkEnd w:id="140"/>
      <w:bookmarkEnd w:id="14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《中华人民共和国预算法》《中华人民共和国会计法》《中华人民共和国招标投标法》等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。资金的拨付有完整的审批程序和手续；资金使用符合专项资金支持的范围。不存在截留、挤占、挪用、虚列支出等情况。</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42" w:name="_Toc15332"/>
      <w:bookmarkStart w:id="143" w:name="_Toc20651"/>
      <w:r>
        <w:rPr>
          <w:rFonts w:hint="default" w:ascii="Times New Roman" w:hAnsi="Times New Roman" w:eastAsia="仿宋_GB2312" w:cs="Times New Roman"/>
          <w:b/>
          <w:bCs/>
          <w:color w:val="auto"/>
          <w:highlight w:val="none"/>
        </w:rPr>
        <w:t>4.管理制度健全性</w:t>
      </w:r>
      <w:bookmarkEnd w:id="142"/>
      <w:bookmarkEnd w:id="143"/>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color w:val="auto"/>
          <w:highlight w:val="none"/>
          <w:lang w:val="en-US" w:eastAsia="zh-CN"/>
        </w:rPr>
        <w:t>财务管理制度》和《</w:t>
      </w:r>
      <w:r>
        <w:rPr>
          <w:rFonts w:hint="eastAsia"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color w:val="auto"/>
          <w:highlight w:val="none"/>
          <w:lang w:val="en-US" w:eastAsia="zh-CN"/>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44" w:name="_Toc14853"/>
      <w:bookmarkStart w:id="145" w:name="_Toc14023"/>
      <w:r>
        <w:rPr>
          <w:rFonts w:hint="default" w:ascii="Times New Roman" w:hAnsi="Times New Roman" w:eastAsia="仿宋_GB2312" w:cs="Times New Roman"/>
          <w:b/>
          <w:bCs/>
          <w:color w:val="auto"/>
          <w:highlight w:val="none"/>
        </w:rPr>
        <w:t>5.制度执行有效性</w:t>
      </w:r>
      <w:bookmarkEnd w:id="144"/>
      <w:bookmarkEnd w:id="145"/>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本项目在实施过程中严格遵守相关法律法规和相关管理规定，如《中华人民共和国预算法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中华人民共和国会计法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等，严格执行基本建设程序，执行项目法人责任制、招标投标制和合同管理制，污水达标排放、污泥无害化处置、设备安全运行</w:t>
      </w:r>
      <w:r>
        <w:rPr>
          <w:rFonts w:hint="eastAsia" w:ascii="Times New Roman" w:hAnsi="Times New Roman" w:cs="Times New Roman"/>
          <w:color w:val="auto"/>
          <w:highlight w:val="none"/>
          <w:lang w:val="en-US" w:eastAsia="zh-CN"/>
        </w:rPr>
        <w:t>等</w:t>
      </w:r>
      <w:r>
        <w:rPr>
          <w:rFonts w:hint="default" w:ascii="Times New Roman" w:hAnsi="Times New Roman" w:eastAsia="仿宋_GB2312" w:cs="Times New Roman"/>
          <w:color w:val="auto"/>
          <w:highlight w:val="none"/>
        </w:rPr>
        <w:t>均符合国家和自治区有关</w:t>
      </w:r>
      <w:r>
        <w:rPr>
          <w:rFonts w:hint="eastAsia" w:ascii="Times New Roman" w:hAnsi="Times New Roman" w:cs="Times New Roman"/>
          <w:color w:val="auto"/>
          <w:highlight w:val="none"/>
          <w:lang w:val="en-US" w:eastAsia="zh-CN"/>
        </w:rPr>
        <w:t>规定</w:t>
      </w:r>
      <w:r>
        <w:rPr>
          <w:rFonts w:hint="default" w:ascii="Times New Roman" w:hAnsi="Times New Roman" w:eastAsia="仿宋_GB2312" w:cs="Times New Roman"/>
          <w:color w:val="auto"/>
          <w:highlight w:val="none"/>
        </w:rPr>
        <w:t>和</w:t>
      </w:r>
      <w:r>
        <w:rPr>
          <w:rFonts w:hint="eastAsia" w:ascii="Times New Roman" w:hAnsi="Times New Roman" w:cs="Times New Roman"/>
          <w:color w:val="auto"/>
          <w:highlight w:val="none"/>
          <w:lang w:val="en-US" w:eastAsia="zh-CN"/>
        </w:rPr>
        <w:t>管理</w:t>
      </w:r>
      <w:r>
        <w:rPr>
          <w:rFonts w:hint="default" w:ascii="Times New Roman" w:hAnsi="Times New Roman" w:eastAsia="仿宋_GB2312" w:cs="Times New Roman"/>
          <w:color w:val="auto"/>
          <w:highlight w:val="none"/>
        </w:rPr>
        <w:t>规范。有关资料齐全，并及时整理归档。</w:t>
      </w:r>
      <w:r>
        <w:rPr>
          <w:rFonts w:hint="default" w:ascii="Times New Roman" w:hAnsi="Times New Roman" w:eastAsia="仿宋_GB2312" w:cs="Times New Roman"/>
          <w:color w:val="auto"/>
          <w:highlight w:val="none"/>
          <w:lang w:val="en-US" w:eastAsia="zh-CN"/>
        </w:rPr>
        <w:t>本项目无项目调整及支出调整，制度执行有效性较高。</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pStyle w:val="4"/>
        <w:bidi w:val="0"/>
        <w:jc w:val="both"/>
        <w:outlineLvl w:val="1"/>
        <w:rPr>
          <w:rFonts w:hint="eastAsia" w:ascii="楷体" w:hAnsi="楷体" w:eastAsia="楷体" w:cs="楷体"/>
          <w:color w:val="auto"/>
          <w:highlight w:val="none"/>
        </w:rPr>
      </w:pPr>
      <w:bookmarkStart w:id="146" w:name="_Toc31545"/>
      <w:bookmarkStart w:id="147" w:name="_Toc6865"/>
      <w:bookmarkStart w:id="148" w:name="_Toc5161"/>
      <w:bookmarkStart w:id="149" w:name="_Toc8652"/>
      <w:bookmarkStart w:id="150" w:name="_Toc22156"/>
      <w:bookmarkStart w:id="151" w:name="_Toc26351"/>
      <w:r>
        <w:rPr>
          <w:rFonts w:hint="eastAsia" w:ascii="楷体" w:hAnsi="楷体" w:eastAsia="楷体" w:cs="楷体"/>
          <w:color w:val="auto"/>
          <w:highlight w:val="none"/>
        </w:rPr>
        <w:t>（三）项目产出情况</w:t>
      </w:r>
      <w:bookmarkEnd w:id="146"/>
      <w:bookmarkEnd w:id="147"/>
      <w:bookmarkEnd w:id="148"/>
      <w:bookmarkEnd w:id="149"/>
      <w:bookmarkEnd w:id="150"/>
      <w:bookmarkEnd w:id="151"/>
    </w:p>
    <w:p>
      <w:pPr>
        <w:bidi w:val="0"/>
        <w:jc w:val="both"/>
        <w:rPr>
          <w:rFonts w:hint="default" w:ascii="Times New Roman" w:hAnsi="Times New Roman" w:eastAsia="仿宋_GB2312" w:cs="Times New Roman"/>
          <w:b/>
          <w:bCs/>
          <w:color w:val="auto"/>
          <w:highlight w:val="none"/>
        </w:rPr>
      </w:pPr>
      <w:bookmarkStart w:id="152" w:name="_Toc4184"/>
      <w:bookmarkStart w:id="153" w:name="_Toc31041"/>
      <w:r>
        <w:rPr>
          <w:rFonts w:hint="default" w:ascii="Times New Roman" w:hAnsi="Times New Roman" w:eastAsia="仿宋_GB2312" w:cs="Times New Roman"/>
          <w:b/>
          <w:bCs/>
          <w:color w:val="auto"/>
          <w:highlight w:val="none"/>
        </w:rPr>
        <w:t>1.产出数量</w:t>
      </w:r>
      <w:bookmarkEnd w:id="152"/>
      <w:bookmarkEnd w:id="153"/>
    </w:p>
    <w:p>
      <w:pPr>
        <w:bidi w:val="0"/>
        <w:jc w:val="both"/>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bCs/>
          <w:color w:val="auto"/>
          <w:szCs w:val="32"/>
          <w:highlight w:val="none"/>
          <w:lang w:val="en-US" w:eastAsia="zh-CN"/>
        </w:rPr>
        <w:t>指标1：</w:t>
      </w:r>
      <w:r>
        <w:rPr>
          <w:rFonts w:hint="eastAsia" w:ascii="Times New Roman" w:hAnsi="Times New Roman" w:cs="Times New Roman"/>
          <w:color w:val="auto"/>
          <w:highlight w:val="none"/>
          <w:lang w:val="en-US" w:eastAsia="zh-CN"/>
        </w:rPr>
        <w:t>污水处理厂处理能力</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大于或等于160万立方米</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等于151.84万立方米</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94.9%</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原因是：年初设定目标值过高，实际处理能力未达到。</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w:t>
      </w:r>
      <w:r>
        <w:rPr>
          <w:rFonts w:hint="eastAsia" w:ascii="Times New Roman" w:hAnsi="Times New Roman" w:cs="Times New Roman"/>
          <w:color w:val="auto"/>
          <w:highlight w:val="none"/>
          <w:lang w:val="en-US" w:eastAsia="zh-CN"/>
        </w:rPr>
        <w:t>11.38</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54" w:name="_Toc7420"/>
      <w:bookmarkStart w:id="155" w:name="_Toc21607"/>
      <w:r>
        <w:rPr>
          <w:rFonts w:hint="default" w:ascii="Times New Roman" w:hAnsi="Times New Roman" w:eastAsia="仿宋_GB2312" w:cs="Times New Roman"/>
          <w:b/>
          <w:bCs/>
          <w:color w:val="auto"/>
          <w:highlight w:val="none"/>
        </w:rPr>
        <w:t>2.产出质量</w:t>
      </w:r>
      <w:bookmarkEnd w:id="154"/>
      <w:bookmarkEnd w:id="155"/>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eastAsia" w:ascii="Times New Roman" w:hAnsi="Times New Roman" w:cs="Times New Roman"/>
          <w:b w:val="0"/>
          <w:bCs/>
          <w:color w:val="auto"/>
          <w:kern w:val="2"/>
          <w:sz w:val="32"/>
          <w:szCs w:val="32"/>
          <w:highlight w:val="none"/>
          <w:lang w:val="en-US" w:eastAsia="zh-CN" w:bidi="ar-SA"/>
        </w:rPr>
        <w:t>1</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ascii="Times New Roman" w:hAnsi="Times New Roman" w:cs="Times New Roman"/>
          <w:color w:val="auto"/>
          <w:highlight w:val="none"/>
          <w:lang w:val="en-US" w:eastAsia="zh-CN"/>
        </w:rPr>
        <w:t>生活污水处理率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大于或等于98%</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等于98.25%</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100.26%</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eastAsia" w:ascii="Times New Roman" w:hAnsi="Times New Roman" w:cs="Times New Roman"/>
          <w:b w:val="0"/>
          <w:bCs/>
          <w:color w:val="auto"/>
          <w:kern w:val="2"/>
          <w:sz w:val="32"/>
          <w:szCs w:val="32"/>
          <w:highlight w:val="none"/>
          <w:lang w:val="en-US" w:eastAsia="zh-CN" w:bidi="ar-SA"/>
        </w:rPr>
        <w:t>2</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ascii="Times New Roman" w:hAnsi="Times New Roman" w:cs="Times New Roman"/>
          <w:color w:val="auto"/>
          <w:highlight w:val="none"/>
          <w:lang w:val="en-US" w:eastAsia="zh-CN"/>
        </w:rPr>
        <w:t>污水处理出水水质达标率等于100%</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等于100%</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等于100%</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56" w:name="_Toc5394"/>
      <w:bookmarkStart w:id="157" w:name="_Toc6277"/>
      <w:r>
        <w:rPr>
          <w:rFonts w:hint="default" w:ascii="Times New Roman" w:hAnsi="Times New Roman" w:eastAsia="仿宋_GB2312" w:cs="Times New Roman"/>
          <w:b/>
          <w:bCs/>
          <w:color w:val="auto"/>
          <w:highlight w:val="none"/>
        </w:rPr>
        <w:t>3.产出时效</w:t>
      </w:r>
      <w:bookmarkEnd w:id="156"/>
      <w:bookmarkEnd w:id="15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eastAsia" w:ascii="Times New Roman" w:hAnsi="Times New Roman" w:cs="Times New Roman"/>
          <w:b w:val="0"/>
          <w:bCs/>
          <w:color w:val="auto"/>
          <w:kern w:val="2"/>
          <w:sz w:val="32"/>
          <w:szCs w:val="32"/>
          <w:highlight w:val="none"/>
          <w:lang w:val="en-US" w:eastAsia="zh-CN" w:bidi="ar-SA"/>
        </w:rPr>
        <w:t>1</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ascii="Times New Roman" w:hAnsi="Times New Roman" w:cs="Times New Roman"/>
          <w:color w:val="auto"/>
          <w:highlight w:val="none"/>
          <w:lang w:val="en-US" w:eastAsia="zh-CN"/>
        </w:rPr>
        <w:t>污泥无害化填埋处理及时率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等于100%</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等于100%</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eastAsia" w:ascii="Times New Roman" w:hAnsi="Times New Roman" w:cs="Times New Roman"/>
          <w:b w:val="0"/>
          <w:bCs/>
          <w:color w:val="auto"/>
          <w:kern w:val="2"/>
          <w:sz w:val="32"/>
          <w:szCs w:val="32"/>
          <w:highlight w:val="none"/>
          <w:lang w:val="en-US" w:eastAsia="zh-CN" w:bidi="ar-SA"/>
        </w:rPr>
        <w:t>2</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ascii="Times New Roman" w:hAnsi="Times New Roman" w:cs="Times New Roman"/>
          <w:color w:val="auto"/>
          <w:highlight w:val="none"/>
          <w:lang w:val="en-US" w:eastAsia="zh-CN"/>
        </w:rPr>
        <w:t>资金拨付及时率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大于或等于95%</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等于99.52%</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104.76%</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w:t>
      </w:r>
      <w:r>
        <w:rPr>
          <w:rFonts w:hint="default" w:ascii="Times New Roman" w:hAnsi="Times New Roman" w:eastAsia="仿宋_GB2312" w:cs="Times New Roman"/>
          <w:color w:val="auto"/>
          <w:highlight w:val="none"/>
          <w:lang w:val="en-US" w:eastAsia="zh-CN"/>
        </w:rPr>
        <w:t>12</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58" w:name="_Toc18558"/>
      <w:bookmarkStart w:id="159" w:name="_Toc28975"/>
      <w:r>
        <w:rPr>
          <w:rFonts w:hint="default" w:ascii="Times New Roman" w:hAnsi="Times New Roman" w:eastAsia="仿宋_GB2312" w:cs="Times New Roman"/>
          <w:b/>
          <w:bCs/>
          <w:color w:val="auto"/>
          <w:highlight w:val="none"/>
        </w:rPr>
        <w:t>4.产出成本</w:t>
      </w:r>
      <w:bookmarkEnd w:id="158"/>
      <w:bookmarkEnd w:id="159"/>
    </w:p>
    <w:p>
      <w:pPr>
        <w:bidi w:val="0"/>
        <w:jc w:val="both"/>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全年预算污水处理费用</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小于或等于331万元</w:t>
      </w:r>
      <w:r>
        <w:rPr>
          <w:rFonts w:hint="default" w:ascii="Times New Roman" w:hAnsi="Times New Roman" w:eastAsia="仿宋_GB2312" w:cs="Times New Roman"/>
          <w:color w:val="auto"/>
          <w:highlight w:val="none"/>
        </w:rPr>
        <w:t>，指标完成值：</w:t>
      </w:r>
      <w:r>
        <w:rPr>
          <w:rFonts w:hint="eastAsia" w:ascii="Times New Roman" w:hAnsi="Times New Roman" w:cs="Times New Roman"/>
          <w:color w:val="auto"/>
          <w:highlight w:val="none"/>
          <w:lang w:val="en-US" w:eastAsia="zh-CN"/>
        </w:rPr>
        <w:t>等于329.4万元</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99.52%</w:t>
      </w: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原因是：剩余资金为风险金。</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eastAsia" w:ascii="Times New Roman" w:hAnsi="Times New Roman" w:cs="Times New Roman"/>
          <w:color w:val="auto"/>
          <w:highlight w:val="none"/>
          <w:lang w:val="en-US" w:eastAsia="zh-CN"/>
        </w:rPr>
        <w:t>3.98</w:t>
      </w:r>
      <w:r>
        <w:rPr>
          <w:rFonts w:hint="default" w:ascii="Times New Roman" w:hAnsi="Times New Roman" w:eastAsia="仿宋_GB2312" w:cs="Times New Roman"/>
          <w:color w:val="auto"/>
          <w:highlight w:val="none"/>
        </w:rPr>
        <w:t>分。</w:t>
      </w:r>
    </w:p>
    <w:p>
      <w:pPr>
        <w:pStyle w:val="4"/>
        <w:bidi w:val="0"/>
        <w:jc w:val="both"/>
        <w:outlineLvl w:val="1"/>
        <w:rPr>
          <w:rFonts w:hint="eastAsia" w:ascii="楷体" w:hAnsi="楷体" w:eastAsia="楷体" w:cs="楷体"/>
          <w:color w:val="auto"/>
          <w:highlight w:val="none"/>
        </w:rPr>
      </w:pPr>
      <w:bookmarkStart w:id="160" w:name="_Toc11983"/>
      <w:bookmarkStart w:id="161" w:name="_Toc27548"/>
      <w:bookmarkStart w:id="162" w:name="_Toc15319"/>
      <w:bookmarkStart w:id="163" w:name="_Toc14881"/>
      <w:bookmarkStart w:id="164" w:name="_Toc24492"/>
      <w:bookmarkStart w:id="165" w:name="_Toc18194"/>
      <w:r>
        <w:rPr>
          <w:rFonts w:hint="eastAsia" w:ascii="楷体" w:hAnsi="楷体" w:eastAsia="楷体" w:cs="楷体"/>
          <w:color w:val="auto"/>
          <w:highlight w:val="none"/>
        </w:rPr>
        <w:t>（四）项目效益情况</w:t>
      </w:r>
      <w:bookmarkEnd w:id="160"/>
      <w:bookmarkEnd w:id="161"/>
      <w:bookmarkEnd w:id="162"/>
      <w:bookmarkEnd w:id="163"/>
      <w:bookmarkEnd w:id="164"/>
      <w:bookmarkEnd w:id="165"/>
    </w:p>
    <w:p>
      <w:pPr>
        <w:bidi w:val="0"/>
        <w:jc w:val="both"/>
        <w:rPr>
          <w:rFonts w:hint="default" w:ascii="Times New Roman" w:hAnsi="Times New Roman" w:eastAsia="仿宋_GB2312" w:cs="Times New Roman"/>
          <w:b/>
          <w:bCs/>
          <w:color w:val="auto"/>
          <w:highlight w:val="none"/>
        </w:rPr>
      </w:pPr>
      <w:bookmarkStart w:id="166" w:name="_Toc15599"/>
      <w:bookmarkStart w:id="167" w:name="_Toc8370"/>
      <w:r>
        <w:rPr>
          <w:rFonts w:hint="default" w:ascii="Times New Roman" w:hAnsi="Times New Roman" w:eastAsia="仿宋_GB2312" w:cs="Times New Roman"/>
          <w:b/>
          <w:bCs/>
          <w:color w:val="auto"/>
          <w:highlight w:val="none"/>
        </w:rPr>
        <w:t>1.实施效益</w:t>
      </w:r>
      <w:bookmarkEnd w:id="166"/>
      <w:bookmarkEnd w:id="167"/>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本项目实施所产生的效益主要包括社会效益和生态效益。项目的实施</w:t>
      </w:r>
      <w:r>
        <w:rPr>
          <w:rFonts w:hint="eastAsia" w:ascii="Times New Roman" w:hAnsi="Times New Roman" w:cs="Times New Roman"/>
          <w:color w:val="auto"/>
          <w:highlight w:val="none"/>
          <w:lang w:val="en-US" w:eastAsia="zh-CN"/>
        </w:rPr>
        <w:t>有效缓解县城绿化缺水矛盾，提高中水回用利用率达50%。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0分，评估得分</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0分。</w:t>
      </w:r>
    </w:p>
    <w:p>
      <w:pPr>
        <w:pStyle w:val="2"/>
        <w:bidi w:val="0"/>
        <w:jc w:val="both"/>
        <w:outlineLvl w:val="0"/>
        <w:rPr>
          <w:rFonts w:hint="default" w:ascii="Times New Roman" w:hAnsi="Times New Roman" w:eastAsia="仿宋_GB2312" w:cs="Times New Roman"/>
          <w:color w:val="auto"/>
          <w:highlight w:val="none"/>
        </w:rPr>
      </w:pPr>
      <w:bookmarkStart w:id="168" w:name="_Toc20473"/>
      <w:bookmarkStart w:id="169" w:name="_Toc24261"/>
      <w:bookmarkStart w:id="170" w:name="_Toc17413"/>
      <w:bookmarkStart w:id="171" w:name="_Toc9234"/>
      <w:bookmarkStart w:id="172" w:name="_Toc5616"/>
      <w:bookmarkStart w:id="173" w:name="_Toc23114"/>
      <w:bookmarkStart w:id="174" w:name="_Toc3310"/>
      <w:r>
        <w:rPr>
          <w:rFonts w:hint="eastAsia" w:ascii="黑体" w:hAnsi="黑体" w:eastAsia="黑体" w:cs="黑体"/>
          <w:color w:val="auto"/>
          <w:highlight w:val="none"/>
        </w:rPr>
        <w:t>五、主要经验及做法、存在的问题及原因分析</w:t>
      </w:r>
      <w:bookmarkEnd w:id="168"/>
      <w:bookmarkEnd w:id="169"/>
      <w:bookmarkEnd w:id="170"/>
      <w:bookmarkEnd w:id="171"/>
      <w:bookmarkEnd w:id="172"/>
      <w:bookmarkEnd w:id="173"/>
      <w:bookmarkEnd w:id="174"/>
    </w:p>
    <w:p>
      <w:pPr>
        <w:pStyle w:val="4"/>
        <w:bidi w:val="0"/>
        <w:jc w:val="both"/>
        <w:outlineLvl w:val="1"/>
        <w:rPr>
          <w:rFonts w:hint="eastAsia" w:ascii="楷体" w:hAnsi="楷体" w:eastAsia="楷体" w:cs="楷体"/>
          <w:color w:val="auto"/>
          <w:highlight w:val="none"/>
        </w:rPr>
      </w:pPr>
      <w:bookmarkStart w:id="175" w:name="_Toc30393"/>
      <w:bookmarkStart w:id="176" w:name="_Toc24709"/>
      <w:bookmarkStart w:id="177" w:name="_Toc6741"/>
      <w:bookmarkStart w:id="178" w:name="_Toc10514"/>
      <w:bookmarkStart w:id="179" w:name="_Toc6522"/>
      <w:bookmarkStart w:id="180" w:name="_Toc14362"/>
      <w:r>
        <w:rPr>
          <w:rFonts w:hint="eastAsia" w:ascii="楷体" w:hAnsi="楷体" w:eastAsia="楷体" w:cs="楷体"/>
          <w:color w:val="auto"/>
          <w:highlight w:val="none"/>
        </w:rPr>
        <w:t>（一）主要经验及做法</w:t>
      </w:r>
      <w:bookmarkEnd w:id="175"/>
      <w:bookmarkEnd w:id="176"/>
      <w:bookmarkEnd w:id="177"/>
      <w:bookmarkEnd w:id="178"/>
      <w:bookmarkEnd w:id="179"/>
      <w:bookmarkEnd w:id="180"/>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尉犁县城镇污水处理厂（二期）工程 PPP 项目在县委、县政府的大力支持，以及相关部门的积极配合下，全面顺利完成，绩效评价获评 “优”。主要经验及做法如下：</w:t>
      </w:r>
    </w:p>
    <w:p>
      <w:pPr>
        <w:bidi w:val="0"/>
        <w:jc w:val="both"/>
        <w:rPr>
          <w:rFonts w:hint="eastAsia" w:ascii="Times New Roman" w:hAnsi="Times New Roman" w:eastAsia="仿宋_GB2312" w:cs="Times New Roman"/>
          <w:b w:val="0"/>
          <w:color w:val="auto"/>
          <w:kern w:val="2"/>
          <w:sz w:val="32"/>
          <w:szCs w:val="22"/>
          <w:highlight w:val="none"/>
          <w:lang w:val="en-US" w:eastAsia="zh-CN" w:bidi="ar-SA"/>
        </w:rPr>
      </w:pPr>
      <w:r>
        <w:rPr>
          <w:rFonts w:hint="eastAsia" w:ascii="Times New Roman" w:hAnsi="Times New Roman" w:eastAsia="仿宋_GB2312" w:cs="Times New Roman"/>
          <w:b w:val="0"/>
          <w:color w:val="auto"/>
          <w:kern w:val="2"/>
          <w:sz w:val="32"/>
          <w:szCs w:val="22"/>
          <w:highlight w:val="none"/>
          <w:lang w:val="en-US" w:eastAsia="zh-CN" w:bidi="ar-SA"/>
        </w:rPr>
        <w:t>1.动态工艺优化保障水质稳定</w:t>
      </w:r>
      <w:r>
        <w:rPr>
          <w:rFonts w:hint="eastAsia" w:ascii="Times New Roman" w:hAnsi="Times New Roman" w:cs="Times New Roman"/>
          <w:b w:val="0"/>
          <w:color w:val="auto"/>
          <w:kern w:val="2"/>
          <w:sz w:val="32"/>
          <w:szCs w:val="22"/>
          <w:highlight w:val="none"/>
          <w:lang w:val="en-US" w:eastAsia="zh-CN" w:bidi="ar-SA"/>
        </w:rPr>
        <w:t>。</w:t>
      </w:r>
      <w:r>
        <w:rPr>
          <w:rFonts w:hint="eastAsia" w:ascii="Times New Roman" w:hAnsi="Times New Roman" w:eastAsia="仿宋_GB2312" w:cs="Times New Roman"/>
          <w:b w:val="0"/>
          <w:color w:val="auto"/>
          <w:kern w:val="2"/>
          <w:sz w:val="32"/>
          <w:szCs w:val="22"/>
          <w:highlight w:val="none"/>
          <w:lang w:val="en-US" w:eastAsia="zh-CN" w:bidi="ar-SA"/>
        </w:rPr>
        <w:t>建立“数据监测</w:t>
      </w:r>
      <w:r>
        <w:rPr>
          <w:rFonts w:hint="eastAsia" w:ascii="Times New Roman" w:hAnsi="Times New Roman" w:cs="Times New Roman"/>
          <w:b w:val="0"/>
          <w:color w:val="auto"/>
          <w:kern w:val="2"/>
          <w:sz w:val="32"/>
          <w:szCs w:val="22"/>
          <w:highlight w:val="none"/>
          <w:lang w:val="en-US" w:eastAsia="zh-CN" w:bidi="ar-SA"/>
        </w:rPr>
        <w:t>、</w:t>
      </w:r>
      <w:r>
        <w:rPr>
          <w:rFonts w:hint="eastAsia" w:ascii="Times New Roman" w:hAnsi="Times New Roman" w:eastAsia="仿宋_GB2312" w:cs="Times New Roman"/>
          <w:b w:val="0"/>
          <w:color w:val="auto"/>
          <w:kern w:val="2"/>
          <w:sz w:val="32"/>
          <w:szCs w:val="22"/>
          <w:highlight w:val="none"/>
          <w:lang w:val="en-US" w:eastAsia="zh-CN" w:bidi="ar-SA"/>
        </w:rPr>
        <w:t>分析研判</w:t>
      </w:r>
      <w:r>
        <w:rPr>
          <w:rFonts w:hint="eastAsia" w:ascii="Times New Roman" w:hAnsi="Times New Roman" w:cs="Times New Roman"/>
          <w:b w:val="0"/>
          <w:color w:val="auto"/>
          <w:kern w:val="2"/>
          <w:sz w:val="32"/>
          <w:szCs w:val="22"/>
          <w:highlight w:val="none"/>
          <w:lang w:val="en-US" w:eastAsia="zh-CN" w:bidi="ar-SA"/>
        </w:rPr>
        <w:t>、参数</w:t>
      </w:r>
      <w:r>
        <w:rPr>
          <w:rFonts w:hint="eastAsia" w:ascii="Times New Roman" w:hAnsi="Times New Roman" w:eastAsia="仿宋_GB2312" w:cs="Times New Roman"/>
          <w:b w:val="0"/>
          <w:color w:val="auto"/>
          <w:kern w:val="2"/>
          <w:sz w:val="32"/>
          <w:szCs w:val="22"/>
          <w:highlight w:val="none"/>
          <w:lang w:val="en-US" w:eastAsia="zh-CN" w:bidi="ar-SA"/>
        </w:rPr>
        <w:t>调整”闭环管理机制，每日监测进出水化学需氧量（COD）、氨氮、总磷等核心指标，结合季节变化、污水负荷波动，动态调整生物处理环节的曝气量、污泥回流比等参数。例如在夏季高温期，通过优化微生物菌群结构，确保污水处理效率不受温度影响，出水水质长期稳定达到《城镇污水处理厂污染物排放标准》一级A标准。</w:t>
      </w:r>
    </w:p>
    <w:p>
      <w:pPr>
        <w:bidi w:val="0"/>
        <w:rPr>
          <w:rFonts w:hint="eastAsia"/>
          <w:color w:val="auto"/>
          <w:highlight w:val="none"/>
          <w:lang w:val="en-US" w:eastAsia="zh-CN"/>
        </w:rPr>
      </w:pPr>
      <w:bookmarkStart w:id="181" w:name="_Toc6359"/>
      <w:bookmarkStart w:id="182" w:name="_Toc11238"/>
      <w:bookmarkStart w:id="183" w:name="_Toc27408"/>
      <w:bookmarkStart w:id="184" w:name="_Toc4673"/>
      <w:r>
        <w:rPr>
          <w:rFonts w:hint="eastAsia"/>
          <w:color w:val="auto"/>
          <w:highlight w:val="none"/>
          <w:lang w:val="en-US" w:eastAsia="zh-CN"/>
        </w:rPr>
        <w:t>2.规范化设备运维确保稳定运行。制定详细的设备维护管理制度，对格栅机、曝气机、污泥脱水机等关键设备实行 严格管理，定期开展巡检、保养和维修。建立设备故障应急处理机制，储备常用零部件，确保设备突发故障时能快速响应及时修复，设备完好率始终保持在98%以上，保障污水处理全流程顺畅运转。​</w:t>
      </w:r>
    </w:p>
    <w:p>
      <w:pPr>
        <w:bidi w:val="0"/>
        <w:rPr>
          <w:rFonts w:hint="eastAsia"/>
          <w:color w:val="auto"/>
          <w:highlight w:val="none"/>
        </w:rPr>
      </w:pPr>
      <w:r>
        <w:rPr>
          <w:rFonts w:hint="eastAsia"/>
          <w:color w:val="auto"/>
          <w:highlight w:val="none"/>
          <w:lang w:val="en-US" w:eastAsia="zh-CN"/>
        </w:rPr>
        <w:t>3.标准化污泥处置杜绝二次污染。严格遵循污泥处理相关规范，对污水处理过程中产生的污泥进行浓缩、脱水处理，将污泥含水率降至60%以下，运送至指定的无害化填埋场进行处置。建立污泥转运联单制度，详细记录污泥产生量、处理量、转运时间及去向，实现污泥处置全过程可追溯，有效避免污泥随意倾倒造成的环境污染问题。</w:t>
      </w:r>
    </w:p>
    <w:p>
      <w:pPr>
        <w:pStyle w:val="4"/>
        <w:keepNext w:val="0"/>
        <w:keepLines w:val="0"/>
        <w:pageBreakBefore w:val="0"/>
        <w:widowControl w:val="0"/>
        <w:kinsoku/>
        <w:wordWrap/>
        <w:overflowPunct/>
        <w:topLinePunct w:val="0"/>
        <w:autoSpaceDE/>
        <w:autoSpaceDN/>
        <w:bidi w:val="0"/>
        <w:adjustRightInd/>
        <w:snapToGrid/>
        <w:jc w:val="both"/>
        <w:textAlignment w:val="auto"/>
        <w:outlineLvl w:val="1"/>
        <w:rPr>
          <w:rFonts w:hint="eastAsia" w:ascii="楷体" w:hAnsi="楷体" w:eastAsia="楷体" w:cs="楷体"/>
          <w:color w:val="auto"/>
          <w:highlight w:val="none"/>
        </w:rPr>
      </w:pPr>
      <w:bookmarkStart w:id="185" w:name="_Toc23593"/>
      <w:bookmarkStart w:id="186" w:name="_Toc16779"/>
      <w:r>
        <w:rPr>
          <w:rFonts w:hint="eastAsia" w:ascii="楷体" w:hAnsi="楷体" w:eastAsia="楷体" w:cs="楷体"/>
          <w:color w:val="auto"/>
          <w:highlight w:val="none"/>
        </w:rPr>
        <w:t>（二）存在的问题及分析</w:t>
      </w:r>
      <w:bookmarkEnd w:id="181"/>
      <w:bookmarkEnd w:id="182"/>
      <w:bookmarkEnd w:id="183"/>
      <w:bookmarkEnd w:id="184"/>
      <w:bookmarkEnd w:id="185"/>
      <w:bookmarkEnd w:id="186"/>
    </w:p>
    <w:p>
      <w:pPr>
        <w:bidi w:val="0"/>
        <w:rPr>
          <w:rFonts w:hint="eastAsia"/>
          <w:color w:val="auto"/>
          <w:highlight w:val="none"/>
          <w:lang w:val="en-US" w:eastAsia="zh-CN"/>
        </w:rPr>
      </w:pPr>
      <w:bookmarkStart w:id="187" w:name="_Toc22271"/>
      <w:bookmarkStart w:id="188" w:name="_Toc20116"/>
      <w:bookmarkStart w:id="189" w:name="_Toc13270"/>
      <w:bookmarkStart w:id="190" w:name="_Toc13345"/>
      <w:bookmarkStart w:id="191" w:name="_Toc5702"/>
      <w:r>
        <w:rPr>
          <w:rFonts w:hint="eastAsia"/>
          <w:color w:val="auto"/>
          <w:highlight w:val="none"/>
          <w:lang w:val="en-US" w:eastAsia="zh-CN"/>
        </w:rPr>
        <w:t>一是2024年冬季低温环境下，污水处理厂内部部分污水管网出现冻裂、跑水现象，导致污水泄漏和处理效率下降。主要原因在于2024年冬季遭遇极端低温天气，保温措施不足，管道外部仅覆盖常规保温材料，难以抵御严寒。</w:t>
      </w:r>
    </w:p>
    <w:p>
      <w:pPr>
        <w:bidi w:val="0"/>
        <w:rPr>
          <w:rFonts w:hint="eastAsia"/>
          <w:color w:val="auto"/>
          <w:highlight w:val="none"/>
        </w:rPr>
      </w:pPr>
      <w:r>
        <w:rPr>
          <w:rFonts w:hint="eastAsia"/>
          <w:color w:val="auto"/>
          <w:highlight w:val="none"/>
          <w:lang w:val="en-US" w:eastAsia="zh-CN"/>
        </w:rPr>
        <w:t>二是管网运行多年后，存在腐蚀老化情况，在冬季低温收缩作用下进一步加剧冻损风险。</w:t>
      </w:r>
    </w:p>
    <w:p>
      <w:pPr>
        <w:bidi w:val="0"/>
        <w:rPr>
          <w:rFonts w:hint="default"/>
          <w:color w:val="auto"/>
          <w:highlight w:val="none"/>
          <w:lang w:val="en-US" w:eastAsia="zh-CN"/>
        </w:rPr>
      </w:pPr>
      <w:r>
        <w:rPr>
          <w:rFonts w:hint="eastAsia"/>
          <w:color w:val="auto"/>
          <w:highlight w:val="none"/>
          <w:lang w:val="en-US" w:eastAsia="zh-CN"/>
        </w:rPr>
        <w:t>三是项目全年预算资金为331万元，实际支付资金329.4万元，资金支付率99.52%，剩余资金为风险金导致资金未支付完。</w:t>
      </w:r>
    </w:p>
    <w:p>
      <w:pPr>
        <w:pStyle w:val="2"/>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黑体" w:hAnsi="黑体" w:eastAsia="黑体" w:cs="黑体"/>
          <w:color w:val="auto"/>
          <w:highlight w:val="none"/>
        </w:rPr>
      </w:pPr>
      <w:bookmarkStart w:id="192" w:name="_Toc21851"/>
      <w:bookmarkStart w:id="193" w:name="_Toc23062"/>
      <w:r>
        <w:rPr>
          <w:rFonts w:hint="eastAsia" w:ascii="黑体" w:hAnsi="黑体" w:eastAsia="黑体" w:cs="黑体"/>
          <w:color w:val="auto"/>
          <w:highlight w:val="none"/>
        </w:rPr>
        <w:t>六、有关建议</w:t>
      </w:r>
      <w:bookmarkEnd w:id="187"/>
      <w:bookmarkEnd w:id="188"/>
      <w:bookmarkEnd w:id="189"/>
      <w:bookmarkEnd w:id="190"/>
      <w:bookmarkEnd w:id="191"/>
      <w:bookmarkEnd w:id="192"/>
      <w:bookmarkEnd w:id="193"/>
    </w:p>
    <w:p>
      <w:pPr>
        <w:bidi w:val="0"/>
        <w:rPr>
          <w:rFonts w:hint="default"/>
          <w:color w:val="auto"/>
          <w:highlight w:val="none"/>
        </w:rPr>
      </w:pPr>
      <w:bookmarkStart w:id="194" w:name="_Toc21621"/>
      <w:bookmarkStart w:id="195" w:name="_Toc12100"/>
      <w:bookmarkStart w:id="196" w:name="_Toc24871"/>
      <w:bookmarkStart w:id="197" w:name="_Toc22823"/>
      <w:bookmarkStart w:id="198" w:name="_Toc5794"/>
      <w:r>
        <w:rPr>
          <w:rFonts w:hint="eastAsia"/>
          <w:color w:val="auto"/>
          <w:highlight w:val="none"/>
          <w:lang w:val="en-US" w:eastAsia="zh-CN"/>
        </w:rPr>
        <w:t>一是</w:t>
      </w:r>
      <w:r>
        <w:rPr>
          <w:rFonts w:hint="default"/>
          <w:color w:val="auto"/>
          <w:highlight w:val="none"/>
        </w:rPr>
        <w:t>实施管网保温升级改造</w:t>
      </w:r>
      <w:r>
        <w:rPr>
          <w:rFonts w:hint="eastAsia"/>
          <w:color w:val="auto"/>
          <w:highlight w:val="none"/>
          <w:lang w:eastAsia="zh-CN"/>
        </w:rPr>
        <w:t>。</w:t>
      </w:r>
      <w:r>
        <w:rPr>
          <w:rFonts w:hint="default"/>
          <w:color w:val="auto"/>
          <w:highlight w:val="none"/>
        </w:rPr>
        <w:t>对易受冻区域的污水管网进行专项改造，将现有常规保温材料更换保温层，增加厚度并外覆耐候性防水保护层，形成多层防护结构。</w:t>
      </w:r>
    </w:p>
    <w:p>
      <w:pPr>
        <w:bidi w:val="0"/>
        <w:rPr>
          <w:rFonts w:hint="default"/>
          <w:color w:val="auto"/>
          <w:highlight w:val="none"/>
        </w:rPr>
      </w:pPr>
      <w:r>
        <w:rPr>
          <w:rFonts w:hint="eastAsia"/>
          <w:color w:val="auto"/>
          <w:highlight w:val="none"/>
          <w:lang w:val="en-US" w:eastAsia="zh-CN"/>
        </w:rPr>
        <w:t>二是</w:t>
      </w:r>
      <w:r>
        <w:rPr>
          <w:rFonts w:hint="default"/>
          <w:color w:val="auto"/>
          <w:highlight w:val="none"/>
        </w:rPr>
        <w:t>更换老化管材</w:t>
      </w:r>
      <w:r>
        <w:rPr>
          <w:rFonts w:hint="eastAsia"/>
          <w:color w:val="auto"/>
          <w:highlight w:val="none"/>
          <w:lang w:eastAsia="zh-CN"/>
        </w:rPr>
        <w:t>。</w:t>
      </w:r>
      <w:r>
        <w:rPr>
          <w:rFonts w:hint="default"/>
          <w:color w:val="auto"/>
          <w:highlight w:val="none"/>
        </w:rPr>
        <w:t>全面排查管网接口，对腐蚀严重、存在结构性隐患的管道，优先采用耐腐蚀、抗冻性能强的新型管材进行替换，提升管网整体稳定性。</w:t>
      </w:r>
    </w:p>
    <w:p>
      <w:pPr>
        <w:bidi w:val="0"/>
        <w:rPr>
          <w:rFonts w:hint="default"/>
          <w:color w:val="auto"/>
          <w:highlight w:val="none"/>
          <w:lang w:val="en-US" w:eastAsia="zh-CN"/>
        </w:rPr>
      </w:pPr>
      <w:r>
        <w:rPr>
          <w:rFonts w:hint="eastAsia"/>
          <w:color w:val="auto"/>
          <w:highlight w:val="none"/>
          <w:lang w:val="en-US" w:eastAsia="zh-CN"/>
        </w:rPr>
        <w:t>三是科学编制项目资金预算，结合污水处理规模、运营成本及历史数据，建立动态预算调整机制，提高项目资金支付率。</w:t>
      </w:r>
    </w:p>
    <w:p>
      <w:pPr>
        <w:pStyle w:val="2"/>
        <w:keepNext w:val="0"/>
        <w:keepLines w:val="0"/>
        <w:pageBreakBefore w:val="0"/>
        <w:widowControl w:val="0"/>
        <w:kinsoku/>
        <w:wordWrap/>
        <w:overflowPunct/>
        <w:topLinePunct w:val="0"/>
        <w:autoSpaceDE/>
        <w:autoSpaceDN/>
        <w:bidi w:val="0"/>
        <w:adjustRightInd/>
        <w:snapToGrid/>
        <w:jc w:val="both"/>
        <w:textAlignment w:val="auto"/>
        <w:outlineLvl w:val="0"/>
        <w:rPr>
          <w:rFonts w:hint="default" w:ascii="黑体" w:hAnsi="黑体" w:eastAsia="黑体" w:cs="黑体"/>
          <w:bCs/>
          <w:iCs/>
          <w:color w:val="auto"/>
          <w:highlight w:val="none"/>
        </w:rPr>
      </w:pPr>
      <w:bookmarkStart w:id="199" w:name="_Toc9170"/>
      <w:bookmarkStart w:id="200" w:name="_Toc26672"/>
      <w:r>
        <w:rPr>
          <w:rFonts w:hint="default" w:ascii="黑体" w:hAnsi="黑体" w:eastAsia="黑体" w:cs="黑体"/>
          <w:bCs/>
          <w:iCs/>
          <w:color w:val="auto"/>
          <w:highlight w:val="none"/>
        </w:rPr>
        <w:t>七、其他需要说明的问题</w:t>
      </w:r>
      <w:bookmarkEnd w:id="194"/>
      <w:bookmarkEnd w:id="195"/>
      <w:bookmarkEnd w:id="196"/>
      <w:bookmarkEnd w:id="197"/>
      <w:bookmarkEnd w:id="198"/>
      <w:bookmarkEnd w:id="199"/>
      <w:bookmarkEnd w:id="200"/>
    </w:p>
    <w:p>
      <w:pPr>
        <w:bidi w:val="0"/>
        <w:jc w:val="both"/>
        <w:rPr>
          <w:rFonts w:hint="default" w:ascii="Times New Roman" w:hAnsi="Times New Roman" w:eastAsia="仿宋_GB2312" w:cs="Times New Roman"/>
          <w:color w:val="auto"/>
          <w:highlight w:val="none"/>
        </w:rPr>
      </w:pPr>
      <w:bookmarkStart w:id="201" w:name="OLE_LINK5"/>
      <w:bookmarkStart w:id="202" w:name="OLE_LINK6"/>
      <w:bookmarkStart w:id="203" w:name="_Toc4210"/>
      <w:bookmarkStart w:id="204" w:name="_Toc28493"/>
      <w:bookmarkStart w:id="205" w:name="_Toc30245"/>
      <w:r>
        <w:rPr>
          <w:rFonts w:hint="eastAsia" w:ascii="Times New Roman" w:hAnsi="Times New Roman" w:cs="Times New Roman"/>
          <w:color w:val="auto"/>
          <w:highlight w:val="none"/>
          <w:lang w:val="en-US" w:eastAsia="zh-CN"/>
        </w:rPr>
        <w:t>1、</w:t>
      </w:r>
      <w:r>
        <w:rPr>
          <w:rFonts w:hint="default" w:ascii="Times New Roman" w:hAnsi="Times New Roman" w:eastAsia="仿宋_GB2312" w:cs="Times New Roman"/>
          <w:color w:val="auto"/>
          <w:highlight w:val="none"/>
        </w:rPr>
        <w:t>本项目部分间接产生的效果无法准确在短期内衡量，因此很难认定项目产生的全部效果。通过指标来反映绩效，指标的科学性和全面性需要不断地完善和研究。</w:t>
      </w:r>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评价结果分别编入政府决算和部门预算，报送本级人民代表大会常务委员会，并依法予以公开。</w:t>
      </w:r>
      <w:bookmarkEnd w:id="201"/>
      <w:bookmarkEnd w:id="202"/>
    </w:p>
    <w:p>
      <w:pPr>
        <w:pStyle w:val="2"/>
        <w:keepNext w:val="0"/>
        <w:keepLines w:val="0"/>
        <w:pageBreakBefore w:val="0"/>
        <w:widowControl w:val="0"/>
        <w:kinsoku/>
        <w:wordWrap/>
        <w:overflowPunct/>
        <w:topLinePunct w:val="0"/>
        <w:autoSpaceDE/>
        <w:autoSpaceDN/>
        <w:bidi w:val="0"/>
        <w:adjustRightInd/>
        <w:snapToGrid/>
        <w:jc w:val="both"/>
        <w:textAlignment w:val="auto"/>
        <w:outlineLvl w:val="0"/>
        <w:rPr>
          <w:rFonts w:hint="default" w:ascii="黑体" w:hAnsi="黑体" w:eastAsia="黑体" w:cs="黑体"/>
          <w:bCs/>
          <w:iCs/>
          <w:color w:val="auto"/>
          <w:highlight w:val="none"/>
        </w:rPr>
      </w:pPr>
      <w:bookmarkStart w:id="206" w:name="_Toc31222"/>
      <w:bookmarkStart w:id="207" w:name="_Toc930"/>
      <w:r>
        <w:rPr>
          <w:rFonts w:hint="default" w:ascii="黑体" w:hAnsi="黑体" w:eastAsia="黑体" w:cs="黑体"/>
          <w:bCs/>
          <w:iCs/>
          <w:color w:val="auto"/>
          <w:highlight w:val="none"/>
        </w:rPr>
        <w:t>八、附件</w:t>
      </w:r>
      <w:bookmarkEnd w:id="203"/>
      <w:bookmarkEnd w:id="204"/>
      <w:bookmarkEnd w:id="205"/>
      <w:bookmarkEnd w:id="206"/>
      <w:bookmarkEnd w:id="207"/>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1、项目支出绩效自评表</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2、项目支出绩效评价指标体系及评分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color w:val="auto"/>
          <w:highlight w:val="none"/>
        </w:rPr>
      </w:pPr>
    </w:p>
    <w:p>
      <w:pPr>
        <w:jc w:val="both"/>
        <w:rPr>
          <w:rFonts w:hint="default" w:ascii="Times New Roman" w:hAnsi="Times New Roman" w:eastAsia="仿宋_GB2312" w:cs="Times New Roman"/>
          <w:color w:val="auto"/>
          <w:highlight w:val="none"/>
        </w:rPr>
      </w:pPr>
    </w:p>
    <w:p>
      <w:pPr>
        <w:jc w:val="both"/>
        <w:rPr>
          <w:rFonts w:hint="default" w:ascii="Times New Roman" w:hAnsi="Times New Roman" w:eastAsia="仿宋_GB2312" w:cs="Times New Roman"/>
          <w:color w:val="auto"/>
          <w:highlight w:val="none"/>
        </w:rPr>
      </w:pPr>
    </w:p>
    <w:p>
      <w:pPr>
        <w:jc w:val="both"/>
        <w:rPr>
          <w:rFonts w:hint="default" w:ascii="Times New Roman" w:hAnsi="Times New Roman" w:eastAsia="仿宋_GB2312" w:cs="Times New Roman"/>
          <w:color w:val="auto"/>
          <w:highlight w:val="none"/>
        </w:rPr>
        <w:sectPr>
          <w:footerReference r:id="rId4" w:type="default"/>
          <w:pgSz w:w="11906" w:h="16838"/>
          <w:pgMar w:top="1440" w:right="1800" w:bottom="1440" w:left="1800" w:header="851" w:footer="992" w:gutter="0"/>
          <w:pgNumType w:fmt="decimal" w:start="1"/>
          <w:cols w:space="720" w:num="1"/>
          <w:docGrid w:type="lines" w:linePitch="312" w:charSpace="0"/>
        </w:sectPr>
      </w:pPr>
    </w:p>
    <w:p>
      <w:pPr>
        <w:pStyle w:val="2"/>
        <w:bidi w:val="0"/>
        <w:jc w:val="both"/>
        <w:outlineLvl w:val="0"/>
        <w:rPr>
          <w:rFonts w:hint="default" w:ascii="Times New Roman" w:hAnsi="Times New Roman" w:eastAsia="仿宋_GB2312" w:cs="Times New Roman"/>
          <w:bCs/>
          <w:iCs/>
          <w:color w:val="auto"/>
          <w:highlight w:val="none"/>
        </w:rPr>
      </w:pPr>
      <w:bookmarkStart w:id="208" w:name="_Toc15698"/>
      <w:bookmarkStart w:id="209" w:name="_Toc28598"/>
      <w:bookmarkStart w:id="210" w:name="_Toc21805"/>
      <w:bookmarkStart w:id="211" w:name="_Toc2022"/>
      <w:r>
        <w:rPr>
          <w:rFonts w:hint="default" w:ascii="Times New Roman" w:hAnsi="Times New Roman" w:eastAsia="仿宋_GB2312" w:cs="Times New Roman"/>
          <w:bCs/>
          <w:iCs/>
          <w:color w:val="auto"/>
          <w:highlight w:val="none"/>
        </w:rPr>
        <w:t>附件1：</w:t>
      </w:r>
      <w:bookmarkEnd w:id="208"/>
      <w:bookmarkEnd w:id="209"/>
      <w:r>
        <w:rPr>
          <w:rFonts w:hint="default" w:ascii="Times New Roman" w:hAnsi="Times New Roman" w:eastAsia="仿宋_GB2312" w:cs="Times New Roman"/>
          <w:color w:val="auto"/>
          <w:highlight w:val="none"/>
        </w:rPr>
        <w:t>项目支出绩效自评表</w:t>
      </w:r>
      <w:bookmarkEnd w:id="210"/>
      <w:bookmarkEnd w:id="211"/>
    </w:p>
    <w:tbl>
      <w:tblPr>
        <w:tblStyle w:val="12"/>
        <w:tblW w:w="50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1"/>
        <w:gridCol w:w="806"/>
        <w:gridCol w:w="980"/>
        <w:gridCol w:w="2090"/>
        <w:gridCol w:w="1125"/>
        <w:gridCol w:w="974"/>
        <w:gridCol w:w="1333"/>
        <w:gridCol w:w="648"/>
        <w:gridCol w:w="1070"/>
        <w:gridCol w:w="752"/>
        <w:gridCol w:w="983"/>
        <w:gridCol w:w="969"/>
        <w:gridCol w:w="694"/>
        <w:gridCol w:w="1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0"/>
              <w:bidi w:val="0"/>
              <w:rPr>
                <w:color w:val="auto"/>
                <w:highlight w:val="none"/>
              </w:rPr>
            </w:pPr>
            <w:bookmarkStart w:id="212" w:name="_Toc916"/>
            <w:bookmarkStart w:id="213" w:name="_Toc16379"/>
            <w:r>
              <w:rPr>
                <w:rFonts w:hint="eastAsia"/>
                <w:color w:val="auto"/>
                <w:highlight w:val="none"/>
                <w:lang w:val="en-US" w:eastAsia="zh-CN"/>
              </w:rPr>
              <w:t>项目支出绩效自评表</w:t>
            </w:r>
            <w:bookmarkEnd w:id="212"/>
            <w:bookmarkEnd w:id="21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项目名称</w:t>
            </w:r>
          </w:p>
        </w:tc>
        <w:tc>
          <w:tcPr>
            <w:tcW w:w="4446" w:type="pct"/>
            <w:gridSpan w:val="1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2024年尉犁县城镇污水处理厂（二期）工程PPP项目服务费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主管部门</w:t>
            </w:r>
          </w:p>
        </w:tc>
        <w:tc>
          <w:tcPr>
            <w:tcW w:w="2249" w:type="pct"/>
            <w:gridSpan w:val="5"/>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尉犁县住房和城乡建设局</w:t>
            </w:r>
          </w:p>
        </w:tc>
        <w:tc>
          <w:tcPr>
            <w:tcW w:w="59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实施单位</w:t>
            </w:r>
          </w:p>
        </w:tc>
        <w:tc>
          <w:tcPr>
            <w:tcW w:w="1604" w:type="pct"/>
            <w:gridSpan w:val="5"/>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尉犁县住房和城乡建设局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53"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项目资金</w:t>
            </w:r>
            <w:r>
              <w:rPr>
                <w:rFonts w:hint="eastAsia"/>
                <w:color w:val="auto"/>
                <w:highlight w:val="none"/>
                <w:lang w:val="en-US" w:eastAsia="zh-CN"/>
              </w:rPr>
              <w:br w:type="textWrapping"/>
            </w:r>
            <w:r>
              <w:rPr>
                <w:rFonts w:hint="eastAsia"/>
                <w:color w:val="auto"/>
                <w:highlight w:val="none"/>
                <w:lang w:val="en-US" w:eastAsia="zh-CN"/>
              </w:rPr>
              <w:t>（万元）</w:t>
            </w:r>
          </w:p>
        </w:tc>
        <w:tc>
          <w:tcPr>
            <w:tcW w:w="1061"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资金来源</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年初预算数</w:t>
            </w:r>
          </w:p>
        </w:tc>
        <w:tc>
          <w:tcPr>
            <w:tcW w:w="797"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全年预算数</w:t>
            </w:r>
          </w:p>
        </w:tc>
        <w:tc>
          <w:tcPr>
            <w:tcW w:w="59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全年执行数</w:t>
            </w: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分值权重</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执行率</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53"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1061"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年度资金总额</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331.00</w:t>
            </w:r>
          </w:p>
        </w:tc>
        <w:tc>
          <w:tcPr>
            <w:tcW w:w="797"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331.00</w:t>
            </w:r>
          </w:p>
        </w:tc>
        <w:tc>
          <w:tcPr>
            <w:tcW w:w="59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329.40</w:t>
            </w: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99.52%</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9.88分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53"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1061"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其中：当年财政拨款</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331</w:t>
            </w:r>
          </w:p>
        </w:tc>
        <w:tc>
          <w:tcPr>
            <w:tcW w:w="797"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331</w:t>
            </w:r>
          </w:p>
        </w:tc>
        <w:tc>
          <w:tcPr>
            <w:tcW w:w="59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329.4</w:t>
            </w: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53"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1061"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其他资金</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0</w:t>
            </w:r>
          </w:p>
        </w:tc>
        <w:tc>
          <w:tcPr>
            <w:tcW w:w="797"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0</w:t>
            </w:r>
          </w:p>
        </w:tc>
        <w:tc>
          <w:tcPr>
            <w:tcW w:w="593"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0</w:t>
            </w: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c>
          <w:tcPr>
            <w:tcW w:w="575" w:type="pct"/>
            <w:gridSpan w:val="2"/>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年度总体目标</w:t>
            </w:r>
          </w:p>
        </w:tc>
        <w:tc>
          <w:tcPr>
            <w:tcW w:w="3121" w:type="pct"/>
            <w:gridSpan w:val="8"/>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总体目标</w:t>
            </w:r>
          </w:p>
        </w:tc>
        <w:tc>
          <w:tcPr>
            <w:tcW w:w="1604" w:type="pct"/>
            <w:gridSpan w:val="5"/>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121" w:type="pct"/>
            <w:gridSpan w:val="8"/>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依据关于将尉犁县污水处理厂（二期）工程PPP项目财政支出责任分年度列入财政预算批复的工作要求，完成全县城镇污水处理服务年度任务；运营项目公司年污水处理规模按100~183万立方米，按月实际处理天数付费；污水处理出水水质达到国家一级A标准，达标率100%；中水利用率达到50%以上，污泥无害化填埋处理率100%。改善人居环境，减少污染，满足环保要求。中水回用解决县城绿化缺水的紧张形势。</w:t>
            </w:r>
          </w:p>
        </w:tc>
        <w:tc>
          <w:tcPr>
            <w:tcW w:w="1604" w:type="pct"/>
            <w:gridSpan w:val="5"/>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本年实际完成运营项目公司年污水处理151.47万立方米，按月实际处理天数付费；生活污水处理率98.24%，污水处理出水水质达到国家一级A标准；中水利用率达到50%，污泥无害化填埋处理率100%。改善人居环境，减少污染，满足环保要求。中水回用解决县城绿化缺水的紧张形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trPr>
        <w:tc>
          <w:tcPr>
            <w:tcW w:w="27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一级指标</w:t>
            </w: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二级指标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三级指标</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指标值</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指标值设置依据</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上年完成值</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指标分值权重</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指标赋分规则</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佐证资料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指标实际完成值</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完成率</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指标得分</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年度绩效指标完成情况</w:t>
            </w:r>
          </w:p>
        </w:tc>
        <w:tc>
          <w:tcPr>
            <w:tcW w:w="278"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产出指标</w:t>
            </w: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数量指标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污水处理厂处理能力</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&gt;=160万立方米</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158.16万平方米</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=151.84万立方米</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94.9%</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6.98</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年初设定目标值过高，实际处理能力未达到。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质量指标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生活污水处理率</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&gt;=98%</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98%</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=98.25%</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100.26%</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7.98</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质量指标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污水处理出水水质达标率</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时效指标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污泥无害化填埋处理及时率</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时效指标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资金拨付及时率</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&gt;=95%</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95%</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8</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=99.52%</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104.76%</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default"/>
                <w:color w:val="auto"/>
                <w:highlight w:val="none"/>
                <w:lang w:val="en-US"/>
              </w:rPr>
            </w:pPr>
            <w:r>
              <w:rPr>
                <w:rFonts w:hint="eastAsia"/>
                <w:color w:val="auto"/>
                <w:highlight w:val="none"/>
                <w:lang w:val="en-US" w:eastAsia="zh-CN"/>
              </w:rPr>
              <w:t>7.62</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rPr>
              <w:t>按月实际处理天数付费，已完成支付全年污水处理费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成本指标</w:t>
            </w: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经济成本指标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全年预算污水处理费用</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&lt;=331万元</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20</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原始凭证</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=329.4万元</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99.52%</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19.76</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剩余资金为风险金。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效益指标</w:t>
            </w: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社会效益指标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缓解县城绿化缺水矛盾</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有效缓解</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达成目标</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15</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按评判等级赋分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达成目标</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15</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7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7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生态效益指标</w:t>
            </w:r>
          </w:p>
        </w:tc>
        <w:tc>
          <w:tcPr>
            <w:tcW w:w="722"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中水回用利用率</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&gt;=50%</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计划标准</w:t>
            </w: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50%</w:t>
            </w: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15</w:t>
            </w: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按照完成比例赋分</w:t>
            </w: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工作资料</w:t>
            </w: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=50%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100%</w:t>
            </w: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15</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615" w:type="pct"/>
            <w:gridSpan w:val="4"/>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总分</w:t>
            </w:r>
          </w:p>
        </w:tc>
        <w:tc>
          <w:tcPr>
            <w:tcW w:w="38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4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24"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69"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c>
          <w:tcPr>
            <w:tcW w:w="240"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r>
              <w:rPr>
                <w:rFonts w:hint="eastAsia"/>
                <w:color w:val="auto"/>
                <w:highlight w:val="none"/>
                <w:lang w:val="en-US" w:eastAsia="zh-CN"/>
              </w:rPr>
              <w:t>98.22分</w:t>
            </w:r>
          </w:p>
        </w:tc>
        <w:tc>
          <w:tcPr>
            <w:tcW w:w="428" w:type="pct"/>
            <w:tcBorders>
              <w:top w:val="single" w:color="auto" w:sz="4" w:space="0"/>
              <w:left w:val="single" w:color="auto" w:sz="4" w:space="0"/>
              <w:bottom w:val="single" w:color="auto" w:sz="4" w:space="0"/>
              <w:right w:val="single" w:color="auto" w:sz="4" w:space="0"/>
            </w:tcBorders>
            <w:noWrap w:val="0"/>
            <w:vAlign w:val="center"/>
          </w:tcPr>
          <w:p>
            <w:pPr>
              <w:pStyle w:val="31"/>
              <w:bidi w:val="0"/>
              <w:rPr>
                <w:rFonts w:hint="eastAsia"/>
                <w:color w:val="auto"/>
                <w:highlight w:val="none"/>
              </w:rPr>
            </w:pPr>
          </w:p>
        </w:tc>
      </w:tr>
    </w:tbl>
    <w:p>
      <w:pPr>
        <w:ind w:left="0" w:leftChars="0" w:firstLine="0" w:firstLineChars="0"/>
        <w:jc w:val="both"/>
        <w:rPr>
          <w:rFonts w:hint="default" w:ascii="Times New Roman" w:hAnsi="Times New Roman" w:eastAsia="仿宋_GB2312" w:cs="Times New Roman"/>
          <w:color w:val="auto"/>
          <w:sz w:val="18"/>
          <w:szCs w:val="18"/>
          <w:highlight w:val="none"/>
        </w:rPr>
      </w:pPr>
    </w:p>
    <w:p>
      <w:pPr>
        <w:pStyle w:val="4"/>
        <w:ind w:left="0" w:leftChars="0" w:firstLine="0" w:firstLineChars="0"/>
        <w:jc w:val="both"/>
        <w:outlineLvl w:val="9"/>
        <w:rPr>
          <w:rFonts w:hint="default" w:ascii="Times New Roman" w:hAnsi="Times New Roman" w:eastAsia="仿宋_GB2312" w:cs="Times New Roman"/>
          <w:color w:val="auto"/>
          <w:highlight w:val="none"/>
        </w:rPr>
        <w:sectPr>
          <w:pgSz w:w="16838" w:h="11906" w:orient="landscape"/>
          <w:pgMar w:top="1800" w:right="1440" w:bottom="1800" w:left="1440" w:header="851" w:footer="992" w:gutter="0"/>
          <w:pgNumType w:fmt="decimal"/>
          <w:cols w:space="720" w:num="1"/>
          <w:docGrid w:type="lines" w:linePitch="312" w:charSpace="0"/>
        </w:sectPr>
      </w:pPr>
      <w:bookmarkStart w:id="214" w:name="_Toc22143"/>
      <w:bookmarkStart w:id="215" w:name="_Toc28099"/>
      <w:bookmarkStart w:id="216" w:name="_Toc5134"/>
      <w:bookmarkStart w:id="217" w:name="_Toc1641"/>
    </w:p>
    <w:p>
      <w:pPr>
        <w:pStyle w:val="30"/>
        <w:bidi w:val="0"/>
        <w:jc w:val="both"/>
        <w:rPr>
          <w:rFonts w:hint="default" w:ascii="Times New Roman" w:hAnsi="Times New Roman" w:eastAsia="仿宋_GB2312" w:cs="Times New Roman"/>
          <w:b w:val="0"/>
          <w:bCs/>
          <w:iCs/>
          <w:color w:val="auto"/>
          <w:kern w:val="2"/>
          <w:sz w:val="32"/>
          <w:szCs w:val="21"/>
          <w:highlight w:val="none"/>
          <w:lang w:val="en-US" w:eastAsia="zh-CN" w:bidi="ar-SA"/>
        </w:rPr>
      </w:pPr>
      <w:bookmarkStart w:id="218" w:name="_Toc29757"/>
      <w:bookmarkStart w:id="219" w:name="_Toc31300"/>
      <w:bookmarkStart w:id="220" w:name="_Toc28010"/>
      <w:bookmarkStart w:id="221" w:name="_Toc12042"/>
      <w:r>
        <w:rPr>
          <w:rFonts w:hint="default" w:ascii="Times New Roman" w:hAnsi="Times New Roman" w:eastAsia="仿宋_GB2312" w:cs="Times New Roman"/>
          <w:b w:val="0"/>
          <w:bCs/>
          <w:iCs/>
          <w:color w:val="auto"/>
          <w:kern w:val="2"/>
          <w:sz w:val="32"/>
          <w:szCs w:val="21"/>
          <w:highlight w:val="none"/>
          <w:lang w:val="en-US" w:eastAsia="zh-CN" w:bidi="ar-SA"/>
        </w:rPr>
        <w:t>附件2：</w:t>
      </w:r>
      <w:bookmarkEnd w:id="214"/>
      <w:bookmarkEnd w:id="215"/>
      <w:bookmarkEnd w:id="216"/>
      <w:bookmarkEnd w:id="217"/>
      <w:bookmarkEnd w:id="218"/>
      <w:bookmarkEnd w:id="219"/>
      <w:r>
        <w:rPr>
          <w:rFonts w:hint="default" w:ascii="Times New Roman" w:hAnsi="Times New Roman" w:eastAsia="仿宋_GB2312" w:cs="Times New Roman"/>
          <w:b w:val="0"/>
          <w:bCs/>
          <w:iCs/>
          <w:color w:val="auto"/>
          <w:kern w:val="2"/>
          <w:sz w:val="32"/>
          <w:szCs w:val="21"/>
          <w:highlight w:val="none"/>
          <w:lang w:val="en-US" w:eastAsia="zh-CN" w:bidi="ar-SA"/>
        </w:rPr>
        <w:t>项目支出绩效评价指标体系及评分</w:t>
      </w:r>
      <w:bookmarkEnd w:id="220"/>
      <w:bookmarkEnd w:id="221"/>
    </w:p>
    <w:p>
      <w:pPr>
        <w:pStyle w:val="30"/>
        <w:keepNext/>
        <w:keepLines/>
        <w:pageBreakBefore w:val="0"/>
        <w:widowControl w:val="0"/>
        <w:kinsoku/>
        <w:wordWrap/>
        <w:overflowPunct/>
        <w:topLinePunct w:val="0"/>
        <w:autoSpaceDE/>
        <w:autoSpaceDN/>
        <w:bidi w:val="0"/>
        <w:adjustRightInd/>
        <w:snapToGrid/>
        <w:textAlignment w:val="auto"/>
        <w:outlineLvl w:val="0"/>
        <w:rPr>
          <w:rFonts w:hint="default"/>
          <w:color w:val="auto"/>
          <w:highlight w:val="none"/>
        </w:rPr>
      </w:pPr>
      <w:bookmarkStart w:id="222" w:name="_Toc29561"/>
      <w:bookmarkStart w:id="223" w:name="_Toc10788"/>
      <w:bookmarkStart w:id="224" w:name="_Toc28172"/>
      <w:bookmarkStart w:id="225" w:name="_Toc28976"/>
      <w:r>
        <w:rPr>
          <w:rFonts w:hint="default"/>
          <w:color w:val="auto"/>
          <w:highlight w:val="none"/>
        </w:rPr>
        <w:t>项目支出绩效评价指标体系及评分</w:t>
      </w:r>
      <w:bookmarkEnd w:id="222"/>
      <w:bookmarkEnd w:id="223"/>
      <w:bookmarkEnd w:id="224"/>
      <w:bookmarkEnd w:id="225"/>
    </w:p>
    <w:tbl>
      <w:tblPr>
        <w:tblStyle w:val="12"/>
        <w:tblW w:w="5674" w:type="pct"/>
        <w:jc w:val="center"/>
        <w:tblLayout w:type="fixed"/>
        <w:tblCellMar>
          <w:top w:w="0" w:type="dxa"/>
          <w:left w:w="108" w:type="dxa"/>
          <w:bottom w:w="0" w:type="dxa"/>
          <w:right w:w="108" w:type="dxa"/>
        </w:tblCellMar>
      </w:tblPr>
      <w:tblGrid>
        <w:gridCol w:w="592"/>
        <w:gridCol w:w="669"/>
        <w:gridCol w:w="816"/>
        <w:gridCol w:w="2173"/>
        <w:gridCol w:w="4183"/>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一级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三级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1123" w:type="pc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rPr>
              <w:t>项目</w:t>
            </w:r>
            <w:r>
              <w:rPr>
                <w:rFonts w:hint="eastAsia" w:cs="Times New Roman"/>
                <w:color w:val="auto"/>
                <w:sz w:val="18"/>
                <w:szCs w:val="18"/>
                <w:highlight w:val="none"/>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是否符合法律法规、相关政策、发展规划以及部门职责，用以反映和考核项目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依据情况。</w:t>
            </w: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项目申请、设立过程是否符合相关要求，用以反映和考核项目</w:t>
            </w:r>
            <w:r>
              <w:rPr>
                <w:rFonts w:hint="eastAsia"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top"/>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eastAsia" w:cs="Times New Roman"/>
                <w:color w:val="auto"/>
                <w:sz w:val="18"/>
                <w:szCs w:val="18"/>
                <w:highlight w:val="none"/>
                <w:lang w:val="en-US" w:eastAsia="zh-CN"/>
              </w:rPr>
              <w:t>3.98</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eastAsia" w:cs="Times New Roman"/>
                <w:color w:val="auto"/>
                <w:sz w:val="18"/>
                <w:szCs w:val="18"/>
                <w:highlight w:val="none"/>
                <w:lang w:val="en-US" w:eastAsia="zh-CN"/>
              </w:rPr>
              <w:t>11.38</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eastAsia" w:cs="Times New Roman"/>
                <w:color w:val="auto"/>
                <w:sz w:val="18"/>
                <w:szCs w:val="18"/>
                <w:highlight w:val="none"/>
                <w:lang w:val="en-US" w:eastAsia="zh-CN"/>
              </w:rPr>
              <w:t>3.98</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实施</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1123" w:type="pc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cs="Times New Roman"/>
                <w:color w:val="auto"/>
                <w:sz w:val="18"/>
                <w:szCs w:val="18"/>
                <w:highlight w:val="none"/>
                <w:lang w:val="en-US" w:eastAsia="zh-CN"/>
              </w:rPr>
              <w:t>2</w:t>
            </w:r>
            <w:r>
              <w:rPr>
                <w:rFonts w:hint="default" w:ascii="Times New Roman" w:hAnsi="Times New Roman" w:eastAsia="仿宋_GB2312" w:cs="Times New Roman"/>
                <w:color w:val="auto"/>
                <w:sz w:val="18"/>
                <w:szCs w:val="18"/>
                <w:highlight w:val="none"/>
              </w:rPr>
              <w:t>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eastAsia" w:cs="Times New Roman"/>
                <w:color w:val="auto"/>
                <w:sz w:val="18"/>
                <w:szCs w:val="18"/>
                <w:highlight w:val="none"/>
                <w:lang w:val="en-US" w:eastAsia="zh-CN"/>
              </w:rPr>
              <w:t>99.34</w:t>
            </w:r>
          </w:p>
        </w:tc>
      </w:tr>
    </w:tbl>
    <w:p>
      <w:pPr>
        <w:ind w:firstLine="640"/>
        <w:jc w:val="both"/>
        <w:rPr>
          <w:rFonts w:hint="default" w:ascii="Times New Roman" w:hAnsi="Times New Roman" w:eastAsia="仿宋_GB2312" w:cs="Times New Roman"/>
          <w:color w:val="auto"/>
          <w:highlight w:val="none"/>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41BD91-8181-4B1D-AFE1-963B2BC4646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7AB103C1-497A-4ED3-B9DA-84FA1C34F1EB}"/>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13CD9963-A48C-4676-9934-3203AA7EE8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654078F5"/>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17"/>
    <w:qFormat/>
    <w:uiPriority w:val="99"/>
    <w:pPr>
      <w:keepNext/>
      <w:outlineLvl w:val="1"/>
    </w:pPr>
    <w:rPr>
      <w:rFonts w:eastAsia="黑体" w:cs="Times New Roman"/>
      <w:bCs/>
      <w:iCs/>
      <w:szCs w:val="21"/>
    </w:rPr>
  </w:style>
  <w:style w:type="paragraph" w:styleId="4">
    <w:name w:val="heading 3"/>
    <w:basedOn w:val="1"/>
    <w:next w:val="1"/>
    <w:link w:val="19"/>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4">
    <w:name w:val="Default Paragraph Font"/>
    <w:unhideWhenUsed/>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20"/>
    <w:unhideWhenUsed/>
    <w:qFormat/>
    <w:uiPriority w:val="99"/>
    <w:pPr>
      <w:tabs>
        <w:tab w:val="center" w:pos="4153"/>
        <w:tab w:val="right" w:pos="8306"/>
      </w:tabs>
      <w:snapToGrid w:val="0"/>
      <w:jc w:val="left"/>
    </w:pPr>
    <w:rPr>
      <w:sz w:val="18"/>
    </w:rPr>
  </w:style>
  <w:style w:type="paragraph" w:styleId="8">
    <w:name w:val="header"/>
    <w:basedOn w:val="1"/>
    <w:link w:val="2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rPr>
  </w:style>
  <w:style w:type="paragraph" w:customStyle="1" w:styleId="16">
    <w:name w:val="Comment Text"/>
    <w:basedOn w:val="1"/>
    <w:qFormat/>
    <w:uiPriority w:val="0"/>
    <w:pPr>
      <w:jc w:val="left"/>
    </w:pPr>
  </w:style>
  <w:style w:type="character" w:customStyle="1" w:styleId="17">
    <w:name w:val="标题 2 字符"/>
    <w:link w:val="2"/>
    <w:qFormat/>
    <w:uiPriority w:val="99"/>
    <w:rPr>
      <w:rFonts w:eastAsia="黑体"/>
      <w:bCs/>
      <w:iCs/>
      <w:kern w:val="2"/>
      <w:sz w:val="32"/>
      <w:szCs w:val="21"/>
    </w:rPr>
  </w:style>
  <w:style w:type="character" w:customStyle="1" w:styleId="18">
    <w:name w:val="标题 1 Char"/>
    <w:link w:val="3"/>
    <w:uiPriority w:val="9"/>
    <w:rPr>
      <w:rFonts w:eastAsia="方正小标宋_GBK"/>
      <w:kern w:val="44"/>
      <w:sz w:val="36"/>
    </w:rPr>
  </w:style>
  <w:style w:type="character" w:customStyle="1" w:styleId="19">
    <w:name w:val="标题 3 字符"/>
    <w:link w:val="4"/>
    <w:qFormat/>
    <w:uiPriority w:val="9"/>
    <w:rPr>
      <w:rFonts w:eastAsia="楷体_GB2312" w:cs="Times New Roman"/>
      <w:b/>
      <w:kern w:val="2"/>
      <w:sz w:val="32"/>
      <w:szCs w:val="22"/>
    </w:rPr>
  </w:style>
  <w:style w:type="character" w:customStyle="1" w:styleId="20">
    <w:name w:val="页脚 字符"/>
    <w:link w:val="7"/>
    <w:uiPriority w:val="99"/>
    <w:rPr>
      <w:rFonts w:eastAsia="仿宋_GB2312" w:cs="Times New Roman"/>
      <w:kern w:val="2"/>
      <w:sz w:val="18"/>
      <w:szCs w:val="22"/>
    </w:rPr>
  </w:style>
  <w:style w:type="character" w:customStyle="1" w:styleId="21">
    <w:name w:val="页眉 字符"/>
    <w:link w:val="8"/>
    <w:uiPriority w:val="99"/>
    <w:rPr>
      <w:rFonts w:eastAsia="仿宋_GB2312" w:cs="Times New Roman"/>
      <w:kern w:val="2"/>
      <w:sz w:val="18"/>
      <w:szCs w:val="22"/>
    </w:rPr>
  </w:style>
  <w:style w:type="character" w:customStyle="1" w:styleId="22">
    <w:name w:val="font21"/>
    <w:basedOn w:val="14"/>
    <w:qFormat/>
    <w:uiPriority w:val="0"/>
    <w:rPr>
      <w:rFonts w:hint="default" w:ascii="Times New Roman" w:hAnsi="Times New Roman" w:cs="Times New Roman"/>
      <w:color w:val="000000"/>
      <w:sz w:val="22"/>
      <w:szCs w:val="22"/>
      <w:u w:val="none"/>
    </w:rPr>
  </w:style>
  <w:style w:type="character" w:customStyle="1" w:styleId="23">
    <w:name w:val="font101"/>
    <w:basedOn w:val="14"/>
    <w:qFormat/>
    <w:uiPriority w:val="0"/>
    <w:rPr>
      <w:rFonts w:hint="eastAsia" w:ascii="宋体" w:hAnsi="宋体" w:eastAsia="宋体" w:cs="宋体"/>
      <w:color w:val="000000"/>
      <w:sz w:val="18"/>
      <w:szCs w:val="18"/>
      <w:u w:val="none"/>
    </w:rPr>
  </w:style>
  <w:style w:type="character" w:customStyle="1" w:styleId="24">
    <w:name w:val="font71"/>
    <w:basedOn w:val="14"/>
    <w:qFormat/>
    <w:uiPriority w:val="0"/>
    <w:rPr>
      <w:rFonts w:hint="eastAsia" w:ascii="宋体" w:hAnsi="宋体" w:eastAsia="宋体" w:cs="宋体"/>
      <w:color w:val="000000"/>
      <w:sz w:val="22"/>
      <w:szCs w:val="22"/>
      <w:u w:val="none"/>
    </w:rPr>
  </w:style>
  <w:style w:type="character" w:customStyle="1" w:styleId="25">
    <w:name w:val="font112"/>
    <w:basedOn w:val="14"/>
    <w:qFormat/>
    <w:uiPriority w:val="0"/>
    <w:rPr>
      <w:rFonts w:hint="eastAsia" w:ascii="宋体" w:hAnsi="宋体" w:eastAsia="宋体" w:cs="宋体"/>
      <w:color w:val="000000"/>
      <w:sz w:val="22"/>
      <w:szCs w:val="22"/>
      <w:u w:val="none"/>
    </w:rPr>
  </w:style>
  <w:style w:type="character" w:customStyle="1" w:styleId="26">
    <w:name w:val="font81"/>
    <w:basedOn w:val="14"/>
    <w:qFormat/>
    <w:uiPriority w:val="0"/>
    <w:rPr>
      <w:rFonts w:hint="eastAsia" w:ascii="宋体" w:hAnsi="宋体" w:eastAsia="宋体" w:cs="宋体"/>
      <w:color w:val="000000"/>
      <w:sz w:val="22"/>
      <w:szCs w:val="22"/>
      <w:u w:val="none"/>
    </w:rPr>
  </w:style>
  <w:style w:type="character" w:customStyle="1" w:styleId="27">
    <w:name w:val="font131"/>
    <w:basedOn w:val="14"/>
    <w:qFormat/>
    <w:uiPriority w:val="0"/>
    <w:rPr>
      <w:rFonts w:hint="eastAsia" w:ascii="宋体" w:hAnsi="宋体" w:eastAsia="宋体" w:cs="宋体"/>
      <w:color w:val="000000"/>
      <w:sz w:val="18"/>
      <w:szCs w:val="18"/>
      <w:u w:val="none"/>
    </w:rPr>
  </w:style>
  <w:style w:type="character" w:customStyle="1" w:styleId="28">
    <w:name w:val="font91"/>
    <w:basedOn w:val="14"/>
    <w:qFormat/>
    <w:uiPriority w:val="0"/>
    <w:rPr>
      <w:rFonts w:hint="default" w:ascii="Times New Roman" w:hAnsi="Times New Roman" w:cs="Times New Roman"/>
      <w:color w:val="000000"/>
      <w:sz w:val="18"/>
      <w:szCs w:val="18"/>
      <w:u w:val="none"/>
    </w:rPr>
  </w:style>
  <w:style w:type="character" w:customStyle="1" w:styleId="29">
    <w:name w:val="font41"/>
    <w:basedOn w:val="14"/>
    <w:qFormat/>
    <w:uiPriority w:val="0"/>
    <w:rPr>
      <w:rFonts w:hint="eastAsia" w:ascii="宋体" w:hAnsi="宋体" w:eastAsia="宋体" w:cs="宋体"/>
      <w:color w:val="000000"/>
      <w:sz w:val="22"/>
      <w:szCs w:val="22"/>
      <w:u w:val="none"/>
    </w:rPr>
  </w:style>
  <w:style w:type="paragraph" w:customStyle="1" w:styleId="30">
    <w:name w:val="表格标题"/>
    <w:basedOn w:val="1"/>
    <w:next w:val="1"/>
    <w:qFormat/>
    <w:uiPriority w:val="0"/>
    <w:pPr>
      <w:keepNext/>
      <w:keepLines/>
      <w:ind w:firstLine="0" w:firstLineChars="0"/>
      <w:jc w:val="center"/>
      <w:outlineLvl w:val="0"/>
    </w:pPr>
    <w:rPr>
      <w:rFonts w:hint="eastAsia"/>
      <w:b/>
      <w:kern w:val="44"/>
    </w:rPr>
  </w:style>
  <w:style w:type="paragraph" w:customStyle="1" w:styleId="31">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 w:type="paragraph" w:customStyle="1" w:styleId="32">
    <w:name w:val="WPSOffice手动目录 1"/>
    <w:qFormat/>
    <w:uiPriority w:val="0"/>
    <w:pPr>
      <w:ind w:leftChars="0"/>
    </w:pPr>
    <w:rPr>
      <w:rFonts w:ascii="Times New Roman" w:hAnsi="Times New Roman" w:eastAsia="宋体" w:cs="Times New Roman"/>
      <w:sz w:val="20"/>
      <w:szCs w:val="20"/>
    </w:rPr>
  </w:style>
  <w:style w:type="paragraph" w:customStyle="1" w:styleId="3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702682AE7E264253A4057EC85BD0FDEF_13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f48da8-5c09-4149-872a-70f6077363f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28</Pages>
  <Words>8180</Words>
  <Characters>8632</Characters>
  <Lines>110</Lines>
  <Paragraphs>31</Paragraphs>
  <TotalTime>0</TotalTime>
  <ScaleCrop>false</ScaleCrop>
  <LinksUpToDate>false</LinksUpToDate>
  <CharactersWithSpaces>8671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2025-09-23T11:46:34Z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702682AE7E264253A4057EC85BD0FDEF_13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