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bidi w:val="0"/>
        <w:rPr>
          <w:rFonts w:ascii="仿宋" w:eastAsia="仿宋" w:hAnsi="仿宋" w:cs="仿宋" w:hint="eastAsia"/>
          <w:color w:val="auto"/>
          <w:highlight w:val="none"/>
        </w:rPr>
      </w:pPr>
      <w:bookmarkStart w:id="0" w:name="OLE_LINK1"/>
      <w:bookmarkStart w:id="1" w:name="_GoBack"/>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pStyle w:val="Heading1"/>
        <w:bidi w:val="0"/>
        <w:rPr>
          <w:rFonts w:ascii="仿宋" w:eastAsia="仿宋" w:hAnsi="仿宋" w:cs="仿宋" w:hint="eastAsia"/>
          <w:color w:val="auto"/>
          <w:sz w:val="44"/>
          <w:szCs w:val="44"/>
          <w:highlight w:val="none"/>
        </w:rPr>
      </w:pPr>
      <w:r>
        <w:rPr>
          <w:rFonts w:ascii="仿宋" w:eastAsia="仿宋" w:hAnsi="仿宋" w:cs="仿宋" w:hint="eastAsia"/>
          <w:color w:val="auto"/>
          <w:sz w:val="44"/>
          <w:szCs w:val="44"/>
          <w:highlight w:val="none"/>
        </w:rPr>
        <w:t xml:space="preserve">项目支出绩效评价报告</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pStyle w:val="表格内容"/>
        <w:bidi w:val="0"/>
        <w:rPr>
          <w:rFonts w:ascii="仿宋" w:eastAsia="仿宋" w:hAnsi="仿宋" w:cs="仿宋" w:hint="eastAsia"/>
          <w:color w:val="auto"/>
          <w:sz w:val="28"/>
          <w:szCs w:val="28"/>
          <w:highlight w:val="none"/>
        </w:rPr>
      </w:pPr>
      <w:r>
        <w:rPr>
          <w:rFonts w:ascii="仿宋" w:eastAsia="仿宋" w:hAnsi="仿宋" w:cs="仿宋" w:hint="eastAsia"/>
          <w:color w:val="auto"/>
          <w:sz w:val="28"/>
          <w:szCs w:val="28"/>
          <w:highlight w:val="none"/>
        </w:rPr>
        <w:t xml:space="preserve">（202</w:t>
      </w:r>
      <w:r>
        <w:rPr>
          <w:rFonts w:ascii="仿宋" w:eastAsia="仿宋" w:hAnsi="仿宋" w:cs="仿宋" w:hint="eastAsia"/>
          <w:color w:val="auto"/>
          <w:sz w:val="28"/>
          <w:szCs w:val="28"/>
          <w:highlight w:val="none"/>
          <w:lang w:val="en-US" w:eastAsia="zh-CN"/>
        </w:rPr>
        <w:t xml:space="preserve">4</w:t>
      </w:r>
      <w:r>
        <w:rPr>
          <w:rFonts w:ascii="仿宋" w:eastAsia="仿宋" w:hAnsi="仿宋" w:cs="仿宋" w:hint="eastAsia"/>
          <w:color w:val="auto"/>
          <w:sz w:val="28"/>
          <w:szCs w:val="28"/>
          <w:highlight w:val="none"/>
        </w:rPr>
        <w:t xml:space="preserve">年度）</w:t>
      </w: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ind w:firstLine="64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rPr>
      </w:pP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项目名称：</w:t>
      </w:r>
      <w:r>
        <w:rPr>
          <w:rFonts w:ascii="仿宋" w:eastAsia="仿宋" w:hAnsi="仿宋" w:cs="仿宋" w:hint="eastAsia"/>
          <w:color w:val="auto"/>
          <w:highlight w:val="none"/>
          <w:lang w:eastAsia="zh-CN"/>
        </w:rPr>
        <w:t xml:space="preserve">兴平镇2024年村级组织运转经费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实施单位（公章）：</w:t>
      </w:r>
      <w:r>
        <w:rPr>
          <w:rFonts w:ascii="仿宋" w:eastAsia="仿宋" w:hAnsi="仿宋" w:cs="仿宋" w:hint="eastAsia"/>
          <w:color w:val="auto"/>
          <w:highlight w:val="none"/>
          <w:lang w:eastAsia="zh-CN"/>
        </w:rPr>
        <w:t xml:space="preserve">尉犁县兴平镇人民政府</w:t>
      </w:r>
    </w:p>
    <w:p>
      <w:pPr>
        <w:bidi w:val="0"/>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主管部门（公章）：</w:t>
      </w:r>
      <w:r>
        <w:rPr>
          <w:rFonts w:ascii="仿宋" w:eastAsia="仿宋" w:hAnsi="仿宋" w:cs="仿宋" w:hint="eastAsia"/>
          <w:color w:val="auto"/>
          <w:highlight w:val="none"/>
          <w:lang w:eastAsia="zh-CN"/>
        </w:rPr>
        <w:t xml:space="preserve">尉犁县兴平镇人民政府</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项目负责人（签章）：</w:t>
      </w:r>
      <w:r>
        <w:rPr>
          <w:rFonts w:ascii="仿宋" w:eastAsia="仿宋" w:hAnsi="仿宋" w:cs="仿宋" w:hint="eastAsia"/>
          <w:color w:val="auto"/>
          <w:highlight w:val="none"/>
          <w:lang w:val="en-US" w:eastAsia="zh-CN"/>
        </w:rPr>
        <w:t xml:space="preserve">王潇雪</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填报时间：</w:t>
      </w:r>
      <w:r>
        <w:rPr>
          <w:rFonts w:ascii="仿宋" w:eastAsia="仿宋" w:hAnsi="仿宋" w:cs="仿宋" w:hint="eastAsia"/>
          <w:color w:val="auto"/>
          <w:highlight w:val="none"/>
          <w:lang w:val="en-US" w:eastAsia="zh-CN"/>
        </w:rPr>
        <w:t xml:space="preserve">2025年4月3日</w:t>
      </w:r>
    </w:p>
    <w:p>
      <w:pPr>
        <w:ind w:firstLine="620"/>
        <w:rPr>
          <w:rFonts w:ascii="仿宋" w:eastAsia="仿宋" w:hAnsi="仿宋" w:cs="仿宋" w:hint="eastAsia"/>
          <w:color w:val="auto"/>
          <w:sz w:val="31"/>
          <w:szCs w:val="31"/>
          <w:highlight w:val="none"/>
        </w:rPr>
      </w:pPr>
      <w:r>
        <w:br w:type="page"/>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仿宋" w:eastAsia="仿宋" w:hAnsi="仿宋" w:cs="仿宋" w:hint="eastAsia"/>
          <w:b/>
          <w:bCs/>
          <w:color w:val="auto"/>
          <w:sz w:val="44"/>
          <w:szCs w:val="44"/>
          <w:highlight w:val="none"/>
        </w:rPr>
      </w:pPr>
      <w:r>
        <w:rPr>
          <w:rFonts w:ascii="仿宋" w:eastAsia="仿宋" w:hAnsi="仿宋" w:cs="仿宋" w:hint="eastAsia"/>
          <w:b/>
          <w:bCs/>
          <w:color w:val="auto"/>
          <w:sz w:val="44"/>
          <w:szCs w:val="44"/>
          <w:highlight w:val="none"/>
        </w:rPr>
        <w:t xml:space="preserve">目  录</w:t>
      </w:r>
    </w:p>
    <w:p>
      <w:pPr>
        <w:ind w:firstLine="640"/>
        <w:rPr>
          <w:rFonts w:ascii="仿宋" w:eastAsia="仿宋" w:hAnsi="仿宋" w:cs="仿宋" w:hint="eastAsia"/>
          <w:color w:val="auto"/>
          <w:highlight w:val="none"/>
        </w:rPr>
      </w:pPr>
    </w:p>
    <w:p>
      <w:pPr>
        <w:tabs>
          <w:tab w:val="right" w:leader="dot" w:pos="8306"/>
        </w:tabs>
        <w:ind w:firstLine="883"/>
        <w:rPr>
          <w:rFonts w:ascii="仿宋" w:eastAsia="仿宋" w:hAnsi="仿宋" w:cs="仿宋" w:hint="eastAsia"/>
          <w:color w:val="auto"/>
          <w:highlight w:val="none"/>
        </w:rPr>
      </w:pPr>
      <w:r>
        <w:rPr>
          <w:rFonts w:ascii="仿宋" w:eastAsia="仿宋" w:hAnsi="仿宋" w:cs="仿宋" w:hint="eastAsia"/>
          <w:b/>
          <w:bCs/>
          <w:color w:val="auto"/>
          <w:sz w:val="44"/>
          <w:szCs w:val="44"/>
          <w:highlight w:val="none"/>
        </w:rPr>
        <w:fldChar w:fldCharType="begin"/>
      </w:r>
      <w:r>
        <w:rPr>
          <w:rFonts w:ascii="仿宋" w:eastAsia="仿宋" w:hAnsi="仿宋" w:cs="仿宋" w:hint="eastAsia"/>
          <w:b/>
          <w:bCs/>
          <w:color w:val="auto"/>
          <w:sz w:val="44"/>
          <w:szCs w:val="44"/>
          <w:highlight w:val="none"/>
        </w:rPr>
        <w:instrText xml:space="preserve">TOC \o "1-2" \h \u</w:instrText>
      </w:r>
      <w:r>
        <w:rPr>
          <w:rFonts w:ascii="仿宋" w:eastAsia="仿宋" w:hAnsi="仿宋" w:cs="仿宋" w:hint="eastAsia"/>
          <w:b/>
          <w:bCs/>
          <w:color w:val="auto"/>
          <w:sz w:val="44"/>
          <w:szCs w:val="44"/>
          <w:highlight w:val="none"/>
        </w:rPr>
        <w:fldChar w:fldCharType="separate"/>
      </w:r>
      <w:hyperlink w:anchor="_Toc25620" w:history="1">
        <w:r>
          <w:rPr>
            <w:rFonts w:ascii="仿宋" w:eastAsia="仿宋" w:hAnsi="仿宋" w:cs="仿宋" w:hint="eastAsia"/>
            <w:color w:val="auto"/>
            <w:highlight w:val="none"/>
          </w:rPr>
          <w:t xml:space="preserve">一、基本情况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_Toc25620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8971" w:history="1">
        <w:r>
          <w:rPr>
            <w:rFonts w:ascii="仿宋" w:eastAsia="仿宋" w:hAnsi="仿宋" w:cs="仿宋" w:hint="eastAsia"/>
            <w:color w:val="auto"/>
            <w:highlight w:val="none"/>
          </w:rPr>
          <w:t xml:space="preserve">（一）项目概况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5187" w:history="1">
        <w:r>
          <w:rPr>
            <w:rFonts w:ascii="仿宋" w:eastAsia="仿宋" w:hAnsi="仿宋" w:cs="仿宋" w:hint="eastAsia"/>
            <w:color w:val="auto"/>
            <w:highlight w:val="none"/>
          </w:rPr>
          <w:t xml:space="preserve">（二）项目绩效目标</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_Toc25187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3</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8824" w:history="1">
        <w:r>
          <w:rPr>
            <w:rFonts w:ascii="仿宋" w:eastAsia="仿宋" w:hAnsi="仿宋" w:cs="仿宋" w:hint="eastAsia"/>
            <w:color w:val="auto"/>
            <w:highlight w:val="none"/>
          </w:rPr>
          <w:t xml:space="preserve">二、绩效评价工作开展情况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_Toc28824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4175" w:history="1">
        <w:r>
          <w:rPr>
            <w:rFonts w:ascii="仿宋" w:eastAsia="仿宋" w:hAnsi="仿宋" w:cs="仿宋" w:hint="eastAsia"/>
            <w:color w:val="auto"/>
            <w:highlight w:val="none"/>
          </w:rPr>
          <w:t xml:space="preserve">（一）绩效评价目的、对象和范围</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_Toc24175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5109" w:history="1">
        <w:r>
          <w:rPr>
            <w:rFonts w:ascii="仿宋" w:eastAsia="仿宋" w:hAnsi="仿宋" w:cs="仿宋" w:hint="eastAsia"/>
            <w:color w:val="auto"/>
            <w:highlight w:val="none"/>
          </w:rPr>
          <w:t xml:space="preserve">（二）绩效评价原则、评价指标体系、评价方法、评价标准</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_Toc5109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7</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3796" w:history="1">
        <w:r>
          <w:rPr>
            <w:rFonts w:ascii="仿宋" w:eastAsia="仿宋" w:hAnsi="仿宋" w:cs="仿宋" w:hint="eastAsia"/>
            <w:color w:val="auto"/>
            <w:highlight w:val="none"/>
          </w:rPr>
          <w:t xml:space="preserve">（三）绩效评价工作过程</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_Toc23796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10</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0784" w:history="1">
        <w:r>
          <w:rPr>
            <w:rFonts w:ascii="仿宋" w:eastAsia="仿宋" w:hAnsi="仿宋" w:cs="仿宋" w:hint="eastAsia"/>
            <w:color w:val="auto"/>
            <w:highlight w:val="none"/>
          </w:rPr>
          <w:t xml:space="preserve">三、综合评价情况及评价结论</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_Toc20784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12</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8960" w:history="1">
        <w:r>
          <w:rPr>
            <w:rFonts w:ascii="仿宋" w:eastAsia="仿宋" w:hAnsi="仿宋" w:cs="仿宋" w:hint="eastAsia"/>
            <w:color w:val="auto"/>
            <w:highlight w:val="none"/>
          </w:rPr>
          <w:t xml:space="preserve">四、绩效评价指标分析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_Toc8960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445" w:history="1">
        <w:r>
          <w:rPr>
            <w:rFonts w:ascii="仿宋" w:eastAsia="仿宋" w:hAnsi="仿宋" w:cs="仿宋" w:hint="eastAsia"/>
            <w:color w:val="auto"/>
            <w:highlight w:val="none"/>
          </w:rPr>
          <w:t xml:space="preserve">（一）项目决策情况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_Toc3445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13</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1290" w:history="1">
        <w:r>
          <w:rPr>
            <w:rFonts w:ascii="仿宋" w:eastAsia="仿宋" w:hAnsi="仿宋" w:cs="仿宋" w:hint="eastAsia"/>
            <w:color w:val="auto"/>
            <w:highlight w:val="none"/>
          </w:rPr>
          <w:t xml:space="preserve">（二）项目过程情况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_Toc11290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15</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32013" w:history="1">
        <w:r>
          <w:rPr>
            <w:rFonts w:ascii="仿宋" w:eastAsia="仿宋" w:hAnsi="仿宋" w:cs="仿宋" w:hint="eastAsia"/>
            <w:color w:val="auto"/>
            <w:highlight w:val="none"/>
          </w:rPr>
          <w:t xml:space="preserve">（三）项目产出情况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_Toc32013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17</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28354" w:history="1">
        <w:r>
          <w:rPr>
            <w:rFonts w:ascii="仿宋" w:eastAsia="仿宋" w:hAnsi="仿宋" w:cs="仿宋" w:hint="eastAsia"/>
            <w:color w:val="auto"/>
            <w:highlight w:val="none"/>
          </w:rPr>
          <w:t xml:space="preserve">（四）项目效益情况</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_Toc28354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7244" w:history="1">
        <w:r>
          <w:rPr>
            <w:rFonts w:ascii="仿宋" w:eastAsia="仿宋" w:hAnsi="仿宋" w:cs="仿宋" w:hint="eastAsia"/>
            <w:color w:val="auto"/>
            <w:highlight w:val="none"/>
          </w:rPr>
          <w:t xml:space="preserve">五、主要经验及做法、存在的问题及原因分析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_Toc27244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18880" w:history="1">
        <w:r>
          <w:rPr>
            <w:rFonts w:ascii="仿宋" w:eastAsia="仿宋" w:hAnsi="仿宋" w:cs="仿宋" w:hint="eastAsia"/>
            <w:color w:val="auto"/>
            <w:highlight w:val="none"/>
          </w:rPr>
          <w:t xml:space="preserve">（一）主要经验及做法</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_Toc18880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left="640" w:firstLine="640"/>
        <w:rPr>
          <w:rFonts w:ascii="仿宋" w:eastAsia="仿宋" w:hAnsi="仿宋" w:cs="仿宋" w:hint="eastAsia"/>
          <w:color w:val="auto"/>
          <w:highlight w:val="none"/>
        </w:rPr>
      </w:pPr>
      <w:hyperlink w:anchor="_Toc9914" w:history="1">
        <w:r>
          <w:rPr>
            <w:rFonts w:ascii="仿宋" w:eastAsia="仿宋" w:hAnsi="仿宋" w:cs="仿宋" w:hint="eastAsia"/>
            <w:color w:val="auto"/>
            <w:highlight w:val="none"/>
          </w:rPr>
          <w:t xml:space="preserve">（二）存在问题及原因分析</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_Toc9914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18</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2334" w:history="1">
        <w:r>
          <w:rPr>
            <w:rFonts w:ascii="仿宋" w:eastAsia="仿宋" w:hAnsi="仿宋" w:cs="仿宋" w:hint="eastAsia"/>
            <w:color w:val="auto"/>
            <w:highlight w:val="none"/>
          </w:rPr>
          <w:t xml:space="preserve">六、有关建议</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_Toc2334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30571" w:history="1">
        <w:r>
          <w:rPr>
            <w:rFonts w:ascii="仿宋" w:eastAsia="仿宋" w:hAnsi="仿宋" w:cs="仿宋" w:hint="eastAsia"/>
            <w:color w:val="auto"/>
            <w:highlight w:val="none"/>
          </w:rPr>
          <w:t xml:space="preserve">七、其他需要说明的问题</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_Toc30571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19</w:t>
        </w:r>
        <w:r>
          <w:rPr>
            <w:rFonts w:ascii="仿宋" w:eastAsia="仿宋" w:hAnsi="仿宋" w:cs="仿宋" w:hint="eastAsia"/>
            <w:color w:val="auto"/>
            <w:highlight w:val="none"/>
          </w:rPr>
          <w:fldChar w:fldCharType="end"/>
        </w:r>
      </w:hyperlink>
    </w:p>
    <w:p>
      <w:pPr>
        <w:tabs>
          <w:tab w:val="right" w:leader="dot" w:pos="8306"/>
        </w:tabs>
        <w:ind w:firstLine="640"/>
        <w:rPr>
          <w:rFonts w:ascii="仿宋" w:eastAsia="仿宋" w:hAnsi="仿宋" w:cs="仿宋" w:hint="eastAsia"/>
          <w:color w:val="auto"/>
          <w:highlight w:val="none"/>
        </w:rPr>
      </w:pPr>
      <w:hyperlink w:anchor="_Toc10180" w:history="1">
        <w:r>
          <w:rPr>
            <w:rFonts w:ascii="仿宋" w:eastAsia="仿宋" w:hAnsi="仿宋" w:cs="仿宋" w:hint="eastAsia"/>
            <w:color w:val="auto"/>
            <w:highlight w:val="none"/>
          </w:rPr>
          <w:t xml:space="preserve">八、相关附件</w:t>
        </w:r>
        <w:r>
          <w:rPr>
            <w:rFonts w:ascii="仿宋" w:eastAsia="仿宋" w:hAnsi="仿宋" w:cs="仿宋" w:hint="eastAsia"/>
            <w:color w:val="auto"/>
            <w:highlight w:val="none"/>
          </w:rPr>
          <w:tab/>
        </w:r>
        <w:r>
          <w:rPr>
            <w:rFonts w:ascii="仿宋" w:eastAsia="仿宋" w:hAnsi="仿宋" w:cs="仿宋" w:hint="eastAsia"/>
            <w:color w:val="auto"/>
            <w:highlight w:val="none"/>
          </w:rPr>
          <w:fldChar w:fldCharType="begin"/>
        </w:r>
        <w:r>
          <w:rPr>
            <w:rFonts w:ascii="仿宋" w:eastAsia="仿宋" w:hAnsi="仿宋" w:cs="仿宋" w:hint="eastAsia"/>
            <w:color w:val="auto"/>
            <w:highlight w:val="none"/>
          </w:rPr>
          <w:instrText xml:space="preserve"> PAGEREF _Toc10180 \h </w:instrText>
        </w:r>
        <w:r>
          <w:rPr>
            <w:rFonts w:ascii="仿宋" w:eastAsia="仿宋" w:hAnsi="仿宋" w:cs="仿宋" w:hint="eastAsia"/>
            <w:color w:val="auto"/>
            <w:highlight w:val="none"/>
          </w:rPr>
          <w:fldChar w:fldCharType="separate"/>
        </w:r>
        <w:r>
          <w:rPr>
            <w:rFonts w:ascii="仿宋" w:eastAsia="仿宋" w:hAnsi="仿宋" w:cs="仿宋" w:hint="eastAsia"/>
            <w:color w:val="auto"/>
            <w:highlight w:val="none"/>
          </w:rPr>
          <w:t xml:space="preserve">20</w:t>
        </w:r>
        <w:r>
          <w:rPr>
            <w:rFonts w:ascii="仿宋" w:eastAsia="仿宋" w:hAnsi="仿宋" w:cs="仿宋" w:hint="eastAsia"/>
            <w:color w:val="auto"/>
            <w:highlight w:val="none"/>
          </w:rPr>
          <w:fldChar w:fldCharType="end"/>
        </w:r>
      </w:hyperlink>
    </w:p>
    <w:p>
      <w:pPr>
        <w:pStyle w:val="Heading2"/>
        <w:bidi w:val="0"/>
        <w:rPr>
          <w:rFonts w:ascii="仿宋" w:eastAsia="仿宋" w:hAnsi="仿宋" w:cs="仿宋" w:hint="eastAsia"/>
          <w:bCs/>
          <w:color w:val="auto"/>
          <w:szCs w:val="44"/>
          <w:highlight w:val="none"/>
        </w:rPr>
        <w:sectPr>
          <w:pgSz w:w="11906" w:h="16838" w:orient="portrait"/>
          <w:pgMar w:top="1440" w:right="1800" w:bottom="1440" w:left="1800" w:header="851" w:footer="992" w:gutter="0"/>
          <w:pgBorders/>
          <w:pgNumType w:start="1"/>
          <w:cols w:num="1" w:space="425">
            <w:col w:w="8306" w:space="425"/>
          </w:cols>
          <w:docGrid w:type="lines" w:linePitch="312" w:charSpace="0"/>
        </w:sectPr>
      </w:pPr>
    </w:p>
    <w:p>
      <w:pPr>
        <w:pStyle w:val="Heading2"/>
        <w:bidi w:val="0"/>
        <w:rPr>
          <w:rFonts w:ascii="仿宋" w:eastAsia="仿宋" w:hAnsi="仿宋" w:cs="仿宋" w:hint="eastAsia"/>
          <w:color w:val="auto"/>
          <w:highlight w:val="none"/>
        </w:rPr>
      </w:pPr>
      <w:r>
        <w:rPr>
          <w:rFonts w:ascii="仿宋" w:eastAsia="仿宋" w:hAnsi="仿宋" w:cs="仿宋" w:hint="eastAsia"/>
          <w:bCs/>
          <w:color w:val="auto"/>
          <w:szCs w:val="44"/>
          <w:highlight w:val="none"/>
        </w:rPr>
        <w:fldChar w:fldCharType="end"/>
      </w:r>
      <w:bookmarkStart w:id="2" w:name="_Toc25620"/>
      <w:r>
        <w:rPr>
          <w:rFonts w:ascii="仿宋" w:eastAsia="仿宋" w:hAnsi="仿宋" w:cs="仿宋" w:hint="eastAsia"/>
          <w:color w:val="auto"/>
          <w:highlight w:val="none"/>
        </w:rPr>
        <w:t xml:space="preserve">一、基本情况</w:t>
      </w:r>
      <w:bookmarkEnd w:id="2"/>
    </w:p>
    <w:p>
      <w:pPr>
        <w:pStyle w:val="Heading3"/>
        <w:bidi w:val="0"/>
        <w:rPr>
          <w:rFonts w:ascii="仿宋" w:eastAsia="仿宋" w:hAnsi="仿宋" w:cs="仿宋" w:hint="eastAsia"/>
          <w:color w:val="auto"/>
          <w:highlight w:val="none"/>
        </w:rPr>
      </w:pPr>
      <w:bookmarkStart w:id="3" w:name="_Toc8971"/>
      <w:r>
        <w:rPr>
          <w:rFonts w:ascii="仿宋" w:eastAsia="仿宋" w:hAnsi="仿宋" w:cs="仿宋" w:hint="eastAsia"/>
          <w:color w:val="auto"/>
          <w:highlight w:val="none"/>
        </w:rPr>
        <w:t xml:space="preserve">（一）项目概况</w:t>
      </w:r>
      <w:bookmarkEnd w:id="3"/>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1、项目背景</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以习近平新时代中国特色社会主义思想为指导，坚持和加强党的全面指导，坚持大抓基层、强基固本，坚持“保障基本运转、实行分级负担、统筹整合政策、加强规范管理”原则，健全以财政投入为主的稳定的村级组织运转经费保障激励机制，为推动乡村治理体系和治理能力现代化，夯实党在农村的执政根基提供保障。保障</w:t>
      </w:r>
      <w:r>
        <w:rPr>
          <w:rFonts w:ascii="仿宋" w:eastAsia="仿宋" w:hAnsi="仿宋" w:cs="仿宋" w:hint="eastAsia"/>
          <w:color w:val="auto"/>
          <w:highlight w:val="none"/>
          <w:lang w:val="en-US" w:eastAsia="zh-CN"/>
        </w:rPr>
        <w:t xml:space="preserve">兴平镇</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个村的日常办公需要，如办公用品费、水电暖费、交通通讯费、活动场所及远程教育维护运行费等维持村级组织正常运转必须的开支，以及村内治安、卫生等管理和服务支出。该项目资金在很大程度上保障村级组织日常运转，使得各项工作能够落实到位，保障基层组织各项任务有序开展，并提升基层党组织服务力。</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按照自治州《印发&lt;关于开展以“抓基层打基础、抓当前利长远”为主题的基层党建工作实施意见&gt;的通知》（巴党办发〔2017〕8号）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尉财预〔2024〕003号</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文件要求：“每个村（社区）年运转经费不低于10万元”</w:t>
      </w:r>
      <w:r>
        <w:rPr>
          <w:rFonts w:ascii="仿宋" w:eastAsia="仿宋" w:hAnsi="仿宋" w:cs="仿宋" w:hint="eastAsia"/>
          <w:color w:val="auto"/>
          <w:highlight w:val="none"/>
          <w:lang w:val="en-US" w:eastAsia="zh-CN"/>
        </w:rPr>
        <w:t xml:space="preserve">。</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2、项目主要内容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该项目资金在很大程度上保障村级组织日常运转，使得各项工作能够落实到位，保障基层组织各项任务有序开展，并提升基层党组织服务力。一是保障兴平镇8个村的日常办公需要，如办公用品费、水电暖费、交通通讯费、活动场所及远程教育维护运行费等维持村级组织正常运转必须的开支，以及村内治安、卫生防疫、垃圾收集等管理和服务支出；二是很大程度上保障村级组织日常运转，使得各项工作能够落实到位，保障基层组织各项任务有序开展，并提升基层党组织服务力。</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w:t>
      </w:r>
      <w:r>
        <w:rPr>
          <w:rFonts w:ascii="仿宋" w:eastAsia="仿宋" w:hAnsi="仿宋" w:cs="仿宋" w:hint="eastAsia"/>
          <w:b/>
          <w:bCs/>
          <w:color w:val="auto"/>
          <w:highlight w:val="none"/>
        </w:rPr>
        <w:t xml:space="preserve">项目实施情况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根据尉犁县兴平镇人民政府工作任务计划和村</w:t>
      </w:r>
      <w:r>
        <w:rPr>
          <w:rFonts w:ascii="仿宋" w:eastAsia="仿宋" w:hAnsi="仿宋" w:cs="仿宋" w:hint="eastAsia"/>
          <w:color w:val="auto"/>
          <w:highlight w:val="none"/>
          <w:lang w:val="en-US" w:eastAsia="zh-CN"/>
        </w:rPr>
        <w:t xml:space="preserve">级</w:t>
      </w:r>
      <w:r>
        <w:rPr>
          <w:rFonts w:ascii="仿宋" w:eastAsia="仿宋" w:hAnsi="仿宋" w:cs="仿宋" w:hint="eastAsia"/>
          <w:color w:val="auto"/>
          <w:highlight w:val="none"/>
          <w:lang w:val="en-US" w:eastAsia="zh-CN"/>
        </w:rPr>
        <w:t xml:space="preserve">运转经费使用计划，适时开展以下工作方案。</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2024年1月，根据工作实际分配村级运转经费使用计划；</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2024年3月，支付兴平镇8个村2024年征订报刊杂志费用等；</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2024年4-6月，支付兴平镇8个村第一季度采购办公用品、宣传制作、印刷制作、水电费等办公费用；</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2024年7-8月，支付兴平镇8个村第二季度采购办公用品、宣传制作、印刷制作、水电费等办公费用；</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2024年9-12月支付兴平镇8个村第三、四季度采购办公用品、取暖费、征订报刊杂志费、宣传制作、印刷制作、水电费、网络电话费等办公费用。</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4、资金投入情况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根据《印发&lt;关于开展以“抓基层打基础、抓当前利长远”为主题的基层党建工作实施意见&gt;的通知》（巴党办发〔2017〕8号）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尉财预〔2024〕003号</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，下达兴平镇村级组织运转经费120万元。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实施兴平镇村级组织运转经费项目投入120万元，其中当年</w:t>
      </w:r>
      <w:r>
        <w:rPr>
          <w:rFonts w:ascii="仿宋" w:eastAsia="仿宋" w:hAnsi="仿宋" w:cs="仿宋" w:hint="eastAsia"/>
          <w:color w:val="auto"/>
          <w:highlight w:val="none"/>
          <w:lang w:val="en-US" w:eastAsia="zh-CN"/>
        </w:rPr>
        <w:t xml:space="preserve">县级补助</w:t>
      </w:r>
      <w:r>
        <w:rPr>
          <w:rFonts w:ascii="仿宋" w:eastAsia="仿宋" w:hAnsi="仿宋" w:cs="仿宋" w:hint="eastAsia"/>
          <w:color w:val="auto"/>
          <w:highlight w:val="none"/>
        </w:rPr>
        <w:t xml:space="preserve">资金120万元。</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5、资金使用情况</w:t>
      </w:r>
    </w:p>
    <w:p>
      <w:pPr>
        <w:bidi w:val="0"/>
        <w:rPr>
          <w:rFonts w:ascii="仿宋" w:eastAsia="仿宋" w:hAnsi="仿宋" w:cs="仿宋" w:hint="eastAsia"/>
          <w:color w:val="auto"/>
          <w:highlight w:val="none"/>
          <w:lang w:val="en-US" w:eastAsia="zh-CN"/>
        </w:rPr>
      </w:pPr>
      <w:bookmarkStart w:id="4" w:name="_Toc25187"/>
      <w:r>
        <w:rPr>
          <w:rFonts w:ascii="仿宋" w:eastAsia="仿宋" w:hAnsi="仿宋" w:cs="仿宋" w:hint="eastAsia"/>
          <w:color w:val="auto"/>
          <w:highlight w:val="none"/>
          <w:lang w:val="en-US" w:eastAsia="zh-CN"/>
        </w:rPr>
        <w:t xml:space="preserve">兴平镇2024年村级组织运转经费年初预算数120万元，实际到位资金120万元。截止2023年12月31日，项目实际使用资金119.52万元，资金使用率达到了99.60%。具体资金支付情况：</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2024年2月7日，支付3.05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2024年2月22日，支付1.63万元。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2024年3月8日，支付0.42万元。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2024年3月12日，支付1.47万元。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2024年3月14日，支付1.92万元。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2024年3月20日，支付0.31万元。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2024年3月21日，支付1.60万元。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2024年4月29日，支付1.21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2024年6月5日，支付1.68万元。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2024年6月28日，支付0.48万元。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2024年7月15日，支付0.44万元。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2024年8月8日，支付7.03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2024年8月13日，支付0.65万元，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2024年8月14日，支付0.25万元。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2024年8月15日，支付0.75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2024年8月19日，支付12.05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2024年8月21日，支付6.98万元。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2024年9月12日，支付5.11万元。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2024年9月14日，支付0.25万元。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2024年9月23日，支付0.08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2024年10月9日，支付1.30万元。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2024年10月12日，支付0.41万元。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2024年10月14日，支付1.1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2024年11月1日，支付0.37 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2024年11月5日，支付5.68万元，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2024年11月13日，支付5.64万元。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2024年11月14日，支付1.68万元。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2024年11月15日，支付9.55万元。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2024年11月18日，支付10.34万元。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2024年11月20日，支付3.5万元。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2024年11月27日，支付4.19万元。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2024年11月28日，支付0.66万元。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2024年12月5日，支付4.94万元。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2024年12月9日，支付0.94万元。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2024年12月16日，支付6.95万元。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2024年12月18日，支付3.75万元。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2024年12月19日，支付2.06万元。</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2024年12月23日，支付7.84万元。</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（二）项目绩效目标</w:t>
      </w:r>
      <w:bookmarkEnd w:id="4"/>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1、总体目标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目标1：保障8个村的日常办公需要，如办公用品费、水电暖费、交通通讯费、活动场所及远程教育维护运行费等维持村级组织正常运转必须的开支，以及村内治安、卫生防疫、垃圾收集等管理和服务支出。</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目标2：该项目资金的拨付在很大程度上保障村级组织日常运转，使得各项工作能够落实到位，保障基层组织各项任务有序开展，并提升基层党组织服务力。</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2、阶段性目标</w:t>
      </w:r>
    </w:p>
    <w:p>
      <w:pPr>
        <w:bidi w:val="0"/>
        <w:rPr>
          <w:rFonts w:ascii="仿宋" w:eastAsia="仿宋" w:hAnsi="仿宋" w:cs="仿宋" w:hint="eastAsia"/>
          <w:color w:val="auto"/>
          <w:highlight w:val="none"/>
          <w:lang w:val="en-US" w:eastAsia="zh-CN"/>
        </w:rPr>
      </w:pPr>
      <w:bookmarkStart w:id="5" w:name="_Toc28824"/>
      <w:r>
        <w:rPr>
          <w:rFonts w:ascii="仿宋" w:eastAsia="仿宋" w:hAnsi="仿宋" w:cs="仿宋" w:hint="eastAsia"/>
          <w:color w:val="auto"/>
          <w:highlight w:val="none"/>
          <w:lang w:val="en-US" w:eastAsia="zh-CN"/>
        </w:rPr>
        <w:t xml:space="preserve">兴平镇根据工作进度按照每月工作开展情况，水电暖费用每月汇总、办公用品、宣传制作、印刷制作等费用每季度汇总，及时进行资金支付，有效8个村的正常运转，及时支付正常运转所需的办公用品、耗材、宣传图版、印刷品、水电暖费等维持村级组织正常运转必需的开支。</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二、绩效评价工作开展情况</w:t>
      </w:r>
      <w:bookmarkEnd w:id="5"/>
    </w:p>
    <w:p>
      <w:pPr>
        <w:pStyle w:val="Heading3"/>
        <w:bidi w:val="0"/>
        <w:rPr>
          <w:rFonts w:ascii="仿宋" w:eastAsia="仿宋" w:hAnsi="仿宋" w:cs="仿宋" w:hint="eastAsia"/>
          <w:color w:val="auto"/>
          <w:highlight w:val="none"/>
        </w:rPr>
      </w:pPr>
      <w:bookmarkStart w:id="6" w:name="_Toc24175"/>
      <w:r>
        <w:rPr>
          <w:rFonts w:ascii="仿宋" w:eastAsia="仿宋" w:hAnsi="仿宋" w:cs="仿宋" w:hint="eastAsia"/>
          <w:color w:val="auto"/>
          <w:highlight w:val="none"/>
        </w:rPr>
        <w:t xml:space="preserve">（一）绩效评价目的、对象和范围</w:t>
      </w:r>
      <w:bookmarkEnd w:id="6"/>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绩效评价的目的</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本次绩效评价遵循财政部《关于印发&lt;项目支出绩效评价管理办法&gt;的通知》（财预〔2020〕10号）文件精神，对</w:t>
      </w: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r>
        <w:rPr>
          <w:rFonts w:ascii="仿宋" w:eastAsia="仿宋" w:hAnsi="仿宋" w:cs="仿宋" w:hint="eastAsia"/>
          <w:color w:val="auto"/>
          <w:highlight w:val="none"/>
        </w:rPr>
        <w:t xml:space="preserve">具体绩效评价的目的细分如下：</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绩效评价的对象和范围</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根据《财政支出绩效评价管理办法》（财预〔2020〕10号）文件要求，对</w:t>
      </w: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开展绩效评价，本次绩效评价范围主要围绕项目决策（包括项目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、绩效目标、资金投入）、项目过程（包括资金管理、组织实施）、项目产出（包括产出数量、质量、时效、成本）和项目效益等进行评价。</w:t>
      </w:r>
    </w:p>
    <w:p>
      <w:pPr>
        <w:pStyle w:val="Heading3"/>
        <w:bidi w:val="0"/>
        <w:rPr>
          <w:rFonts w:ascii="仿宋" w:eastAsia="仿宋" w:hAnsi="仿宋" w:cs="仿宋" w:hint="eastAsia"/>
          <w:color w:val="auto"/>
          <w:highlight w:val="none"/>
        </w:rPr>
      </w:pPr>
      <w:bookmarkStart w:id="7" w:name="_Toc5109"/>
      <w:r>
        <w:rPr>
          <w:rFonts w:ascii="仿宋" w:eastAsia="仿宋" w:hAnsi="仿宋" w:cs="仿宋" w:hint="eastAsia"/>
          <w:color w:val="auto"/>
          <w:highlight w:val="none"/>
        </w:rPr>
        <w:t xml:space="preserve">（二）绩效评价原则、评价指标体系、评价方法、评价标准</w:t>
      </w:r>
      <w:bookmarkEnd w:id="7"/>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1、绩效评价原则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（1）科学公正。绩效评价应当运用科学合理的方法，按照规范的程序，对项目绩效进行客观、公正</w:t>
      </w:r>
      <w:r>
        <w:rPr>
          <w:rFonts w:ascii="仿宋" w:eastAsia="仿宋" w:hAnsi="仿宋" w:cs="仿宋" w:hint="eastAsia"/>
          <w:color w:val="auto"/>
          <w:highlight w:val="none"/>
          <w:lang w:eastAsia="zh-CN"/>
        </w:rPr>
        <w:t xml:space="preserve">地</w:t>
      </w:r>
      <w:r>
        <w:rPr>
          <w:rFonts w:ascii="仿宋" w:eastAsia="仿宋" w:hAnsi="仿宋" w:cs="仿宋" w:hint="eastAsia"/>
          <w:color w:val="auto"/>
          <w:highlight w:val="none"/>
        </w:rPr>
        <w:t xml:space="preserve">反映。</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（2）统筹兼顾。单位自评应由项目单位自主实施，即</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谁支出、谁自评</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（3）激励约束。绩效评价结果应与预算安排、政策调整、改进管理实质性挂钩，体现奖优罚劣和激励相容导向，有效要安排、低效要压减、无效要问责。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（4）公开透明。</w:t>
      </w:r>
      <w:bookmarkStart w:id="8" w:name="_Toc30993"/>
      <w:bookmarkStart w:id="9" w:name="_Toc23112"/>
      <w:r>
        <w:rPr>
          <w:rFonts w:ascii="仿宋" w:eastAsia="仿宋" w:hAnsi="仿宋" w:cs="仿宋" w:hint="eastAsia"/>
          <w:color w:val="auto"/>
          <w:highlight w:val="none"/>
        </w:rPr>
        <w:t xml:space="preserve">本次项目支出绩效评价结果已依法依规在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rPr>
        <w:t xml:space="preserve">县人民政府网站上公开，并自觉接受社会监督。</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根据以上原则，绩效评价应遵循如下要求: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（1）在数据采集时，采取客观数据，主管部门审查、社会中介组织复查，与问卷调查相结合的形式，以保证各项指标的真实性。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（2）保证评价结果的真实性、公正性，提高评价报告的公信力。</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w:t>
      </w:r>
      <w:r>
        <w:rPr>
          <w:rFonts w:ascii="仿宋" w:eastAsia="仿宋" w:hAnsi="仿宋" w:cs="仿宋" w:hint="eastAsia"/>
          <w:b/>
          <w:bCs/>
          <w:color w:val="auto"/>
          <w:highlight w:val="none"/>
        </w:rPr>
        <w:t xml:space="preserve">、</w:t>
      </w:r>
      <w:r>
        <w:rPr>
          <w:rFonts w:ascii="仿宋" w:eastAsia="仿宋" w:hAnsi="仿宋" w:cs="仿宋" w:hint="eastAsia"/>
          <w:b/>
          <w:bCs/>
          <w:color w:val="auto"/>
          <w:highlight w:val="none"/>
        </w:rPr>
        <w:t xml:space="preserve">评价指标体系</w:t>
      </w:r>
      <w:bookmarkEnd w:id="8"/>
      <w:bookmarkEnd w:id="9"/>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绩效评价（部门自评）指标体系的设计，是在充分掌握项目状况的基础上，形成了</w:t>
      </w: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lang w:eastAsia="zh-CN"/>
        </w:rPr>
      </w:pPr>
      <w:r>
        <w:rPr>
          <w:rFonts w:ascii="仿宋" w:eastAsia="仿宋" w:hAnsi="仿宋" w:cs="仿宋" w:hint="eastAsia"/>
          <w:color w:val="auto"/>
          <w:highlight w:val="none"/>
        </w:rPr>
        <w:t xml:space="preserve">按照财预〔2020〕10号文件关于</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原则上产出、效益指标权重不低于60%</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的要求，本项目产出、效益指标权重60%（即60分）。</w:t>
      </w:r>
      <w:bookmarkStart w:id="10" w:name="_Toc4156"/>
      <w:bookmarkStart w:id="11" w:name="_Toc15680"/>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详见：附表2</w:t>
      </w:r>
      <w:r>
        <w:rPr>
          <w:rFonts w:ascii="仿宋" w:eastAsia="仿宋" w:hAnsi="仿宋" w:cs="仿宋" w:hint="eastAsia"/>
          <w:color w:val="auto"/>
          <w:highlight w:val="none"/>
          <w:lang w:eastAsia="zh-CN"/>
        </w:rPr>
        <w:t xml:space="preserve">）</w:t>
      </w:r>
    </w:p>
    <w:p>
      <w:pPr>
        <w:keepNext w:val="0"/>
        <w:keepLines w:val="0"/>
        <w:pageBreakBefore w:val="0"/>
        <w:widowControl w:val="0"/>
        <w:kinsoku/>
        <w:wordWrap/>
        <w:overflowPunct/>
        <w:topLinePunct w:val="0"/>
        <w:autoSpaceDE/>
        <w:autoSpaceDN/>
        <w:bidi w:val="0"/>
        <w:adjustRightInd/>
        <w:snapToGrid/>
        <w:ind w:left="0" w:firstLine="640" w:leftChars="0" w:firstLineChars="200"/>
        <w:textAlignment w:val="auto"/>
        <w:rPr>
          <w:rFonts w:ascii="仿宋" w:eastAsia="仿宋" w:hAnsi="仿宋" w:cs="仿宋" w:hint="eastAsia"/>
          <w:color w:val="auto"/>
          <w:highlight w:val="none"/>
        </w:rPr>
      </w:pPr>
      <w:r>
        <w:rPr>
          <w:rFonts w:ascii="仿宋" w:eastAsia="仿宋" w:hAnsi="仿宋" w:cs="仿宋" w:hint="eastAsia"/>
          <w:b/>
          <w:bCs/>
          <w:color w:val="auto"/>
          <w:highlight w:val="none"/>
        </w:rPr>
        <w:t xml:space="preserve">3、绩效评价方法</w:t>
      </w:r>
      <w:bookmarkEnd w:id="10"/>
      <w:bookmarkEnd w:id="1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结合兴平镇2024年村级组织运转经费的特点，本次评价主要运用比较法、公众评判法，</w:t>
      </w:r>
      <w:r>
        <w:rPr>
          <w:rFonts w:ascii="仿宋" w:eastAsia="仿宋" w:hAnsi="仿宋" w:cs="仿宋" w:hint="eastAsia"/>
          <w:color w:val="auto"/>
          <w:highlight w:val="none"/>
          <w:lang w:val="en-US" w:eastAsia="zh-CN"/>
        </w:rPr>
        <w:t xml:space="preserve">原因是</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比较法</w:t>
      </w:r>
      <w:r>
        <w:rPr>
          <w:rFonts w:ascii="仿宋" w:eastAsia="仿宋" w:hAnsi="仿宋" w:cs="仿宋" w:hint="eastAsia"/>
          <w:color w:val="auto"/>
          <w:highlight w:val="none"/>
        </w:rPr>
        <w:t xml:space="preserve">：本项目绩效评价将项目实施情况即实际完成的村级组织运转经费涉及村数、基层组织建设工作完成率与年初设定的</w:t>
      </w:r>
      <w:r>
        <w:rPr>
          <w:rFonts w:ascii="仿宋" w:eastAsia="仿宋" w:hAnsi="仿宋" w:cs="仿宋" w:hint="eastAsia"/>
          <w:color w:val="auto"/>
          <w:highlight w:val="none"/>
          <w:lang w:val="en-US" w:eastAsia="zh-CN"/>
        </w:rPr>
        <w:t xml:space="preserve">目标</w:t>
      </w:r>
      <w:r>
        <w:rPr>
          <w:rFonts w:ascii="仿宋" w:eastAsia="仿宋" w:hAnsi="仿宋" w:cs="仿宋" w:hint="eastAsia"/>
          <w:color w:val="auto"/>
          <w:highlight w:val="none"/>
        </w:rPr>
        <w:t xml:space="preserve">进行比较。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公众评判法：通过对</w:t>
      </w:r>
      <w:r>
        <w:rPr>
          <w:rFonts w:ascii="仿宋" w:eastAsia="仿宋" w:hAnsi="仿宋" w:cs="仿宋" w:hint="eastAsia"/>
          <w:color w:val="auto"/>
          <w:highlight w:val="none"/>
          <w:lang w:val="en-US" w:eastAsia="zh-CN"/>
        </w:rPr>
        <w:t xml:space="preserve">兴平镇各村</w:t>
      </w:r>
      <w:r>
        <w:rPr>
          <w:rFonts w:ascii="仿宋" w:eastAsia="仿宋" w:hAnsi="仿宋" w:cs="仿宋" w:hint="eastAsia"/>
          <w:color w:val="auto"/>
          <w:highlight w:val="none"/>
          <w:lang w:eastAsia="zh-CN"/>
        </w:rPr>
        <w:t xml:space="preserve">村</w:t>
      </w:r>
      <w:r>
        <w:rPr>
          <w:rFonts w:ascii="仿宋" w:eastAsia="仿宋" w:hAnsi="仿宋" w:cs="仿宋" w:hint="eastAsia"/>
          <w:color w:val="auto"/>
          <w:highlight w:val="none"/>
          <w:lang w:val="en-US" w:eastAsia="zh-CN"/>
        </w:rPr>
        <w:t xml:space="preserve">干部</w:t>
      </w:r>
      <w:r>
        <w:rPr>
          <w:rFonts w:ascii="仿宋" w:eastAsia="仿宋" w:hAnsi="仿宋" w:cs="仿宋" w:hint="eastAsia"/>
          <w:color w:val="auto"/>
          <w:highlight w:val="none"/>
        </w:rPr>
        <w:t xml:space="preserve">进行问卷及抽样调查等对财政资金效果进行评判，评价绩效目标实现程度。</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4、绩效评价标准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结合兴平镇2024年村级组织运转经费的特点，本次项目支出绩效自评采用了</w:t>
      </w:r>
      <w:r>
        <w:rPr>
          <w:rFonts w:ascii="仿宋" w:eastAsia="仿宋" w:hAnsi="仿宋" w:cs="仿宋" w:hint="eastAsia"/>
          <w:color w:val="auto"/>
          <w:highlight w:val="none"/>
          <w:lang w:val="en-US" w:eastAsia="zh-CN"/>
        </w:rPr>
        <w:t xml:space="preserve">以下标准：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rPr>
        <w:t xml:space="preserve">计划标准，原因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：根据绩效目标表，以预先制定的村级组织运转经费涉及村数</w:t>
      </w:r>
      <w:r>
        <w:rPr>
          <w:rFonts w:ascii="仿宋" w:eastAsia="仿宋" w:hAnsi="仿宋" w:cs="仿宋" w:hint="eastAsia"/>
          <w:color w:val="auto"/>
          <w:highlight w:val="none"/>
          <w:lang w:val="en-US" w:eastAsia="zh-CN"/>
        </w:rPr>
        <w:t xml:space="preserve">8个</w:t>
      </w:r>
      <w:r>
        <w:rPr>
          <w:rFonts w:ascii="仿宋" w:eastAsia="仿宋" w:hAnsi="仿宋" w:cs="仿宋" w:hint="eastAsia"/>
          <w:color w:val="auto"/>
          <w:highlight w:val="none"/>
        </w:rPr>
        <w:t xml:space="preserve">、基层组织建设工作完成率</w:t>
      </w:r>
      <w:r>
        <w:rPr>
          <w:rFonts w:ascii="仿宋" w:eastAsia="仿宋" w:hAnsi="仿宋" w:cs="仿宋" w:hint="eastAsia"/>
          <w:color w:val="auto"/>
          <w:highlight w:val="none"/>
          <w:lang w:val="en-US" w:eastAsia="zh-CN"/>
        </w:rPr>
        <w:t xml:space="preserve">95%为计划数</w:t>
      </w:r>
      <w:r>
        <w:rPr>
          <w:rFonts w:ascii="仿宋" w:eastAsia="仿宋" w:hAnsi="仿宋" w:cs="仿宋" w:hint="eastAsia"/>
          <w:color w:val="auto"/>
          <w:highlight w:val="none"/>
        </w:rPr>
        <w:t xml:space="preserve">作为评价的标准。</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历史标准，原因</w:t>
      </w:r>
      <w:r>
        <w:rPr>
          <w:rFonts w:ascii="仿宋" w:eastAsia="仿宋" w:hAnsi="仿宋" w:cs="仿宋" w:hint="eastAsia"/>
          <w:color w:val="auto"/>
          <w:highlight w:val="none"/>
          <w:lang w:val="en-US" w:eastAsia="zh-CN"/>
        </w:rPr>
        <w:t xml:space="preserve">是</w:t>
      </w:r>
      <w:r>
        <w:rPr>
          <w:rFonts w:ascii="仿宋" w:eastAsia="仿宋" w:hAnsi="仿宋" w:cs="仿宋" w:hint="eastAsia"/>
          <w:color w:val="auto"/>
          <w:highlight w:val="none"/>
        </w:rPr>
        <w:t xml:space="preserve">：参照本单位同类单位绩效评价指标的历史数据作为样本，运用一定的统计学方法计算出各类指标的平均历史水平作为评价标准。</w:t>
      </w:r>
    </w:p>
    <w:p>
      <w:pPr>
        <w:pStyle w:val="Heading3"/>
        <w:bidi w:val="0"/>
        <w:rPr>
          <w:rFonts w:ascii="仿宋" w:eastAsia="仿宋" w:hAnsi="仿宋" w:cs="仿宋" w:hint="eastAsia"/>
          <w:color w:val="auto"/>
          <w:highlight w:val="none"/>
        </w:rPr>
      </w:pPr>
      <w:bookmarkStart w:id="12" w:name="_Toc23796"/>
      <w:r>
        <w:rPr>
          <w:rFonts w:ascii="仿宋" w:eastAsia="仿宋" w:hAnsi="仿宋" w:cs="仿宋" w:hint="eastAsia"/>
          <w:color w:val="auto"/>
          <w:highlight w:val="none"/>
        </w:rPr>
        <w:t xml:space="preserve">（三）绩效评价工作过程</w:t>
      </w:r>
      <w:bookmarkEnd w:id="12"/>
      <w:bookmarkStart w:id="13" w:name="_Toc27442"/>
      <w:bookmarkStart w:id="14" w:name="_Toc17595"/>
      <w:bookmarkStart w:id="15" w:name="_Toc22987"/>
      <w:bookmarkStart w:id="16" w:name="_Toc30911"/>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1、前期准备</w:t>
      </w:r>
      <w:r>
        <w:rPr>
          <w:rFonts w:ascii="仿宋" w:eastAsia="仿宋" w:hAnsi="仿宋" w:cs="仿宋" w:hint="eastAsia"/>
          <w:color w:val="auto"/>
          <w:highlight w:val="none"/>
        </w:rPr>
        <w:t xml:space="preserve">（2025年2月10日-2025年2月28日）</w:t>
      </w:r>
    </w:p>
    <w:p>
      <w:pPr>
        <w:bidi w:val="0"/>
        <w:rPr>
          <w:rFonts w:ascii="仿宋" w:eastAsia="仿宋" w:hAnsi="仿宋" w:cs="仿宋" w:hint="eastAsia"/>
          <w:bCs/>
          <w:color w:val="auto"/>
          <w:szCs w:val="32"/>
          <w:highlight w:val="none"/>
        </w:rPr>
      </w:pPr>
      <w:r>
        <w:rPr>
          <w:rFonts w:ascii="仿宋" w:eastAsia="仿宋" w:hAnsi="仿宋" w:cs="仿宋" w:hint="eastAsia"/>
          <w:bCs/>
          <w:color w:val="auto"/>
          <w:szCs w:val="32"/>
          <w:highlight w:val="none"/>
        </w:rPr>
        <w:t xml:space="preserve">按照《项目支出绩效评价管理办法》（财预〔2020〕10号）文件要求，</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bidi w:val="0"/>
        <w:rPr>
          <w:rFonts w:ascii="仿宋" w:eastAsia="仿宋" w:hAnsi="仿宋" w:cs="仿宋" w:hint="eastAsia"/>
          <w:bCs/>
          <w:color w:val="auto"/>
          <w:szCs w:val="32"/>
          <w:highlight w:val="none"/>
        </w:rPr>
      </w:pPr>
      <w:r>
        <w:rPr>
          <w:rFonts w:ascii="仿宋" w:eastAsia="仿宋" w:hAnsi="仿宋" w:cs="仿宋" w:hint="eastAsia"/>
          <w:bCs/>
          <w:color w:val="auto"/>
          <w:szCs w:val="32"/>
          <w:highlight w:val="none"/>
        </w:rPr>
        <w:t xml:space="preserve">评价小组组长：王潇雪，主要负责协调相关科室、部门对项目整体运行情况进行验收、评估。</w:t>
      </w:r>
    </w:p>
    <w:p>
      <w:pPr>
        <w:bidi w:val="0"/>
        <w:rPr>
          <w:rFonts w:ascii="仿宋" w:eastAsia="仿宋" w:hAnsi="仿宋" w:cs="仿宋" w:hint="eastAsia"/>
          <w:bCs/>
          <w:color w:val="auto"/>
          <w:szCs w:val="32"/>
          <w:highlight w:val="none"/>
        </w:rPr>
      </w:pPr>
      <w:r>
        <w:rPr>
          <w:rFonts w:ascii="仿宋" w:eastAsia="仿宋" w:hAnsi="仿宋" w:cs="仿宋" w:hint="eastAsia"/>
          <w:bCs/>
          <w:color w:val="auto"/>
          <w:szCs w:val="32"/>
          <w:highlight w:val="none"/>
        </w:rPr>
        <w:t xml:space="preserve">评价小组组员：邵雪斌，主要负责制定评价指标体系及评价标准。</w:t>
      </w:r>
    </w:p>
    <w:p>
      <w:pPr>
        <w:bidi w:val="0"/>
        <w:rPr>
          <w:rFonts w:ascii="仿宋" w:eastAsia="仿宋" w:hAnsi="仿宋" w:cs="仿宋" w:hint="eastAsia"/>
          <w:color w:val="auto"/>
          <w:highlight w:val="none"/>
        </w:rPr>
      </w:pPr>
      <w:r>
        <w:rPr>
          <w:rFonts w:ascii="仿宋" w:eastAsia="仿宋" w:hAnsi="仿宋" w:cs="仿宋" w:hint="eastAsia"/>
          <w:bCs/>
          <w:color w:val="auto"/>
          <w:szCs w:val="32"/>
          <w:highlight w:val="none"/>
        </w:rPr>
        <w:t xml:space="preserve">评价小组组员：阿依吐拉汗·吾斯曼，主要负责村级组织运转经费项目实施、监督、评估工作。</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2、组织实施</w:t>
      </w:r>
      <w:r>
        <w:rPr>
          <w:rFonts w:ascii="仿宋" w:eastAsia="仿宋" w:hAnsi="仿宋" w:cs="仿宋" w:hint="eastAsia"/>
          <w:color w:val="auto"/>
          <w:highlight w:val="none"/>
        </w:rPr>
        <w:t xml:space="preserve">（2025年3月1日-2025年3月10日）</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评价的具体实施根据评价指标及评价工作要求，对具体评价内容和不同环节，采用以下取得的资料与评价方式。</w:t>
      </w:r>
    </w:p>
    <w:p>
      <w:pPr>
        <w:bidi w:val="0"/>
        <w:jc w:val="both"/>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（1）</w:t>
      </w:r>
      <w:r>
        <w:rPr>
          <w:rFonts w:ascii="仿宋" w:eastAsia="仿宋" w:hAnsi="仿宋" w:cs="仿宋"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3、数据集中分析</w:t>
      </w:r>
      <w:bookmarkEnd w:id="13"/>
      <w:bookmarkEnd w:id="14"/>
      <w:bookmarkEnd w:id="15"/>
      <w:bookmarkEnd w:id="16"/>
      <w:r>
        <w:rPr>
          <w:rFonts w:ascii="仿宋" w:eastAsia="仿宋" w:hAnsi="仿宋" w:cs="仿宋" w:hint="eastAsia"/>
          <w:color w:val="auto"/>
          <w:highlight w:val="none"/>
        </w:rPr>
        <w:t xml:space="preserve">（2025年3月11日-2025年3月20日）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对相关资料，包括资金文件、项目实施方案、相关管理办法，问卷调查等进行集中分析。在查阅大量项目资料的基础上，根据考察、考评的结果进行整理、分析。</w:t>
      </w:r>
      <w:bookmarkStart w:id="17" w:name="_Toc20775"/>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4、分析总结</w:t>
      </w:r>
      <w:bookmarkEnd w:id="17"/>
      <w:r>
        <w:rPr>
          <w:rFonts w:ascii="仿宋" w:eastAsia="仿宋" w:hAnsi="仿宋" w:cs="仿宋" w:hint="eastAsia"/>
          <w:color w:val="auto"/>
          <w:highlight w:val="none"/>
        </w:rPr>
        <w:t xml:space="preserve">（2025年3月21日-2025年</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rPr>
        <w:t xml:space="preserve">月3日）</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（1）根据部门自评的意见及考察、考评的结果进行整理、分析，撰写绩效评价报告初稿。</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（2）就部门自评报告与部门具体有关科室征求意见，形成最终的绩效评价报告。</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5.问题整改</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bidi w:val="0"/>
        <w:rPr>
          <w:rFonts w:ascii="仿宋" w:eastAsia="仿宋" w:hAnsi="仿宋" w:cs="仿宋" w:hint="eastAsia"/>
          <w:b/>
          <w:bCs/>
          <w:color w:val="auto"/>
          <w:highlight w:val="none"/>
        </w:rPr>
      </w:pPr>
      <w:r>
        <w:rPr>
          <w:rFonts w:ascii="仿宋" w:eastAsia="仿宋" w:hAnsi="仿宋" w:cs="仿宋" w:hint="eastAsia"/>
          <w:b/>
          <w:bCs/>
          <w:color w:val="auto"/>
          <w:highlight w:val="none"/>
        </w:rPr>
        <w:t xml:space="preserve">6.档案整理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建立和落实档案管理制度，将项目相关资料存档，包括但不限于：评价项目基本情况和相关文件、评价实施方案、项目支付资料等相关档案。</w:t>
      </w:r>
    </w:p>
    <w:p>
      <w:pPr>
        <w:pStyle w:val="Heading2"/>
        <w:bidi w:val="0"/>
        <w:rPr>
          <w:rFonts w:ascii="仿宋" w:eastAsia="仿宋" w:hAnsi="仿宋" w:cs="仿宋" w:hint="eastAsia"/>
          <w:color w:val="auto"/>
          <w:highlight w:val="none"/>
        </w:rPr>
      </w:pPr>
      <w:bookmarkStart w:id="18" w:name="_Toc20784"/>
      <w:r>
        <w:rPr>
          <w:rFonts w:ascii="仿宋" w:eastAsia="仿宋" w:hAnsi="仿宋" w:cs="仿宋" w:hint="eastAsia"/>
          <w:color w:val="auto"/>
          <w:highlight w:val="none"/>
        </w:rPr>
        <w:t xml:space="preserve">三、综合评价情况及评价结论</w:t>
      </w:r>
      <w:bookmarkEnd w:id="18"/>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本项目的绩效评价结果为“优”，综合评分100分。其中项目决策22分，项目过程</w:t>
      </w:r>
      <w:r>
        <w:rPr>
          <w:rFonts w:ascii="仿宋" w:eastAsia="仿宋" w:hAnsi="仿宋" w:cs="仿宋" w:hint="eastAsia"/>
          <w:color w:val="auto"/>
          <w:highlight w:val="none"/>
          <w:lang w:val="en-US" w:eastAsia="zh-CN"/>
        </w:rPr>
        <w:t xml:space="preserve">17.98</w:t>
      </w:r>
      <w:r>
        <w:rPr>
          <w:rFonts w:ascii="仿宋" w:eastAsia="仿宋" w:hAnsi="仿宋" w:cs="仿宋" w:hint="eastAsia"/>
          <w:color w:val="auto"/>
          <w:highlight w:val="none"/>
        </w:rPr>
        <w:t xml:space="preserve">分，（原因：本项目到位资金120万元，实际支付资金119.52万元，预算执行率为99.6%。因政府采购时有优惠率未支付完。本项满分4分，评估得分3.98分。）项目产出管理得分</w:t>
      </w:r>
      <w:r>
        <w:rPr>
          <w:rFonts w:ascii="仿宋" w:eastAsia="仿宋" w:hAnsi="仿宋" w:cs="仿宋" w:hint="eastAsia"/>
          <w:color w:val="auto"/>
          <w:highlight w:val="none"/>
          <w:lang w:val="en-US" w:eastAsia="zh-CN"/>
        </w:rPr>
        <w:t xml:space="preserve">39.96</w:t>
      </w:r>
      <w:r>
        <w:rPr>
          <w:rFonts w:ascii="仿宋" w:eastAsia="仿宋" w:hAnsi="仿宋" w:cs="仿宋" w:hint="eastAsia"/>
          <w:color w:val="auto"/>
          <w:highlight w:val="none"/>
        </w:rPr>
        <w:t xml:space="preserve">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lang w:val="en-US" w:eastAsia="zh-CN"/>
        </w:rPr>
        <w:t xml:space="preserve">原因：</w:t>
      </w:r>
      <w:r>
        <w:rPr>
          <w:rFonts w:ascii="仿宋" w:eastAsia="仿宋" w:hAnsi="仿宋" w:cs="仿宋" w:hint="eastAsia"/>
          <w:color w:val="auto"/>
          <w:highlight w:val="none"/>
        </w:rPr>
        <w:t xml:space="preserve">指标1：村级组织运转经费标准，预期指标值小于或等于15万元/村，指标完成值等于14.94万元/村，完成率：99.6%；未达标原因：因政府采购时有优惠率。本项满分8分，评估得分7.96分。</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项目效益20分。各部分权重和绩效汇总分值如下表所示：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绩效评价</w:t>
            </w:r>
            <w:r>
              <w:rPr>
                <w:rFonts w:ascii="仿宋" w:eastAsia="仿宋" w:hAnsi="仿宋" w:cs="仿宋" w:hint="eastAsia"/>
                <w:color w:val="auto"/>
                <w:highlight w:val="none"/>
                <w:lang w:val="zh-TW" w:eastAsia="zh-TW"/>
              </w:rPr>
              <w:t xml:space="preserve">得分表</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17.98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39.96</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99.94</w:t>
            </w:r>
          </w:p>
        </w:tc>
      </w:tr>
    </w:tbl>
    <w:p>
      <w:pPr>
        <w:bidi w:val="0"/>
        <w:rPr>
          <w:rFonts w:ascii="仿宋" w:eastAsia="仿宋" w:hAnsi="仿宋" w:cs="仿宋" w:hint="eastAsia"/>
          <w:color w:val="auto"/>
          <w:highlight w:val="none"/>
        </w:rPr>
      </w:pPr>
    </w:p>
    <w:p>
      <w:pPr>
        <w:pStyle w:val="Heading2"/>
        <w:bidi w:val="0"/>
        <w:rPr>
          <w:rFonts w:ascii="仿宋" w:eastAsia="仿宋" w:hAnsi="仿宋" w:cs="仿宋" w:hint="eastAsia"/>
          <w:color w:val="auto"/>
          <w:highlight w:val="none"/>
        </w:rPr>
      </w:pPr>
      <w:bookmarkStart w:id="19" w:name="_Toc8960"/>
      <w:r>
        <w:rPr>
          <w:rFonts w:ascii="仿宋" w:eastAsia="仿宋" w:hAnsi="仿宋" w:cs="仿宋" w:hint="eastAsia"/>
          <w:color w:val="auto"/>
          <w:highlight w:val="none"/>
        </w:rPr>
        <w:t xml:space="preserve">四、绩效评价指标分析</w:t>
      </w:r>
      <w:bookmarkEnd w:id="19"/>
    </w:p>
    <w:p>
      <w:pPr>
        <w:pStyle w:val="Heading3"/>
        <w:bidi w:val="0"/>
        <w:rPr>
          <w:rFonts w:ascii="仿宋" w:eastAsia="仿宋" w:hAnsi="仿宋" w:cs="仿宋" w:hint="eastAsia"/>
          <w:color w:val="auto"/>
          <w:highlight w:val="none"/>
        </w:rPr>
      </w:pPr>
      <w:bookmarkStart w:id="20" w:name="_Toc3445"/>
      <w:r>
        <w:rPr>
          <w:rFonts w:ascii="仿宋" w:eastAsia="仿宋" w:hAnsi="仿宋" w:cs="仿宋" w:hint="eastAsia"/>
          <w:color w:val="auto"/>
          <w:highlight w:val="none"/>
        </w:rPr>
        <w:t xml:space="preserve">（一）项目决策情况</w:t>
      </w:r>
      <w:bookmarkEnd w:id="20"/>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1、实施依据充分性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w:t>
      </w:r>
      <w:r>
        <w:rPr>
          <w:rFonts w:ascii="仿宋" w:eastAsia="仿宋" w:hAnsi="仿宋" w:cs="仿宋" w:hint="eastAsia"/>
          <w:color w:val="auto"/>
          <w:highlight w:val="none"/>
        </w:rPr>
        <w:t xml:space="preserve">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符合</w:t>
      </w:r>
      <w:r>
        <w:rPr>
          <w:rFonts w:ascii="仿宋" w:eastAsia="仿宋" w:hAnsi="仿宋" w:cs="仿宋" w:hint="eastAsia"/>
          <w:color w:val="auto"/>
          <w:highlight w:val="none"/>
        </w:rPr>
        <w:t xml:space="preserve">《印发&lt;关于开展以“抓基层打基础、抓当前利长远”为主题的基层党建工作实施意见&gt;的通知》（巴党办发〔2017〕8号）“每个村（社区）年运转经费不低于10万元”</w:t>
      </w:r>
      <w:r>
        <w:rPr>
          <w:rFonts w:ascii="仿宋" w:eastAsia="仿宋" w:hAnsi="仿宋" w:cs="仿宋" w:hint="eastAsia"/>
          <w:color w:val="auto"/>
          <w:highlight w:val="none"/>
        </w:rPr>
        <w:t xml:space="preserve">，</w:t>
      </w:r>
      <w:r>
        <w:rPr>
          <w:rFonts w:ascii="仿宋" w:eastAsia="仿宋" w:hAnsi="仿宋" w:cs="仿宋" w:hint="eastAsia"/>
          <w:color w:val="auto"/>
          <w:highlight w:val="none"/>
        </w:rPr>
        <w:t xml:space="preserve">符合行业发展规划和政策要求</w:t>
      </w:r>
      <w:r>
        <w:rPr>
          <w:rFonts w:ascii="仿宋" w:eastAsia="仿宋" w:hAnsi="仿宋" w:cs="仿宋" w:hint="eastAsia"/>
          <w:color w:val="auto"/>
          <w:highlight w:val="none"/>
        </w:rPr>
        <w:t xml:space="preserve">；</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（1）本项目申报和审批符合国家法律法规、国民经济发展规划和相关政策；</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（2）本项目申报和审批符合行业发展规划和政策要求；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（3）项目</w:t>
      </w:r>
      <w:r>
        <w:rPr>
          <w:rFonts w:ascii="仿宋" w:eastAsia="仿宋" w:hAnsi="仿宋" w:cs="仿宋" w:hint="eastAsia"/>
          <w:color w:val="auto"/>
          <w:highlight w:val="none"/>
          <w:lang w:val="en-US" w:eastAsia="zh-CN"/>
        </w:rPr>
        <w:t xml:space="preserve">实施</w:t>
      </w:r>
      <w:r>
        <w:rPr>
          <w:rFonts w:ascii="仿宋" w:eastAsia="仿宋" w:hAnsi="仿宋" w:cs="仿宋" w:hint="eastAsia"/>
          <w:color w:val="auto"/>
          <w:highlight w:val="none"/>
        </w:rPr>
        <w:t xml:space="preserve">与部门职责范围相符，属</w:t>
      </w:r>
      <w:r>
        <w:rPr>
          <w:rFonts w:ascii="仿宋" w:eastAsia="仿宋" w:hAnsi="仿宋" w:cs="仿宋" w:hint="eastAsia"/>
          <w:color w:val="auto"/>
          <w:highlight w:val="none"/>
        </w:rPr>
        <w:t xml:space="preserve">干部</w:t>
      </w:r>
      <w:r>
        <w:rPr>
          <w:rFonts w:ascii="仿宋" w:eastAsia="仿宋" w:hAnsi="仿宋" w:cs="仿宋" w:hint="eastAsia"/>
          <w:color w:val="auto"/>
          <w:highlight w:val="none"/>
        </w:rPr>
        <w:t xml:space="preserve">门履职所需；</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（4）本项目属于公共财政支持范围，符合中央、地方事权支出责任划分原则；</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（5）本项目与相关部门同类项目或部门内部相关项目</w:t>
      </w:r>
      <w:r>
        <w:rPr>
          <w:rFonts w:ascii="仿宋" w:eastAsia="仿宋" w:hAnsi="仿宋" w:cs="仿宋" w:hint="eastAsia"/>
          <w:color w:val="auto"/>
          <w:highlight w:val="none"/>
          <w:lang w:val="en-US" w:eastAsia="zh-CN"/>
        </w:rPr>
        <w:t xml:space="preserve">不</w:t>
      </w:r>
      <w:r>
        <w:rPr>
          <w:rFonts w:ascii="仿宋" w:eastAsia="仿宋" w:hAnsi="仿宋" w:cs="仿宋" w:hint="eastAsia"/>
          <w:color w:val="auto"/>
          <w:highlight w:val="none"/>
        </w:rPr>
        <w:t xml:space="preserve">重复。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2、实施程序规范性</w:t>
      </w:r>
    </w:p>
    <w:p>
      <w:pPr>
        <w:bidi w:val="0"/>
        <w:rPr>
          <w:rFonts w:ascii="仿宋" w:eastAsia="仿宋" w:hAnsi="仿宋" w:cs="仿宋" w:hint="eastAsia"/>
          <w:color w:val="auto"/>
          <w:highlight w:val="none"/>
        </w:rPr>
      </w:pPr>
      <w:r>
        <w:rPr>
          <w:rFonts w:ascii="仿宋" w:eastAsia="仿宋" w:hAnsi="仿宋" w:cs="仿宋" w:hint="eastAsia"/>
          <w:bCs w:val="0"/>
          <w:iCs w:val="0"/>
          <w:color w:val="auto"/>
          <w:kern w:val="2"/>
          <w:sz w:val="32"/>
          <w:szCs w:val="22"/>
          <w:highlight w:val="none"/>
          <w:lang w:val="en-US" w:bidi="ar-SA"/>
        </w:rPr>
        <w:t xml:space="preserve">本项目</w:t>
      </w:r>
      <w:r>
        <w:rPr>
          <w:rFonts w:ascii="仿宋" w:eastAsia="仿宋" w:hAnsi="仿宋" w:cs="仿宋" w:hint="eastAsia"/>
          <w:bCs w:val="0"/>
          <w:iCs w:val="0"/>
          <w:color w:val="auto"/>
          <w:kern w:val="2"/>
          <w:sz w:val="32"/>
          <w:szCs w:val="22"/>
          <w:highlight w:val="none"/>
          <w:lang w:val="en-US" w:eastAsia="zh-CN" w:bidi="ar-SA"/>
        </w:rPr>
        <w:t xml:space="preserve">实施</w:t>
      </w:r>
      <w:r>
        <w:rPr>
          <w:rFonts w:ascii="仿宋" w:eastAsia="仿宋" w:hAnsi="仿宋" w:cs="仿宋" w:hint="eastAsia"/>
          <w:bCs w:val="0"/>
          <w:iCs w:val="0"/>
          <w:color w:val="auto"/>
          <w:kern w:val="2"/>
          <w:sz w:val="32"/>
          <w:szCs w:val="22"/>
          <w:highlight w:val="none"/>
          <w:lang w:val="en-US" w:bidi="ar-SA"/>
        </w:rPr>
        <w:t xml:space="preserve">资料</w:t>
      </w:r>
      <w:r>
        <w:rPr>
          <w:rFonts w:ascii="仿宋" w:eastAsia="仿宋" w:hAnsi="仿宋" w:cs="仿宋" w:hint="eastAsia"/>
          <w:bCs w:val="0"/>
          <w:iCs w:val="0"/>
          <w:color w:val="auto"/>
          <w:kern w:val="2"/>
          <w:sz w:val="32"/>
          <w:szCs w:val="22"/>
          <w:highlight w:val="none"/>
          <w:lang w:val="en-US" w:eastAsia="zh-CN" w:bidi="ar-SA"/>
        </w:rPr>
        <w:t xml:space="preserve">齐</w:t>
      </w:r>
      <w:r>
        <w:rPr>
          <w:rFonts w:ascii="仿宋" w:eastAsia="仿宋" w:hAnsi="仿宋" w:cs="仿宋" w:hint="eastAsia"/>
          <w:bCs w:val="0"/>
          <w:iCs w:val="0"/>
          <w:color w:val="auto"/>
          <w:kern w:val="2"/>
          <w:sz w:val="32"/>
          <w:szCs w:val="22"/>
          <w:highlight w:val="none"/>
          <w:lang w:val="en-US" w:bidi="ar-SA"/>
        </w:rPr>
        <w:t xml:space="preserve">全，</w:t>
      </w:r>
      <w:r>
        <w:rPr>
          <w:rFonts w:ascii="仿宋" w:eastAsia="仿宋" w:hAnsi="仿宋" w:cs="仿宋" w:hint="eastAsia"/>
          <w:bCs w:val="0"/>
          <w:iCs w:val="0"/>
          <w:color w:val="auto"/>
          <w:kern w:val="2"/>
          <w:sz w:val="32"/>
          <w:szCs w:val="22"/>
          <w:highlight w:val="none"/>
          <w:lang w:val="en-US" w:bidi="ar-SA"/>
        </w:rPr>
        <w:t xml:space="preserve">编制了《村级组织运转经费实施方案》</w:t>
      </w:r>
      <w:r>
        <w:rPr>
          <w:rFonts w:ascii="仿宋" w:eastAsia="仿宋" w:hAnsi="仿宋" w:cs="仿宋" w:hint="eastAsia"/>
          <w:bCs w:val="0"/>
          <w:iCs w:val="0"/>
          <w:color w:val="auto"/>
          <w:kern w:val="2"/>
          <w:sz w:val="32"/>
          <w:szCs w:val="22"/>
          <w:highlight w:val="none"/>
          <w:lang w:val="en-US" w:eastAsia="zh-CN" w:bidi="ar-SA"/>
        </w:rPr>
        <w:t xml:space="preserve">，</w:t>
      </w:r>
      <w:r>
        <w:rPr>
          <w:rFonts w:ascii="仿宋" w:eastAsia="仿宋" w:hAnsi="仿宋" w:cs="仿宋" w:hint="eastAsia"/>
          <w:bCs w:val="0"/>
          <w:iCs w:val="0"/>
          <w:color w:val="auto"/>
          <w:kern w:val="2"/>
          <w:sz w:val="32"/>
          <w:szCs w:val="22"/>
          <w:highlight w:val="none"/>
          <w:lang w:val="en-US" w:bidi="ar-SA"/>
        </w:rPr>
        <w:t xml:space="preserve">通过尉犁县兴平镇人民政府审批同意实施该项目。</w:t>
      </w:r>
      <w:r>
        <w:rPr>
          <w:rFonts w:ascii="仿宋" w:eastAsia="仿宋" w:hAnsi="仿宋" w:cs="仿宋" w:hint="eastAsia"/>
          <w:bCs w:val="0"/>
          <w:iCs w:val="0"/>
          <w:color w:val="auto"/>
          <w:kern w:val="2"/>
          <w:sz w:val="32"/>
          <w:szCs w:val="22"/>
          <w:highlight w:val="none"/>
          <w:lang w:val="en-US" w:eastAsia="zh-CN" w:bidi="ar-SA"/>
        </w:rPr>
        <w:t xml:space="preserve">因此，</w:t>
      </w:r>
      <w:r>
        <w:rPr>
          <w:rFonts w:ascii="仿宋" w:eastAsia="仿宋" w:hAnsi="仿宋" w:cs="仿宋" w:hint="eastAsia"/>
          <w:color w:val="auto"/>
          <w:spacing w:val="-4"/>
          <w:szCs w:val="32"/>
          <w:highlight w:val="none"/>
          <w:lang w:val="en-US" w:eastAsia="zh-CN"/>
        </w:rPr>
        <w:t xml:space="preserve">实施</w:t>
      </w:r>
      <w:r>
        <w:rPr>
          <w:rFonts w:ascii="仿宋" w:eastAsia="仿宋" w:hAnsi="仿宋" w:cs="仿宋" w:hint="eastAsia"/>
          <w:bCs/>
          <w:color w:val="auto"/>
          <w:szCs w:val="32"/>
          <w:highlight w:val="none"/>
        </w:rPr>
        <w:t xml:space="preserve">程序规范；审批文件、材料符合相关要求，事前已经过必要的集体决策，</w:t>
      </w:r>
      <w:r>
        <w:rPr>
          <w:rFonts w:ascii="仿宋" w:eastAsia="仿宋" w:hAnsi="仿宋" w:cs="仿宋" w:hint="eastAsia"/>
          <w:color w:val="auto"/>
          <w:highlight w:val="none"/>
        </w:rPr>
        <w:t xml:space="preserve">实施程序规范。</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3、绩效目标合理性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兴平镇2024年村级组织运转经费</w:t>
      </w:r>
      <w:r>
        <w:rPr>
          <w:rFonts w:ascii="仿宋" w:eastAsia="仿宋" w:hAnsi="仿宋" w:cs="仿宋" w:hint="eastAsia"/>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4、绩效指标明确性</w:t>
      </w:r>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兴平镇2024年村级组织运转经费，设置一级指标</w:t>
      </w:r>
      <w:r>
        <w:rPr>
          <w:rFonts w:ascii="仿宋" w:eastAsia="仿宋" w:hAnsi="仿宋" w:cs="仿宋" w:hint="eastAsia"/>
          <w:color w:val="auto"/>
          <w:highlight w:val="none"/>
          <w:lang w:val="en-US" w:eastAsia="zh-CN"/>
        </w:rPr>
        <w:t xml:space="preserve">4</w:t>
      </w:r>
      <w:r>
        <w:rPr>
          <w:rFonts w:ascii="仿宋" w:eastAsia="仿宋" w:hAnsi="仿宋" w:cs="仿宋" w:hint="eastAsia"/>
          <w:color w:val="auto"/>
          <w:highlight w:val="none"/>
          <w:lang w:eastAsia="zh-CN"/>
        </w:rPr>
        <w:t xml:space="preserve">条，二级指标</w:t>
      </w:r>
      <w:r>
        <w:rPr>
          <w:rFonts w:ascii="仿宋" w:eastAsia="仿宋" w:hAnsi="仿宋" w:cs="仿宋" w:hint="eastAsia"/>
          <w:color w:val="auto"/>
          <w:highlight w:val="none"/>
          <w:lang w:val="en-US" w:eastAsia="zh-CN"/>
        </w:rPr>
        <w:t xml:space="preserve">6</w:t>
      </w:r>
      <w:r>
        <w:rPr>
          <w:rFonts w:ascii="仿宋" w:eastAsia="仿宋" w:hAnsi="仿宋" w:cs="仿宋" w:hint="eastAsia"/>
          <w:color w:val="auto"/>
          <w:highlight w:val="none"/>
          <w:lang w:eastAsia="zh-CN"/>
        </w:rPr>
        <w:t xml:space="preserve">条，三级指标7条，其中量化指标6条，</w:t>
      </w:r>
      <w:r>
        <w:rPr>
          <w:rFonts w:ascii="仿宋" w:eastAsia="仿宋" w:hAnsi="仿宋" w:cs="仿宋" w:hint="eastAsia"/>
          <w:color w:val="auto"/>
          <w:highlight w:val="none"/>
        </w:rPr>
        <w:t xml:space="preserve">绩效目标指标设定清晰、可衡量性较强，与项目目标任务计划数对应性较强。</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5、预算编制科学性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w:t>
      </w:r>
      <w:r>
        <w:rPr>
          <w:rFonts w:ascii="仿宋" w:eastAsia="仿宋" w:hAnsi="仿宋" w:cs="仿宋" w:hint="eastAsia"/>
          <w:color w:val="auto"/>
          <w:highlight w:val="none"/>
          <w:lang w:val="en-US" w:eastAsia="zh-CN"/>
        </w:rPr>
        <w:t xml:space="preserve">全年</w:t>
      </w:r>
      <w:r>
        <w:rPr>
          <w:rFonts w:ascii="仿宋" w:eastAsia="仿宋" w:hAnsi="仿宋" w:cs="仿宋" w:hint="eastAsia"/>
          <w:color w:val="auto"/>
          <w:highlight w:val="none"/>
        </w:rPr>
        <w:t xml:space="preserve">预算资金120万元，来源为县级补助</w:t>
      </w:r>
      <w:r>
        <w:rPr>
          <w:rFonts w:ascii="仿宋" w:eastAsia="仿宋" w:hAnsi="仿宋" w:cs="仿宋" w:hint="eastAsia"/>
          <w:color w:val="auto"/>
          <w:highlight w:val="none"/>
          <w:lang w:val="en-US" w:eastAsia="zh-CN"/>
        </w:rPr>
        <w:t xml:space="preserve">资金</w:t>
      </w:r>
      <w:r>
        <w:rPr>
          <w:rFonts w:ascii="仿宋" w:eastAsia="仿宋" w:hAnsi="仿宋" w:cs="仿宋" w:hint="eastAsia"/>
          <w:color w:val="auto"/>
          <w:highlight w:val="none"/>
        </w:rPr>
        <w:t xml:space="preserve">120万元，预算编制较为科学，预算内容与</w:t>
      </w:r>
      <w:r>
        <w:rPr>
          <w:rFonts w:ascii="仿宋" w:eastAsia="仿宋" w:hAnsi="仿宋" w:cs="仿宋" w:hint="eastAsia"/>
          <w:color w:val="auto"/>
          <w:highlight w:val="none"/>
          <w:lang w:val="en-US" w:eastAsia="zh-CN"/>
        </w:rPr>
        <w:t xml:space="preserve">兴平镇2024年村级组织运转经费</w:t>
      </w:r>
      <w:r>
        <w:rPr>
          <w:rFonts w:ascii="仿宋" w:eastAsia="仿宋" w:hAnsi="仿宋" w:cs="仿宋" w:hint="eastAsia"/>
          <w:color w:val="auto"/>
          <w:highlight w:val="none"/>
        </w:rPr>
        <w:t xml:space="preserve">内容相匹配，预算额度测算依据充分，预算确定的资金量与</w:t>
      </w:r>
      <w:r>
        <w:rPr>
          <w:rFonts w:ascii="仿宋" w:eastAsia="仿宋" w:hAnsi="仿宋" w:cs="仿宋" w:hint="eastAsia"/>
          <w:color w:val="auto"/>
          <w:highlight w:val="none"/>
          <w:lang w:val="en-US" w:eastAsia="zh-CN"/>
        </w:rPr>
        <w:t xml:space="preserve">工作量</w:t>
      </w:r>
      <w:r>
        <w:rPr>
          <w:rFonts w:ascii="仿宋" w:eastAsia="仿宋" w:hAnsi="仿宋" w:cs="仿宋" w:hint="eastAsia"/>
          <w:color w:val="auto"/>
          <w:highlight w:val="none"/>
        </w:rPr>
        <w:t xml:space="preserve">相匹配。</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6、资金分配合理性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本项目预算资金分配依据充分；资金分配额度合理，与项目单位实际相适应。</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pStyle w:val="Heading3"/>
        <w:bidi w:val="0"/>
        <w:rPr>
          <w:rFonts w:ascii="仿宋" w:eastAsia="仿宋" w:hAnsi="仿宋" w:cs="仿宋" w:hint="eastAsia"/>
          <w:color w:val="auto"/>
          <w:highlight w:val="none"/>
        </w:rPr>
      </w:pPr>
      <w:bookmarkStart w:id="21" w:name="_Toc11290"/>
      <w:r>
        <w:rPr>
          <w:rFonts w:ascii="仿宋" w:eastAsia="仿宋" w:hAnsi="仿宋" w:cs="仿宋" w:hint="eastAsia"/>
          <w:color w:val="auto"/>
          <w:highlight w:val="none"/>
        </w:rPr>
        <w:t xml:space="preserve">（二）项目过程情况</w:t>
      </w:r>
      <w:bookmarkEnd w:id="21"/>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1、资金到位率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本项目预算资金</w:t>
      </w:r>
      <w:r>
        <w:rPr>
          <w:rFonts w:ascii="仿宋" w:eastAsia="仿宋" w:hAnsi="仿宋" w:cs="仿宋" w:hint="eastAsia"/>
          <w:color w:val="auto"/>
          <w:highlight w:val="none"/>
          <w:lang w:val="en-US" w:eastAsia="zh-CN"/>
        </w:rPr>
        <w:t xml:space="preserve">120</w:t>
      </w:r>
      <w:r>
        <w:rPr>
          <w:rFonts w:ascii="仿宋" w:eastAsia="仿宋" w:hAnsi="仿宋" w:cs="仿宋" w:hint="eastAsia"/>
          <w:color w:val="auto"/>
          <w:highlight w:val="none"/>
        </w:rPr>
        <w:t xml:space="preserve">万元，实际到位资金</w:t>
      </w:r>
      <w:r>
        <w:rPr>
          <w:rFonts w:ascii="仿宋" w:eastAsia="仿宋" w:hAnsi="仿宋" w:cs="仿宋" w:hint="eastAsia"/>
          <w:color w:val="auto"/>
          <w:highlight w:val="none"/>
          <w:lang w:val="en-US" w:eastAsia="zh-CN"/>
        </w:rPr>
        <w:t xml:space="preserve">120</w:t>
      </w:r>
      <w:r>
        <w:rPr>
          <w:rFonts w:ascii="仿宋" w:eastAsia="仿宋" w:hAnsi="仿宋" w:cs="仿宋" w:hint="eastAsia"/>
          <w:color w:val="auto"/>
          <w:highlight w:val="none"/>
        </w:rPr>
        <w:t xml:space="preserve">万元，资金到位率100%。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2、预算执行率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本项目到位资金</w:t>
      </w:r>
      <w:r>
        <w:rPr>
          <w:rFonts w:ascii="仿宋" w:eastAsia="仿宋" w:hAnsi="仿宋" w:cs="仿宋" w:hint="eastAsia"/>
          <w:color w:val="auto"/>
          <w:highlight w:val="none"/>
          <w:lang w:val="en-US" w:eastAsia="zh-CN"/>
        </w:rPr>
        <w:t xml:space="preserve">120</w:t>
      </w:r>
      <w:r>
        <w:rPr>
          <w:rFonts w:ascii="仿宋" w:eastAsia="仿宋" w:hAnsi="仿宋" w:cs="仿宋" w:hint="eastAsia"/>
          <w:color w:val="auto"/>
          <w:highlight w:val="none"/>
        </w:rPr>
        <w:t xml:space="preserve">万元，实际支付资金</w:t>
      </w:r>
      <w:r>
        <w:rPr>
          <w:rFonts w:ascii="仿宋" w:eastAsia="仿宋" w:hAnsi="仿宋" w:cs="仿宋" w:hint="eastAsia"/>
          <w:color w:val="auto"/>
          <w:highlight w:val="none"/>
          <w:lang w:val="en-US" w:eastAsia="zh-CN"/>
        </w:rPr>
        <w:t xml:space="preserve">119.52</w:t>
      </w:r>
      <w:r>
        <w:rPr>
          <w:rFonts w:ascii="仿宋" w:eastAsia="仿宋" w:hAnsi="仿宋" w:cs="仿宋" w:hint="eastAsia"/>
          <w:color w:val="auto"/>
          <w:highlight w:val="none"/>
        </w:rPr>
        <w:t xml:space="preserve">万元，预算执行率为</w:t>
      </w:r>
      <w:r>
        <w:rPr>
          <w:rFonts w:ascii="仿宋" w:eastAsia="仿宋" w:hAnsi="仿宋" w:cs="仿宋" w:hint="eastAsia"/>
          <w:color w:val="auto"/>
          <w:highlight w:val="none"/>
          <w:lang w:val="en-US" w:eastAsia="zh-CN"/>
        </w:rPr>
        <w:t xml:space="preserve">99.6</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未支付完</w:t>
      </w:r>
      <w:r>
        <w:rPr>
          <w:rFonts w:ascii="仿宋" w:eastAsia="仿宋" w:hAnsi="仿宋" w:cs="仿宋" w:hint="eastAsia"/>
          <w:color w:val="auto"/>
          <w:highlight w:val="none"/>
          <w:lang w:val="en-US" w:eastAsia="zh-CN"/>
        </w:rPr>
        <w:t xml:space="preserve">原因：</w:t>
      </w:r>
      <w:r>
        <w:rPr>
          <w:rFonts w:ascii="仿宋" w:eastAsia="仿宋" w:hAnsi="仿宋" w:cs="仿宋" w:hint="eastAsia"/>
          <w:color w:val="auto"/>
          <w:highlight w:val="none"/>
          <w:lang w:val="en-US" w:eastAsia="zh-CN"/>
        </w:rPr>
        <w:t xml:space="preserve">政府采购时有优惠率。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w:t>
      </w:r>
      <w:r>
        <w:rPr>
          <w:rFonts w:ascii="仿宋" w:eastAsia="仿宋" w:hAnsi="仿宋" w:cs="仿宋" w:hint="eastAsia"/>
          <w:color w:val="auto"/>
          <w:highlight w:val="none"/>
          <w:lang w:val="en-US" w:eastAsia="zh-CN"/>
        </w:rPr>
        <w:t xml:space="preserve">3.98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3、资金使用合规性</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本项满分4分，评估得分4分。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4、管理制度健全性</w:t>
      </w:r>
    </w:p>
    <w:p>
      <w:pPr>
        <w:spacing w:line="360" w:lineRule="auto"/>
        <w:ind w:firstLine="640"/>
        <w:rPr>
          <w:rFonts w:ascii="仿宋" w:eastAsia="仿宋" w:hAnsi="仿宋" w:cs="仿宋" w:hint="eastAsia"/>
          <w:b/>
          <w:bCs/>
          <w:color w:val="auto"/>
          <w:kern w:val="2"/>
          <w:sz w:val="32"/>
          <w:szCs w:val="24"/>
          <w:highlight w:val="none"/>
          <w:lang w:val="en-US" w:eastAsia="zh-CN" w:bidi="ar-SA"/>
        </w:rPr>
      </w:pP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rPr>
        <w:t xml:space="preserve">制定了《</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rPr>
        <w:t xml:space="preserve">财务管理办法》和《</w:t>
      </w:r>
      <w:r>
        <w:rPr>
          <w:rFonts w:ascii="仿宋" w:eastAsia="仿宋" w:hAnsi="仿宋" w:cs="仿宋" w:hint="eastAsia"/>
          <w:color w:val="auto"/>
          <w:highlight w:val="none"/>
          <w:lang w:eastAsia="zh-CN"/>
        </w:rPr>
        <w:t xml:space="preserve">尉犁县兴平镇人民政府</w:t>
      </w:r>
      <w:r>
        <w:rPr>
          <w:rFonts w:ascii="仿宋" w:eastAsia="仿宋" w:hAnsi="仿宋" w:cs="仿宋" w:hint="eastAsia"/>
          <w:color w:val="auto"/>
          <w:highlight w:val="none"/>
          <w:lang w:val="en-US" w:eastAsia="zh-CN"/>
        </w:rPr>
        <w:t xml:space="preserve">内控管理制度</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本项满分3分，评估得分3分。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5、制度执行有效性</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本项目在实施过程中严格遵守相关法律法规和相关管理规定，</w:t>
      </w:r>
      <w:r>
        <w:rPr>
          <w:rFonts w:ascii="仿宋" w:eastAsia="仿宋" w:hAnsi="仿宋" w:cs="仿宋" w:hint="eastAsia"/>
          <w:color w:val="auto"/>
          <w:highlight w:val="none"/>
        </w:rPr>
        <w:t xml:space="preserve">如《中华人民共和国预算法</w:t>
      </w:r>
      <w:r>
        <w:rPr>
          <w:rFonts w:ascii="仿宋" w:eastAsia="仿宋" w:hAnsi="仿宋" w:cs="仿宋" w:hint="eastAsia"/>
          <w:color w:val="auto"/>
          <w:highlight w:val="none"/>
          <w:lang w:eastAsia="zh-CN"/>
        </w:rPr>
        <w:t xml:space="preserve">》《</w:t>
      </w:r>
      <w:r>
        <w:rPr>
          <w:rFonts w:ascii="仿宋" w:eastAsia="仿宋" w:hAnsi="仿宋" w:cs="仿宋" w:hint="eastAsia"/>
          <w:color w:val="auto"/>
          <w:highlight w:val="none"/>
        </w:rPr>
        <w:t xml:space="preserve">中华人民共和国会计法》等，严格执行项目管理相关文件要求和程序，项目申报、审批、实施、资金拨付、检查及审计等有关资料齐全，并及时整理归档。本项目无项目调整及支出调整，制度执行有效性较高。</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本项满分3分，评估得分3分。</w:t>
      </w:r>
      <w:bookmarkStart w:id="22" w:name="_Toc32013"/>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（三）项目产出情况</w:t>
      </w:r>
      <w:bookmarkEnd w:id="22"/>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1、产出数量</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指标1：村级组织运转经费涉及村数，预期指标值等于8个，指标完成值等于8个，完成率：100%；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2、产出质量</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指标1：基层组织建设工作完成率，预期指标值大于或等于95%，指标完成值等于100%，完成率：105.26%；</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指标2：运转经费覆盖率，预期指标值等于100%，指标完成值等于100%，完成率：100%；；</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分，评估得分1</w:t>
      </w: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3、产出时效</w:t>
      </w:r>
    </w:p>
    <w:p>
      <w:pPr>
        <w:bidi w:val="0"/>
        <w:rPr>
          <w:rFonts w:ascii="仿宋" w:eastAsia="仿宋" w:hAnsi="仿宋" w:cs="仿宋" w:hint="eastAsia"/>
          <w:bCs/>
          <w:color w:val="auto"/>
          <w:szCs w:val="32"/>
          <w:highlight w:val="none"/>
          <w:lang w:val="en-US" w:eastAsia="zh-CN"/>
        </w:rPr>
      </w:pPr>
      <w:r>
        <w:rPr>
          <w:rFonts w:ascii="仿宋" w:eastAsia="仿宋" w:hAnsi="仿宋" w:cs="仿宋" w:hint="eastAsia"/>
          <w:bCs/>
          <w:color w:val="auto"/>
          <w:szCs w:val="32"/>
          <w:highlight w:val="none"/>
          <w:lang w:val="en-US" w:eastAsia="zh-CN"/>
        </w:rPr>
        <w:t xml:space="preserve">指标1：资金支付及时率，预期指标值大于或等于95%，指标完成值等于100%，完成率：105.26%；</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4、产出成本</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指标1：村级组织运转经费标准，预期指标值小于或等于15万元/村，指标完成值等于14.94万元/村，完成率：99.6%；</w:t>
      </w:r>
      <w:r>
        <w:rPr>
          <w:rFonts w:ascii="仿宋" w:eastAsia="仿宋" w:hAnsi="仿宋" w:cs="仿宋" w:hint="eastAsia"/>
          <w:color w:val="auto"/>
          <w:highlight w:val="none"/>
          <w:lang w:val="en-US" w:eastAsia="zh-CN"/>
        </w:rPr>
        <w:t xml:space="preserve">未达标</w:t>
      </w:r>
      <w:r>
        <w:rPr>
          <w:rFonts w:ascii="仿宋" w:eastAsia="仿宋" w:hAnsi="仿宋" w:cs="仿宋" w:hint="eastAsia"/>
          <w:color w:val="auto"/>
          <w:highlight w:val="none"/>
          <w:lang w:val="en-US" w:eastAsia="zh-CN"/>
        </w:rPr>
        <w:t xml:space="preserve">原因：</w:t>
      </w:r>
      <w:r>
        <w:rPr>
          <w:rFonts w:ascii="仿宋" w:eastAsia="仿宋" w:hAnsi="仿宋" w:cs="仿宋" w:hint="eastAsia"/>
          <w:color w:val="auto"/>
          <w:highlight w:val="none"/>
          <w:lang w:val="en-US" w:eastAsia="zh-CN"/>
        </w:rPr>
        <w:t xml:space="preserve">因政府采购时有优惠率。</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rPr>
        <w:t xml:space="preserve">本项满分</w:t>
      </w:r>
      <w:r>
        <w:rPr>
          <w:rFonts w:ascii="仿宋" w:eastAsia="仿宋" w:hAnsi="仿宋" w:cs="仿宋" w:hint="eastAsia"/>
          <w:color w:val="auto"/>
          <w:highlight w:val="none"/>
          <w:lang w:val="en-US" w:eastAsia="zh-CN"/>
        </w:rPr>
        <w:t xml:space="preserve">8</w:t>
      </w:r>
      <w:r>
        <w:rPr>
          <w:rFonts w:ascii="仿宋" w:eastAsia="仿宋" w:hAnsi="仿宋" w:cs="仿宋" w:hint="eastAsia"/>
          <w:color w:val="auto"/>
          <w:highlight w:val="none"/>
        </w:rPr>
        <w:t xml:space="preserve">分，评估得分</w:t>
      </w:r>
      <w:r>
        <w:rPr>
          <w:rFonts w:ascii="仿宋" w:eastAsia="仿宋" w:hAnsi="仿宋" w:cs="仿宋" w:hint="eastAsia"/>
          <w:color w:val="auto"/>
          <w:highlight w:val="none"/>
          <w:lang w:val="en-US" w:eastAsia="zh-CN"/>
        </w:rPr>
        <w:t xml:space="preserve">7.96</w:t>
      </w:r>
      <w:r>
        <w:rPr>
          <w:rFonts w:ascii="仿宋" w:eastAsia="仿宋" w:hAnsi="仿宋" w:cs="仿宋" w:hint="eastAsia"/>
          <w:color w:val="auto"/>
          <w:highlight w:val="none"/>
        </w:rPr>
        <w:t xml:space="preserve">分。</w:t>
      </w:r>
    </w:p>
    <w:p>
      <w:pPr>
        <w:pStyle w:val="Heading3"/>
        <w:bidi w:val="0"/>
        <w:rPr>
          <w:rFonts w:ascii="仿宋" w:eastAsia="仿宋" w:hAnsi="仿宋" w:cs="仿宋" w:hint="eastAsia"/>
          <w:color w:val="auto"/>
          <w:highlight w:val="none"/>
        </w:rPr>
      </w:pPr>
      <w:bookmarkStart w:id="23" w:name="_Toc28354"/>
      <w:r>
        <w:rPr>
          <w:rFonts w:ascii="仿宋" w:eastAsia="仿宋" w:hAnsi="仿宋" w:cs="仿宋" w:hint="eastAsia"/>
          <w:color w:val="auto"/>
          <w:highlight w:val="none"/>
        </w:rPr>
        <w:t xml:space="preserve">（四）项目效益情况</w:t>
      </w:r>
      <w:bookmarkEnd w:id="23"/>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1、实际效益</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本项目实施所产生的效益主要包括社会效益和可持续影响。</w:t>
      </w:r>
    </w:p>
    <w:p>
      <w:pPr>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项目的实施提高村级组织工作效率。</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2、满意度</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本项目服务对象和受益群众主要是</w:t>
      </w:r>
      <w:r>
        <w:rPr>
          <w:rFonts w:ascii="仿宋" w:eastAsia="仿宋" w:hAnsi="仿宋" w:cs="仿宋" w:hint="eastAsia"/>
          <w:color w:val="auto"/>
          <w:highlight w:val="none"/>
          <w:lang w:val="en-US" w:eastAsia="zh-CN"/>
        </w:rPr>
        <w:t xml:space="preserve">村干部</w:t>
      </w:r>
      <w:r>
        <w:rPr>
          <w:rFonts w:ascii="仿宋" w:eastAsia="仿宋" w:hAnsi="仿宋" w:cs="仿宋" w:hint="eastAsia"/>
          <w:color w:val="auto"/>
          <w:highlight w:val="none"/>
        </w:rPr>
        <w:t xml:space="preserve">，通过问卷调查方式收集</w:t>
      </w:r>
      <w:r>
        <w:rPr>
          <w:rFonts w:ascii="仿宋" w:eastAsia="仿宋" w:hAnsi="仿宋" w:cs="仿宋" w:hint="eastAsia"/>
          <w:color w:val="auto"/>
          <w:highlight w:val="none"/>
          <w:lang w:val="en-US" w:eastAsia="zh-CN"/>
        </w:rPr>
        <w:t xml:space="preserve">群众</w:t>
      </w:r>
      <w:r>
        <w:rPr>
          <w:rFonts w:ascii="仿宋" w:eastAsia="仿宋" w:hAnsi="仿宋" w:cs="仿宋" w:hint="eastAsia"/>
          <w:color w:val="auto"/>
          <w:highlight w:val="none"/>
        </w:rPr>
        <w:t xml:space="preserve">对本项目实施的满意度。服务群众满意度</w:t>
      </w:r>
      <w:r>
        <w:rPr>
          <w:rFonts w:ascii="仿宋" w:eastAsia="仿宋" w:hAnsi="仿宋" w:cs="仿宋" w:hint="eastAsia"/>
          <w:color w:val="auto"/>
          <w:highlight w:val="none"/>
          <w:lang w:val="en-US" w:eastAsia="zh-CN"/>
        </w:rPr>
        <w:t xml:space="preserve">95%。</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本项满分10分，评估得分10分。</w:t>
      </w:r>
    </w:p>
    <w:p>
      <w:pPr>
        <w:pStyle w:val="Heading2"/>
        <w:bidi w:val="0"/>
        <w:rPr>
          <w:rFonts w:ascii="仿宋" w:eastAsia="仿宋" w:hAnsi="仿宋" w:cs="仿宋" w:hint="eastAsia"/>
          <w:color w:val="auto"/>
          <w:highlight w:val="none"/>
        </w:rPr>
      </w:pPr>
      <w:bookmarkStart w:id="24" w:name="_Toc27244"/>
      <w:r>
        <w:rPr>
          <w:rFonts w:ascii="仿宋" w:eastAsia="仿宋" w:hAnsi="仿宋" w:cs="仿宋" w:hint="eastAsia"/>
          <w:color w:val="auto"/>
          <w:highlight w:val="none"/>
        </w:rPr>
        <w:t xml:space="preserve">五、主要经验及做法、存在的问题及原因分析</w:t>
      </w:r>
      <w:bookmarkEnd w:id="24"/>
    </w:p>
    <w:p>
      <w:pPr>
        <w:pStyle w:val="Heading3"/>
        <w:bidi w:val="0"/>
        <w:rPr>
          <w:rFonts w:ascii="仿宋" w:eastAsia="仿宋" w:hAnsi="仿宋" w:cs="仿宋" w:hint="eastAsia"/>
          <w:color w:val="auto"/>
          <w:highlight w:val="none"/>
        </w:rPr>
      </w:pPr>
      <w:bookmarkStart w:id="25" w:name="_Toc18880"/>
      <w:r>
        <w:rPr>
          <w:rFonts w:ascii="仿宋" w:eastAsia="仿宋" w:hAnsi="仿宋" w:cs="仿宋" w:hint="eastAsia"/>
          <w:color w:val="auto"/>
          <w:highlight w:val="none"/>
        </w:rPr>
        <w:t xml:space="preserve">（一）主要经验及做法</w:t>
      </w:r>
      <w:bookmarkEnd w:id="25"/>
    </w:p>
    <w:p>
      <w:pPr>
        <w:bidi w:val="0"/>
        <w:rPr>
          <w:rFonts w:ascii="仿宋" w:eastAsia="仿宋" w:hAnsi="仿宋" w:cs="仿宋" w:hint="eastAsia"/>
          <w:color w:val="auto"/>
          <w:highlight w:val="none"/>
        </w:rPr>
      </w:pPr>
      <w:r>
        <w:rPr>
          <w:rFonts w:ascii="仿宋" w:eastAsia="仿宋" w:hAnsi="仿宋" w:cs="仿宋" w:hint="eastAsia"/>
          <w:color w:val="auto"/>
          <w:highlight w:val="none"/>
          <w:lang w:eastAsia="zh-CN"/>
        </w:rPr>
        <w:t xml:space="preserve">兴平镇2024年村级组织运转经费项目</w:t>
      </w:r>
      <w:r>
        <w:rPr>
          <w:rFonts w:ascii="仿宋" w:eastAsia="仿宋" w:hAnsi="仿宋" w:cs="仿宋" w:hint="eastAsia"/>
          <w:color w:val="auto"/>
          <w:highlight w:val="none"/>
        </w:rPr>
        <w:t xml:space="preserve">在</w:t>
      </w:r>
      <w:r>
        <w:rPr>
          <w:rFonts w:ascii="仿宋" w:eastAsia="仿宋" w:hAnsi="仿宋" w:cs="仿宋" w:hint="eastAsia"/>
          <w:color w:val="auto"/>
          <w:highlight w:val="none"/>
          <w:lang w:val="en-US" w:eastAsia="zh-CN"/>
        </w:rPr>
        <w:t xml:space="preserve">尉犁</w:t>
      </w:r>
      <w:r>
        <w:rPr>
          <w:rFonts w:ascii="仿宋" w:eastAsia="仿宋" w:hAnsi="仿宋" w:cs="仿宋" w:hint="eastAsia"/>
          <w:color w:val="auto"/>
          <w:highlight w:val="none"/>
          <w:lang w:eastAsia="zh-CN"/>
        </w:rPr>
        <w:t xml:space="preserve">县委、县政府</w:t>
      </w:r>
      <w:r>
        <w:rPr>
          <w:rFonts w:ascii="仿宋" w:eastAsia="仿宋" w:hAnsi="仿宋" w:cs="仿宋" w:hint="eastAsia"/>
          <w:color w:val="auto"/>
          <w:highlight w:val="none"/>
        </w:rPr>
        <w:t xml:space="preserve">的支持下，在相关部门的配合下，全面顺利完成，绩效评价“优”，主要经验及做法如下：</w:t>
      </w:r>
    </w:p>
    <w:p>
      <w:pPr>
        <w:rPr>
          <w:rFonts w:ascii="仿宋" w:eastAsia="仿宋" w:hAnsi="仿宋" w:cs="仿宋" w:hint="eastAsia"/>
          <w:color w:val="auto"/>
          <w:highlight w:val="none"/>
          <w:lang w:val="en-US" w:eastAsia="zh-CN"/>
        </w:rPr>
      </w:pPr>
      <w:bookmarkStart w:id="26" w:name="_Toc9914"/>
      <w:r>
        <w:rPr>
          <w:rFonts w:ascii="仿宋" w:eastAsia="仿宋" w:hAnsi="仿宋" w:cs="仿宋" w:hint="eastAsia"/>
          <w:color w:val="auto"/>
          <w:highlight w:val="none"/>
          <w:lang w:val="en-US" w:eastAsia="zh-CN"/>
        </w:rPr>
        <w:t xml:space="preserve">1.加强内部监督，落实责任：完善村级民主议事、民主理财制度，落实“四议两公开”工作法，定期公开经费使用情况，接受村民监督。</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2.精细规划收支：年初组织村两委成员、村民代表及财务人员，依据上一年度经费使用情况，结合本年度村级事务计划，如基础设施建设、公共服务开展、日常办公开销等，制定详细预算。例如，在基础设施建设方面，精确核算修路、修渠所需的材料、人力成本，确保资金分配合理。</w:t>
      </w:r>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3. 明确支出范围：严格界定村级组织运转经费使用范畴，严格程序，确保资金效益。严格资金审批流程，明确资金使用范围，保证项目资金专款专用。始终坚持按进度拨付款项，有效杜绝了截留、挪用、滞留、浪费资金等现象的发生，确保了资金使用安全和最大效益的发挥。</w:t>
      </w:r>
    </w:p>
    <w:p>
      <w:pPr>
        <w:pStyle w:val="Heading3"/>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（二）存在问题及原因分析</w:t>
      </w:r>
      <w:bookmarkEnd w:id="26"/>
    </w:p>
    <w:p>
      <w:pPr>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w:t>
      </w:r>
      <w:r>
        <w:rPr>
          <w:rFonts w:ascii="仿宋" w:eastAsia="仿宋" w:hAnsi="仿宋" w:cs="仿宋" w:hint="eastAsia"/>
          <w:color w:val="auto"/>
          <w:highlight w:val="none"/>
          <w:lang w:val="en-US" w:eastAsia="zh-CN"/>
        </w:rPr>
        <w:t xml:space="preserve">资金计划使用方面：因政府采购时有优惠率存在，导致项目经费未完全支付完毕。对于资金的计划使用考虑不充分，导致经费的使用未达到预期。</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2</w:t>
      </w:r>
      <w:r>
        <w:rPr>
          <w:rFonts w:ascii="仿宋" w:eastAsia="仿宋" w:hAnsi="仿宋" w:cs="仿宋" w:hint="eastAsia"/>
          <w:color w:val="auto"/>
          <w:highlight w:val="none"/>
        </w:rPr>
        <w:t xml:space="preserve">.项目决策</w:t>
      </w:r>
      <w:r>
        <w:rPr>
          <w:rFonts w:ascii="仿宋" w:eastAsia="仿宋" w:hAnsi="仿宋" w:cs="仿宋" w:hint="eastAsia"/>
          <w:color w:val="auto"/>
          <w:highlight w:val="none"/>
          <w:lang w:val="en-US" w:eastAsia="zh-CN"/>
        </w:rPr>
        <w:t xml:space="preserve">方面</w:t>
      </w:r>
      <w:r>
        <w:rPr>
          <w:rFonts w:ascii="仿宋" w:eastAsia="仿宋" w:hAnsi="仿宋" w:cs="仿宋" w:hint="eastAsia"/>
          <w:color w:val="auto"/>
          <w:highlight w:val="none"/>
        </w:rPr>
        <w:t xml:space="preserve">：决策过程可能未充分考虑各村实际情况，导致经费分配</w:t>
      </w:r>
      <w:r>
        <w:rPr>
          <w:rFonts w:ascii="仿宋" w:eastAsia="仿宋" w:hAnsi="仿宋" w:cs="仿宋" w:hint="eastAsia"/>
          <w:color w:val="auto"/>
          <w:highlight w:val="none"/>
          <w:lang w:eastAsia="zh-CN"/>
        </w:rPr>
        <w:t xml:space="preserve">不理想</w:t>
      </w:r>
      <w:r>
        <w:rPr>
          <w:rFonts w:ascii="仿宋" w:eastAsia="仿宋" w:hAnsi="仿宋" w:cs="仿宋" w:hint="eastAsia"/>
          <w:color w:val="auto"/>
          <w:highlight w:val="none"/>
        </w:rPr>
        <w:t xml:space="preserve">，不能满足不同村的差异化需求。同时，缺乏与村民的沟通，村民对经费使用方向的意见和建议未得到足够重视。</w:t>
      </w:r>
    </w:p>
    <w:p>
      <w:pPr>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w:t>
      </w:r>
      <w:r>
        <w:rPr>
          <w:rFonts w:ascii="仿宋" w:eastAsia="仿宋" w:hAnsi="仿宋" w:cs="仿宋" w:hint="eastAsia"/>
          <w:color w:val="auto"/>
          <w:highlight w:val="none"/>
          <w:lang w:val="en-US" w:eastAsia="zh-CN"/>
        </w:rPr>
        <w:t xml:space="preserve">.</w:t>
      </w:r>
      <w:r>
        <w:rPr>
          <w:rFonts w:ascii="仿宋" w:eastAsia="仿宋" w:hAnsi="仿宋" w:cs="仿宋" w:hint="eastAsia"/>
          <w:color w:val="auto"/>
          <w:highlight w:val="none"/>
        </w:rPr>
        <w:t xml:space="preserve">集体经济</w:t>
      </w:r>
      <w:r>
        <w:rPr>
          <w:rFonts w:ascii="仿宋" w:eastAsia="仿宋" w:hAnsi="仿宋" w:cs="仿宋" w:hint="eastAsia"/>
          <w:color w:val="auto"/>
          <w:highlight w:val="none"/>
          <w:lang w:val="en-US" w:eastAsia="zh-CN"/>
        </w:rPr>
        <w:t xml:space="preserve">方面</w:t>
      </w: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有些</w:t>
      </w:r>
      <w:r>
        <w:rPr>
          <w:rFonts w:ascii="仿宋" w:eastAsia="仿宋" w:hAnsi="仿宋" w:cs="仿宋" w:hint="eastAsia"/>
          <w:color w:val="auto"/>
          <w:highlight w:val="none"/>
        </w:rPr>
        <w:t xml:space="preserve">村缺乏可持续的集体经济项目，收入来源单一。一些村虽有集体资产，但因管理不善、开发利用不足，未能产生足够收益补充运转经费。</w:t>
      </w:r>
    </w:p>
    <w:p>
      <w:pPr>
        <w:pStyle w:val="Heading2"/>
        <w:bidi w:val="0"/>
        <w:rPr>
          <w:rFonts w:ascii="仿宋" w:eastAsia="仿宋" w:hAnsi="仿宋" w:cs="仿宋" w:hint="eastAsia"/>
          <w:color w:val="auto"/>
          <w:highlight w:val="none"/>
        </w:rPr>
      </w:pPr>
      <w:bookmarkStart w:id="27" w:name="_Toc2334"/>
      <w:r>
        <w:rPr>
          <w:rFonts w:ascii="仿宋" w:eastAsia="仿宋" w:hAnsi="仿宋" w:cs="仿宋" w:hint="eastAsia"/>
          <w:color w:val="auto"/>
          <w:highlight w:val="none"/>
        </w:rPr>
        <w:t xml:space="preserve">六、有关建议</w:t>
      </w:r>
      <w:bookmarkEnd w:id="27"/>
    </w:p>
    <w:p>
      <w:pPr>
        <w:pStyle w:val="Heading2"/>
        <w:bidi w:val="0"/>
        <w:rPr>
          <w:rFonts w:ascii="仿宋" w:eastAsia="仿宋" w:hAnsi="仿宋" w:cs="仿宋" w:hint="eastAsia"/>
          <w:bCs w:val="0"/>
          <w:iCs w:val="0"/>
          <w:color w:val="auto"/>
          <w:kern w:val="2"/>
          <w:sz w:val="32"/>
          <w:szCs w:val="22"/>
          <w:highlight w:val="none"/>
          <w:lang w:val="en-US" w:eastAsia="zh-CN" w:bidi="ar-SA"/>
        </w:rPr>
      </w:pPr>
      <w:bookmarkStart w:id="28" w:name="_Toc30571"/>
      <w:r>
        <w:rPr>
          <w:rFonts w:ascii="仿宋" w:eastAsia="仿宋" w:hAnsi="仿宋" w:cs="仿宋" w:hint="eastAsia"/>
          <w:bCs w:val="0"/>
          <w:iCs w:val="0"/>
          <w:color w:val="auto"/>
          <w:kern w:val="2"/>
          <w:sz w:val="32"/>
          <w:szCs w:val="22"/>
          <w:highlight w:val="none"/>
          <w:lang w:val="en-US" w:eastAsia="zh-CN" w:bidi="ar-SA"/>
        </w:rPr>
        <w:t xml:space="preserve">1、资金计划使用方面更加充分和完善，深入调研，精准决策。全面准确地了解和掌握实际资金使用中会遇到的实际情况，以求达到合理预期值。</w:t>
      </w:r>
    </w:p>
    <w:p>
      <w:pPr>
        <w:pStyle w:val="Heading2"/>
        <w:bidi w:val="0"/>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2、充分考虑各村实际情况，重视村民对经费使用方向的意见和建议。全面准确地了解和掌握决策分析与评价有关的资料数据。决策分析与评价要注意方法的科学性、合理性，因地制宜，根据不同情况选择不同的方法。深入调研，精准决策。进行实地调研，了解各村的人口规模、经济发展水平、实际工作任务等情况，根据不同村的特点制定差异化的经费分配方案。民主决策，广纳民意。通过村民会议、村民代表大会等形式，广泛征求村民对村级组织运转经费使用方向的意见和建议，将村民的合理诉求纳入决策考量。</w:t>
      </w:r>
    </w:p>
    <w:p>
      <w:pPr>
        <w:pStyle w:val="Heading2"/>
        <w:bidi w:val="0"/>
        <w:rPr>
          <w:rFonts w:ascii="仿宋" w:eastAsia="仿宋" w:hAnsi="仿宋" w:cs="仿宋" w:hint="eastAsia"/>
          <w:bCs w:val="0"/>
          <w:iCs w:val="0"/>
          <w:color w:val="auto"/>
          <w:kern w:val="2"/>
          <w:sz w:val="32"/>
          <w:szCs w:val="22"/>
          <w:highlight w:val="none"/>
          <w:lang w:val="en-US" w:eastAsia="zh-CN" w:bidi="ar-SA"/>
        </w:rPr>
      </w:pPr>
      <w:r>
        <w:rPr>
          <w:rFonts w:ascii="仿宋" w:eastAsia="仿宋" w:hAnsi="仿宋" w:cs="仿宋" w:hint="eastAsia"/>
          <w:bCs w:val="0"/>
          <w:iCs w:val="0"/>
          <w:color w:val="auto"/>
          <w:kern w:val="2"/>
          <w:sz w:val="32"/>
          <w:szCs w:val="22"/>
          <w:highlight w:val="none"/>
          <w:lang w:val="en-US" w:eastAsia="zh-CN" w:bidi="ar-SA"/>
        </w:rPr>
        <w:t xml:space="preserve">3、拓宽资金来源渠道：积极与上级部门沟通，争取更多财政倾斜，可根据村庄人口、面积、发展需求等因素，制定科学的经费分配标准。同时，挖掘本村特色资源，发展乡村旅游、农产品加工等产业，通过村集体自主经营、与企业合作等形式，增加集体收入，补充运转经费。</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七、其他需要说明的问题</w:t>
      </w:r>
      <w:bookmarkEnd w:id="28"/>
    </w:p>
    <w:p>
      <w:pPr>
        <w:bidi w:val="0"/>
        <w:rPr>
          <w:rFonts w:ascii="仿宋" w:eastAsia="仿宋" w:hAnsi="仿宋" w:cs="仿宋" w:hint="eastAsia"/>
          <w:color w:val="auto"/>
          <w:highlight w:val="none"/>
        </w:rPr>
      </w:pPr>
      <w:bookmarkStart w:id="29" w:name="_Toc10180"/>
      <w:r>
        <w:rPr>
          <w:rFonts w:ascii="仿宋" w:eastAsia="仿宋" w:hAnsi="仿宋" w:cs="仿宋" w:hint="eastAsia"/>
          <w:color w:val="auto"/>
          <w:highlight w:val="none"/>
        </w:rPr>
        <w:t xml:space="preserve">（一）本项目部分间接产生的效果无法准确在短期内衡量，因此很难认定项目产生的全部效果。通过指标来反映绩效，指标的科学性和全面性需要不断地完善和研究。</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w:t>
      </w:r>
      <w:r>
        <w:rPr>
          <w:rFonts w:ascii="仿宋" w:eastAsia="仿宋" w:hAnsi="仿宋" w:cs="仿宋" w:hint="eastAsia"/>
          <w:color w:val="auto"/>
          <w:highlight w:val="none"/>
          <w:lang w:val="en-US" w:eastAsia="zh-CN"/>
        </w:rPr>
        <w:t xml:space="preserve">二</w:t>
      </w:r>
      <w:r>
        <w:rPr>
          <w:rFonts w:ascii="仿宋" w:eastAsia="仿宋" w:hAnsi="仿宋" w:cs="仿宋" w:hint="eastAsia"/>
          <w:color w:val="auto"/>
          <w:highlight w:val="none"/>
        </w:rPr>
        <w:t xml:space="preserve">）评价结果分别编入政府决算和部门预算，报送本级人民代表大会常务委员会，并依法予以公开。</w:t>
      </w:r>
    </w:p>
    <w:p>
      <w:pPr>
        <w:pStyle w:val="Heading2"/>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八、相关附件</w:t>
      </w:r>
      <w:bookmarkEnd w:id="29"/>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1、项目支出绩效自评表</w:t>
      </w:r>
    </w:p>
    <w:p>
      <w:pPr>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2、评价指标体系及得分表</w:t>
      </w:r>
    </w:p>
    <w:p>
      <w:pPr>
        <w:bidi w:val="0"/>
        <w:rPr>
          <w:rFonts w:ascii="仿宋" w:eastAsia="仿宋" w:hAnsi="仿宋" w:cs="仿宋" w:hint="eastAsia"/>
          <w:color w:val="auto"/>
          <w:highlight w:val="none"/>
        </w:rPr>
        <w:sectPr>
          <w:footerReference w:type="default" r:id="rId4"/>
          <w:pgSz w:w="11906" w:h="16838" w:orient="portrait"/>
          <w:pgMar w:top="1440" w:right="1800" w:bottom="1440" w:left="1800" w:header="851" w:footer="992" w:gutter="0"/>
          <w:pgBorders/>
          <w:pgNumType w:fmt="decimal" w:start="1"/>
          <w:cols w:num="1" w:space="425">
            <w:col w:w="8306" w:space="425"/>
          </w:cols>
          <w:docGrid w:type="lines" w:linePitch="312" w:charSpace="0"/>
        </w:sectPr>
      </w:pPr>
    </w:p>
    <w:p>
      <w:pPr>
        <w:pStyle w:val="Heading2"/>
        <w:bidi w:val="0"/>
        <w:rPr>
          <w:rFonts w:ascii="仿宋" w:eastAsia="仿宋" w:hAnsi="仿宋" w:cs="仿宋" w:hint="eastAsia"/>
          <w:color w:val="auto"/>
          <w:sz w:val="18"/>
          <w:szCs w:val="18"/>
          <w:highlight w:val="none"/>
        </w:rPr>
      </w:pPr>
      <w:bookmarkStart w:id="30" w:name="_Toc18004"/>
      <w:bookmarkStart w:id="31" w:name="_Toc12781"/>
      <w:bookmarkStart w:id="32" w:name="_Toc6652"/>
      <w:r>
        <w:rPr>
          <w:rFonts w:ascii="仿宋" w:eastAsia="仿宋" w:hAnsi="仿宋" w:cs="仿宋" w:hint="eastAsia"/>
          <w:color w:val="auto"/>
          <w:highlight w:val="none"/>
        </w:rPr>
        <w:t xml:space="preserve">附件1：项目支出绩效自评表</w:t>
      </w:r>
      <w:bookmarkEnd w:id="30"/>
      <w:bookmarkEnd w:id="31"/>
      <w:bookmarkEnd w:id="32"/>
      <w:bookmarkStart w:id="33" w:name="_Toc28099"/>
      <w:bookmarkStart w:id="34" w:name="_Toc1641"/>
      <w:bookmarkStart w:id="35" w:name="_Toc5134"/>
    </w:p>
    <w:tbl>
      <w:tblPr>
        <w:tblStyle w:val="NormalTable"/>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Look w:firstRow="0" w:lastRow="0" w:firstColumn="0" w:lastColumn="0" w:noHBand="1" w:noVBand="1"/>
      </w:tblPr>
      <w:tblGrid>
        <w:gridCol w:w="581"/>
        <w:gridCol w:w="487"/>
        <w:gridCol w:w="610"/>
        <w:gridCol w:w="1144"/>
        <w:gridCol w:w="719"/>
        <w:gridCol w:w="612"/>
        <w:gridCol w:w="636"/>
        <w:gridCol w:w="479"/>
        <w:gridCol w:w="657"/>
        <w:gridCol w:w="656"/>
        <w:gridCol w:w="750"/>
        <w:gridCol w:w="844"/>
        <w:gridCol w:w="656"/>
        <w:gridCol w:w="1181"/>
      </w:tblGrid>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项目支出绩效自评表</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8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(2024年度)</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270"/>
        </w:trPr>
        <w:tc>
          <w:tcPr>
            <w:tcW w:w="5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项目名称</w:t>
            </w:r>
          </w:p>
        </w:tc>
        <w:tc>
          <w:tcPr>
            <w:tcW w:w="4466"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兴平镇2024年村级组织运转经费</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5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主管部门</w:t>
            </w:r>
          </w:p>
        </w:tc>
        <w:tc>
          <w:tcPr>
            <w:tcW w:w="185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尉犁县兴平镇人民政府</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实施单位</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尉犁县兴平镇人民政府</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项目资金</w:t>
            </w:r>
            <w:r>
              <w:rPr>
                <w:rFonts w:ascii="仿宋" w:eastAsia="仿宋" w:hAnsi="仿宋" w:cs="仿宋" w:hint="eastAsia"/>
                <w:color w:val="auto"/>
                <w:sz w:val="18"/>
                <w:szCs w:val="18"/>
                <w:highlight w:val="none"/>
                <w:lang w:val="en-US" w:eastAsia="zh-CN"/>
              </w:rPr>
              <w:br/>
            </w:r>
            <w:r>
              <w:rPr>
                <w:rFonts w:ascii="仿宋" w:eastAsia="仿宋" w:hAnsi="仿宋" w:cs="仿宋" w:hint="eastAsia"/>
                <w:color w:val="auto"/>
                <w:sz w:val="18"/>
                <w:szCs w:val="18"/>
                <w:highlight w:val="none"/>
                <w:lang w:val="en-US" w:eastAsia="zh-CN"/>
              </w:rPr>
              <w:t xml:space="preserve">（万元）</w:t>
            </w: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资金来源</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年初预算数</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全年预算数</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全年执行数</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分值权重</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执行率</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得分</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年度资金总额</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120.00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120.00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119.52</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99.60%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10.00</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其中：当年财政拨款</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120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120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119.52</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其他资金</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年度总体目标</w:t>
            </w:r>
          </w:p>
        </w:tc>
        <w:tc>
          <w:tcPr>
            <w:tcW w:w="26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总体目标</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总体目标完成情况</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6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1、保障8个村的日常办公需要，如办公用品费、水电暖费、交通通讯费、活动场所及远程教育维护运行费等维持村级组织正常运转必须的开支，以及村内治安、卫生防疫、垃圾收集等管理和服务支出。</w:t>
            </w:r>
            <w:r>
              <w:rPr>
                <w:rFonts w:ascii="仿宋" w:eastAsia="仿宋" w:hAnsi="仿宋" w:cs="仿宋" w:hint="eastAsia"/>
                <w:color w:val="auto"/>
                <w:sz w:val="18"/>
                <w:szCs w:val="18"/>
                <w:highlight w:val="none"/>
                <w:lang w:val="en-US" w:eastAsia="zh-CN"/>
              </w:rPr>
              <w:br/>
            </w:r>
            <w:r>
              <w:rPr>
                <w:rFonts w:ascii="仿宋" w:eastAsia="仿宋" w:hAnsi="仿宋" w:cs="仿宋" w:hint="eastAsia"/>
                <w:color w:val="auto"/>
                <w:sz w:val="18"/>
                <w:szCs w:val="18"/>
                <w:highlight w:val="none"/>
                <w:lang w:val="en-US" w:eastAsia="zh-CN"/>
              </w:rPr>
              <w:t xml:space="preserve">2、该项目资金的拨付在很大程度上保障村级组织日常运转，使得各项工作能够落实到位，保障基层组织各项任务有序开展，并提升基层党组织服务力。</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截止2024年12月31日，已保障8个村的日常办公需要，如办公用品费、水电暖费、交通通讯费等维持村级组织正常运转必须的开支，以及村内治安、卫生防疫、垃圾收集等管理和服务支出。切实保障了村级组织日常运转，使得各项工作能够落实到位，保障基层组织各项任务有序开展，并提升了基层党组织服务力。</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1085"/>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一级指标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二级指标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三级指标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指标值</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指标值设置依据</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上年完成值</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指标分值权重</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指标赋分规则</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佐证资料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指标实际完成值</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完成率</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指标得分</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偏差原因分析及改进措施</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年度绩效指标完成情况</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产出指标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数量指标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村级组织运转经费涉及村数</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=8个</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8个</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=8个</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质量指标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基层组织建设工作完成率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105.26%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9.47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年初指标值设置较低，基层组织建设工作完成率达100%，导致存在偏差。</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质量指标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运转经费覆盖率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时效指标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资金支付及时率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105.26%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9.47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年初指标值设置较低，本项目资金按照项目进行支付，导致存在偏差。</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成本指标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经济成本指标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村级组织运转经费标准</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&lt;=15万元/村</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15万元/村</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20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原始凭证</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=14.94万元/村</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99.6%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19.8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政府采购时存在优惠率</w:t>
            </w: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效益指标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社会效益指标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提高村级组织工作效率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明显提高</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达成目标</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20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按评判等级赋分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达成目标</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20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满意度指标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满意度指标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村干部满意度</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95</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满意度赋分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=95%</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r>
      <w:tr>
        <w:tblPrEx>
          <w:tblW w:w="5874" w:type="pct"/>
          <w:tblInd w:w="-49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trHeight w:val="500"/>
        </w:trPr>
        <w:tc>
          <w:tcPr>
            <w:tcW w:w="140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总分</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lang w:val="en-US" w:eastAsia="zh-CN"/>
              </w:rPr>
              <w:t xml:space="preserve">98.74分</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pPr>
              <w:pStyle w:val="表格内容"/>
              <w:keepNext/>
              <w:keepLines/>
              <w:pageBreakBefore w:val="0"/>
              <w:widowControl w:val="0"/>
              <w:kinsoku/>
              <w:wordWrap/>
              <w:overflowPunct/>
              <w:topLinePunct w:val="0"/>
              <w:autoSpaceDE/>
              <w:autoSpaceDN/>
              <w:bidi w:val="0"/>
              <w:adjustRightInd/>
              <w:snapToGrid/>
              <w:spacing w:line="200" w:lineRule="exact"/>
              <w:textAlignment w:val="auto"/>
              <w:rPr>
                <w:rFonts w:ascii="仿宋" w:eastAsia="仿宋" w:hAnsi="仿宋" w:cs="仿宋" w:hint="eastAsia"/>
                <w:color w:val="auto"/>
                <w:sz w:val="18"/>
                <w:szCs w:val="18"/>
                <w:highlight w:val="none"/>
              </w:rPr>
            </w:pPr>
          </w:p>
        </w:tc>
      </w:tr>
    </w:tbl>
    <w:p>
      <w:pPr>
        <w:ind w:firstLine="600"/>
        <w:rPr>
          <w:rFonts w:ascii="仿宋" w:eastAsia="仿宋" w:hAnsi="仿宋" w:cs="仿宋" w:hint="eastAsia"/>
          <w:color w:val="auto"/>
          <w:sz w:val="30"/>
          <w:szCs w:val="30"/>
          <w:highlight w:val="none"/>
        </w:rPr>
      </w:pPr>
      <w:r>
        <w:br w:type="page"/>
      </w:r>
    </w:p>
    <w:p>
      <w:pPr>
        <w:pStyle w:val="Heading2"/>
        <w:bidi w:val="0"/>
        <w:rPr>
          <w:rFonts w:ascii="仿宋" w:eastAsia="仿宋" w:hAnsi="仿宋" w:cs="仿宋" w:hint="eastAsia"/>
          <w:color w:val="auto"/>
          <w:highlight w:val="none"/>
        </w:rPr>
      </w:pPr>
      <w:bookmarkStart w:id="36" w:name="_Toc23301"/>
      <w:r>
        <w:rPr>
          <w:rFonts w:ascii="仿宋" w:eastAsia="仿宋" w:hAnsi="仿宋" w:cs="仿宋" w:hint="eastAsia"/>
          <w:color w:val="auto"/>
          <w:highlight w:val="none"/>
        </w:rPr>
        <w:t xml:space="preserve">附件</w:t>
      </w:r>
      <w:r>
        <w:rPr>
          <w:rFonts w:ascii="仿宋" w:eastAsia="仿宋" w:hAnsi="仿宋" w:cs="仿宋" w:hint="eastAsia"/>
          <w:color w:val="auto"/>
          <w:highlight w:val="none"/>
        </w:rPr>
        <w:t xml:space="preserve">2</w:t>
      </w:r>
      <w:r>
        <w:rPr>
          <w:rFonts w:ascii="仿宋" w:eastAsia="仿宋" w:hAnsi="仿宋" w:cs="仿宋" w:hint="eastAsia"/>
          <w:color w:val="auto"/>
          <w:highlight w:val="none"/>
        </w:rPr>
        <w:t xml:space="preserve">：项目支出绩效评价指标体系及评分</w:t>
      </w:r>
      <w:bookmarkEnd w:id="33"/>
      <w:bookmarkEnd w:id="34"/>
      <w:bookmarkEnd w:id="35"/>
      <w:bookmarkEnd w:id="36"/>
    </w:p>
    <w:p>
      <w:pPr>
        <w:pStyle w:val="表格标题"/>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项目支出绩效评价指标体系及评分</w:t>
      </w:r>
    </w:p>
    <w:tbl>
      <w:tblPr>
        <w:tblStyle w:val="NormalTable"/>
        <w:tblpPr w:leftFromText="180" w:rightFromText="180" w:vertAnchor="text" w:horzAnchor="page" w:tblpX="1789" w:tblpY="180"/>
        <w:tblOverlap w:val="never"/>
        <w:tblW w:w="4930" w:type="pct"/>
        <w:tblInd w:w="0" w:type="dxa"/>
        <w:tblCellMar>
          <w:top w:w="0" w:type="dxa"/>
          <w:left w:w="108" w:type="dxa"/>
          <w:bottom w:w="0" w:type="dxa"/>
          <w:right w:w="108" w:type="dxa"/>
        </w:tblCellMar>
        <w:tblLook w:firstRow="0" w:lastRow="0" w:firstColumn="0" w:lastColumn="0" w:noHBand="1" w:noVBand="1"/>
      </w:tblPr>
      <w:tblGrid>
        <w:gridCol w:w="549"/>
        <w:gridCol w:w="724"/>
        <w:gridCol w:w="869"/>
        <w:gridCol w:w="1632"/>
        <w:gridCol w:w="3357"/>
        <w:gridCol w:w="531"/>
        <w:gridCol w:w="741"/>
      </w:tblGrid>
      <w:tr>
        <w:tblPrEx>
          <w:tblW w:w="4930" w:type="pct"/>
          <w:tblInd w:w="0" w:type="dxa"/>
          <w:tblCellMar>
            <w:top w:w="0" w:type="dxa"/>
            <w:left w:w="108" w:type="dxa"/>
            <w:bottom w:w="0" w:type="dxa"/>
            <w:right w:w="108" w:type="dxa"/>
          </w:tblCellMar>
        </w:tblPrEx>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得分</w:t>
            </w: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是否符合法律法规、相关政策、发展规划以及部门职责，用以反映和考核项目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依据情况。</w:t>
            </w: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项目申请、设立过程是否符合相关要求，用以反映和考核项目</w:t>
            </w:r>
            <w:r>
              <w:rPr>
                <w:rFonts w:ascii="仿宋" w:eastAsia="仿宋" w:hAnsi="仿宋" w:cs="仿宋" w:hint="eastAsia"/>
                <w:color w:val="auto"/>
                <w:highlight w:val="none"/>
              </w:rPr>
              <w:t xml:space="preserve">实施</w:t>
            </w:r>
            <w:r>
              <w:rPr>
                <w:rFonts w:ascii="仿宋" w:eastAsia="仿宋" w:hAnsi="仿宋" w:cs="仿宋" w:hint="eastAsia"/>
                <w:color w:val="auto"/>
                <w:highlight w:val="none"/>
              </w:rPr>
              <w:t xml:space="preserve">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②资金分配额度是否合理，与</w:t>
            </w:r>
            <w:r>
              <w:rPr>
                <w:rFonts w:ascii="仿宋" w:eastAsia="仿宋" w:hAnsi="仿宋" w:cs="仿宋" w:hint="eastAsia"/>
                <w:color w:val="auto"/>
                <w:highlight w:val="none"/>
              </w:rPr>
              <w:t xml:space="preserve">补助</w:t>
            </w:r>
            <w:r>
              <w:rPr>
                <w:rFonts w:ascii="仿宋" w:eastAsia="仿宋" w:hAnsi="仿宋" w:cs="仿宋" w:hint="eastAsia"/>
                <w:color w:val="auto"/>
                <w:highlight w:val="none"/>
              </w:rPr>
              <w:t xml:space="preserve">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资金到位率=（实际到位资金/预算资金）×100%。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预算执行率=（实际支出资金/实际到位资金）×100%。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3.98</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4</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评价要点：</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3</w:t>
            </w: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实际完成率=（实际产出数/计划产出数）×100%。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7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质量达标率=（质量达标产出数/实际产出数）×100%。</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12</w:t>
            </w:r>
          </w:p>
        </w:tc>
      </w:tr>
      <w:tr>
        <w:tblPrEx>
          <w:tblW w:w="4930" w:type="pct"/>
          <w:tblInd w:w="0" w:type="dxa"/>
          <w:tblCellMar>
            <w:top w:w="0" w:type="dxa"/>
            <w:left w:w="108" w:type="dxa"/>
            <w:bottom w:w="0" w:type="dxa"/>
            <w:right w:w="108" w:type="dxa"/>
          </w:tblCellMar>
        </w:tblPrEx>
        <w:trPr>
          <w:trHeight w:val="88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c>
          <w:tcPr>
            <w:tcW w:w="315" w:type="pct"/>
            <w:vMerge w:val="restart"/>
            <w:tcBorders>
              <w:top w:val="single" w:sz="4" w:space="0" w:color="auto"/>
              <w:left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eastAsia="zh-CN"/>
              </w:rPr>
            </w:pPr>
            <w:r>
              <w:rPr>
                <w:rFonts w:ascii="仿宋" w:eastAsia="仿宋" w:hAnsi="仿宋" w:cs="仿宋" w:hint="eastAsia"/>
                <w:color w:val="auto"/>
                <w:highlight w:val="none"/>
                <w:lang w:val="en-US" w:eastAsia="zh-CN"/>
              </w:rPr>
              <w:t xml:space="preserve">8</w:t>
            </w:r>
          </w:p>
        </w:tc>
      </w:tr>
      <w:tr>
        <w:tblPrEx>
          <w:tblW w:w="4930" w:type="pct"/>
          <w:tblInd w:w="0" w:type="dxa"/>
          <w:tblCellMar>
            <w:top w:w="0" w:type="dxa"/>
            <w:left w:w="108" w:type="dxa"/>
            <w:bottom w:w="0" w:type="dxa"/>
            <w:right w:w="108" w:type="dxa"/>
          </w:tblCellMar>
        </w:tblPrEx>
        <w:trPr>
          <w:trHeight w:val="460"/>
        </w:trPr>
        <w:tc>
          <w:tcPr>
            <w:tcW w:w="352" w:type="pct"/>
            <w:vMerge/>
            <w:tcBorders>
              <w:left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p>
        </w:tc>
        <w:tc>
          <w:tcPr>
            <w:tcW w:w="2020" w:type="pct"/>
            <w:tcBorders>
              <w:top w:val="nil"/>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c>
          <w:tcPr>
            <w:tcW w:w="315" w:type="pct"/>
            <w:vMerge/>
            <w:tcBorders>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p>
        </w:tc>
      </w:tr>
      <w:tr>
        <w:tblPrEx>
          <w:tblW w:w="4930" w:type="pct"/>
          <w:tblInd w:w="0" w:type="dxa"/>
          <w:tblCellMar>
            <w:top w:w="0" w:type="dxa"/>
            <w:left w:w="108" w:type="dxa"/>
            <w:bottom w:w="0" w:type="dxa"/>
            <w:right w:w="108" w:type="dxa"/>
          </w:tblCellMar>
        </w:tblPrEx>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成本节约率=〔（计划成本</w:t>
            </w:r>
            <w:r>
              <w:rPr>
                <w:rFonts w:ascii="仿宋" w:eastAsia="仿宋" w:hAnsi="仿宋" w:cs="仿宋" w:hint="eastAsia"/>
                <w:color w:val="auto"/>
                <w:sz w:val="18"/>
                <w:szCs w:val="18"/>
                <w:highlight w:val="none"/>
                <w:lang w:eastAsia="zh-CN"/>
              </w:rPr>
              <w:t xml:space="preserve">－</w:t>
            </w:r>
            <w:r>
              <w:rPr>
                <w:rFonts w:ascii="仿宋" w:eastAsia="仿宋" w:hAnsi="仿宋" w:cs="仿宋" w:hint="eastAsia"/>
                <w:color w:val="auto"/>
                <w:sz w:val="18"/>
                <w:szCs w:val="18"/>
                <w:highlight w:val="none"/>
              </w:rPr>
              <w:t xml:space="preserve">实际成本）/计划成本〕×100%。</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仿宋" w:eastAsia="仿宋" w:hAnsi="仿宋" w:cs="仿宋" w:hint="eastAsia"/>
                <w:color w:val="auto"/>
                <w:sz w:val="18"/>
                <w:szCs w:val="18"/>
                <w:highlight w:val="none"/>
              </w:rPr>
            </w:pPr>
            <w:r>
              <w:rPr>
                <w:rFonts w:ascii="仿宋" w:eastAsia="仿宋" w:hAnsi="仿宋" w:cs="仿宋" w:hint="eastAsia"/>
                <w:color w:val="auto"/>
                <w:sz w:val="18"/>
                <w:szCs w:val="18"/>
                <w:highlight w:val="none"/>
              </w:rPr>
              <w:t xml:space="preserve">实际成本：项目实施单位如期、保质、保量完成既定工作目标实际所耗费的支出。</w:t>
            </w:r>
          </w:p>
          <w:p>
            <w:pPr>
              <w:pStyle w:val="表格内容"/>
              <w:keepNext w:val="0"/>
              <w:keepLines/>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sz w:val="18"/>
                <w:szCs w:val="18"/>
                <w:highlight w:val="none"/>
              </w:rPr>
              <w:t xml:space="preserve">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kern w:val="44"/>
                <w:sz w:val="18"/>
                <w:szCs w:val="18"/>
                <w:highlight w:val="none"/>
                <w:lang w:val="en-US" w:eastAsia="zh-CN" w:bidi="ar-SA"/>
              </w:rPr>
            </w:pPr>
            <w:r>
              <w:rPr>
                <w:rFonts w:ascii="仿宋" w:eastAsia="仿宋" w:hAnsi="仿宋" w:cs="仿宋" w:hint="eastAsia"/>
                <w:color w:val="auto"/>
                <w:highlight w:val="none"/>
                <w:lang w:val="en-US" w:eastAsia="zh-CN"/>
              </w:rPr>
              <w:t xml:space="preserve">8</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ind w:firstLine="0" w:firstLineChars="0"/>
              <w:rPr>
                <w:rFonts w:ascii="仿宋" w:eastAsia="仿宋" w:hAnsi="仿宋" w:cs="仿宋" w:hint="eastAsia"/>
                <w:color w:val="auto"/>
                <w:highlight w:val="none"/>
              </w:rPr>
            </w:pPr>
            <w:r>
              <w:rPr>
                <w:rFonts w:ascii="仿宋" w:eastAsia="仿宋" w:hAnsi="仿宋" w:cs="仿宋" w:hint="eastAsia"/>
                <w:color w:val="auto"/>
                <w:highlight w:val="none"/>
                <w:lang w:val="en-US" w:eastAsia="zh-CN"/>
              </w:rPr>
              <w:t xml:space="preserve">7.96</w:t>
            </w:r>
          </w:p>
        </w:tc>
      </w:tr>
      <w:tr>
        <w:tblPrEx>
          <w:tblW w:w="4930" w:type="pct"/>
          <w:tblInd w:w="0" w:type="dxa"/>
          <w:tblCellMar>
            <w:top w:w="0" w:type="dxa"/>
            <w:left w:w="108" w:type="dxa"/>
            <w:bottom w:w="0" w:type="dxa"/>
            <w:right w:w="108" w:type="dxa"/>
          </w:tblCellMar>
        </w:tblPrEx>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w:t>
            </w:r>
          </w:p>
        </w:tc>
      </w:tr>
      <w:tr>
        <w:tblPrEx>
          <w:tblW w:w="4930" w:type="pct"/>
          <w:tblInd w:w="0" w:type="dxa"/>
          <w:tblCellMar>
            <w:top w:w="0" w:type="dxa"/>
            <w:left w:w="108" w:type="dxa"/>
            <w:bottom w:w="0" w:type="dxa"/>
            <w:right w:w="108" w:type="dxa"/>
          </w:tblCellMar>
        </w:tblPrEx>
        <w:trPr>
          <w:trHeight w:val="460"/>
        </w:trPr>
        <w:tc>
          <w:tcPr>
            <w:tcW w:w="4368"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合计</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rPr>
            </w:pPr>
            <w:r>
              <w:rPr>
                <w:rFonts w:ascii="仿宋" w:eastAsia="仿宋" w:hAnsi="仿宋" w:cs="仿宋" w:hint="eastAsia"/>
                <w:color w:val="auto"/>
                <w:highlight w:val="none"/>
              </w:rPr>
              <w:t xml:space="preserve">100</w:t>
            </w:r>
          </w:p>
        </w:tc>
        <w:tc>
          <w:tcPr>
            <w:tcW w:w="315" w:type="pct"/>
            <w:tcBorders>
              <w:top w:val="single" w:sz="4" w:space="0" w:color="auto"/>
              <w:left w:val="single" w:sz="4" w:space="0" w:color="auto"/>
              <w:bottom w:val="single" w:sz="4" w:space="0" w:color="auto"/>
              <w:right w:val="single" w:sz="4" w:space="0" w:color="auto"/>
            </w:tcBorders>
            <w:noWrap w:val="1"/>
            <w:vAlign w:val="center"/>
          </w:tcPr>
          <w:p>
            <w:pPr>
              <w:pStyle w:val="表格内容"/>
              <w:bidi w:val="0"/>
              <w:rPr>
                <w:rFonts w:ascii="仿宋" w:eastAsia="仿宋" w:hAnsi="仿宋" w:cs="仿宋" w:hint="eastAsia"/>
                <w:color w:val="auto"/>
                <w:highlight w:val="none"/>
                <w:lang w:val="en-US" w:eastAsia="zh-CN"/>
              </w:rPr>
            </w:pPr>
            <w:r>
              <w:rPr>
                <w:rFonts w:ascii="仿宋" w:eastAsia="仿宋" w:hAnsi="仿宋" w:cs="仿宋" w:hint="eastAsia"/>
                <w:color w:val="auto"/>
                <w:highlight w:val="none"/>
                <w:lang w:val="en-US" w:eastAsia="zh-CN"/>
              </w:rPr>
              <w:t xml:space="preserve">99.94</w:t>
            </w:r>
            <w:bookmarkEnd w:id="0"/>
          </w:p>
        </w:tc>
      </w:tr>
    </w:tbl>
    <w:p>
      <w:pPr>
        <w:ind w:firstLine="640"/>
        <w:rPr>
          <w:rFonts w:ascii="仿宋" w:eastAsia="仿宋" w:hAnsi="仿宋" w:cs="仿宋" w:hint="eastAsia"/>
          <w:color w:val="auto"/>
          <w:highlight w:val="none"/>
        </w:rPr>
      </w:pPr>
      <w:bookmarkEnd w:id="1"/>
    </w:p>
    <w:sectPr>
      <w:pgSz w:w="11906" w:h="16838" w:orient="portrait"/>
      <w:pgMar w:top="1440" w:right="1800" w:bottom="1440" w:left="1800" w:header="851" w:footer="992" w:gutter="0"/>
      <w:pgBorders/>
      <w:pgNumType w:fmt="decimal"/>
      <w:cols w:num="1" w:space="425">
        <w:col w:w="8306"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563EF065-2F4B-483A-971A-E77C5F18BD76}"/>
  </w:font>
  <w:font w:name="Cambria">
    <w:panose1 w:val="00000000000000000000"/>
    <w:charset w:val="00"/>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 w:name="楷体">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rPr>
        <w:sz w:val="18"/>
      </w:rPr>
      <mc:AlternateContent xmlns:mc="http://schemas.openxmlformats.org/markup-compatibility/2006">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a:noFill/>
                      </a:ln>
                    </wps:spPr>
                    <wps:txbx>
                      <w:txbxContent>
                        <w:p>
                          <w:pPr>
                            <w:pStyle w:val="Footer"/>
                          </w:pPr>
                          <w:r>
                            <w:fldChar w:fldCharType="begin"/>
                          </w:r>
                          <w:r>
                            <w:instrText xml:space="preserve"> PAGE  \* MERGEFORMAT </w:instrText>
                          </w:r>
                          <w:r>
                            <w:fldChar w:fldCharType="separate"/>
                          </w:r>
                          <w:r>
                            <w:t xml:space="preserve">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1</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embedTrueTypeFonts/>
  <w:saveSubsetFonts/>
  <w:bordersDoNotSurroundFooter w:val="0"/>
  <w:bordersDoNotSurroundHeader w:val="0"/>
  <w:doNotTrackMove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2E4NTQ3OTRmYjcwMWNmY2FkZTJjNDYwNGEyMjllYm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uiPriority="0" w:unhideWhenUsed="0" w:qFormat="1"/>
    <w:lsdException w:name="annotation text" w:qFormat="1"/>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ascii="Times New Roman" w:eastAsia="仿宋_GB2312" w:hAnsi="Times New Roman" w:cs="Arial" w:cstheme="minorBidi"/>
      <w:kern w:val="2"/>
      <w:sz w:val="32"/>
      <w:szCs w:val="22"/>
      <w:lang w:val="en-US" w:eastAsia="zh-CN" w:bidi="ar-SA"/>
    </w:rPr>
  </w:style>
  <w:style w:type="paragraph" w:styleId="Heading1">
    <w:name w:val="Heading 1"/>
    <w:basedOn w:val="Normal"/>
    <w:next w:val="Normal"/>
    <w:link w:val="标题1字符"/>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uiPriority w:val="9"/>
    <w:unhideWhenUsed/>
    <w:qFormat/>
    <w:pPr>
      <w:keepNext/>
      <w:keepLines/>
      <w:spacing w:line="372" w:lineRule="auto"/>
      <w:outlineLvl w:val="3"/>
    </w:pPr>
    <w:rPr>
      <w:rFonts w:ascii="Arial" w:eastAsia="黑体" w:hAnsi="Arial"/>
      <w:b/>
      <w:sz w:val="28"/>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uiPriority w:val="99"/>
    <w:semiHidden/>
    <w:unhideWhenUsed/>
    <w:qFormat/>
    <w:pPr>
      <w:jc w:val="left"/>
    </w:pPr>
    <w:rPr/>
  </w:style>
  <w:style w:type="paragraph" w:styleId="Footer">
    <w:name w:val="Footer"/>
    <w:basedOn w:val="Normal"/>
    <w:link w:val="页脚字符"/>
    <w:uiPriority w:val="99"/>
    <w:semiHidden/>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keepLines/>
      <w:spacing w:line="240" w:lineRule="auto"/>
      <w:ind w:firstLine="0" w:firstLineChars="0"/>
      <w:jc w:val="center"/>
      <w:outlineLvl w:val="0"/>
    </w:pPr>
    <w:rPr>
      <w:rFonts w:hint="eastAsia"/>
      <w:kern w:val="44"/>
      <w:sz w:val="21"/>
    </w:rPr>
  </w:style>
  <w:style w:type="character" w:customStyle="1" w:styleId="页脚字符">
    <w:name w:val="页脚 字符"/>
    <w:basedOn w:val="DefaultParagraphFont"/>
    <w:link w:val="Footer"/>
    <w:uiPriority w:val="99"/>
    <w:semiHidden/>
    <w:qFormat/>
    <w:rPr>
      <w:rFonts w:eastAsia="仿宋_GB2312" w:cs="Arial" w:cstheme="minorBidi"/>
      <w:kern w:val="2"/>
      <w:sz w:val="18"/>
      <w:szCs w:val="22"/>
    </w:rPr>
  </w:style>
  <w:style w:type="character" w:customStyle="1" w:styleId="页眉字符">
    <w:name w:val="页眉 字符"/>
    <w:basedOn w:val="DefaultParagraphFont"/>
    <w:link w:val="Header"/>
    <w:uiPriority w:val="99"/>
    <w:qFormat/>
    <w:rPr>
      <w:rFonts w:eastAsia="仿宋_GB2312" w:cs="Arial" w:cstheme="minorBidi"/>
      <w:kern w:val="2"/>
      <w:sz w:val="18"/>
      <w:szCs w:val="22"/>
    </w:rPr>
  </w:style>
  <w:style w:type="character" w:customStyle="1" w:styleId="标题2字符">
    <w:name w:val="标题 2 字符"/>
    <w:basedOn w:val="DefaultParagraphFont"/>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Arial" w:cstheme="minorBidi"/>
      <w:b/>
      <w:kern w:val="2"/>
      <w:sz w:val="32"/>
      <w:szCs w:val="22"/>
    </w:rPr>
  </w:style>
  <w:style w:type="character" w:customStyle="1" w:styleId="标题1字符">
    <w:name w:val="标题 1 字符"/>
    <w:basedOn w:val="DefaultParagraphFont"/>
    <w:link w:val="Heading1"/>
    <w:uiPriority w:val="9"/>
    <w:qFormat/>
    <w:rPr>
      <w:rFonts w:eastAsia="方正小标宋_GBK" w:cs="Arial" w:cstheme="minorBidi"/>
      <w:kern w:val="44"/>
      <w:sz w:val="36"/>
      <w:szCs w:val="22"/>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9B332EF423DF490183A368BF9A6683D2_13</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17F14B-631F-41B2-B6AC-0DB1478980AA}">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29</Pages>
  <Words>10424</Words>
  <Characters>11229</Characters>
  <Application>WPS Office_11.8.2.9022_F1E327BC-269C-435d-A152-05C5408002CA</Application>
  <DocSecurity>0</DocSecurity>
  <Lines>98</Lines>
  <Paragraphs>27</Paragraphs>
  <Company>Microsoft</Company>
  <CharactersWithSpaces>11260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60</cp:revision>
  <dcterms:created xsi:type="dcterms:W3CDTF">2020-05-25T09:48:00Z</dcterms:created>
  <dcterms:modified xsi:type="dcterms:W3CDTF">2025-07-31T05:31:11Z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ICV">
    <vt:lpwstr>9B332EF423DF490183A368BF9A6683D2_13</vt:lpwstr>
  </property>
  <property fmtid="{D5CDD505-2E9C-101B-9397-08002B2CF9AE}" pid="4" name="KSOTemplateDocerSaveRecord">
    <vt:lpwstr>eyJoZGlkIjoiODRhYjhkNzI4OGQ5M2E5NzE5YzFiNzg2M2ZlMzkxMWUiLCJ1c2VySWQiOiIxMTQ4NTc0MTIzIn0_x003D_</vt:lpwstr>
  </property>
</Properties>
</file>