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仿宋" w:eastAsia="仿宋" w:hAnsi="仿宋" w:cs="仿宋" w:hint="eastAsia"/>
          <w:color w:val="auto"/>
          <w:highlight w:val="none"/>
        </w:rPr>
      </w:pPr>
      <w:bookmarkStart w:id="0" w:name="OLE_LINK1"/>
      <w:bookmarkStart w:id="1" w:name="_GoBack"/>
      <w:bookmarkEnd w:id="1"/>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pStyle w:val="Heading1"/>
        <w:bidi w:val="0"/>
        <w:rPr>
          <w:rFonts w:ascii="仿宋" w:eastAsia="仿宋" w:hAnsi="仿宋" w:cs="仿宋" w:hint="eastAsia"/>
          <w:color w:val="auto"/>
          <w:sz w:val="44"/>
          <w:szCs w:val="44"/>
          <w:highlight w:val="none"/>
        </w:rPr>
      </w:pPr>
      <w:bookmarkStart w:id="2" w:name="_Toc28201"/>
      <w:bookmarkStart w:id="3" w:name="_Toc24054"/>
      <w:r>
        <w:rPr>
          <w:rFonts w:ascii="仿宋" w:eastAsia="仿宋" w:hAnsi="仿宋" w:cs="仿宋" w:hint="eastAsia"/>
          <w:color w:val="auto"/>
          <w:sz w:val="44"/>
          <w:szCs w:val="44"/>
          <w:highlight w:val="none"/>
        </w:rPr>
        <w:t xml:space="preserve">项目支出绩效评价报告</w:t>
      </w:r>
      <w:bookmarkEnd w:id="2"/>
      <w:bookmarkEnd w:id="3"/>
    </w:p>
    <w:p>
      <w:pPr>
        <w:ind w:firstLine="883"/>
        <w:jc w:val="both"/>
        <w:rPr>
          <w:rFonts w:ascii="仿宋" w:eastAsia="仿宋" w:hAnsi="仿宋" w:cs="仿宋" w:hint="eastAsia"/>
          <w:b/>
          <w:bCs/>
          <w:color w:val="auto"/>
          <w:sz w:val="44"/>
          <w:szCs w:val="44"/>
          <w:highlight w:val="none"/>
        </w:rPr>
      </w:pPr>
    </w:p>
    <w:p>
      <w:pPr>
        <w:bidi w:val="0"/>
        <w:jc w:val="both"/>
        <w:rPr>
          <w:rFonts w:ascii="仿宋" w:eastAsia="仿宋" w:hAnsi="仿宋" w:cs="仿宋" w:hint="eastAsia"/>
          <w:color w:val="auto"/>
          <w:highlight w:val="none"/>
        </w:rPr>
      </w:pPr>
    </w:p>
    <w:p>
      <w:pPr>
        <w:bidi w:val="0"/>
        <w:ind w:left="0" w:firstLine="0" w:leftChars="0" w:firstLineChars="0"/>
        <w:jc w:val="center"/>
        <w:rPr>
          <w:rFonts w:ascii="仿宋" w:eastAsia="仿宋" w:hAnsi="仿宋" w:cs="仿宋" w:hint="eastAsia"/>
          <w:color w:val="auto"/>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color w:val="auto"/>
          <w:highlight w:val="none"/>
        </w:rPr>
      </w:pPr>
    </w:p>
    <w:p>
      <w:pPr>
        <w:bidi w:val="0"/>
        <w:jc w:val="both"/>
        <w:rPr>
          <w:rFonts w:ascii="仿宋" w:eastAsia="仿宋" w:hAnsi="仿宋" w:cs="仿宋" w:hint="eastAsia"/>
          <w:b/>
          <w:bCs/>
          <w:color w:val="auto"/>
          <w:highlight w:val="none"/>
        </w:rPr>
      </w:pP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项目名称：</w:t>
      </w:r>
      <w:r>
        <w:rPr>
          <w:rFonts w:ascii="仿宋" w:eastAsia="仿宋" w:hAnsi="仿宋" w:cs="仿宋" w:hint="eastAsia"/>
          <w:b w:val="0"/>
          <w:bCs w:val="0"/>
          <w:color w:val="auto"/>
          <w:highlight w:val="none"/>
          <w:lang w:val="en-US" w:eastAsia="zh-CN"/>
        </w:rPr>
        <w:t xml:space="preserve">兴平镇向阳村扶持壮大村集体经济项目</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实施单位（公章）：</w:t>
      </w:r>
      <w:r>
        <w:rPr>
          <w:rFonts w:ascii="仿宋" w:eastAsia="仿宋" w:hAnsi="仿宋" w:cs="仿宋" w:hint="eastAsia"/>
          <w:b w:val="0"/>
          <w:bCs w:val="0"/>
          <w:color w:val="auto"/>
          <w:highlight w:val="none"/>
          <w:lang w:val="en-US" w:eastAsia="zh-CN"/>
        </w:rPr>
        <w:t xml:space="preserve">尉犁县兴平镇人民政府</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主管部门（公章）：</w:t>
      </w:r>
      <w:r>
        <w:rPr>
          <w:rFonts w:ascii="仿宋" w:eastAsia="仿宋" w:hAnsi="仿宋" w:cs="仿宋" w:hint="eastAsia"/>
          <w:b w:val="0"/>
          <w:bCs w:val="0"/>
          <w:color w:val="auto"/>
          <w:highlight w:val="none"/>
          <w:lang w:val="en-US" w:eastAsia="zh-CN"/>
        </w:rPr>
        <w:t xml:space="preserve">尉犁县兴平镇人民政府</w:t>
      </w:r>
    </w:p>
    <w:p>
      <w:pPr>
        <w:bidi w:val="0"/>
        <w:jc w:val="both"/>
        <w:rPr>
          <w:rFonts w:ascii="仿宋" w:eastAsia="仿宋" w:hAnsi="仿宋" w:cs="仿宋" w:hint="eastAsia"/>
          <w:b w:val="0"/>
          <w:bCs w:val="0"/>
          <w:color w:val="auto"/>
          <w:highlight w:val="none"/>
          <w:lang w:val="en-US" w:eastAsia="zh-CN"/>
        </w:rPr>
      </w:pPr>
      <w:r>
        <w:rPr>
          <w:rFonts w:ascii="仿宋" w:eastAsia="仿宋" w:hAnsi="仿宋" w:cs="仿宋" w:hint="eastAsia"/>
          <w:b w:val="0"/>
          <w:bCs w:val="0"/>
          <w:color w:val="auto"/>
          <w:highlight w:val="none"/>
        </w:rPr>
        <w:t xml:space="preserve">项目负责人（签章）：</w:t>
      </w:r>
      <w:r>
        <w:rPr>
          <w:rFonts w:ascii="仿宋" w:eastAsia="仿宋" w:hAnsi="仿宋" w:cs="仿宋" w:hint="eastAsia"/>
          <w:b w:val="0"/>
          <w:bCs w:val="0"/>
          <w:color w:val="auto"/>
          <w:highlight w:val="none"/>
          <w:lang w:val="en-US" w:eastAsia="zh-CN"/>
        </w:rPr>
        <w:t xml:space="preserve">王潇雪</w:t>
      </w:r>
    </w:p>
    <w:p>
      <w:pPr>
        <w:bidi w:val="0"/>
        <w:jc w:val="both"/>
        <w:rPr>
          <w:rFonts w:ascii="仿宋" w:eastAsia="仿宋" w:hAnsi="仿宋" w:cs="仿宋" w:hint="eastAsia"/>
          <w:b w:val="0"/>
          <w:bCs w:val="0"/>
          <w:color w:val="auto"/>
          <w:highlight w:val="none"/>
        </w:rPr>
      </w:pPr>
      <w:r>
        <w:rPr>
          <w:rFonts w:ascii="仿宋" w:eastAsia="仿宋" w:hAnsi="仿宋" w:cs="仿宋" w:hint="eastAsia"/>
          <w:b w:val="0"/>
          <w:bCs w:val="0"/>
          <w:color w:val="auto"/>
          <w:highlight w:val="none"/>
        </w:rPr>
        <w:t xml:space="preserve">填报时间：</w:t>
      </w:r>
      <w:r>
        <w:rPr>
          <w:rFonts w:ascii="仿宋" w:eastAsia="仿宋" w:hAnsi="仿宋" w:cs="仿宋" w:hint="eastAsia"/>
          <w:b w:val="0"/>
          <w:bCs w:val="0"/>
          <w:color w:val="auto"/>
          <w:highlight w:val="none"/>
          <w:lang w:val="en-US" w:eastAsia="zh-CN"/>
        </w:rPr>
        <w:t xml:space="preserve">2025</w:t>
      </w:r>
      <w:r>
        <w:rPr>
          <w:rFonts w:ascii="仿宋" w:eastAsia="仿宋" w:hAnsi="仿宋" w:cs="仿宋" w:hint="eastAsia"/>
          <w:b w:val="0"/>
          <w:bCs w:val="0"/>
          <w:color w:val="auto"/>
          <w:highlight w:val="none"/>
        </w:rPr>
        <w:t xml:space="preserve">年</w:t>
      </w:r>
      <w:r>
        <w:rPr>
          <w:rFonts w:ascii="仿宋" w:eastAsia="仿宋" w:hAnsi="仿宋" w:cs="仿宋" w:hint="eastAsia"/>
          <w:b w:val="0"/>
          <w:bCs w:val="0"/>
          <w:color w:val="auto"/>
          <w:highlight w:val="none"/>
          <w:lang w:val="en-US" w:eastAsia="zh-CN"/>
        </w:rPr>
        <w:t xml:space="preserve">4</w:t>
      </w:r>
      <w:r>
        <w:rPr>
          <w:rFonts w:ascii="仿宋" w:eastAsia="仿宋" w:hAnsi="仿宋" w:cs="仿宋" w:hint="eastAsia"/>
          <w:b w:val="0"/>
          <w:bCs w:val="0"/>
          <w:color w:val="auto"/>
          <w:highlight w:val="none"/>
        </w:rPr>
        <w:t xml:space="preserve">月</w:t>
      </w:r>
      <w:r>
        <w:rPr>
          <w:rFonts w:ascii="仿宋" w:eastAsia="仿宋" w:hAnsi="仿宋" w:cs="仿宋" w:hint="eastAsia"/>
          <w:b w:val="0"/>
          <w:bCs w:val="0"/>
          <w:color w:val="auto"/>
          <w:highlight w:val="none"/>
          <w:lang w:val="en-US" w:eastAsia="zh-CN"/>
        </w:rPr>
        <w:t xml:space="preserve">3</w:t>
      </w:r>
      <w:r>
        <w:rPr>
          <w:rFonts w:ascii="仿宋" w:eastAsia="仿宋" w:hAnsi="仿宋" w:cs="仿宋" w:hint="eastAsia"/>
          <w:b w:val="0"/>
          <w:bCs w:val="0"/>
          <w:color w:val="auto"/>
          <w:highlight w:val="none"/>
        </w:rPr>
        <w:t xml:space="preserve">日</w:t>
      </w:r>
    </w:p>
    <w:p>
      <w:pPr>
        <w:bidi w:val="0"/>
        <w:jc w:val="both"/>
        <w:rPr>
          <w:rFonts w:ascii="仿宋" w:eastAsia="仿宋" w:hAnsi="仿宋" w:cs="仿宋" w:hint="eastAsia"/>
          <w:b w:val="0"/>
          <w:bCs w:val="0"/>
          <w:color w:val="auto"/>
          <w:highlight w:val="none"/>
        </w:rPr>
      </w:pPr>
    </w:p>
    <w:p>
      <w:pPr>
        <w:bidi w:val="0"/>
        <w:jc w:val="both"/>
        <w:rPr>
          <w:rFonts w:ascii="仿宋" w:eastAsia="仿宋" w:hAnsi="仿宋" w:cs="仿宋" w:hint="eastAsia"/>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ascii="仿宋" w:eastAsia="仿宋" w:hAnsi="仿宋" w:cs="仿宋" w:hint="eastAsia"/>
          <w:bCs/>
          <w:iCs/>
          <w:color w:val="auto"/>
          <w:kern w:val="2"/>
          <w:sz w:val="32"/>
          <w:szCs w:val="21"/>
          <w:highlight w:val="none"/>
          <w:lang w:val="en-US" w:eastAsia="zh-CN" w:bidi="ar-SA"/>
        </w:rPr>
      </w:pPr>
      <w:bookmarkStart w:id="4" w:name="_Toc18707"/>
      <w:bookmarkStart w:id="5" w:name="_Toc1891"/>
      <w:bookmarkStart w:id="6" w:name="_Toc15542"/>
      <w:bookmarkStart w:id="7" w:name="_Toc11827"/>
      <w:bookmarkStart w:id="8" w:name="_Toc5473"/>
      <w:bookmarkStart w:id="9" w:name="_Toc14721"/>
      <w:r>
        <w:rPr>
          <w:rFonts w:ascii="仿宋" w:eastAsia="仿宋" w:hAnsi="仿宋" w:cs="仿宋" w:hint="eastAsia"/>
          <w:bCs/>
          <w:iCs/>
          <w:color w:val="auto"/>
          <w:kern w:val="2"/>
          <w:sz w:val="32"/>
          <w:szCs w:val="21"/>
          <w:highlight w:val="none"/>
          <w:lang w:val="en-US" w:eastAsia="zh-CN" w:bidi="ar-SA"/>
        </w:rPr>
        <w:t xml:space="preserve">一、基本情况</w:t>
      </w:r>
      <w:bookmarkEnd w:id="4"/>
      <w:bookmarkEnd w:id="5"/>
      <w:bookmarkEnd w:id="6"/>
      <w:bookmarkEnd w:id="7"/>
      <w:bookmarkEnd w:id="8"/>
      <w:bookmarkEnd w:id="9"/>
      <w:bookmarkStart w:id="10" w:name="_Toc27593"/>
    </w:p>
    <w:p>
      <w:pPr>
        <w:pStyle w:val="Heading3"/>
        <w:bidi w:val="0"/>
        <w:jc w:val="both"/>
        <w:rPr>
          <w:rFonts w:ascii="仿宋" w:eastAsia="仿宋" w:hAnsi="仿宋" w:cs="仿宋" w:hint="eastAsia"/>
          <w:color w:val="auto"/>
          <w:highlight w:val="none"/>
        </w:rPr>
      </w:pPr>
      <w:bookmarkStart w:id="11" w:name="_Toc9236"/>
      <w:bookmarkStart w:id="12" w:name="_Toc24048"/>
      <w:bookmarkStart w:id="13" w:name="_Toc26183"/>
      <w:bookmarkStart w:id="14" w:name="_Toc24706"/>
      <w:r>
        <w:rPr>
          <w:rFonts w:ascii="仿宋" w:eastAsia="仿宋" w:hAnsi="仿宋" w:cs="仿宋" w:hint="eastAsia"/>
          <w:color w:val="auto"/>
          <w:highlight w:val="none"/>
        </w:rPr>
        <w:t xml:space="preserve">（一）项目概况</w:t>
      </w:r>
      <w:bookmarkEnd w:id="10"/>
      <w:bookmarkEnd w:id="11"/>
      <w:bookmarkEnd w:id="12"/>
      <w:bookmarkEnd w:id="13"/>
      <w:bookmarkEnd w:id="14"/>
    </w:p>
    <w:p>
      <w:pPr>
        <w:bidi w:val="0"/>
        <w:jc w:val="both"/>
        <w:rPr>
          <w:rFonts w:ascii="仿宋" w:eastAsia="仿宋" w:hAnsi="仿宋" w:cs="仿宋" w:hint="eastAsia"/>
          <w:b/>
          <w:bCs/>
          <w:color w:val="auto"/>
          <w:highlight w:val="none"/>
        </w:rPr>
      </w:pPr>
      <w:bookmarkStart w:id="15" w:name="_Toc11427"/>
      <w:bookmarkStart w:id="16" w:name="_Toc19984"/>
      <w:r>
        <w:rPr>
          <w:rFonts w:ascii="仿宋" w:eastAsia="仿宋" w:hAnsi="仿宋" w:cs="仿宋" w:hint="eastAsia"/>
          <w:b/>
          <w:bCs/>
          <w:color w:val="auto"/>
          <w:highlight w:val="none"/>
        </w:rPr>
        <w:t xml:space="preserve">1.项目背景</w:t>
      </w:r>
      <w:bookmarkEnd w:id="15"/>
      <w:bookmarkEnd w:id="16"/>
    </w:p>
    <w:p>
      <w:pPr>
        <w:bidi w:val="0"/>
        <w:jc w:val="both"/>
        <w:rPr>
          <w:rFonts w:ascii="仿宋" w:eastAsia="仿宋" w:hAnsi="仿宋" w:cs="仿宋" w:hint="eastAsia"/>
          <w:color w:val="auto"/>
          <w:highlight w:val="none"/>
          <w:lang w:val="en-US" w:eastAsia="zh-CN"/>
        </w:rPr>
      </w:pPr>
      <w:bookmarkStart w:id="17" w:name="_Toc22216"/>
      <w:bookmarkStart w:id="18" w:name="_Toc22079"/>
      <w:r>
        <w:rPr>
          <w:rFonts w:ascii="仿宋" w:eastAsia="仿宋" w:hAnsi="仿宋" w:cs="仿宋" w:hint="eastAsia"/>
          <w:color w:val="auto"/>
          <w:highlight w:val="none"/>
          <w:lang w:val="en-US" w:eastAsia="zh-CN"/>
        </w:rPr>
        <w:t xml:space="preserve">扶持村级集体经济发展，壮大村级集体经济实力，是新时期新阶段对农村“统分结合、双层经营”基本经济制度的完善。可以更好地发挥集体统一经营的优越性，调动村集体成员积极性，促进农村经济发展。随着乡村振兴战略的深入推进，农村地区在道路修建、农田水利设施建设、村庄环境整治等基础设施领域的投入不断加大。但目前农村地区专业施工设备匮乏，铲车的市场需求十分迫切。发展壮大村集体经济，是实现乡村振兴、提升农村公共服务水平、增强农村基层党组织凝聚力的关键。村级集体经济的发展能够增强村党组织的凝聚力和战斗力，提高村组织在群众中的威信和影响力，为巩固农村基层政权奠定坚实的物质基础，更好地发挥农村基层党组织在农村各项工作中的领导核心作用，根据《兴平镇向阳村扶持壮大村集体经济项目》（尉财预〔2024〕003号），下达兴平镇向阳村扶持壮大村集体经济项目，进一步扶持壮大入村集体经济收入。</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bookmarkEnd w:id="17"/>
      <w:bookmarkEnd w:id="18"/>
    </w:p>
    <w:p>
      <w:pPr>
        <w:bidi w:val="0"/>
        <w:jc w:val="both"/>
        <w:rPr>
          <w:rFonts w:ascii="仿宋" w:eastAsia="仿宋" w:hAnsi="仿宋" w:cs="仿宋" w:hint="eastAsia"/>
          <w:color w:val="auto"/>
          <w:sz w:val="32"/>
          <w:szCs w:val="32"/>
          <w:highlight w:val="none"/>
          <w:lang w:val="en-US" w:eastAsia="zh-CN"/>
        </w:rPr>
      </w:pPr>
      <w:bookmarkStart w:id="19" w:name="_Toc21529"/>
      <w:bookmarkStart w:id="20" w:name="_Toc31519"/>
      <w:r>
        <w:rPr>
          <w:rFonts w:ascii="仿宋" w:eastAsia="仿宋" w:hAnsi="仿宋" w:cs="仿宋" w:hint="eastAsia"/>
          <w:color w:val="auto"/>
          <w:highlight w:val="none"/>
          <w:lang w:val="en-US" w:eastAsia="zh-CN"/>
        </w:rPr>
        <w:t xml:space="preserve">项目资金投资总额50万元，购置1台铲车及配套设施，用于扶持壮大入村集体经济收入。确保验收合格率100%，进一步扶持壮大入村集体经济收入，确保受益村民满意度不少于90%。</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3.项目实施情况</w:t>
      </w:r>
      <w:bookmarkEnd w:id="19"/>
      <w:bookmarkEnd w:id="20"/>
      <w:bookmarkStart w:id="21" w:name="_Toc20138"/>
    </w:p>
    <w:p>
      <w:pPr>
        <w:bidi w:val="0"/>
        <w:jc w:val="both"/>
        <w:rPr>
          <w:rFonts w:ascii="仿宋" w:eastAsia="仿宋" w:hAnsi="仿宋" w:cs="仿宋" w:hint="eastAsia"/>
          <w:color w:val="auto"/>
          <w:highlight w:val="none"/>
          <w:lang w:val="en-US" w:eastAsia="zh-CN"/>
        </w:rPr>
      </w:pPr>
      <w:bookmarkStart w:id="22" w:name="_Toc1111"/>
      <w:r>
        <w:rPr>
          <w:rFonts w:ascii="仿宋" w:eastAsia="仿宋" w:hAnsi="仿宋" w:cs="仿宋" w:hint="eastAsia"/>
          <w:color w:val="auto"/>
          <w:highlight w:val="none"/>
          <w:lang w:val="en-US" w:eastAsia="zh-CN"/>
        </w:rPr>
        <w:t xml:space="preserve">根据尉犁县兴平镇向阳村扶持壮大村集体经济项目使用计划，适时开展以下工作方案。</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2024年8月，根据工作实际分配向阳村扶持壮大村集体经济项目经费使用计划；</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2024年9月，根据兴平镇向阳村扶持壮大入村集体经济项目实施方案进行铲车及配套设施采购；</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2024年9-10月，验收项目经费采购的铲车及配套设施；</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2024年11月，支付兴平镇向阳村采购铲车及配套设施费用等；</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2024年11-12月铲车及配套设施由村集体投入扶持壮大村集体经济使用。</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4.资金投入情况</w:t>
      </w:r>
      <w:bookmarkEnd w:id="21"/>
      <w:bookmarkEnd w:id="22"/>
    </w:p>
    <w:p>
      <w:pPr>
        <w:bidi w:val="0"/>
        <w:jc w:val="both"/>
        <w:rPr>
          <w:rFonts w:ascii="仿宋" w:eastAsia="仿宋" w:hAnsi="仿宋" w:cs="仿宋" w:hint="eastAsia"/>
          <w:color w:val="auto"/>
          <w:highlight w:val="none"/>
          <w:lang w:val="en-US" w:eastAsia="zh-CN"/>
        </w:rPr>
      </w:pPr>
      <w:bookmarkStart w:id="23" w:name="_Toc7324"/>
      <w:r>
        <w:rPr>
          <w:rFonts w:ascii="仿宋" w:eastAsia="仿宋" w:hAnsi="仿宋" w:cs="仿宋" w:hint="eastAsia"/>
          <w:color w:val="auto"/>
          <w:highlight w:val="none"/>
          <w:lang w:val="en-US" w:eastAsia="zh-CN"/>
        </w:rPr>
        <w:t xml:space="preserve">根据《兴平镇向阳村扶持壮大村集体经济项目》（尉财预〔2024〕003号），下达兴平镇向阳村扶持壮大村集体经济项目资金50万元。</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实施兴平镇向阳村扶持壮大村集体经济项目投入50万元，其中资金50万元。</w:t>
      </w:r>
    </w:p>
    <w:p>
      <w:pPr>
        <w:bidi w:val="0"/>
        <w:jc w:val="both"/>
        <w:rPr>
          <w:rFonts w:ascii="仿宋" w:eastAsia="仿宋" w:hAnsi="仿宋" w:cs="仿宋" w:hint="eastAsia"/>
          <w:b/>
          <w:bCs/>
          <w:color w:val="auto"/>
          <w:highlight w:val="none"/>
        </w:rPr>
      </w:pPr>
      <w:bookmarkStart w:id="24" w:name="_Toc10837"/>
      <w:r>
        <w:rPr>
          <w:rFonts w:ascii="仿宋" w:eastAsia="仿宋" w:hAnsi="仿宋" w:cs="仿宋" w:hint="eastAsia"/>
          <w:b/>
          <w:bCs/>
          <w:color w:val="auto"/>
          <w:highlight w:val="none"/>
        </w:rPr>
        <w:t xml:space="preserve">5.资金使用情况</w:t>
      </w:r>
      <w:bookmarkEnd w:id="23"/>
      <w:bookmarkEnd w:id="2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sz w:val="32"/>
          <w:szCs w:val="32"/>
          <w:highlight w:val="none"/>
          <w:lang w:eastAsia="zh-CN"/>
        </w:rPr>
        <w:t xml:space="preserve">年初预算数</w:t>
      </w:r>
      <w:r>
        <w:rPr>
          <w:rFonts w:ascii="仿宋" w:eastAsia="仿宋" w:hAnsi="仿宋" w:cs="仿宋" w:hint="eastAsia"/>
          <w:color w:val="auto"/>
          <w:highlight w:val="none"/>
          <w:lang w:val="en-US" w:eastAsia="zh-CN"/>
        </w:rPr>
        <w:t xml:space="preserve">50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实际到位资金</w:t>
      </w:r>
      <w:r>
        <w:rPr>
          <w:rFonts w:ascii="仿宋" w:eastAsia="仿宋" w:hAnsi="仿宋" w:cs="仿宋" w:hint="eastAsia"/>
          <w:color w:val="auto"/>
          <w:highlight w:val="none"/>
          <w:lang w:val="en-US" w:eastAsia="zh-CN"/>
        </w:rPr>
        <w:t xml:space="preserve">50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截止202</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年12月31日</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项目实际使用资金</w:t>
      </w:r>
      <w:r>
        <w:rPr>
          <w:rFonts w:ascii="仿宋" w:eastAsia="仿宋" w:hAnsi="仿宋" w:cs="仿宋" w:hint="eastAsia"/>
          <w:color w:val="auto"/>
          <w:highlight w:val="none"/>
          <w:lang w:val="en-US" w:eastAsia="zh-CN"/>
        </w:rPr>
        <w:t xml:space="preserve">50</w:t>
      </w:r>
      <w:r>
        <w:rPr>
          <w:rFonts w:ascii="仿宋" w:eastAsia="仿宋" w:hAnsi="仿宋" w:cs="仿宋" w:hint="eastAsia"/>
          <w:color w:val="auto"/>
          <w:highlight w:val="none"/>
        </w:rPr>
        <w:t xml:space="preserve">万元，资金</w:t>
      </w:r>
      <w:r>
        <w:rPr>
          <w:rFonts w:ascii="仿宋" w:eastAsia="仿宋" w:hAnsi="仿宋" w:cs="仿宋" w:hint="eastAsia"/>
          <w:color w:val="auto"/>
          <w:highlight w:val="none"/>
          <w:lang w:val="en-US" w:eastAsia="zh-CN"/>
        </w:rPr>
        <w:t xml:space="preserve">使用</w:t>
      </w:r>
      <w:r>
        <w:rPr>
          <w:rFonts w:ascii="仿宋" w:eastAsia="仿宋" w:hAnsi="仿宋" w:cs="仿宋" w:hint="eastAsia"/>
          <w:color w:val="auto"/>
          <w:highlight w:val="none"/>
        </w:rPr>
        <w:t xml:space="preserve">率达到了</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%。具体资金支付情况：</w:t>
      </w:r>
    </w:p>
    <w:p>
      <w:pPr>
        <w:bidi w:val="0"/>
        <w:jc w:val="both"/>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月</w:t>
      </w:r>
      <w:r>
        <w:rPr>
          <w:rFonts w:ascii="仿宋" w:eastAsia="仿宋" w:hAnsi="仿宋" w:cs="仿宋" w:hint="eastAsia"/>
          <w:color w:val="auto"/>
          <w:highlight w:val="none"/>
          <w:lang w:val="en-US" w:eastAsia="zh-CN"/>
        </w:rPr>
        <w:t xml:space="preserve">11</w:t>
      </w:r>
      <w:r>
        <w:rPr>
          <w:rFonts w:ascii="仿宋" w:eastAsia="仿宋" w:hAnsi="仿宋" w:cs="仿宋" w:hint="eastAsia"/>
          <w:color w:val="auto"/>
          <w:highlight w:val="none"/>
        </w:rPr>
        <w:t xml:space="preserve">日，支付</w:t>
      </w:r>
      <w:r>
        <w:rPr>
          <w:rFonts w:ascii="仿宋" w:eastAsia="仿宋" w:hAnsi="仿宋" w:cs="仿宋" w:hint="eastAsia"/>
          <w:color w:val="auto"/>
          <w:highlight w:val="none"/>
          <w:lang w:val="en-US" w:eastAsia="zh-CN"/>
        </w:rPr>
        <w:t xml:space="preserve">苏州惠坤行商贸有限责任公司50</w:t>
      </w:r>
      <w:r>
        <w:rPr>
          <w:rFonts w:ascii="仿宋" w:eastAsia="仿宋" w:hAnsi="仿宋" w:cs="仿宋" w:hint="eastAsia"/>
          <w:color w:val="auto"/>
          <w:highlight w:val="none"/>
        </w:rPr>
        <w:t xml:space="preserve">万元</w:t>
      </w:r>
      <w:r>
        <w:rPr>
          <w:rFonts w:ascii="仿宋" w:eastAsia="仿宋" w:hAnsi="仿宋" w:cs="仿宋" w:hint="eastAsia"/>
          <w:color w:val="auto"/>
          <w:highlight w:val="none"/>
          <w:lang w:eastAsia="zh-CN"/>
        </w:rPr>
        <w:t xml:space="preserve">。</w:t>
      </w:r>
    </w:p>
    <w:p>
      <w:pPr>
        <w:pStyle w:val="Heading3"/>
        <w:bidi w:val="0"/>
        <w:jc w:val="both"/>
        <w:rPr>
          <w:rFonts w:ascii="仿宋" w:eastAsia="仿宋" w:hAnsi="仿宋" w:cs="仿宋" w:hint="eastAsia"/>
          <w:color w:val="auto"/>
          <w:highlight w:val="none"/>
        </w:rPr>
      </w:pPr>
      <w:bookmarkStart w:id="25" w:name="_Toc14296"/>
      <w:bookmarkStart w:id="26" w:name="_Toc26395"/>
      <w:bookmarkStart w:id="27" w:name="_Toc11967"/>
      <w:bookmarkStart w:id="28" w:name="_Toc9567"/>
      <w:bookmarkStart w:id="29" w:name="_Toc31302"/>
      <w:r>
        <w:rPr>
          <w:rFonts w:ascii="仿宋" w:eastAsia="仿宋" w:hAnsi="仿宋" w:cs="仿宋" w:hint="eastAsia"/>
          <w:color w:val="auto"/>
          <w:highlight w:val="none"/>
        </w:rPr>
        <w:t xml:space="preserve">（二）项目绩效目标</w:t>
      </w:r>
      <w:bookmarkEnd w:id="25"/>
      <w:bookmarkEnd w:id="26"/>
      <w:bookmarkEnd w:id="27"/>
      <w:bookmarkEnd w:id="28"/>
      <w:bookmarkEnd w:id="29"/>
    </w:p>
    <w:p>
      <w:pPr>
        <w:bidi w:val="0"/>
        <w:jc w:val="both"/>
        <w:rPr>
          <w:rFonts w:ascii="仿宋" w:eastAsia="仿宋" w:hAnsi="仿宋" w:cs="仿宋" w:hint="eastAsia"/>
          <w:b/>
          <w:bCs/>
          <w:color w:val="auto"/>
          <w:highlight w:val="none"/>
        </w:rPr>
      </w:pPr>
      <w:bookmarkStart w:id="30" w:name="_Toc18809"/>
      <w:bookmarkStart w:id="31" w:name="_Toc905"/>
      <w:r>
        <w:rPr>
          <w:rFonts w:ascii="仿宋" w:eastAsia="仿宋" w:hAnsi="仿宋" w:cs="仿宋" w:hint="eastAsia"/>
          <w:b/>
          <w:bCs/>
          <w:color w:val="auto"/>
          <w:highlight w:val="none"/>
        </w:rPr>
        <w:t xml:space="preserve">1.总体目标</w:t>
      </w:r>
      <w:bookmarkEnd w:id="30"/>
      <w:bookmarkEnd w:id="31"/>
    </w:p>
    <w:p>
      <w:pPr>
        <w:bidi w:val="0"/>
        <w:jc w:val="both"/>
        <w:rPr>
          <w:rFonts w:ascii="仿宋" w:eastAsia="仿宋" w:hAnsi="仿宋" w:cs="仿宋" w:hint="eastAsia"/>
          <w:color w:val="auto"/>
          <w:highlight w:val="none"/>
          <w:lang w:val="en-US" w:eastAsia="zh-CN"/>
        </w:rPr>
      </w:pPr>
      <w:bookmarkStart w:id="32" w:name="_Toc10045"/>
      <w:bookmarkStart w:id="33" w:name="_Toc11195"/>
      <w:r>
        <w:rPr>
          <w:rFonts w:ascii="仿宋" w:eastAsia="仿宋" w:hAnsi="仿宋" w:cs="仿宋" w:hint="eastAsia"/>
          <w:color w:val="auto"/>
          <w:highlight w:val="none"/>
          <w:lang w:val="en-US" w:eastAsia="zh-CN"/>
        </w:rPr>
        <w:t xml:space="preserve">购置1台铲车及配套设施，用于扶持壮大村集体经济收入。</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bookmarkEnd w:id="32"/>
      <w:bookmarkEnd w:id="33"/>
    </w:p>
    <w:p>
      <w:pPr>
        <w:bidi w:val="0"/>
        <w:jc w:val="both"/>
        <w:rPr>
          <w:rFonts w:ascii="仿宋" w:eastAsia="仿宋" w:hAnsi="仿宋" w:cs="仿宋" w:hint="eastAsia"/>
          <w:color w:val="auto"/>
          <w:highlight w:val="none"/>
          <w:lang w:val="en-US" w:eastAsia="zh-CN"/>
        </w:rPr>
      </w:pPr>
      <w:bookmarkStart w:id="34" w:name="_Toc6156"/>
      <w:bookmarkStart w:id="35" w:name="_Toc857"/>
      <w:bookmarkStart w:id="36" w:name="_Toc25321"/>
      <w:bookmarkStart w:id="37" w:name="_Toc6534"/>
      <w:bookmarkStart w:id="38" w:name="_Toc31122"/>
      <w:r>
        <w:rPr>
          <w:rFonts w:ascii="仿宋" w:eastAsia="仿宋" w:hAnsi="仿宋" w:cs="仿宋" w:hint="eastAsia"/>
          <w:color w:val="auto"/>
          <w:highlight w:val="none"/>
          <w:lang w:val="en-US" w:eastAsia="zh-CN"/>
        </w:rPr>
        <w:t xml:space="preserve">购置1台铲车及配套设施，用于扶持壮大村集体经济收入。</w:t>
      </w:r>
    </w:p>
    <w:p>
      <w:pPr>
        <w:pStyle w:val="Heading2"/>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二、绩效评价工作开展情况</w:t>
      </w:r>
      <w:bookmarkEnd w:id="34"/>
      <w:bookmarkEnd w:id="35"/>
      <w:bookmarkEnd w:id="36"/>
      <w:bookmarkEnd w:id="37"/>
      <w:bookmarkEnd w:id="38"/>
    </w:p>
    <w:p>
      <w:pPr>
        <w:pStyle w:val="Heading3"/>
        <w:bidi w:val="0"/>
        <w:jc w:val="both"/>
        <w:rPr>
          <w:rFonts w:ascii="仿宋" w:eastAsia="仿宋" w:hAnsi="仿宋" w:cs="仿宋" w:hint="eastAsia"/>
          <w:color w:val="auto"/>
          <w:highlight w:val="none"/>
        </w:rPr>
      </w:pPr>
      <w:bookmarkStart w:id="39" w:name="_Toc30569"/>
      <w:bookmarkStart w:id="40" w:name="_Toc32557"/>
      <w:bookmarkStart w:id="41" w:name="_Toc10300"/>
      <w:bookmarkStart w:id="42" w:name="_Toc17516"/>
      <w:r>
        <w:rPr>
          <w:rFonts w:ascii="仿宋" w:eastAsia="仿宋" w:hAnsi="仿宋" w:cs="仿宋" w:hint="eastAsia"/>
          <w:color w:val="auto"/>
          <w:highlight w:val="none"/>
        </w:rPr>
        <w:t xml:space="preserve">（一）绩效评价目的、对象和范围</w:t>
      </w:r>
      <w:bookmarkEnd w:id="39"/>
      <w:bookmarkEnd w:id="40"/>
      <w:bookmarkEnd w:id="41"/>
      <w:bookmarkEnd w:id="42"/>
    </w:p>
    <w:p>
      <w:pPr>
        <w:bidi w:val="0"/>
        <w:jc w:val="both"/>
        <w:rPr>
          <w:rFonts w:ascii="仿宋" w:eastAsia="仿宋" w:hAnsi="仿宋" w:cs="仿宋" w:hint="eastAsia"/>
          <w:b/>
          <w:bCs/>
          <w:color w:val="auto"/>
          <w:highlight w:val="none"/>
        </w:rPr>
      </w:pPr>
      <w:bookmarkStart w:id="43" w:name="_Toc12440"/>
      <w:bookmarkStart w:id="44" w:name="_Toc11562"/>
      <w:r>
        <w:rPr>
          <w:rFonts w:ascii="仿宋" w:eastAsia="仿宋" w:hAnsi="仿宋" w:cs="仿宋" w:hint="eastAsia"/>
          <w:b/>
          <w:bCs/>
          <w:color w:val="auto"/>
          <w:highlight w:val="none"/>
        </w:rPr>
        <w:t xml:space="preserve">1.绩效评价目的</w:t>
      </w:r>
      <w:bookmarkEnd w:id="43"/>
      <w:bookmarkEnd w:id="44"/>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次绩效评价遵循财政部《关于印发〈项目支出绩效评价管理办法〉的通知》（财预〔2020〕10号）文件精神，对兴平镇向阳村扶持壮大村集体经济项目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jc w:val="both"/>
        <w:rPr>
          <w:rFonts w:ascii="仿宋" w:eastAsia="仿宋" w:hAnsi="仿宋" w:cs="仿宋" w:hint="eastAsia"/>
          <w:b/>
          <w:bCs/>
          <w:color w:val="auto"/>
          <w:highlight w:val="none"/>
        </w:rPr>
      </w:pPr>
      <w:bookmarkStart w:id="45" w:name="_Toc8924"/>
      <w:bookmarkStart w:id="46" w:name="_Toc2159"/>
      <w:r>
        <w:rPr>
          <w:rFonts w:ascii="仿宋" w:eastAsia="仿宋" w:hAnsi="仿宋" w:cs="仿宋" w:hint="eastAsia"/>
          <w:b/>
          <w:bCs/>
          <w:color w:val="auto"/>
          <w:highlight w:val="none"/>
        </w:rPr>
        <w:t xml:space="preserve">2.绩效评价对象</w:t>
      </w:r>
      <w:bookmarkEnd w:id="45"/>
      <w:r>
        <w:rPr>
          <w:rFonts w:ascii="仿宋" w:eastAsia="仿宋" w:hAnsi="仿宋" w:cs="仿宋" w:hint="eastAsia"/>
          <w:b/>
          <w:bCs/>
          <w:color w:val="auto"/>
          <w:highlight w:val="none"/>
        </w:rPr>
        <w:t xml:space="preserve">和范围</w:t>
      </w:r>
      <w:bookmarkEnd w:id="46"/>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根据《财政支出绩效评价管理办法》（财预〔2020〕10号）文件要求，对兴平镇向阳村扶持壮大村集体经济项目开展绩效评价，本次绩效评价范围主要围绕项目决策（包括项目实施、绩效目标、资金投入）、项目过程（包括资金管理、组织实施）、项目产出（包括产出数量、质量、时效、成本）和项目效益等进行评价。</w:t>
      </w:r>
    </w:p>
    <w:p>
      <w:pPr>
        <w:pStyle w:val="Heading3"/>
        <w:keepNext/>
        <w:keepLines/>
        <w:pageBreakBefore w:val="0"/>
        <w:widowControl w:val="0"/>
        <w:kinsoku/>
        <w:wordWrap/>
        <w:overflowPunct/>
        <w:topLinePunct w:val="0"/>
        <w:autoSpaceDE/>
        <w:autoSpaceDN/>
        <w:bidi w:val="0"/>
        <w:adjustRightInd/>
        <w:snapToGrid/>
        <w:ind w:left="0" w:firstLine="640" w:leftChars="0" w:firstLineChars="200"/>
        <w:jc w:val="both"/>
        <w:textAlignment w:val="auto"/>
        <w:rPr>
          <w:rFonts w:ascii="仿宋" w:eastAsia="仿宋" w:hAnsi="仿宋" w:cs="仿宋" w:hint="eastAsia"/>
          <w:color w:val="auto"/>
          <w:highlight w:val="none"/>
        </w:rPr>
      </w:pPr>
      <w:bookmarkStart w:id="47" w:name="_Toc19566"/>
      <w:bookmarkStart w:id="48" w:name="_Toc15409"/>
      <w:bookmarkStart w:id="49" w:name="_Toc13496"/>
      <w:bookmarkStart w:id="50" w:name="_Toc17158"/>
      <w:r>
        <w:rPr>
          <w:rFonts w:ascii="仿宋" w:eastAsia="仿宋" w:hAnsi="仿宋" w:cs="仿宋" w:hint="eastAsia"/>
          <w:color w:val="auto"/>
          <w:highlight w:val="none"/>
        </w:rPr>
        <w:t xml:space="preserve">（二）绩效评价原则、评价指标体系、评价方法、评价标准</w:t>
      </w:r>
      <w:bookmarkEnd w:id="47"/>
      <w:bookmarkEnd w:id="48"/>
      <w:bookmarkEnd w:id="49"/>
      <w:bookmarkEnd w:id="50"/>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仿宋" w:eastAsia="仿宋" w:hAnsi="仿宋" w:cs="仿宋" w:hint="eastAsia"/>
          <w:b/>
          <w:bCs/>
          <w:color w:val="auto"/>
          <w:highlight w:val="none"/>
        </w:rPr>
      </w:pPr>
      <w:bookmarkStart w:id="51" w:name="_Toc18268"/>
      <w:bookmarkStart w:id="52" w:name="_Toc23487"/>
      <w:r>
        <w:rPr>
          <w:rFonts w:ascii="仿宋" w:eastAsia="仿宋" w:hAnsi="仿宋" w:cs="仿宋" w:hint="eastAsia"/>
          <w:b/>
          <w:bCs/>
          <w:color w:val="auto"/>
          <w:highlight w:val="none"/>
        </w:rPr>
        <w:t xml:space="preserve">1.绩效评价原则</w:t>
      </w:r>
      <w:bookmarkEnd w:id="51"/>
      <w:bookmarkEnd w:id="52"/>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1）科学公正。绩效评价应当运用科学合理的方法，按照规范的程序，对项目绩效进行客观、公正地反映。</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（2）统筹兼顾。单位自评应由项目单位自主实施，即“谁支出、谁自评”。</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（3）激励约束。绩效评价结果应与预算安排、政策调整、改进管理实质性挂钩，体现奖优罚劣和激励相容导向，有效要安排、低效要压减、无效要问责。</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（4）公开透明。本次项目支出绩效评价结果已依法依规在尉犁县人民政府网站上公开，并自觉接受社会监督。</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ascii="仿宋" w:eastAsia="仿宋" w:hAnsi="仿宋" w:cs="仿宋" w:hint="eastAsia"/>
          <w:b/>
          <w:bCs/>
          <w:color w:val="auto"/>
          <w:highlight w:val="none"/>
        </w:rPr>
      </w:pPr>
      <w:bookmarkStart w:id="53" w:name="_Toc23112"/>
      <w:bookmarkStart w:id="54" w:name="_Toc28342"/>
      <w:r>
        <w:rPr>
          <w:rFonts w:ascii="仿宋" w:eastAsia="仿宋" w:hAnsi="仿宋" w:cs="仿宋" w:hint="eastAsia"/>
          <w:b/>
          <w:bCs/>
          <w:color w:val="auto"/>
          <w:highlight w:val="none"/>
        </w:rPr>
        <w:t xml:space="preserve">2.评价指标体系</w:t>
      </w:r>
      <w:bookmarkEnd w:id="53"/>
      <w:bookmarkEnd w:id="54"/>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兴平镇向阳村扶持壮大村集体经济项目绩效评价（部门自评）指标体系的设计，是在充分掌握项目状况的基础上，形成了兴平镇向阳村扶持壮大村集体经济项目的项目支出绩效评价指标体系（部门自评）。本项目设计绩效评价指标体系满分100分。四个级别分别是：优、良、中、差，90（含）-100分为优、80（含）-90分为良、60（含）-80分为中、60分以下为差。</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按照财预〔2020〕10号文件关于“原则上产出、效益指标权重不低于60%”的要求，本项目产出、效益指标权重60%（即60分）。</w:t>
      </w:r>
      <w:bookmarkStart w:id="55" w:name="_Toc15680"/>
      <w:bookmarkStart w:id="56" w:name="_Toc10631"/>
      <w:r>
        <w:rPr>
          <w:rFonts w:ascii="仿宋" w:eastAsia="仿宋" w:hAnsi="仿宋" w:cs="仿宋" w:hint="eastAsia"/>
          <w:color w:val="auto"/>
          <w:highlight w:val="none"/>
          <w:lang w:val="en-US" w:eastAsia="zh-CN"/>
        </w:rPr>
        <w:t xml:space="preserve">（详见：附表2）</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55"/>
      <w:bookmarkEnd w:id="56"/>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结合兴平镇向阳村扶持壮大村集体经济项目的特点，本项目绩效评价将项目实施情况即实际完成的购置铲车数量、验收合格率等指标与年初设定的目标值进行比较。因此，采取的绩效评价方法是：比较法、公众评判法。</w:t>
      </w:r>
    </w:p>
    <w:p>
      <w:pPr>
        <w:bidi w:val="0"/>
        <w:jc w:val="both"/>
        <w:rPr>
          <w:rFonts w:ascii="仿宋" w:eastAsia="仿宋" w:hAnsi="仿宋" w:cs="仿宋" w:hint="eastAsia"/>
          <w:color w:val="auto"/>
          <w:highlight w:val="none"/>
          <w:lang w:val="en-US" w:eastAsia="zh-CN"/>
        </w:rPr>
      </w:pPr>
      <w:bookmarkStart w:id="57" w:name="_Toc15525"/>
      <w:bookmarkStart w:id="58" w:name="_Toc3155"/>
      <w:r>
        <w:rPr>
          <w:rFonts w:ascii="仿宋" w:eastAsia="仿宋" w:hAnsi="仿宋" w:cs="仿宋" w:hint="eastAsia"/>
          <w:color w:val="auto"/>
          <w:highlight w:val="none"/>
          <w:lang w:val="en-US" w:eastAsia="zh-CN"/>
        </w:rPr>
        <w:t xml:space="preserve">比较法：本项目绩效评价将项目实施情况即实际完成的购置铲车数量、验收合格率与年初设定的目标进行比较。</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公众评判法：通过对受益村民进行问卷及抽样调查等对财政资金效果进行评判，评价绩效目标实现程度。</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bookmarkEnd w:id="57"/>
      <w:bookmarkEnd w:id="58"/>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绩效评价标准通常包括计划标准、行业标准、历史标准等，用于对绩效指标完成情况进行比较。</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结合兴平镇向阳村扶持壮大村集体经济项目的特点，</w:t>
      </w:r>
      <w:bookmarkStart w:id="59" w:name="_Toc26411"/>
      <w:bookmarkStart w:id="60" w:name="_Toc30219"/>
      <w:bookmarkStart w:id="61" w:name="_Toc15381"/>
      <w:bookmarkStart w:id="62" w:name="_Toc17851"/>
      <w:r>
        <w:rPr>
          <w:rFonts w:ascii="仿宋" w:eastAsia="仿宋" w:hAnsi="仿宋" w:cs="仿宋" w:hint="eastAsia"/>
          <w:color w:val="auto"/>
          <w:highlight w:val="none"/>
          <w:lang w:val="en-US" w:eastAsia="zh-CN"/>
        </w:rPr>
        <w:t xml:space="preserve">本项目绩效评价以预先制定的购置铲车数量1台为计划数作为评价标准；同时参照有关扶持壮大村集体经济项目等同类项目建设的行业标准来制定评价标准。因此，采取的绩效评价标准为：计划标准、行业标准。</w:t>
      </w:r>
    </w:p>
    <w:p>
      <w:pPr>
        <w:pStyle w:val="Heading3"/>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（三）绩效评价工作过程</w:t>
      </w:r>
      <w:bookmarkEnd w:id="59"/>
      <w:bookmarkEnd w:id="60"/>
      <w:bookmarkEnd w:id="61"/>
      <w:bookmarkEnd w:id="62"/>
    </w:p>
    <w:p>
      <w:pPr>
        <w:bidi w:val="0"/>
        <w:jc w:val="both"/>
        <w:rPr>
          <w:rFonts w:ascii="仿宋" w:eastAsia="仿宋" w:hAnsi="仿宋" w:cs="仿宋" w:hint="eastAsia"/>
          <w:color w:val="auto"/>
          <w:highlight w:val="none"/>
        </w:rPr>
      </w:pPr>
      <w:bookmarkStart w:id="63" w:name="_Toc27442"/>
      <w:bookmarkStart w:id="64" w:name="_Toc31054"/>
      <w:bookmarkStart w:id="65" w:name="_Toc30911"/>
      <w:bookmarkStart w:id="66" w:name="_Toc22987"/>
      <w:bookmarkStart w:id="67" w:name="_Toc17595"/>
      <w:r>
        <w:rPr>
          <w:rFonts w:ascii="仿宋" w:eastAsia="仿宋" w:hAnsi="仿宋" w:cs="仿宋" w:hint="eastAsia"/>
          <w:b/>
          <w:bCs/>
          <w:color w:val="auto"/>
          <w:highlight w:val="none"/>
        </w:rPr>
        <w:t xml:space="preserve">1.前期准备</w:t>
      </w:r>
      <w:bookmarkEnd w:id="63"/>
      <w:bookmarkEnd w:id="64"/>
      <w:bookmarkEnd w:id="65"/>
      <w:bookmarkEnd w:id="66"/>
      <w:bookmarkEnd w:id="67"/>
      <w:r>
        <w:rPr>
          <w:rFonts w:ascii="仿宋" w:eastAsia="仿宋" w:hAnsi="仿宋" w:cs="仿宋" w:hint="eastAsia"/>
          <w:color w:val="auto"/>
          <w:highlight w:val="none"/>
        </w:rPr>
        <w:t xml:space="preserve">（2025年2月10日-2025年2月28日）</w:t>
      </w:r>
    </w:p>
    <w:p>
      <w:pPr>
        <w:bidi w:val="0"/>
        <w:jc w:val="both"/>
        <w:rPr>
          <w:rFonts w:ascii="仿宋" w:eastAsia="仿宋" w:hAnsi="仿宋" w:cs="仿宋" w:hint="eastAsia"/>
          <w:color w:val="auto"/>
          <w:highlight w:val="none"/>
          <w:lang w:val="en-US" w:eastAsia="zh-CN"/>
        </w:rPr>
      </w:pPr>
      <w:bookmarkStart w:id="68" w:name="_Toc2579"/>
      <w:r>
        <w:rPr>
          <w:rFonts w:ascii="仿宋" w:eastAsia="仿宋" w:hAnsi="仿宋" w:cs="仿宋" w:hint="eastAsia"/>
          <w:color w:val="auto"/>
          <w:highlight w:val="none"/>
          <w:lang w:val="en-US" w:eastAsia="zh-CN"/>
        </w:rPr>
        <w:t xml:space="preserve">按照《项目支出绩效评价管理办法》（财预〔2020〕10号）文件要求，尉犁县兴平镇人民政府成立了绩效评价小组，对项目实施的全过程，收集、整理项目实施的相关资料，了解项目实施情况和资金支付情况。从项目内容出发，结合项目预期目标，制定绩效评价的指标体系。</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w:t>
      </w:r>
      <w:bookmarkEnd w:id="68"/>
      <w:r>
        <w:rPr>
          <w:rFonts w:ascii="仿宋" w:eastAsia="仿宋" w:hAnsi="仿宋" w:cs="仿宋" w:hint="eastAsia"/>
          <w:color w:val="auto"/>
          <w:highlight w:val="none"/>
        </w:rPr>
        <w:t xml:space="preserve">（2025年3月1日-2025年3月10日）</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（1）根据绩效管理的要求，本单位成实施目评价小组，全过程跟踪监管项目实施过程，包括项目资金到位时绩效工作的安排、年中2次绩效监控工作的监督，项目实施完成之后收集资料开展项目绩效评价。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（3）问卷调查。选择与项目评价有关的调查对象，设计调查问卷。通过问卷调查，对有关评价内容完成情况进行打分，并根据分值评价绩效目标完成情况，作为对项目评价的依据。</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（4）项目评价小组人员与专业技术人员相结合评价。对绩效评价工作专业性较强的内容，在评价工作过程中，采</w:t>
      </w:r>
      <w:r>
        <w:rPr>
          <w:rFonts w:ascii="仿宋" w:eastAsia="仿宋" w:hAnsi="仿宋" w:cs="仿宋" w:hint="eastAsia"/>
          <w:color w:val="auto"/>
          <w:highlight w:val="none"/>
        </w:rPr>
        <w:t xml:space="preserve">用以专业技术人员与有关科（股）室、其他部门专业人员进行评价相结合的方式，分别对相关专业指标进行现场问询、检验和考查。</w:t>
      </w:r>
    </w:p>
    <w:p>
      <w:pPr>
        <w:bidi w:val="0"/>
        <w:jc w:val="both"/>
        <w:rPr>
          <w:rFonts w:ascii="仿宋" w:eastAsia="仿宋" w:hAnsi="仿宋" w:cs="仿宋" w:hint="eastAsia"/>
          <w:b/>
          <w:bCs/>
          <w:color w:val="auto"/>
          <w:highlight w:val="none"/>
        </w:rPr>
      </w:pPr>
      <w:bookmarkStart w:id="69" w:name="_Toc19781"/>
      <w:r>
        <w:rPr>
          <w:rFonts w:ascii="仿宋" w:eastAsia="仿宋" w:hAnsi="仿宋" w:cs="仿宋" w:hint="eastAsia"/>
          <w:b/>
          <w:bCs/>
          <w:color w:val="auto"/>
          <w:highlight w:val="none"/>
        </w:rPr>
        <w:t xml:space="preserve">3.数据集中分析</w:t>
      </w:r>
      <w:bookmarkEnd w:id="69"/>
      <w:r>
        <w:rPr>
          <w:rFonts w:ascii="仿宋" w:eastAsia="仿宋" w:hAnsi="仿宋" w:cs="仿宋" w:hint="eastAsia"/>
          <w:color w:val="auto"/>
          <w:highlight w:val="none"/>
        </w:rPr>
        <w:t xml:space="preserve">（2025年3月11日-2025年3月20日）</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对</w:t>
      </w:r>
      <w:r>
        <w:rPr>
          <w:rFonts w:ascii="仿宋" w:eastAsia="仿宋" w:hAnsi="仿宋" w:cs="仿宋" w:hint="eastAsia"/>
          <w:color w:val="auto"/>
          <w:highlight w:val="none"/>
          <w:lang w:val="en-US" w:eastAsia="zh-CN"/>
        </w:rPr>
        <w:t xml:space="preserve">相关资料，包括资金文件、项目实施方案、相关管理办法，问卷调查等进行集中分析。在查阅大量项目资料的基础上，根据考察、考评的结果进行整理、分析。</w:t>
      </w:r>
    </w:p>
    <w:p>
      <w:pPr>
        <w:bidi w:val="0"/>
        <w:jc w:val="both"/>
        <w:rPr>
          <w:rFonts w:ascii="仿宋" w:eastAsia="仿宋" w:hAnsi="仿宋" w:cs="仿宋" w:hint="eastAsia"/>
          <w:b/>
          <w:bCs/>
          <w:color w:val="auto"/>
          <w:highlight w:val="none"/>
        </w:rPr>
      </w:pPr>
      <w:bookmarkStart w:id="70" w:name="_Toc5021"/>
      <w:r>
        <w:rPr>
          <w:rFonts w:ascii="仿宋" w:eastAsia="仿宋" w:hAnsi="仿宋" w:cs="仿宋" w:hint="eastAsia"/>
          <w:b/>
          <w:bCs/>
          <w:color w:val="auto"/>
          <w:highlight w:val="none"/>
        </w:rPr>
        <w:t xml:space="preserve">4.分析总结</w:t>
      </w:r>
      <w:bookmarkEnd w:id="70"/>
      <w:r>
        <w:rPr>
          <w:rFonts w:ascii="仿宋" w:eastAsia="仿宋" w:hAnsi="仿宋" w:cs="仿宋" w:hint="eastAsia"/>
          <w:color w:val="auto"/>
          <w:highlight w:val="none"/>
        </w:rPr>
        <w:t xml:space="preserve">（2025年3月21日-2025年</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月3日）</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（2）就部门自评报告与部门具体有关股室征求意见，形成最终的绩效评价报告。</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5.问题整改</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jc w:val="both"/>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6.档案整理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p>
    <w:p>
      <w:pPr>
        <w:pStyle w:val="Heading2"/>
        <w:bidi w:val="0"/>
        <w:jc w:val="both"/>
        <w:rPr>
          <w:rFonts w:ascii="仿宋" w:eastAsia="仿宋" w:hAnsi="仿宋" w:cs="仿宋" w:hint="eastAsia"/>
          <w:color w:val="auto"/>
          <w:highlight w:val="none"/>
        </w:rPr>
      </w:pPr>
      <w:bookmarkStart w:id="71" w:name="_Toc31058"/>
      <w:bookmarkStart w:id="72" w:name="_Toc32641"/>
      <w:bookmarkStart w:id="73" w:name="_Toc1808"/>
      <w:bookmarkStart w:id="74" w:name="_Toc25201"/>
      <w:bookmarkStart w:id="75" w:name="_Toc21627"/>
      <w:r>
        <w:rPr>
          <w:rFonts w:ascii="仿宋" w:eastAsia="仿宋" w:hAnsi="仿宋" w:cs="仿宋" w:hint="eastAsia"/>
          <w:color w:val="auto"/>
          <w:highlight w:val="none"/>
        </w:rPr>
        <w:t xml:space="preserve">三、综合评价情况及评价结论</w:t>
      </w:r>
      <w:bookmarkEnd w:id="71"/>
      <w:bookmarkEnd w:id="72"/>
      <w:bookmarkEnd w:id="73"/>
      <w:bookmarkEnd w:id="74"/>
      <w:bookmarkEnd w:id="75"/>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本项目的绩效评价结果为“优”，综合评分100分。其中项目决策22分，项目过程18分，项目产出管理得分40分，项目效益20分。各部分权重和绩效汇总分值如下表所示：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bidi w:val="0"/>
              <w:jc w:val="center"/>
              <w:rPr>
                <w:rFonts w:ascii="仿宋" w:eastAsia="仿宋" w:hAnsi="仿宋" w:cs="仿宋" w:hint="eastAsia"/>
                <w:b/>
                <w:color w:val="auto"/>
                <w:kern w:val="44"/>
                <w:sz w:val="32"/>
                <w:szCs w:val="22"/>
                <w:highlight w:val="none"/>
                <w:lang w:val="en-US" w:eastAsia="zh-CN" w:bidi="ar-SA"/>
              </w:rPr>
            </w:pPr>
            <w:bookmarkStart w:id="76" w:name="_Toc30727"/>
            <w:bookmarkStart w:id="77" w:name="_Toc17356"/>
            <w:r>
              <w:rPr>
                <w:rFonts w:ascii="仿宋" w:eastAsia="仿宋" w:hAnsi="仿宋" w:cs="仿宋" w:hint="eastAsia"/>
                <w:b/>
                <w:color w:val="auto"/>
                <w:kern w:val="44"/>
                <w:sz w:val="32"/>
                <w:szCs w:val="22"/>
                <w:highlight w:val="none"/>
                <w:lang w:val="en-US" w:eastAsia="zh-CN" w:bidi="ar-SA"/>
              </w:rPr>
              <w:t xml:space="preserve">兴平镇向阳村扶持壮大村集体经济项目</w:t>
            </w:r>
            <w:bookmarkStart w:id="78" w:name="_Toc16086"/>
            <w:bookmarkStart w:id="79" w:name="_Toc3703"/>
          </w:p>
          <w:p>
            <w:pPr>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bookmarkEnd w:id="78"/>
            <w:bookmarkEnd w:id="79"/>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100</w:t>
            </w:r>
          </w:p>
        </w:tc>
      </w:tr>
    </w:tbl>
    <w:p>
      <w:pPr>
        <w:pStyle w:val="Heading2"/>
        <w:bidi w:val="0"/>
        <w:jc w:val="both"/>
        <w:rPr>
          <w:rFonts w:ascii="仿宋" w:eastAsia="仿宋" w:hAnsi="仿宋" w:cs="仿宋" w:hint="eastAsia"/>
          <w:color w:val="auto"/>
          <w:highlight w:val="none"/>
        </w:rPr>
      </w:pPr>
      <w:bookmarkStart w:id="80" w:name="_Toc29439"/>
      <w:bookmarkStart w:id="81" w:name="_Toc13630"/>
      <w:bookmarkStart w:id="82" w:name="_Toc4904"/>
      <w:r>
        <w:rPr>
          <w:rFonts w:ascii="仿宋" w:eastAsia="仿宋" w:hAnsi="仿宋" w:cs="仿宋" w:hint="eastAsia"/>
          <w:color w:val="auto"/>
          <w:highlight w:val="none"/>
        </w:rPr>
        <w:t xml:space="preserve">四、绩效评价指标分析</w:t>
      </w:r>
      <w:bookmarkEnd w:id="76"/>
      <w:bookmarkEnd w:id="77"/>
      <w:bookmarkEnd w:id="80"/>
      <w:bookmarkEnd w:id="81"/>
      <w:bookmarkEnd w:id="82"/>
    </w:p>
    <w:p>
      <w:pPr>
        <w:pStyle w:val="Heading3"/>
        <w:bidi w:val="0"/>
        <w:jc w:val="both"/>
        <w:rPr>
          <w:rFonts w:ascii="仿宋" w:eastAsia="仿宋" w:hAnsi="仿宋" w:cs="仿宋" w:hint="eastAsia"/>
          <w:color w:val="auto"/>
          <w:highlight w:val="none"/>
        </w:rPr>
      </w:pPr>
      <w:bookmarkStart w:id="83" w:name="_Toc22323"/>
      <w:bookmarkStart w:id="84" w:name="_Toc2901"/>
      <w:bookmarkStart w:id="85" w:name="_Toc1968"/>
      <w:bookmarkStart w:id="86" w:name="_Toc28477"/>
      <w:r>
        <w:rPr>
          <w:rFonts w:ascii="仿宋" w:eastAsia="仿宋" w:hAnsi="仿宋" w:cs="仿宋" w:hint="eastAsia"/>
          <w:color w:val="auto"/>
          <w:highlight w:val="none"/>
        </w:rPr>
        <w:t xml:space="preserve">（一）项目决策情况</w:t>
      </w:r>
      <w:bookmarkEnd w:id="83"/>
      <w:bookmarkEnd w:id="84"/>
      <w:bookmarkEnd w:id="85"/>
      <w:bookmarkEnd w:id="86"/>
    </w:p>
    <w:p>
      <w:pPr>
        <w:bidi w:val="0"/>
        <w:jc w:val="both"/>
        <w:rPr>
          <w:rFonts w:ascii="仿宋" w:eastAsia="仿宋" w:hAnsi="仿宋" w:cs="仿宋" w:hint="eastAsia"/>
          <w:b/>
          <w:bCs/>
          <w:color w:val="auto"/>
          <w:highlight w:val="none"/>
        </w:rPr>
      </w:pPr>
      <w:bookmarkStart w:id="87" w:name="_Toc510"/>
      <w:bookmarkStart w:id="88" w:name="_Toc22511"/>
      <w:r>
        <w:rPr>
          <w:rFonts w:ascii="仿宋" w:eastAsia="仿宋" w:hAnsi="仿宋" w:cs="仿宋" w:hint="eastAsia"/>
          <w:b/>
          <w:bCs/>
          <w:color w:val="auto"/>
          <w:highlight w:val="none"/>
        </w:rPr>
        <w:t xml:space="preserve">1.</w:t>
      </w:r>
      <w:r>
        <w:rPr>
          <w:rFonts w:ascii="仿宋" w:eastAsia="仿宋" w:hAnsi="仿宋" w:cs="仿宋" w:hint="eastAsia"/>
          <w:b/>
          <w:bCs/>
          <w:color w:val="auto"/>
          <w:highlight w:val="none"/>
          <w:lang w:eastAsia="zh-CN"/>
        </w:rPr>
        <w:t xml:space="preserve">实施</w:t>
      </w:r>
      <w:r>
        <w:rPr>
          <w:rFonts w:ascii="仿宋" w:eastAsia="仿宋" w:hAnsi="仿宋" w:cs="仿宋" w:hint="eastAsia"/>
          <w:b/>
          <w:bCs/>
          <w:color w:val="auto"/>
          <w:highlight w:val="none"/>
        </w:rPr>
        <w:t xml:space="preserve">依据充分性</w:t>
      </w:r>
      <w:bookmarkEnd w:id="87"/>
      <w:bookmarkEnd w:id="88"/>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rPr>
        <w:t xml:space="preserve">《兴平镇向阳村扶持壮大村集体经济项目》（尉财预〔2024〕003号）</w:t>
      </w:r>
      <w:r>
        <w:rPr>
          <w:rFonts w:ascii="仿宋" w:eastAsia="仿宋" w:hAnsi="仿宋" w:cs="仿宋" w:hint="eastAsia"/>
          <w:color w:val="auto"/>
          <w:highlight w:val="none"/>
          <w:lang w:val="en-US" w:eastAsia="zh-CN"/>
        </w:rPr>
        <w:t xml:space="preserve">的要求，</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（1）本项目申报和审批符合国家法律法规、国民经济发展规划和相关政策；</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（2）本项目申报和审批符合行业发展规划和政策要求；</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（3）项目实施与部门职责范围相符，属</w:t>
      </w:r>
      <w:r>
        <w:rPr>
          <w:rFonts w:ascii="仿宋" w:eastAsia="仿宋" w:hAnsi="仿宋" w:cs="仿宋" w:hint="eastAsia"/>
          <w:color w:val="auto"/>
          <w:highlight w:val="none"/>
          <w:lang w:val="en-US" w:eastAsia="zh-CN"/>
        </w:rPr>
        <w:t xml:space="preserve">干部</w:t>
      </w:r>
      <w:r>
        <w:rPr>
          <w:rFonts w:ascii="仿宋" w:eastAsia="仿宋" w:hAnsi="仿宋" w:cs="仿宋" w:hint="eastAsia"/>
          <w:color w:val="auto"/>
          <w:highlight w:val="none"/>
          <w:lang w:val="en-US" w:eastAsia="zh-CN"/>
        </w:rPr>
        <w:t xml:space="preserve">门履职所需；</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（4）本项目属于公共财政支持范围，符合中央、地方事权支出责任划分原则；</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本项满分3分，评估得分3分。</w:t>
      </w:r>
    </w:p>
    <w:p>
      <w:pPr>
        <w:bidi w:val="0"/>
        <w:jc w:val="both"/>
        <w:rPr>
          <w:rFonts w:ascii="仿宋" w:eastAsia="仿宋" w:hAnsi="仿宋" w:cs="仿宋" w:hint="eastAsia"/>
          <w:b/>
          <w:bCs/>
          <w:color w:val="auto"/>
          <w:highlight w:val="none"/>
        </w:rPr>
      </w:pPr>
      <w:bookmarkStart w:id="89" w:name="_Toc283"/>
      <w:bookmarkStart w:id="90" w:name="_Toc27895"/>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lang w:val="en-US" w:eastAsia="zh-CN"/>
        </w:rPr>
        <w:t xml:space="preserve">实施</w:t>
      </w:r>
      <w:r>
        <w:rPr>
          <w:rFonts w:ascii="仿宋" w:eastAsia="仿宋" w:hAnsi="仿宋" w:cs="仿宋" w:hint="eastAsia"/>
          <w:b/>
          <w:bCs/>
          <w:color w:val="auto"/>
          <w:highlight w:val="none"/>
        </w:rPr>
        <w:t xml:space="preserve">程序规范性</w:t>
      </w:r>
      <w:bookmarkEnd w:id="89"/>
      <w:bookmarkEnd w:id="90"/>
    </w:p>
    <w:p>
      <w:pPr>
        <w:bidi w:val="0"/>
        <w:jc w:val="both"/>
        <w:rPr>
          <w:rFonts w:ascii="仿宋" w:eastAsia="仿宋" w:hAnsi="仿宋" w:cs="仿宋" w:hint="eastAsia"/>
          <w:color w:val="auto"/>
          <w:highlight w:val="none"/>
          <w:lang w:val="en-US" w:eastAsia="zh-CN"/>
        </w:rPr>
      </w:pPr>
      <w:r>
        <w:rPr>
          <w:rFonts w:ascii="仿宋" w:eastAsia="仿宋" w:hAnsi="仿宋" w:cs="仿宋" w:hint="eastAsia"/>
          <w:bCs w:val="0"/>
          <w:iCs w:val="0"/>
          <w:color w:val="auto"/>
          <w:kern w:val="2"/>
          <w:sz w:val="32"/>
          <w:szCs w:val="22"/>
          <w:highlight w:val="none"/>
          <w:lang w:val="en-US" w:bidi="ar-SA"/>
        </w:rPr>
        <w:t xml:space="preserve">本项目</w:t>
      </w:r>
      <w:r>
        <w:rPr>
          <w:rFonts w:ascii="仿宋" w:eastAsia="仿宋" w:hAnsi="仿宋" w:cs="仿宋" w:hint="eastAsia"/>
          <w:bCs w:val="0"/>
          <w:iCs w:val="0"/>
          <w:color w:val="auto"/>
          <w:kern w:val="2"/>
          <w:sz w:val="32"/>
          <w:szCs w:val="22"/>
          <w:highlight w:val="none"/>
          <w:lang w:val="en-US" w:eastAsia="zh-CN" w:bidi="ar-SA"/>
        </w:rPr>
        <w:t xml:space="preserve">实施</w:t>
      </w:r>
      <w:r>
        <w:rPr>
          <w:rFonts w:ascii="仿宋" w:eastAsia="仿宋" w:hAnsi="仿宋" w:cs="仿宋" w:hint="eastAsia"/>
          <w:bCs w:val="0"/>
          <w:iCs w:val="0"/>
          <w:color w:val="auto"/>
          <w:kern w:val="2"/>
          <w:sz w:val="32"/>
          <w:szCs w:val="22"/>
          <w:highlight w:val="none"/>
          <w:lang w:val="en-US" w:bidi="ar-SA"/>
        </w:rPr>
        <w:t xml:space="preserve">资料</w:t>
      </w:r>
      <w:r>
        <w:rPr>
          <w:rFonts w:ascii="仿宋" w:eastAsia="仿宋" w:hAnsi="仿宋" w:cs="仿宋" w:hint="eastAsia"/>
          <w:bCs w:val="0"/>
          <w:iCs w:val="0"/>
          <w:color w:val="auto"/>
          <w:kern w:val="2"/>
          <w:sz w:val="32"/>
          <w:szCs w:val="22"/>
          <w:highlight w:val="none"/>
          <w:lang w:val="en-US" w:eastAsia="zh-CN" w:bidi="ar-SA"/>
        </w:rPr>
        <w:t xml:space="preserve">齐</w:t>
      </w:r>
      <w:r>
        <w:rPr>
          <w:rFonts w:ascii="仿宋" w:eastAsia="仿宋" w:hAnsi="仿宋" w:cs="仿宋" w:hint="eastAsia"/>
          <w:bCs w:val="0"/>
          <w:iCs w:val="0"/>
          <w:color w:val="auto"/>
          <w:kern w:val="2"/>
          <w:sz w:val="32"/>
          <w:szCs w:val="22"/>
          <w:highlight w:val="none"/>
          <w:lang w:val="en-US" w:bidi="ar-SA"/>
        </w:rPr>
        <w:t xml:space="preserve">全，编制了</w:t>
      </w:r>
      <w:r>
        <w:rPr>
          <w:rFonts w:ascii="仿宋" w:eastAsia="仿宋" w:hAnsi="仿宋" w:cs="仿宋" w:hint="eastAsia"/>
          <w:bCs w:val="0"/>
          <w:iCs w:val="0"/>
          <w:color w:val="auto"/>
          <w:kern w:val="2"/>
          <w:sz w:val="32"/>
          <w:szCs w:val="22"/>
          <w:highlight w:val="none"/>
          <w:lang w:val="en-US" w:eastAsia="zh-CN" w:bidi="ar-SA"/>
        </w:rPr>
        <w:t xml:space="preserve">《兴平镇向阳村扶持壮大村集体经济项目</w:t>
      </w:r>
      <w:r>
        <w:rPr>
          <w:rFonts w:ascii="仿宋" w:eastAsia="仿宋" w:hAnsi="仿宋" w:cs="仿宋" w:hint="eastAsia"/>
          <w:bCs w:val="0"/>
          <w:iCs w:val="0"/>
          <w:color w:val="auto"/>
          <w:kern w:val="2"/>
          <w:sz w:val="32"/>
          <w:szCs w:val="22"/>
          <w:highlight w:val="none"/>
          <w:lang w:val="en-US" w:bidi="ar-SA"/>
        </w:rPr>
        <w:t xml:space="preserve">实施方案</w:t>
      </w:r>
      <w:r>
        <w:rPr>
          <w:rFonts w:ascii="仿宋" w:eastAsia="仿宋" w:hAnsi="仿宋" w:cs="仿宋" w:hint="eastAsia"/>
          <w:bCs w:val="0"/>
          <w:iCs w:val="0"/>
          <w:color w:val="auto"/>
          <w:kern w:val="2"/>
          <w:sz w:val="32"/>
          <w:szCs w:val="22"/>
          <w:highlight w:val="none"/>
          <w:lang w:val="en-US" w:eastAsia="zh-CN" w:bidi="ar-SA"/>
        </w:rPr>
        <w:t xml:space="preserve">》，通过尉犁县兴平镇人民政府审批同意实施该项目。因此，</w:t>
      </w:r>
      <w:r>
        <w:rPr>
          <w:rFonts w:ascii="仿宋" w:eastAsia="仿宋" w:hAnsi="仿宋" w:cs="仿宋" w:hint="eastAsia"/>
          <w:color w:val="auto"/>
          <w:highlight w:val="none"/>
          <w:lang w:val="en-US" w:eastAsia="zh-CN"/>
        </w:rPr>
        <w:t xml:space="preserve">实施程序规范；审批文件、材料符合相关要求，事前已经过必要的集体决策，实施程序规范。</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本项满分3分，评估得分3分。</w:t>
      </w:r>
    </w:p>
    <w:p>
      <w:pPr>
        <w:bidi w:val="0"/>
        <w:jc w:val="both"/>
        <w:rPr>
          <w:rFonts w:ascii="仿宋" w:eastAsia="仿宋" w:hAnsi="仿宋" w:cs="仿宋" w:hint="eastAsia"/>
          <w:b/>
          <w:bCs/>
          <w:color w:val="auto"/>
          <w:highlight w:val="none"/>
        </w:rPr>
      </w:pPr>
      <w:bookmarkStart w:id="91" w:name="_Toc20471"/>
      <w:bookmarkStart w:id="92" w:name="_Toc13368"/>
      <w:r>
        <w:rPr>
          <w:rFonts w:ascii="仿宋" w:eastAsia="仿宋" w:hAnsi="仿宋" w:cs="仿宋" w:hint="eastAsia"/>
          <w:b/>
          <w:bCs/>
          <w:color w:val="auto"/>
          <w:highlight w:val="none"/>
        </w:rPr>
        <w:t xml:space="preserve">3.绩效目标合理性</w:t>
      </w:r>
      <w:bookmarkEnd w:id="91"/>
      <w:bookmarkEnd w:id="92"/>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兴平镇向阳村扶持壮大村集体经济项目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本项满分4分，评估得分4分。</w:t>
      </w:r>
    </w:p>
    <w:p>
      <w:pPr>
        <w:bidi w:val="0"/>
        <w:jc w:val="both"/>
        <w:rPr>
          <w:rFonts w:ascii="仿宋" w:eastAsia="仿宋" w:hAnsi="仿宋" w:cs="仿宋" w:hint="eastAsia"/>
          <w:b/>
          <w:bCs/>
          <w:color w:val="auto"/>
          <w:highlight w:val="none"/>
        </w:rPr>
      </w:pPr>
      <w:bookmarkStart w:id="93" w:name="_Toc15543"/>
      <w:bookmarkStart w:id="94" w:name="_Toc21087"/>
      <w:r>
        <w:rPr>
          <w:rFonts w:ascii="仿宋" w:eastAsia="仿宋" w:hAnsi="仿宋" w:cs="仿宋" w:hint="eastAsia"/>
          <w:b/>
          <w:bCs/>
          <w:color w:val="auto"/>
          <w:highlight w:val="none"/>
        </w:rPr>
        <w:t xml:space="preserve">4.绩效指标明确性</w:t>
      </w:r>
      <w:bookmarkEnd w:id="93"/>
      <w:bookmarkEnd w:id="9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兴平镇向阳村扶持壮大村集体经济项目</w:t>
      </w:r>
      <w:r>
        <w:rPr>
          <w:rFonts w:ascii="仿宋" w:eastAsia="仿宋" w:hAnsi="仿宋" w:cs="仿宋" w:hint="eastAsia"/>
          <w:color w:val="auto"/>
          <w:highlight w:val="none"/>
        </w:rPr>
        <w:t xml:space="preserve">，设置一级指标</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条，二级指标</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条，三级指标</w:t>
      </w:r>
      <w:r>
        <w:rPr>
          <w:rFonts w:ascii="仿宋" w:eastAsia="仿宋" w:hAnsi="仿宋" w:cs="仿宋" w:hint="eastAsia"/>
          <w:color w:val="auto"/>
          <w:highlight w:val="none"/>
          <w:lang w:val="en-US" w:eastAsia="zh-CN"/>
        </w:rPr>
        <w:t xml:space="preserve">7</w:t>
      </w:r>
      <w:r>
        <w:rPr>
          <w:rFonts w:ascii="仿宋" w:eastAsia="仿宋" w:hAnsi="仿宋" w:cs="仿宋" w:hint="eastAsia"/>
          <w:color w:val="auto"/>
          <w:highlight w:val="none"/>
        </w:rPr>
        <w:t xml:space="preserve">条，其中量化指标</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rPr>
        <w:t xml:space="preserve">条，绩效目标指标设定清晰、可衡量性较强，与项目目标任务计划数对应性较强。</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95" w:name="_Toc21476"/>
      <w:bookmarkStart w:id="96" w:name="_Toc25638"/>
      <w:r>
        <w:rPr>
          <w:rFonts w:ascii="仿宋" w:eastAsia="仿宋" w:hAnsi="仿宋" w:cs="仿宋" w:hint="eastAsia"/>
          <w:b/>
          <w:bCs/>
          <w:color w:val="auto"/>
          <w:highlight w:val="none"/>
        </w:rPr>
        <w:t xml:space="preserve">5.预算编制科学性</w:t>
      </w:r>
      <w:bookmarkEnd w:id="95"/>
      <w:bookmarkEnd w:id="96"/>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全年</w:t>
      </w:r>
      <w:r>
        <w:rPr>
          <w:rFonts w:ascii="仿宋" w:eastAsia="仿宋" w:hAnsi="仿宋" w:cs="仿宋" w:hint="eastAsia"/>
          <w:color w:val="auto"/>
          <w:highlight w:val="none"/>
        </w:rPr>
        <w:t xml:space="preserve">预算资金</w:t>
      </w:r>
      <w:r>
        <w:rPr>
          <w:rFonts w:ascii="仿宋" w:eastAsia="仿宋" w:hAnsi="仿宋" w:cs="仿宋" w:hint="eastAsia"/>
          <w:color w:val="auto"/>
          <w:highlight w:val="none"/>
          <w:lang w:val="en-US" w:eastAsia="zh-CN"/>
        </w:rPr>
        <w:t xml:space="preserve">50</w:t>
      </w:r>
      <w:r>
        <w:rPr>
          <w:rFonts w:ascii="仿宋" w:eastAsia="仿宋" w:hAnsi="仿宋" w:cs="仿宋" w:hint="eastAsia"/>
          <w:color w:val="auto"/>
          <w:highlight w:val="none"/>
        </w:rPr>
        <w:t xml:space="preserve">万元，来源为</w:t>
      </w:r>
      <w:r>
        <w:rPr>
          <w:rFonts w:ascii="仿宋" w:eastAsia="仿宋" w:hAnsi="仿宋" w:cs="仿宋" w:hint="eastAsia"/>
          <w:color w:val="auto"/>
          <w:highlight w:val="none"/>
          <w:lang w:val="en-US" w:eastAsia="zh-CN"/>
        </w:rPr>
        <w:t xml:space="preserve">财政拨款</w:t>
      </w:r>
      <w:r>
        <w:rPr>
          <w:rFonts w:ascii="仿宋" w:eastAsia="仿宋" w:hAnsi="仿宋" w:cs="仿宋" w:hint="eastAsia"/>
          <w:color w:val="auto"/>
          <w:highlight w:val="none"/>
        </w:rPr>
        <w:t xml:space="preserve">资金</w:t>
      </w:r>
      <w:r>
        <w:rPr>
          <w:rFonts w:ascii="仿宋" w:eastAsia="仿宋" w:hAnsi="仿宋" w:cs="仿宋" w:hint="eastAsia"/>
          <w:color w:val="auto"/>
          <w:highlight w:val="none"/>
          <w:lang w:val="en-US" w:eastAsia="zh-CN"/>
        </w:rPr>
        <w:t xml:space="preserve">50</w:t>
      </w:r>
      <w:r>
        <w:rPr>
          <w:rFonts w:ascii="仿宋" w:eastAsia="仿宋" w:hAnsi="仿宋" w:cs="仿宋" w:hint="eastAsia"/>
          <w:color w:val="auto"/>
          <w:highlight w:val="none"/>
        </w:rPr>
        <w:t xml:space="preserve">万元，预算编制较为科学，预算内容与项目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项目实施情况</w:t>
      </w:r>
      <w:r>
        <w:rPr>
          <w:rFonts w:ascii="仿宋" w:eastAsia="仿宋" w:hAnsi="仿宋" w:cs="仿宋" w:hint="eastAsia"/>
          <w:color w:val="auto"/>
          <w:highlight w:val="none"/>
        </w:rPr>
        <w:t xml:space="preserve">相匹配。</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97" w:name="_Toc21577"/>
      <w:bookmarkStart w:id="98" w:name="_Toc30661"/>
      <w:r>
        <w:rPr>
          <w:rFonts w:ascii="仿宋" w:eastAsia="仿宋" w:hAnsi="仿宋" w:cs="仿宋" w:hint="eastAsia"/>
          <w:b/>
          <w:bCs/>
          <w:color w:val="auto"/>
          <w:highlight w:val="none"/>
        </w:rPr>
        <w:t xml:space="preserve">6.资金分配合理性</w:t>
      </w:r>
      <w:bookmarkEnd w:id="97"/>
      <w:bookmarkEnd w:id="9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jc w:val="both"/>
        <w:rPr>
          <w:rFonts w:ascii="仿宋" w:eastAsia="仿宋" w:hAnsi="仿宋" w:cs="仿宋" w:hint="eastAsia"/>
          <w:color w:val="auto"/>
          <w:highlight w:val="none"/>
        </w:rPr>
      </w:pPr>
      <w:bookmarkStart w:id="99" w:name="_Toc30992"/>
      <w:bookmarkStart w:id="100" w:name="_Toc13442"/>
      <w:bookmarkStart w:id="101" w:name="_Toc27855"/>
      <w:bookmarkStart w:id="102" w:name="_Toc9897"/>
      <w:r>
        <w:rPr>
          <w:rFonts w:ascii="仿宋" w:eastAsia="仿宋" w:hAnsi="仿宋" w:cs="仿宋" w:hint="eastAsia"/>
          <w:color w:val="auto"/>
          <w:highlight w:val="none"/>
        </w:rPr>
        <w:t xml:space="preserve">（二）项目过程情况</w:t>
      </w:r>
      <w:bookmarkEnd w:id="99"/>
      <w:bookmarkEnd w:id="100"/>
      <w:bookmarkEnd w:id="101"/>
      <w:bookmarkEnd w:id="102"/>
    </w:p>
    <w:p>
      <w:pPr>
        <w:bidi w:val="0"/>
        <w:jc w:val="both"/>
        <w:rPr>
          <w:rFonts w:ascii="仿宋" w:eastAsia="仿宋" w:hAnsi="仿宋" w:cs="仿宋" w:hint="eastAsia"/>
          <w:b/>
          <w:bCs/>
          <w:color w:val="auto"/>
          <w:highlight w:val="none"/>
        </w:rPr>
      </w:pPr>
      <w:bookmarkStart w:id="103" w:name="_Toc29417"/>
      <w:bookmarkStart w:id="104" w:name="_Toc19854"/>
      <w:r>
        <w:rPr>
          <w:rFonts w:ascii="仿宋" w:eastAsia="仿宋" w:hAnsi="仿宋" w:cs="仿宋" w:hint="eastAsia"/>
          <w:b/>
          <w:bCs/>
          <w:color w:val="auto"/>
          <w:highlight w:val="none"/>
        </w:rPr>
        <w:t xml:space="preserve">1.资金到位率</w:t>
      </w:r>
      <w:bookmarkEnd w:id="103"/>
      <w:bookmarkEnd w:id="104"/>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50</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50</w:t>
      </w:r>
      <w:r>
        <w:rPr>
          <w:rFonts w:ascii="仿宋" w:eastAsia="仿宋" w:hAnsi="仿宋" w:cs="仿宋" w:hint="eastAsia"/>
          <w:color w:val="auto"/>
          <w:highlight w:val="none"/>
        </w:rPr>
        <w:t xml:space="preserve">万元，资金到位率100%。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jc w:val="both"/>
        <w:rPr>
          <w:rFonts w:ascii="仿宋" w:eastAsia="仿宋" w:hAnsi="仿宋" w:cs="仿宋" w:hint="eastAsia"/>
          <w:b/>
          <w:bCs/>
          <w:color w:val="auto"/>
          <w:highlight w:val="none"/>
        </w:rPr>
      </w:pPr>
      <w:bookmarkStart w:id="105" w:name="_Toc13724"/>
      <w:bookmarkStart w:id="106" w:name="_Toc29889"/>
      <w:r>
        <w:rPr>
          <w:rFonts w:ascii="仿宋" w:eastAsia="仿宋" w:hAnsi="仿宋" w:cs="仿宋" w:hint="eastAsia"/>
          <w:b/>
          <w:bCs/>
          <w:color w:val="auto"/>
          <w:highlight w:val="none"/>
        </w:rPr>
        <w:t xml:space="preserve">2.预算执行率</w:t>
      </w:r>
      <w:bookmarkEnd w:id="105"/>
      <w:bookmarkEnd w:id="106"/>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50</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50</w:t>
      </w:r>
      <w:r>
        <w:rPr>
          <w:rFonts w:ascii="仿宋" w:eastAsia="仿宋" w:hAnsi="仿宋" w:cs="仿宋" w:hint="eastAsia"/>
          <w:color w:val="auto"/>
          <w:highlight w:val="none"/>
        </w:rPr>
        <w:t xml:space="preserve">万元，预算执行率为</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highlight w:val="none"/>
        </w:rPr>
      </w:pPr>
      <w:bookmarkStart w:id="107" w:name="_Toc2484"/>
      <w:bookmarkStart w:id="108" w:name="_Toc8316"/>
      <w:r>
        <w:rPr>
          <w:rFonts w:ascii="仿宋" w:eastAsia="仿宋" w:hAnsi="仿宋" w:cs="仿宋" w:hint="eastAsia"/>
          <w:b/>
          <w:bCs/>
          <w:color w:val="auto"/>
          <w:highlight w:val="none"/>
        </w:rPr>
        <w:t xml:space="preserve">3.资金使用合规性</w:t>
      </w:r>
      <w:bookmarkEnd w:id="107"/>
      <w:bookmarkEnd w:id="108"/>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资金的使用符合《中华人民共和国预算法》《中华人民共和国会计法》等国家有关财经法规以及预算管理制度。资金的审批和拨付按照《尉犁县财政资金审批管理办法》执行。资金的拨付有完整的审批程序和手续；资金使用符合专项资金支持的范围。不存在截留、挤占、挪用、虚列支出等情况。</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本项满分4分，评估得分4分。</w:t>
      </w:r>
    </w:p>
    <w:p>
      <w:pPr>
        <w:bidi w:val="0"/>
        <w:jc w:val="both"/>
        <w:rPr>
          <w:rFonts w:ascii="仿宋" w:eastAsia="仿宋" w:hAnsi="仿宋" w:cs="仿宋" w:hint="eastAsia"/>
          <w:b/>
          <w:bCs/>
          <w:color w:val="auto"/>
          <w:highlight w:val="none"/>
        </w:rPr>
      </w:pPr>
      <w:bookmarkStart w:id="109" w:name="_Toc20651"/>
      <w:bookmarkStart w:id="110" w:name="_Toc15332"/>
      <w:r>
        <w:rPr>
          <w:rFonts w:ascii="仿宋" w:eastAsia="仿宋" w:hAnsi="仿宋" w:cs="仿宋" w:hint="eastAsia"/>
          <w:b/>
          <w:bCs/>
          <w:color w:val="auto"/>
          <w:highlight w:val="none"/>
        </w:rPr>
        <w:t xml:space="preserve">4.管理制度健全性</w:t>
      </w:r>
      <w:bookmarkEnd w:id="109"/>
      <w:bookmarkEnd w:id="110"/>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尉犁县兴平镇人民政府制定了《尉犁县兴平镇人民政府财务管理制度》和《尉犁县兴平镇人民政府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资金管理等方面都做出明确的规范的要求，财务制度和业务管理制度健全。</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本项满分3分，评估得分3分。</w:t>
      </w:r>
    </w:p>
    <w:p>
      <w:pPr>
        <w:bidi w:val="0"/>
        <w:jc w:val="both"/>
        <w:rPr>
          <w:rFonts w:ascii="仿宋" w:eastAsia="仿宋" w:hAnsi="仿宋" w:cs="仿宋" w:hint="eastAsia"/>
          <w:b/>
          <w:bCs/>
          <w:color w:val="auto"/>
          <w:highlight w:val="none"/>
        </w:rPr>
      </w:pPr>
      <w:bookmarkStart w:id="111" w:name="_Toc14853"/>
      <w:bookmarkStart w:id="112" w:name="_Toc14023"/>
      <w:r>
        <w:rPr>
          <w:rFonts w:ascii="仿宋" w:eastAsia="仿宋" w:hAnsi="仿宋" w:cs="仿宋" w:hint="eastAsia"/>
          <w:b/>
          <w:bCs/>
          <w:color w:val="auto"/>
          <w:highlight w:val="none"/>
        </w:rPr>
        <w:t xml:space="preserve">5.制度执行有效性</w:t>
      </w:r>
      <w:bookmarkEnd w:id="111"/>
      <w:bookmarkEnd w:id="112"/>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在实施过程中严格遵守相关法律法规和相关管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本项满分3分，评估得分3分。</w:t>
      </w:r>
    </w:p>
    <w:p>
      <w:pPr>
        <w:pStyle w:val="Heading3"/>
        <w:bidi w:val="0"/>
        <w:jc w:val="both"/>
        <w:rPr>
          <w:rFonts w:ascii="仿宋" w:eastAsia="仿宋" w:hAnsi="仿宋" w:cs="仿宋" w:hint="eastAsia"/>
          <w:color w:val="auto"/>
          <w:highlight w:val="none"/>
        </w:rPr>
      </w:pPr>
      <w:bookmarkStart w:id="113" w:name="_Toc5161"/>
      <w:bookmarkStart w:id="114" w:name="_Toc22156"/>
      <w:bookmarkStart w:id="115" w:name="_Toc31545"/>
      <w:bookmarkStart w:id="116" w:name="_Toc6865"/>
      <w:r>
        <w:rPr>
          <w:rFonts w:ascii="仿宋" w:eastAsia="仿宋" w:hAnsi="仿宋" w:cs="仿宋" w:hint="eastAsia"/>
          <w:color w:val="auto"/>
          <w:highlight w:val="none"/>
        </w:rPr>
        <w:t xml:space="preserve">（三）项目产出情况</w:t>
      </w:r>
      <w:bookmarkEnd w:id="113"/>
      <w:bookmarkEnd w:id="114"/>
      <w:bookmarkEnd w:id="115"/>
      <w:bookmarkEnd w:id="116"/>
    </w:p>
    <w:p>
      <w:pPr>
        <w:bidi w:val="0"/>
        <w:jc w:val="both"/>
        <w:rPr>
          <w:rFonts w:ascii="仿宋" w:eastAsia="仿宋" w:hAnsi="仿宋" w:cs="仿宋" w:hint="eastAsia"/>
          <w:b/>
          <w:bCs/>
          <w:color w:val="auto"/>
          <w:highlight w:val="none"/>
        </w:rPr>
      </w:pPr>
      <w:bookmarkStart w:id="117" w:name="_Toc31041"/>
      <w:bookmarkStart w:id="118" w:name="_Toc4184"/>
      <w:r>
        <w:rPr>
          <w:rFonts w:ascii="仿宋" w:eastAsia="仿宋" w:hAnsi="仿宋" w:cs="仿宋" w:hint="eastAsia"/>
          <w:b/>
          <w:bCs/>
          <w:color w:val="auto"/>
          <w:highlight w:val="none"/>
        </w:rPr>
        <w:t xml:space="preserve">1.产出数量</w:t>
      </w:r>
      <w:bookmarkEnd w:id="117"/>
      <w:bookmarkEnd w:id="118"/>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本项目数量指标：</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指标1：购置铲车数量，预期指标值等于1台，指标完成值：1台，完成率：100%；</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本项满分12分，评估得分12分。</w:t>
      </w:r>
    </w:p>
    <w:p>
      <w:pPr>
        <w:bidi w:val="0"/>
        <w:jc w:val="both"/>
        <w:rPr>
          <w:rFonts w:ascii="仿宋" w:eastAsia="仿宋" w:hAnsi="仿宋" w:cs="仿宋" w:hint="eastAsia"/>
          <w:b/>
          <w:bCs/>
          <w:color w:val="auto"/>
          <w:highlight w:val="none"/>
        </w:rPr>
      </w:pPr>
      <w:bookmarkStart w:id="119" w:name="_Toc21607"/>
      <w:bookmarkStart w:id="120" w:name="_Toc7420"/>
      <w:r>
        <w:rPr>
          <w:rFonts w:ascii="仿宋" w:eastAsia="仿宋" w:hAnsi="仿宋" w:cs="仿宋" w:hint="eastAsia"/>
          <w:b/>
          <w:bCs/>
          <w:color w:val="auto"/>
          <w:highlight w:val="none"/>
        </w:rPr>
        <w:t xml:space="preserve">2.产出质量</w:t>
      </w:r>
      <w:bookmarkEnd w:id="119"/>
      <w:bookmarkEnd w:id="120"/>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指标1：验收合格率，预期指标值等于100%，指标完成值：100%，完成率：100%；</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本项满分12分，评估得分12分</w:t>
      </w:r>
      <w:r>
        <w:rPr>
          <w:rFonts w:ascii="仿宋" w:eastAsia="仿宋" w:hAnsi="仿宋" w:cs="仿宋" w:hint="eastAsia"/>
          <w:color w:val="auto"/>
          <w:highlight w:val="none"/>
        </w:rPr>
        <w:t xml:space="preserve">。</w:t>
      </w:r>
    </w:p>
    <w:p>
      <w:pPr>
        <w:bidi w:val="0"/>
        <w:jc w:val="both"/>
        <w:rPr>
          <w:rFonts w:ascii="仿宋" w:eastAsia="仿宋" w:hAnsi="仿宋" w:cs="仿宋" w:hint="eastAsia"/>
          <w:b/>
          <w:bCs/>
          <w:color w:val="auto"/>
          <w:highlight w:val="none"/>
        </w:rPr>
      </w:pPr>
      <w:bookmarkStart w:id="121" w:name="_Toc6277"/>
      <w:bookmarkStart w:id="122" w:name="_Toc5394"/>
      <w:r>
        <w:rPr>
          <w:rFonts w:ascii="仿宋" w:eastAsia="仿宋" w:hAnsi="仿宋" w:cs="仿宋" w:hint="eastAsia"/>
          <w:b/>
          <w:bCs/>
          <w:color w:val="auto"/>
          <w:highlight w:val="none"/>
        </w:rPr>
        <w:t xml:space="preserve">3.产出时效</w:t>
      </w:r>
      <w:bookmarkEnd w:id="121"/>
      <w:bookmarkEnd w:id="122"/>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购置及时率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等于100%</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等于100%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指标2：</w:t>
      </w:r>
      <w:r>
        <w:rPr>
          <w:rFonts w:ascii="仿宋" w:eastAsia="仿宋" w:hAnsi="仿宋" w:cs="仿宋" w:hint="eastAsia"/>
          <w:color w:val="auto"/>
          <w:highlight w:val="none"/>
          <w:lang w:val="en-US" w:eastAsia="zh-CN"/>
        </w:rPr>
        <w:t xml:space="preserve">资金支付及时率</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等于</w:t>
      </w:r>
      <w:r>
        <w:rPr>
          <w:rFonts w:ascii="仿宋" w:eastAsia="仿宋" w:hAnsi="仿宋" w:cs="仿宋" w:hint="eastAsia"/>
          <w:color w:val="auto"/>
          <w:highlight w:val="none"/>
        </w:rPr>
        <w:t xml:space="preserve">100%，指标完成值</w:t>
      </w:r>
      <w:r>
        <w:rPr>
          <w:rFonts w:ascii="仿宋" w:eastAsia="仿宋" w:hAnsi="仿宋" w:cs="仿宋" w:hint="eastAsia"/>
          <w:color w:val="auto"/>
          <w:highlight w:val="none"/>
          <w:lang w:val="en-US" w:eastAsia="zh-CN"/>
        </w:rPr>
        <w:t xml:space="preserve">等于100%</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12</w:t>
      </w:r>
      <w:r>
        <w:rPr>
          <w:rFonts w:ascii="仿宋" w:eastAsia="仿宋" w:hAnsi="仿宋" w:cs="仿宋" w:hint="eastAsia"/>
          <w:color w:val="auto"/>
          <w:highlight w:val="none"/>
        </w:rPr>
        <w:t xml:space="preserve">分。</w:t>
      </w:r>
    </w:p>
    <w:p>
      <w:pPr>
        <w:bidi w:val="0"/>
        <w:jc w:val="both"/>
        <w:rPr>
          <w:rFonts w:ascii="仿宋" w:eastAsia="仿宋" w:hAnsi="仿宋" w:cs="仿宋" w:hint="eastAsia"/>
          <w:b/>
          <w:bCs/>
          <w:color w:val="auto"/>
          <w:highlight w:val="none"/>
        </w:rPr>
      </w:pPr>
      <w:bookmarkStart w:id="123" w:name="_Toc28975"/>
      <w:bookmarkStart w:id="124" w:name="_Toc18558"/>
      <w:r>
        <w:rPr>
          <w:rFonts w:ascii="仿宋" w:eastAsia="仿宋" w:hAnsi="仿宋" w:cs="仿宋" w:hint="eastAsia"/>
          <w:b/>
          <w:bCs/>
          <w:color w:val="auto"/>
          <w:highlight w:val="none"/>
        </w:rPr>
        <w:t xml:space="preserve">4.产出成本</w:t>
      </w:r>
      <w:bookmarkEnd w:id="123"/>
      <w:bookmarkEnd w:id="124"/>
    </w:p>
    <w:p>
      <w:pPr>
        <w:bidi w:val="0"/>
        <w:jc w:val="both"/>
        <w:rPr>
          <w:rFonts w:ascii="仿宋" w:eastAsia="仿宋" w:hAnsi="仿宋" w:cs="仿宋" w:hint="eastAsia"/>
          <w:color w:val="auto"/>
          <w:highlight w:val="none"/>
        </w:rPr>
      </w:pPr>
      <w:r>
        <w:rPr>
          <w:rFonts w:ascii="仿宋" w:eastAsia="仿宋" w:hAnsi="仿宋" w:cs="仿宋" w:hint="eastAsia"/>
          <w:b w:val="0"/>
          <w:bCs/>
          <w:color w:val="auto"/>
          <w:kern w:val="2"/>
          <w:sz w:val="32"/>
          <w:szCs w:val="32"/>
          <w:highlight w:val="none"/>
          <w:lang w:val="en-US" w:eastAsia="zh-CN" w:bidi="ar-SA"/>
        </w:rPr>
        <w:t xml:space="preserve">指标1：</w:t>
      </w:r>
      <w:r>
        <w:rPr>
          <w:rFonts w:ascii="仿宋" w:eastAsia="仿宋" w:hAnsi="仿宋" w:cs="仿宋" w:hint="eastAsia"/>
          <w:color w:val="auto"/>
          <w:highlight w:val="none"/>
          <w:lang w:val="en-US" w:eastAsia="zh-CN"/>
        </w:rPr>
        <w:t xml:space="preserve">购置铲车费用</w:t>
      </w:r>
      <w:r>
        <w:rPr>
          <w:rFonts w:ascii="仿宋" w:eastAsia="仿宋" w:hAnsi="仿宋" w:cs="仿宋" w:hint="eastAsia"/>
          <w:color w:val="auto"/>
          <w:highlight w:val="none"/>
        </w:rPr>
        <w:t xml:space="preserve">，预期指标值</w:t>
      </w:r>
      <w:r>
        <w:rPr>
          <w:rFonts w:ascii="仿宋" w:eastAsia="仿宋" w:hAnsi="仿宋" w:cs="仿宋" w:hint="eastAsia"/>
          <w:color w:val="auto"/>
          <w:highlight w:val="none"/>
          <w:lang w:val="en-US" w:eastAsia="zh-CN"/>
        </w:rPr>
        <w:t xml:space="preserve">小于或等于50万元</w:t>
      </w:r>
      <w:r>
        <w:rPr>
          <w:rFonts w:ascii="仿宋" w:eastAsia="仿宋" w:hAnsi="仿宋" w:cs="仿宋" w:hint="eastAsia"/>
          <w:color w:val="auto"/>
          <w:highlight w:val="none"/>
        </w:rPr>
        <w:t xml:space="preserve">，指标完成值：</w:t>
      </w:r>
      <w:r>
        <w:rPr>
          <w:rFonts w:ascii="仿宋" w:eastAsia="仿宋" w:hAnsi="仿宋" w:cs="仿宋" w:hint="eastAsia"/>
          <w:color w:val="auto"/>
          <w:highlight w:val="none"/>
          <w:lang w:val="en-US" w:eastAsia="zh-CN"/>
        </w:rPr>
        <w:t xml:space="preserve">50万元</w:t>
      </w:r>
      <w:r>
        <w:rPr>
          <w:rFonts w:ascii="仿宋" w:eastAsia="仿宋" w:hAnsi="仿宋" w:cs="仿宋" w:hint="eastAsia"/>
          <w:color w:val="auto"/>
          <w:highlight w:val="none"/>
        </w:rPr>
        <w:t xml:space="preserve">，完成率：</w:t>
      </w:r>
      <w:r>
        <w:rPr>
          <w:rFonts w:ascii="仿宋" w:eastAsia="仿宋" w:hAnsi="仿宋" w:cs="仿宋" w:hint="eastAsia"/>
          <w:color w:val="auto"/>
          <w:highlight w:val="none"/>
          <w:lang w:val="en-US" w:eastAsia="zh-CN"/>
        </w:rPr>
        <w:t xml:space="preserve">100%</w:t>
      </w:r>
      <w:r>
        <w:rPr>
          <w:rFonts w:ascii="仿宋" w:eastAsia="仿宋" w:hAnsi="仿宋" w:cs="仿宋" w:hint="eastAsia"/>
          <w:color w:val="auto"/>
          <w:highlight w:val="none"/>
        </w:rPr>
        <w:t xml:space="preserve">；</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分。</w:t>
      </w:r>
    </w:p>
    <w:p>
      <w:pPr>
        <w:pStyle w:val="Heading3"/>
        <w:bidi w:val="0"/>
        <w:jc w:val="both"/>
        <w:rPr>
          <w:rFonts w:ascii="仿宋" w:eastAsia="仿宋" w:hAnsi="仿宋" w:cs="仿宋" w:hint="eastAsia"/>
          <w:color w:val="auto"/>
          <w:highlight w:val="none"/>
        </w:rPr>
      </w:pPr>
      <w:bookmarkStart w:id="125" w:name="_Toc18194"/>
      <w:bookmarkStart w:id="126" w:name="_Toc27548"/>
      <w:bookmarkStart w:id="127" w:name="_Toc14881"/>
      <w:bookmarkStart w:id="128" w:name="_Toc24492"/>
      <w:r>
        <w:rPr>
          <w:rFonts w:ascii="仿宋" w:eastAsia="仿宋" w:hAnsi="仿宋" w:cs="仿宋" w:hint="eastAsia"/>
          <w:color w:val="auto"/>
          <w:highlight w:val="none"/>
        </w:rPr>
        <w:t xml:space="preserve">（四）项目效益情况</w:t>
      </w:r>
      <w:bookmarkEnd w:id="125"/>
      <w:bookmarkEnd w:id="126"/>
      <w:bookmarkEnd w:id="127"/>
      <w:bookmarkEnd w:id="128"/>
    </w:p>
    <w:p>
      <w:pPr>
        <w:bidi w:val="0"/>
        <w:jc w:val="both"/>
        <w:rPr>
          <w:rFonts w:ascii="仿宋" w:eastAsia="仿宋" w:hAnsi="仿宋" w:cs="仿宋" w:hint="eastAsia"/>
          <w:b/>
          <w:bCs/>
          <w:color w:val="auto"/>
          <w:highlight w:val="none"/>
        </w:rPr>
      </w:pPr>
      <w:bookmarkStart w:id="129" w:name="_Toc15599"/>
      <w:bookmarkStart w:id="130" w:name="_Toc8370"/>
      <w:r>
        <w:rPr>
          <w:rFonts w:ascii="仿宋" w:eastAsia="仿宋" w:hAnsi="仿宋" w:cs="仿宋" w:hint="eastAsia"/>
          <w:b/>
          <w:bCs/>
          <w:color w:val="auto"/>
          <w:highlight w:val="none"/>
        </w:rPr>
        <w:t xml:space="preserve">1.实施效益</w:t>
      </w:r>
      <w:bookmarkEnd w:id="129"/>
      <w:bookmarkEnd w:id="130"/>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本项目实施所产生的效益主要包括社会效益、经济效益和生态效益。项目的实施进一步壮大村集体经济。</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本项满分10分，评估得分10分。</w:t>
      </w:r>
    </w:p>
    <w:p>
      <w:pPr>
        <w:bidi w:val="0"/>
        <w:jc w:val="both"/>
        <w:rPr>
          <w:rFonts w:ascii="仿宋" w:eastAsia="仿宋" w:hAnsi="仿宋" w:cs="仿宋" w:hint="eastAsia"/>
          <w:b/>
          <w:bCs/>
          <w:color w:val="auto"/>
          <w:highlight w:val="none"/>
        </w:rPr>
      </w:pPr>
      <w:bookmarkStart w:id="131" w:name="_Toc31503"/>
      <w:bookmarkStart w:id="132" w:name="_Toc20772"/>
      <w:r>
        <w:rPr>
          <w:rFonts w:ascii="仿宋" w:eastAsia="仿宋" w:hAnsi="仿宋" w:cs="仿宋" w:hint="eastAsia"/>
          <w:b/>
          <w:bCs/>
          <w:color w:val="auto"/>
          <w:highlight w:val="none"/>
        </w:rPr>
        <w:t xml:space="preserve">2.满意度</w:t>
      </w:r>
      <w:bookmarkEnd w:id="131"/>
      <w:bookmarkEnd w:id="132"/>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val="en-US" w:eastAsia="zh-CN"/>
        </w:rPr>
        <w:t xml:space="preserve">村民</w:t>
      </w:r>
      <w:r>
        <w:rPr>
          <w:rFonts w:ascii="仿宋" w:eastAsia="仿宋" w:hAnsi="仿宋" w:cs="仿宋" w:hint="eastAsia"/>
          <w:color w:val="auto"/>
          <w:highlight w:val="none"/>
        </w:rPr>
        <w:t xml:space="preserve">，通过问卷调查方式收集服务对象和受益群众对本项目实施的满意度。调查人群都表示很满意，都认为本项目实施后，</w:t>
      </w:r>
      <w:r>
        <w:rPr>
          <w:rFonts w:ascii="仿宋" w:eastAsia="仿宋" w:hAnsi="仿宋" w:cs="仿宋" w:hint="eastAsia"/>
          <w:color w:val="auto"/>
          <w:highlight w:val="none"/>
          <w:lang w:val="en-US" w:eastAsia="zh-CN"/>
        </w:rPr>
        <w:t xml:space="preserve">进一步壮大了村集体经济。</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jc w:val="both"/>
        <w:rPr>
          <w:rFonts w:ascii="仿宋" w:eastAsia="仿宋" w:hAnsi="仿宋" w:cs="仿宋" w:hint="eastAsia"/>
          <w:color w:val="auto"/>
          <w:highlight w:val="none"/>
        </w:rPr>
      </w:pPr>
      <w:bookmarkStart w:id="133" w:name="_Toc17413"/>
      <w:bookmarkStart w:id="134" w:name="_Toc23114"/>
      <w:bookmarkStart w:id="135" w:name="_Toc24261"/>
      <w:bookmarkStart w:id="136" w:name="_Toc20473"/>
      <w:bookmarkStart w:id="137" w:name="_Toc3310"/>
      <w:r>
        <w:rPr>
          <w:rFonts w:ascii="仿宋" w:eastAsia="仿宋" w:hAnsi="仿宋" w:cs="仿宋" w:hint="eastAsia"/>
          <w:color w:val="auto"/>
          <w:highlight w:val="none"/>
        </w:rPr>
        <w:t xml:space="preserve">五、主要经验及做法、存在的问题及原因分析</w:t>
      </w:r>
      <w:bookmarkEnd w:id="133"/>
      <w:bookmarkEnd w:id="134"/>
      <w:bookmarkEnd w:id="135"/>
      <w:bookmarkEnd w:id="136"/>
      <w:bookmarkEnd w:id="137"/>
    </w:p>
    <w:p>
      <w:pPr>
        <w:pStyle w:val="Heading3"/>
        <w:bidi w:val="0"/>
        <w:jc w:val="both"/>
        <w:rPr>
          <w:rFonts w:ascii="仿宋" w:eastAsia="仿宋" w:hAnsi="仿宋" w:cs="仿宋" w:hint="eastAsia"/>
          <w:color w:val="auto"/>
          <w:highlight w:val="none"/>
        </w:rPr>
      </w:pPr>
      <w:bookmarkStart w:id="138" w:name="_Toc10514"/>
      <w:bookmarkStart w:id="139" w:name="_Toc6741"/>
      <w:bookmarkStart w:id="140" w:name="_Toc6522"/>
      <w:bookmarkStart w:id="141" w:name="_Toc14362"/>
      <w:r>
        <w:rPr>
          <w:rFonts w:ascii="仿宋" w:eastAsia="仿宋" w:hAnsi="仿宋" w:cs="仿宋" w:hint="eastAsia"/>
          <w:color w:val="auto"/>
          <w:highlight w:val="none"/>
        </w:rPr>
        <w:t xml:space="preserve">（一）主要经验及做法</w:t>
      </w:r>
      <w:bookmarkEnd w:id="138"/>
      <w:bookmarkEnd w:id="139"/>
      <w:bookmarkEnd w:id="140"/>
      <w:bookmarkEnd w:id="141"/>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兴平镇在尉犁县委、县政府的支持下，在相关部门的配合下，全面顺利完成，绩效评价“优”，主要经验及做法如下：</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1、深入调研分析：深入分析本地资源、市场需求与产业基础，评估市场潜力。全面准确地了解和掌握有益于扶持壮大村集体经济有关的资料数据。</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精准定位项目：依据调研结果，精准定位契合当地实际的项目。通过购买铲车扶持壮大村集体经济项目的实施，不仅实现了村集体经济的快速增长，还为村民提供了更多的就业机会和增收渠道，有效推动了乡村振兴战略的实施。</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严格程序，确保资金效益。严格资金审批流程，明确资金使用范围，保证项目资金专款专用。始终坚持按进度拨付款项，有效杜绝了截留、挪用、滞留、浪费资金等现象的发生，确保了资金使用安全和最大效益的发挥。</w:t>
      </w:r>
    </w:p>
    <w:p>
      <w:pPr>
        <w:pStyle w:val="Heading3"/>
        <w:bidi w:val="0"/>
        <w:jc w:val="both"/>
        <w:rPr>
          <w:rFonts w:ascii="仿宋" w:eastAsia="仿宋" w:hAnsi="仿宋" w:cs="仿宋" w:hint="eastAsia"/>
          <w:color w:val="auto"/>
          <w:highlight w:val="none"/>
        </w:rPr>
      </w:pPr>
      <w:bookmarkStart w:id="142" w:name="_Toc4673"/>
      <w:bookmarkStart w:id="143" w:name="_Toc6359"/>
      <w:bookmarkStart w:id="144" w:name="_Toc11238"/>
      <w:bookmarkStart w:id="145" w:name="_Toc27408"/>
      <w:r>
        <w:rPr>
          <w:rFonts w:ascii="仿宋" w:eastAsia="仿宋" w:hAnsi="仿宋" w:cs="仿宋" w:hint="eastAsia"/>
          <w:color w:val="auto"/>
          <w:highlight w:val="none"/>
        </w:rPr>
        <w:t xml:space="preserve">（二）存在的问题及分析</w:t>
      </w:r>
      <w:bookmarkEnd w:id="142"/>
      <w:bookmarkEnd w:id="143"/>
      <w:bookmarkEnd w:id="144"/>
      <w:bookmarkEnd w:id="145"/>
    </w:p>
    <w:p>
      <w:pPr>
        <w:bidi w:val="0"/>
        <w:jc w:val="both"/>
        <w:rPr>
          <w:rFonts w:ascii="仿宋" w:eastAsia="仿宋" w:hAnsi="仿宋" w:cs="仿宋" w:hint="eastAsia"/>
          <w:color w:val="auto"/>
          <w:highlight w:val="none"/>
          <w:lang w:val="en-US" w:eastAsia="zh-CN"/>
        </w:rPr>
      </w:pPr>
      <w:bookmarkStart w:id="146" w:name="_Toc20116"/>
      <w:bookmarkStart w:id="147" w:name="_Toc13345"/>
      <w:bookmarkStart w:id="148" w:name="_Toc13270"/>
      <w:bookmarkStart w:id="149" w:name="_Toc22271"/>
      <w:bookmarkStart w:id="150" w:name="_Toc5702"/>
      <w:r>
        <w:rPr>
          <w:rFonts w:ascii="仿宋" w:eastAsia="仿宋" w:hAnsi="仿宋" w:cs="仿宋" w:hint="eastAsia"/>
          <w:color w:val="auto"/>
          <w:highlight w:val="none"/>
          <w:lang w:val="en-US" w:eastAsia="zh-CN"/>
        </w:rPr>
        <w:t xml:space="preserve">1、市场竞争方面：铲车租赁和小型工程服务市场竞争激烈，同行可能以更低价格吸引客户。村集体的铲车业务若缺乏独特优势，难以在市场中脱颖而出，可能因业务不饱和而影响收益。</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 运营管理方面：运营铲车项目需专业管理，涵盖司机调度、设备维护、业务拓展等。村集体缺乏专业管理人才和经验，易造成管理混乱，如设备维护不及时导致故障频发，易影响业务开展和口碑。</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3、业务稳定性方面：业务易受外部因素影响，如经济形势不佳，基础设施建设项目减少，铲车需求随之降低；天气恶劣也会导致工程停工，业务停滞，使收入不稳定。</w:t>
      </w:r>
    </w:p>
    <w:p>
      <w:pPr>
        <w:pStyle w:val="Heading2"/>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六、有关建议</w:t>
      </w:r>
      <w:bookmarkEnd w:id="146"/>
      <w:bookmarkEnd w:id="147"/>
      <w:bookmarkEnd w:id="148"/>
      <w:bookmarkEnd w:id="149"/>
      <w:bookmarkEnd w:id="150"/>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1、充分市场调研，全面了解当地铲车租赁和相关工程服务市场的需求、竞争状况及价格水平，分析项目的可行性和潜在收益。</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2、制定详细计划，包括资金预算、运营模式、业务拓展策略、成本控制措施以及风险应对预案等，确保项目有序推进。</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3、合理预算与成本控制，精确计算购买铲车及后续运营成本，建立严格的财务管理制度，控制各项费用支出，提高资金使用效率。</w:t>
      </w:r>
    </w:p>
    <w:p>
      <w:pPr>
        <w:pStyle w:val="Heading2"/>
        <w:bidi w:val="0"/>
        <w:jc w:val="both"/>
        <w:rPr>
          <w:rFonts w:ascii="仿宋" w:eastAsia="仿宋" w:hAnsi="仿宋" w:cs="仿宋" w:hint="eastAsia"/>
          <w:bCs/>
          <w:iCs/>
          <w:color w:val="auto"/>
          <w:highlight w:val="none"/>
        </w:rPr>
      </w:pPr>
      <w:bookmarkStart w:id="151" w:name="_Toc5794"/>
      <w:bookmarkStart w:id="152" w:name="_Toc12100"/>
      <w:bookmarkStart w:id="153" w:name="_Toc21621"/>
      <w:bookmarkStart w:id="154" w:name="_Toc22823"/>
      <w:bookmarkStart w:id="155" w:name="_Toc24871"/>
      <w:r>
        <w:rPr>
          <w:rFonts w:ascii="仿宋" w:eastAsia="仿宋" w:hAnsi="仿宋" w:cs="仿宋" w:hint="eastAsia"/>
          <w:bCs/>
          <w:iCs/>
          <w:color w:val="auto"/>
          <w:highlight w:val="none"/>
        </w:rPr>
        <w:t xml:space="preserve">七、其他需要说明的问题</w:t>
      </w:r>
      <w:bookmarkEnd w:id="151"/>
      <w:bookmarkEnd w:id="152"/>
      <w:bookmarkEnd w:id="153"/>
      <w:bookmarkEnd w:id="154"/>
      <w:bookmarkEnd w:id="155"/>
    </w:p>
    <w:p>
      <w:pPr>
        <w:bidi w:val="0"/>
        <w:jc w:val="both"/>
        <w:rPr>
          <w:rFonts w:ascii="仿宋" w:eastAsia="仿宋" w:hAnsi="仿宋" w:cs="仿宋" w:hint="eastAsia"/>
          <w:color w:val="auto"/>
          <w:highlight w:val="none"/>
          <w:lang w:val="en-US" w:eastAsia="zh-CN"/>
        </w:rPr>
      </w:pPr>
      <w:bookmarkStart w:id="156" w:name="_Toc30245"/>
      <w:bookmarkStart w:id="157" w:name="_Toc28493"/>
      <w:bookmarkStart w:id="158" w:name="_Toc4210"/>
      <w:r>
        <w:rPr>
          <w:rFonts w:ascii="仿宋" w:eastAsia="仿宋" w:hAnsi="仿宋" w:cs="仿宋" w:hint="eastAsia"/>
          <w:color w:val="auto"/>
          <w:highlight w:val="none"/>
          <w:lang w:val="en-US" w:eastAsia="zh-CN"/>
        </w:rPr>
        <w:t xml:space="preserve">（一）本项目部分间接产生的效果无法准确在短期内衡量，因此很难认定项目产生的全部效果。通过指标来反映绩效，指标的科学性和全面性需要不断地完善和研究。</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（二）评价结果分别编入政府决算和部门预算，报送本级人民代表大会常务委员会，并依法予以公开。</w:t>
      </w:r>
    </w:p>
    <w:p>
      <w:pPr>
        <w:pStyle w:val="Heading2"/>
        <w:bidi w:val="0"/>
        <w:jc w:val="both"/>
        <w:rPr>
          <w:rFonts w:ascii="仿宋" w:eastAsia="仿宋" w:hAnsi="仿宋" w:cs="仿宋" w:hint="eastAsia"/>
          <w:bCs/>
          <w:iCs/>
          <w:color w:val="auto"/>
          <w:highlight w:val="none"/>
        </w:rPr>
      </w:pPr>
      <w:r>
        <w:rPr>
          <w:rFonts w:ascii="仿宋" w:eastAsia="仿宋" w:hAnsi="仿宋" w:cs="仿宋" w:hint="eastAsia"/>
          <w:bCs/>
          <w:iCs/>
          <w:color w:val="auto"/>
          <w:highlight w:val="none"/>
        </w:rPr>
        <w:t xml:space="preserve">八、附件</w:t>
      </w:r>
      <w:bookmarkEnd w:id="156"/>
      <w:bookmarkEnd w:id="157"/>
      <w:bookmarkEnd w:id="158"/>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2、项目支出绩效评价指标体系及评分</w:t>
      </w:r>
    </w:p>
    <w:p>
      <w:pPr>
        <w:pStyle w:val="Heading2"/>
        <w:bidi w:val="0"/>
        <w:jc w:val="both"/>
        <w:rPr>
          <w:rFonts w:ascii="仿宋" w:eastAsia="仿宋" w:hAnsi="仿宋" w:cs="仿宋" w:hint="eastAsia"/>
          <w:bCs/>
          <w:iCs/>
          <w:color w:val="auto"/>
          <w:highlight w:val="none"/>
        </w:rPr>
      </w:pPr>
      <w:bookmarkStart w:id="159" w:name="_Toc15698"/>
      <w:bookmarkStart w:id="160" w:name="_Toc28598"/>
      <w:r>
        <w:br w:type="page"/>
      </w:r>
      <w:r>
        <w:rPr>
          <w:rFonts w:ascii="仿宋" w:eastAsia="仿宋" w:hAnsi="仿宋" w:cs="仿宋" w:hint="eastAsia"/>
          <w:bCs/>
          <w:iCs/>
          <w:color w:val="auto"/>
          <w:highlight w:val="none"/>
        </w:rPr>
        <w:t xml:space="preserve">附件1：</w:t>
      </w:r>
      <w:bookmarkEnd w:id="159"/>
      <w:bookmarkEnd w:id="160"/>
      <w:r>
        <w:rPr>
          <w:rFonts w:ascii="仿宋" w:eastAsia="仿宋" w:hAnsi="仿宋" w:cs="仿宋" w:hint="eastAsia"/>
          <w:color w:val="auto"/>
          <w:highlight w:val="none"/>
        </w:rPr>
        <w:t xml:space="preserve">项目支出绩效自评表</w:t>
      </w:r>
    </w:p>
    <w:tbl>
      <w:tblPr>
        <w:tblStyle w:val="NormalTable"/>
        <w:tblpPr w:leftFromText="180" w:rightFromText="180" w:vertAnchor="text" w:horzAnchor="page" w:tblpX="1852" w:tblpY="2"/>
        <w:tblOverlap w:val="never"/>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593"/>
        <w:gridCol w:w="494"/>
        <w:gridCol w:w="704"/>
        <w:gridCol w:w="599"/>
        <w:gridCol w:w="660"/>
        <w:gridCol w:w="589"/>
        <w:gridCol w:w="509"/>
        <w:gridCol w:w="594"/>
        <w:gridCol w:w="741"/>
        <w:gridCol w:w="589"/>
        <w:gridCol w:w="651"/>
        <w:gridCol w:w="589"/>
        <w:gridCol w:w="599"/>
        <w:gridCol w:w="954"/>
      </w:tblGrid>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35"/>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21"/>
                <w:szCs w:val="21"/>
                <w:highlight w:val="none"/>
                <w:lang w:val="en-US" w:eastAsia="zh-CN"/>
              </w:rPr>
              <w:t xml:space="preserve">项目支出绩效自评表</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15"/>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(2024年度)</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trPr>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项目名称</w:t>
            </w:r>
          </w:p>
        </w:tc>
        <w:tc>
          <w:tcPr>
            <w:tcW w:w="4385"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兴平镇向阳村扶持壮大村集体经济项目</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10"/>
        </w:trPr>
        <w:tc>
          <w:tcPr>
            <w:tcW w:w="61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主管部门</w:t>
            </w:r>
          </w:p>
        </w:tc>
        <w:tc>
          <w:tcPr>
            <w:tcW w:w="1726"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尉犁县兴平镇人民政府</w:t>
            </w:r>
          </w:p>
        </w:tc>
        <w:tc>
          <w:tcPr>
            <w:tcW w:w="75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实施单位</w:t>
            </w:r>
          </w:p>
        </w:tc>
        <w:tc>
          <w:tcPr>
            <w:tcW w:w="1907"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尉犁县兴平镇人民政府</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614"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项目资金</w:t>
            </w:r>
            <w:r>
              <w:rPr>
                <w:rFonts w:ascii="仿宋" w:eastAsia="仿宋" w:hAnsi="仿宋" w:cs="仿宋" w:hint="eastAsia"/>
                <w:color w:val="auto"/>
                <w:sz w:val="15"/>
                <w:szCs w:val="15"/>
                <w:highlight w:val="none"/>
                <w:lang w:val="en-US" w:eastAsia="zh-CN"/>
              </w:rPr>
              <w:br/>
            </w:r>
            <w:r>
              <w:rPr>
                <w:rFonts w:ascii="仿宋" w:eastAsia="仿宋" w:hAnsi="仿宋" w:cs="仿宋" w:hint="eastAsia"/>
                <w:color w:val="auto"/>
                <w:sz w:val="15"/>
                <w:szCs w:val="15"/>
                <w:highlight w:val="none"/>
                <w:lang w:val="en-US" w:eastAsia="zh-CN"/>
              </w:rPr>
              <w:t xml:space="preserve">（万元）</w:t>
            </w:r>
          </w:p>
        </w:tc>
        <w:tc>
          <w:tcPr>
            <w:tcW w:w="73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资金来源</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年初预算数</w:t>
            </w:r>
          </w:p>
        </w:tc>
        <w:tc>
          <w:tcPr>
            <w:tcW w:w="61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全年预算数</w:t>
            </w:r>
          </w:p>
        </w:tc>
        <w:tc>
          <w:tcPr>
            <w:tcW w:w="75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全年执行数</w:t>
            </w:r>
          </w:p>
        </w:tc>
        <w:tc>
          <w:tcPr>
            <w:tcW w:w="6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分值权重</w:t>
            </w:r>
          </w:p>
        </w:tc>
        <w:tc>
          <w:tcPr>
            <w:tcW w:w="67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执行率</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得分</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614"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73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年度资金总额</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50.00</w:t>
            </w:r>
          </w:p>
        </w:tc>
        <w:tc>
          <w:tcPr>
            <w:tcW w:w="61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50.00</w:t>
            </w:r>
          </w:p>
        </w:tc>
        <w:tc>
          <w:tcPr>
            <w:tcW w:w="75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50.00</w:t>
            </w:r>
          </w:p>
        </w:tc>
        <w:tc>
          <w:tcPr>
            <w:tcW w:w="6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w:t>
            </w:r>
          </w:p>
        </w:tc>
        <w:tc>
          <w:tcPr>
            <w:tcW w:w="67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10分</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614"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73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其中：当年财政拨款</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50.00</w:t>
            </w:r>
          </w:p>
        </w:tc>
        <w:tc>
          <w:tcPr>
            <w:tcW w:w="61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50.00</w:t>
            </w:r>
          </w:p>
        </w:tc>
        <w:tc>
          <w:tcPr>
            <w:tcW w:w="75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50.00</w:t>
            </w:r>
          </w:p>
        </w:tc>
        <w:tc>
          <w:tcPr>
            <w:tcW w:w="6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67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42"/>
        </w:trPr>
        <w:tc>
          <w:tcPr>
            <w:tcW w:w="614"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73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上年结转资金</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61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75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6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67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0"/>
        </w:trPr>
        <w:tc>
          <w:tcPr>
            <w:tcW w:w="614"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73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其他资金</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61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75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69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67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350"/>
        </w:trPr>
        <w:tc>
          <w:tcPr>
            <w:tcW w:w="33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年度总体目标</w:t>
            </w:r>
          </w:p>
        </w:tc>
        <w:tc>
          <w:tcPr>
            <w:tcW w:w="2756"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总体目标</w:t>
            </w:r>
          </w:p>
        </w:tc>
        <w:tc>
          <w:tcPr>
            <w:tcW w:w="1907"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总体目标完成情况</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0"/>
        </w:trPr>
        <w:tc>
          <w:tcPr>
            <w:tcW w:w="33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56"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购置1台铲车及配套设施，用于扶持壮大村集体经济收入。</w:t>
            </w:r>
          </w:p>
        </w:tc>
        <w:tc>
          <w:tcPr>
            <w:tcW w:w="1907"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截止2024年12月31日，已完成购置铲车及配套设施采购手续及资金支付手续，用于扶持壮大村集体经济收入。</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15"/>
        </w:trPr>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一级指标</w:t>
            </w:r>
          </w:p>
        </w:tc>
        <w:tc>
          <w:tcPr>
            <w:tcW w:w="39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二级指标</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三级指标</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指标值</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指标值设置依据</w:t>
            </w:r>
          </w:p>
        </w:tc>
        <w:tc>
          <w:tcPr>
            <w:tcW w:w="28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上年完成值</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指标分值权重</w:t>
            </w:r>
          </w:p>
        </w:tc>
        <w:tc>
          <w:tcPr>
            <w:tcW w:w="4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指标赋分规则</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佐证资料</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指标实际完成值</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完成率</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指标得分</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偏差原因分析及改进措施</w:t>
            </w: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815"/>
        </w:trPr>
        <w:tc>
          <w:tcPr>
            <w:tcW w:w="335"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年度绩效指标完成情况</w:t>
            </w:r>
          </w:p>
        </w:tc>
        <w:tc>
          <w:tcPr>
            <w:tcW w:w="27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产出指标</w:t>
            </w:r>
          </w:p>
        </w:tc>
        <w:tc>
          <w:tcPr>
            <w:tcW w:w="39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数量指标</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购置铲车数量</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=1台</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28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10</w:t>
            </w:r>
          </w:p>
        </w:tc>
        <w:tc>
          <w:tcPr>
            <w:tcW w:w="4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按照正常比例赋分</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=1台</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3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9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质量指标</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验收合格率</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28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w:t>
            </w:r>
          </w:p>
        </w:tc>
        <w:tc>
          <w:tcPr>
            <w:tcW w:w="4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按照正常比例赋分</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740"/>
        </w:trPr>
        <w:tc>
          <w:tcPr>
            <w:tcW w:w="33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9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时效指标</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购置及时率</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28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w:t>
            </w:r>
          </w:p>
        </w:tc>
        <w:tc>
          <w:tcPr>
            <w:tcW w:w="4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按照正常比例赋分</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30"/>
        </w:trPr>
        <w:tc>
          <w:tcPr>
            <w:tcW w:w="33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9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ascii="仿宋" w:eastAsia="仿宋" w:hAnsi="仿宋" w:cs="仿宋" w:hint="eastAsia"/>
                <w:color w:val="auto"/>
                <w:kern w:val="44"/>
                <w:sz w:val="15"/>
                <w:szCs w:val="15"/>
                <w:highlight w:val="none"/>
                <w:lang w:val="en-US" w:eastAsia="zh-CN" w:bidi="ar-SA"/>
              </w:rPr>
            </w:pPr>
            <w:r>
              <w:rPr>
                <w:rFonts w:ascii="仿宋" w:eastAsia="仿宋" w:hAnsi="仿宋" w:cs="仿宋" w:hint="eastAsia"/>
                <w:color w:val="auto"/>
                <w:sz w:val="15"/>
                <w:szCs w:val="15"/>
                <w:highlight w:val="none"/>
                <w:lang w:val="en-US" w:eastAsia="zh-CN"/>
              </w:rPr>
              <w:t xml:space="preserve">时效指标</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资金支付及时率</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28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w:t>
            </w:r>
          </w:p>
        </w:tc>
        <w:tc>
          <w:tcPr>
            <w:tcW w:w="4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按照正常比例赋分</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815"/>
        </w:trPr>
        <w:tc>
          <w:tcPr>
            <w:tcW w:w="33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成本指标</w:t>
            </w:r>
          </w:p>
        </w:tc>
        <w:tc>
          <w:tcPr>
            <w:tcW w:w="39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经济成本指标</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购置铲车费用</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&lt;=50万元</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28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20</w:t>
            </w:r>
          </w:p>
        </w:tc>
        <w:tc>
          <w:tcPr>
            <w:tcW w:w="4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按照正常比例赋分</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原始凭证</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=50万元</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20</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55"/>
        </w:trPr>
        <w:tc>
          <w:tcPr>
            <w:tcW w:w="33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9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社会效益指标</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进一步壮大村集体经济</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效果显著</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28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20</w:t>
            </w:r>
          </w:p>
        </w:tc>
        <w:tc>
          <w:tcPr>
            <w:tcW w:w="4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按评判等级赋分</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达成目标</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20</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35"/>
        </w:trPr>
        <w:tc>
          <w:tcPr>
            <w:tcW w:w="335"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7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满意度指标</w:t>
            </w:r>
          </w:p>
        </w:tc>
        <w:tc>
          <w:tcPr>
            <w:tcW w:w="39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满意度指标</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受益村民满意度</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&gt;=95%</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28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10</w:t>
            </w:r>
          </w:p>
        </w:tc>
        <w:tc>
          <w:tcPr>
            <w:tcW w:w="4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满意度赋分</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=95%</w:t>
            </w: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10</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201"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349"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总分</w:t>
            </w:r>
          </w:p>
        </w:tc>
        <w:tc>
          <w:tcPr>
            <w:tcW w:w="37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8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4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6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32"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100分</w:t>
            </w:r>
          </w:p>
        </w:tc>
        <w:tc>
          <w:tcPr>
            <w:tcW w:w="53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bl>
    <w:p>
      <w:pPr>
        <w:ind w:left="0" w:firstLine="0" w:leftChars="0" w:firstLineChars="0"/>
        <w:jc w:val="both"/>
        <w:rPr>
          <w:rFonts w:ascii="仿宋" w:eastAsia="仿宋" w:hAnsi="仿宋" w:cs="仿宋" w:hint="eastAsia"/>
          <w:color w:val="auto"/>
          <w:sz w:val="18"/>
          <w:szCs w:val="18"/>
          <w:highlight w:val="none"/>
        </w:rPr>
      </w:pPr>
    </w:p>
    <w:p>
      <w:pPr>
        <w:pStyle w:val="Heading3"/>
        <w:ind w:left="0" w:firstLine="0" w:leftChars="0" w:firstLineChars="0"/>
        <w:jc w:val="both"/>
        <w:rPr>
          <w:rFonts w:ascii="仿宋" w:eastAsia="仿宋" w:hAnsi="仿宋" w:cs="仿宋" w:hint="eastAsia"/>
          <w:color w:val="auto"/>
          <w:highlight w:val="none"/>
        </w:rPr>
        <w:sectPr>
          <w:footerReference w:type="default" r:id="rId2"/>
          <w:pgSz w:w="11906" w:h="16838" w:orient="portrait"/>
          <w:pgMar w:top="1440" w:right="1800" w:bottom="1440" w:left="1800" w:header="851" w:footer="992" w:gutter="0"/>
          <w:pgBorders/>
          <w:pgNumType w:fmt="decimal"/>
          <w:cols w:num="1" w:space="720">
            <w:col w:w="8306" w:space="720"/>
          </w:cols>
          <w:docGrid w:type="lines" w:linePitch="312" w:charSpace="0"/>
        </w:sectPr>
      </w:pPr>
      <w:bookmarkStart w:id="161" w:name="_Toc1641"/>
      <w:bookmarkStart w:id="162" w:name="_Toc5134"/>
      <w:bookmarkStart w:id="163" w:name="_Toc22143"/>
      <w:bookmarkStart w:id="164" w:name="_Toc28099"/>
    </w:p>
    <w:p>
      <w:pPr>
        <w:pStyle w:val="Heading2"/>
        <w:bidi w:val="0"/>
        <w:jc w:val="both"/>
        <w:rPr>
          <w:rFonts w:ascii="仿宋" w:eastAsia="仿宋" w:hAnsi="仿宋" w:cs="仿宋" w:hint="eastAsia"/>
          <w:color w:val="auto"/>
          <w:highlight w:val="none"/>
        </w:rPr>
      </w:pPr>
      <w:bookmarkStart w:id="165" w:name="_Toc29757"/>
      <w:bookmarkStart w:id="166" w:name="_Toc31300"/>
      <w:r>
        <w:rPr>
          <w:rFonts w:ascii="仿宋" w:eastAsia="仿宋" w:hAnsi="仿宋" w:cs="仿宋" w:hint="eastAsia"/>
          <w:color w:val="auto"/>
          <w:highlight w:val="none"/>
        </w:rPr>
        <w:t xml:space="preserve">附件2：</w:t>
      </w:r>
      <w:bookmarkEnd w:id="161"/>
      <w:bookmarkEnd w:id="162"/>
      <w:bookmarkEnd w:id="163"/>
      <w:bookmarkEnd w:id="164"/>
      <w:bookmarkEnd w:id="165"/>
      <w:bookmarkEnd w:id="166"/>
    </w:p>
    <w:p>
      <w:pPr>
        <w:pStyle w:val="表格标题"/>
        <w:bidi w:val="0"/>
        <w:jc w:val="center"/>
        <w:rPr>
          <w:rFonts w:ascii="仿宋" w:eastAsia="仿宋" w:hAnsi="仿宋" w:cs="仿宋" w:hint="eastAsia"/>
          <w:color w:val="auto"/>
          <w:highlight w:val="none"/>
        </w:rPr>
      </w:pPr>
      <w:bookmarkStart w:id="167" w:name="_Toc28172"/>
      <w:bookmarkStart w:id="168" w:name="_Toc29561"/>
      <w:r>
        <w:rPr>
          <w:rFonts w:ascii="仿宋" w:eastAsia="仿宋" w:hAnsi="仿宋" w:cs="仿宋" w:hint="eastAsia"/>
          <w:color w:val="auto"/>
          <w:highlight w:val="none"/>
        </w:rPr>
        <w:t xml:space="preserve">项目支出绩效评价指标体系及评分</w:t>
      </w:r>
      <w:bookmarkEnd w:id="167"/>
      <w:bookmarkEnd w:id="168"/>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是否符合法律法规、相关政策、发展规划以及部门职责，用以反映和考核项目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项目申请、设立过程是否符合相关要求，用以反映和考核项目</w:t>
            </w:r>
            <w:r>
              <w:rPr>
                <w:rFonts w:ascii="仿宋" w:eastAsia="仿宋" w:hAnsi="仿宋" w:cs="仿宋" w:hint="eastAsia"/>
                <w:color w:val="auto"/>
                <w:sz w:val="18"/>
                <w:szCs w:val="18"/>
                <w:highlight w:val="none"/>
                <w:lang w:eastAsia="zh-CN"/>
              </w:rPr>
              <w:t xml:space="preserve">实施</w:t>
            </w:r>
            <w:r>
              <w:rPr>
                <w:rFonts w:ascii="仿宋" w:eastAsia="仿宋" w:hAnsi="仿宋" w:cs="仿宋" w:hint="eastAsia"/>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eastAsia="zh-CN"/>
              </w:rPr>
            </w:pPr>
            <w:r>
              <w:rPr>
                <w:rFonts w:ascii="仿宋" w:eastAsia="仿宋" w:hAnsi="仿宋" w:cs="仿宋" w:hint="eastAsia"/>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lang w:val="en-US" w:eastAsia="zh-CN"/>
              </w:rPr>
            </w:pPr>
            <w:r>
              <w:rPr>
                <w:rFonts w:ascii="仿宋" w:eastAsia="仿宋" w:hAnsi="仿宋" w:cs="仿宋" w:hint="eastAsia"/>
                <w:color w:val="auto"/>
                <w:sz w:val="18"/>
                <w:szCs w:val="18"/>
                <w:highlight w:val="none"/>
                <w:lang w:val="en-US" w:eastAsia="zh-CN"/>
              </w:rPr>
              <w:t xml:space="preserve">100</w:t>
            </w:r>
            <w:bookmarkEnd w:id="0"/>
          </w:p>
        </w:tc>
      </w:tr>
    </w:tbl>
    <w:p>
      <w:pPr>
        <w:ind w:firstLine="640"/>
        <w:jc w:val="both"/>
        <w:rPr>
          <w:rFonts w:ascii="仿宋" w:eastAsia="仿宋" w:hAnsi="仿宋" w:cs="仿宋" w:hint="eastAsia"/>
          <w:color w:val="auto"/>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embedRegular r:id="rId1" w:fontKey="{A27DF389-0FCC-43A2-9734-452D87C1FE3F}"/>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41">
    <w:name w:val="font41"/>
    <w:basedOn w:val="DefaultParagraphFont"/>
    <w:rPr>
      <w:rFonts w:ascii="宋体" w:eastAsia="宋体" w:hAnsi="宋体" w:cs="宋体" w:hint="eastAsia"/>
      <w:color w:val="000000"/>
      <w:sz w:val="22"/>
      <w:szCs w:val="22"/>
      <w:u w:val="none"/>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B0D30A016FAF4F84A4FE48C9F18E1EEF_13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3</TotalTime>
  <Pages>19</Pages>
  <Words>6797</Words>
  <Characters>7177</Characters>
  <Application>WPS Office_12.1.0.15120_F1E327BC-269C-435d-A152-05C5408002CA</Application>
  <DocSecurity>0</DocSecurity>
  <Lines>110</Lines>
  <Paragraphs>31</Paragraphs>
  <Company>Microsoft</Company>
  <CharactersWithSpaces>7178</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2025-09-04T07:44:53Z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B0D30A016FAF4F84A4FE48C9F18E1EEF_13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