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cx="http://schemas.microsoft.com/office/drawing/2014/chartex">
  <w:body>
    <w:p>
      <w:pPr/>
      <w:r/>
    </w:p>
    <w:p>
      <w:pPr>
        <w:bidi w:val="0"/>
        <w:rPr>
          <w:rFonts w:ascii="仿宋" w:eastAsia="仿宋" w:hAnsi="仿宋" w:cs="仿宋" w:hint="eastAsia"/>
          <w:color w:val="auto"/>
          <w:highlight w:val="none"/>
        </w:rPr>
      </w:pPr>
      <w:bookmarkStart w:id="0" w:name="OLE_LINK1"/>
      <w:bookmarkStart w:id="1" w:name="_GoBack"/>
      <w:bookmarkEnd w:id="1"/>
    </w:p>
    <w:p>
      <w:pPr>
        <w:bidi w:val="0"/>
        <w:ind w:left="0" w:firstLine="0" w:leftChars="0" w:firstLineChars="0"/>
        <w:jc w:val="center"/>
        <w:rPr>
          <w:rFonts w:ascii="仿宋" w:eastAsia="仿宋" w:hAnsi="仿宋" w:cs="仿宋" w:hint="eastAsia"/>
          <w:color w:val="auto"/>
          <w:kern w:val="44"/>
          <w:sz w:val="44"/>
          <w:szCs w:val="44"/>
          <w:highlight w:val="none"/>
          <w:lang w:val="en-US" w:eastAsia="zh-CN" w:bidi="ar-SA"/>
        </w:rPr>
      </w:pPr>
    </w:p>
    <w:p>
      <w:pPr>
        <w:bidi w:val="0"/>
        <w:ind w:left="0" w:firstLine="0" w:leftChars="0" w:firstLineChars="0"/>
        <w:jc w:val="center"/>
        <w:rPr>
          <w:rFonts w:ascii="仿宋" w:eastAsia="仿宋" w:hAnsi="仿宋" w:cs="仿宋" w:hint="eastAsia"/>
          <w:color w:val="auto"/>
          <w:kern w:val="44"/>
          <w:sz w:val="44"/>
          <w:szCs w:val="44"/>
          <w:highlight w:val="none"/>
          <w:lang w:val="en-US" w:eastAsia="zh-CN" w:bidi="ar-SA"/>
        </w:rPr>
      </w:pPr>
    </w:p>
    <w:p>
      <w:pPr>
        <w:bidi w:val="0"/>
        <w:ind w:left="0" w:firstLine="0" w:leftChars="0" w:firstLineChars="0"/>
        <w:jc w:val="center"/>
        <w:rPr>
          <w:rFonts w:ascii="仿宋" w:eastAsia="仿宋" w:hAnsi="仿宋" w:cs="仿宋" w:hint="eastAsia"/>
          <w:color w:val="auto"/>
          <w:kern w:val="44"/>
          <w:sz w:val="44"/>
          <w:szCs w:val="44"/>
          <w:highlight w:val="none"/>
          <w:lang w:val="en-US" w:eastAsia="zh-CN" w:bidi="ar-SA"/>
        </w:rPr>
      </w:pPr>
    </w:p>
    <w:p>
      <w:pPr>
        <w:bidi w:val="0"/>
        <w:ind w:left="0" w:firstLine="0" w:leftChars="0" w:firstLineChars="0"/>
        <w:jc w:val="center"/>
        <w:rPr>
          <w:rFonts w:ascii="仿宋" w:eastAsia="仿宋" w:hAnsi="仿宋" w:cs="仿宋" w:hint="eastAsia"/>
          <w:color w:val="auto"/>
          <w:kern w:val="44"/>
          <w:sz w:val="44"/>
          <w:szCs w:val="44"/>
          <w:highlight w:val="none"/>
          <w:lang w:val="en-US" w:eastAsia="zh-CN" w:bidi="ar-SA"/>
        </w:rPr>
      </w:pPr>
      <w:r>
        <w:rPr>
          <w:rFonts w:ascii="仿宋" w:eastAsia="仿宋" w:hAnsi="仿宋" w:cs="仿宋" w:hint="eastAsia"/>
          <w:color w:val="auto"/>
          <w:kern w:val="44"/>
          <w:sz w:val="44"/>
          <w:szCs w:val="44"/>
          <w:highlight w:val="none"/>
          <w:lang w:val="en-US" w:eastAsia="zh-CN" w:bidi="ar-SA"/>
        </w:rPr>
        <w:t xml:space="preserve">项目支出绩效评价报告</w:t>
      </w:r>
    </w:p>
    <w:p>
      <w:pPr>
        <w:ind w:firstLine="640"/>
        <w:rPr>
          <w:rFonts w:ascii="仿宋" w:eastAsia="仿宋" w:hAnsi="仿宋" w:cs="仿宋" w:hint="eastAsia"/>
          <w:color w:val="auto"/>
          <w:highlight w:val="none"/>
        </w:rPr>
      </w:pPr>
    </w:p>
    <w:p>
      <w:pPr>
        <w:ind w:firstLine="640"/>
        <w:rPr>
          <w:rFonts w:ascii="仿宋" w:eastAsia="仿宋" w:hAnsi="仿宋" w:cs="仿宋" w:hint="eastAsia"/>
          <w:color w:val="auto"/>
          <w:highlight w:val="none"/>
        </w:rPr>
      </w:pPr>
    </w:p>
    <w:p>
      <w:pPr>
        <w:pStyle w:val="表格内容"/>
        <w:bidi w:val="0"/>
        <w:rPr>
          <w:rFonts w:ascii="仿宋" w:eastAsia="仿宋" w:hAnsi="仿宋" w:cs="仿宋" w:hint="eastAsia"/>
          <w:color w:val="auto"/>
          <w:sz w:val="28"/>
          <w:szCs w:val="28"/>
          <w:highlight w:val="none"/>
        </w:rPr>
      </w:pPr>
      <w:r>
        <w:rPr>
          <w:rFonts w:ascii="仿宋" w:eastAsia="仿宋" w:hAnsi="仿宋" w:cs="仿宋" w:hint="eastAsia"/>
          <w:color w:val="auto"/>
          <w:sz w:val="28"/>
          <w:szCs w:val="28"/>
          <w:highlight w:val="none"/>
        </w:rPr>
        <w:t xml:space="preserve">（202</w:t>
      </w:r>
      <w:r>
        <w:rPr>
          <w:rFonts w:ascii="仿宋" w:eastAsia="仿宋" w:hAnsi="仿宋" w:cs="仿宋" w:hint="eastAsia"/>
          <w:color w:val="auto"/>
          <w:sz w:val="28"/>
          <w:szCs w:val="28"/>
          <w:highlight w:val="none"/>
          <w:lang w:val="en-US" w:eastAsia="zh-CN"/>
        </w:rPr>
        <w:t xml:space="preserve">4</w:t>
      </w:r>
      <w:r>
        <w:rPr>
          <w:rFonts w:ascii="仿宋" w:eastAsia="仿宋" w:hAnsi="仿宋" w:cs="仿宋" w:hint="eastAsia"/>
          <w:color w:val="auto"/>
          <w:sz w:val="28"/>
          <w:szCs w:val="28"/>
          <w:highlight w:val="none"/>
        </w:rPr>
        <w:t xml:space="preserve">年度）</w:t>
      </w:r>
    </w:p>
    <w:p>
      <w:pPr>
        <w:ind w:firstLine="640"/>
        <w:rPr>
          <w:rFonts w:ascii="仿宋" w:eastAsia="仿宋" w:hAnsi="仿宋" w:cs="仿宋" w:hint="eastAsia"/>
          <w:color w:val="auto"/>
          <w:highlight w:val="none"/>
          <w:lang w:val="en-US" w:eastAsia="zh-CN"/>
        </w:rPr>
      </w:pPr>
    </w:p>
    <w:p>
      <w:pPr>
        <w:ind w:firstLine="640"/>
        <w:rPr>
          <w:rFonts w:ascii="仿宋" w:eastAsia="仿宋" w:hAnsi="仿宋" w:cs="仿宋" w:hint="eastAsia"/>
          <w:color w:val="auto"/>
          <w:highlight w:val="none"/>
        </w:rPr>
      </w:pPr>
    </w:p>
    <w:p>
      <w:pPr>
        <w:ind w:firstLine="64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ind w:left="0" w:firstLine="640" w:leftChars="0" w:firstLineChars="200"/>
        <w:rPr>
          <w:rFonts w:ascii="仿宋" w:eastAsia="仿宋" w:hAnsi="仿宋" w:cs="仿宋" w:hint="eastAsia"/>
          <w:color w:val="auto"/>
          <w:sz w:val="32"/>
          <w:szCs w:val="32"/>
          <w:highlight w:val="none"/>
          <w:lang w:val="en-US" w:eastAsia="zh-CN"/>
        </w:rPr>
      </w:pPr>
      <w:r>
        <w:rPr>
          <w:rFonts w:ascii="仿宋" w:eastAsia="仿宋" w:hAnsi="仿宋" w:cs="仿宋" w:hint="eastAsia"/>
          <w:color w:val="auto"/>
          <w:sz w:val="32"/>
          <w:szCs w:val="32"/>
          <w:highlight w:val="none"/>
        </w:rPr>
        <w:t xml:space="preserve">项目名称：</w:t>
      </w:r>
      <w:r>
        <w:rPr>
          <w:rFonts w:ascii="仿宋" w:eastAsia="仿宋" w:hAnsi="仿宋" w:cs="仿宋" w:hint="eastAsia"/>
          <w:color w:val="auto"/>
          <w:highlight w:val="none"/>
          <w:lang w:val="en-US" w:eastAsia="zh-CN"/>
        </w:rPr>
        <w:t xml:space="preserve">2024年农机购置补贴（中央）</w:t>
      </w:r>
    </w:p>
    <w:p>
      <w:pPr>
        <w:bidi w:val="0"/>
        <w:ind w:left="640" w:firstLine="0" w:leftChars="200" w:firstLineChars="0"/>
        <w:rPr>
          <w:rFonts w:ascii="仿宋" w:eastAsia="仿宋" w:hAnsi="仿宋" w:cs="仿宋" w:hint="eastAsia"/>
          <w:color w:val="auto"/>
          <w:sz w:val="32"/>
          <w:szCs w:val="32"/>
          <w:highlight w:val="none"/>
          <w:lang w:val="en-US" w:eastAsia="zh-CN"/>
        </w:rPr>
      </w:pPr>
      <w:r>
        <w:rPr>
          <w:rFonts w:ascii="仿宋" w:eastAsia="仿宋" w:hAnsi="仿宋" w:cs="仿宋" w:hint="eastAsia"/>
          <w:color w:val="auto"/>
          <w:sz w:val="32"/>
          <w:szCs w:val="32"/>
          <w:highlight w:val="none"/>
        </w:rPr>
        <w:t xml:space="preserve">实施单位（公章）：</w:t>
      </w:r>
      <w:r>
        <w:rPr>
          <w:rFonts w:ascii="仿宋" w:eastAsia="仿宋" w:hAnsi="仿宋" w:cs="仿宋" w:hint="eastAsia"/>
          <w:color w:val="auto"/>
          <w:sz w:val="32"/>
          <w:szCs w:val="32"/>
          <w:highlight w:val="none"/>
          <w:lang w:val="en-US" w:eastAsia="zh-CN"/>
        </w:rPr>
        <w:t xml:space="preserve">尉犁县农业农村局（乡村振兴局、畜牧兽医局）</w:t>
      </w:r>
    </w:p>
    <w:p>
      <w:pPr>
        <w:bidi w:val="0"/>
        <w:ind w:left="640" w:firstLine="0" w:leftChars="200" w:firstLineChars="0"/>
        <w:rPr>
          <w:rFonts w:ascii="仿宋" w:eastAsia="仿宋" w:hAnsi="仿宋" w:cs="仿宋" w:hint="eastAsia"/>
          <w:color w:val="auto"/>
          <w:highlight w:val="none"/>
        </w:rPr>
      </w:pPr>
      <w:r>
        <w:rPr>
          <w:rFonts w:ascii="仿宋" w:eastAsia="仿宋" w:hAnsi="仿宋" w:cs="仿宋" w:hint="eastAsia"/>
          <w:color w:val="auto"/>
          <w:highlight w:val="none"/>
        </w:rPr>
        <w:t xml:space="preserve">主管部门（公章）：</w:t>
      </w:r>
      <w:r>
        <w:rPr>
          <w:rFonts w:ascii="仿宋" w:eastAsia="仿宋" w:hAnsi="仿宋" w:cs="仿宋" w:hint="eastAsia"/>
          <w:color w:val="auto"/>
          <w:sz w:val="32"/>
          <w:szCs w:val="32"/>
          <w:highlight w:val="none"/>
          <w:lang w:val="en-US" w:eastAsia="zh-CN"/>
        </w:rPr>
        <w:t xml:space="preserve">尉犁县农业农村局（乡村振兴局、畜牧兽医局）</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项目负责人（签章）：</w:t>
      </w:r>
      <w:r>
        <w:rPr>
          <w:rFonts w:ascii="仿宋" w:eastAsia="仿宋" w:hAnsi="仿宋" w:cs="仿宋" w:hint="eastAsia"/>
          <w:color w:val="auto"/>
          <w:highlight w:val="none"/>
          <w:lang w:val="en-US" w:eastAsia="zh-CN"/>
        </w:rPr>
        <w:t xml:space="preserve">亚森·阿布力米提</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填报时间：</w:t>
      </w:r>
      <w:r>
        <w:rPr>
          <w:rFonts w:ascii="仿宋" w:eastAsia="仿宋" w:hAnsi="仿宋" w:cs="仿宋" w:hint="eastAsia"/>
          <w:color w:val="auto"/>
          <w:highlight w:val="none"/>
          <w:lang w:val="en-US" w:eastAsia="zh-CN"/>
        </w:rPr>
        <w:t xml:space="preserve">2025年3月31日</w:t>
      </w:r>
    </w:p>
    <w:p>
      <w:pPr>
        <w:keepLines w:val="0"/>
        <w:pageBreakBefore w:val="0"/>
        <w:widowControl w:val="0"/>
        <w:kinsoku/>
        <w:wordWrap/>
        <w:overflowPunct/>
        <w:topLinePunct w:val="0"/>
        <w:autoSpaceDE/>
        <w:autoSpaceDN/>
        <w:bidi w:val="0"/>
        <w:adjustRightInd/>
        <w:snapToGrid/>
        <w:ind w:firstLine="0" w:firstLineChars="0"/>
        <w:jc w:val="center"/>
        <w:textAlignment w:val="auto"/>
        <w:rPr>
          <w:rFonts w:ascii="仿宋" w:eastAsia="仿宋" w:hAnsi="仿宋" w:cs="仿宋" w:hint="eastAsia"/>
          <w:b/>
          <w:bCs/>
          <w:color w:val="auto"/>
          <w:sz w:val="44"/>
          <w:szCs w:val="44"/>
          <w:highlight w:val="none"/>
        </w:rPr>
      </w:pPr>
      <w:r>
        <w:br w:type="page"/>
      </w:r>
      <w:r>
        <w:rPr>
          <w:rFonts w:ascii="仿宋" w:eastAsia="仿宋" w:hAnsi="仿宋" w:cs="仿宋" w:hint="eastAsia"/>
          <w:b/>
          <w:bCs/>
          <w:color w:val="auto"/>
          <w:sz w:val="44"/>
          <w:szCs w:val="44"/>
          <w:highlight w:val="none"/>
        </w:rPr>
        <w:t xml:space="preserve">目  录</w:t>
      </w:r>
    </w:p>
    <w:p>
      <w:pPr>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rFonts w:ascii="仿宋" w:eastAsia="仿宋" w:hAnsi="仿宋" w:cs="仿宋" w:hint="eastAsia"/>
          <w:color w:val="auto"/>
          <w:highlight w:val="none"/>
        </w:rPr>
      </w:pPr>
      <w:r>
        <w:rPr>
          <w:rFonts w:ascii="仿宋" w:eastAsia="仿宋" w:hAnsi="仿宋" w:cs="仿宋" w:hint="eastAsia"/>
          <w:b/>
          <w:bCs/>
          <w:color w:val="auto"/>
          <w:sz w:val="44"/>
          <w:szCs w:val="44"/>
          <w:highlight w:val="none"/>
        </w:rPr>
        <w:fldChar w:fldCharType="begin"/>
      </w:r>
      <w:r>
        <w:rPr>
          <w:rFonts w:ascii="仿宋" w:eastAsia="仿宋" w:hAnsi="仿宋" w:cs="仿宋" w:hint="eastAsia"/>
          <w:b/>
          <w:bCs/>
          <w:color w:val="auto"/>
          <w:sz w:val="44"/>
          <w:szCs w:val="44"/>
          <w:highlight w:val="none"/>
        </w:rPr>
        <w:instrText xml:space="preserve">TOC \o "1-2" \h \u</w:instrText>
      </w:r>
      <w:r>
        <w:rPr>
          <w:rFonts w:ascii="仿宋" w:eastAsia="仿宋" w:hAnsi="仿宋" w:cs="仿宋" w:hint="eastAsia"/>
          <w:b/>
          <w:bCs/>
          <w:color w:val="auto"/>
          <w:sz w:val="44"/>
          <w:szCs w:val="44"/>
          <w:highlight w:val="none"/>
        </w:rPr>
        <w:fldChar w:fldCharType="separate"/>
      </w:r>
      <w:hyperlink w:anchor="_Toc25620" w:history="1">
        <w:r>
          <w:rPr>
            <w:rFonts w:ascii="仿宋" w:eastAsia="仿宋" w:hAnsi="仿宋" w:cs="仿宋" w:hint="eastAsia"/>
            <w:color w:val="auto"/>
            <w:highlight w:val="none"/>
          </w:rPr>
          <w:t xml:space="preserve">一、基本情况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_Toc25620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rFonts w:ascii="仿宋" w:eastAsia="仿宋" w:hAnsi="仿宋" w:cs="仿宋" w:hint="eastAsia"/>
          <w:color w:val="auto"/>
          <w:highlight w:val="none"/>
        </w:rPr>
      </w:pPr>
      <w:hyperlink w:anchor="_Toc8971" w:history="1">
        <w:r>
          <w:rPr>
            <w:rFonts w:ascii="仿宋" w:eastAsia="仿宋" w:hAnsi="仿宋" w:cs="仿宋" w:hint="eastAsia"/>
            <w:color w:val="auto"/>
            <w:highlight w:val="none"/>
          </w:rPr>
          <w:t xml:space="preserve">（一）项目概况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_Toc8971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rFonts w:ascii="仿宋" w:eastAsia="仿宋" w:hAnsi="仿宋" w:cs="仿宋" w:hint="eastAsia"/>
          <w:color w:val="auto"/>
          <w:highlight w:val="none"/>
        </w:rPr>
      </w:pPr>
      <w:hyperlink w:anchor="_Toc25187" w:history="1">
        <w:r>
          <w:rPr>
            <w:rFonts w:ascii="仿宋" w:eastAsia="仿宋" w:hAnsi="仿宋" w:cs="仿宋" w:hint="eastAsia"/>
            <w:color w:val="auto"/>
            <w:highlight w:val="none"/>
          </w:rPr>
          <w:t xml:space="preserve">（二）项目绩效目标</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_Toc25187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3</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rFonts w:ascii="仿宋" w:eastAsia="仿宋" w:hAnsi="仿宋" w:cs="仿宋" w:hint="eastAsia"/>
          <w:color w:val="auto"/>
          <w:highlight w:val="none"/>
        </w:rPr>
      </w:pPr>
      <w:hyperlink w:anchor="_Toc28824" w:history="1">
        <w:r>
          <w:rPr>
            <w:rFonts w:ascii="仿宋" w:eastAsia="仿宋" w:hAnsi="仿宋" w:cs="仿宋" w:hint="eastAsia"/>
            <w:color w:val="auto"/>
            <w:highlight w:val="none"/>
          </w:rPr>
          <w:t xml:space="preserve">二、绩效评价工作开展情况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_Toc28824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3</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rFonts w:ascii="仿宋" w:eastAsia="仿宋" w:hAnsi="仿宋" w:cs="仿宋" w:hint="eastAsia"/>
          <w:color w:val="auto"/>
          <w:highlight w:val="none"/>
        </w:rPr>
      </w:pPr>
      <w:hyperlink w:anchor="_Toc24175" w:history="1">
        <w:r>
          <w:rPr>
            <w:rFonts w:ascii="仿宋" w:eastAsia="仿宋" w:hAnsi="仿宋" w:cs="仿宋" w:hint="eastAsia"/>
            <w:color w:val="auto"/>
            <w:highlight w:val="none"/>
          </w:rPr>
          <w:t xml:space="preserve">（一）绩效评价目的、对象和范围</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_Toc24175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4</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rFonts w:ascii="仿宋" w:eastAsia="仿宋" w:hAnsi="仿宋" w:cs="仿宋" w:hint="eastAsia"/>
          <w:color w:val="auto"/>
          <w:highlight w:val="none"/>
        </w:rPr>
      </w:pPr>
      <w:hyperlink w:anchor="_Toc5109" w:history="1">
        <w:r>
          <w:rPr>
            <w:rFonts w:ascii="仿宋" w:eastAsia="仿宋" w:hAnsi="仿宋" w:cs="仿宋" w:hint="eastAsia"/>
            <w:color w:val="auto"/>
            <w:highlight w:val="none"/>
          </w:rPr>
          <w:t xml:space="preserve">（二）绩效评价原则、评价指标体系、评价方法、评价标准</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_Toc5109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6</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rFonts w:ascii="仿宋" w:eastAsia="仿宋" w:hAnsi="仿宋" w:cs="仿宋" w:hint="eastAsia"/>
          <w:color w:val="auto"/>
          <w:highlight w:val="none"/>
        </w:rPr>
      </w:pPr>
      <w:hyperlink w:anchor="_Toc23796" w:history="1">
        <w:r>
          <w:rPr>
            <w:rFonts w:ascii="仿宋" w:eastAsia="仿宋" w:hAnsi="仿宋" w:cs="仿宋" w:hint="eastAsia"/>
            <w:color w:val="auto"/>
            <w:highlight w:val="none"/>
          </w:rPr>
          <w:t xml:space="preserve">（三）绩效评价工作过程</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_Toc23796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9</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rFonts w:ascii="仿宋" w:eastAsia="仿宋" w:hAnsi="仿宋" w:cs="仿宋" w:hint="eastAsia"/>
          <w:color w:val="auto"/>
          <w:highlight w:val="none"/>
        </w:rPr>
      </w:pPr>
      <w:hyperlink w:anchor="_Toc20784" w:history="1">
        <w:r>
          <w:rPr>
            <w:rFonts w:ascii="仿宋" w:eastAsia="仿宋" w:hAnsi="仿宋" w:cs="仿宋" w:hint="eastAsia"/>
            <w:color w:val="auto"/>
            <w:highlight w:val="none"/>
          </w:rPr>
          <w:t xml:space="preserve">三、综合评价情况及评价结论</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_Toc20784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11</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rFonts w:ascii="仿宋" w:eastAsia="仿宋" w:hAnsi="仿宋" w:cs="仿宋" w:hint="eastAsia"/>
          <w:color w:val="auto"/>
          <w:highlight w:val="none"/>
        </w:rPr>
      </w:pPr>
      <w:hyperlink w:anchor="_Toc8960" w:history="1">
        <w:r>
          <w:rPr>
            <w:rFonts w:ascii="仿宋" w:eastAsia="仿宋" w:hAnsi="仿宋" w:cs="仿宋" w:hint="eastAsia"/>
            <w:color w:val="auto"/>
            <w:highlight w:val="none"/>
          </w:rPr>
          <w:t xml:space="preserve">四、绩效评价指标分析</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_Toc8960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12</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rFonts w:ascii="仿宋" w:eastAsia="仿宋" w:hAnsi="仿宋" w:cs="仿宋" w:hint="eastAsia"/>
          <w:color w:val="auto"/>
          <w:highlight w:val="none"/>
        </w:rPr>
      </w:pPr>
      <w:hyperlink w:anchor="_Toc3445" w:history="1">
        <w:r>
          <w:rPr>
            <w:rFonts w:ascii="仿宋" w:eastAsia="仿宋" w:hAnsi="仿宋" w:cs="仿宋" w:hint="eastAsia"/>
            <w:color w:val="auto"/>
            <w:highlight w:val="none"/>
          </w:rPr>
          <w:t xml:space="preserve">（一）项目决策情况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_Toc3445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12</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rFonts w:ascii="仿宋" w:eastAsia="仿宋" w:hAnsi="仿宋" w:cs="仿宋" w:hint="eastAsia"/>
          <w:color w:val="auto"/>
          <w:highlight w:val="none"/>
        </w:rPr>
      </w:pPr>
      <w:hyperlink w:anchor="_Toc11290" w:history="1">
        <w:r>
          <w:rPr>
            <w:rFonts w:ascii="仿宋" w:eastAsia="仿宋" w:hAnsi="仿宋" w:cs="仿宋" w:hint="eastAsia"/>
            <w:color w:val="auto"/>
            <w:highlight w:val="none"/>
          </w:rPr>
          <w:t xml:space="preserve">（二）项目过程情况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_Toc11290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14</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rFonts w:ascii="仿宋" w:eastAsia="仿宋" w:hAnsi="仿宋" w:cs="仿宋" w:hint="eastAsia"/>
          <w:color w:val="auto"/>
          <w:highlight w:val="none"/>
        </w:rPr>
      </w:pPr>
      <w:hyperlink w:anchor="_Toc32013" w:history="1">
        <w:r>
          <w:rPr>
            <w:rFonts w:ascii="仿宋" w:eastAsia="仿宋" w:hAnsi="仿宋" w:cs="仿宋" w:hint="eastAsia"/>
            <w:color w:val="auto"/>
            <w:highlight w:val="none"/>
          </w:rPr>
          <w:t xml:space="preserve">（三）项目产出情况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_Toc32013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16</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rFonts w:ascii="仿宋" w:eastAsia="仿宋" w:hAnsi="仿宋" w:cs="仿宋" w:hint="eastAsia"/>
          <w:color w:val="auto"/>
          <w:highlight w:val="none"/>
        </w:rPr>
      </w:pPr>
      <w:hyperlink w:anchor="_Toc28354" w:history="1">
        <w:r>
          <w:rPr>
            <w:rFonts w:ascii="仿宋" w:eastAsia="仿宋" w:hAnsi="仿宋" w:cs="仿宋" w:hint="eastAsia"/>
            <w:color w:val="auto"/>
            <w:highlight w:val="none"/>
          </w:rPr>
          <w:t xml:space="preserve">（四）项目效益情况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_Toc28354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16</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rFonts w:ascii="仿宋" w:eastAsia="仿宋" w:hAnsi="仿宋" w:cs="仿宋" w:hint="eastAsia"/>
          <w:color w:val="auto"/>
          <w:highlight w:val="none"/>
        </w:rPr>
      </w:pPr>
      <w:hyperlink w:anchor="_Toc27244" w:history="1">
        <w:r>
          <w:rPr>
            <w:rFonts w:ascii="仿宋" w:eastAsia="仿宋" w:hAnsi="仿宋" w:cs="仿宋" w:hint="eastAsia"/>
            <w:color w:val="auto"/>
            <w:highlight w:val="none"/>
          </w:rPr>
          <w:t xml:space="preserve">五、主要经验及做法、存在的问题及原因分析</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_Toc27244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17</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rFonts w:ascii="仿宋" w:eastAsia="仿宋" w:hAnsi="仿宋" w:cs="仿宋" w:hint="eastAsia"/>
          <w:color w:val="auto"/>
          <w:highlight w:val="none"/>
        </w:rPr>
      </w:pPr>
      <w:hyperlink w:anchor="_Toc18880" w:history="1">
        <w:r>
          <w:rPr>
            <w:rFonts w:ascii="仿宋" w:eastAsia="仿宋" w:hAnsi="仿宋" w:cs="仿宋" w:hint="eastAsia"/>
            <w:color w:val="auto"/>
            <w:highlight w:val="none"/>
          </w:rPr>
          <w:t xml:space="preserve">（一）主要经验及做法</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_Toc18880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17</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left="640" w:firstLine="0" w:firstLineChars="0"/>
        <w:textAlignment w:val="auto"/>
        <w:rPr>
          <w:rFonts w:ascii="仿宋" w:eastAsia="仿宋" w:hAnsi="仿宋" w:cs="仿宋" w:hint="eastAsia"/>
          <w:color w:val="auto"/>
          <w:highlight w:val="none"/>
        </w:rPr>
      </w:pPr>
      <w:hyperlink w:anchor="_Toc9914" w:history="1">
        <w:r>
          <w:rPr>
            <w:rFonts w:ascii="仿宋" w:eastAsia="仿宋" w:hAnsi="仿宋" w:cs="仿宋" w:hint="eastAsia"/>
            <w:color w:val="auto"/>
            <w:highlight w:val="none"/>
          </w:rPr>
          <w:t xml:space="preserve">（二）存在问题及原因分析</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_Toc9914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18</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rFonts w:ascii="仿宋" w:eastAsia="仿宋" w:hAnsi="仿宋" w:cs="仿宋" w:hint="eastAsia"/>
          <w:color w:val="auto"/>
          <w:highlight w:val="none"/>
        </w:rPr>
      </w:pPr>
      <w:hyperlink w:anchor="_Toc2334" w:history="1">
        <w:r>
          <w:rPr>
            <w:rFonts w:ascii="仿宋" w:eastAsia="仿宋" w:hAnsi="仿宋" w:cs="仿宋" w:hint="eastAsia"/>
            <w:color w:val="auto"/>
            <w:highlight w:val="none"/>
          </w:rPr>
          <w:t xml:space="preserve">六、有关建议</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_Toc2334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18</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rFonts w:ascii="仿宋" w:eastAsia="仿宋" w:hAnsi="仿宋" w:cs="仿宋" w:hint="eastAsia"/>
          <w:color w:val="auto"/>
          <w:highlight w:val="none"/>
        </w:rPr>
      </w:pPr>
      <w:hyperlink w:anchor="_Toc30571" w:history="1">
        <w:r>
          <w:rPr>
            <w:rFonts w:ascii="仿宋" w:eastAsia="仿宋" w:hAnsi="仿宋" w:cs="仿宋" w:hint="eastAsia"/>
            <w:color w:val="auto"/>
            <w:highlight w:val="none"/>
          </w:rPr>
          <w:t xml:space="preserve">七、其他需要说明的问题</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_Toc30571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18</w:t>
        </w:r>
        <w:r>
          <w:rPr>
            <w:rFonts w:ascii="仿宋" w:eastAsia="仿宋" w:hAnsi="仿宋" w:cs="仿宋" w:hint="eastAsia"/>
            <w:color w:val="auto"/>
            <w:highlight w:val="none"/>
          </w:rPr>
          <w:fldChar w:fldCharType="end"/>
        </w:r>
      </w:hyperlink>
    </w:p>
    <w:p>
      <w:pPr>
        <w:keepLines w:val="0"/>
        <w:pageBreakBefore w:val="0"/>
        <w:widowControl w:val="0"/>
        <w:tabs>
          <w:tab w:val="right" w:leader="dot" w:pos="8306"/>
        </w:tabs>
        <w:kinsoku/>
        <w:wordWrap/>
        <w:overflowPunct/>
        <w:topLinePunct w:val="0"/>
        <w:autoSpaceDE/>
        <w:autoSpaceDN/>
        <w:bidi w:val="0"/>
        <w:adjustRightInd/>
        <w:snapToGrid/>
        <w:ind w:firstLine="0" w:firstLineChars="0"/>
        <w:textAlignment w:val="auto"/>
        <w:rPr>
          <w:rFonts w:ascii="仿宋" w:eastAsia="仿宋" w:hAnsi="仿宋" w:cs="仿宋" w:hint="eastAsia"/>
          <w:color w:val="auto"/>
          <w:highlight w:val="none"/>
        </w:rPr>
      </w:pPr>
      <w:hyperlink w:anchor="_Toc10180" w:history="1">
        <w:r>
          <w:rPr>
            <w:rFonts w:ascii="仿宋" w:eastAsia="仿宋" w:hAnsi="仿宋" w:cs="仿宋" w:hint="eastAsia"/>
            <w:color w:val="auto"/>
            <w:highlight w:val="none"/>
          </w:rPr>
          <w:t xml:space="preserve">八、相关附件</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_Toc10180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19</w:t>
        </w:r>
        <w:r>
          <w:rPr>
            <w:rFonts w:ascii="仿宋" w:eastAsia="仿宋" w:hAnsi="仿宋" w:cs="仿宋" w:hint="eastAsia"/>
            <w:color w:val="auto"/>
            <w:highlight w:val="none"/>
          </w:rPr>
          <w:fldChar w:fldCharType="end"/>
        </w:r>
      </w:hyperlink>
    </w:p>
    <w:p>
      <w:pPr>
        <w:pStyle w:val="Heading2"/>
        <w:keepLines w:val="0"/>
        <w:pageBreakBefore w:val="0"/>
        <w:widowControl w:val="0"/>
        <w:kinsoku/>
        <w:wordWrap/>
        <w:overflowPunct/>
        <w:topLinePunct w:val="0"/>
        <w:autoSpaceDE/>
        <w:autoSpaceDN/>
        <w:bidi w:val="0"/>
        <w:adjustRightInd/>
        <w:snapToGrid/>
        <w:ind w:firstLine="0" w:firstLineChars="0"/>
        <w:textAlignment w:val="auto"/>
        <w:rPr>
          <w:rFonts w:ascii="仿宋" w:eastAsia="仿宋" w:hAnsi="仿宋" w:cs="仿宋" w:hint="eastAsia"/>
          <w:bCs/>
          <w:color w:val="auto"/>
          <w:szCs w:val="44"/>
          <w:highlight w:val="none"/>
        </w:rPr>
        <w:sectPr>
          <w:pgSz w:w="11906" w:h="16838" w:orient="portrait"/>
          <w:pgMar w:top="1440" w:right="1800" w:bottom="1440" w:left="1800" w:header="851" w:footer="992" w:gutter="0"/>
          <w:pgBorders>
            <w:top w:val="none" w:sz="0" w:space="0" w:color="auto"/>
            <w:left w:val="none" w:sz="0" w:space="0" w:color="auto"/>
            <w:bottom w:val="none" w:sz="0" w:space="0" w:color="auto"/>
            <w:right w:val="none" w:sz="0" w:space="0" w:color="auto"/>
          </w:pgBorders>
          <w:pgNumType w:start="1"/>
          <w:cols w:num="1" w:space="720">
            <w:col w:w="8306" w:space="720"/>
          </w:cols>
          <w:docGrid w:type="lines" w:linePitch="312" w:charSpace="0"/>
        </w:sectPr>
      </w:pPr>
    </w:p>
    <w:p>
      <w:pPr>
        <w:pStyle w:val="Heading2"/>
        <w:keepLines w:val="0"/>
        <w:pageBreakBefore w:val="0"/>
        <w:widowControl w:val="0"/>
        <w:kinsoku/>
        <w:wordWrap/>
        <w:overflowPunct/>
        <w:topLinePunct w:val="0"/>
        <w:autoSpaceDE/>
        <w:autoSpaceDN/>
        <w:bidi w:val="0"/>
        <w:adjustRightInd/>
        <w:snapToGrid/>
        <w:ind w:firstLine="0" w:firstLineChars="0"/>
        <w:textAlignment w:val="auto"/>
        <w:rPr>
          <w:rFonts w:ascii="仿宋" w:eastAsia="仿宋" w:hAnsi="仿宋" w:cs="仿宋" w:hint="eastAsia"/>
          <w:color w:val="auto"/>
          <w:highlight w:val="none"/>
        </w:rPr>
      </w:pPr>
      <w:r>
        <w:rPr>
          <w:rFonts w:ascii="仿宋" w:eastAsia="仿宋" w:hAnsi="仿宋" w:cs="仿宋" w:hint="eastAsia"/>
          <w:bCs/>
          <w:color w:val="auto"/>
          <w:szCs w:val="44"/>
          <w:highlight w:val="none"/>
        </w:rPr>
        <w:fldChar w:fldCharType="end"/>
      </w:r>
      <w:bookmarkStart w:id="2" w:name="_Toc25620"/>
      <w:r>
        <w:rPr>
          <w:rFonts w:ascii="仿宋" w:eastAsia="仿宋" w:hAnsi="仿宋" w:cs="仿宋" w:hint="eastAsia"/>
          <w:bCs/>
          <w:color w:val="auto"/>
          <w:szCs w:val="44"/>
          <w:highlight w:val="none"/>
          <w:lang w:val="en-US" w:eastAsia="zh-CN"/>
        </w:rPr>
        <w:t xml:space="preserve">    </w:t>
      </w:r>
      <w:r>
        <w:rPr>
          <w:rFonts w:ascii="仿宋" w:eastAsia="仿宋" w:hAnsi="仿宋" w:cs="仿宋" w:hint="eastAsia"/>
          <w:color w:val="auto"/>
          <w:highlight w:val="none"/>
        </w:rPr>
        <w:t xml:space="preserve">一、基本情况</w:t>
      </w:r>
      <w:bookmarkEnd w:id="2"/>
    </w:p>
    <w:p>
      <w:pPr>
        <w:pStyle w:val="Heading3"/>
        <w:bidi w:val="0"/>
        <w:rPr>
          <w:rFonts w:ascii="仿宋" w:eastAsia="仿宋" w:hAnsi="仿宋" w:cs="仿宋" w:hint="eastAsia"/>
          <w:color w:val="auto"/>
          <w:highlight w:val="none"/>
        </w:rPr>
      </w:pPr>
      <w:bookmarkStart w:id="3" w:name="_Toc8971"/>
      <w:r>
        <w:rPr>
          <w:rFonts w:ascii="仿宋" w:eastAsia="仿宋" w:hAnsi="仿宋" w:cs="仿宋" w:hint="eastAsia"/>
          <w:color w:val="auto"/>
          <w:highlight w:val="none"/>
        </w:rPr>
        <w:t xml:space="preserve">（一）项目概况</w:t>
      </w:r>
      <w:bookmarkEnd w:id="3"/>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1、项目背景</w:t>
      </w:r>
    </w:p>
    <w:p>
      <w:pPr>
        <w:bidi w:val="0"/>
        <w:ind w:left="0" w:firstLine="640" w:leftChars="0" w:firstLineChars="20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坚持以习近平新时代中国特色社会主义思想为指导，全面贯彻落实党的二十大精神和中央经济工作会议、中央农村工作会议、中央一号文件部署,深入贯彻落实第三次中央新疆工作座谈会精神，完整、准确、全面贯彻新发展理念，以保障粮食和重要农产品稳定安全供给、促进种植业绿色高质量发展为目标，坚持“稳粮、优棉、强果、兴畜、促特色”总思路，以满足广大农牧民对机械化生产的需要为目标，以稳定实施政策、最大限度发挥政策效益为主线，稳重点、扩范围、优服务、强监管、提效能，持续提升政策实施的精准化、规范化、便利化水平，支持引导农民购置使用先进适用的农业机械，引领推动农业机械化向全程全面高质高效发展，加快推动农机装备产业转型升级，为实施乡村振兴战略、推进农业农村现代化提供坚实支撑。</w:t>
      </w:r>
    </w:p>
    <w:p>
      <w:pPr>
        <w:bidi w:val="0"/>
        <w:ind w:left="0" w:firstLine="640" w:leftChars="0" w:firstLineChars="20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在此背景下，尉犁县农业农村局根据《关于提前下达2024年中央农业产业发展资金预算的通知-农机购置与应用补贴》(巴财农[2023]55号)文件，实施2024年农机购置补贴项目，促进技术升级，推动尉犁县农业机械化与现代化，提升农业生产力，减轻农民负担，促进农业产业结构调整，推动农村社会服务体系建设。</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2、项目主要内容</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完成对直接从事农业生产的个人或生产经营组织购买农业机械给予补贴，补贴对象为从事农业生产的农民和农业生产经营组织，包括农村集体经济组织、农民专业合作经济组织、农业企业和其他从事农业生产经营的组织。中央财政农机购置与应用补贴实行定额补贴。在资金总量控制、满足补贴资金兑付需求前提下，适当提高部分农业生产急需适用、重点短板机具补贴额测算比例，补贴额测算比例原则上最高不超过30%。</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3、项目实施情况</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在农机购置补贴项目开展过程中，尉犁县农业农村局积极完成监管兑付工作，重点监管虚报冒领、截留挪用、贪污侵占、代管扣卡等违法违规行为。乡镇农机站对农机购置补贴政策信息、农机补贴操作程序和具体要求进行宣传，积极做好农机购置补贴机具申请补贴的核验工作、初审、补贴资金支付工作，县农机化推广站与各乡镇相互配合，严格把控农机购置补贴发放工作各个环节，完成对直接从事农业生产的个人或生产经营组织购买农业机械给予补贴，补贴机具771台（套），补短板重点机械数量99台（套），有效提高耕作、播种、收割等环节的效率、提升农业机械化水平，促进全县农业发展。</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4、资金投入情况</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根据</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关于提前下达2024年中央农业产业发展资金（农机购置与应用补贴）预算的通知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巴财农</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202</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55</w:t>
      </w:r>
      <w:r>
        <w:rPr>
          <w:rFonts w:ascii="仿宋" w:eastAsia="仿宋" w:hAnsi="仿宋" w:cs="仿宋" w:hint="eastAsia"/>
          <w:color w:val="auto"/>
          <w:highlight w:val="none"/>
        </w:rPr>
        <w:t xml:space="preserve">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w:t>
      </w:r>
      <w:r>
        <w:rPr>
          <w:rFonts w:ascii="仿宋" w:eastAsia="仿宋" w:hAnsi="仿宋" w:cs="仿宋" w:hint="eastAsia"/>
          <w:color w:val="auto"/>
          <w:highlight w:val="none"/>
        </w:rPr>
        <w:t xml:space="preserve">下达</w:t>
      </w:r>
      <w:r>
        <w:rPr>
          <w:rFonts w:ascii="仿宋" w:eastAsia="仿宋" w:hAnsi="仿宋" w:cs="仿宋" w:hint="eastAsia"/>
          <w:color w:val="auto"/>
          <w:highlight w:val="none"/>
          <w:lang w:val="en-US" w:eastAsia="zh-CN"/>
        </w:rPr>
        <w:t xml:space="preserve">2024年农机购置补贴资金2280万元。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实施2024年农机购置补贴投入2280万元，资金来源为中央专项资金，全部用于发放农机购置补贴。</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5、资金使用情况</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本项目</w:t>
      </w:r>
      <w:r>
        <w:rPr>
          <w:rFonts w:ascii="仿宋" w:eastAsia="仿宋" w:hAnsi="仿宋" w:cs="仿宋" w:hint="eastAsia"/>
          <w:color w:val="auto"/>
          <w:sz w:val="32"/>
          <w:szCs w:val="32"/>
          <w:highlight w:val="none"/>
          <w:lang w:eastAsia="zh-CN"/>
        </w:rPr>
        <w:t xml:space="preserve">年初预算数</w:t>
      </w:r>
      <w:r>
        <w:rPr>
          <w:rFonts w:ascii="仿宋" w:eastAsia="仿宋" w:hAnsi="仿宋" w:cs="仿宋" w:hint="eastAsia"/>
          <w:color w:val="auto"/>
          <w:highlight w:val="none"/>
          <w:lang w:val="en-US" w:eastAsia="zh-CN"/>
        </w:rPr>
        <w:t xml:space="preserve">2280</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实际到位资金</w:t>
      </w:r>
      <w:r>
        <w:rPr>
          <w:rFonts w:ascii="仿宋" w:eastAsia="仿宋" w:hAnsi="仿宋" w:cs="仿宋" w:hint="eastAsia"/>
          <w:color w:val="auto"/>
          <w:highlight w:val="none"/>
          <w:lang w:val="en-US" w:eastAsia="zh-CN"/>
        </w:rPr>
        <w:t xml:space="preserve">2280</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。截至202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lang w:eastAsia="zh-CN"/>
        </w:rPr>
        <w:t xml:space="preserve">年</w:t>
      </w:r>
      <w:r>
        <w:rPr>
          <w:rFonts w:ascii="仿宋" w:eastAsia="仿宋" w:hAnsi="仿宋" w:cs="仿宋" w:hint="eastAsia"/>
          <w:color w:val="auto"/>
          <w:highlight w:val="none"/>
        </w:rPr>
        <w:t xml:space="preserve">12月31日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项目实际使用资金</w:t>
      </w:r>
      <w:r>
        <w:rPr>
          <w:rFonts w:ascii="仿宋" w:eastAsia="仿宋" w:hAnsi="仿宋" w:cs="仿宋" w:hint="eastAsia"/>
          <w:color w:val="auto"/>
          <w:highlight w:val="none"/>
          <w:lang w:val="en-US" w:eastAsia="zh-CN"/>
        </w:rPr>
        <w:t xml:space="preserve">2280</w:t>
      </w:r>
      <w:r>
        <w:rPr>
          <w:rFonts w:ascii="仿宋" w:eastAsia="仿宋" w:hAnsi="仿宋" w:cs="仿宋" w:hint="eastAsia"/>
          <w:color w:val="auto"/>
          <w:highlight w:val="none"/>
        </w:rPr>
        <w:t xml:space="preserve">万元，资金</w:t>
      </w:r>
      <w:r>
        <w:rPr>
          <w:rFonts w:ascii="仿宋" w:eastAsia="仿宋" w:hAnsi="仿宋" w:cs="仿宋" w:hint="eastAsia"/>
          <w:color w:val="auto"/>
          <w:highlight w:val="none"/>
          <w:lang w:val="en-US" w:eastAsia="zh-CN"/>
        </w:rPr>
        <w:t xml:space="preserve">使用</w:t>
      </w:r>
      <w:r>
        <w:rPr>
          <w:rFonts w:ascii="仿宋" w:eastAsia="仿宋" w:hAnsi="仿宋" w:cs="仿宋" w:hint="eastAsia"/>
          <w:color w:val="auto"/>
          <w:highlight w:val="none"/>
        </w:rPr>
        <w:t xml:space="preserve">率达到了</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%。资金</w:t>
      </w:r>
      <w:r>
        <w:rPr>
          <w:rFonts w:ascii="仿宋" w:eastAsia="仿宋" w:hAnsi="仿宋" w:cs="仿宋" w:hint="eastAsia"/>
          <w:color w:val="auto"/>
          <w:highlight w:val="none"/>
          <w:lang w:val="en-US" w:eastAsia="zh-CN"/>
        </w:rPr>
        <w:t xml:space="preserve">支付</w:t>
      </w:r>
      <w:r>
        <w:rPr>
          <w:rFonts w:ascii="仿宋" w:eastAsia="仿宋" w:hAnsi="仿宋" w:cs="仿宋" w:hint="eastAsia"/>
          <w:color w:val="auto"/>
          <w:highlight w:val="none"/>
        </w:rPr>
        <w:t xml:space="preserve">情况如下：</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eastAsia="zh-CN"/>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年0</w:t>
      </w:r>
      <w:r>
        <w:rPr>
          <w:rFonts w:ascii="仿宋" w:eastAsia="仿宋" w:hAnsi="仿宋" w:cs="仿宋" w:hint="eastAsia"/>
          <w:color w:val="auto"/>
          <w:highlight w:val="none"/>
          <w:lang w:val="en-US" w:eastAsia="zh-CN"/>
        </w:rPr>
        <w:t xml:space="preserve">7</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24</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33.5500</w:t>
      </w:r>
      <w:r>
        <w:rPr>
          <w:rFonts w:ascii="仿宋" w:eastAsia="仿宋" w:hAnsi="仿宋" w:cs="仿宋" w:hint="eastAsia"/>
          <w:color w:val="auto"/>
          <w:highlight w:val="none"/>
        </w:rPr>
        <w:t xml:space="preserve">万元；</w:t>
      </w:r>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年0</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29</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2033.6860</w:t>
      </w:r>
      <w:r>
        <w:rPr>
          <w:rFonts w:ascii="仿宋" w:eastAsia="仿宋" w:hAnsi="仿宋" w:cs="仿宋" w:hint="eastAsia"/>
          <w:color w:val="auto"/>
          <w:highlight w:val="none"/>
        </w:rPr>
        <w:t xml:space="preserve">万元；</w:t>
      </w:r>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年0</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29</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209.3490</w:t>
      </w:r>
      <w:r>
        <w:rPr>
          <w:rFonts w:ascii="仿宋" w:eastAsia="仿宋" w:hAnsi="仿宋" w:cs="仿宋" w:hint="eastAsia"/>
          <w:color w:val="auto"/>
          <w:highlight w:val="none"/>
        </w:rPr>
        <w:t xml:space="preserve">万元；</w:t>
      </w:r>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10</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30</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3.4150</w:t>
      </w:r>
      <w:r>
        <w:rPr>
          <w:rFonts w:ascii="仿宋" w:eastAsia="仿宋" w:hAnsi="仿宋" w:cs="仿宋" w:hint="eastAsia"/>
          <w:color w:val="auto"/>
          <w:highlight w:val="none"/>
        </w:rPr>
        <w:t xml:space="preserve">万元；</w:t>
      </w:r>
    </w:p>
    <w:p>
      <w:pPr>
        <w:pStyle w:val="Heading3"/>
        <w:bidi w:val="0"/>
        <w:ind w:left="0" w:firstLine="320" w:leftChars="0" w:firstLineChars="100"/>
        <w:rPr>
          <w:rFonts w:ascii="仿宋" w:eastAsia="仿宋" w:hAnsi="仿宋" w:cs="仿宋" w:hint="eastAsia"/>
          <w:color w:val="auto"/>
          <w:highlight w:val="none"/>
        </w:rPr>
      </w:pPr>
      <w:bookmarkStart w:id="4" w:name="_Toc25187"/>
      <w:r>
        <w:rPr>
          <w:rFonts w:ascii="仿宋" w:eastAsia="仿宋" w:hAnsi="仿宋" w:cs="仿宋" w:hint="eastAsia"/>
          <w:color w:val="auto"/>
          <w:highlight w:val="none"/>
        </w:rPr>
        <w:t xml:space="preserve">（二）项目绩效目标</w:t>
      </w:r>
      <w:bookmarkEnd w:id="4"/>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1、总体目标</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对直接从事农业生产的个人或生产经营组织购买农业机械给予补贴，年度完成补贴机具数量不少于771台，受益户不少于417户，年度资金兑付率100%。</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2、阶段性目标</w:t>
      </w:r>
    </w:p>
    <w:p>
      <w:pPr>
        <w:bidi w:val="0"/>
        <w:rPr>
          <w:rFonts w:ascii="仿宋" w:eastAsia="仿宋" w:hAnsi="仿宋" w:cs="仿宋" w:hint="eastAsia"/>
          <w:color w:val="auto"/>
          <w:highlight w:val="none"/>
          <w:lang w:val="en-US" w:eastAsia="zh-CN"/>
        </w:rPr>
      </w:pPr>
      <w:bookmarkStart w:id="5" w:name="_Toc28824"/>
      <w:r>
        <w:rPr>
          <w:rFonts w:ascii="仿宋" w:eastAsia="仿宋" w:hAnsi="仿宋" w:cs="仿宋" w:hint="eastAsia"/>
          <w:color w:val="auto"/>
          <w:highlight w:val="none"/>
          <w:lang w:val="en-US" w:eastAsia="zh-CN"/>
        </w:rPr>
        <w:t xml:space="preserve">（一）确定补贴对象，跟乡镇做好对接，完成核验、初审工作。</w:t>
      </w:r>
    </w:p>
    <w:p>
      <w:pPr>
        <w:spacing w:line="240" w:lineRule="auto"/>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（二）进行补贴资金支付，经过初审，收集相关材料进行再次审核，补贴资金采取财政“一卡通”方式发放，保证补贴直接发到收益户账户。</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（三）开展宣传，通过政府网站公开农机购置补贴发放信息，做到公开透明。</w:t>
      </w:r>
    </w:p>
    <w:p>
      <w:pPr>
        <w:pStyle w:val="Heading2"/>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二、绩效评价工作开展情况</w:t>
      </w:r>
      <w:bookmarkEnd w:id="5"/>
    </w:p>
    <w:p>
      <w:pPr>
        <w:pStyle w:val="Heading3"/>
        <w:bidi w:val="0"/>
        <w:rPr>
          <w:rFonts w:ascii="仿宋" w:eastAsia="仿宋" w:hAnsi="仿宋" w:cs="仿宋" w:hint="eastAsia"/>
          <w:color w:val="auto"/>
          <w:highlight w:val="none"/>
        </w:rPr>
      </w:pPr>
      <w:bookmarkStart w:id="6" w:name="_Toc24175"/>
      <w:r>
        <w:rPr>
          <w:rFonts w:ascii="仿宋" w:eastAsia="仿宋" w:hAnsi="仿宋" w:cs="仿宋" w:hint="eastAsia"/>
          <w:color w:val="auto"/>
          <w:highlight w:val="none"/>
        </w:rPr>
        <w:t xml:space="preserve">（一）绩效评价目的、对象和范围</w:t>
      </w:r>
      <w:bookmarkEnd w:id="6"/>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1、绩效评价的目的</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本次绩效评价遵循财政部《关于印发&lt;项目支出绩效评价管理办法&gt;的通知》（财预〔2020〕10号）文件精神，对2024年农机购置补贴（中央）经费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r>
        <w:rPr>
          <w:rFonts w:ascii="仿宋" w:eastAsia="仿宋" w:hAnsi="仿宋" w:cs="仿宋" w:hint="eastAsia"/>
          <w:color w:val="auto"/>
          <w:highlight w:val="none"/>
        </w:rPr>
        <w:t xml:space="preserve">具体绩效评价的目的细分如下：</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提升财政资金的使用效能。</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2、绩效评价的对象和范围</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本次项目绩效遵循财政部《财政支出绩效评价管理办法》（财预〔2020〕10号）文件精神，对2024年农机购置补贴（中央）预算编制合理性、资金使用合规性、项目管理的规范性、项目目标的实现情况、服务对象满意度等，通过对部门自评来总结经验，促进项目成果转化和应用，查找其存在的不足，为今后类似项目的长效管理，资金使用规范性以及加强制定相关制度、采取措施等方面提供参考，不断提高财政资金使用效益和项目管理水平。</w:t>
      </w:r>
    </w:p>
    <w:p>
      <w:pPr>
        <w:pStyle w:val="Heading3"/>
        <w:bidi w:val="0"/>
        <w:rPr>
          <w:rFonts w:ascii="仿宋" w:eastAsia="仿宋" w:hAnsi="仿宋" w:cs="仿宋" w:hint="eastAsia"/>
          <w:color w:val="auto"/>
          <w:highlight w:val="none"/>
        </w:rPr>
      </w:pPr>
      <w:bookmarkStart w:id="7" w:name="_Toc5109"/>
      <w:r>
        <w:rPr>
          <w:rFonts w:ascii="仿宋" w:eastAsia="仿宋" w:hAnsi="仿宋" w:cs="仿宋" w:hint="eastAsia"/>
          <w:color w:val="auto"/>
          <w:highlight w:val="none"/>
        </w:rPr>
        <w:t xml:space="preserve">（二）绩效评价原则、评价指标体系、评价方法、评价标准</w:t>
      </w:r>
      <w:bookmarkEnd w:id="7"/>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1、绩效评价原则</w:t>
      </w:r>
    </w:p>
    <w:p>
      <w:pPr>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依据《中华人民共和国预算法》《中共中央国务院关于全面实施预算绩效管理的意见》（中发〔2018〕34号）《项目支出绩效评价管理办法》（财预〔2020〕10号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《自治区党委自治区人民政府关于全面实施预算绩效管理的实施意见》（新党发〔2018〕30号）《自治区财政支出绩效评价管理暂行办法》（新财预〔2018〕189号）等要求，绩效评价应遵循如下原则：</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（1）科学公正。绩效评价应当运用科学合理的方法，按照规范的程序，对项目绩效进行客观、公正</w:t>
      </w:r>
      <w:r>
        <w:rPr>
          <w:rFonts w:ascii="仿宋" w:eastAsia="仿宋" w:hAnsi="仿宋" w:cs="仿宋" w:hint="eastAsia"/>
          <w:color w:val="auto"/>
          <w:highlight w:val="none"/>
          <w:lang w:eastAsia="zh-CN"/>
        </w:rPr>
        <w:t xml:space="preserve">地</w:t>
      </w:r>
      <w:r>
        <w:rPr>
          <w:rFonts w:ascii="仿宋" w:eastAsia="仿宋" w:hAnsi="仿宋" w:cs="仿宋" w:hint="eastAsia"/>
          <w:color w:val="auto"/>
          <w:highlight w:val="none"/>
        </w:rPr>
        <w:t xml:space="preserve">反映。</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（2）统筹兼顾。单位自评应由项目单位自主实施，即“谁支出、谁自评”。</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（3）激励约束。绩效评价结果应与预算安排、政策调整、改进管理实质性挂钩，体现奖优罚劣和激励相容导向，有效要安排、低效要压减、无效要问责。</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（4）公开透明。</w:t>
      </w:r>
      <w:bookmarkStart w:id="8" w:name="_Toc23112"/>
      <w:bookmarkStart w:id="9" w:name="_Toc30993"/>
      <w:r>
        <w:rPr>
          <w:rFonts w:ascii="仿宋" w:eastAsia="仿宋" w:hAnsi="仿宋" w:cs="仿宋" w:hint="eastAsia"/>
          <w:color w:val="auto"/>
          <w:highlight w:val="none"/>
        </w:rPr>
        <w:t xml:space="preserve">本次项目支出绩效评价结果已依法依规在</w:t>
      </w:r>
      <w:r>
        <w:rPr>
          <w:rFonts w:ascii="仿宋" w:eastAsia="仿宋" w:hAnsi="仿宋" w:cs="仿宋" w:hint="eastAsia"/>
          <w:color w:val="auto"/>
          <w:highlight w:val="none"/>
          <w:lang w:val="en-US" w:eastAsia="zh-CN"/>
        </w:rPr>
        <w:t xml:space="preserve">尉犁县</w:t>
      </w:r>
      <w:r>
        <w:rPr>
          <w:rFonts w:ascii="仿宋" w:eastAsia="仿宋" w:hAnsi="仿宋" w:cs="仿宋" w:hint="eastAsia"/>
          <w:color w:val="auto"/>
          <w:highlight w:val="none"/>
        </w:rPr>
        <w:t xml:space="preserve">人民政府网站上公开，并自觉接受社会监督。</w:t>
      </w:r>
    </w:p>
    <w:p>
      <w:pPr>
        <w:snapToGrid w:val="0"/>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根据以上原则</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绩效评价应遵循如下要求:</w:t>
      </w:r>
    </w:p>
    <w:p>
      <w:pPr>
        <w:snapToGrid w:val="0"/>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（1）在数据采集时</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采取客观数据</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主管部门审查、社会中介组织复查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与问卷调查相结合的形式</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以保证各项指标的真实性。</w:t>
      </w:r>
    </w:p>
    <w:p>
      <w:pPr>
        <w:snapToGrid w:val="0"/>
        <w:ind w:firstLine="560"/>
        <w:rPr>
          <w:rFonts w:ascii="仿宋" w:eastAsia="仿宋" w:hAnsi="仿宋" w:cs="仿宋" w:hint="eastAsia"/>
          <w:color w:val="auto"/>
          <w:highlight w:val="none"/>
        </w:rPr>
      </w:pPr>
      <w:r>
        <w:rPr>
          <w:rFonts w:ascii="仿宋" w:eastAsia="仿宋" w:hAnsi="仿宋" w:cs="仿宋" w:hint="eastAsia"/>
          <w:color w:val="auto"/>
          <w:highlight w:val="none"/>
        </w:rPr>
        <w:t xml:space="preserve">（2）保证评价结果的真实性、公正性</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提高评价报告的公信力。</w:t>
      </w:r>
    </w:p>
    <w:p>
      <w:pPr>
        <w:bidi w:val="0"/>
        <w:rPr>
          <w:rFonts w:ascii="仿宋" w:eastAsia="仿宋" w:hAnsi="仿宋" w:cs="仿宋" w:hint="eastAsia"/>
          <w:b/>
          <w:bCs/>
          <w:color w:val="auto"/>
          <w:highlight w:val="none"/>
        </w:rPr>
      </w:pPr>
      <w:r>
        <w:rPr>
          <w:rFonts w:ascii="仿宋" w:eastAsia="仿宋" w:hAnsi="仿宋" w:cs="仿宋" w:hint="eastAsia"/>
          <w:color w:val="auto"/>
          <w:highlight w:val="none"/>
        </w:rPr>
        <w:t xml:space="preserve">（3）</w:t>
      </w:r>
      <w:r>
        <w:rPr>
          <w:rFonts w:ascii="仿宋" w:eastAsia="仿宋" w:hAnsi="仿宋" w:cs="仿宋" w:hint="eastAsia"/>
          <w:color w:val="auto"/>
          <w:highlight w:val="none"/>
          <w:lang w:val="en-US" w:eastAsia="zh-CN"/>
        </w:rPr>
        <w:t xml:space="preserve">绩效</w:t>
      </w:r>
      <w:r>
        <w:rPr>
          <w:rFonts w:ascii="仿宋" w:eastAsia="仿宋" w:hAnsi="仿宋" w:cs="仿宋" w:hint="eastAsia"/>
          <w:color w:val="auto"/>
          <w:highlight w:val="none"/>
        </w:rPr>
        <w:t xml:space="preserve">评价报告应当简明扼要</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除了对绩效评价的过程、结果描述外</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还应总结经验</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指出问题</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并就共性问题提出可操作性改进建议。评价工作组本着科学规范、公平公正、绩效相关的原则，采用全面、重点、现场和非现场相结合的方式进行评价。</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2、评价指标体系</w:t>
      </w:r>
      <w:bookmarkEnd w:id="8"/>
      <w:bookmarkEnd w:id="9"/>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2024年农机购置补贴（中央）绩效评价</w:t>
      </w:r>
      <w:r>
        <w:rPr>
          <w:rFonts w:ascii="仿宋" w:eastAsia="仿宋" w:hAnsi="仿宋" w:cs="仿宋" w:hint="eastAsia"/>
          <w:color w:val="auto"/>
          <w:highlight w:val="none"/>
        </w:rPr>
        <w:t xml:space="preserve">（部门自评）指标体系的设计，是在充分掌握项目状况的基础上，形成了</w:t>
      </w:r>
      <w:r>
        <w:rPr>
          <w:rFonts w:ascii="仿宋" w:eastAsia="仿宋" w:hAnsi="仿宋" w:cs="仿宋" w:hint="eastAsia"/>
          <w:color w:val="auto"/>
          <w:highlight w:val="none"/>
          <w:lang w:val="en-US" w:eastAsia="zh-CN"/>
        </w:rPr>
        <w:t xml:space="preserve">2024年农机购置补贴（中央）的</w:t>
      </w:r>
      <w:r>
        <w:rPr>
          <w:rFonts w:ascii="仿宋" w:eastAsia="仿宋" w:hAnsi="仿宋" w:cs="仿宋" w:hint="eastAsia"/>
          <w:color w:val="auto"/>
          <w:highlight w:val="none"/>
        </w:rPr>
        <w:t xml:space="preserve">支出绩效评价指标体系（部门自评）。本项目设计绩效评价指标体系满分100分。四个级别分别是：优、</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良、中、差，90（含）-100分为优、80（含）-90分为良、60（含）-80分为中、60分以下为差。</w:t>
      </w:r>
    </w:p>
    <w:p>
      <w:pPr>
        <w:ind w:left="0" w:firstLine="640" w:leftChars="0" w:firstLineChars="200"/>
        <w:rPr>
          <w:rFonts w:ascii="仿宋" w:eastAsia="仿宋" w:hAnsi="仿宋" w:cs="仿宋" w:hint="eastAsia"/>
          <w:color w:val="auto"/>
          <w:highlight w:val="none"/>
        </w:rPr>
      </w:pPr>
      <w:r>
        <w:rPr>
          <w:rFonts w:ascii="仿宋" w:eastAsia="仿宋" w:hAnsi="仿宋" w:cs="仿宋" w:hint="eastAsia"/>
          <w:color w:val="auto"/>
          <w:highlight w:val="none"/>
        </w:rPr>
        <w:t xml:space="preserve">按照财预〔2020〕10号文件关于“原则上产出、效益指标权重不低于60%”的要求，本项目产出、效益指标权重60%（即60分）。</w:t>
      </w:r>
      <w:bookmarkStart w:id="10" w:name="_Toc15680"/>
      <w:bookmarkStart w:id="11" w:name="_Toc4156"/>
      <w:r>
        <w:rPr>
          <w:rFonts w:ascii="仿宋" w:eastAsia="仿宋" w:hAnsi="仿宋" w:cs="仿宋" w:hint="eastAsia"/>
          <w:bCs w:val="0"/>
          <w:iCs w:val="0"/>
          <w:color w:val="auto"/>
          <w:kern w:val="2"/>
          <w:sz w:val="32"/>
          <w:szCs w:val="22"/>
          <w:highlight w:val="none"/>
          <w:lang w:val="en-US" w:eastAsia="zh-CN" w:bidi="ar-SA"/>
        </w:rPr>
        <w:t xml:space="preserve">（详见：附表2）</w:t>
      </w:r>
    </w:p>
    <w:p>
      <w:pPr>
        <w:ind w:left="0" w:firstLine="640" w:leftChars="0" w:firstLineChars="200"/>
        <w:rPr>
          <w:rFonts w:ascii="仿宋" w:eastAsia="仿宋" w:hAnsi="仿宋" w:cs="仿宋" w:hint="eastAsia"/>
          <w:color w:val="auto"/>
          <w:highlight w:val="none"/>
        </w:rPr>
      </w:pPr>
      <w:r>
        <w:rPr>
          <w:rFonts w:ascii="仿宋" w:eastAsia="仿宋" w:hAnsi="仿宋" w:cs="仿宋" w:hint="eastAsia"/>
          <w:color w:val="auto"/>
          <w:highlight w:val="none"/>
        </w:rPr>
        <w:t xml:space="preserve">3、绩效评价方法</w:t>
      </w:r>
      <w:bookmarkEnd w:id="10"/>
      <w:bookmarkEnd w:id="11"/>
    </w:p>
    <w:p>
      <w:pPr>
        <w:keepNext w:val="0"/>
        <w:keepLines w:val="0"/>
        <w:widowControl/>
        <w:suppressLineNumbers w:val="0"/>
        <w:jc w:val="left"/>
        <w:rPr>
          <w:rFonts w:ascii="仿宋" w:eastAsia="仿宋" w:hAnsi="仿宋" w:cs="仿宋" w:hint="eastAsia"/>
          <w:color w:val="auto"/>
          <w:highlight w:val="none"/>
        </w:rPr>
      </w:pPr>
      <w:r>
        <w:rPr>
          <w:rFonts w:ascii="仿宋" w:eastAsia="仿宋" w:hAnsi="仿宋" w:cs="仿宋" w:hint="eastAsia"/>
          <w:color w:val="auto"/>
          <w:kern w:val="0"/>
          <w:sz w:val="31"/>
          <w:szCs w:val="31"/>
          <w:highlight w:val="none"/>
          <w:lang w:val="en-US" w:eastAsia="zh-CN"/>
        </w:rPr>
        <w:t xml:space="preserve">绩效评价从项目决策、项目过程、项目产出、项目效益四个维度进行评价。评价对象为项目目标实施情况，评价核心为资金的支出完成情况和项目的产出效益。</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结合</w:t>
      </w:r>
      <w:r>
        <w:rPr>
          <w:rFonts w:ascii="仿宋" w:eastAsia="仿宋" w:hAnsi="仿宋" w:cs="仿宋" w:hint="eastAsia"/>
          <w:color w:val="auto"/>
          <w:highlight w:val="none"/>
          <w:lang w:val="en-US" w:eastAsia="zh-CN"/>
        </w:rPr>
        <w:t xml:space="preserve">2024农机购置补贴</w:t>
      </w:r>
      <w:r>
        <w:rPr>
          <w:rFonts w:ascii="仿宋" w:eastAsia="仿宋" w:hAnsi="仿宋" w:cs="仿宋" w:hint="eastAsia"/>
          <w:color w:val="auto"/>
          <w:highlight w:val="none"/>
        </w:rPr>
        <w:t xml:space="preserve">的特点，本次评价主要运用比较法、公众评判法，</w:t>
      </w:r>
      <w:r>
        <w:rPr>
          <w:rFonts w:ascii="仿宋" w:eastAsia="仿宋" w:hAnsi="仿宋" w:cs="仿宋" w:hint="eastAsia"/>
          <w:color w:val="auto"/>
          <w:highlight w:val="none"/>
          <w:lang w:val="en-US" w:eastAsia="zh-CN"/>
        </w:rPr>
        <w:t xml:space="preserve">原因是</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比较法：本项目绩效评价将项目实施情况即实际完成的完成农机购置与应用补贴机具数、补短板重点机械数量、农机购置补贴资金兑付率与年初设定的目标进行比较。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公众评判法：通过对2024年农机购置补贴（中央）享受的农户进行问卷及抽样调查等对财政资金效果进行评判，评价绩效目标实现程度。</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4、绩效评价标准</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结合2024年农机购置补贴（中央）的特点，</w:t>
      </w:r>
      <w:r>
        <w:rPr>
          <w:rFonts w:ascii="仿宋" w:eastAsia="仿宋" w:hAnsi="仿宋" w:cs="仿宋" w:hint="eastAsia"/>
          <w:color w:val="auto"/>
          <w:highlight w:val="none"/>
        </w:rPr>
        <w:t xml:space="preserve">本次项目支出绩效自评采用了</w:t>
      </w:r>
      <w:r>
        <w:rPr>
          <w:rFonts w:ascii="仿宋" w:eastAsia="仿宋" w:hAnsi="仿宋" w:cs="仿宋" w:hint="eastAsia"/>
          <w:color w:val="auto"/>
          <w:highlight w:val="none"/>
          <w:lang w:val="en-US" w:eastAsia="zh-CN"/>
        </w:rPr>
        <w:t xml:space="preserve">以下标准：</w:t>
      </w:r>
    </w:p>
    <w:p>
      <w:pPr>
        <w:numPr>
          <w:ilvl w:val="0"/>
          <w:numId w:val="0"/>
        </w:numPr>
        <w:bidi w:val="0"/>
        <w:ind w:firstLine="640" w:firstLineChars="20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（1）计划标准</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2024农机购置补贴项目自评中，农机购置与应用补贴机具数，补短板重点机械数量、农机购置补贴资金兑付率、农机购置补贴资金兑付及时率、农机购置补贴率、农机购置与应用补贴直接受益户数、农作物耕种收综合机械化率为计划数作为评价的标准。</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（2）历史标准，原因是：参照本单位同类单位绩效评价指标的历史数据作为样本，运用一定的统计学方法计算出各类指标的平均历史水平作为评价标准。</w:t>
      </w:r>
    </w:p>
    <w:p>
      <w:pPr>
        <w:pStyle w:val="Heading3"/>
        <w:bidi w:val="0"/>
        <w:rPr>
          <w:rFonts w:ascii="仿宋" w:eastAsia="仿宋" w:hAnsi="仿宋" w:cs="仿宋" w:hint="eastAsia"/>
          <w:color w:val="auto"/>
          <w:highlight w:val="none"/>
        </w:rPr>
      </w:pPr>
      <w:bookmarkStart w:id="12" w:name="_Toc23796"/>
      <w:r>
        <w:rPr>
          <w:rFonts w:ascii="仿宋" w:eastAsia="仿宋" w:hAnsi="仿宋" w:cs="仿宋" w:hint="eastAsia"/>
          <w:color w:val="auto"/>
          <w:highlight w:val="none"/>
        </w:rPr>
        <w:t xml:space="preserve">（三）绩效评价工作过程</w:t>
      </w:r>
      <w:bookmarkEnd w:id="12"/>
      <w:bookmarkStart w:id="13" w:name="_Toc22987"/>
      <w:bookmarkStart w:id="14" w:name="_Toc30911"/>
      <w:bookmarkStart w:id="15" w:name="_Toc27442"/>
      <w:bookmarkStart w:id="16" w:name="_Toc17595"/>
    </w:p>
    <w:p>
      <w:pPr>
        <w:bidi w:val="0"/>
        <w:rPr>
          <w:rFonts w:ascii="仿宋" w:eastAsia="仿宋" w:hAnsi="仿宋" w:cs="仿宋" w:hint="eastAsia"/>
          <w:color w:val="auto"/>
          <w:highlight w:val="none"/>
          <w:lang w:val="en-US" w:eastAsia="zh-CN"/>
        </w:rPr>
      </w:pPr>
      <w:r>
        <w:rPr>
          <w:rFonts w:ascii="仿宋" w:eastAsia="仿宋" w:hAnsi="仿宋" w:cs="仿宋" w:hint="eastAsia"/>
          <w:b/>
          <w:bCs/>
          <w:color w:val="auto"/>
          <w:highlight w:val="none"/>
        </w:rPr>
        <w:t xml:space="preserve">1、前期准备</w:t>
      </w:r>
      <w:r>
        <w:rPr>
          <w:rFonts w:ascii="仿宋" w:eastAsia="仿宋" w:hAnsi="仿宋" w:cs="仿宋" w:hint="eastAsia"/>
          <w:color w:val="auto"/>
          <w:highlight w:val="none"/>
          <w:lang w:val="en-US" w:eastAsia="zh-CN"/>
        </w:rPr>
        <w:t xml:space="preserve">(2025年2月10日-2025年2月28日）</w:t>
      </w:r>
    </w:p>
    <w:p>
      <w:pPr>
        <w:bidi w:val="0"/>
        <w:rPr>
          <w:rFonts w:ascii="仿宋" w:eastAsia="仿宋" w:hAnsi="仿宋" w:cs="仿宋" w:hint="eastAsia"/>
          <w:bCs/>
          <w:color w:val="auto"/>
          <w:szCs w:val="32"/>
          <w:highlight w:val="none"/>
          <w:lang w:eastAsia="zh-CN"/>
        </w:rPr>
      </w:pPr>
      <w:r>
        <w:rPr>
          <w:rFonts w:ascii="仿宋" w:eastAsia="仿宋" w:hAnsi="仿宋" w:cs="仿宋" w:hint="eastAsia"/>
          <w:bCs/>
          <w:color w:val="auto"/>
          <w:szCs w:val="32"/>
          <w:highlight w:val="none"/>
        </w:rPr>
        <w:t xml:space="preserve">按照《项目支出绩效评价管理办法》（财预〔2020〕10号）文件要求，</w:t>
      </w:r>
      <w:r>
        <w:rPr>
          <w:rFonts w:ascii="仿宋" w:eastAsia="仿宋" w:hAnsi="仿宋" w:cs="仿宋" w:hint="eastAsia"/>
          <w:bCs/>
          <w:color w:val="auto"/>
          <w:szCs w:val="32"/>
          <w:highlight w:val="none"/>
          <w:lang w:val="en-US" w:eastAsia="zh-CN"/>
        </w:rPr>
        <w:t xml:space="preserve">尉犁县农业农村局（乡村振兴局、畜牧兽医局）</w:t>
      </w:r>
      <w:r>
        <w:rPr>
          <w:rFonts w:ascii="仿宋" w:eastAsia="仿宋" w:hAnsi="仿宋" w:cs="仿宋" w:hint="eastAsia"/>
          <w:bCs/>
          <w:color w:val="auto"/>
          <w:szCs w:val="32"/>
          <w:highlight w:val="none"/>
        </w:rPr>
        <w:t xml:space="preserve">成立了绩效评价小组</w:t>
      </w:r>
      <w:r>
        <w:rPr>
          <w:rFonts w:ascii="仿宋" w:eastAsia="仿宋" w:hAnsi="仿宋" w:cs="仿宋" w:hint="eastAsia"/>
          <w:bCs/>
          <w:color w:val="auto"/>
          <w:szCs w:val="32"/>
          <w:highlight w:val="none"/>
          <w:lang w:eastAsia="zh-CN"/>
        </w:rPr>
        <w:t xml:space="preserve">，</w:t>
      </w:r>
      <w:r>
        <w:rPr>
          <w:rFonts w:ascii="仿宋" w:eastAsia="仿宋" w:hAnsi="仿宋" w:cs="仿宋" w:hint="eastAsia"/>
          <w:bCs/>
          <w:color w:val="auto"/>
          <w:szCs w:val="32"/>
          <w:highlight w:val="none"/>
        </w:rPr>
        <w:t xml:space="preserve">对项目实施的全过程，收集、整理项目实施的相关资料，了解项目实施情况和资金支付情况。从项目内容出发，结合项目预期目标，制定绩效评价的指标体系。</w:t>
      </w:r>
      <w:r>
        <w:rPr>
          <w:rFonts w:ascii="仿宋" w:eastAsia="仿宋" w:hAnsi="仿宋" w:cs="仿宋" w:hint="eastAsia"/>
          <w:bCs/>
          <w:color w:val="auto"/>
          <w:szCs w:val="32"/>
          <w:highlight w:val="none"/>
          <w:lang w:eastAsia="zh-CN"/>
        </w:rPr>
        <w:t xml:space="preserve">绩效评价工作小组人员名单及分工如下：</w:t>
      </w:r>
    </w:p>
    <w:p>
      <w:pPr>
        <w:pStyle w:val="BodyTextFirstIndent2"/>
        <w:rPr>
          <w:rFonts w:ascii="仿宋" w:eastAsia="仿宋" w:hAnsi="仿宋" w:cs="仿宋" w:hint="eastAsia"/>
          <w:bCs/>
          <w:color w:val="auto"/>
          <w:szCs w:val="32"/>
          <w:highlight w:val="none"/>
          <w:lang w:val="en-US" w:eastAsia="zh-CN"/>
        </w:rPr>
      </w:pPr>
      <w:r>
        <w:rPr>
          <w:rFonts w:ascii="仿宋" w:eastAsia="仿宋" w:hAnsi="仿宋" w:cs="仿宋" w:hint="eastAsia"/>
          <w:bCs/>
          <w:color w:val="auto"/>
          <w:szCs w:val="32"/>
          <w:highlight w:val="none"/>
          <w:lang w:eastAsia="zh-CN"/>
        </w:rPr>
        <w:t xml:space="preserve">评价小组组长：阿孜古丽</w:t>
      </w:r>
      <w:r>
        <w:rPr>
          <w:rFonts w:ascii="仿宋" w:eastAsia="仿宋" w:hAnsi="仿宋" w:cs="仿宋" w:hint="eastAsia"/>
          <w:bCs/>
          <w:color w:val="auto"/>
          <w:szCs w:val="32"/>
          <w:highlight w:val="none"/>
          <w:lang w:val="en-US" w:eastAsia="zh-CN"/>
        </w:rPr>
        <w:t xml:space="preserve">·阿不力肯木，主要负责协调相关科室，部门对项目整体运行情况进行验收、评估。负责制定和执行农机购置与应用补贴政策合理分配和使用补贴资金。</w:t>
      </w:r>
    </w:p>
    <w:p>
      <w:pPr>
        <w:pStyle w:val="BodyTextIndent"/>
        <w:rPr>
          <w:rFonts w:ascii="仿宋" w:eastAsia="仿宋" w:hAnsi="仿宋" w:cs="仿宋" w:hint="eastAsia"/>
          <w:b/>
          <w:bCs/>
          <w:color w:val="auto"/>
          <w:highlight w:val="none"/>
        </w:rPr>
      </w:pPr>
      <w:r>
        <w:rPr>
          <w:rFonts w:ascii="仿宋" w:eastAsia="仿宋" w:hAnsi="仿宋" w:cs="仿宋" w:hint="eastAsia"/>
          <w:bCs/>
          <w:color w:val="auto"/>
          <w:szCs w:val="32"/>
          <w:highlight w:val="none"/>
          <w:lang w:val="en-US" w:eastAsia="zh-CN"/>
        </w:rPr>
        <w:t xml:space="preserve">项目实施人员：谢仁娜依·亚生，主要负责制定评价体系及评价标准，负责项目实施、监督、评估工作。执行农机购置与应用补贴、补贴系统操作、对乡镇提供的补贴申请资料进行审核，及补贴机具进行核验、向财政局提供兑付农机购置补贴资金申请材料、资金兑付。</w:t>
      </w:r>
    </w:p>
    <w:p>
      <w:pPr>
        <w:bidi w:val="0"/>
        <w:rPr>
          <w:rFonts w:ascii="仿宋" w:eastAsia="仿宋" w:hAnsi="仿宋" w:cs="仿宋" w:hint="eastAsia"/>
          <w:color w:val="auto"/>
          <w:highlight w:val="none"/>
          <w:lang w:val="en-US" w:eastAsia="zh-CN"/>
        </w:rPr>
      </w:pPr>
      <w:r>
        <w:rPr>
          <w:rFonts w:ascii="仿宋" w:eastAsia="仿宋" w:hAnsi="仿宋" w:cs="仿宋" w:hint="eastAsia"/>
          <w:b/>
          <w:bCs/>
          <w:color w:val="auto"/>
          <w:highlight w:val="none"/>
        </w:rPr>
        <w:t xml:space="preserve">2、组织实施</w:t>
      </w:r>
      <w:r>
        <w:rPr>
          <w:rFonts w:ascii="仿宋" w:eastAsia="仿宋" w:hAnsi="仿宋" w:cs="仿宋" w:hint="eastAsia"/>
          <w:color w:val="auto"/>
          <w:highlight w:val="none"/>
          <w:lang w:val="en-US" w:eastAsia="zh-CN"/>
        </w:rPr>
        <w:t xml:space="preserve">（2025年3月1日-2025年3月10）</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评价的具体实施根据评价指标及评价工作要求，对具体评价内容和不同环节，采用以下取得的资料与评价方式。</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（1）</w:t>
      </w:r>
      <w:r>
        <w:rPr>
          <w:rFonts w:ascii="仿宋" w:eastAsia="仿宋" w:hAnsi="仿宋" w:cs="仿宋" w:hint="eastAsia"/>
          <w:color w:val="auto"/>
          <w:highlight w:val="none"/>
          <w:lang w:val="en-US" w:eastAsia="zh-CN"/>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）问卷调查。选择与项目评价有关的调查对象，设计调查问卷。通过问卷调查，对有关评价内容完成情况进行打分，并根据分值评价绩效目标完成情况，作为对项目评价的依据。</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rPr>
          <w:rFonts w:ascii="仿宋" w:eastAsia="仿宋" w:hAnsi="仿宋" w:cs="仿宋" w:hint="eastAsia"/>
          <w:color w:val="auto"/>
          <w:highlight w:val="none"/>
          <w:lang w:val="en-US" w:eastAsia="zh-CN"/>
        </w:rPr>
      </w:pPr>
      <w:r>
        <w:rPr>
          <w:rFonts w:ascii="仿宋" w:eastAsia="仿宋" w:hAnsi="仿宋" w:cs="仿宋" w:hint="eastAsia"/>
          <w:b/>
          <w:bCs/>
          <w:color w:val="auto"/>
          <w:highlight w:val="none"/>
        </w:rPr>
        <w:t xml:space="preserve">3、数据集中分析</w:t>
      </w:r>
      <w:bookmarkEnd w:id="13"/>
      <w:bookmarkEnd w:id="14"/>
      <w:bookmarkEnd w:id="15"/>
      <w:bookmarkEnd w:id="16"/>
      <w:r>
        <w:rPr>
          <w:rFonts w:ascii="仿宋" w:eastAsia="仿宋" w:hAnsi="仿宋" w:cs="仿宋" w:hint="eastAsia"/>
          <w:color w:val="auto"/>
          <w:highlight w:val="none"/>
          <w:lang w:val="en-US" w:eastAsia="zh-CN"/>
        </w:rPr>
        <w:t xml:space="preserve">（2025年3月11日-2025年3月20日）</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对相关资料，包括资金文件、项目实施方案、相关管理办法，问卷调查等进行集中分析。在查阅大量项目资料的基础上，根据考察、考评的结果进行整理、分析。</w:t>
      </w:r>
      <w:bookmarkStart w:id="17" w:name="_Toc20775"/>
    </w:p>
    <w:p>
      <w:pPr>
        <w:bidi w:val="0"/>
        <w:rPr>
          <w:rFonts w:ascii="仿宋" w:eastAsia="仿宋" w:hAnsi="仿宋" w:cs="仿宋" w:hint="eastAsia"/>
          <w:b/>
          <w:bCs/>
          <w:color w:val="auto"/>
          <w:highlight w:val="none"/>
          <w:lang w:eastAsia="zh-CN"/>
        </w:rPr>
      </w:pPr>
      <w:r>
        <w:rPr>
          <w:rFonts w:ascii="仿宋" w:eastAsia="仿宋" w:hAnsi="仿宋" w:cs="仿宋" w:hint="eastAsia"/>
          <w:b/>
          <w:bCs/>
          <w:color w:val="auto"/>
          <w:highlight w:val="none"/>
        </w:rPr>
        <w:t xml:space="preserve">4、分析总结</w:t>
      </w:r>
      <w:bookmarkEnd w:id="17"/>
      <w:r>
        <w:rPr>
          <w:rFonts w:ascii="仿宋" w:eastAsia="仿宋" w:hAnsi="仿宋" w:cs="仿宋" w:hint="eastAsia"/>
          <w:color w:val="auto"/>
          <w:highlight w:val="none"/>
          <w:lang w:val="en-US" w:eastAsia="zh-CN"/>
        </w:rPr>
        <w:t xml:space="preserve">（2025年3月21日-2025年3月31日）</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（1）根据部门自评的意见及考察、考评的结果进行整理、分析，撰写绩效评价报告初稿。</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（2）就部门自评报告与部门具体有关科室征求意见，形成最终的绩效评价报告。</w:t>
      </w:r>
    </w:p>
    <w:p>
      <w:pPr>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5.问题整改</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6.档案整理</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建立和落实档案管理制度，将项目相关资料存档，包括但不限于：评价项目基本情况和相关文件、评价实施方案、项目支付资料等相关档案</w:t>
      </w:r>
      <w:r>
        <w:rPr>
          <w:rFonts w:ascii="仿宋" w:eastAsia="仿宋" w:hAnsi="仿宋" w:cs="仿宋" w:hint="eastAsia"/>
          <w:color w:val="auto"/>
          <w:highlight w:val="none"/>
          <w:lang w:eastAsia="zh-CN"/>
        </w:rPr>
        <w:t xml:space="preserve">。</w:t>
      </w:r>
    </w:p>
    <w:p>
      <w:pPr>
        <w:pStyle w:val="Heading2"/>
        <w:bidi w:val="0"/>
        <w:rPr>
          <w:rFonts w:ascii="仿宋" w:eastAsia="仿宋" w:hAnsi="仿宋" w:cs="仿宋" w:hint="eastAsia"/>
          <w:color w:val="auto"/>
          <w:highlight w:val="none"/>
        </w:rPr>
      </w:pPr>
      <w:bookmarkStart w:id="18" w:name="_Toc20784"/>
      <w:r>
        <w:rPr>
          <w:rFonts w:ascii="仿宋" w:eastAsia="仿宋" w:hAnsi="仿宋" w:cs="仿宋" w:hint="eastAsia"/>
          <w:color w:val="auto"/>
          <w:highlight w:val="none"/>
        </w:rPr>
        <w:t xml:space="preserve">三、综合评价情况及评价结论</w:t>
      </w:r>
      <w:bookmarkEnd w:id="18"/>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本项目的绩效评价结果为“优”，综合评分100分。其中项目决策22分，项目过程18分，项目产出管理得分40分，项目效益20分。各部分权重和绩效汇总分值如下表所示：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2024年农机购置补贴（中央）</w:t>
            </w:r>
            <w:r>
              <w:rPr>
                <w:rFonts w:ascii="仿宋" w:eastAsia="仿宋" w:hAnsi="仿宋" w:cs="仿宋" w:hint="eastAsia"/>
                <w:color w:val="auto"/>
                <w:highlight w:val="none"/>
              </w:rPr>
              <w:t xml:space="preserve">绩效评价</w:t>
            </w:r>
            <w:r>
              <w:rPr>
                <w:rFonts w:ascii="仿宋" w:eastAsia="仿宋" w:hAnsi="仿宋" w:cs="仿宋" w:hint="eastAsia"/>
                <w:color w:val="auto"/>
                <w:highlight w:val="none"/>
                <w:lang w:val="zh-TW" w:eastAsia="zh-TW"/>
              </w:rPr>
              <w:t xml:space="preserve">得分表</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bl>
    <w:p>
      <w:pPr>
        <w:bidi w:val="0"/>
        <w:rPr>
          <w:rFonts w:ascii="仿宋" w:eastAsia="仿宋" w:hAnsi="仿宋" w:cs="仿宋" w:hint="eastAsia"/>
          <w:color w:val="auto"/>
          <w:highlight w:val="none"/>
        </w:rPr>
      </w:pPr>
    </w:p>
    <w:p>
      <w:pPr>
        <w:pStyle w:val="Heading2"/>
        <w:bidi w:val="0"/>
        <w:rPr>
          <w:rFonts w:ascii="仿宋" w:eastAsia="仿宋" w:hAnsi="仿宋" w:cs="仿宋" w:hint="eastAsia"/>
          <w:color w:val="auto"/>
          <w:highlight w:val="none"/>
        </w:rPr>
      </w:pPr>
      <w:bookmarkStart w:id="19" w:name="_Toc8960"/>
      <w:r>
        <w:rPr>
          <w:rFonts w:ascii="仿宋" w:eastAsia="仿宋" w:hAnsi="仿宋" w:cs="仿宋" w:hint="eastAsia"/>
          <w:color w:val="auto"/>
          <w:highlight w:val="none"/>
        </w:rPr>
        <w:t xml:space="preserve">四、绩效评价指标分析</w:t>
      </w:r>
      <w:bookmarkEnd w:id="19"/>
    </w:p>
    <w:p>
      <w:pPr>
        <w:pStyle w:val="Heading3"/>
        <w:bidi w:val="0"/>
        <w:rPr>
          <w:rFonts w:ascii="仿宋" w:eastAsia="仿宋" w:hAnsi="仿宋" w:cs="仿宋" w:hint="eastAsia"/>
          <w:color w:val="auto"/>
          <w:highlight w:val="none"/>
        </w:rPr>
      </w:pPr>
      <w:bookmarkStart w:id="20" w:name="_Toc3445"/>
      <w:r>
        <w:rPr>
          <w:rFonts w:ascii="仿宋" w:eastAsia="仿宋" w:hAnsi="仿宋" w:cs="仿宋" w:hint="eastAsia"/>
          <w:color w:val="auto"/>
          <w:highlight w:val="none"/>
        </w:rPr>
        <w:t xml:space="preserve">（一）项目决策情况</w:t>
      </w:r>
      <w:bookmarkEnd w:id="20"/>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1、实施依据充分性</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本</w:t>
      </w:r>
      <w:r>
        <w:rPr>
          <w:rFonts w:ascii="仿宋" w:eastAsia="仿宋" w:hAnsi="仿宋" w:cs="仿宋" w:hint="eastAsia"/>
          <w:color w:val="auto"/>
          <w:highlight w:val="none"/>
          <w:lang w:val="en-US"/>
        </w:rPr>
        <w:t xml:space="preserve">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lang w:val="en-US"/>
        </w:rPr>
        <w:t xml:space="preserve">符合</w:t>
      </w:r>
      <w:r>
        <w:rPr>
          <w:rFonts w:ascii="仿宋" w:eastAsia="仿宋" w:hAnsi="仿宋" w:cs="仿宋" w:hint="eastAsia"/>
          <w:color w:val="auto"/>
          <w:highlight w:val="none"/>
          <w:lang w:val="en-US" w:eastAsia="zh-CN"/>
        </w:rPr>
        <w:t xml:space="preserve">自治区农业农村厅、财政厅关于印发《新疆维吾尔自治区2024-2026年农机购置与应用补贴实施方案的通知</w:t>
      </w:r>
      <w:r>
        <w:rPr>
          <w:rFonts w:ascii="仿宋" w:eastAsia="仿宋" w:hAnsi="仿宋" w:cs="仿宋" w:hint="eastAsia"/>
          <w:color w:val="auto"/>
          <w:highlight w:val="none"/>
          <w:lang w:val="en-US"/>
        </w:rPr>
        <w:t xml:space="preserve">》（</w:t>
      </w:r>
      <w:r>
        <w:rPr>
          <w:rFonts w:ascii="仿宋" w:eastAsia="仿宋" w:hAnsi="仿宋" w:cs="仿宋" w:hint="eastAsia"/>
          <w:color w:val="auto"/>
          <w:highlight w:val="none"/>
          <w:lang w:val="en-US" w:eastAsia="zh-CN"/>
        </w:rPr>
        <w:t xml:space="preserve">新农机函</w:t>
      </w:r>
      <w:r>
        <w:rPr>
          <w:rFonts w:ascii="仿宋" w:eastAsia="仿宋" w:hAnsi="仿宋" w:cs="仿宋" w:hint="eastAsia"/>
          <w:color w:val="auto"/>
          <w:highlight w:val="none"/>
          <w:lang w:val="en-US"/>
        </w:rPr>
        <w:t xml:space="preserve">〔</w:t>
      </w:r>
      <w:r>
        <w:rPr>
          <w:rFonts w:ascii="仿宋" w:eastAsia="仿宋" w:hAnsi="仿宋" w:cs="仿宋" w:hint="eastAsia"/>
          <w:color w:val="auto"/>
          <w:highlight w:val="none"/>
          <w:lang w:val="en-US" w:eastAsia="zh-CN"/>
        </w:rPr>
        <w:t xml:space="preserve">2024</w:t>
      </w:r>
      <w:r>
        <w:rPr>
          <w:rFonts w:ascii="仿宋" w:eastAsia="仿宋" w:hAnsi="仿宋" w:cs="仿宋" w:hint="eastAsia"/>
          <w:color w:val="auto"/>
          <w:highlight w:val="none"/>
          <w:lang w:val="en-US"/>
        </w:rPr>
        <w:t xml:space="preserve">〕</w:t>
      </w:r>
      <w:r>
        <w:rPr>
          <w:rFonts w:ascii="仿宋" w:eastAsia="仿宋" w:hAnsi="仿宋" w:cs="仿宋" w:hint="eastAsia"/>
          <w:color w:val="auto"/>
          <w:highlight w:val="none"/>
          <w:lang w:val="en-US" w:eastAsia="zh-CN"/>
        </w:rPr>
        <w:t xml:space="preserve">740</w:t>
      </w:r>
      <w:r>
        <w:rPr>
          <w:rFonts w:ascii="仿宋" w:eastAsia="仿宋" w:hAnsi="仿宋" w:cs="仿宋" w:hint="eastAsia"/>
          <w:color w:val="auto"/>
          <w:highlight w:val="none"/>
          <w:lang w:val="en-US"/>
        </w:rPr>
        <w:t xml:space="preserve">号）</w:t>
      </w:r>
      <w:r>
        <w:rPr>
          <w:rFonts w:ascii="仿宋" w:eastAsia="仿宋" w:hAnsi="仿宋" w:cs="仿宋" w:hint="eastAsia"/>
          <w:color w:val="auto"/>
          <w:highlight w:val="none"/>
          <w:lang w:val="en-US" w:eastAsia="zh-CN"/>
        </w:rPr>
        <w:t xml:space="preserve">中：“中央财政和自治区财政配套农机购置与应用补贴资金支出主要用于支持购置先进适用农业机械，以及开展有关试点和农机报废更新补贴等方面。”</w:t>
      </w:r>
      <w:r>
        <w:rPr>
          <w:rFonts w:ascii="仿宋" w:eastAsia="仿宋" w:hAnsi="仿宋" w:cs="仿宋" w:hint="eastAsia"/>
          <w:color w:val="auto"/>
          <w:highlight w:val="none"/>
          <w:lang w:val="en-US"/>
        </w:rPr>
        <w:t xml:space="preserve">符合行业发展规划和政策要求</w:t>
      </w:r>
      <w:r>
        <w:rPr>
          <w:rFonts w:ascii="仿宋" w:eastAsia="仿宋" w:hAnsi="仿宋" w:cs="仿宋" w:hint="eastAsia"/>
          <w:color w:val="auto"/>
          <w:highlight w:val="none"/>
          <w:lang w:val="en-US" w:eastAsia="zh-CN"/>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（1）本项目申报和审批符合国家法律法规、国民经济发展规划和相关政策；</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（2）本项目申报和审批符合行业发展规划和政策要求；</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与部门职责范围相符，属</w:t>
      </w:r>
      <w:r>
        <w:rPr>
          <w:rFonts w:ascii="仿宋" w:eastAsia="仿宋" w:hAnsi="仿宋" w:cs="仿宋" w:hint="eastAsia"/>
          <w:color w:val="auto"/>
          <w:highlight w:val="none"/>
        </w:rPr>
        <w:t xml:space="preserve">干部</w:t>
      </w:r>
      <w:r>
        <w:rPr>
          <w:rFonts w:ascii="仿宋" w:eastAsia="仿宋" w:hAnsi="仿宋" w:cs="仿宋" w:hint="eastAsia"/>
          <w:color w:val="auto"/>
          <w:highlight w:val="none"/>
        </w:rPr>
        <w:t xml:space="preserve">门履职所需；</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（4）本项目属于公共财政支持范围，符合中央、地方事权支出责任划分原则；</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（5）本项目与相关部门同类项目或部门内部相关项目</w:t>
      </w:r>
      <w:r>
        <w:rPr>
          <w:rFonts w:ascii="仿宋" w:eastAsia="仿宋" w:hAnsi="仿宋" w:cs="仿宋" w:hint="eastAsia"/>
          <w:color w:val="auto"/>
          <w:highlight w:val="none"/>
          <w:lang w:val="en-US" w:eastAsia="zh-CN"/>
        </w:rPr>
        <w:t xml:space="preserve">不</w:t>
      </w:r>
      <w:r>
        <w:rPr>
          <w:rFonts w:ascii="仿宋" w:eastAsia="仿宋" w:hAnsi="仿宋" w:cs="仿宋" w:hint="eastAsia"/>
          <w:color w:val="auto"/>
          <w:highlight w:val="none"/>
        </w:rPr>
        <w:t xml:space="preserve">重复。</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2、实施程序规范性</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根据《新疆维吾尔自治区农机购置补贴实施方案》制定了《尉犁县2022-2024年农机购置补贴实施方案》，</w:t>
      </w:r>
      <w:r>
        <w:rPr>
          <w:rFonts w:ascii="仿宋" w:eastAsia="仿宋" w:hAnsi="仿宋" w:cs="仿宋" w:hint="eastAsia"/>
          <w:bCs/>
          <w:color w:val="auto"/>
          <w:szCs w:val="32"/>
          <w:highlight w:val="none"/>
          <w:lang w:val="en-US" w:eastAsia="zh-CN"/>
        </w:rPr>
        <w:t xml:space="preserve">本项目</w:t>
      </w:r>
      <w:r>
        <w:rPr>
          <w:rFonts w:ascii="仿宋" w:eastAsia="仿宋" w:hAnsi="仿宋" w:cs="仿宋" w:hint="eastAsia"/>
          <w:color w:val="auto"/>
          <w:spacing w:val="-4"/>
          <w:szCs w:val="32"/>
          <w:highlight w:val="none"/>
          <w:lang w:val="en-US" w:eastAsia="zh-CN"/>
        </w:rPr>
        <w:t xml:space="preserve">实施</w:t>
      </w:r>
      <w:r>
        <w:rPr>
          <w:rFonts w:ascii="仿宋" w:eastAsia="仿宋" w:hAnsi="仿宋" w:cs="仿宋" w:hint="eastAsia"/>
          <w:bCs/>
          <w:color w:val="auto"/>
          <w:szCs w:val="32"/>
          <w:highlight w:val="none"/>
        </w:rPr>
        <w:t xml:space="preserve">资料</w:t>
      </w:r>
      <w:r>
        <w:rPr>
          <w:rFonts w:ascii="仿宋" w:eastAsia="仿宋" w:hAnsi="仿宋" w:cs="仿宋" w:hint="eastAsia"/>
          <w:bCs/>
          <w:color w:val="auto"/>
          <w:szCs w:val="32"/>
          <w:highlight w:val="none"/>
          <w:lang w:val="en-US" w:eastAsia="zh-CN"/>
        </w:rPr>
        <w:t xml:space="preserve">齐</w:t>
      </w:r>
      <w:r>
        <w:rPr>
          <w:rFonts w:ascii="仿宋" w:eastAsia="仿宋" w:hAnsi="仿宋" w:cs="仿宋" w:hint="eastAsia"/>
          <w:bCs/>
          <w:color w:val="auto"/>
          <w:szCs w:val="32"/>
          <w:highlight w:val="none"/>
        </w:rPr>
        <w:t xml:space="preserve">全，</w:t>
      </w:r>
      <w:r>
        <w:rPr>
          <w:rFonts w:ascii="仿宋" w:eastAsia="仿宋" w:hAnsi="仿宋" w:cs="仿宋" w:hint="eastAsia"/>
          <w:color w:val="auto"/>
          <w:spacing w:val="-4"/>
          <w:szCs w:val="32"/>
          <w:highlight w:val="none"/>
          <w:lang w:val="en-US" w:eastAsia="zh-CN"/>
        </w:rPr>
        <w:t xml:space="preserve">实施</w:t>
      </w:r>
      <w:r>
        <w:rPr>
          <w:rFonts w:ascii="仿宋" w:eastAsia="仿宋" w:hAnsi="仿宋" w:cs="仿宋" w:hint="eastAsia"/>
          <w:bCs/>
          <w:color w:val="auto"/>
          <w:szCs w:val="32"/>
          <w:highlight w:val="none"/>
        </w:rPr>
        <w:t xml:space="preserve">程序规范；审批文件、材料符合相关要求，事前已经过必要的集体决策，</w:t>
      </w:r>
      <w:r>
        <w:rPr>
          <w:rFonts w:ascii="仿宋" w:eastAsia="仿宋" w:hAnsi="仿宋" w:cs="仿宋" w:hint="eastAsia"/>
          <w:color w:val="auto"/>
          <w:highlight w:val="none"/>
        </w:rPr>
        <w:t xml:space="preserve">实施程序规范。</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3、绩效目标合理性</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2024年农机购置补贴（中央）</w:t>
      </w:r>
      <w:r>
        <w:rPr>
          <w:rFonts w:ascii="仿宋" w:eastAsia="仿宋" w:hAnsi="仿宋" w:cs="仿宋" w:hint="eastAsia"/>
          <w:color w:val="auto"/>
          <w:highlight w:val="none"/>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4、绩效指标明确性</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2024年农机购置补贴（中央）</w:t>
      </w:r>
      <w:r>
        <w:rPr>
          <w:rFonts w:ascii="仿宋" w:eastAsia="仿宋" w:hAnsi="仿宋" w:cs="仿宋" w:hint="eastAsia"/>
          <w:color w:val="auto"/>
          <w:highlight w:val="none"/>
        </w:rPr>
        <w:t xml:space="preserve">，设置一级指标</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条，二级指标</w:t>
      </w:r>
      <w:r>
        <w:rPr>
          <w:rFonts w:ascii="仿宋" w:eastAsia="仿宋" w:hAnsi="仿宋" w:cs="仿宋" w:hint="eastAsia"/>
          <w:color w:val="auto"/>
          <w:highlight w:val="none"/>
          <w:lang w:val="en-US" w:eastAsia="zh-CN"/>
        </w:rPr>
        <w:t xml:space="preserve">7</w:t>
      </w:r>
      <w:r>
        <w:rPr>
          <w:rFonts w:ascii="仿宋" w:eastAsia="仿宋" w:hAnsi="仿宋" w:cs="仿宋" w:hint="eastAsia"/>
          <w:color w:val="auto"/>
          <w:highlight w:val="none"/>
        </w:rPr>
        <w:t xml:space="preserve">条，三级指标</w:t>
      </w:r>
      <w:r>
        <w:rPr>
          <w:rFonts w:ascii="仿宋" w:eastAsia="仿宋" w:hAnsi="仿宋" w:cs="仿宋" w:hint="eastAsia"/>
          <w:color w:val="auto"/>
          <w:highlight w:val="none"/>
          <w:lang w:val="en-US" w:eastAsia="zh-CN"/>
        </w:rPr>
        <w:t xml:space="preserve">10</w:t>
      </w:r>
      <w:r>
        <w:rPr>
          <w:rFonts w:ascii="仿宋" w:eastAsia="仿宋" w:hAnsi="仿宋" w:cs="仿宋" w:hint="eastAsia"/>
          <w:color w:val="auto"/>
          <w:highlight w:val="none"/>
        </w:rPr>
        <w:t xml:space="preserve">条，其中量化指标</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条，绩效目标指标设定清晰、可衡量性较强，与项目目标任务计划数对应性较强。</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5、预算编制科学性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w:t>
      </w:r>
      <w:r>
        <w:rPr>
          <w:rFonts w:ascii="仿宋" w:eastAsia="仿宋" w:hAnsi="仿宋" w:cs="仿宋" w:hint="eastAsia"/>
          <w:color w:val="auto"/>
          <w:highlight w:val="none"/>
          <w:lang w:val="en-US" w:eastAsia="zh-CN"/>
        </w:rPr>
        <w:t xml:space="preserve">2280</w:t>
      </w:r>
      <w:r>
        <w:rPr>
          <w:rFonts w:ascii="仿宋" w:eastAsia="仿宋" w:hAnsi="仿宋" w:cs="仿宋" w:hint="eastAsia"/>
          <w:color w:val="auto"/>
          <w:highlight w:val="none"/>
        </w:rPr>
        <w:t xml:space="preserve">万元，来源为</w:t>
      </w:r>
      <w:r>
        <w:rPr>
          <w:rFonts w:ascii="仿宋" w:eastAsia="仿宋" w:hAnsi="仿宋" w:cs="仿宋" w:hint="eastAsia"/>
          <w:color w:val="auto"/>
          <w:highlight w:val="none"/>
          <w:lang w:val="en-US" w:eastAsia="zh-CN"/>
        </w:rPr>
        <w:t xml:space="preserve">中央补助资金</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中央</w:t>
      </w:r>
      <w:r>
        <w:rPr>
          <w:rFonts w:ascii="仿宋" w:eastAsia="仿宋" w:hAnsi="仿宋" w:cs="仿宋" w:hint="eastAsia"/>
          <w:color w:val="auto"/>
          <w:highlight w:val="none"/>
        </w:rPr>
        <w:t xml:space="preserve">资金</w:t>
      </w:r>
      <w:r>
        <w:rPr>
          <w:rFonts w:ascii="仿宋" w:eastAsia="仿宋" w:hAnsi="仿宋" w:cs="仿宋" w:hint="eastAsia"/>
          <w:color w:val="auto"/>
          <w:highlight w:val="none"/>
          <w:lang w:val="en-US" w:eastAsia="zh-CN"/>
        </w:rPr>
        <w:t xml:space="preserve">2280</w:t>
      </w:r>
      <w:r>
        <w:rPr>
          <w:rFonts w:ascii="仿宋" w:eastAsia="仿宋" w:hAnsi="仿宋" w:cs="仿宋" w:hint="eastAsia"/>
          <w:color w:val="auto"/>
          <w:highlight w:val="none"/>
        </w:rPr>
        <w:t xml:space="preserve">.00万元，预算编制较为科学，预算内容与</w:t>
      </w:r>
      <w:r>
        <w:rPr>
          <w:rFonts w:ascii="仿宋" w:eastAsia="仿宋" w:hAnsi="仿宋" w:cs="仿宋" w:hint="eastAsia"/>
          <w:color w:val="auto"/>
          <w:highlight w:val="none"/>
          <w:lang w:eastAsia="zh-CN"/>
        </w:rPr>
        <w:t xml:space="preserve">农机购置补贴</w:t>
      </w:r>
      <w:r>
        <w:rPr>
          <w:rFonts w:ascii="仿宋" w:eastAsia="仿宋" w:hAnsi="仿宋" w:cs="仿宋" w:hint="eastAsia"/>
          <w:color w:val="auto"/>
          <w:highlight w:val="none"/>
          <w:lang w:val="en-US" w:eastAsia="zh-CN"/>
        </w:rPr>
        <w:t xml:space="preserve">工作</w:t>
      </w:r>
      <w:r>
        <w:rPr>
          <w:rFonts w:ascii="仿宋" w:eastAsia="仿宋" w:hAnsi="仿宋" w:cs="仿宋" w:hint="eastAsia"/>
          <w:color w:val="auto"/>
          <w:highlight w:val="none"/>
        </w:rPr>
        <w:t xml:space="preserve">内容相匹配，预算额度测算依据充分，预算确定的资金量与</w:t>
      </w:r>
      <w:r>
        <w:rPr>
          <w:rFonts w:ascii="仿宋" w:eastAsia="仿宋" w:hAnsi="仿宋" w:cs="仿宋" w:hint="eastAsia"/>
          <w:color w:val="auto"/>
          <w:highlight w:val="none"/>
          <w:lang w:val="en-US" w:eastAsia="zh-CN"/>
        </w:rPr>
        <w:t xml:space="preserve">工作量</w:t>
      </w:r>
      <w:r>
        <w:rPr>
          <w:rFonts w:ascii="仿宋" w:eastAsia="仿宋" w:hAnsi="仿宋" w:cs="仿宋" w:hint="eastAsia"/>
          <w:color w:val="auto"/>
          <w:highlight w:val="none"/>
        </w:rPr>
        <w:t xml:space="preserve">相匹配。</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6、资金分配合理性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本项目预算资金分配依据充分；资金分配额度合理，与项目单位实际相适应。</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pStyle w:val="Heading3"/>
        <w:bidi w:val="0"/>
        <w:rPr>
          <w:rFonts w:ascii="仿宋" w:eastAsia="仿宋" w:hAnsi="仿宋" w:cs="仿宋" w:hint="eastAsia"/>
          <w:color w:val="auto"/>
          <w:highlight w:val="none"/>
        </w:rPr>
      </w:pPr>
      <w:bookmarkStart w:id="21" w:name="_Toc11290"/>
      <w:r>
        <w:rPr>
          <w:rFonts w:ascii="仿宋" w:eastAsia="仿宋" w:hAnsi="仿宋" w:cs="仿宋" w:hint="eastAsia"/>
          <w:color w:val="auto"/>
          <w:highlight w:val="none"/>
        </w:rPr>
        <w:t xml:space="preserve">（二）项目过程情况</w:t>
      </w:r>
      <w:bookmarkEnd w:id="21"/>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1、资金到位率</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w:t>
      </w:r>
      <w:r>
        <w:rPr>
          <w:rFonts w:ascii="仿宋" w:eastAsia="仿宋" w:hAnsi="仿宋" w:cs="仿宋" w:hint="eastAsia"/>
          <w:color w:val="auto"/>
          <w:highlight w:val="none"/>
          <w:lang w:val="en-US" w:eastAsia="zh-CN"/>
        </w:rPr>
        <w:t xml:space="preserve">2280</w:t>
      </w:r>
      <w:r>
        <w:rPr>
          <w:rFonts w:ascii="仿宋" w:eastAsia="仿宋" w:hAnsi="仿宋" w:cs="仿宋" w:hint="eastAsia"/>
          <w:color w:val="auto"/>
          <w:highlight w:val="none"/>
        </w:rPr>
        <w:t xml:space="preserve">万元，实际到位资金</w:t>
      </w:r>
      <w:r>
        <w:rPr>
          <w:rFonts w:ascii="仿宋" w:eastAsia="仿宋" w:hAnsi="仿宋" w:cs="仿宋" w:hint="eastAsia"/>
          <w:color w:val="auto"/>
          <w:highlight w:val="none"/>
          <w:lang w:val="en-US" w:eastAsia="zh-CN"/>
        </w:rPr>
        <w:t xml:space="preserve">2280</w:t>
      </w:r>
      <w:r>
        <w:rPr>
          <w:rFonts w:ascii="仿宋" w:eastAsia="仿宋" w:hAnsi="仿宋" w:cs="仿宋" w:hint="eastAsia"/>
          <w:color w:val="auto"/>
          <w:highlight w:val="none"/>
        </w:rPr>
        <w:t xml:space="preserve">万元，资金到位率100%。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2、预算执行率</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本项目到位资金</w:t>
      </w:r>
      <w:r>
        <w:rPr>
          <w:rFonts w:ascii="仿宋" w:eastAsia="仿宋" w:hAnsi="仿宋" w:cs="仿宋" w:hint="eastAsia"/>
          <w:color w:val="auto"/>
          <w:highlight w:val="none"/>
          <w:lang w:val="en-US" w:eastAsia="zh-CN"/>
        </w:rPr>
        <w:t xml:space="preserve">2280</w:t>
      </w:r>
      <w:r>
        <w:rPr>
          <w:rFonts w:ascii="仿宋" w:eastAsia="仿宋" w:hAnsi="仿宋" w:cs="仿宋" w:hint="eastAsia"/>
          <w:color w:val="auto"/>
          <w:highlight w:val="none"/>
        </w:rPr>
        <w:t xml:space="preserve">万元，实际支付资金</w:t>
      </w:r>
      <w:r>
        <w:rPr>
          <w:rFonts w:ascii="仿宋" w:eastAsia="仿宋" w:hAnsi="仿宋" w:cs="仿宋" w:hint="eastAsia"/>
          <w:color w:val="auto"/>
          <w:highlight w:val="none"/>
          <w:lang w:val="en-US" w:eastAsia="zh-CN"/>
        </w:rPr>
        <w:t xml:space="preserve">2280</w:t>
      </w:r>
      <w:r>
        <w:rPr>
          <w:rFonts w:ascii="仿宋" w:eastAsia="仿宋" w:hAnsi="仿宋" w:cs="仿宋" w:hint="eastAsia"/>
          <w:color w:val="auto"/>
          <w:highlight w:val="none"/>
        </w:rPr>
        <w:t xml:space="preserve">万元，预算执行率为100%。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3、资金使用合规性</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本项目资金的使用符合《中华人民共和国预算法》《中华人民共和国会计法》等国家有关财经法规以及预算管理制度；符合《尉犁县专项资金管理办法》要求。资金的审批和拨付按照《尉犁县财政资金审批管理办法》执行，有完整的审批程序和手续；资金使用符合专项资金支持的范围。不存在截留、挤占、挪用、虚列支出等情况。</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4、管理制度健全性</w:t>
      </w:r>
    </w:p>
    <w:p>
      <w:pPr>
        <w:spacing w:line="360" w:lineRule="auto"/>
        <w:ind w:firstLine="640"/>
        <w:rPr>
          <w:rFonts w:ascii="仿宋" w:eastAsia="仿宋" w:hAnsi="仿宋" w:cs="仿宋" w:hint="eastAsia"/>
          <w:b/>
          <w:bCs/>
          <w:color w:val="auto"/>
          <w:kern w:val="2"/>
          <w:sz w:val="32"/>
          <w:szCs w:val="24"/>
          <w:highlight w:val="none"/>
          <w:lang w:val="en-US" w:eastAsia="zh-CN" w:bidi="ar-SA"/>
        </w:rPr>
      </w:pPr>
      <w:r>
        <w:rPr>
          <w:rFonts w:ascii="仿宋" w:eastAsia="仿宋" w:hAnsi="仿宋" w:cs="仿宋" w:hint="eastAsia"/>
          <w:color w:val="auto"/>
          <w:highlight w:val="none"/>
          <w:lang w:val="en-US" w:eastAsia="zh-CN"/>
        </w:rPr>
        <w:t xml:space="preserve">尉犁县农业农村局（乡村振兴局、畜牧兽医局）制定了《尉犁县农业农村局（乡村振兴局、畜牧兽医局）财务管理办法》和《尉犁县农业农村局（乡村振兴局、畜牧兽医局）内控管理制度</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5、制度执行有效性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本项目在实施过程中严格遵守相关法律法规和相关管理规定，如《中华人民共和国预算法</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中华人民共和国会计法》等，严格执行项目管理相关文件要求和程序，项目申报、审批、实施、资金拨付、检查及审计等有关资料齐全，并及时整理归档。本项目无项目调整及支出调整，制度执行有效性较高。</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本项满分3分，评估得分3分。</w:t>
      </w:r>
      <w:bookmarkStart w:id="22" w:name="_Toc32013"/>
    </w:p>
    <w:p>
      <w:pPr>
        <w:pStyle w:val="Heading3"/>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（三）项目产出情况</w:t>
      </w:r>
      <w:bookmarkEnd w:id="22"/>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1、产出数量</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指标1：农机购置与应用补贴机具数大于或等于771台（套）</w:t>
      </w:r>
      <w:r>
        <w:rPr>
          <w:rFonts w:ascii="仿宋" w:eastAsia="仿宋" w:hAnsi="仿宋" w:cs="仿宋" w:hint="eastAsia"/>
          <w:color w:val="auto"/>
          <w:highlight w:val="none"/>
        </w:rPr>
        <w:t xml:space="preserve">，实际完成值</w:t>
      </w:r>
      <w:r>
        <w:rPr>
          <w:rFonts w:ascii="仿宋" w:eastAsia="仿宋" w:hAnsi="仿宋" w:cs="仿宋" w:hint="eastAsia"/>
          <w:color w:val="auto"/>
          <w:highlight w:val="none"/>
          <w:lang w:val="en-US" w:eastAsia="zh-CN"/>
        </w:rPr>
        <w:t xml:space="preserve">771台（套）</w:t>
      </w:r>
      <w:r>
        <w:rPr>
          <w:rFonts w:ascii="仿宋" w:eastAsia="仿宋" w:hAnsi="仿宋" w:cs="仿宋" w:hint="eastAsia"/>
          <w:color w:val="auto"/>
          <w:highlight w:val="none"/>
        </w:rPr>
        <w:t xml:space="preserve">，指标完成率100%；</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指标2：补短板重点机械数量大于或等于99台（套），</w:t>
      </w:r>
      <w:r>
        <w:rPr>
          <w:rFonts w:ascii="仿宋" w:eastAsia="仿宋" w:hAnsi="仿宋" w:cs="仿宋" w:hint="eastAsia"/>
          <w:color w:val="auto"/>
          <w:highlight w:val="none"/>
        </w:rPr>
        <w:t xml:space="preserve">实际完成值</w:t>
      </w:r>
      <w:r>
        <w:rPr>
          <w:rFonts w:ascii="仿宋" w:eastAsia="仿宋" w:hAnsi="仿宋" w:cs="仿宋" w:hint="eastAsia"/>
          <w:color w:val="auto"/>
          <w:highlight w:val="none"/>
          <w:lang w:val="en-US" w:eastAsia="zh-CN"/>
        </w:rPr>
        <w:t xml:space="preserve">99台（套）</w:t>
      </w:r>
      <w:r>
        <w:rPr>
          <w:rFonts w:ascii="仿宋" w:eastAsia="仿宋" w:hAnsi="仿宋" w:cs="仿宋" w:hint="eastAsia"/>
          <w:color w:val="auto"/>
          <w:highlight w:val="none"/>
        </w:rPr>
        <w:t xml:space="preserve">，指标</w:t>
      </w:r>
      <w:r>
        <w:rPr>
          <w:rFonts w:ascii="仿宋" w:eastAsia="仿宋" w:hAnsi="仿宋" w:cs="仿宋" w:hint="eastAsia"/>
          <w:color w:val="auto"/>
          <w:highlight w:val="none"/>
          <w:lang w:val="en-US" w:eastAsia="zh-CN"/>
        </w:rPr>
        <w:t xml:space="preserve">完成率100%；</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本项满分12分，评估得分12分。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2、产出质量</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指标1：农机购置补贴资金兑付率100%，</w:t>
      </w:r>
      <w:r>
        <w:rPr>
          <w:rFonts w:ascii="仿宋" w:eastAsia="仿宋" w:hAnsi="仿宋" w:cs="仿宋" w:hint="eastAsia"/>
          <w:color w:val="auto"/>
          <w:highlight w:val="none"/>
        </w:rPr>
        <w:t xml:space="preserve">指标完成值100%，指标完成率100%；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w:t>
      </w:r>
      <w:r>
        <w:rPr>
          <w:rFonts w:ascii="仿宋" w:eastAsia="仿宋" w:hAnsi="仿宋" w:cs="仿宋" w:hint="eastAsia"/>
          <w:color w:val="auto"/>
          <w:highlight w:val="none"/>
          <w:lang w:val="en-US" w:eastAsia="zh-CN"/>
        </w:rPr>
        <w:t xml:space="preserve">2分，评估得分12分。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3、产出时效</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指标1：农机购置补贴资金兑付及时率100%，指标完成值100.0%，指标完成率100%。</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本项满分8分，评估得分8分。</w:t>
      </w:r>
    </w:p>
    <w:p>
      <w:pPr>
        <w:numPr>
          <w:ilvl w:val="0"/>
          <w:numId w:val="0"/>
        </w:numPr>
        <w:bidi w:val="0"/>
        <w:ind w:firstLine="640" w:firstLineChars="20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4、产出成本</w:t>
      </w:r>
    </w:p>
    <w:p>
      <w:pPr>
        <w:numPr>
          <w:ilvl w:val="0"/>
          <w:numId w:val="0"/>
        </w:numPr>
        <w:bidi w:val="0"/>
        <w:ind w:firstLine="640" w:firstLineChars="20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指标1：农机购置补贴率小于等于30%，实</w:t>
      </w:r>
      <w:r>
        <w:rPr>
          <w:rFonts w:ascii="仿宋" w:eastAsia="仿宋" w:hAnsi="仿宋" w:cs="仿宋" w:hint="eastAsia"/>
          <w:color w:val="auto"/>
          <w:highlight w:val="none"/>
        </w:rPr>
        <w:t xml:space="preserve">际完成</w:t>
      </w:r>
      <w:r>
        <w:rPr>
          <w:rFonts w:ascii="仿宋" w:eastAsia="仿宋" w:hAnsi="仿宋" w:cs="仿宋" w:hint="eastAsia"/>
          <w:color w:val="auto"/>
          <w:highlight w:val="none"/>
          <w:lang w:val="en-US" w:eastAsia="zh-CN"/>
        </w:rPr>
        <w:t xml:space="preserve">指标值17%，指标完成率100%；</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本项满分8分，评估得分8分。</w:t>
      </w:r>
    </w:p>
    <w:p>
      <w:pPr>
        <w:pStyle w:val="Heading3"/>
        <w:bidi w:val="0"/>
        <w:rPr>
          <w:rFonts w:ascii="仿宋" w:eastAsia="仿宋" w:hAnsi="仿宋" w:cs="仿宋" w:hint="eastAsia"/>
          <w:color w:val="auto"/>
          <w:highlight w:val="none"/>
        </w:rPr>
      </w:pPr>
      <w:bookmarkStart w:id="23" w:name="_Toc28354"/>
      <w:r>
        <w:rPr>
          <w:rFonts w:ascii="仿宋" w:eastAsia="仿宋" w:hAnsi="仿宋" w:cs="仿宋" w:hint="eastAsia"/>
          <w:color w:val="auto"/>
          <w:highlight w:val="none"/>
        </w:rPr>
        <w:t xml:space="preserve">（四）项目效益情况</w:t>
      </w:r>
      <w:bookmarkEnd w:id="23"/>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1、实际效益</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本项目实施所产生的效益主要包括</w:t>
      </w:r>
      <w:r>
        <w:rPr>
          <w:rFonts w:ascii="仿宋" w:eastAsia="仿宋" w:hAnsi="仿宋" w:cs="仿宋" w:hint="eastAsia"/>
          <w:color w:val="auto"/>
          <w:highlight w:val="none"/>
          <w:lang w:eastAsia="zh-CN"/>
        </w:rPr>
        <w:t xml:space="preserve">经济效益和</w:t>
      </w:r>
      <w:r>
        <w:rPr>
          <w:rFonts w:ascii="仿宋" w:eastAsia="仿宋" w:hAnsi="仿宋" w:cs="仿宋" w:hint="eastAsia"/>
          <w:color w:val="auto"/>
          <w:highlight w:val="none"/>
        </w:rPr>
        <w:t xml:space="preserve">社会效益。</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项目的实施，农机购置与应用补贴直接受益417户，提高农作物耕种收综合机械化率，促进农民增收，有效促进县域农业发展。</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本项满分10分，评估得分10分。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2、满意度</w:t>
      </w:r>
    </w:p>
    <w:p>
      <w:pPr>
        <w:bidi w:val="0"/>
        <w:rPr>
          <w:rFonts w:ascii="仿宋" w:eastAsia="仿宋" w:hAnsi="仿宋" w:cs="仿宋" w:hint="eastAsia"/>
          <w:color w:val="auto"/>
          <w:highlight w:val="none"/>
          <w:lang w:val="en-US"/>
        </w:rPr>
      </w:pPr>
      <w:r>
        <w:rPr>
          <w:rFonts w:ascii="仿宋" w:eastAsia="仿宋" w:hAnsi="仿宋" w:cs="仿宋" w:hint="eastAsia"/>
          <w:color w:val="auto"/>
          <w:highlight w:val="none"/>
        </w:rPr>
        <w:t xml:space="preserve">本项目服务对象和受益群众主要是购置补贴受益户，通过问卷调查方式收集</w:t>
      </w:r>
      <w:r>
        <w:rPr>
          <w:rFonts w:ascii="仿宋" w:eastAsia="仿宋" w:hAnsi="仿宋" w:cs="仿宋" w:hint="eastAsia"/>
          <w:color w:val="auto"/>
          <w:highlight w:val="none"/>
          <w:lang w:val="en-US" w:eastAsia="zh-CN"/>
        </w:rPr>
        <w:t xml:space="preserve">群众</w:t>
      </w:r>
      <w:r>
        <w:rPr>
          <w:rFonts w:ascii="仿宋" w:eastAsia="仿宋" w:hAnsi="仿宋" w:cs="仿宋" w:hint="eastAsia"/>
          <w:color w:val="auto"/>
          <w:highlight w:val="none"/>
        </w:rPr>
        <w:t xml:space="preserve">对本项目实施的满意度。购置补贴受益户满意度</w:t>
      </w:r>
      <w:r>
        <w:rPr>
          <w:rFonts w:ascii="仿宋" w:eastAsia="仿宋" w:hAnsi="仿宋" w:cs="仿宋" w:hint="eastAsia"/>
          <w:color w:val="auto"/>
          <w:highlight w:val="none"/>
          <w:lang w:eastAsia="zh-CN"/>
        </w:rPr>
        <w:t xml:space="preserve">达</w:t>
      </w:r>
      <w:r>
        <w:rPr>
          <w:rFonts w:ascii="仿宋" w:eastAsia="仿宋" w:hAnsi="仿宋" w:cs="仿宋" w:hint="eastAsia"/>
          <w:color w:val="auto"/>
          <w:highlight w:val="none"/>
          <w:lang w:val="en-US" w:eastAsia="zh-CN"/>
        </w:rPr>
        <w:t xml:space="preserve">90%，完成率100%。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本项满分10分，评估得分10分。</w:t>
      </w:r>
    </w:p>
    <w:p>
      <w:pPr>
        <w:pStyle w:val="Heading2"/>
        <w:bidi w:val="0"/>
        <w:rPr>
          <w:rFonts w:ascii="仿宋" w:eastAsia="仿宋" w:hAnsi="仿宋" w:cs="仿宋" w:hint="eastAsia"/>
          <w:color w:val="auto"/>
          <w:highlight w:val="none"/>
        </w:rPr>
      </w:pPr>
      <w:bookmarkStart w:id="24" w:name="_Toc27244"/>
      <w:r>
        <w:rPr>
          <w:rFonts w:ascii="仿宋" w:eastAsia="仿宋" w:hAnsi="仿宋" w:cs="仿宋" w:hint="eastAsia"/>
          <w:color w:val="auto"/>
          <w:highlight w:val="none"/>
        </w:rPr>
        <w:t xml:space="preserve">五、主要经验及做法、存在的问题及原因分析</w:t>
      </w:r>
      <w:bookmarkEnd w:id="24"/>
    </w:p>
    <w:p>
      <w:pPr>
        <w:pStyle w:val="Heading3"/>
        <w:bidi w:val="0"/>
        <w:rPr>
          <w:rFonts w:ascii="仿宋" w:eastAsia="仿宋" w:hAnsi="仿宋" w:cs="仿宋" w:hint="eastAsia"/>
          <w:color w:val="auto"/>
          <w:highlight w:val="none"/>
        </w:rPr>
      </w:pPr>
      <w:bookmarkStart w:id="25" w:name="_Toc18880"/>
      <w:r>
        <w:rPr>
          <w:rFonts w:ascii="仿宋" w:eastAsia="仿宋" w:hAnsi="仿宋" w:cs="仿宋" w:hint="eastAsia"/>
          <w:color w:val="auto"/>
          <w:highlight w:val="none"/>
        </w:rPr>
        <w:t xml:space="preserve">（一）主要经验及做法</w:t>
      </w:r>
      <w:bookmarkEnd w:id="25"/>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eastAsia="zh-CN"/>
        </w:rPr>
        <w:t xml:space="preserve">该项目在州农业农村局，尉犁</w:t>
      </w:r>
      <w:r>
        <w:rPr>
          <w:rFonts w:ascii="仿宋" w:eastAsia="仿宋" w:hAnsi="仿宋" w:cs="仿宋" w:hint="eastAsia"/>
          <w:color w:val="auto"/>
          <w:highlight w:val="none"/>
          <w:lang w:eastAsia="zh-CN"/>
        </w:rPr>
        <w:t xml:space="preserve">县委、县政府</w:t>
      </w:r>
      <w:r>
        <w:rPr>
          <w:rFonts w:ascii="仿宋" w:eastAsia="仿宋" w:hAnsi="仿宋" w:cs="仿宋" w:hint="eastAsia"/>
          <w:color w:val="auto"/>
          <w:highlight w:val="none"/>
          <w:lang w:eastAsia="zh-CN"/>
        </w:rPr>
        <w:t xml:space="preserve">的支持下，在相关部门的配合下，全面顺利完成，主要经验及做法如下:</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eastAsia="zh-CN"/>
        </w:rPr>
        <w:t xml:space="preserve">按照上级部门的要求，扎实做好核查工作，在每批给农民兑付补贴资金之前，组织有关人员采取入户调查、电话抽查等形式，核实农民购机补贴情况、供货企业、直销企业销售机具价格、质量等情况。做好人机合照，必须“见人、见机、拖拉机见证”，否则取消补贴资格。通过电话调研、入户走访、上路检查农机具等方式对农机购机者身份信息核实、对补贴机具信息进行核实。核实税控发票所显示的金额、机具名称、生产企业、型号、发动机号、出厂编号等与机具铭牌显示信息和系统登记信息是否一致，牌证管理机具信息与农机安全监理系统推送至辅助管理系统的牌证信息、机具信息是否一致。公正透明，不存在截留、挪用、抵扣和暗箱操作等情况，也未有反应有虚报冒领现象。</w:t>
      </w:r>
    </w:p>
    <w:p>
      <w:pPr>
        <w:pStyle w:val="Heading3"/>
        <w:bidi w:val="0"/>
        <w:rPr>
          <w:rFonts w:ascii="仿宋" w:eastAsia="仿宋" w:hAnsi="仿宋" w:cs="仿宋" w:hint="eastAsia"/>
          <w:color w:val="auto"/>
          <w:highlight w:val="none"/>
        </w:rPr>
      </w:pPr>
      <w:bookmarkStart w:id="26" w:name="_Toc9914"/>
      <w:r>
        <w:rPr>
          <w:rFonts w:ascii="仿宋" w:eastAsia="仿宋" w:hAnsi="仿宋" w:cs="仿宋" w:hint="eastAsia"/>
          <w:color w:val="auto"/>
          <w:highlight w:val="none"/>
        </w:rPr>
        <w:t xml:space="preserve">（二）存在问题及原因分析</w:t>
      </w:r>
      <w:bookmarkEnd w:id="26"/>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eastAsia="zh-CN"/>
        </w:rPr>
        <w:t xml:space="preserve">1、</w:t>
      </w:r>
      <w:r>
        <w:rPr>
          <w:rFonts w:ascii="仿宋" w:eastAsia="仿宋" w:hAnsi="仿宋" w:cs="仿宋" w:hint="eastAsia"/>
          <w:color w:val="auto"/>
          <w:highlight w:val="none"/>
          <w:lang w:val="en-US" w:eastAsia="zh-CN"/>
        </w:rPr>
        <w:t xml:space="preserve">农机购置补贴相关各部门、各环节之间的协调工作还有待加强。</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eastAsia="zh-CN"/>
        </w:rPr>
        <w:t xml:space="preserve">2、</w:t>
      </w:r>
      <w:r>
        <w:rPr>
          <w:rFonts w:ascii="仿宋" w:eastAsia="仿宋" w:hAnsi="仿宋" w:cs="仿宋" w:hint="eastAsia"/>
          <w:color w:val="auto"/>
          <w:highlight w:val="none"/>
          <w:lang w:val="en-US" w:eastAsia="zh-CN"/>
        </w:rPr>
        <w:t xml:space="preserve">个别乡镇农机工作人员工作不够细致，有工作马虎和能力水平不足的情形。从各乡镇上交的购置补贴档案资料情况看出，有的乡镇档案存在着签字不到位、资料不齐全、录入信息错误等问题。</w:t>
      </w:r>
    </w:p>
    <w:p>
      <w:pPr>
        <w:pStyle w:val="Heading2"/>
        <w:bidi w:val="0"/>
        <w:rPr>
          <w:rFonts w:ascii="仿宋" w:eastAsia="仿宋" w:hAnsi="仿宋" w:cs="仿宋" w:hint="eastAsia"/>
          <w:color w:val="auto"/>
          <w:highlight w:val="none"/>
        </w:rPr>
      </w:pPr>
      <w:bookmarkStart w:id="27" w:name="_Toc2334"/>
      <w:r>
        <w:rPr>
          <w:rFonts w:ascii="仿宋" w:eastAsia="仿宋" w:hAnsi="仿宋" w:cs="仿宋" w:hint="eastAsia"/>
          <w:color w:val="auto"/>
          <w:highlight w:val="none"/>
        </w:rPr>
        <w:t xml:space="preserve">六、有关建议</w:t>
      </w:r>
      <w:bookmarkEnd w:id="27"/>
    </w:p>
    <w:p>
      <w:pPr>
        <w:rPr>
          <w:rFonts w:ascii="仿宋" w:eastAsia="仿宋" w:hAnsi="仿宋" w:cs="仿宋" w:hint="eastAsia"/>
          <w:bCs w:val="0"/>
          <w:iCs w:val="0"/>
          <w:color w:val="auto"/>
          <w:kern w:val="2"/>
          <w:sz w:val="32"/>
          <w:szCs w:val="22"/>
          <w:highlight w:val="none"/>
          <w:lang w:val="en-US" w:eastAsia="zh-CN" w:bidi="ar-SA"/>
        </w:rPr>
      </w:pPr>
      <w:bookmarkStart w:id="28" w:name="_Toc30571"/>
      <w:r>
        <w:rPr>
          <w:rFonts w:ascii="仿宋" w:eastAsia="仿宋" w:hAnsi="仿宋" w:cs="仿宋" w:hint="eastAsia"/>
          <w:bCs w:val="0"/>
          <w:iCs w:val="0"/>
          <w:color w:val="auto"/>
          <w:kern w:val="2"/>
          <w:sz w:val="32"/>
          <w:szCs w:val="22"/>
          <w:highlight w:val="none"/>
          <w:lang w:val="en-US" w:eastAsia="zh-CN" w:bidi="ar-SA"/>
        </w:rPr>
        <w:t xml:space="preserve">（1）加强与各乡镇农机站工作人员之间的沟通交流，利用乡镇联络员报送发放材料时间了解其需求，听取意见建议，及时做出相关调整，确保项目执行过程中信息畅通。</w:t>
      </w:r>
    </w:p>
    <w:p>
      <w:pPr>
        <w:rPr>
          <w:rFonts w:ascii="仿宋" w:eastAsia="仿宋" w:hAnsi="仿宋" w:cs="仿宋" w:hint="eastAsia"/>
          <w:bCs w:val="0"/>
          <w:iCs w:val="0"/>
          <w:color w:val="auto"/>
          <w:kern w:val="2"/>
          <w:sz w:val="32"/>
          <w:szCs w:val="22"/>
          <w:highlight w:val="none"/>
          <w:lang w:val="en-US" w:eastAsia="zh-CN" w:bidi="ar-SA"/>
        </w:rPr>
      </w:pPr>
      <w:r>
        <w:rPr>
          <w:rFonts w:ascii="仿宋" w:eastAsia="仿宋" w:hAnsi="仿宋" w:cs="仿宋" w:hint="eastAsia"/>
          <w:bCs w:val="0"/>
          <w:iCs w:val="0"/>
          <w:color w:val="auto"/>
          <w:kern w:val="2"/>
          <w:sz w:val="32"/>
          <w:szCs w:val="22"/>
          <w:highlight w:val="none"/>
          <w:lang w:val="en-US" w:eastAsia="zh-CN" w:bidi="ar-SA"/>
        </w:rPr>
        <w:t xml:space="preserve">（2）建立反馈机制，项目执行中存在的问题及时反馈给各乡镇农机站联络员，明确工作标准与流程，规范信息录入与各类资料的签字要求，同时督促各乡镇农机站认真完成初审工作。</w:t>
      </w:r>
    </w:p>
    <w:p>
      <w:pPr>
        <w:pStyle w:val="Heading2"/>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七、其他需要说明的问题</w:t>
      </w:r>
      <w:bookmarkEnd w:id="28"/>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lang w:eastAsia="zh-CN"/>
        </w:rPr>
        <w:t xml:space="preserve">本项目部分间接产生的效果无法准确在短期内衡量，因此很难认定项目产生的全部效果。通过指标来反映绩效，指标的科学性和全面性需要不断地完善和研究。</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lang w:eastAsia="zh-CN"/>
        </w:rPr>
        <w:t xml:space="preserve">本项目</w:t>
      </w:r>
      <w:r>
        <w:rPr>
          <w:rFonts w:ascii="仿宋" w:eastAsia="仿宋" w:hAnsi="仿宋" w:cs="仿宋" w:hint="eastAsia"/>
          <w:color w:val="auto"/>
          <w:highlight w:val="none"/>
        </w:rPr>
        <w:t xml:space="preserve">评价结果分别编入政府决算和部门预算，报送本级人民代表大会常务委员会，并依法予以公开。</w:t>
      </w:r>
    </w:p>
    <w:p>
      <w:pPr>
        <w:pStyle w:val="Heading2"/>
        <w:bidi w:val="0"/>
        <w:rPr>
          <w:rFonts w:ascii="仿宋" w:eastAsia="仿宋" w:hAnsi="仿宋" w:cs="仿宋" w:hint="eastAsia"/>
          <w:color w:val="auto"/>
          <w:highlight w:val="none"/>
        </w:rPr>
      </w:pPr>
      <w:bookmarkStart w:id="29" w:name="_Toc10180"/>
      <w:r>
        <w:rPr>
          <w:rFonts w:ascii="仿宋" w:eastAsia="仿宋" w:hAnsi="仿宋" w:cs="仿宋" w:hint="eastAsia"/>
          <w:color w:val="auto"/>
          <w:highlight w:val="none"/>
        </w:rPr>
        <w:t xml:space="preserve">八、相关附件</w:t>
      </w:r>
      <w:bookmarkEnd w:id="29"/>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1、项目支出绩效自评表</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2、评价指标体系及得分表</w:t>
      </w:r>
    </w:p>
    <w:p>
      <w:pPr>
        <w:bidi w:val="0"/>
        <w:rPr>
          <w:rFonts w:ascii="仿宋" w:eastAsia="仿宋" w:hAnsi="仿宋" w:cs="仿宋" w:hint="eastAsia"/>
          <w:color w:val="auto"/>
          <w:highlight w:val="none"/>
          <w:lang w:val="en-US" w:eastAsia="zh-CN"/>
        </w:rPr>
        <w:sectPr>
          <w:footerReference w:type="default" r:id="rId3"/>
          <w:pgSz w:w="11906" w:h="16838" w:orient="portrait"/>
          <w:pgMar w:top="1440" w:right="1800" w:bottom="1440" w:left="1800" w:header="851" w:footer="992" w:gutter="0"/>
          <w:pgBorders>
            <w:top w:val="none" w:sz="0" w:space="0" w:color="auto"/>
            <w:left w:val="none" w:sz="0" w:space="0" w:color="auto"/>
            <w:bottom w:val="none" w:sz="0" w:space="0" w:color="auto"/>
            <w:right w:val="none" w:sz="0" w:space="0" w:color="auto"/>
          </w:pgBorders>
          <w:pgNumType w:fmt="decimal" w:start="1"/>
          <w:cols w:num="1" w:space="720">
            <w:col w:w="8306" w:space="720"/>
          </w:cols>
          <w:docGrid w:type="lines" w:linePitch="312" w:charSpace="0"/>
        </w:sectPr>
      </w:pPr>
      <w:r>
        <w:rPr>
          <w:rFonts w:ascii="仿宋" w:eastAsia="仿宋" w:hAnsi="仿宋" w:cs="仿宋" w:hint="eastAsia"/>
          <w:color w:val="auto"/>
          <w:highlight w:val="none"/>
          <w:lang w:val="en-US" w:eastAsia="zh-CN"/>
        </w:rPr>
        <w:t xml:space="preserve"> </w:t>
      </w:r>
    </w:p>
    <w:p>
      <w:pPr>
        <w:pStyle w:val="Heading2"/>
        <w:bidi w:val="0"/>
        <w:rPr>
          <w:rFonts w:ascii="仿宋" w:eastAsia="仿宋" w:hAnsi="仿宋" w:cs="仿宋" w:hint="eastAsia"/>
          <w:color w:val="auto"/>
          <w:highlight w:val="none"/>
        </w:rPr>
      </w:pPr>
      <w:bookmarkStart w:id="30" w:name="_Toc18004"/>
      <w:bookmarkStart w:id="31" w:name="_Toc12781"/>
      <w:bookmarkStart w:id="32" w:name="_Toc6652"/>
      <w:r>
        <w:rPr>
          <w:rFonts w:ascii="仿宋" w:eastAsia="仿宋" w:hAnsi="仿宋" w:cs="仿宋" w:hint="eastAsia"/>
          <w:color w:val="auto"/>
          <w:highlight w:val="none"/>
        </w:rPr>
        <w:t xml:space="preserve">附件1：项目支出绩效自评表</w:t>
      </w:r>
      <w:bookmarkEnd w:id="30"/>
      <w:bookmarkEnd w:id="31"/>
      <w:bookmarkEnd w:id="32"/>
    </w:p>
    <w:tbl>
      <w:tblPr>
        <w:tblStyle w:val="NormalTable"/>
        <w:tblW w:w="53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firstRow="0" w:lastRow="0" w:firstColumn="0" w:lastColumn="0" w:noHBand="1" w:noVBand="1"/>
      </w:tblPr>
      <w:tblGrid>
        <w:gridCol w:w="751"/>
        <w:gridCol w:w="679"/>
        <w:gridCol w:w="869"/>
        <w:gridCol w:w="1554"/>
        <w:gridCol w:w="1437"/>
        <w:gridCol w:w="1232"/>
        <w:gridCol w:w="990"/>
        <w:gridCol w:w="770"/>
        <w:gridCol w:w="1165"/>
        <w:gridCol w:w="770"/>
        <w:gridCol w:w="993"/>
        <w:gridCol w:w="1150"/>
        <w:gridCol w:w="951"/>
        <w:gridCol w:w="1781"/>
      </w:tblGrid>
      <w:tr>
        <w:tblPrEx>
          <w:tblW w:w="53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20"/>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标题"/>
              <w:bidi w:val="0"/>
              <w:rPr>
                <w:rFonts w:ascii="仿宋" w:eastAsia="仿宋" w:hAnsi="仿宋" w:cs="仿宋" w:hint="eastAsia"/>
                <w:color w:val="auto"/>
                <w:highlight w:val="none"/>
              </w:rPr>
            </w:pPr>
            <w:bookmarkStart w:id="33" w:name="_Toc28099"/>
            <w:bookmarkStart w:id="34" w:name="_Toc5134"/>
            <w:bookmarkStart w:id="35" w:name="_Toc1641"/>
            <w:r>
              <w:rPr>
                <w:rFonts w:ascii="仿宋" w:eastAsia="仿宋" w:hAnsi="仿宋" w:cs="仿宋" w:hint="eastAsia"/>
                <w:color w:val="auto"/>
                <w:highlight w:val="none"/>
                <w:lang w:val="en-US" w:eastAsia="zh-CN"/>
              </w:rPr>
              <w:t xml:space="preserve">项目支出绩效自评表</w:t>
            </w:r>
          </w:p>
        </w:tc>
      </w:tr>
      <w:tr>
        <w:tblPrEx>
          <w:tblW w:w="53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353"/>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(2024年度)</w:t>
            </w:r>
          </w:p>
        </w:tc>
      </w:tr>
      <w:tr>
        <w:tblPrEx>
          <w:tblW w:w="53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270"/>
        </w:trPr>
        <w:tc>
          <w:tcPr>
            <w:tcW w:w="47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项目名称</w:t>
            </w:r>
          </w:p>
        </w:tc>
        <w:tc>
          <w:tcPr>
            <w:tcW w:w="4525" w:type="pct"/>
            <w:gridSpan w:val="1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2024年农机购置补贴（中央）</w:t>
            </w:r>
          </w:p>
        </w:tc>
      </w:tr>
      <w:tr>
        <w:tblPrEx>
          <w:tblW w:w="53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90"/>
        </w:trPr>
        <w:tc>
          <w:tcPr>
            <w:tcW w:w="47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主管部门</w:t>
            </w:r>
          </w:p>
        </w:tc>
        <w:tc>
          <w:tcPr>
            <w:tcW w:w="2015"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尉犁县农业农村局</w:t>
            </w:r>
          </w:p>
        </w:tc>
        <w:tc>
          <w:tcPr>
            <w:tcW w:w="63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实施单位</w:t>
            </w:r>
          </w:p>
        </w:tc>
        <w:tc>
          <w:tcPr>
            <w:tcW w:w="1870"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尉犁县农业农村局</w:t>
            </w:r>
          </w:p>
        </w:tc>
      </w:tr>
      <w:tr>
        <w:tblPrEx>
          <w:tblW w:w="53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474" w:type="pct"/>
            <w:gridSpan w:val="2"/>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项目资金</w:t>
            </w:r>
            <w:r>
              <w:rPr>
                <w:rFonts w:ascii="仿宋" w:eastAsia="仿宋" w:hAnsi="仿宋" w:cs="仿宋" w:hint="eastAsia"/>
                <w:color w:val="auto"/>
                <w:highlight w:val="none"/>
                <w:lang w:val="en-US" w:eastAsia="zh-CN"/>
              </w:rPr>
              <w:br/>
            </w:r>
            <w:r>
              <w:rPr>
                <w:rFonts w:ascii="仿宋" w:eastAsia="仿宋" w:hAnsi="仿宋" w:cs="仿宋" w:hint="eastAsia"/>
                <w:color w:val="auto"/>
                <w:highlight w:val="none"/>
                <w:lang w:val="en-US" w:eastAsia="zh-CN"/>
              </w:rPr>
              <w:t xml:space="preserve">（万元）</w:t>
            </w:r>
          </w:p>
        </w:tc>
        <w:tc>
          <w:tcPr>
            <w:tcW w:w="80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资金来源</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年初预算数</w:t>
            </w:r>
          </w:p>
        </w:tc>
        <w:tc>
          <w:tcPr>
            <w:tcW w:w="73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全年预算数</w:t>
            </w:r>
          </w:p>
        </w:tc>
        <w:tc>
          <w:tcPr>
            <w:tcW w:w="63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全年执行数</w:t>
            </w:r>
          </w:p>
        </w:tc>
        <w:tc>
          <w:tcPr>
            <w:tcW w:w="58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分值权重</w:t>
            </w:r>
          </w:p>
        </w:tc>
        <w:tc>
          <w:tcPr>
            <w:tcW w:w="69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执行率</w:t>
            </w:r>
          </w:p>
        </w:tc>
        <w:tc>
          <w:tcPr>
            <w:tcW w:w="5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得分</w:t>
            </w:r>
          </w:p>
        </w:tc>
      </w:tr>
      <w:tr>
        <w:tblPrEx>
          <w:tblW w:w="53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474"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80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年度资金总额</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2280.00</w:t>
            </w:r>
          </w:p>
        </w:tc>
        <w:tc>
          <w:tcPr>
            <w:tcW w:w="73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2280.00</w:t>
            </w:r>
          </w:p>
        </w:tc>
        <w:tc>
          <w:tcPr>
            <w:tcW w:w="63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2280.00</w:t>
            </w:r>
          </w:p>
        </w:tc>
        <w:tc>
          <w:tcPr>
            <w:tcW w:w="58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69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100.00%</w:t>
            </w:r>
          </w:p>
        </w:tc>
        <w:tc>
          <w:tcPr>
            <w:tcW w:w="5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10.00分</w:t>
            </w:r>
          </w:p>
        </w:tc>
      </w:tr>
      <w:tr>
        <w:tblPrEx>
          <w:tblW w:w="53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474"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80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其中：当年财政拨款</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2280</w:t>
            </w:r>
          </w:p>
        </w:tc>
        <w:tc>
          <w:tcPr>
            <w:tcW w:w="73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2280</w:t>
            </w:r>
          </w:p>
        </w:tc>
        <w:tc>
          <w:tcPr>
            <w:tcW w:w="63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2280</w:t>
            </w:r>
          </w:p>
        </w:tc>
        <w:tc>
          <w:tcPr>
            <w:tcW w:w="58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69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5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r>
      <w:tr>
        <w:tblPrEx>
          <w:tblW w:w="53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474"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80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其他资金</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0</w:t>
            </w:r>
          </w:p>
        </w:tc>
        <w:tc>
          <w:tcPr>
            <w:tcW w:w="73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0</w:t>
            </w:r>
          </w:p>
        </w:tc>
        <w:tc>
          <w:tcPr>
            <w:tcW w:w="63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0</w:t>
            </w:r>
          </w:p>
        </w:tc>
        <w:tc>
          <w:tcPr>
            <w:tcW w:w="58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69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5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r>
      <w:tr>
        <w:tblPrEx>
          <w:tblW w:w="53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49"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年度总体目标</w:t>
            </w:r>
          </w:p>
        </w:tc>
        <w:tc>
          <w:tcPr>
            <w:tcW w:w="2880"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总体目标</w:t>
            </w:r>
          </w:p>
        </w:tc>
        <w:tc>
          <w:tcPr>
            <w:tcW w:w="1870"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总体目标完成情况</w:t>
            </w:r>
          </w:p>
        </w:tc>
      </w:tr>
      <w:tr>
        <w:tblPrEx>
          <w:tblW w:w="53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871"/>
        </w:trPr>
        <w:tc>
          <w:tcPr>
            <w:tcW w:w="24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2880"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对直接从事农业生产的个人或生产经营组织购买农业机械给予补贴，年度完成补贴机具数量不少于771台，受益户不少于417户，年度资金兑付率100%。</w:t>
            </w:r>
          </w:p>
        </w:tc>
        <w:tc>
          <w:tcPr>
            <w:tcW w:w="1870"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完成对直接从事农业生产的个人或生产经营组织购买农业机械给予补贴，年度完成补贴机具数量为771台，受益户为417户，年度资金兑付率100%。</w:t>
            </w:r>
          </w:p>
        </w:tc>
      </w:tr>
      <w:tr>
        <w:tblPrEx>
          <w:tblW w:w="53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963"/>
        </w:trPr>
        <w:tc>
          <w:tcPr>
            <w:tcW w:w="24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22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一级指标</w:t>
            </w: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二级指标</w:t>
            </w:r>
          </w:p>
        </w:tc>
        <w:tc>
          <w:tcPr>
            <w:tcW w:w="51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三级指标</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指标值</w:t>
            </w:r>
          </w:p>
        </w:tc>
        <w:tc>
          <w:tcPr>
            <w:tcW w:w="40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指标值设置依据</w:t>
            </w: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上年完成值</w:t>
            </w:r>
          </w:p>
        </w:tc>
        <w:tc>
          <w:tcPr>
            <w:tcW w:w="25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指标分值权重</w:t>
            </w:r>
          </w:p>
        </w:tc>
        <w:tc>
          <w:tcPr>
            <w:tcW w:w="38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指标赋分规则</w:t>
            </w:r>
          </w:p>
        </w:tc>
        <w:tc>
          <w:tcPr>
            <w:tcW w:w="25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佐证资料</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指标实际完成值</w:t>
            </w:r>
          </w:p>
        </w:tc>
        <w:tc>
          <w:tcPr>
            <w:tcW w:w="38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完成率</w:t>
            </w:r>
          </w:p>
        </w:tc>
        <w:tc>
          <w:tcPr>
            <w:tcW w:w="31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指标得分</w:t>
            </w:r>
          </w:p>
        </w:tc>
        <w:tc>
          <w:tcPr>
            <w:tcW w:w="5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偏差原因分析及改进措施</w:t>
            </w:r>
          </w:p>
        </w:tc>
      </w:tr>
      <w:tr>
        <w:tblPrEx>
          <w:tblW w:w="53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49"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年度绩效指标完成情况</w:t>
            </w:r>
          </w:p>
        </w:tc>
        <w:tc>
          <w:tcPr>
            <w:tcW w:w="225"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产出指标</w:t>
            </w: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数量指标</w:t>
            </w:r>
          </w:p>
        </w:tc>
        <w:tc>
          <w:tcPr>
            <w:tcW w:w="51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农机购置与应用补贴机具数</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&gt;=771台（套）</w:t>
            </w:r>
          </w:p>
        </w:tc>
        <w:tc>
          <w:tcPr>
            <w:tcW w:w="40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1531台</w:t>
            </w:r>
          </w:p>
        </w:tc>
        <w:tc>
          <w:tcPr>
            <w:tcW w:w="25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8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按照正常比例赋分</w:t>
            </w:r>
          </w:p>
        </w:tc>
        <w:tc>
          <w:tcPr>
            <w:tcW w:w="25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=771台（套）</w:t>
            </w:r>
          </w:p>
        </w:tc>
        <w:tc>
          <w:tcPr>
            <w:tcW w:w="38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1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5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r>
      <w:tr>
        <w:tblPrEx>
          <w:tblW w:w="53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4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22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数量指标</w:t>
            </w:r>
          </w:p>
        </w:tc>
        <w:tc>
          <w:tcPr>
            <w:tcW w:w="51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补短板重点机械数量</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&gt;=99台（套）</w:t>
            </w:r>
          </w:p>
        </w:tc>
        <w:tc>
          <w:tcPr>
            <w:tcW w:w="40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25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8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按照正常比例赋分</w:t>
            </w:r>
          </w:p>
        </w:tc>
        <w:tc>
          <w:tcPr>
            <w:tcW w:w="25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=99台（套）</w:t>
            </w:r>
          </w:p>
        </w:tc>
        <w:tc>
          <w:tcPr>
            <w:tcW w:w="38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1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5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r>
      <w:tr>
        <w:tblPrEx>
          <w:tblW w:w="53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4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22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质量指标</w:t>
            </w:r>
          </w:p>
        </w:tc>
        <w:tc>
          <w:tcPr>
            <w:tcW w:w="51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农机购置补贴资金兑付率</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40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25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8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按照正常比例赋分</w:t>
            </w:r>
          </w:p>
        </w:tc>
        <w:tc>
          <w:tcPr>
            <w:tcW w:w="25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8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1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5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r>
      <w:tr>
        <w:tblPrEx>
          <w:tblW w:w="53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4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22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时效指标</w:t>
            </w:r>
          </w:p>
        </w:tc>
        <w:tc>
          <w:tcPr>
            <w:tcW w:w="51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农机购置补贴资金兑付及时率</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40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25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8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按照正常比例赋分</w:t>
            </w:r>
          </w:p>
        </w:tc>
        <w:tc>
          <w:tcPr>
            <w:tcW w:w="25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8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1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5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r>
      <w:tr>
        <w:tblPrEx>
          <w:tblW w:w="53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4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22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成本指标</w:t>
            </w: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经济成本指标</w:t>
            </w:r>
          </w:p>
        </w:tc>
        <w:tc>
          <w:tcPr>
            <w:tcW w:w="51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农机购置补贴率</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&lt;=30%</w:t>
            </w:r>
          </w:p>
        </w:tc>
        <w:tc>
          <w:tcPr>
            <w:tcW w:w="40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w:t>
            </w:r>
          </w:p>
        </w:tc>
        <w:tc>
          <w:tcPr>
            <w:tcW w:w="25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w:t>
            </w:r>
          </w:p>
        </w:tc>
        <w:tc>
          <w:tcPr>
            <w:tcW w:w="38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按照正常比例赋分</w:t>
            </w:r>
          </w:p>
        </w:tc>
        <w:tc>
          <w:tcPr>
            <w:tcW w:w="25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原始凭证</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=17%</w:t>
            </w:r>
          </w:p>
        </w:tc>
        <w:tc>
          <w:tcPr>
            <w:tcW w:w="38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1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w:t>
            </w:r>
          </w:p>
        </w:tc>
        <w:tc>
          <w:tcPr>
            <w:tcW w:w="5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r>
      <w:tr>
        <w:tblPrEx>
          <w:tblW w:w="53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4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225"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效益指标</w:t>
            </w: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经济效益指标</w:t>
            </w:r>
          </w:p>
        </w:tc>
        <w:tc>
          <w:tcPr>
            <w:tcW w:w="51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促进县域农业发展</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有效促进</w:t>
            </w:r>
          </w:p>
        </w:tc>
        <w:tc>
          <w:tcPr>
            <w:tcW w:w="40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达成目标</w:t>
            </w:r>
          </w:p>
        </w:tc>
        <w:tc>
          <w:tcPr>
            <w:tcW w:w="25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5</w:t>
            </w:r>
          </w:p>
        </w:tc>
        <w:tc>
          <w:tcPr>
            <w:tcW w:w="38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按评判等级赋分</w:t>
            </w:r>
          </w:p>
        </w:tc>
        <w:tc>
          <w:tcPr>
            <w:tcW w:w="25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达成目标</w:t>
            </w:r>
          </w:p>
        </w:tc>
        <w:tc>
          <w:tcPr>
            <w:tcW w:w="38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1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5</w:t>
            </w:r>
          </w:p>
        </w:tc>
        <w:tc>
          <w:tcPr>
            <w:tcW w:w="5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r>
      <w:tr>
        <w:tblPrEx>
          <w:tblW w:w="53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4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22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社会效益指标</w:t>
            </w:r>
          </w:p>
        </w:tc>
        <w:tc>
          <w:tcPr>
            <w:tcW w:w="51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资金使用重大违规违纪问题</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无</w:t>
            </w:r>
          </w:p>
        </w:tc>
        <w:tc>
          <w:tcPr>
            <w:tcW w:w="40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达成目标</w:t>
            </w:r>
          </w:p>
        </w:tc>
        <w:tc>
          <w:tcPr>
            <w:tcW w:w="25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5</w:t>
            </w:r>
          </w:p>
        </w:tc>
        <w:tc>
          <w:tcPr>
            <w:tcW w:w="38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按评判等级赋分</w:t>
            </w:r>
          </w:p>
        </w:tc>
        <w:tc>
          <w:tcPr>
            <w:tcW w:w="25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达成目标</w:t>
            </w:r>
          </w:p>
        </w:tc>
        <w:tc>
          <w:tcPr>
            <w:tcW w:w="38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1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5</w:t>
            </w:r>
          </w:p>
        </w:tc>
        <w:tc>
          <w:tcPr>
            <w:tcW w:w="5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r>
      <w:tr>
        <w:tblPrEx>
          <w:tblW w:w="53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4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22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社会效益指标</w:t>
            </w:r>
          </w:p>
        </w:tc>
        <w:tc>
          <w:tcPr>
            <w:tcW w:w="51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农机购置与应用补贴直接受益户数</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&gt;=417户</w:t>
            </w:r>
          </w:p>
        </w:tc>
        <w:tc>
          <w:tcPr>
            <w:tcW w:w="40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1010户</w:t>
            </w:r>
          </w:p>
        </w:tc>
        <w:tc>
          <w:tcPr>
            <w:tcW w:w="25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5</w:t>
            </w:r>
          </w:p>
        </w:tc>
        <w:tc>
          <w:tcPr>
            <w:tcW w:w="38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按照正常比例赋分</w:t>
            </w:r>
          </w:p>
        </w:tc>
        <w:tc>
          <w:tcPr>
            <w:tcW w:w="25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=417户</w:t>
            </w:r>
          </w:p>
        </w:tc>
        <w:tc>
          <w:tcPr>
            <w:tcW w:w="38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1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5</w:t>
            </w:r>
          </w:p>
        </w:tc>
        <w:tc>
          <w:tcPr>
            <w:tcW w:w="5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r>
      <w:tr>
        <w:tblPrEx>
          <w:tblW w:w="53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4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22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社会效益指标</w:t>
            </w:r>
          </w:p>
        </w:tc>
        <w:tc>
          <w:tcPr>
            <w:tcW w:w="51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农作物耕种收综合机械化率</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&gt;=94%</w:t>
            </w:r>
          </w:p>
        </w:tc>
        <w:tc>
          <w:tcPr>
            <w:tcW w:w="40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97%</w:t>
            </w:r>
          </w:p>
        </w:tc>
        <w:tc>
          <w:tcPr>
            <w:tcW w:w="25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5</w:t>
            </w:r>
          </w:p>
        </w:tc>
        <w:tc>
          <w:tcPr>
            <w:tcW w:w="38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按照正常比例赋分</w:t>
            </w:r>
          </w:p>
        </w:tc>
        <w:tc>
          <w:tcPr>
            <w:tcW w:w="25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=94%</w:t>
            </w:r>
          </w:p>
        </w:tc>
        <w:tc>
          <w:tcPr>
            <w:tcW w:w="38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1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5</w:t>
            </w:r>
          </w:p>
        </w:tc>
        <w:tc>
          <w:tcPr>
            <w:tcW w:w="5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r>
      <w:tr>
        <w:tblPrEx>
          <w:tblW w:w="53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4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22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满意度指标</w:t>
            </w:r>
          </w:p>
        </w:tc>
        <w:tc>
          <w:tcPr>
            <w:tcW w:w="2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满意度指标</w:t>
            </w:r>
          </w:p>
        </w:tc>
        <w:tc>
          <w:tcPr>
            <w:tcW w:w="51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购置补贴受益户满意度</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&gt;=90%</w:t>
            </w:r>
          </w:p>
        </w:tc>
        <w:tc>
          <w:tcPr>
            <w:tcW w:w="40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计划标准</w:t>
            </w: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90%</w:t>
            </w:r>
          </w:p>
        </w:tc>
        <w:tc>
          <w:tcPr>
            <w:tcW w:w="25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38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满意度赋分</w:t>
            </w:r>
          </w:p>
        </w:tc>
        <w:tc>
          <w:tcPr>
            <w:tcW w:w="25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工作资料</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w:t>
            </w:r>
          </w:p>
        </w:tc>
        <w:tc>
          <w:tcPr>
            <w:tcW w:w="38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111.11%</w:t>
            </w:r>
          </w:p>
        </w:tc>
        <w:tc>
          <w:tcPr>
            <w:tcW w:w="31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w:t>
            </w:r>
          </w:p>
        </w:tc>
        <w:tc>
          <w:tcPr>
            <w:tcW w:w="5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满意度指标设定预期目标偏低，项目实施完成后进行满意度调查，受益户均表示满意，满意度较高。</w:t>
            </w:r>
          </w:p>
        </w:tc>
      </w:tr>
      <w:tr>
        <w:tblPrEx>
          <w:tblW w:w="5324"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500"/>
        </w:trPr>
        <w:tc>
          <w:tcPr>
            <w:tcW w:w="1277" w:type="pct"/>
            <w:gridSpan w:val="4"/>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总分</w:t>
            </w:r>
          </w:p>
        </w:tc>
        <w:tc>
          <w:tcPr>
            <w:tcW w:w="47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40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25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383"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25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38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c>
          <w:tcPr>
            <w:tcW w:w="31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100.00分</w:t>
            </w:r>
          </w:p>
        </w:tc>
        <w:tc>
          <w:tcPr>
            <w:tcW w:w="588"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ascii="仿宋" w:eastAsia="仿宋" w:hAnsi="仿宋" w:cs="仿宋" w:hint="eastAsia"/>
                <w:color w:val="auto"/>
                <w:highlight w:val="none"/>
              </w:rPr>
            </w:pPr>
          </w:p>
        </w:tc>
      </w:tr>
    </w:tbl>
    <w:p>
      <w:pPr>
        <w:pStyle w:val="Heading2"/>
        <w:rPr>
          <w:rFonts w:ascii="仿宋" w:eastAsia="仿宋" w:hAnsi="仿宋" w:cs="仿宋" w:hint="eastAsia"/>
          <w:color w:val="auto"/>
          <w:highlight w:val="none"/>
        </w:rPr>
        <w:sectPr>
          <w:pgSz w:w="16838" w:h="11906" w:orient="landscape"/>
          <w:pgMar w:top="1800" w:right="1440" w:bottom="1800" w:left="1440" w:header="851" w:footer="992" w:gutter="0"/>
          <w:pgBorders>
            <w:top w:val="none" w:sz="0" w:space="0" w:color="auto"/>
            <w:left w:val="none" w:sz="0" w:space="0" w:color="auto"/>
            <w:bottom w:val="none" w:sz="0" w:space="0" w:color="auto"/>
            <w:right w:val="none" w:sz="0" w:space="0" w:color="auto"/>
          </w:pgBorders>
          <w:cols w:num="1" w:space="720">
            <w:col w:w="13958" w:space="720"/>
          </w:cols>
          <w:docGrid w:type="lines" w:linePitch="312" w:charSpace="0"/>
        </w:sectPr>
      </w:pPr>
    </w:p>
    <w:p>
      <w:pPr>
        <w:pStyle w:val="Heading2"/>
        <w:bidi w:val="0"/>
        <w:rPr>
          <w:rFonts w:ascii="仿宋" w:eastAsia="仿宋" w:hAnsi="仿宋" w:cs="仿宋" w:hint="eastAsia"/>
          <w:color w:val="auto"/>
          <w:highlight w:val="none"/>
        </w:rPr>
      </w:pPr>
      <w:bookmarkStart w:id="36" w:name="_Toc23301"/>
      <w:r>
        <w:rPr>
          <w:rFonts w:ascii="仿宋" w:eastAsia="仿宋" w:hAnsi="仿宋" w:cs="仿宋" w:hint="eastAsia"/>
          <w:color w:val="auto"/>
          <w:highlight w:val="none"/>
        </w:rPr>
        <w:t xml:space="preserve">附件2：项目支出绩效评价指标体系及评分</w:t>
      </w:r>
      <w:bookmarkEnd w:id="33"/>
      <w:bookmarkEnd w:id="34"/>
      <w:bookmarkEnd w:id="35"/>
      <w:bookmarkEnd w:id="36"/>
    </w:p>
    <w:p>
      <w:pPr>
        <w:pStyle w:val="表格标题"/>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项目支出绩效评价指标体系及评分</w:t>
      </w:r>
    </w:p>
    <w:tbl>
      <w:tblPr>
        <w:tblStyle w:val="NormalTable"/>
        <w:tblpPr w:leftFromText="180" w:rightFromText="180" w:vertAnchor="text" w:horzAnchor="page" w:tblpX="1675" w:tblpY="180"/>
        <w:tblOverlap w:val="never"/>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firstRow="0" w:lastRow="0" w:firstColumn="0" w:lastColumn="0" w:noHBand="1" w:noVBand="1"/>
      </w:tblPr>
      <w:tblGrid>
        <w:gridCol w:w="670"/>
        <w:gridCol w:w="731"/>
        <w:gridCol w:w="876"/>
        <w:gridCol w:w="1639"/>
        <w:gridCol w:w="3367"/>
        <w:gridCol w:w="617"/>
        <w:gridCol w:w="617"/>
      </w:tblGrid>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一级指标</w:t>
            </w:r>
          </w:p>
        </w:tc>
        <w:tc>
          <w:tcPr>
            <w:tcW w:w="429"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二级指标</w:t>
            </w:r>
          </w:p>
        </w:tc>
        <w:tc>
          <w:tcPr>
            <w:tcW w:w="51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三级指标</w:t>
            </w:r>
          </w:p>
        </w:tc>
        <w:tc>
          <w:tcPr>
            <w:tcW w:w="962"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指标解释</w:t>
            </w: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指标说明</w:t>
            </w:r>
          </w:p>
        </w:tc>
        <w:tc>
          <w:tcPr>
            <w:tcW w:w="362"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分值</w:t>
            </w:r>
          </w:p>
        </w:tc>
        <w:tc>
          <w:tcPr>
            <w:tcW w:w="362"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得分</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决策</w:t>
            </w:r>
          </w:p>
        </w:tc>
        <w:tc>
          <w:tcPr>
            <w:tcW w:w="429"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w:t>
            </w:r>
          </w:p>
        </w:tc>
        <w:tc>
          <w:tcPr>
            <w:tcW w:w="514"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实施依据充分性</w:t>
            </w:r>
          </w:p>
        </w:tc>
        <w:tc>
          <w:tcPr>
            <w:tcW w:w="962"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项目实施是否符合法律法规、相关政策、发展规划以及部门职责，用以反映和考核项目实施依据情况。</w:t>
            </w: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62"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362"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①项目实施是否符合国家法律法规、国民经济发展规划和相关政策；</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②项目实施是否符合行业发展规划和政策要求；</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③项目实施是否与部门职责范围相符，属于部门履职所需；</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④项目是否属于公共财政支持范围，是否符合中央、地方事权支出责任划分原则；</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⑤项目是否与相关部门同类项目或部门内部相关项目重复。</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实施程序规范性</w:t>
            </w:r>
          </w:p>
        </w:tc>
        <w:tc>
          <w:tcPr>
            <w:tcW w:w="962"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项目申请、设立过程是否符合相关要求，用以反映和考核项目实施的规范情况。</w:t>
            </w: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62"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362"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①项目是否按照规定的程序申请设立；</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②审批文件、材料是否符合相关要求；</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绩效目标</w:t>
            </w:r>
          </w:p>
        </w:tc>
        <w:tc>
          <w:tcPr>
            <w:tcW w:w="514"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绩效目标合理性</w:t>
            </w:r>
          </w:p>
        </w:tc>
        <w:tc>
          <w:tcPr>
            <w:tcW w:w="962"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项目所设定的绩效目标是否依据充分，是否符合客观实际，用以反映和考核项目绩效目标与项目实施的相符情况。</w:t>
            </w: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62"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62"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①项目是否有绩效目标；</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②项目绩效目标与实际工作内容是否具有相关性；</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③项目预期产出效益和效果是否符合正常的业绩水平；</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④是否与预算确定的项目投资额或资金量相匹配。</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绩效指标明确性</w:t>
            </w:r>
          </w:p>
        </w:tc>
        <w:tc>
          <w:tcPr>
            <w:tcW w:w="962"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依据绩效目标设定的绩效指标是否清晰、细化、可衡量等，用以反映和考核项目绩效目标的明细化情况。</w:t>
            </w: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62"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62"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①是否将项目绩效目标细化分解为具体的绩效指标；</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②是否通过清晰、可衡量的指标值予以体现；</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③是否与项目目标任务数或计划数相对应。</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资金投入</w:t>
            </w:r>
          </w:p>
        </w:tc>
        <w:tc>
          <w:tcPr>
            <w:tcW w:w="514"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预算编制科学性</w:t>
            </w:r>
          </w:p>
        </w:tc>
        <w:tc>
          <w:tcPr>
            <w:tcW w:w="962"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项目预算编制是否经过科学论证、有明确标准，资金额度与年度目标是否相适应，用以反映和考核项目预算编制的科学性、合理性情况。</w:t>
            </w: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62"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62"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①预算编制是否经过科学论证；</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②预算内容与项目内容是否匹配；</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③预算额度测算依据是否充分，是否按照标准编制；</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④预算确定的项目投资额或资金量是否与工作任务相匹配。</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资金分配合理性</w:t>
            </w:r>
          </w:p>
        </w:tc>
        <w:tc>
          <w:tcPr>
            <w:tcW w:w="962"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项目预算资金分配是否有测算依据，与补助单位或地方实际是否相适应，用以反映和考核项目预算资金分配的科学性、合理性情况。</w:t>
            </w: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62"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62"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①预算资金分配依据是否充分；</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②资金分配额度是否合理，与补助项目单位或地方实际是否相适应。</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过程</w:t>
            </w:r>
          </w:p>
        </w:tc>
        <w:tc>
          <w:tcPr>
            <w:tcW w:w="429"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资金管理</w:t>
            </w:r>
          </w:p>
        </w:tc>
        <w:tc>
          <w:tcPr>
            <w:tcW w:w="514"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资金到位率</w:t>
            </w:r>
          </w:p>
        </w:tc>
        <w:tc>
          <w:tcPr>
            <w:tcW w:w="962"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实际到位资金与预算资金的比率，用以反映和考核资金落实情况对项目实施的总体保障程度。</w:t>
            </w: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资金到位率=（实际到位资金/预算资金）×100%。</w:t>
            </w:r>
          </w:p>
        </w:tc>
        <w:tc>
          <w:tcPr>
            <w:tcW w:w="362"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62"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实际到位资金：一定时期（本年度或项目期）内落实到具体项目的资金。</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预算资金：一定时期（本年度或项目期）内预算安排到具体项目的资金。</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预算执行率</w:t>
            </w:r>
          </w:p>
        </w:tc>
        <w:tc>
          <w:tcPr>
            <w:tcW w:w="962"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项目预算资金是否按照计划执行，用以反映或考核项目预算执行情况。</w:t>
            </w: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预算执行率=（实际支出资金/实际到位资金）×100%。</w:t>
            </w:r>
          </w:p>
        </w:tc>
        <w:tc>
          <w:tcPr>
            <w:tcW w:w="362"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62"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实际支出资金：一定时期（本年度或项目期）内项目实际拨付的资金。</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资金使用合规性</w:t>
            </w:r>
          </w:p>
        </w:tc>
        <w:tc>
          <w:tcPr>
            <w:tcW w:w="962"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项目资金使用是否符合相关的财务管理制度规定，用以反映和考核项目资金的规范运行情况。</w:t>
            </w: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62"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62"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①是否符合国家财经法规和财务管理制度以及有关专项资金管理办法的规定；</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②资金的拨付是否有完整的审批程序和手续；</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③是否符合项目预算批复或合同规定的用途；</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④是否存在截留、挤占、挪用、虚列支出等情况。</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组织实施</w:t>
            </w:r>
          </w:p>
        </w:tc>
        <w:tc>
          <w:tcPr>
            <w:tcW w:w="514"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管理制度健全性</w:t>
            </w:r>
          </w:p>
        </w:tc>
        <w:tc>
          <w:tcPr>
            <w:tcW w:w="962"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项目实施单位的财务和业务管理制度是否健全，用以反映和考核财务和业务管理制度对项目顺利实施的保障情况。</w:t>
            </w: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62"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362"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①是否已制定或具有相应的财务和业务管理制度；</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②财务和业务管理制度是否合法、合规、完整。</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制度执行有效性</w:t>
            </w:r>
          </w:p>
        </w:tc>
        <w:tc>
          <w:tcPr>
            <w:tcW w:w="962"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项目实施是否符合相关管理规定，用以反映和考核相关管理制度的有效执行情况。</w:t>
            </w: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62"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362" w:type="pct"/>
            <w:vMerge w:val="restar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①是否遵守相关法律法规和相关管理规定；</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②项目调整及支出调整手续是否完备；</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w:t>
            </w:r>
          </w:p>
        </w:tc>
        <w:tc>
          <w:tcPr>
            <w:tcW w:w="429"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产出数量</w:t>
            </w:r>
          </w:p>
        </w:tc>
        <w:tc>
          <w:tcPr>
            <w:tcW w:w="514"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实际完成率</w:t>
            </w:r>
          </w:p>
        </w:tc>
        <w:tc>
          <w:tcPr>
            <w:tcW w:w="962"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项目实施的实际产出数与计划产出数的比率，用以反映和考核项目产出数量目标的实现程度。</w:t>
            </w: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实际完成率=（实际产出数/计划产出数）×100%。</w:t>
            </w:r>
          </w:p>
        </w:tc>
        <w:tc>
          <w:tcPr>
            <w:tcW w:w="362" w:type="pct"/>
            <w:vMerge w:val="restart"/>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c>
          <w:tcPr>
            <w:tcW w:w="362" w:type="pct"/>
            <w:vMerge w:val="restart"/>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实际产出数：一定时期（本年度或项目期）内项目实际产出的产品或提供的服务数量。</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计划产出数：项目绩效目标确定的在一定时期（本年度或项目期）内计划产出的产品或提供的服务数量。</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产出质量</w:t>
            </w:r>
          </w:p>
        </w:tc>
        <w:tc>
          <w:tcPr>
            <w:tcW w:w="514"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质量达标率</w:t>
            </w:r>
          </w:p>
        </w:tc>
        <w:tc>
          <w:tcPr>
            <w:tcW w:w="962"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项目完成的质量达标产出数与实际产出数的比率，用以反映和考核项目产出质量目标的实现程度。</w:t>
            </w: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质量达标率=（质量达标产出数/实际产出数）×100%。</w:t>
            </w:r>
          </w:p>
        </w:tc>
        <w:tc>
          <w:tcPr>
            <w:tcW w:w="362" w:type="pct"/>
            <w:vMerge w:val="restart"/>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c>
          <w:tcPr>
            <w:tcW w:w="362" w:type="pct"/>
            <w:vMerge w:val="restart"/>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88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产出时效</w:t>
            </w:r>
          </w:p>
        </w:tc>
        <w:tc>
          <w:tcPr>
            <w:tcW w:w="514"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完成及时性</w:t>
            </w:r>
          </w:p>
        </w:tc>
        <w:tc>
          <w:tcPr>
            <w:tcW w:w="962"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项目实际完成时间与计划完成时间的比较，用以反映和考核项目产出时效目标的实现程度。</w:t>
            </w: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实际完成时间：项目实施单位完成该项目实际所耗用的时间。</w:t>
            </w:r>
          </w:p>
        </w:tc>
        <w:tc>
          <w:tcPr>
            <w:tcW w:w="362" w:type="pct"/>
            <w:vMerge w:val="restart"/>
            <w:noWrap w:val="1"/>
            <w:vAlign w:val="center"/>
          </w:tcPr>
          <w:p>
            <w:pPr>
              <w:pStyle w:val="表格内容"/>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val="en-US" w:eastAsia="zh-CN"/>
              </w:rPr>
              <w:t xml:space="preserve">8</w:t>
            </w:r>
          </w:p>
        </w:tc>
        <w:tc>
          <w:tcPr>
            <w:tcW w:w="362" w:type="pct"/>
            <w:vMerge w:val="restart"/>
            <w:noWrap w:val="1"/>
            <w:vAlign w:val="center"/>
          </w:tcPr>
          <w:p>
            <w:pPr>
              <w:pStyle w:val="表格内容"/>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val="en-US" w:eastAsia="zh-CN"/>
              </w:rPr>
              <w:t xml:space="preserve">8</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962"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计划完成时间：按照项目实施计划或相关规定完成该项目所需的时间。</w:t>
            </w:r>
          </w:p>
        </w:tc>
        <w:tc>
          <w:tcPr>
            <w:tcW w:w="362" w:type="pct"/>
            <w:vMerge/>
            <w:noWrap w:val="1"/>
            <w:vAlign w:val="center"/>
          </w:tcPr>
          <w:p>
            <w:pPr>
              <w:pStyle w:val="表格内容"/>
              <w:bidi w:val="0"/>
              <w:rPr>
                <w:rFonts w:ascii="仿宋" w:eastAsia="仿宋" w:hAnsi="仿宋" w:cs="仿宋" w:hint="eastAsia"/>
                <w:color w:val="auto"/>
                <w:highlight w:val="none"/>
              </w:rPr>
            </w:pPr>
          </w:p>
        </w:tc>
        <w:tc>
          <w:tcPr>
            <w:tcW w:w="362" w:type="pct"/>
            <w:vMerge/>
            <w:noWrap w:val="1"/>
            <w:vAlign w:val="center"/>
          </w:tcPr>
          <w:p>
            <w:pPr>
              <w:pStyle w:val="表格内容"/>
              <w:bidi w:val="0"/>
              <w:rPr>
                <w:rFonts w:ascii="仿宋" w:eastAsia="仿宋" w:hAnsi="仿宋" w:cs="仿宋" w:hint="eastAsia"/>
                <w:color w:val="auto"/>
                <w:highlight w:val="none"/>
              </w:rPr>
            </w:pP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57"/>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shd w:val="clear" w:color="auto" w:fill="FFFFFF"/>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产出成本</w:t>
            </w:r>
          </w:p>
        </w:tc>
        <w:tc>
          <w:tcPr>
            <w:tcW w:w="514" w:type="pct"/>
            <w:shd w:val="clear" w:color="auto" w:fill="FFFFFF"/>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成本节约率</w:t>
            </w:r>
          </w:p>
        </w:tc>
        <w:tc>
          <w:tcPr>
            <w:tcW w:w="962" w:type="pct"/>
            <w:shd w:val="clear" w:color="auto" w:fill="FFFFFF"/>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完成项目计划工作目标的实际节约成本与计划成本的比率，用以反映和考核项目的成本节约程度。</w:t>
            </w:r>
          </w:p>
        </w:tc>
        <w:tc>
          <w:tcPr>
            <w:tcW w:w="1974" w:type="pct"/>
            <w:shd w:val="clear" w:color="auto" w:fill="FFFFFF"/>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成本节约率=〔（计划成本</w:t>
            </w:r>
            <w:r>
              <w:rPr>
                <w:rFonts w:ascii="仿宋" w:eastAsia="仿宋" w:hAnsi="仿宋" w:cs="仿宋" w:hint="eastAsia"/>
                <w:color w:val="auto"/>
                <w:sz w:val="18"/>
                <w:szCs w:val="18"/>
                <w:highlight w:val="none"/>
                <w:lang w:eastAsia="zh-CN"/>
              </w:rPr>
              <w:t xml:space="preserve">－</w:t>
            </w:r>
            <w:r>
              <w:rPr>
                <w:rFonts w:ascii="仿宋" w:eastAsia="仿宋" w:hAnsi="仿宋" w:cs="仿宋" w:hint="eastAsia"/>
                <w:color w:val="auto"/>
                <w:sz w:val="18"/>
                <w:szCs w:val="18"/>
                <w:highlight w:val="none"/>
              </w:rPr>
              <w:t xml:space="preserve">实际成本）/计划成本〕×100%。</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实际成本：项目实施单位如期、保质、保量完成既定工作目标实际所耗费的支出。</w:t>
            </w:r>
          </w:p>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计划成本：项目实施单位为完成工作目标计划安排的支出，一般以项目预算为参考。</w:t>
            </w:r>
          </w:p>
        </w:tc>
        <w:tc>
          <w:tcPr>
            <w:tcW w:w="362" w:type="pct"/>
            <w:noWrap w:val="1"/>
            <w:vAlign w:val="center"/>
          </w:tcPr>
          <w:p>
            <w:pPr>
              <w:pStyle w:val="表格内容"/>
              <w:bidi w:val="0"/>
              <w:ind w:firstLine="0" w:firstLineChars="0"/>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highlight w:val="none"/>
                <w:lang w:val="en-US" w:eastAsia="zh-CN"/>
              </w:rPr>
              <w:t xml:space="preserve">8</w:t>
            </w:r>
          </w:p>
        </w:tc>
        <w:tc>
          <w:tcPr>
            <w:tcW w:w="362" w:type="pct"/>
            <w:noWrap w:val="1"/>
            <w:vAlign w:val="center"/>
          </w:tcPr>
          <w:p>
            <w:pPr>
              <w:pStyle w:val="表格内容"/>
              <w:bidi w:val="0"/>
              <w:ind w:firstLine="0" w:firstLineChars="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8</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80"/>
        </w:trPr>
        <w:tc>
          <w:tcPr>
            <w:tcW w:w="393"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效益</w:t>
            </w:r>
          </w:p>
        </w:tc>
        <w:tc>
          <w:tcPr>
            <w:tcW w:w="429" w:type="pct"/>
            <w:vMerge w:val="restar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项目效益</w:t>
            </w:r>
          </w:p>
        </w:tc>
        <w:tc>
          <w:tcPr>
            <w:tcW w:w="51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实施效益</w:t>
            </w:r>
          </w:p>
        </w:tc>
        <w:tc>
          <w:tcPr>
            <w:tcW w:w="962"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项目实施所产生的效益。</w:t>
            </w: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项目实施所产生的社会效益、经济效益、生态效益、可持续影响等。可根据项目实际情况有选择地设置和细化。</w:t>
            </w:r>
          </w:p>
        </w:tc>
        <w:tc>
          <w:tcPr>
            <w:tcW w:w="362" w:type="pc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w:t>
            </w:r>
          </w:p>
        </w:tc>
        <w:tc>
          <w:tcPr>
            <w:tcW w:w="362" w:type="pc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860"/>
        </w:trPr>
        <w:tc>
          <w:tcPr>
            <w:tcW w:w="393"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429" w:type="pct"/>
            <w:vMerge/>
            <w:shd w:val="clear" w:color="auto" w:fill="FFFFFF"/>
            <w:noWrap w:val="0"/>
            <w:vAlign w:val="center"/>
          </w:tcPr>
          <w:p>
            <w:pPr>
              <w:pStyle w:val="表格内容"/>
              <w:bidi w:val="0"/>
              <w:rPr>
                <w:rFonts w:ascii="仿宋" w:eastAsia="仿宋" w:hAnsi="仿宋" w:cs="仿宋" w:hint="eastAsia"/>
                <w:color w:val="auto"/>
                <w:highlight w:val="none"/>
              </w:rPr>
            </w:pPr>
          </w:p>
        </w:tc>
        <w:tc>
          <w:tcPr>
            <w:tcW w:w="51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满意度</w:t>
            </w:r>
          </w:p>
        </w:tc>
        <w:tc>
          <w:tcPr>
            <w:tcW w:w="962"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社会公众或服务对象对项目实施效果的满意程度。</w:t>
            </w:r>
          </w:p>
        </w:tc>
        <w:tc>
          <w:tcPr>
            <w:tcW w:w="1974" w:type="pct"/>
            <w:shd w:val="clear" w:color="auto" w:fill="FFFFFF"/>
            <w:noWrap w:val="0"/>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社会公众或服务对象是指因该项目实施而受到影响的部门（单位）、群体或个人。一般采取社会调查的方式。</w:t>
            </w:r>
          </w:p>
        </w:tc>
        <w:tc>
          <w:tcPr>
            <w:tcW w:w="362" w:type="pc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w:t>
            </w:r>
          </w:p>
        </w:tc>
        <w:tc>
          <w:tcPr>
            <w:tcW w:w="362" w:type="pc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w:t>
            </w:r>
          </w:p>
        </w:tc>
      </w:tr>
      <w:tr>
        <w:tblPrEx>
          <w:tblW w:w="4997"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60"/>
        </w:trPr>
        <w:tc>
          <w:tcPr>
            <w:tcW w:w="4274" w:type="pct"/>
            <w:gridSpan w:val="5"/>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合计</w:t>
            </w:r>
          </w:p>
        </w:tc>
        <w:tc>
          <w:tcPr>
            <w:tcW w:w="362" w:type="pc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c>
          <w:tcPr>
            <w:tcW w:w="362" w:type="pct"/>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bl>
    <w:p>
      <w:pPr>
        <w:ind w:firstLine="640"/>
        <w:rPr>
          <w:rFonts w:ascii="仿宋" w:eastAsia="仿宋" w:hAnsi="仿宋" w:cs="仿宋" w:hint="eastAsia"/>
          <w:color w:val="auto"/>
          <w:highlight w:val="none"/>
        </w:rPr>
      </w:pPr>
      <w:bookmarkEnd w:id="0"/>
    </w:p>
    <w:p>
      <w:pPr>
        <w:rPr>
          <w:rFonts w:ascii="仿宋" w:eastAsia="仿宋" w:hAnsi="仿宋" w:cs="仿宋" w:hint="eastAsia"/>
          <w:color w:val="auto"/>
          <w:highlight w:val="none"/>
        </w:rPr>
      </w:pPr>
    </w:p>
    <w:sectPr>
      <w:pgSz w:w="11906" w:h="16838" w:orient="portrait"/>
      <w:pgMar w:top="1440" w:right="1800" w:bottom="1440" w:left="1800" w:header="851" w:footer="992" w:gutter="0"/>
      <w:pgBorders>
        <w:top w:val="none" w:sz="0" w:space="0" w:color="auto"/>
        <w:left w:val="none" w:sz="0" w:space="0" w:color="auto"/>
        <w:bottom w:val="none" w:sz="0" w:space="0" w:color="auto"/>
        <w:right w:val="none" w:sz="0" w:space="0" w:color="auto"/>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1" w:csb1="00000000"/>
  </w:font>
  <w:font w:name="楷体_GB2312">
    <w:altName w:val="楷体"/>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pict>
        <v:shapetype id="_x0000_t202" coordsize="21600,21600" o:spt="202" path="m,l,21600r21600,l21600,xe">
          <v:stroke joinstyle="miter"/>
          <v:path gradientshapeok="t" o:connecttype="rect"/>
        </v:shapetype>
        <v:shape id="文本框 1025"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1</w:t>
                </w:r>
                <w:r>
                  <w:fldChar w:fldCharType="end"/>
                </w:r>
              </w:p>
            </w:txbxContent>
          </v:textbox>
          <w10:wrap anchorx="margin"/>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w:zoom w:percent="110"/>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nhideWhenUsed="0" w:qFormat="1"/>
    <w:lsdException w:name="heading 3" w:semiHidden="0"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qFormat="1"/>
    <w:lsdException w:name="header" w:semiHidden="0" w:uiPriority="0" w:unhideWhenUsed="0"/>
    <w:lsdException w:name="footer" w:semiHidden="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qFormat="1"/>
    <w:lsdException w:name="Body Text Indent" w:semiHidden="0" w:uiPriority="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qFormat="1"/>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FirstIndent2"/>
    <w:qFormat/>
    <w:pPr>
      <w:widowControl w:val="0"/>
      <w:spacing w:line="360" w:lineRule="auto"/>
      <w:ind w:firstLine="880" w:firstLineChars="200"/>
      <w:jc w:val="both"/>
    </w:pPr>
    <w:rPr>
      <w:rFonts w:ascii="Times New Roman" w:eastAsia="仿宋_GB2312" w:hAnsi="Times New Roman" w:cs="Times New Roman"/>
      <w:kern w:val="2"/>
      <w:sz w:val="32"/>
      <w:szCs w:val="22"/>
      <w:lang w:val="en-US" w:eastAsia="zh-CN" w:bidi="ar-SA"/>
    </w:rPr>
  </w:style>
  <w:style w:type="paragraph" w:styleId="Heading2">
    <w:name w:val="Heading 2"/>
    <w:basedOn w:val="Normal"/>
    <w:next w:val="Normal"/>
    <w:uiPriority w:val="99"/>
    <w:qFormat/>
    <w:pPr>
      <w:keepNext/>
      <w:outlineLvl w:val="1"/>
    </w:pPr>
    <w:rPr>
      <w:rFonts w:eastAsia="黑体" w:cs="Times New Roman"/>
      <w:bCs/>
      <w:iCs/>
      <w:szCs w:val="21"/>
    </w:rPr>
  </w:style>
  <w:style w:type="paragraph" w:styleId="Heading3">
    <w:name w:val="Heading 3"/>
    <w:basedOn w:val="Normal"/>
    <w:next w:val="Normal"/>
    <w:uiPriority w:val="9"/>
    <w:unhideWhenUsed/>
    <w:qFormat/>
    <w:pPr>
      <w:keepNext/>
      <w:keepLines/>
      <w:outlineLvl w:val="2"/>
    </w:pPr>
    <w:rPr>
      <w:rFonts w:eastAsia="楷体_GB2312"/>
      <w:b/>
    </w:rPr>
  </w:style>
  <w:style w:type="character" w:default="1" w:styleId="DefaultParagraphFont">
    <w:name w:val="Default Paragraph Font"/>
    <w:semiHidden/>
    <w:rPr/>
  </w:style>
  <w:style w:type="table" w:default="1" w:styleId="NormalTable">
    <w:name w:val="Normal Table"/>
    <w:semiHidden/>
    <w:rPr/>
    <w:tblPr>
      <w:tblCellMar>
        <w:top w:w="0" w:type="dxa"/>
        <w:left w:w="108" w:type="dxa"/>
        <w:bottom w:w="0" w:type="dxa"/>
        <w:right w:w="108" w:type="dxa"/>
      </w:tblCellMar>
    </w:tblPr>
  </w:style>
  <w:style w:type="paragraph" w:styleId="BodyTextFirstIndent2">
    <w:name w:val="Body Text First Indent 2"/>
    <w:basedOn w:val="BodyTextIndent"/>
    <w:next w:val="BodyTextIndent"/>
    <w:qFormat/>
    <w:pPr>
      <w:ind w:firstLine="420"/>
    </w:pPr>
    <w:rPr/>
  </w:style>
  <w:style w:type="paragraph" w:styleId="BodyTextIndent">
    <w:name w:val="Body Text Indent"/>
    <w:basedOn w:val="Normal"/>
    <w:next w:val="BodyText"/>
    <w:qFormat/>
    <w:pPr>
      <w:ind w:firstLine="630"/>
    </w:pPr>
    <w:rPr>
      <w:sz w:val="32"/>
    </w:rPr>
  </w:style>
  <w:style w:type="paragraph" w:styleId="BodyText">
    <w:name w:val="Body Text"/>
    <w:basedOn w:val="Normal"/>
    <w:qFormat/>
    <w:rPr>
      <w:rFonts w:ascii="Calibri" w:hAnsi="Calibri"/>
    </w:rPr>
  </w:style>
  <w:style w:type="paragraph" w:styleId="CommentText">
    <w:name w:val="Comment Text"/>
    <w:basedOn w:val="Normal"/>
    <w:uiPriority w:val="99"/>
    <w:unhideWhenUsed/>
    <w:qFormat/>
    <w:pPr>
      <w:jc w:val="left"/>
    </w:pPr>
    <w:rPr/>
  </w:style>
  <w:style w:type="paragraph" w:styleId="Footer">
    <w:name w:val="Footer"/>
    <w:basedOn w:val="Normal"/>
    <w:uiPriority w:val="99"/>
    <w:unhideWhenUsed/>
    <w:qFormat/>
    <w:pPr>
      <w:tabs>
        <w:tab w:val="center" w:pos="4153"/>
        <w:tab w:val="right" w:pos="8306"/>
      </w:tabs>
      <w:snapToGrid w:val="0"/>
      <w:jc w:val="left"/>
    </w:pPr>
    <w:rPr>
      <w:sz w:val="18"/>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表格内容">
    <w:name w:val="表格内容"/>
    <w:basedOn w:val="Normal"/>
    <w:next w:val="Normal"/>
    <w:qFormat/>
    <w:pPr>
      <w:keepNext/>
      <w:keepLines/>
      <w:spacing w:line="240" w:lineRule="auto"/>
      <w:ind w:firstLine="0" w:firstLineChars="0"/>
      <w:jc w:val="center"/>
      <w:outlineLvl w:val="0"/>
    </w:pPr>
    <w:rPr>
      <w:rFonts w:hint="eastAsia"/>
      <w:kern w:val="44"/>
      <w:sz w:val="21"/>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A4475C967A6B4C30BF91AB6EC1AA2071_13</vt:lpwstr>
  </property>
  <property fmtid="{D5CDD505-2E9C-101B-9397-08002B2CF9AE}" pid="4"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2049" textRotate="1"/>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3</TotalTime>
  <Pages>27</Pages>
  <Words>8196</Words>
  <Characters>8587</Characters>
  <Application>WPS Office_12.1.0.15120_F1E327BC-269C-435d-A152-05C5408002CA</Application>
  <DocSecurity>0</DocSecurity>
  <Lines>0</Lines>
  <Paragraphs>0</Paragraphs>
  <CharactersWithSpaces>8614</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郭子歪</cp:lastModifiedBy>
  <cp:revision>1</cp:revision>
  <dcterms:created xsi:type="dcterms:W3CDTF">2025-04-06T16:01:07Z</dcterms:created>
  <dcterms:modified xsi:type="dcterms:W3CDTF">2025-09-02T03:33:19Z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2052-12.1.0.15120</vt:lpwstr>
  </property>
  <property fmtid="{D5CDD505-2E9C-101B-9397-08002B2CF9AE}" pid="3" name="ICV">
    <vt:lpwstr>A4475C967A6B4C30BF91AB6EC1AA2071_13</vt:lpwstr>
  </property>
  <property fmtid="{D5CDD505-2E9C-101B-9397-08002B2CF9AE}" pid="4" name="KSOTemplateDocerSaveRecord">
    <vt:lpwstr>eyJoZGlkIjoiODRhYjhkNzI4OGQ5M2E5NzE5YzFiNzg2M2ZlMzkxMWUiLCJ1c2VySWQiOiIxMTQ4NTc0MTIzIn0_x003D_</vt:lpwstr>
  </property>
</Properties>
</file>