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OLE_LINK3"/>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val="en-US" w:eastAsia="zh-CN"/>
        </w:rPr>
        <w:t xml:space="preserve">2024年农业保险保费补贴资金（中央、自治区）</w:t>
      </w:r>
    </w:p>
    <w:p>
      <w:pPr>
        <w:bidi w:val="0"/>
        <w:rPr>
          <w:rFonts w:ascii="仿宋" w:eastAsia="仿宋" w:hAnsi="仿宋" w:cs="仿宋" w:hint="eastAsia"/>
          <w:color w:val="auto"/>
          <w:highlight w:val="none"/>
          <w:lang w:val="en-US"/>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val="en-US" w:eastAsia="zh-CN"/>
        </w:rPr>
        <w:t xml:space="preserve">尉犁县农业农村局（畜牧兽医局）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val="en-US" w:eastAsia="zh-CN"/>
        </w:rPr>
        <w:t xml:space="preserve">尉犁县农业农村局（畜牧兽医局）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张钦</w:t>
      </w:r>
      <w:r>
        <w:rPr>
          <w:rFonts w:ascii="仿宋" w:eastAsia="仿宋" w:hAnsi="仿宋" w:cs="仿宋" w:hint="eastAsia"/>
          <w:color w:val="auto"/>
          <w:highlight w:val="none"/>
        </w:rPr>
        <w:t xml:space="preserve"> </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2025年3月31日</w:t>
      </w:r>
    </w:p>
    <w:p>
      <w:pPr>
        <w:ind w:firstLine="620"/>
        <w:rPr>
          <w:rFonts w:ascii="仿宋" w:eastAsia="仿宋" w:hAnsi="仿宋" w:cs="仿宋" w:hint="eastAsia"/>
          <w:color w:val="auto"/>
          <w:sz w:val="31"/>
          <w:szCs w:val="31"/>
          <w:highlight w:val="none"/>
        </w:rPr>
      </w:pPr>
      <w:r>
        <w:br w:type="page"/>
      </w:r>
    </w:p>
    <w:p>
      <w:pPr>
        <w:keepLines w:val="0"/>
        <w:pageBreakBefore w:val="0"/>
        <w:widowControl w:val="0"/>
        <w:kinsoku/>
        <w:wordWrap/>
        <w:overflowPunct/>
        <w:topLinePunct w:val="0"/>
        <w:autoSpaceDE/>
        <w:autoSpaceDN/>
        <w:bidi w:val="0"/>
        <w:adjustRightInd/>
        <w:snapToGrid/>
        <w:ind w:firstLine="883"/>
        <w:jc w:val="center"/>
        <w:textAlignment w:val="auto"/>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keepLines w:val="0"/>
        <w:pageBreakBefore w:val="0"/>
        <w:widowControl w:val="0"/>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p>
    <w:p>
      <w:pPr>
        <w:keepLines w:val="0"/>
        <w:pageBreakBefore w:val="0"/>
        <w:widowControl w:val="0"/>
        <w:tabs>
          <w:tab w:val="right" w:leader="dot" w:pos="8306"/>
        </w:tabs>
        <w:kinsoku/>
        <w:wordWrap/>
        <w:overflowPunct/>
        <w:topLinePunct w:val="0"/>
        <w:autoSpaceDE/>
        <w:autoSpaceDN/>
        <w:bidi w:val="0"/>
        <w:adjustRightInd/>
        <w:snapToGrid/>
        <w:ind w:firstLine="883"/>
        <w:textAlignment w:val="auto"/>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7</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10</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15</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640"/>
        <w:textAlignment w:val="auto"/>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640"/>
        <w:textAlignment w:val="auto"/>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pStyle w:val="Heading2"/>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keepLines w:val="0"/>
        <w:pageBreakBefore w:val="0"/>
        <w:widowControl w:val="0"/>
        <w:kinsoku/>
        <w:wordWrap/>
        <w:overflowPunct/>
        <w:topLinePunct w:val="0"/>
        <w:autoSpaceDE/>
        <w:autoSpaceDN/>
        <w:bidi w:val="0"/>
        <w:adjustRightInd/>
        <w:snapToGrid/>
        <w:textAlignment w:val="auto"/>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1" w:name="_Toc25620"/>
      <w:r>
        <w:rPr>
          <w:rFonts w:ascii="仿宋" w:eastAsia="仿宋" w:hAnsi="仿宋" w:cs="仿宋" w:hint="eastAsia"/>
          <w:color w:val="auto"/>
          <w:highlight w:val="none"/>
        </w:rPr>
        <w:t xml:space="preserve">一、基本情况</w:t>
      </w:r>
      <w:bookmarkEnd w:id="1"/>
    </w:p>
    <w:p>
      <w:pPr>
        <w:pStyle w:val="Heading3"/>
        <w:bidi w:val="0"/>
        <w:rPr>
          <w:rFonts w:ascii="仿宋" w:eastAsia="仿宋" w:hAnsi="仿宋" w:cs="仿宋" w:hint="eastAsia"/>
          <w:color w:val="auto"/>
          <w:highlight w:val="none"/>
        </w:rPr>
      </w:pPr>
      <w:bookmarkStart w:id="2" w:name="_Toc8971"/>
      <w:r>
        <w:rPr>
          <w:rFonts w:ascii="仿宋" w:eastAsia="仿宋" w:hAnsi="仿宋" w:cs="仿宋" w:hint="eastAsia"/>
          <w:color w:val="auto"/>
          <w:highlight w:val="none"/>
        </w:rPr>
        <w:t xml:space="preserve">（一）项目概况</w:t>
      </w:r>
      <w:bookmarkEnd w:id="2"/>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1、项目背景</w:t>
      </w:r>
    </w:p>
    <w:p>
      <w:pPr>
        <w:spacing w:line="560" w:lineRule="exact"/>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农业保险作为风险管理工具，有助于保障农民收入，促进农业稳定发展。</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作为农业大国，自然风险（如干旱、洪水、病虫害）对农业影响巨大，农民收入波动大。因此，政府推出保费补贴，降低农民参保成本，提高覆盖率。</w:t>
      </w:r>
      <w:r>
        <w:rPr>
          <w:rFonts w:ascii="仿宋" w:eastAsia="仿宋" w:hAnsi="仿宋" w:cs="仿宋" w:hint="eastAsia"/>
          <w:color w:val="auto"/>
          <w:highlight w:val="none"/>
          <w:lang w:val="en-US" w:eastAsia="zh-CN"/>
        </w:rPr>
        <w:t xml:space="preserve">农业保险</w:t>
      </w:r>
      <w:r>
        <w:rPr>
          <w:rFonts w:ascii="仿宋" w:eastAsia="仿宋" w:hAnsi="仿宋" w:cs="仿宋" w:hint="eastAsia"/>
          <w:color w:val="auto"/>
          <w:highlight w:val="none"/>
        </w:rPr>
        <w:t xml:space="preserve">项目是在国家层面推动的，比如中央财政补贴，地方政府配套。县级</w:t>
      </w:r>
      <w:r>
        <w:rPr>
          <w:rFonts w:ascii="仿宋" w:eastAsia="仿宋" w:hAnsi="仿宋" w:cs="仿宋" w:hint="eastAsia"/>
          <w:color w:val="auto"/>
          <w:highlight w:val="none"/>
          <w:lang w:val="en-US" w:eastAsia="zh-CN"/>
        </w:rPr>
        <w:t xml:space="preserve">政府</w:t>
      </w:r>
      <w:r>
        <w:rPr>
          <w:rFonts w:ascii="仿宋" w:eastAsia="仿宋" w:hAnsi="仿宋" w:cs="仿宋" w:hint="eastAsia"/>
          <w:color w:val="auto"/>
          <w:highlight w:val="none"/>
        </w:rPr>
        <w:t xml:space="preserve">作为基层政府，直接面对农民和保险公司，负责政策落实。</w:t>
      </w:r>
      <w:r>
        <w:rPr>
          <w:rFonts w:ascii="仿宋" w:eastAsia="仿宋" w:hAnsi="仿宋" w:cs="仿宋" w:hint="eastAsia"/>
          <w:color w:val="auto"/>
          <w:highlight w:val="none"/>
          <w:lang w:val="en-US" w:eastAsia="zh-CN"/>
        </w:rPr>
        <w:t xml:space="preserve">县级政府</w:t>
      </w:r>
      <w:r>
        <w:rPr>
          <w:rFonts w:ascii="仿宋" w:eastAsia="仿宋" w:hAnsi="仿宋" w:cs="仿宋" w:hint="eastAsia"/>
          <w:color w:val="auto"/>
          <w:highlight w:val="none"/>
        </w:rPr>
        <w:t xml:space="preserve">指导</w:t>
      </w:r>
      <w:r>
        <w:rPr>
          <w:rFonts w:ascii="仿宋" w:eastAsia="仿宋" w:hAnsi="仿宋" w:cs="仿宋" w:hint="eastAsia"/>
          <w:color w:val="auto"/>
          <w:highlight w:val="none"/>
          <w:lang w:val="en-US" w:eastAsia="zh-CN"/>
        </w:rPr>
        <w:t xml:space="preserve">县财政局、县农业农村局</w:t>
      </w:r>
      <w:r>
        <w:rPr>
          <w:rFonts w:ascii="仿宋" w:eastAsia="仿宋" w:hAnsi="仿宋" w:cs="仿宋" w:hint="eastAsia"/>
          <w:color w:val="auto"/>
          <w:highlight w:val="none"/>
        </w:rPr>
        <w:t xml:space="preserve">制定实施方案、选择合作保险公司、确定补贴比例、监督资金使用、宣传推广等。县级政府根据</w:t>
      </w:r>
      <w:r>
        <w:rPr>
          <w:rFonts w:ascii="仿宋" w:eastAsia="仿宋" w:hAnsi="仿宋" w:cs="仿宋" w:hint="eastAsia"/>
          <w:color w:val="auto"/>
          <w:highlight w:val="none"/>
          <w:lang w:val="en-US" w:eastAsia="zh-CN"/>
        </w:rPr>
        <w:t xml:space="preserve">我县</w:t>
      </w:r>
      <w:r>
        <w:rPr>
          <w:rFonts w:ascii="仿宋" w:eastAsia="仿宋" w:hAnsi="仿宋" w:cs="仿宋" w:hint="eastAsia"/>
          <w:color w:val="auto"/>
          <w:highlight w:val="none"/>
        </w:rPr>
        <w:t xml:space="preserve">农业特点，选择重点险种（如粮食作物、特色农产品），协调各方资源，确保补贴资金及时到位。同时，县级政府需要监督保险公司的服务质量，防止骗保等问题。</w:t>
      </w:r>
    </w:p>
    <w:p>
      <w:pPr>
        <w:spacing w:line="560" w:lineRule="exact"/>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为贯彻落实《</w:t>
      </w:r>
      <w:r>
        <w:rPr>
          <w:rFonts w:ascii="仿宋" w:eastAsia="仿宋" w:hAnsi="仿宋" w:cs="仿宋" w:hint="eastAsia"/>
          <w:color w:val="auto"/>
          <w:highlight w:val="none"/>
        </w:rPr>
        <w:t xml:space="preserve">关于提前下达2024年中央农业保险保费补贴资金的通知》以及《关于提前下达2024年自治区农业保险保费补贴资金的通知》文件要求，我单位合理统筹细化安排落实资金，</w:t>
      </w:r>
      <w:r>
        <w:rPr>
          <w:rFonts w:ascii="仿宋" w:eastAsia="仿宋" w:hAnsi="仿宋" w:cs="仿宋" w:hint="eastAsia"/>
          <w:color w:val="auto"/>
          <w:highlight w:val="none"/>
        </w:rPr>
        <w:t xml:space="preserve">认真做好2024年农业保险保费补贴实施工作，确保政策有效落实</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合理统筹细化安排落实资金，</w:t>
      </w:r>
      <w:r>
        <w:rPr>
          <w:rFonts w:ascii="仿宋" w:eastAsia="仿宋" w:hAnsi="仿宋" w:cs="仿宋" w:hint="eastAsia"/>
          <w:color w:val="auto"/>
          <w:highlight w:val="none"/>
        </w:rPr>
        <w:t xml:space="preserve">进一步做好农业保险保费补贴工作，提升财政资金使用绩效，加快农业保险高质量发展，同时为引导和支持农户参加农业保险，主要保障关系国计民生和粮食安全的大宗农产品，重点支持农业生产环节，为不断扩大农业保险覆盖面积和风险保障水平，逐步建立市场化农业生产风险防范化解机制，确保稳定农业生产，保障农民收入，</w:t>
      </w:r>
      <w:r>
        <w:rPr>
          <w:rFonts w:ascii="仿宋" w:eastAsia="仿宋" w:hAnsi="仿宋" w:cs="仿宋" w:hint="eastAsia"/>
          <w:color w:val="auto"/>
          <w:highlight w:val="none"/>
          <w:lang w:val="en-US" w:eastAsia="zh-CN"/>
        </w:rPr>
        <w:t xml:space="preserve">开展农业保险保费补贴相关工作</w:t>
      </w:r>
      <w:r>
        <w:rPr>
          <w:rFonts w:ascii="仿宋" w:eastAsia="仿宋" w:hAnsi="仿宋" w:cs="仿宋" w:hint="eastAsia"/>
          <w:color w:val="auto"/>
          <w:highlight w:val="none"/>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ind w:firstLine="640"/>
        <w:jc w:val="both"/>
        <w:textAlignment w:val="auto"/>
        <w:rPr>
          <w:rFonts w:ascii="仿宋" w:eastAsia="仿宋" w:hAnsi="仿宋" w:cs="仿宋" w:hint="eastAsia"/>
          <w:color w:val="auto"/>
          <w:kern w:val="2"/>
          <w:sz w:val="32"/>
          <w:szCs w:val="22"/>
          <w:highlight w:val="none"/>
          <w:lang w:val="en-US" w:eastAsia="zh-CN" w:bidi="ar-SA"/>
        </w:rPr>
      </w:pPr>
      <w:r>
        <w:rPr>
          <w:rFonts w:ascii="仿宋" w:eastAsia="仿宋" w:hAnsi="仿宋" w:cs="仿宋" w:hint="eastAsia"/>
          <w:color w:val="auto"/>
          <w:kern w:val="2"/>
          <w:sz w:val="32"/>
          <w:szCs w:val="22"/>
          <w:highlight w:val="none"/>
          <w:lang w:val="en-US" w:eastAsia="zh-CN" w:bidi="ar-SA"/>
        </w:rPr>
        <w:t xml:space="preserve">该项目资金主要用于2024年</w:t>
      </w:r>
      <w:r>
        <w:rPr>
          <w:rFonts w:ascii="仿宋" w:eastAsia="仿宋" w:hAnsi="仿宋" w:cs="仿宋" w:hint="eastAsia"/>
          <w:color w:val="auto"/>
          <w:kern w:val="2"/>
          <w:sz w:val="32"/>
          <w:szCs w:val="22"/>
          <w:highlight w:val="none"/>
          <w:lang w:val="en-US" w:eastAsia="zh-CN" w:bidi="ar-SA"/>
        </w:rPr>
        <w:t xml:space="preserve">中央财政</w:t>
      </w:r>
      <w:r>
        <w:rPr>
          <w:rFonts w:ascii="仿宋" w:eastAsia="仿宋" w:hAnsi="仿宋" w:cs="仿宋" w:hint="eastAsia"/>
          <w:color w:val="auto"/>
          <w:kern w:val="2"/>
          <w:sz w:val="32"/>
          <w:szCs w:val="22"/>
          <w:highlight w:val="none"/>
          <w:lang w:val="en-US" w:eastAsia="zh-CN" w:bidi="ar-SA"/>
        </w:rPr>
        <w:t xml:space="preserve">、自治区财政</w:t>
      </w:r>
      <w:r>
        <w:rPr>
          <w:rFonts w:ascii="仿宋" w:eastAsia="仿宋" w:hAnsi="仿宋" w:cs="仿宋" w:hint="eastAsia"/>
          <w:color w:val="auto"/>
          <w:kern w:val="2"/>
          <w:sz w:val="32"/>
          <w:szCs w:val="22"/>
          <w:highlight w:val="none"/>
          <w:lang w:val="en-US" w:eastAsia="zh-CN" w:bidi="ar-SA"/>
        </w:rPr>
        <w:t xml:space="preserve">应承担的种植业、养殖业农业保险保费补贴</w:t>
      </w:r>
      <w:r>
        <w:rPr>
          <w:rFonts w:ascii="仿宋" w:eastAsia="仿宋" w:hAnsi="仿宋" w:cs="仿宋" w:hint="eastAsia"/>
          <w:color w:val="auto"/>
          <w:kern w:val="2"/>
          <w:sz w:val="32"/>
          <w:szCs w:val="22"/>
          <w:highlight w:val="none"/>
          <w:lang w:val="en-US" w:eastAsia="zh-CN" w:bidi="ar-SA"/>
        </w:rPr>
        <w:t xml:space="preserve">实施工作，根据尉犁县2024年农作物种植计划与畜牧业养殖计划制定尉犁县政策性农业保险投保计划，棉花108万亩，小麦4万亩、玉米8万亩，能繁母猪1.5万头、奶牛0.1259万头，育肥猪20万头。</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（1）保险品种。根据全县的统一安排和保险工作的要求，尉犁县2025年种植业保险品种为：棉花、小麦、玉米，以及玉米种植收入保险；养殖业为：能繁母猪、奶牛、育肥猪。</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保险金额。确定种植业保险金额的依据为保险标的生长期内所发生的直接物化成本（包括种子、化肥、农药、灌溉、机耕和地膜成本），棉花完全成本1000元／亩，小麦完全成本600元／亩，玉米完全成本700元／亩。确定养殖业保险金额的依据为投保个体的生理价值(包括购买成本和饲养成本)，能繁母猪1000元／头、奶牛10000元/头，育肥猪800元/头,。 </w:t>
      </w:r>
    </w:p>
    <w:p>
      <w:pPr>
        <w:bidi w:val="0"/>
        <w:ind w:left="0" w:firstLine="640" w:leftChars="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（3）保险费率。棉花完全成本7%。小麦完全成本5%、玉米完全成本7%、玉米种植收入保险5.5%，奶牛6%、能繁母猪6%、育肥猪为6%。</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保费补贴筹集。种植业棉花，小麦、玉米完全成本保险保费中央财政补贴45％，省财政补贴25％，县级财政补贴10%，种植户承担20％；能繁母猪、奶牛，育肥猪保险保费中央财政补贴50%、省财政补贴25%、县财政补贴5%、养殖场（户）承担20%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5）农业保险经营模式。政策性农业保险采用“保险公司自营”模式，由保险经办机构在政府保费补贴政策框架下，以市场化经营为依托，自主经营，自负盈亏，积极运用市场化手段防范和化解风险，不得违规拖赔惜赔、封顶赔付，赔付风险由保险机构自担。</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（6）保险经办机构。根据州、县统一招标，我县2024-2026年政策性农业保险经办机构由中国人民财产保险公司、中国人寿财产保险公司、中华联合财产保险股份有限公司承办。</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（7）面积分配。为避免重复投保，更好发挥农业保险在农业生产中的风险保障作用，减少自然灾害对农业生产的影响。</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根据</w:t>
      </w:r>
      <w:r>
        <w:rPr>
          <w:rFonts w:ascii="仿宋" w:eastAsia="仿宋" w:hAnsi="仿宋" w:cs="仿宋" w:hint="eastAsia"/>
          <w:color w:val="auto"/>
          <w:highlight w:val="none"/>
        </w:rPr>
        <w:t xml:space="preserve">《关于提前下达2024年中央财政农业保险保费补贴预算资金的通知》（巴财企〔2023〕49号）</w:t>
      </w:r>
      <w:r>
        <w:rPr>
          <w:rFonts w:ascii="仿宋" w:eastAsia="仿宋" w:hAnsi="仿宋" w:cs="仿宋" w:hint="eastAsia"/>
          <w:color w:val="auto"/>
          <w:highlight w:val="none"/>
          <w:lang w:val="en-US" w:eastAsia="zh-CN"/>
        </w:rPr>
        <w:t xml:space="preserve">下达</w:t>
      </w:r>
      <w:r>
        <w:rPr>
          <w:rFonts w:ascii="仿宋" w:eastAsia="仿宋" w:hAnsi="仿宋" w:cs="仿宋" w:hint="eastAsia"/>
          <w:color w:val="auto"/>
          <w:highlight w:val="none"/>
        </w:rPr>
        <w:t xml:space="preserve">农业保险保费补贴资金3500万元、《关于下达2024年中央第二笔财政农业保险保费补贴预算资金的通知》（巴财企〔2024〕46号）</w:t>
      </w:r>
      <w:r>
        <w:rPr>
          <w:rFonts w:ascii="仿宋" w:eastAsia="仿宋" w:hAnsi="仿宋" w:cs="仿宋" w:hint="eastAsia"/>
          <w:color w:val="auto"/>
          <w:highlight w:val="none"/>
          <w:lang w:val="en-US" w:eastAsia="zh-CN"/>
        </w:rPr>
        <w:t xml:space="preserve">下达</w:t>
      </w:r>
      <w:r>
        <w:rPr>
          <w:rFonts w:ascii="仿宋" w:eastAsia="仿宋" w:hAnsi="仿宋" w:cs="仿宋" w:hint="eastAsia"/>
          <w:color w:val="auto"/>
          <w:highlight w:val="none"/>
        </w:rPr>
        <w:t xml:space="preserve">农业保险保费补贴资金1000万元、《关于提前下达自治区本级财政2024年农业保险保费补贴预算资金的通知》（巴财企〔2023〕52号）</w:t>
      </w:r>
      <w:r>
        <w:rPr>
          <w:rFonts w:ascii="仿宋" w:eastAsia="仿宋" w:hAnsi="仿宋" w:cs="仿宋" w:hint="eastAsia"/>
          <w:color w:val="auto"/>
          <w:highlight w:val="none"/>
          <w:lang w:val="en-US" w:eastAsia="zh-CN"/>
        </w:rPr>
        <w:t xml:space="preserve">下达</w:t>
      </w:r>
      <w:r>
        <w:rPr>
          <w:rFonts w:ascii="仿宋" w:eastAsia="仿宋" w:hAnsi="仿宋" w:cs="仿宋" w:hint="eastAsia"/>
          <w:color w:val="auto"/>
          <w:highlight w:val="none"/>
        </w:rPr>
        <w:t xml:space="preserve">农业保险保费补贴资金1500万元、《关于提前下达自治区本级财政2024年第二批农业保险保费补贴资金的通知》（巴财企〔2023〕56号）</w:t>
      </w:r>
      <w:r>
        <w:rPr>
          <w:rFonts w:ascii="仿宋" w:eastAsia="仿宋" w:hAnsi="仿宋" w:cs="仿宋" w:hint="eastAsia"/>
          <w:color w:val="auto"/>
          <w:highlight w:val="none"/>
          <w:lang w:val="en-US" w:eastAsia="zh-CN"/>
        </w:rPr>
        <w:t xml:space="preserve">下达</w:t>
      </w:r>
      <w:r>
        <w:rPr>
          <w:rFonts w:ascii="仿宋" w:eastAsia="仿宋" w:hAnsi="仿宋" w:cs="仿宋" w:hint="eastAsia"/>
          <w:color w:val="auto"/>
          <w:highlight w:val="none"/>
        </w:rPr>
        <w:t xml:space="preserve">农业保险保费补贴资金450万元，共计下达农业保险保费补贴资金6450万元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根据《2024年农业保险保费补贴资金调整报告》，实施2024年农业保险保费补贴资金（中央、自治区）实际投入资金6400.66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sz w:val="32"/>
          <w:szCs w:val="32"/>
          <w:highlight w:val="none"/>
          <w:lang w:val="en-US" w:eastAsia="zh-CN"/>
        </w:rPr>
        <w:t xml:space="preserve">5450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6400.66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。截至202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eastAsia="zh-CN"/>
        </w:rPr>
        <w:t xml:space="preserve">年</w:t>
      </w:r>
      <w:r>
        <w:rPr>
          <w:rFonts w:ascii="仿宋" w:eastAsia="仿宋" w:hAnsi="仿宋" w:cs="仿宋" w:hint="eastAsia"/>
          <w:color w:val="auto"/>
          <w:highlight w:val="none"/>
        </w:rPr>
        <w:t xml:space="preserve">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6400.66</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支付</w:t>
      </w:r>
      <w:r>
        <w:rPr>
          <w:rFonts w:ascii="仿宋" w:eastAsia="仿宋" w:hAnsi="仿宋" w:cs="仿宋" w:hint="eastAsia"/>
          <w:color w:val="auto"/>
          <w:highlight w:val="none"/>
        </w:rPr>
        <w:t xml:space="preserve">情况如下：</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月2</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4820.85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5</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22</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629.15</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950.66</w:t>
      </w:r>
      <w:r>
        <w:rPr>
          <w:rFonts w:ascii="仿宋" w:eastAsia="仿宋" w:hAnsi="仿宋" w:cs="仿宋" w:hint="eastAsia"/>
          <w:color w:val="auto"/>
          <w:highlight w:val="none"/>
        </w:rPr>
        <w:t xml:space="preserve">万元；</w:t>
      </w:r>
    </w:p>
    <w:p>
      <w:pPr>
        <w:pStyle w:val="Heading3"/>
        <w:bidi w:val="0"/>
        <w:rPr>
          <w:rFonts w:ascii="仿宋" w:eastAsia="仿宋" w:hAnsi="仿宋" w:cs="仿宋" w:hint="eastAsia"/>
          <w:color w:val="auto"/>
          <w:highlight w:val="none"/>
        </w:rPr>
      </w:pPr>
      <w:bookmarkStart w:id="3" w:name="_Toc25187"/>
      <w:r>
        <w:rPr>
          <w:rFonts w:ascii="仿宋" w:eastAsia="仿宋" w:hAnsi="仿宋" w:cs="仿宋" w:hint="eastAsia"/>
          <w:color w:val="auto"/>
          <w:highlight w:val="none"/>
        </w:rPr>
        <w:t xml:space="preserve">（二）项目绩效目标</w:t>
      </w:r>
      <w:bookmarkEnd w:id="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val="en-US" w:eastAsia="zh-CN"/>
        </w:rPr>
        <w:t xml:space="preserve">引导和支持农户参加农业保险。</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val="en-US" w:eastAsia="zh-CN"/>
        </w:rPr>
        <w:t xml:space="preserve">主要保障关系国计民生和粮食安全的大宗农产品，重点支持农业生产环节。</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lang w:val="en-US" w:eastAsia="zh-CN"/>
        </w:rPr>
        <w:t xml:space="preserve">不断扩大农业保险覆盖面和风险保障水平，三大粮食作物投保面积覆盖面达85%，育肥猪保险覆盖率80%，逐步建立市场化的农业生产风险防范化解机制。</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val="en-US" w:eastAsia="zh-CN"/>
        </w:rPr>
        <w:t xml:space="preserve">稳定农业生产，保障农民收入</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满意率达到9</w:t>
      </w:r>
      <w:r>
        <w:rPr>
          <w:rFonts w:ascii="仿宋" w:eastAsia="仿宋" w:hAnsi="仿宋" w:cs="仿宋" w:hint="eastAsia"/>
          <w:color w:val="auto"/>
          <w:highlight w:val="none"/>
          <w:lang w:val="en-US" w:eastAsia="zh-CN"/>
        </w:rPr>
        <w:t xml:space="preserve">0</w:t>
      </w:r>
      <w:r>
        <w:rPr>
          <w:rFonts w:ascii="仿宋" w:eastAsia="仿宋" w:hAnsi="仿宋" w:cs="仿宋" w:hint="eastAsia"/>
          <w:color w:val="auto"/>
          <w:highlight w:val="none"/>
          <w:lang w:val="en-US" w:eastAsia="zh-CN"/>
        </w:rPr>
        <w:t xml:space="preserve">%。</w:t>
      </w:r>
    </w:p>
    <w:p>
      <w:pPr>
        <w:pStyle w:val="Heading2"/>
        <w:bidi w:val="0"/>
        <w:rPr>
          <w:rFonts w:ascii="仿宋" w:eastAsia="仿宋" w:hAnsi="仿宋" w:cs="仿宋" w:hint="eastAsia"/>
          <w:color w:val="auto"/>
          <w:highlight w:val="none"/>
        </w:rPr>
      </w:pPr>
      <w:bookmarkStart w:id="4" w:name="_Toc28824"/>
      <w:r>
        <w:rPr>
          <w:rFonts w:ascii="仿宋" w:eastAsia="仿宋" w:hAnsi="仿宋" w:cs="仿宋" w:hint="eastAsia"/>
          <w:color w:val="auto"/>
          <w:highlight w:val="none"/>
        </w:rPr>
        <w:t xml:space="preserve">二、绩效评价工作开展情况</w:t>
      </w:r>
      <w:bookmarkEnd w:id="4"/>
    </w:p>
    <w:p>
      <w:pPr>
        <w:pStyle w:val="Heading3"/>
        <w:bidi w:val="0"/>
        <w:rPr>
          <w:rFonts w:ascii="仿宋" w:eastAsia="仿宋" w:hAnsi="仿宋" w:cs="仿宋" w:hint="eastAsia"/>
          <w:color w:val="auto"/>
          <w:highlight w:val="none"/>
        </w:rPr>
      </w:pPr>
      <w:bookmarkStart w:id="5" w:name="_Toc24175"/>
      <w:r>
        <w:rPr>
          <w:rFonts w:ascii="仿宋" w:eastAsia="仿宋" w:hAnsi="仿宋" w:cs="仿宋" w:hint="eastAsia"/>
          <w:color w:val="auto"/>
          <w:highlight w:val="none"/>
        </w:rPr>
        <w:t xml:space="preserve">（一）绩效评价目的、对象和范围</w:t>
      </w:r>
      <w:bookmarkEnd w:id="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val="en-US" w:eastAsia="zh-CN"/>
        </w:rPr>
        <w:t xml:space="preserve">2024年农业保险保费补贴资金（中央、自治区）</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1"/>
      <w:r>
        <w:rPr>
          <w:rFonts w:ascii="仿宋" w:eastAsia="仿宋" w:hAnsi="仿宋" w:cs="仿宋" w:hint="eastAsia"/>
        </w:rPr>
        <w:t xml:space="preserve">具体绩效评价的目的细分如下：</w:t>
      </w:r>
    </w:p>
    <w:p>
      <w:pPr>
        <w:bidi w:val="0"/>
        <w:rPr>
          <w:rFonts w:ascii="仿宋" w:eastAsia="仿宋" w:hAnsi="仿宋" w:cs="仿宋" w:hint="eastAsia"/>
        </w:rPr>
      </w:pPr>
      <w:r>
        <w:rPr>
          <w:rFonts w:ascii="仿宋" w:eastAsia="仿宋" w:hAnsi="仿宋" w:cs="仿宋" w:hint="eastAsia"/>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lang w:eastAsia="zh-CN"/>
        </w:rPr>
        <w:t xml:space="preserve">，</w:t>
      </w:r>
      <w:r>
        <w:rPr>
          <w:rFonts w:ascii="仿宋" w:eastAsia="仿宋" w:hAnsi="仿宋" w:cs="仿宋" w:hint="eastAsia"/>
        </w:rPr>
        <w:t xml:space="preserve">提升财政资金的使用效能。</w:t>
      </w:r>
    </w:p>
    <w:p>
      <w:pPr>
        <w:bidi w:val="0"/>
        <w:rPr>
          <w:rFonts w:ascii="仿宋" w:eastAsia="仿宋" w:hAnsi="仿宋" w:cs="仿宋" w:hint="eastAsia"/>
        </w:rPr>
      </w:pPr>
      <w:r>
        <w:rPr>
          <w:rFonts w:ascii="仿宋" w:eastAsia="仿宋" w:hAnsi="仿宋" w:cs="仿宋" w:hint="eastAsia"/>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rPr>
          <w:rFonts w:ascii="仿宋" w:eastAsia="仿宋" w:hAnsi="仿宋" w:cs="仿宋" w:hint="eastAsia"/>
        </w:rPr>
      </w:pPr>
      <w:r>
        <w:rPr>
          <w:rFonts w:ascii="仿宋" w:eastAsia="仿宋" w:hAnsi="仿宋" w:cs="仿宋" w:hint="eastAsia"/>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rFonts w:ascii="仿宋" w:eastAsia="仿宋" w:hAnsi="仿宋" w:cs="仿宋" w:hint="eastAsia"/>
        </w:rPr>
      </w:pPr>
      <w:r>
        <w:rPr>
          <w:rFonts w:ascii="仿宋" w:eastAsia="仿宋" w:hAnsi="仿宋" w:cs="仿宋" w:hint="eastAsia"/>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2024年农业保险保费补贴资金（中央、自治区）</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7" w:name="_Toc5109"/>
      <w:r>
        <w:rPr>
          <w:rFonts w:ascii="仿宋" w:eastAsia="仿宋" w:hAnsi="仿宋" w:cs="仿宋" w:hint="eastAsia"/>
          <w:color w:val="auto"/>
          <w:highlight w:val="none"/>
        </w:rPr>
        <w:t xml:space="preserve">（二）绩效评价原则、评价指标体系、评价方法、评价标准</w:t>
      </w:r>
      <w:bookmarkEnd w:id="7"/>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bidi w:val="0"/>
        <w:rPr>
          <w:rFonts w:ascii="仿宋" w:eastAsia="仿宋" w:hAnsi="仿宋" w:cs="仿宋" w:hint="eastAsia"/>
        </w:rPr>
      </w:pPr>
      <w:bookmarkStart w:id="8" w:name="OLE_LINK2"/>
      <w:r>
        <w:rPr>
          <w:rFonts w:ascii="仿宋" w:eastAsia="仿宋" w:hAnsi="仿宋" w:cs="仿宋" w:hint="eastAsia"/>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lang w:eastAsia="zh-CN"/>
        </w:rPr>
        <w:t xml:space="preserve">）</w:t>
      </w:r>
      <w:r>
        <w:rPr>
          <w:rFonts w:ascii="仿宋" w:eastAsia="仿宋" w:hAnsi="仿宋" w:cs="仿宋" w:hint="eastAsia"/>
        </w:rPr>
        <w:t xml:space="preserve">《自治区党委自治区人民政府关于全面实施预算绩效管理的实施意见》（新党发〔2018〕30号）《自治区财政支出绩效评价管理暂行办法》（新财预〔2018〕189号）等要求，绩效评价应遵循如下原则：</w:t>
      </w:r>
      <w:bookmarkEnd w:id="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谁支出、谁自评</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9" w:name="_Toc30993"/>
      <w:bookmarkStart w:id="10" w:name="_Toc23112"/>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bidi w:val="0"/>
        <w:rPr>
          <w:rFonts w:ascii="仿宋" w:eastAsia="仿宋" w:hAnsi="仿宋" w:cs="仿宋" w:hint="eastAsia"/>
          <w:b w:val="0"/>
          <w:bCs w:val="0"/>
        </w:rPr>
      </w:pPr>
      <w:r>
        <w:rPr>
          <w:rFonts w:ascii="仿宋" w:eastAsia="仿宋" w:hAnsi="仿宋" w:cs="仿宋" w:hint="eastAsia"/>
          <w:b w:val="0"/>
          <w:bCs w:val="0"/>
        </w:rPr>
        <w:t xml:space="preserve">根据以上原则</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绩效评价应遵循如下要求:</w:t>
      </w:r>
    </w:p>
    <w:p>
      <w:pPr>
        <w:bidi w:val="0"/>
        <w:rPr>
          <w:rFonts w:ascii="仿宋" w:eastAsia="仿宋" w:hAnsi="仿宋" w:cs="仿宋" w:hint="eastAsia"/>
          <w:b w:val="0"/>
          <w:bCs w:val="0"/>
        </w:rPr>
      </w:pPr>
      <w:r>
        <w:rPr>
          <w:rFonts w:ascii="仿宋" w:eastAsia="仿宋" w:hAnsi="仿宋" w:cs="仿宋" w:hint="eastAsia"/>
          <w:b w:val="0"/>
          <w:bCs w:val="0"/>
        </w:rPr>
        <w:t xml:space="preserve">（1）在数据采集时</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采取客观数据</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主管部门审查、社会中介组织复查</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与问卷调查相结合的形式</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以保证各项指标的真实性。</w:t>
      </w:r>
    </w:p>
    <w:p>
      <w:pPr>
        <w:bidi w:val="0"/>
        <w:rPr>
          <w:rFonts w:ascii="仿宋" w:eastAsia="仿宋" w:hAnsi="仿宋" w:cs="仿宋" w:hint="eastAsia"/>
          <w:b w:val="0"/>
          <w:bCs w:val="0"/>
        </w:rPr>
      </w:pPr>
      <w:r>
        <w:rPr>
          <w:rFonts w:ascii="仿宋" w:eastAsia="仿宋" w:hAnsi="仿宋" w:cs="仿宋" w:hint="eastAsia"/>
          <w:b w:val="0"/>
          <w:bCs w:val="0"/>
        </w:rPr>
        <w:t xml:space="preserve">（2）保证评价结果的真实性、公正性</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提高评价报告的公信力。</w:t>
      </w:r>
    </w:p>
    <w:p>
      <w:pPr>
        <w:bidi w:val="0"/>
        <w:rPr>
          <w:rFonts w:ascii="仿宋" w:eastAsia="仿宋" w:hAnsi="仿宋" w:cs="仿宋" w:hint="eastAsia"/>
          <w:b w:val="0"/>
          <w:bCs w:val="0"/>
        </w:rPr>
      </w:pPr>
      <w:r>
        <w:rPr>
          <w:rFonts w:ascii="仿宋" w:eastAsia="仿宋" w:hAnsi="仿宋" w:cs="仿宋" w:hint="eastAsia"/>
          <w:b w:val="0"/>
          <w:bCs w:val="0"/>
        </w:rPr>
        <w:t xml:space="preserve">（3）</w:t>
      </w:r>
      <w:r>
        <w:rPr>
          <w:rFonts w:ascii="仿宋" w:eastAsia="仿宋" w:hAnsi="仿宋" w:cs="仿宋" w:hint="eastAsia"/>
          <w:b w:val="0"/>
          <w:bCs w:val="0"/>
          <w:lang w:val="en-US" w:eastAsia="zh-CN"/>
        </w:rPr>
        <w:t xml:space="preserve">绩效</w:t>
      </w:r>
      <w:r>
        <w:rPr>
          <w:rFonts w:ascii="仿宋" w:eastAsia="仿宋" w:hAnsi="仿宋" w:cs="仿宋" w:hint="eastAsia"/>
          <w:b w:val="0"/>
          <w:bCs w:val="0"/>
        </w:rPr>
        <w:t xml:space="preserve">评价报告应当简明扼要</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除了对绩效评价的过程、结果描述外</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还应总结经验</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指出问题</w:t>
      </w:r>
      <w:r>
        <w:rPr>
          <w:rFonts w:ascii="仿宋" w:eastAsia="仿宋" w:hAnsi="仿宋" w:cs="仿宋" w:hint="eastAsia"/>
          <w:b w:val="0"/>
          <w:bCs w:val="0"/>
          <w:lang w:eastAsia="zh-CN"/>
        </w:rPr>
        <w:t xml:space="preserve">，</w:t>
      </w:r>
      <w:r>
        <w:rPr>
          <w:rFonts w:ascii="仿宋" w:eastAsia="仿宋" w:hAnsi="仿宋" w:cs="仿宋" w:hint="eastAsia"/>
          <w:b w:val="0"/>
          <w:bCs w:val="0"/>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9"/>
      <w:bookmarkEnd w:id="10"/>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尉犁县2024年农业保险保费补贴资金（中央、自治区）</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尉犁县2024年农业保险保费补贴资金（中央、自治区）</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原则上产出、效益指标权重不低于60%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的要求，本项目产出、效益指标权重60%（即60分）。</w:t>
      </w:r>
      <w:bookmarkStart w:id="11" w:name="_Toc4156"/>
      <w:bookmarkStart w:id="12" w:name="_Toc15680"/>
      <w:r>
        <w:rPr>
          <w:rFonts w:ascii="仿宋" w:eastAsia="仿宋" w:hAnsi="仿宋" w:cs="仿宋" w:hint="eastAsia"/>
          <w:bCs w:val="0"/>
          <w:iCs w:val="0"/>
          <w:color w:val="auto"/>
          <w:kern w:val="2"/>
          <w:sz w:val="32"/>
          <w:szCs w:val="22"/>
          <w:highlight w:val="none"/>
          <w:lang w:val="en-US" w:eastAsia="zh-CN" w:bidi="ar-SA"/>
        </w:rPr>
        <w:t xml:space="preserve">（详见：附表2）</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color w:val="auto"/>
          <w:highlight w:val="none"/>
        </w:rPr>
        <w:t xml:space="preserve">3、绩效评价方法</w:t>
      </w:r>
      <w:bookmarkEnd w:id="11"/>
      <w:bookmarkEnd w:id="1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2024年农业保险保费补贴资金（中央、自治区）</w:t>
      </w:r>
      <w:r>
        <w:rPr>
          <w:rFonts w:ascii="仿宋" w:eastAsia="仿宋" w:hAnsi="仿宋" w:cs="仿宋" w:hint="eastAsia"/>
          <w:color w:val="auto"/>
          <w:highlight w:val="none"/>
        </w:rPr>
        <w:t xml:space="preserve">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w:t>
      </w:r>
      <w:r>
        <w:rPr>
          <w:rFonts w:ascii="仿宋" w:eastAsia="仿宋" w:hAnsi="仿宋" w:cs="仿宋" w:hint="eastAsia"/>
          <w:color w:val="auto"/>
          <w:highlight w:val="none"/>
        </w:rPr>
        <w:t xml:space="preserve">：本项目绩效评价将项目实施情况即实际完成的</w:t>
      </w:r>
      <w:r>
        <w:rPr>
          <w:rFonts w:ascii="仿宋" w:eastAsia="仿宋" w:hAnsi="仿宋" w:cs="仿宋" w:hint="eastAsia"/>
          <w:color w:val="auto"/>
          <w:highlight w:val="none"/>
          <w:lang w:val="en-US" w:eastAsia="zh-CN"/>
        </w:rPr>
        <w:t xml:space="preserve">三大粮食作物投保面积覆盖面、育肥猪保险覆盖率</w:t>
      </w:r>
      <w:r>
        <w:rPr>
          <w:rFonts w:ascii="仿宋" w:eastAsia="仿宋" w:hAnsi="仿宋" w:cs="仿宋" w:hint="eastAsia"/>
          <w:color w:val="auto"/>
          <w:highlight w:val="none"/>
        </w:rPr>
        <w:t xml:space="preserve">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公众评判法：通过对</w:t>
      </w:r>
      <w:r>
        <w:rPr>
          <w:rFonts w:ascii="仿宋" w:eastAsia="仿宋" w:hAnsi="仿宋" w:cs="仿宋" w:hint="eastAsia"/>
          <w:color w:val="auto"/>
          <w:highlight w:val="none"/>
          <w:lang w:val="en-US" w:eastAsia="zh-CN"/>
        </w:rPr>
        <w:t xml:space="preserve">2024年农业保险保费补贴资金（中央、自治区）投保农户</w:t>
      </w:r>
      <w:r>
        <w:rPr>
          <w:rFonts w:ascii="仿宋" w:eastAsia="仿宋" w:hAnsi="仿宋" w:cs="仿宋" w:hint="eastAsia"/>
          <w:color w:val="auto"/>
          <w:highlight w:val="none"/>
        </w:rPr>
        <w:t xml:space="preserve">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2024年农业保险保费补贴资金（中央、自治区）</w:t>
      </w:r>
      <w:r>
        <w:rPr>
          <w:rFonts w:ascii="仿宋" w:eastAsia="仿宋" w:hAnsi="仿宋" w:cs="仿宋" w:hint="eastAsia"/>
          <w:color w:val="auto"/>
          <w:highlight w:val="none"/>
        </w:rPr>
        <w:t xml:space="preserve">的特点，本次项目支出绩效自评采用了</w:t>
      </w:r>
      <w:r>
        <w:rPr>
          <w:rFonts w:ascii="仿宋" w:eastAsia="仿宋" w:hAnsi="仿宋" w:cs="仿宋" w:hint="eastAsia"/>
          <w:color w:val="auto"/>
          <w:highlight w:val="none"/>
          <w:lang w:val="en-US" w:eastAsia="zh-CN"/>
        </w:rPr>
        <w:t xml:space="preserve">计划标准、历史标准等，用于对绩效指标完成情况进行比较。 </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计划标准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根据绩效目标表，以预先制定的</w:t>
      </w:r>
      <w:r>
        <w:rPr>
          <w:rFonts w:ascii="仿宋" w:eastAsia="仿宋" w:hAnsi="仿宋" w:cs="仿宋" w:hint="eastAsia"/>
          <w:color w:val="auto"/>
          <w:highlight w:val="none"/>
          <w:lang w:val="en-US" w:eastAsia="zh-CN"/>
        </w:rPr>
        <w:t xml:space="preserve">三大粮食作物投保面积覆盖面大于或等于85%、育肥猪保险覆盖率大于或等于80%为计划数</w:t>
      </w:r>
      <w:r>
        <w:rPr>
          <w:rFonts w:ascii="仿宋" w:eastAsia="仿宋" w:hAnsi="仿宋" w:cs="仿宋" w:hint="eastAsia"/>
          <w:color w:val="auto"/>
          <w:highlight w:val="none"/>
        </w:rPr>
        <w:t xml:space="preserve">作为评价的标准。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历史标准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参照本单位同类</w:t>
      </w:r>
      <w:r>
        <w:rPr>
          <w:rFonts w:ascii="仿宋" w:eastAsia="仿宋" w:hAnsi="仿宋" w:cs="仿宋" w:hint="eastAsia"/>
          <w:color w:val="auto"/>
          <w:highlight w:val="none"/>
          <w:lang w:val="en-US" w:eastAsia="zh-CN"/>
        </w:rPr>
        <w:t xml:space="preserve">项目</w:t>
      </w:r>
      <w:r>
        <w:rPr>
          <w:rFonts w:ascii="仿宋" w:eastAsia="仿宋" w:hAnsi="仿宋" w:cs="仿宋" w:hint="eastAsia"/>
          <w:color w:val="auto"/>
          <w:highlight w:val="none"/>
        </w:rPr>
        <w:t xml:space="preserve">绩效评价指标的历史数据作为样本，运用一定的统计学方法计算出各类指标的平均历史水平作为评价标准。</w:t>
      </w:r>
    </w:p>
    <w:p>
      <w:pPr>
        <w:pStyle w:val="Heading3"/>
        <w:bidi w:val="0"/>
        <w:rPr>
          <w:rFonts w:ascii="仿宋" w:eastAsia="仿宋" w:hAnsi="仿宋" w:cs="仿宋" w:hint="eastAsia"/>
          <w:color w:val="auto"/>
          <w:highlight w:val="none"/>
        </w:rPr>
      </w:pPr>
      <w:bookmarkStart w:id="13" w:name="_Toc23796"/>
      <w:r>
        <w:rPr>
          <w:rFonts w:ascii="仿宋" w:eastAsia="仿宋" w:hAnsi="仿宋" w:cs="仿宋" w:hint="eastAsia"/>
          <w:color w:val="auto"/>
          <w:highlight w:val="none"/>
        </w:rPr>
        <w:t xml:space="preserve">（三）绩效评价工作过程</w:t>
      </w:r>
      <w:bookmarkEnd w:id="13"/>
      <w:bookmarkStart w:id="14" w:name="_Toc30911"/>
      <w:bookmarkStart w:id="15" w:name="_Toc27442"/>
      <w:bookmarkStart w:id="16" w:name="_Toc22987"/>
      <w:bookmarkStart w:id="17" w:name="_Toc17595"/>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1、前期准备</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2025年2月10日-2025年2月28日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bCs/>
          <w:color w:val="auto"/>
          <w:szCs w:val="32"/>
          <w:highlight w:val="none"/>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val="en-US" w:eastAsia="zh-CN"/>
        </w:rPr>
        <w:t xml:space="preserve">尉犁县农业农村局（畜牧兽医局）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评价小组组长：张钦，主要负责协调相关科室、部门对项目整体运行情况的验收、评估。</w:t>
      </w:r>
    </w:p>
    <w:p>
      <w:pPr>
        <w:bidi w:val="0"/>
        <w:rPr>
          <w:rFonts w:ascii="仿宋" w:eastAsia="仿宋" w:hAnsi="仿宋" w:cs="仿宋" w:hint="eastAsia"/>
          <w:color w:val="auto"/>
          <w:highlight w:val="none"/>
          <w:lang w:val="en-US" w:eastAsia="zh-CN"/>
        </w:rPr>
      </w:pPr>
      <w:r>
        <w:rPr>
          <w:rFonts w:ascii="仿宋" w:eastAsia="仿宋" w:hAnsi="仿宋" w:cs="仿宋" w:hint="eastAsia"/>
          <w:bCs/>
          <w:color w:val="auto"/>
          <w:szCs w:val="32"/>
          <w:highlight w:val="none"/>
          <w:lang w:val="en-US" w:eastAsia="zh-CN"/>
        </w:rPr>
        <w:t xml:space="preserve">评价小组组员：帕力扎提，主要负责制定评价指标体系及评价标准及农业保险保费补贴资金项目实施、监督、评估工作。</w:t>
      </w:r>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2、组织实施</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2025年3月1日-2025年3月10日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w:t>
      </w:r>
      <w:r>
        <w:rPr>
          <w:rFonts w:ascii="仿宋" w:eastAsia="仿宋" w:hAnsi="仿宋" w:cs="仿宋" w:hint="eastAsia"/>
          <w:color w:val="auto"/>
          <w:highlight w:val="none"/>
          <w:lang w:val="en-US" w:eastAsia="zh-CN"/>
        </w:rPr>
        <w:t xml:space="preserve">等</w:t>
      </w:r>
      <w:r>
        <w:rPr>
          <w:rFonts w:ascii="仿宋" w:eastAsia="仿宋" w:hAnsi="仿宋" w:cs="仿宋" w:hint="eastAsia"/>
          <w:color w:val="auto"/>
          <w:highlight w:val="none"/>
        </w:rPr>
        <w:t xml:space="preserve">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3、数据集中分析</w:t>
      </w:r>
      <w:bookmarkEnd w:id="14"/>
      <w:bookmarkEnd w:id="15"/>
      <w:bookmarkEnd w:id="16"/>
      <w:bookmarkEnd w:id="17"/>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18" w:name="_Toc20775"/>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4、分析总结</w:t>
      </w:r>
      <w:bookmarkEnd w:id="18"/>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r>
        <w:rPr>
          <w:rFonts w:ascii="仿宋" w:eastAsia="仿宋" w:hAnsi="仿宋" w:cs="仿宋" w:hint="eastAsia"/>
          <w:b/>
          <w:bCs/>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bidi w:val="0"/>
        <w:rPr>
          <w:rFonts w:ascii="仿宋" w:eastAsia="仿宋" w:hAnsi="仿宋" w:cs="仿宋" w:hint="eastAsia"/>
          <w:b/>
          <w:bCs/>
          <w:lang w:val="en-US" w:eastAsia="zh-CN"/>
        </w:rPr>
      </w:pPr>
      <w:bookmarkStart w:id="19" w:name="_Toc20784"/>
      <w:r>
        <w:rPr>
          <w:rFonts w:ascii="仿宋" w:eastAsia="仿宋" w:hAnsi="仿宋" w:cs="仿宋" w:hint="eastAsia"/>
          <w:b/>
          <w:bCs/>
          <w:lang w:val="en-US" w:eastAsia="zh-CN"/>
        </w:rPr>
        <w:t xml:space="preserve">5.问题整改</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ascii="仿宋" w:eastAsia="仿宋" w:hAnsi="仿宋" w:cs="仿宋" w:hint="eastAsia"/>
          <w:b/>
          <w:bCs/>
          <w:lang w:val="en-US" w:eastAsia="zh-CN"/>
        </w:rPr>
      </w:pPr>
      <w:r>
        <w:rPr>
          <w:rFonts w:ascii="仿宋" w:eastAsia="仿宋" w:hAnsi="仿宋" w:cs="仿宋" w:hint="eastAsia"/>
          <w:b/>
          <w:bCs/>
          <w:lang w:val="en-US" w:eastAsia="zh-CN"/>
        </w:rPr>
        <w:t xml:space="preserve">6.档案整理</w:t>
      </w:r>
    </w:p>
    <w:p>
      <w:pPr>
        <w:bidi w:val="0"/>
        <w:rPr>
          <w:rFonts w:ascii="仿宋" w:eastAsia="仿宋" w:hAnsi="仿宋" w:cs="仿宋" w:hint="eastAsia"/>
          <w:lang w:val="en-US" w:eastAsia="zh-CN"/>
        </w:rPr>
      </w:pPr>
      <w:r>
        <w:rPr>
          <w:rFonts w:ascii="仿宋" w:eastAsia="仿宋" w:hAnsi="仿宋" w:cs="仿宋" w:hint="eastAsia"/>
          <w:lang w:val="en-US" w:eastAsia="zh-CN"/>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三、综合评价情况及评价结论</w:t>
      </w:r>
      <w:bookmarkEnd w:id="1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分。其中项目决策22分，项目过程18分，项目产出管理得分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2024年农业保险保费补贴资金（中央、自治区）</w:t>
            </w:r>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20" w:name="_Toc8960"/>
      <w:r>
        <w:rPr>
          <w:rFonts w:ascii="仿宋" w:eastAsia="仿宋" w:hAnsi="仿宋" w:cs="仿宋" w:hint="eastAsia"/>
          <w:color w:val="auto"/>
          <w:highlight w:val="none"/>
        </w:rPr>
        <w:t xml:space="preserve">四、绩效评价指标分析</w:t>
      </w:r>
      <w:bookmarkEnd w:id="20"/>
    </w:p>
    <w:p>
      <w:pPr>
        <w:pStyle w:val="Heading3"/>
        <w:bidi w:val="0"/>
        <w:rPr>
          <w:rFonts w:ascii="仿宋" w:eastAsia="仿宋" w:hAnsi="仿宋" w:cs="仿宋" w:hint="eastAsia"/>
          <w:color w:val="auto"/>
          <w:highlight w:val="none"/>
        </w:rPr>
      </w:pPr>
      <w:bookmarkStart w:id="21" w:name="_Toc3445"/>
      <w:r>
        <w:rPr>
          <w:rFonts w:ascii="仿宋" w:eastAsia="仿宋" w:hAnsi="仿宋" w:cs="仿宋" w:hint="eastAsia"/>
          <w:color w:val="auto"/>
          <w:highlight w:val="none"/>
        </w:rPr>
        <w:t xml:space="preserve">（一）项目决策情况</w:t>
      </w:r>
      <w:bookmarkEnd w:id="2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val="en-US" w:eastAsia="zh-CN"/>
        </w:rPr>
        <w:t xml:space="preserve">新疆维吾尔自治区财政厅</w:t>
      </w:r>
      <w:r>
        <w:rPr>
          <w:rFonts w:ascii="仿宋" w:eastAsia="仿宋" w:hAnsi="仿宋" w:cs="仿宋" w:hint="eastAsia"/>
          <w:color w:val="auto"/>
          <w:highlight w:val="none"/>
        </w:rPr>
        <w:t xml:space="preserve">颁发的《</w:t>
      </w:r>
      <w:r>
        <w:rPr>
          <w:rFonts w:ascii="仿宋" w:eastAsia="仿宋" w:hAnsi="仿宋" w:cs="仿宋" w:hint="eastAsia"/>
          <w:color w:val="auto"/>
          <w:highlight w:val="none"/>
          <w:lang w:val="en-US" w:eastAsia="zh-CN"/>
        </w:rPr>
        <w:t xml:space="preserve">新疆维吾尔自治区农业保险保费补贴实施细则</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新财规</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2022</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号）中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关于农业保险保费补贴管理的具体内容</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bookmarkStart w:id="22" w:name="_GoBack"/>
      <w:bookmarkEnd w:id="22"/>
      <w:r>
        <w:rPr>
          <w:rFonts w:ascii="仿宋" w:eastAsia="仿宋" w:hAnsi="仿宋" w:cs="仿宋" w:hint="eastAsia"/>
          <w:bCs w:val="0"/>
          <w:iCs w:val="0"/>
          <w:color w:val="auto"/>
          <w:kern w:val="2"/>
          <w:sz w:val="32"/>
          <w:szCs w:val="22"/>
          <w:highlight w:val="none"/>
          <w:lang w:val="en-US" w:bidi="ar-SA"/>
        </w:rPr>
        <w:t xml:space="preserve">全，</w:t>
      </w:r>
      <w:r>
        <w:rPr>
          <w:rFonts w:ascii="仿宋" w:eastAsia="仿宋" w:hAnsi="仿宋" w:cs="仿宋" w:hint="eastAsia"/>
          <w:bCs w:val="0"/>
          <w:iCs w:val="0"/>
          <w:color w:val="auto"/>
          <w:kern w:val="2"/>
          <w:sz w:val="32"/>
          <w:szCs w:val="22"/>
          <w:highlight w:val="none"/>
          <w:lang w:val="en-US" w:bidi="ar-SA"/>
        </w:rPr>
        <w:t xml:space="preserve">编制了</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尉犁县2024-2026年政策性农业保险保费补贴</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w:t>
      </w:r>
      <w:r>
        <w:rPr>
          <w:rFonts w:ascii="仿宋" w:eastAsia="仿宋" w:hAnsi="仿宋" w:cs="仿宋" w:hint="eastAsia"/>
          <w:bCs w:val="0"/>
          <w:iCs w:val="0"/>
          <w:color w:val="auto"/>
          <w:kern w:val="2"/>
          <w:sz w:val="32"/>
          <w:szCs w:val="22"/>
          <w:highlight w:val="none"/>
          <w:lang w:val="en-US" w:eastAsia="zh-CN" w:bidi="ar-SA"/>
        </w:rPr>
        <w:t xml:space="preserve">因此，</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2024年农业保险保费补贴资金（中央、自治区）</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2024年农业保险保费补贴资金（中央、自治区），设置一级指标四条，二级指标六条，三级指标九条，其中量化指标九条，绩效目标指标设定清晰、可衡量性较</w:t>
      </w:r>
      <w:r>
        <w:rPr>
          <w:rFonts w:ascii="仿宋" w:eastAsia="仿宋" w:hAnsi="仿宋" w:cs="仿宋" w:hint="eastAsia"/>
          <w:color w:val="auto"/>
          <w:highlight w:val="none"/>
        </w:rPr>
        <w:t xml:space="preserve">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6400.66</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中央资金4450.66</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自治区补助资金</w:t>
      </w:r>
      <w:r>
        <w:rPr>
          <w:rFonts w:ascii="仿宋" w:eastAsia="仿宋" w:hAnsi="仿宋" w:cs="仿宋" w:hint="eastAsia"/>
          <w:color w:val="auto"/>
          <w:highlight w:val="none"/>
          <w:lang w:val="en-US" w:eastAsia="zh-CN"/>
        </w:rPr>
        <w:t xml:space="preserve">1950</w:t>
      </w:r>
      <w:r>
        <w:rPr>
          <w:rFonts w:ascii="仿宋" w:eastAsia="仿宋" w:hAnsi="仿宋" w:cs="仿宋" w:hint="eastAsia"/>
          <w:color w:val="auto"/>
          <w:highlight w:val="none"/>
        </w:rPr>
        <w:t xml:space="preserve">万元，预算编制较为科学，预算内容与</w:t>
      </w:r>
      <w:r>
        <w:rPr>
          <w:rFonts w:ascii="仿宋" w:eastAsia="仿宋" w:hAnsi="仿宋" w:cs="仿宋" w:hint="eastAsia"/>
          <w:color w:val="auto"/>
          <w:highlight w:val="none"/>
          <w:lang w:val="en-US" w:eastAsia="zh-CN"/>
        </w:rPr>
        <w:t xml:space="preserve">2024年农业保险保费补贴</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3" w:name="_Toc11290"/>
      <w:r>
        <w:rPr>
          <w:rFonts w:ascii="仿宋" w:eastAsia="仿宋" w:hAnsi="仿宋" w:cs="仿宋" w:hint="eastAsia"/>
          <w:color w:val="auto"/>
          <w:highlight w:val="none"/>
        </w:rPr>
        <w:t xml:space="preserve">（二）项目过程情况</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6400.66</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6400.66</w:t>
      </w:r>
      <w:r>
        <w:rPr>
          <w:rFonts w:ascii="仿宋" w:eastAsia="仿宋" w:hAnsi="仿宋" w:cs="仿宋" w:hint="eastAsia"/>
          <w:color w:val="auto"/>
          <w:highlight w:val="none"/>
        </w:rPr>
        <w:t xml:space="preserve">万元，资金到位</w:t>
      </w:r>
      <w:r>
        <w:rPr>
          <w:rFonts w:ascii="仿宋" w:eastAsia="仿宋" w:hAnsi="仿宋" w:cs="仿宋" w:hint="eastAsia"/>
          <w:color w:val="auto"/>
          <w:highlight w:val="none"/>
          <w:lang w:val="en-US" w:eastAsia="zh-CN"/>
        </w:rPr>
        <w:t xml:space="preserve">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本项满分4分，评估得分4分。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2、预算执行率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本项目到位资金6400.66万元，实际支付资金6400.66万元，预算执行率为100%。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中华人民共和国会计法》等国家有关财经法规以及预算管理制度；符合《</w:t>
      </w:r>
      <w:r>
        <w:rPr>
          <w:rFonts w:ascii="仿宋" w:eastAsia="仿宋" w:hAnsi="仿宋" w:cs="仿宋" w:hint="eastAsia"/>
          <w:color w:val="auto"/>
          <w:highlight w:val="none"/>
          <w:lang w:val="en-US" w:eastAsia="zh-CN"/>
        </w:rPr>
        <w:t xml:space="preserve">财政农业</w:t>
      </w:r>
      <w:r>
        <w:rPr>
          <w:rFonts w:ascii="仿宋" w:eastAsia="仿宋" w:hAnsi="仿宋" w:cs="仿宋" w:hint="eastAsia"/>
          <w:color w:val="auto"/>
          <w:highlight w:val="none"/>
          <w:lang w:val="en-US" w:eastAsia="zh-CN"/>
        </w:rPr>
        <w:t xml:space="preserve">专项资金管理办法》要求。资金的审批和拨付按照《</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lang w:val="en-US" w:eastAsia="zh-CN"/>
        </w:rPr>
        <w:t xml:space="preserve">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val="en-US" w:eastAsia="zh-CN"/>
        </w:rPr>
        <w:t xml:space="preserve">尉犁县农业农村局（畜牧兽医局）</w:t>
      </w:r>
      <w:r>
        <w:rPr>
          <w:rFonts w:ascii="仿宋" w:eastAsia="仿宋" w:hAnsi="仿宋" w:cs="仿宋" w:hint="eastAsia"/>
          <w:color w:val="auto"/>
          <w:highlight w:val="none"/>
        </w:rPr>
        <w:t xml:space="preserve">制定</w:t>
      </w:r>
      <w:r>
        <w:rPr>
          <w:rFonts w:ascii="仿宋" w:eastAsia="仿宋" w:hAnsi="仿宋" w:cs="仿宋" w:hint="eastAsia"/>
          <w:color w:val="auto"/>
          <w:highlight w:val="none"/>
          <w:lang w:val="en-US" w:eastAsia="zh-CN"/>
        </w:rPr>
        <w:t xml:space="preserve">了《尉犁县农业农村局（畜牧兽医局）财务管理办法》和《尉犁县农业农村局（畜牧兽医局）内控管理制度》，制定了较为</w:t>
      </w:r>
      <w:r>
        <w:rPr>
          <w:rFonts w:ascii="仿宋" w:eastAsia="仿宋" w:hAnsi="仿宋" w:cs="仿宋" w:hint="eastAsia"/>
          <w:color w:val="auto"/>
          <w:highlight w:val="none"/>
          <w:lang w:val="en-US" w:eastAsia="zh-CN"/>
        </w:rPr>
        <w:t xml:space="preserve">全面的工作管理制度，对工作开展、组织与管理、跟踪与验收、监督与评价以及资金管理等方面都做出明确的规范要求。同时，项目的实施严格遵守《中华人民共和国预算法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4"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4"/>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w:t>
      </w:r>
      <w:r>
        <w:rPr>
          <w:rFonts w:ascii="仿宋" w:eastAsia="仿宋" w:hAnsi="仿宋" w:cs="仿宋" w:hint="eastAsia"/>
          <w:color w:val="auto"/>
          <w:highlight w:val="none"/>
        </w:rPr>
        <w:t xml:space="preserve">三大粮食作物投保面积覆盖面，指标值</w:t>
      </w:r>
      <w:r>
        <w:rPr>
          <w:rFonts w:ascii="仿宋" w:eastAsia="仿宋" w:hAnsi="仿宋" w:cs="仿宋" w:hint="eastAsia"/>
          <w:color w:val="auto"/>
          <w:highlight w:val="none"/>
          <w:lang w:val="en-US" w:eastAsia="zh-CN"/>
        </w:rPr>
        <w:t xml:space="preserve">大于等于85%</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89.66%，指标完成率105.48%；</w:t>
      </w:r>
      <w:r>
        <w:rPr>
          <w:rFonts w:ascii="仿宋" w:eastAsia="仿宋" w:hAnsi="仿宋" w:cs="仿宋" w:hint="eastAsia"/>
          <w:color w:val="auto"/>
          <w:highlight w:val="none"/>
          <w:lang w:val="en-US" w:eastAsia="zh-CN"/>
        </w:rPr>
        <w:t xml:space="preserve">原因是相比2023年，2024年三大粮食作物种植面积增加，种植户投保量增加。</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w:t>
      </w:r>
      <w:r>
        <w:rPr>
          <w:rFonts w:ascii="仿宋" w:eastAsia="仿宋" w:hAnsi="仿宋" w:cs="仿宋" w:hint="eastAsia"/>
          <w:color w:val="auto"/>
          <w:highlight w:val="none"/>
        </w:rPr>
        <w:t xml:space="preserve">育肥猪保险覆盖率，指标值</w:t>
      </w:r>
      <w:r>
        <w:rPr>
          <w:rFonts w:ascii="仿宋" w:eastAsia="仿宋" w:hAnsi="仿宋" w:cs="仿宋" w:hint="eastAsia"/>
          <w:color w:val="auto"/>
          <w:highlight w:val="none"/>
          <w:lang w:val="en-US" w:eastAsia="zh-CN"/>
        </w:rPr>
        <w:t xml:space="preserve">大于等于</w:t>
      </w:r>
      <w:r>
        <w:rPr>
          <w:rFonts w:ascii="仿宋" w:eastAsia="仿宋" w:hAnsi="仿宋" w:cs="仿宋" w:hint="eastAsia"/>
          <w:color w:val="auto"/>
          <w:highlight w:val="none"/>
        </w:rPr>
        <w:t xml:space="preserve">80%，实际完成值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83%，指标完成率103.75%；</w:t>
      </w:r>
      <w:r>
        <w:rPr>
          <w:rFonts w:ascii="仿宋" w:eastAsia="仿宋" w:hAnsi="仿宋" w:cs="仿宋" w:hint="eastAsia"/>
          <w:color w:val="auto"/>
          <w:highlight w:val="none"/>
          <w:lang w:val="en-US" w:eastAsia="zh-CN"/>
        </w:rPr>
        <w:t xml:space="preserve">原因是相比2023年，2024年</w:t>
      </w:r>
      <w:r>
        <w:rPr>
          <w:rFonts w:ascii="仿宋" w:eastAsia="仿宋" w:hAnsi="仿宋" w:cs="仿宋" w:hint="eastAsia"/>
          <w:color w:val="auto"/>
          <w:highlight w:val="none"/>
        </w:rPr>
        <w:t xml:space="preserve">育肥猪</w:t>
      </w:r>
      <w:r>
        <w:rPr>
          <w:rFonts w:ascii="仿宋" w:eastAsia="仿宋" w:hAnsi="仿宋" w:cs="仿宋" w:hint="eastAsia"/>
          <w:color w:val="auto"/>
          <w:highlight w:val="none"/>
          <w:lang w:val="en-US" w:eastAsia="zh-CN"/>
        </w:rPr>
        <w:t xml:space="preserve">养殖数量增加，养殖户投保量增加。</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本项满分12分，评估得分12分。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2、产出质量</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w:t>
      </w:r>
      <w:r>
        <w:rPr>
          <w:rFonts w:ascii="仿宋" w:eastAsia="仿宋" w:hAnsi="仿宋" w:cs="仿宋" w:hint="eastAsia"/>
          <w:color w:val="auto"/>
          <w:highlight w:val="none"/>
        </w:rPr>
        <w:t xml:space="preserve">承保理赔公示率，指标值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本项满分12分，评估得分12分。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3、产出时效</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w:t>
      </w:r>
      <w:r>
        <w:rPr>
          <w:rFonts w:ascii="仿宋" w:eastAsia="仿宋" w:hAnsi="仿宋" w:cs="仿宋" w:hint="eastAsia"/>
          <w:color w:val="auto"/>
          <w:highlight w:val="none"/>
        </w:rPr>
        <w:t xml:space="preserve">资金到位及时率，指标值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等于100%，指标完成率100%；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本项满分8分，评估得分8分。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指标1：棉花保费标准，</w:t>
      </w:r>
      <w:r>
        <w:rPr>
          <w:rFonts w:ascii="仿宋" w:eastAsia="仿宋" w:hAnsi="仿宋" w:cs="仿宋" w:hint="eastAsia"/>
          <w:color w:val="auto"/>
          <w:highlight w:val="none"/>
        </w:rPr>
        <w:t xml:space="preserve">指标值</w:t>
      </w:r>
      <w:r>
        <w:rPr>
          <w:rFonts w:ascii="仿宋" w:eastAsia="仿宋" w:hAnsi="仿宋" w:cs="仿宋" w:hint="eastAsia"/>
          <w:color w:val="auto"/>
          <w:highlight w:val="none"/>
          <w:lang w:val="en-US" w:eastAsia="zh-CN"/>
        </w:rPr>
        <w:t xml:space="preserve">等于70元/亩</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等于70元/亩</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指标2：小麦保费标准，</w:t>
      </w:r>
      <w:r>
        <w:rPr>
          <w:rFonts w:ascii="仿宋" w:eastAsia="仿宋" w:hAnsi="仿宋" w:cs="仿宋" w:hint="eastAsia"/>
          <w:color w:val="auto"/>
          <w:highlight w:val="none"/>
        </w:rPr>
        <w:t xml:space="preserve">指标值</w:t>
      </w:r>
      <w:r>
        <w:rPr>
          <w:rFonts w:ascii="仿宋" w:eastAsia="仿宋" w:hAnsi="仿宋" w:cs="仿宋" w:hint="eastAsia"/>
          <w:color w:val="auto"/>
          <w:highlight w:val="none"/>
          <w:lang w:val="en-US" w:eastAsia="zh-CN"/>
        </w:rPr>
        <w:t xml:space="preserve">等于30元/亩</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等于30元/亩</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指标1：玉米保费标准，</w:t>
      </w:r>
      <w:r>
        <w:rPr>
          <w:rFonts w:ascii="仿宋" w:eastAsia="仿宋" w:hAnsi="仿宋" w:cs="仿宋" w:hint="eastAsia"/>
          <w:color w:val="auto"/>
          <w:highlight w:val="none"/>
        </w:rPr>
        <w:t xml:space="preserve">指标值</w:t>
      </w:r>
      <w:r>
        <w:rPr>
          <w:rFonts w:ascii="仿宋" w:eastAsia="仿宋" w:hAnsi="仿宋" w:cs="仿宋" w:hint="eastAsia"/>
          <w:color w:val="auto"/>
          <w:highlight w:val="none"/>
          <w:lang w:val="en-US" w:eastAsia="zh-CN"/>
        </w:rPr>
        <w:t xml:space="preserve">等于49元/亩</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等于49元/亩</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bookmarkStart w:id="25" w:name="_Toc28354"/>
      <w:r>
        <w:rPr>
          <w:rFonts w:ascii="仿宋" w:eastAsia="仿宋" w:hAnsi="仿宋" w:cs="仿宋" w:hint="eastAsia"/>
          <w:color w:val="auto"/>
          <w:highlight w:val="none"/>
        </w:rPr>
        <w:t xml:space="preserve">（四）项目效益情况</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本项目实施所产生的效益主要包括</w:t>
      </w:r>
      <w:r>
        <w:rPr>
          <w:rFonts w:ascii="仿宋" w:eastAsia="仿宋" w:hAnsi="仿宋" w:cs="仿宋" w:hint="eastAsia"/>
          <w:color w:val="auto"/>
          <w:highlight w:val="none"/>
          <w:lang w:val="en-US" w:eastAsia="zh-CN"/>
        </w:rPr>
        <w:t xml:space="preserve">经济效益。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项目的实施，三大粮食作物投保面积覆盖面达89.66%，育肥猪保险覆盖率达83%，有效控制农业保险综合费用率在6.92%，明显提升农业保险参保</w:t>
      </w:r>
      <w:r>
        <w:rPr>
          <w:rFonts w:ascii="仿宋" w:eastAsia="仿宋" w:hAnsi="仿宋" w:cs="仿宋" w:hint="eastAsia"/>
          <w:color w:val="auto"/>
          <w:highlight w:val="none"/>
        </w:rPr>
        <w:t xml:space="preserve">能力</w:t>
      </w:r>
      <w:r>
        <w:rPr>
          <w:rFonts w:ascii="仿宋" w:eastAsia="仿宋" w:hAnsi="仿宋" w:cs="仿宋" w:hint="eastAsia"/>
          <w:color w:val="auto"/>
          <w:highlight w:val="none"/>
          <w:lang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本项目服务对象和受益群众主要是投保农户，通过问卷调查方式收集群众对本项目实施的满意度。投保农户满意度90%。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rPr>
          <w:rFonts w:ascii="仿宋" w:eastAsia="仿宋" w:hAnsi="仿宋" w:cs="仿宋" w:hint="eastAsia"/>
          <w:color w:val="auto"/>
          <w:highlight w:val="none"/>
        </w:rPr>
      </w:pPr>
      <w:bookmarkStart w:id="26" w:name="_Toc27244"/>
      <w:r>
        <w:rPr>
          <w:rFonts w:ascii="仿宋" w:eastAsia="仿宋" w:hAnsi="仿宋" w:cs="仿宋" w:hint="eastAsia"/>
          <w:color w:val="auto"/>
          <w:highlight w:val="none"/>
        </w:rPr>
        <w:t xml:space="preserve">五、主要经验及做法、存在的问题及原因分析</w:t>
      </w:r>
      <w:bookmarkEnd w:id="26"/>
    </w:p>
    <w:p>
      <w:pPr>
        <w:pStyle w:val="Heading3"/>
        <w:bidi w:val="0"/>
        <w:rPr>
          <w:rFonts w:ascii="仿宋" w:eastAsia="仿宋" w:hAnsi="仿宋" w:cs="仿宋" w:hint="eastAsia"/>
          <w:color w:val="auto"/>
          <w:highlight w:val="none"/>
        </w:rPr>
      </w:pPr>
      <w:bookmarkStart w:id="27" w:name="_Toc18880"/>
      <w:r>
        <w:rPr>
          <w:rFonts w:ascii="仿宋" w:eastAsia="仿宋" w:hAnsi="仿宋" w:cs="仿宋" w:hint="eastAsia"/>
          <w:color w:val="auto"/>
          <w:highlight w:val="none"/>
        </w:rPr>
        <w:t xml:space="preserve">（一）主要经验及做法</w:t>
      </w:r>
      <w:bookmarkEnd w:id="27"/>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2024年农业保险保费资金（中央、自治区）</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numPr>
          <w:ilvl w:val="0"/>
          <w:numId w:val="0"/>
        </w:numPr>
        <w:bidi w:val="0"/>
        <w:ind w:firstLine="640" w:firstLineChars="200"/>
        <w:rPr>
          <w:rFonts w:ascii="仿宋" w:eastAsia="仿宋" w:hAnsi="仿宋" w:cs="仿宋" w:hint="eastAsia"/>
          <w:color w:val="auto"/>
          <w:highlight w:val="none"/>
          <w:lang w:val="en-US" w:eastAsia="zh-CN"/>
        </w:rPr>
      </w:pPr>
      <w:bookmarkStart w:id="28" w:name="_Toc9914"/>
      <w:r>
        <w:rPr>
          <w:rFonts w:ascii="仿宋" w:eastAsia="仿宋" w:hAnsi="仿宋" w:cs="仿宋" w:hint="eastAsia"/>
          <w:color w:val="auto"/>
          <w:highlight w:val="none"/>
          <w:lang w:val="en-US" w:eastAsia="zh-CN"/>
        </w:rPr>
        <w:t xml:space="preserve">1.通过广泛的宣传和培训活动，农户对农业保险的认知度和接受度不断提升，农户参保率提升；</w:t>
      </w:r>
    </w:p>
    <w:p>
      <w:pPr>
        <w:numPr>
          <w:ilvl w:val="0"/>
          <w:numId w:val="0"/>
        </w:numPr>
        <w:bidi w:val="0"/>
        <w:ind w:firstLine="64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2.在遭遇自然灾害和意外事故后，及时对受灾农户进行理赔，帮助农户恢复生产。</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（二）存在问题及原因分析</w:t>
      </w:r>
      <w:bookmarkEnd w:id="28"/>
    </w:p>
    <w:p>
      <w:pPr>
        <w:bidi w:val="0"/>
        <w:rPr>
          <w:rFonts w:ascii="仿宋" w:eastAsia="仿宋" w:hAnsi="仿宋" w:cs="仿宋" w:hint="eastAsia"/>
          <w:color w:val="auto"/>
          <w:highlight w:val="none"/>
          <w:lang w:val="en-US" w:eastAsia="zh-CN"/>
        </w:rPr>
      </w:pPr>
      <w:bookmarkStart w:id="29" w:name="_Toc2334"/>
      <w:r>
        <w:rPr>
          <w:rFonts w:ascii="仿宋" w:eastAsia="仿宋" w:hAnsi="仿宋" w:cs="仿宋" w:hint="eastAsia"/>
          <w:color w:val="auto"/>
          <w:highlight w:val="none"/>
          <w:lang w:val="en-US" w:eastAsia="zh-CN"/>
        </w:rPr>
        <w:t xml:space="preserve">指标设定目标指标值偏低，项目实施情况较高，三大粮食作物投保面积及育肥猪投保数量增加，资金及时支付，导致出现偏差；三大粮食作物中小麦投保2.72万亩，玉米投保3.69万亩，棉花投保107.42万亩，项目目标设置指标过低，导致实际完成率过高。</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六、有关建议</w:t>
      </w:r>
      <w:bookmarkEnd w:id="29"/>
    </w:p>
    <w:p>
      <w:pPr>
        <w:bidi w:val="0"/>
        <w:rPr>
          <w:rFonts w:ascii="仿宋" w:eastAsia="仿宋" w:hAnsi="仿宋" w:cs="仿宋" w:hint="eastAsia"/>
          <w:color w:val="auto"/>
          <w:highlight w:val="none"/>
          <w:lang w:eastAsia="zh-CN"/>
        </w:rPr>
      </w:pPr>
      <w:bookmarkStart w:id="30" w:name="_Toc30571"/>
      <w:r>
        <w:rPr>
          <w:rFonts w:ascii="仿宋" w:eastAsia="仿宋" w:hAnsi="仿宋" w:cs="仿宋" w:hint="eastAsia"/>
          <w:color w:val="auto"/>
          <w:highlight w:val="none"/>
        </w:rPr>
        <w:t xml:space="preserve">加强沟通协调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设定指标</w:t>
      </w:r>
      <w:r>
        <w:rPr>
          <w:rFonts w:ascii="仿宋" w:eastAsia="仿宋" w:hAnsi="仿宋" w:cs="仿宋" w:hint="eastAsia"/>
          <w:color w:val="auto"/>
          <w:highlight w:val="none"/>
        </w:rPr>
        <w:t xml:space="preserve">前，业务科室应与财务部门进行充分沟通，</w:t>
      </w:r>
      <w:r>
        <w:rPr>
          <w:rFonts w:ascii="仿宋" w:eastAsia="仿宋" w:hAnsi="仿宋" w:cs="仿宋" w:hint="eastAsia"/>
          <w:color w:val="auto"/>
          <w:highlight w:val="none"/>
          <w:lang w:val="en-US" w:eastAsia="zh-CN"/>
        </w:rPr>
        <w:t xml:space="preserve">制定资金支付计划，</w:t>
      </w:r>
      <w:r>
        <w:rPr>
          <w:rFonts w:ascii="仿宋" w:eastAsia="仿宋" w:hAnsi="仿宋" w:cs="仿宋" w:hint="eastAsia"/>
          <w:color w:val="auto"/>
          <w:highlight w:val="none"/>
        </w:rPr>
        <w:t xml:space="preserve">根据年度工作计划和业务发展目标，</w:t>
      </w:r>
      <w:r>
        <w:rPr>
          <w:rFonts w:ascii="仿宋" w:eastAsia="仿宋" w:hAnsi="仿宋" w:cs="仿宋" w:hint="eastAsia"/>
          <w:color w:val="auto"/>
          <w:highlight w:val="none"/>
          <w:lang w:val="en-US" w:eastAsia="zh-CN"/>
        </w:rPr>
        <w:t xml:space="preserve">合理设置项目目标指标，</w:t>
      </w:r>
      <w:r>
        <w:rPr>
          <w:rFonts w:ascii="仿宋" w:eastAsia="仿宋" w:hAnsi="仿宋" w:cs="仿宋" w:hint="eastAsia"/>
          <w:color w:val="auto"/>
          <w:highlight w:val="none"/>
        </w:rPr>
        <w:t xml:space="preserve">确保预算编制符合政策要求</w:t>
      </w:r>
      <w:r>
        <w:rPr>
          <w:rFonts w:ascii="仿宋" w:eastAsia="仿宋" w:hAnsi="仿宋" w:cs="仿宋" w:hint="eastAsia"/>
          <w:color w:val="auto"/>
          <w:highlight w:val="none"/>
          <w:lang w:eastAsia="zh-CN"/>
        </w:rPr>
        <w:t xml:space="preserve">。</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30"/>
    </w:p>
    <w:p>
      <w:pPr>
        <w:numPr>
          <w:ilvl w:val="0"/>
          <w:numId w:val="0"/>
        </w:numPr>
        <w:bidi w:val="0"/>
        <w:ind w:firstLine="640" w:firstLineChars="200"/>
        <w:rPr>
          <w:rFonts w:ascii="仿宋" w:eastAsia="仿宋" w:hAnsi="仿宋" w:cs="仿宋" w:hint="eastAsia"/>
        </w:rPr>
      </w:pPr>
      <w:bookmarkStart w:id="31" w:name="OLE_LINK6"/>
      <w:bookmarkStart w:id="32" w:name="OLE_LINK5"/>
      <w:bookmarkStart w:id="33" w:name="_Toc10180"/>
      <w:r>
        <w:rPr>
          <w:rFonts w:ascii="仿宋" w:eastAsia="仿宋" w:hAnsi="仿宋" w:cs="仿宋" w:hint="eastAsia"/>
          <w:lang w:val="en-US" w:eastAsia="zh-CN"/>
        </w:rPr>
        <w:t xml:space="preserve">1、</w:t>
      </w:r>
      <w:r>
        <w:rPr>
          <w:rFonts w:ascii="仿宋" w:eastAsia="仿宋" w:hAnsi="仿宋" w:cs="仿宋" w:hint="eastAsia"/>
        </w:rPr>
        <w:t xml:space="preserve">本项目部分间接产生的效果无法准确在短期内衡量，因此很难认定项目产生的全部效果。通过指标来反映绩效，指标的科学性和全面性需要不断地完善和研究。</w:t>
      </w:r>
    </w:p>
    <w:p>
      <w:pPr>
        <w:numPr>
          <w:ilvl w:val="0"/>
          <w:numId w:val="0"/>
        </w:numPr>
        <w:bidi w:val="0"/>
        <w:ind w:firstLine="640" w:firstLineChars="200"/>
        <w:rPr>
          <w:rFonts w:ascii="仿宋" w:eastAsia="仿宋" w:hAnsi="仿宋" w:cs="仿宋" w:hint="eastAsia"/>
        </w:rPr>
      </w:pPr>
      <w:r>
        <w:rPr>
          <w:rFonts w:ascii="仿宋" w:eastAsia="仿宋" w:hAnsi="仿宋" w:cs="仿宋" w:hint="eastAsia"/>
          <w:lang w:val="en-US" w:eastAsia="zh-CN"/>
        </w:rPr>
        <w:t xml:space="preserve">2、</w:t>
      </w:r>
      <w:r>
        <w:rPr>
          <w:rFonts w:ascii="仿宋" w:eastAsia="仿宋" w:hAnsi="仿宋" w:cs="仿宋" w:hint="eastAsia"/>
        </w:rPr>
        <w:t xml:space="preserve">评价结果分别编入政府决算和部门预算，报送本级人民代表大会常务委员会，并依法予以公开。</w:t>
      </w:r>
      <w:bookmarkEnd w:id="31"/>
      <w:bookmarkEnd w:id="32"/>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八、相关附件</w:t>
      </w:r>
      <w:bookmarkEnd w:id="3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bookmarkStart w:id="34" w:name="_Toc6652"/>
      <w:bookmarkStart w:id="35" w:name="_Toc12781"/>
      <w:bookmarkStart w:id="36" w:name="_Toc18004"/>
      <w:r>
        <w:rPr>
          <w:rFonts w:ascii="仿宋" w:eastAsia="仿宋" w:hAnsi="仿宋" w:cs="仿宋" w:hint="eastAsia"/>
          <w:color w:val="auto"/>
          <w:highlight w:val="none"/>
        </w:rPr>
        <w:t xml:space="preserve">附件1：项目支出绩效自评表</w:t>
      </w:r>
      <w:bookmarkEnd w:id="34"/>
      <w:bookmarkEnd w:id="35"/>
      <w:bookmarkEnd w:id="36"/>
    </w:p>
    <w:tbl>
      <w:tblPr>
        <w:tblStyle w:val="NormalTable"/>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Look w:firstRow="0" w:lastRow="0" w:firstColumn="0" w:lastColumn="0" w:noHBand="1" w:noVBand="1"/>
      </w:tblPr>
      <w:tblGrid>
        <w:gridCol w:w="861"/>
        <w:gridCol w:w="878"/>
        <w:gridCol w:w="863"/>
        <w:gridCol w:w="1076"/>
        <w:gridCol w:w="1055"/>
        <w:gridCol w:w="863"/>
        <w:gridCol w:w="1212"/>
        <w:gridCol w:w="861"/>
        <w:gridCol w:w="904"/>
        <w:gridCol w:w="863"/>
        <w:gridCol w:w="1241"/>
        <w:gridCol w:w="1082"/>
        <w:gridCol w:w="974"/>
        <w:gridCol w:w="1804"/>
      </w:tblGrid>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项目支出绩效自评表</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0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7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40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2024年农业保险保费补贴资金（中央、自治区）</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9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174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尉犁县农业农村局</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尉犁县农业农村局</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5450.00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5450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1048"/>
        </w:trPr>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三大粮食作物投保面积覆盖面</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&gt;=85%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89.66%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=89.66%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105.48%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9.45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相比2023年，2024年三大粮食作物种植面积增加，种植户投保量增加。</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育肥猪保险覆盖率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&gt;=80%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103.75%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相比2023年，2024年育肥猪养殖数量增加，养殖户投保量增加。</w:t>
            </w: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承保理赔公示率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资金到位及时率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棉花保费标准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=70元/亩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70元/亩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=70元/亩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小麦保费标准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=30元/亩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30元/亩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=30元/亩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玉米保费标准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=49元/亩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49元/亩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=49元/亩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经济效益指标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农业保险综合费用率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&lt;=20%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=6.92%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投保农户满意度</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r>
        <w:tblPrEx>
          <w:tblW w:w="5128"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500"/>
        </w:trPr>
        <w:tc>
          <w:tcPr>
            <w:tcW w:w="126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99.08分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bidi w:val="0"/>
              <w:rPr>
                <w:rFonts w:ascii="仿宋" w:eastAsia="仿宋" w:hAnsi="仿宋" w:cs="仿宋" w:hint="eastAsia"/>
                <w:color w:val="auto"/>
                <w:highlight w:val="none"/>
              </w:rPr>
            </w:pPr>
          </w:p>
        </w:tc>
      </w:tr>
    </w:tbl>
    <w:p>
      <w:pPr>
        <w:rPr>
          <w:rFonts w:ascii="仿宋" w:eastAsia="仿宋" w:hAnsi="仿宋" w:cs="仿宋" w:hint="eastAsia"/>
          <w:color w:val="auto"/>
          <w:highlight w:val="none"/>
        </w:rPr>
        <w:sectPr>
          <w:pgSz w:w="16838" w:h="11906" w:orient="landscape"/>
          <w:pgMar w:top="1800" w:right="1440" w:bottom="1800" w:left="1440" w:header="851" w:footer="992" w:gutter="0"/>
          <w:pgBorders/>
          <w:pgNumType w:fmt="decimal"/>
          <w:cols w:num="1" w:space="425">
            <w:col w:w="13958" w:space="425"/>
          </w:cols>
          <w:docGrid w:type="lines" w:linePitch="312" w:charSpace="0"/>
        </w:sectPr>
      </w:pPr>
    </w:p>
    <w:p>
      <w:pPr>
        <w:pStyle w:val="Heading2"/>
        <w:bidi w:val="0"/>
        <w:rPr>
          <w:rFonts w:ascii="仿宋" w:eastAsia="仿宋" w:hAnsi="仿宋" w:cs="仿宋" w:hint="eastAsia"/>
          <w:color w:val="auto"/>
          <w:highlight w:val="none"/>
        </w:rPr>
      </w:pPr>
      <w:bookmarkStart w:id="37" w:name="_Toc28099"/>
      <w:bookmarkStart w:id="38" w:name="_Toc5134"/>
      <w:bookmarkStart w:id="39" w:name="_Toc1641"/>
      <w:bookmarkStart w:id="40"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37"/>
      <w:bookmarkEnd w:id="38"/>
      <w:bookmarkEnd w:id="39"/>
      <w:bookmarkEnd w:id="40"/>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658" w:tblpY="180"/>
        <w:tblOverlap w:val="never"/>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722"/>
        <w:gridCol w:w="765"/>
        <w:gridCol w:w="910"/>
        <w:gridCol w:w="1673"/>
        <w:gridCol w:w="3402"/>
        <w:gridCol w:w="531"/>
        <w:gridCol w:w="531"/>
      </w:tblGrid>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48"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3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80"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1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1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依据充分性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是否符合法律法规、相关政策、发展规划以及部门职责，用以反映和考核项目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是否符合国家法律法规、国民经济发展规划和相关政策；</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是否符合行业发展规划和政策要求；</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是否与部门职责范围相符，属于部门履职所需；</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程序规范性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的规范情况。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w:t>
            </w:r>
            <w:r>
              <w:rPr>
                <w:rFonts w:ascii="仿宋" w:eastAsia="仿宋" w:hAnsi="仿宋" w:cs="仿宋" w:hint="eastAsia"/>
                <w:color w:val="auto"/>
                <w:highlight w:val="none"/>
              </w:rPr>
              <w:t xml:space="preserve">补助</w:t>
            </w:r>
            <w:r>
              <w:rPr>
                <w:rFonts w:ascii="仿宋" w:eastAsia="仿宋" w:hAnsi="仿宋" w:cs="仿宋" w:hint="eastAsia"/>
                <w:color w:val="auto"/>
                <w:highlight w:val="none"/>
              </w:rPr>
              <w:t xml:space="preserve">项目单位或地方实际是否相适应。</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1"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11"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1"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11"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1"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3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80"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11"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11"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vMerge/>
            <w:shd w:val="clear" w:color="auto" w:fill="FFFFFF"/>
            <w:vAlign w:val="center"/>
          </w:tcPr>
          <w:p>
            <w:pPr>
              <w:pStyle w:val="表格内容"/>
              <w:bidi w:val="0"/>
              <w:rPr>
                <w:rFonts w:ascii="仿宋" w:eastAsia="仿宋" w:hAnsi="仿宋" w:cs="仿宋" w:hint="eastAsia"/>
                <w:color w:val="auto"/>
                <w:highlight w:val="none"/>
              </w:rPr>
            </w:pPr>
          </w:p>
        </w:tc>
        <w:tc>
          <w:tcPr>
            <w:tcW w:w="980" w:type="pct"/>
            <w:vMerge/>
            <w:shd w:val="clear" w:color="auto" w:fill="FFFFFF"/>
            <w:vAlign w:val="center"/>
          </w:tcPr>
          <w:p>
            <w:pPr>
              <w:pStyle w:val="表格内容"/>
              <w:bidi w:val="0"/>
              <w:rPr>
                <w:rFonts w:ascii="仿宋" w:eastAsia="仿宋" w:hAnsi="仿宋" w:cs="仿宋" w:hint="eastAsia"/>
                <w:color w:val="auto"/>
                <w:highlight w:val="none"/>
              </w:rPr>
            </w:pP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11" w:type="pct"/>
            <w:vMerge/>
            <w:noWrap w:val="1"/>
            <w:vAlign w:val="center"/>
          </w:tcPr>
          <w:p>
            <w:pPr>
              <w:pStyle w:val="表格内容"/>
              <w:bidi w:val="0"/>
              <w:rPr>
                <w:rFonts w:ascii="仿宋" w:eastAsia="仿宋" w:hAnsi="仿宋" w:cs="仿宋" w:hint="eastAsia"/>
                <w:color w:val="auto"/>
                <w:highlight w:val="none"/>
              </w:rPr>
            </w:pPr>
          </w:p>
        </w:tc>
        <w:tc>
          <w:tcPr>
            <w:tcW w:w="311" w:type="pct"/>
            <w:vMerge/>
            <w:noWrap w:val="1"/>
            <w:vAlign w:val="center"/>
          </w:tcPr>
          <w:p>
            <w:pPr>
              <w:pStyle w:val="表格内容"/>
              <w:bidi w:val="0"/>
              <w:rPr>
                <w:rFonts w:ascii="仿宋" w:eastAsia="仿宋" w:hAnsi="仿宋" w:cs="仿宋" w:hint="eastAsia"/>
                <w:color w:val="auto"/>
                <w:highlight w:val="none"/>
              </w:rPr>
            </w:pP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33"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80"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1991" w:type="pct"/>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1" w:type="pct"/>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11" w:type="pct"/>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423"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48" w:type="pct"/>
            <w:vMerge w:val="restar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3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80"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11"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1"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trPr>
        <w:tc>
          <w:tcPr>
            <w:tcW w:w="423" w:type="pct"/>
            <w:vMerge/>
            <w:shd w:val="clear" w:color="auto" w:fill="FFFFFF"/>
            <w:vAlign w:val="center"/>
          </w:tcPr>
          <w:p>
            <w:pPr>
              <w:pStyle w:val="表格内容"/>
              <w:bidi w:val="0"/>
              <w:rPr>
                <w:rFonts w:ascii="仿宋" w:eastAsia="仿宋" w:hAnsi="仿宋" w:cs="仿宋" w:hint="eastAsia"/>
                <w:color w:val="auto"/>
                <w:highlight w:val="none"/>
              </w:rPr>
            </w:pPr>
          </w:p>
        </w:tc>
        <w:tc>
          <w:tcPr>
            <w:tcW w:w="448" w:type="pct"/>
            <w:vMerge/>
            <w:shd w:val="clear" w:color="auto" w:fill="FFFFFF"/>
            <w:vAlign w:val="center"/>
          </w:tcPr>
          <w:p>
            <w:pPr>
              <w:pStyle w:val="表格内容"/>
              <w:bidi w:val="0"/>
              <w:rPr>
                <w:rFonts w:ascii="仿宋" w:eastAsia="仿宋" w:hAnsi="仿宋" w:cs="仿宋" w:hint="eastAsia"/>
                <w:color w:val="auto"/>
                <w:highlight w:val="none"/>
              </w:rPr>
            </w:pPr>
          </w:p>
        </w:tc>
        <w:tc>
          <w:tcPr>
            <w:tcW w:w="533"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980"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1991" w:type="pct"/>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311"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1"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500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377" w:type="pct"/>
            <w:gridSpan w:val="5"/>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11"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11" w:type="pc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bookmarkEnd w:id="0"/>
          </w:p>
        </w:tc>
      </w:tr>
    </w:tbl>
    <w:p>
      <w:pPr>
        <w:ind w:firstLine="640"/>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1" w:fontKey="{923A2A88-D647-458E-A2A3-C6B73FA89A7B}"/>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M4OWNjOWUyNWMwY2IxMmM1NjM3YWM3Yjk5NTAxMjMifQ=="/>
    <w:docVar w:name="KSO_WPS_MARK_KEY" w:val="d21d1603-59c8-4912-b191-7fc832601c57"/>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qFormat/>
    <w:pPr>
      <w:spacing w:before="240" w:after="60"/>
      <w:jc w:val="center"/>
      <w:outlineLvl w:val="0"/>
    </w:pPr>
    <w:rPr>
      <w:rFonts w:ascii="Arial" w:hAnsi="Arial" w:cs="Arial"/>
      <w:b/>
      <w:bCs/>
      <w:sz w:val="32"/>
      <w:szCs w:val="32"/>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3</TotalTime>
  <Pages>28</Pages>
  <Words>7718</Words>
  <Characters>8297</Characters>
  <Application>WPS Office_11.8.2.9022_F1E327BC-269C-435d-A152-05C5408002CA</Application>
  <DocSecurity>0</DocSecurity>
  <Lines>98</Lines>
  <Paragraphs>27</Paragraphs>
  <Company>Microsoft</Company>
  <CharactersWithSpaces>8321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2025-07-31T03:26:41Z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eyJoZGlkIjoiNDUyYzVkZmJmMDA5OTM1YTI4MjFjZmQ2MWZlZTMxMWQiLCJ1c2VySWQiOiIxMTM2Nzk1MzIzIn0_x003D_</vt:lpwstr>
  </property>
</Properties>
</file>