
<file path=[Content_Types].xml><?xml version="1.0" encoding="utf-8"?>
<Types xmlns="http://schemas.openxmlformats.org/package/2006/content-types">
  <Default Extension="rels" ContentType="application/vnd.openxmlformats-package.relationships+xml"/>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cx="http://schemas.microsoft.com/office/drawing/2014/chartex">
  <w:body>
    <w:p>
      <w:pPr/>
      <w:r/>
    </w:p>
    <w:p>
      <w:pPr>
        <w:bidi w:val="0"/>
        <w:jc w:val="both"/>
        <w:rPr>
          <w:rFonts w:ascii="仿宋" w:eastAsia="仿宋" w:hAnsi="仿宋" w:cs="仿宋" w:hint="eastAsia"/>
          <w:color w:val="auto"/>
          <w:highlight w:val="none"/>
        </w:rPr>
      </w:pPr>
      <w:bookmarkStart w:id="0" w:name="OLE_LINK1"/>
      <w:bookmarkStart w:id="1" w:name="_GoBack"/>
      <w:bookmarkEnd w:id="1"/>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pStyle w:val="Heading1"/>
        <w:bidi w:val="0"/>
        <w:rPr>
          <w:rFonts w:ascii="仿宋" w:eastAsia="仿宋" w:hAnsi="仿宋" w:cs="仿宋" w:hint="eastAsia"/>
          <w:color w:val="auto"/>
          <w:sz w:val="44"/>
          <w:szCs w:val="44"/>
          <w:highlight w:val="none"/>
        </w:rPr>
      </w:pPr>
      <w:bookmarkStart w:id="2" w:name="_Toc24054"/>
      <w:bookmarkStart w:id="3" w:name="_Toc14340"/>
      <w:bookmarkStart w:id="4" w:name="_Toc28201"/>
      <w:r>
        <w:rPr>
          <w:rFonts w:ascii="仿宋" w:eastAsia="仿宋" w:hAnsi="仿宋" w:cs="仿宋" w:hint="eastAsia"/>
          <w:color w:val="auto"/>
          <w:sz w:val="44"/>
          <w:szCs w:val="44"/>
          <w:highlight w:val="none"/>
        </w:rPr>
        <w:t xml:space="preserve">项目支出绩效评价报告</w:t>
      </w:r>
      <w:bookmarkEnd w:id="2"/>
      <w:bookmarkEnd w:id="3"/>
      <w:bookmarkEnd w:id="4"/>
    </w:p>
    <w:p>
      <w:pPr>
        <w:ind w:firstLine="883"/>
        <w:jc w:val="both"/>
        <w:rPr>
          <w:rFonts w:ascii="仿宋" w:eastAsia="仿宋" w:hAnsi="仿宋" w:cs="仿宋" w:hint="eastAsia"/>
          <w:b/>
          <w:bCs/>
          <w:color w:val="auto"/>
          <w:sz w:val="44"/>
          <w:szCs w:val="44"/>
          <w:highlight w:val="none"/>
        </w:rPr>
      </w:pPr>
    </w:p>
    <w:p>
      <w:pPr>
        <w:bidi w:val="0"/>
        <w:jc w:val="both"/>
        <w:rPr>
          <w:rFonts w:ascii="仿宋" w:eastAsia="仿宋" w:hAnsi="仿宋" w:cs="仿宋" w:hint="eastAsia"/>
          <w:color w:val="auto"/>
          <w:highlight w:val="none"/>
        </w:rPr>
      </w:pPr>
    </w:p>
    <w:p>
      <w:pPr>
        <w:bidi w:val="0"/>
        <w:ind w:left="0" w:firstLine="0" w:leftChars="0" w:firstLineChars="0"/>
        <w:jc w:val="center"/>
        <w:rPr>
          <w:rFonts w:ascii="仿宋" w:eastAsia="仿宋" w:hAnsi="仿宋" w:cs="仿宋" w:hint="eastAsia"/>
          <w:color w:val="auto"/>
          <w:highlight w:val="none"/>
        </w:rPr>
      </w:pPr>
      <w:r>
        <w:rPr>
          <w:rFonts w:ascii="仿宋" w:eastAsia="仿宋" w:hAnsi="仿宋" w:cs="仿宋" w:hint="eastAsia"/>
          <w:color w:val="auto"/>
          <w:sz w:val="28"/>
          <w:szCs w:val="28"/>
          <w:highlight w:val="none"/>
        </w:rPr>
        <w:t xml:space="preserve">（202</w:t>
      </w:r>
      <w:r>
        <w:rPr>
          <w:rFonts w:ascii="仿宋" w:eastAsia="仿宋" w:hAnsi="仿宋" w:cs="仿宋" w:hint="eastAsia"/>
          <w:color w:val="auto"/>
          <w:sz w:val="28"/>
          <w:szCs w:val="28"/>
          <w:highlight w:val="none"/>
          <w:lang w:val="en-US" w:eastAsia="zh-CN"/>
        </w:rPr>
        <w:t xml:space="preserve">4</w:t>
      </w:r>
      <w:r>
        <w:rPr>
          <w:rFonts w:ascii="仿宋" w:eastAsia="仿宋" w:hAnsi="仿宋" w:cs="仿宋" w:hint="eastAsia"/>
          <w:color w:val="auto"/>
          <w:sz w:val="28"/>
          <w:szCs w:val="28"/>
          <w:highlight w:val="none"/>
        </w:rPr>
        <w:t xml:space="preserve">年度）</w:t>
      </w: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b/>
          <w:bCs/>
          <w:color w:val="auto"/>
          <w:highlight w:val="none"/>
        </w:rPr>
      </w:pPr>
    </w:p>
    <w:p>
      <w:pPr>
        <w:bidi w:val="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项目名称：</w:t>
      </w:r>
      <w:r>
        <w:rPr>
          <w:rFonts w:ascii="仿宋" w:eastAsia="仿宋" w:hAnsi="仿宋" w:cs="仿宋" w:hint="eastAsia"/>
          <w:b w:val="0"/>
          <w:bCs w:val="0"/>
          <w:color w:val="auto"/>
          <w:highlight w:val="none"/>
          <w:lang w:eastAsia="zh-CN"/>
        </w:rPr>
        <w:t xml:space="preserve">尉犁县</w:t>
      </w:r>
      <w:r>
        <w:rPr>
          <w:rFonts w:ascii="仿宋" w:eastAsia="仿宋" w:hAnsi="仿宋" w:cs="仿宋" w:hint="eastAsia"/>
          <w:b w:val="0"/>
          <w:bCs w:val="0"/>
          <w:color w:val="auto"/>
          <w:highlight w:val="none"/>
          <w:lang w:val="en-US" w:eastAsia="zh-CN"/>
        </w:rPr>
        <w:t xml:space="preserve">2024年基层农技推广体系改革与建设项目</w:t>
      </w:r>
    </w:p>
    <w:p>
      <w:pPr>
        <w:bidi w:val="0"/>
        <w:ind w:left="3840" w:hanging="3200" w:leftChars="200" w:hangingChars="100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实施单位（公章）：</w:t>
      </w:r>
      <w:r>
        <w:rPr>
          <w:rFonts w:ascii="仿宋" w:eastAsia="仿宋" w:hAnsi="仿宋" w:cs="仿宋" w:hint="eastAsia"/>
          <w:b w:val="0"/>
          <w:bCs w:val="0"/>
          <w:color w:val="auto"/>
          <w:highlight w:val="none"/>
          <w:lang w:val="en-US" w:eastAsia="zh-CN"/>
        </w:rPr>
        <w:t xml:space="preserve">尉犁县农业技术推广中心（农产品质量安全检验检测中心）</w:t>
      </w:r>
    </w:p>
    <w:p>
      <w:pPr>
        <w:bidi w:val="0"/>
        <w:jc w:val="both"/>
        <w:rPr>
          <w:rFonts w:ascii="仿宋" w:eastAsia="仿宋" w:hAnsi="仿宋" w:cs="仿宋" w:hint="eastAsia"/>
          <w:b w:val="0"/>
          <w:bCs w:val="0"/>
          <w:color w:val="auto"/>
          <w:highlight w:val="none"/>
          <w:lang w:eastAsia="zh-CN"/>
        </w:rPr>
      </w:pPr>
      <w:r>
        <w:rPr>
          <w:rFonts w:ascii="仿宋" w:eastAsia="仿宋" w:hAnsi="仿宋" w:cs="仿宋" w:hint="eastAsia"/>
          <w:b w:val="0"/>
          <w:bCs w:val="0"/>
          <w:color w:val="auto"/>
          <w:highlight w:val="none"/>
        </w:rPr>
        <w:t xml:space="preserve">主管部门（公章）：</w:t>
      </w:r>
      <w:r>
        <w:rPr>
          <w:rFonts w:ascii="仿宋" w:eastAsia="仿宋" w:hAnsi="仿宋" w:cs="仿宋" w:hint="eastAsia"/>
          <w:b w:val="0"/>
          <w:bCs w:val="0"/>
          <w:color w:val="auto"/>
          <w:highlight w:val="none"/>
          <w:lang w:eastAsia="zh-CN"/>
        </w:rPr>
        <w:t xml:space="preserve">尉犁县农业农村局（乡村振兴局、畜牧兽医局）</w:t>
      </w:r>
    </w:p>
    <w:p>
      <w:pPr>
        <w:bidi w:val="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项目负责人（签章）：</w:t>
      </w:r>
      <w:r>
        <w:rPr>
          <w:rFonts w:ascii="仿宋" w:eastAsia="仿宋" w:hAnsi="仿宋" w:cs="仿宋" w:hint="eastAsia"/>
          <w:b w:val="0"/>
          <w:bCs w:val="0"/>
          <w:color w:val="auto"/>
          <w:highlight w:val="none"/>
          <w:lang w:eastAsia="zh-CN"/>
        </w:rPr>
        <w:t xml:space="preserve">库尔班</w:t>
      </w:r>
      <w:r>
        <w:rPr>
          <w:rFonts w:ascii="仿宋" w:eastAsia="仿宋" w:hAnsi="仿宋" w:cs="仿宋" w:hint="eastAsia"/>
          <w:b w:val="0"/>
          <w:bCs w:val="0"/>
          <w:color w:val="auto"/>
          <w:highlight w:val="none"/>
          <w:lang w:val="en-US" w:eastAsia="zh-CN"/>
        </w:rPr>
        <w:t xml:space="preserve">·苏来曼</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填报时间：</w:t>
      </w:r>
      <w:r>
        <w:rPr>
          <w:rFonts w:ascii="仿宋" w:eastAsia="仿宋" w:hAnsi="仿宋" w:cs="仿宋" w:hint="eastAsia"/>
          <w:b w:val="0"/>
          <w:bCs w:val="0"/>
          <w:color w:val="auto"/>
          <w:highlight w:val="none"/>
          <w:lang w:val="en-US" w:eastAsia="zh-CN"/>
        </w:rPr>
        <w:t xml:space="preserve">2025</w:t>
      </w:r>
      <w:r>
        <w:rPr>
          <w:rFonts w:ascii="仿宋" w:eastAsia="仿宋" w:hAnsi="仿宋" w:cs="仿宋" w:hint="eastAsia"/>
          <w:b w:val="0"/>
          <w:bCs w:val="0"/>
          <w:color w:val="auto"/>
          <w:highlight w:val="none"/>
        </w:rPr>
        <w:t xml:space="preserve">年</w:t>
      </w:r>
      <w:r>
        <w:rPr>
          <w:rFonts w:ascii="仿宋" w:eastAsia="仿宋" w:hAnsi="仿宋" w:cs="仿宋" w:hint="eastAsia"/>
          <w:b w:val="0"/>
          <w:bCs w:val="0"/>
          <w:color w:val="auto"/>
          <w:highlight w:val="none"/>
          <w:lang w:val="en-US" w:eastAsia="zh-CN"/>
        </w:rPr>
        <w:t xml:space="preserve">4</w:t>
      </w:r>
      <w:r>
        <w:rPr>
          <w:rFonts w:ascii="仿宋" w:eastAsia="仿宋" w:hAnsi="仿宋" w:cs="仿宋" w:hint="eastAsia"/>
          <w:b w:val="0"/>
          <w:bCs w:val="0"/>
          <w:color w:val="auto"/>
          <w:highlight w:val="none"/>
        </w:rPr>
        <w:t xml:space="preserve">月</w:t>
      </w:r>
      <w:r>
        <w:rPr>
          <w:rFonts w:ascii="仿宋" w:eastAsia="仿宋" w:hAnsi="仿宋" w:cs="仿宋" w:hint="eastAsia"/>
          <w:b w:val="0"/>
          <w:bCs w:val="0"/>
          <w:color w:val="auto"/>
          <w:highlight w:val="none"/>
          <w:lang w:val="en-US" w:eastAsia="zh-CN"/>
        </w:rPr>
        <w:t xml:space="preserve">1</w:t>
      </w:r>
      <w:r>
        <w:rPr>
          <w:rFonts w:ascii="仿宋" w:eastAsia="仿宋" w:hAnsi="仿宋" w:cs="仿宋" w:hint="eastAsia"/>
          <w:b w:val="0"/>
          <w:bCs w:val="0"/>
          <w:color w:val="auto"/>
          <w:highlight w:val="none"/>
        </w:rPr>
        <w:t xml:space="preserve">日</w:t>
      </w:r>
    </w:p>
    <w:p>
      <w:pPr>
        <w:bidi w:val="0"/>
        <w:jc w:val="both"/>
        <w:rPr>
          <w:rFonts w:ascii="仿宋" w:eastAsia="仿宋" w:hAnsi="仿宋" w:cs="仿宋" w:hint="eastAsia"/>
          <w:b w:val="0"/>
          <w:bCs w:val="0"/>
          <w:color w:val="auto"/>
          <w:highlight w:val="none"/>
        </w:rPr>
      </w:pPr>
    </w:p>
    <w:p>
      <w:pPr>
        <w:bidi w:val="0"/>
        <w:jc w:val="both"/>
        <w:rPr>
          <w:rFonts w:ascii="仿宋" w:eastAsia="仿宋" w:hAnsi="仿宋" w:cs="仿宋" w:hint="eastAsia"/>
          <w:b w:val="0"/>
          <w:bCs w:val="0"/>
          <w:color w:val="auto"/>
          <w:highlight w:val="none"/>
        </w:rPr>
        <w:sectPr>
          <w:pgSz w:w="11906" w:h="16838" w:orient="portrait"/>
          <w:pgMar w:top="1440" w:right="1800" w:bottom="1440" w:left="1800" w:header="851" w:footer="992" w:gutter="0"/>
          <w:pgBorders/>
          <w:pgNumType w:start="1"/>
          <w:cols w:num="1" w:space="720">
            <w:col w:w="8306" w:space="720"/>
          </w:cols>
          <w:docGrid w:type="lines" w:linePitch="312" w:charSpace="0"/>
        </w:sectPr>
      </w:pPr>
    </w:p>
    <w:p>
      <w:pPr>
        <w:keepNext w:val="0"/>
        <w:keepLines w:val="0"/>
        <w:pageBreakBefore w:val="0"/>
        <w:kinsoku/>
        <w:wordWrap/>
        <w:overflowPunct/>
        <w:topLinePunct w:val="0"/>
        <w:autoSpaceDE/>
        <w:autoSpaceDN/>
        <w:bidi w:val="0"/>
        <w:adjustRightInd/>
        <w:snapToGrid/>
        <w:spacing w:after="0" w:line="580" w:lineRule="exact"/>
        <w:ind w:left="0" w:right="0" w:firstLine="0" w:leftChars="0" w:rightChars="0" w:firstLineChars="0"/>
        <w:jc w:val="center"/>
        <w:textAlignment w:val="auto"/>
        <w:rPr>
          <w:rFonts w:ascii="仿宋" w:eastAsia="仿宋" w:hAnsi="仿宋" w:cs="仿宋" w:hint="eastAsia"/>
          <w:b/>
          <w:bCs/>
          <w:sz w:val="32"/>
          <w:szCs w:val="32"/>
        </w:rPr>
      </w:pPr>
      <w:bookmarkStart w:id="5" w:name="_Toc18707"/>
      <w:bookmarkStart w:id="6" w:name="_Toc1891"/>
      <w:bookmarkStart w:id="7" w:name="_Toc5473"/>
      <w:bookmarkStart w:id="8" w:name="_Toc14721"/>
      <w:bookmarkStart w:id="9" w:name="_Toc15542"/>
      <w:bookmarkStart w:id="10" w:name="_Toc11827"/>
      <w:r>
        <w:rPr>
          <w:rFonts w:ascii="仿宋" w:eastAsia="仿宋" w:hAnsi="仿宋" w:cs="仿宋" w:hint="eastAsia"/>
          <w:b/>
          <w:bCs/>
          <w:sz w:val="32"/>
          <w:szCs w:val="32"/>
        </w:rPr>
        <w:t xml:space="preserve">目</w:t>
      </w:r>
      <w:r>
        <w:rPr>
          <w:rFonts w:ascii="仿宋" w:eastAsia="仿宋" w:hAnsi="仿宋" w:cs="仿宋" w:hint="eastAsia"/>
          <w:b/>
          <w:bCs/>
          <w:sz w:val="32"/>
          <w:szCs w:val="32"/>
          <w:lang w:val="en-US" w:eastAsia="zh-CN"/>
        </w:rPr>
        <w:t xml:space="preserve">  </w:t>
      </w:r>
      <w:r>
        <w:rPr>
          <w:rFonts w:ascii="仿宋" w:eastAsia="仿宋" w:hAnsi="仿宋" w:cs="仿宋" w:hint="eastAsia"/>
          <w:b/>
          <w:bCs/>
          <w:sz w:val="32"/>
          <w:szCs w:val="32"/>
        </w:rPr>
        <w:t xml:space="preserve">录</w:t>
      </w:r>
    </w:p>
    <w:p>
      <w:pPr>
        <w:pStyle w:val="WPSOffice手动目录1"/>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b w:val="0"/>
          <w:bCs/>
          <w:sz w:val="32"/>
          <w:szCs w:val="32"/>
        </w:rPr>
      </w:pP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TOC \o "1-2" \h \u</w:instrText>
      </w:r>
      <w:r>
        <w:rPr>
          <w:rFonts w:ascii="仿宋" w:eastAsia="仿宋" w:hAnsi="仿宋" w:cs="仿宋" w:hint="eastAsia"/>
          <w:sz w:val="32"/>
          <w:szCs w:val="32"/>
        </w:rPr>
        <w:fldChar w:fldCharType="separate"/>
      </w:r>
      <w:hyperlink w:anchor="_Toc5216" w:history="1">
        <w:r>
          <w:rPr>
            <w:rFonts w:ascii="仿宋" w:eastAsia="仿宋" w:hAnsi="仿宋" w:cs="仿宋" w:hint="eastAsia"/>
            <w:b w:val="0"/>
            <w:bCs/>
            <w:iCs/>
            <w:kern w:val="2"/>
            <w:sz w:val="32"/>
            <w:szCs w:val="32"/>
            <w:highlight w:val="none"/>
            <w:lang w:val="en-US" w:eastAsia="zh-CN" w:bidi="ar-SA"/>
          </w:rPr>
          <w:t xml:space="preserve">一、基本情况</w:t>
        </w:r>
        <w:r>
          <w:rPr>
            <w:rFonts w:ascii="仿宋" w:eastAsia="仿宋" w:hAnsi="仿宋" w:cs="仿宋" w:hint="eastAsia"/>
            <w:b w:val="0"/>
            <w:bCs/>
            <w:sz w:val="32"/>
            <w:szCs w:val="32"/>
          </w:rPr>
          <w:tab/>
        </w:r>
        <w:r>
          <w:rPr>
            <w:rFonts w:ascii="仿宋" w:eastAsia="仿宋" w:hAnsi="仿宋" w:cs="仿宋" w:hint="eastAsia"/>
            <w:b w:val="0"/>
            <w:bCs/>
            <w:sz w:val="32"/>
            <w:szCs w:val="32"/>
          </w:rPr>
          <w:fldChar w:fldCharType="begin"/>
        </w:r>
        <w:r>
          <w:rPr>
            <w:rFonts w:ascii="仿宋" w:eastAsia="仿宋" w:hAnsi="仿宋" w:cs="仿宋" w:hint="eastAsia"/>
            <w:b w:val="0"/>
            <w:bCs/>
            <w:sz w:val="32"/>
            <w:szCs w:val="32"/>
          </w:rPr>
          <w:instrText xml:space="preserve"> PAGEREF _Toc5216 \h </w:instrText>
        </w:r>
        <w:r>
          <w:rPr>
            <w:rFonts w:ascii="仿宋" w:eastAsia="仿宋" w:hAnsi="仿宋" w:cs="仿宋" w:hint="eastAsia"/>
            <w:b w:val="0"/>
            <w:bCs/>
            <w:sz w:val="32"/>
            <w:szCs w:val="32"/>
          </w:rPr>
          <w:fldChar w:fldCharType="separate"/>
        </w:r>
        <w:r>
          <w:rPr>
            <w:rFonts w:ascii="仿宋" w:eastAsia="仿宋" w:hAnsi="仿宋" w:cs="仿宋" w:hint="eastAsia"/>
            <w:b w:val="0"/>
            <w:bCs/>
            <w:sz w:val="32"/>
            <w:szCs w:val="32"/>
          </w:rPr>
          <w:t xml:space="preserve">1</w:t>
        </w:r>
        <w:r>
          <w:rPr>
            <w:rFonts w:ascii="仿宋" w:eastAsia="仿宋" w:hAnsi="仿宋" w:cs="仿宋" w:hint="eastAsia"/>
            <w:b w:val="0"/>
            <w:bCs/>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957" w:history="1">
        <w:r>
          <w:rPr>
            <w:rFonts w:ascii="仿宋" w:eastAsia="仿宋" w:hAnsi="仿宋" w:cs="仿宋" w:hint="eastAsia"/>
            <w:sz w:val="32"/>
            <w:szCs w:val="32"/>
            <w:highlight w:val="none"/>
          </w:rPr>
          <w:t xml:space="preserve">（一）项目概况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_Toc14957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520" w:history="1">
        <w:r>
          <w:rPr>
            <w:rFonts w:ascii="仿宋" w:eastAsia="仿宋" w:hAnsi="仿宋" w:cs="仿宋" w:hint="eastAsia"/>
            <w:sz w:val="32"/>
            <w:szCs w:val="32"/>
            <w:highlight w:val="none"/>
          </w:rPr>
          <w:t xml:space="preserve">（二）项目绩效目标</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_Toc2520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4</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15893" w:history="1">
        <w:r>
          <w:rPr>
            <w:rFonts w:ascii="仿宋" w:eastAsia="仿宋" w:hAnsi="仿宋" w:cs="仿宋" w:hint="eastAsia"/>
            <w:sz w:val="32"/>
            <w:szCs w:val="32"/>
            <w:highlight w:val="none"/>
          </w:rPr>
          <w:t xml:space="preserve">二、绩效评价工作开展情况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_Toc15893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7486" w:history="1">
        <w:r>
          <w:rPr>
            <w:rFonts w:ascii="仿宋" w:eastAsia="仿宋" w:hAnsi="仿宋" w:cs="仿宋" w:hint="eastAsia"/>
            <w:sz w:val="32"/>
            <w:szCs w:val="32"/>
            <w:highlight w:val="none"/>
          </w:rPr>
          <w:t xml:space="preserve">（一）绩效评价目的、对象和范围</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_Toc17486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7011" w:history="1">
        <w:r>
          <w:rPr>
            <w:rFonts w:ascii="仿宋" w:eastAsia="仿宋" w:hAnsi="仿宋" w:cs="仿宋" w:hint="eastAsia"/>
            <w:sz w:val="32"/>
            <w:szCs w:val="32"/>
            <w:highlight w:val="none"/>
          </w:rPr>
          <w:t xml:space="preserve">（二）绩效评价原则、评价指标体系、评价方法、评价标准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_Toc27011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2344" w:history="1">
        <w:r>
          <w:rPr>
            <w:rFonts w:ascii="仿宋" w:eastAsia="仿宋" w:hAnsi="仿宋" w:cs="仿宋" w:hint="eastAsia"/>
            <w:sz w:val="32"/>
            <w:szCs w:val="32"/>
            <w:highlight w:val="none"/>
          </w:rPr>
          <w:t xml:space="preserve">（三）绩效评价工作过程</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_Toc12344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4398" w:history="1">
        <w:r>
          <w:rPr>
            <w:rFonts w:ascii="仿宋" w:eastAsia="仿宋" w:hAnsi="仿宋" w:cs="仿宋" w:hint="eastAsia"/>
            <w:sz w:val="32"/>
            <w:szCs w:val="32"/>
            <w:highlight w:val="none"/>
          </w:rPr>
          <w:t xml:space="preserve">三、综合评价情况及评价结论</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_Toc24398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11</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2788" w:history="1">
        <w:r>
          <w:rPr>
            <w:rFonts w:ascii="仿宋" w:eastAsia="仿宋" w:hAnsi="仿宋" w:cs="仿宋" w:hint="eastAsia"/>
            <w:sz w:val="32"/>
            <w:szCs w:val="32"/>
            <w:highlight w:val="none"/>
          </w:rPr>
          <w:t xml:space="preserve">四、绩效评价指标分析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_Toc22788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12</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8607" w:history="1">
        <w:r>
          <w:rPr>
            <w:rFonts w:ascii="仿宋" w:eastAsia="仿宋" w:hAnsi="仿宋" w:cs="仿宋" w:hint="eastAsia"/>
            <w:sz w:val="32"/>
            <w:szCs w:val="32"/>
            <w:highlight w:val="none"/>
          </w:rPr>
          <w:t xml:space="preserve">（一）项目决策情况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_Toc8607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12</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6141" w:history="1">
        <w:r>
          <w:rPr>
            <w:rFonts w:ascii="仿宋" w:eastAsia="仿宋" w:hAnsi="仿宋" w:cs="仿宋" w:hint="eastAsia"/>
            <w:sz w:val="32"/>
            <w:szCs w:val="32"/>
            <w:highlight w:val="none"/>
          </w:rPr>
          <w:t xml:space="preserve">（二）项目过程情况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_Toc16141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14</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6306" w:history="1">
        <w:r>
          <w:rPr>
            <w:rFonts w:ascii="仿宋" w:eastAsia="仿宋" w:hAnsi="仿宋" w:cs="仿宋" w:hint="eastAsia"/>
            <w:sz w:val="32"/>
            <w:szCs w:val="32"/>
            <w:highlight w:val="none"/>
          </w:rPr>
          <w:t xml:space="preserve">（三）项目产出情况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_Toc16306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052" w:history="1">
        <w:r>
          <w:rPr>
            <w:rFonts w:ascii="仿宋" w:eastAsia="仿宋" w:hAnsi="仿宋" w:cs="仿宋" w:hint="eastAsia"/>
            <w:sz w:val="32"/>
            <w:szCs w:val="32"/>
            <w:highlight w:val="none"/>
          </w:rPr>
          <w:t xml:space="preserve">（四）项目效益情况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_Toc14052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16</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6687" w:history="1">
        <w:r>
          <w:rPr>
            <w:rFonts w:ascii="仿宋" w:eastAsia="仿宋" w:hAnsi="仿宋" w:cs="仿宋" w:hint="eastAsia"/>
            <w:sz w:val="32"/>
            <w:szCs w:val="32"/>
            <w:highlight w:val="none"/>
          </w:rPr>
          <w:t xml:space="preserve">五、主要经验及做法、存在的问题及原因分析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_Toc6687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696" w:history="1">
        <w:r>
          <w:rPr>
            <w:rFonts w:ascii="仿宋" w:eastAsia="仿宋" w:hAnsi="仿宋" w:cs="仿宋" w:hint="eastAsia"/>
            <w:sz w:val="32"/>
            <w:szCs w:val="32"/>
            <w:highlight w:val="none"/>
          </w:rPr>
          <w:t xml:space="preserve">（一）主要经验及做法</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_Toc14696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2095" w:history="1">
        <w:r>
          <w:rPr>
            <w:rFonts w:ascii="仿宋" w:eastAsia="仿宋" w:hAnsi="仿宋" w:cs="仿宋" w:hint="eastAsia"/>
            <w:sz w:val="32"/>
            <w:szCs w:val="32"/>
            <w:highlight w:val="none"/>
          </w:rPr>
          <w:t xml:space="preserve">（二）存在的问题及分析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_Toc22095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18</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0034" w:history="1">
        <w:r>
          <w:rPr>
            <w:rFonts w:ascii="仿宋" w:eastAsia="仿宋" w:hAnsi="仿宋" w:cs="仿宋" w:hint="eastAsia"/>
            <w:sz w:val="32"/>
            <w:szCs w:val="32"/>
            <w:highlight w:val="none"/>
          </w:rPr>
          <w:t xml:space="preserve">六、有关建议</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_Toc20034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18</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32163" w:history="1">
        <w:r>
          <w:rPr>
            <w:rFonts w:ascii="仿宋" w:eastAsia="仿宋" w:hAnsi="仿宋" w:cs="仿宋" w:hint="eastAsia"/>
            <w:bCs/>
            <w:iCs/>
            <w:sz w:val="32"/>
            <w:szCs w:val="32"/>
            <w:highlight w:val="none"/>
          </w:rPr>
          <w:t xml:space="preserve">七、其他需要说明的问题</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_Toc32163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4641" w:history="1">
        <w:r>
          <w:rPr>
            <w:rFonts w:ascii="仿宋" w:eastAsia="仿宋" w:hAnsi="仿宋" w:cs="仿宋" w:hint="eastAsia"/>
            <w:bCs/>
            <w:iCs/>
            <w:sz w:val="32"/>
            <w:szCs w:val="32"/>
            <w:highlight w:val="none"/>
          </w:rPr>
          <w:t xml:space="preserve">八、附件</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_Toc24641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728" w:history="1">
        <w:r>
          <w:rPr>
            <w:rFonts w:ascii="仿宋" w:eastAsia="仿宋" w:hAnsi="仿宋" w:cs="仿宋" w:hint="eastAsia"/>
            <w:bCs/>
            <w:iCs/>
            <w:sz w:val="32"/>
            <w:szCs w:val="32"/>
            <w:highlight w:val="none"/>
          </w:rPr>
          <w:t xml:space="preserve">附件1：</w:t>
        </w:r>
        <w:r>
          <w:rPr>
            <w:rFonts w:ascii="仿宋" w:eastAsia="仿宋" w:hAnsi="仿宋" w:cs="仿宋" w:hint="eastAsia"/>
            <w:sz w:val="32"/>
            <w:szCs w:val="32"/>
            <w:highlight w:val="none"/>
          </w:rPr>
          <w:t xml:space="preserve">项目支出绩效自评表</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_Toc728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20</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9645" w:history="1">
        <w:r>
          <w:rPr>
            <w:rFonts w:ascii="仿宋" w:eastAsia="仿宋" w:hAnsi="仿宋" w:cs="仿宋" w:hint="eastAsia"/>
            <w:sz w:val="32"/>
            <w:szCs w:val="32"/>
            <w:highlight w:val="none"/>
          </w:rPr>
          <w:t xml:space="preserve">附件2：项目支出绩效评价指标体系及评分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_Toc9645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22</w:t>
        </w:r>
        <w:r>
          <w:rPr>
            <w:rFonts w:ascii="仿宋" w:eastAsia="仿宋" w:hAnsi="仿宋" w:cs="仿宋" w:hint="eastAsia"/>
            <w:sz w:val="32"/>
            <w:szCs w:val="32"/>
          </w:rPr>
          <w:fldChar w:fldCharType="end"/>
        </w:r>
      </w:hyperlink>
    </w:p>
    <w:p>
      <w:pPr>
        <w:keepNext w:val="0"/>
        <w:keepLines w:val="0"/>
        <w:pageBreakBefore w:val="0"/>
        <w:kinsoku/>
        <w:wordWrap/>
        <w:overflowPunct/>
        <w:topLinePunct w:val="0"/>
        <w:autoSpaceDE/>
        <w:autoSpaceDN/>
        <w:bidi w:val="0"/>
        <w:adjustRightInd/>
        <w:snapToGrid/>
        <w:spacing w:before="0" w:beforeLines="0" w:after="0" w:afterLines="0" w:line="580" w:lineRule="exact"/>
        <w:textAlignment w:val="auto"/>
        <w:rPr>
          <w:rFonts w:ascii="仿宋" w:eastAsia="仿宋" w:hAnsi="仿宋" w:cs="仿宋" w:hint="eastAsia"/>
        </w:rPr>
      </w:pPr>
      <w:r>
        <w:rPr>
          <w:rFonts w:ascii="仿宋" w:eastAsia="仿宋" w:hAnsi="仿宋" w:cs="仿宋" w:hint="eastAsia"/>
          <w:b/>
          <w:sz w:val="32"/>
          <w:szCs w:val="32"/>
        </w:rPr>
        <w:fldChar w:fldCharType="end"/>
      </w:r>
    </w:p>
    <w:p>
      <w:pPr>
        <w:keepNext w:val="0"/>
        <w:keepLines w:val="0"/>
        <w:pageBreakBefore w:val="0"/>
        <w:widowControl w:val="0"/>
        <w:kinsoku/>
        <w:wordWrap/>
        <w:overflowPunct/>
        <w:topLinePunct w:val="0"/>
        <w:autoSpaceDE/>
        <w:autoSpaceDN/>
        <w:bidi w:val="0"/>
        <w:adjustRightInd/>
        <w:snapToGrid/>
        <w:spacing w:line="500" w:lineRule="exact"/>
        <w:jc w:val="both"/>
        <w:textAlignment w:val="auto"/>
        <w:outlineLvl w:val="0"/>
        <w:rPr>
          <w:rFonts w:ascii="仿宋" w:eastAsia="仿宋" w:hAnsi="仿宋" w:cs="仿宋" w:hint="eastAsia"/>
          <w:bCs/>
          <w:iCs/>
          <w:color w:val="auto"/>
          <w:kern w:val="2"/>
          <w:sz w:val="32"/>
          <w:szCs w:val="21"/>
          <w:highlight w:val="none"/>
          <w:lang w:val="en-US" w:eastAsia="zh-CN" w:bidi="ar-SA"/>
        </w:rPr>
        <w:sectPr>
          <w:footerReference w:type="default" r:id="rId3"/>
          <w:pgSz w:w="11906" w:h="16838" w:orient="portrait"/>
          <w:pgMar w:top="1440" w:right="1800" w:bottom="1440" w:left="1800" w:header="851" w:footer="992" w:gutter="0"/>
          <w:pgBorders/>
          <w:pgNumType w:fmt="decimal"/>
          <w:cols w:num="1" w:space="720">
            <w:col w:w="8306" w:space="720"/>
          </w:cols>
          <w:docGrid w:type="lines" w:linePitch="312" w:charSpace="0"/>
        </w:sectPr>
      </w:pPr>
      <w:bookmarkStart w:id="11" w:name="_Toc5216"/>
    </w:p>
    <w:p>
      <w:pPr>
        <w:keepNext w:val="0"/>
        <w:keepLines w:val="0"/>
        <w:pageBreakBefore w:val="0"/>
        <w:widowControl w:val="0"/>
        <w:kinsoku/>
        <w:wordWrap/>
        <w:overflowPunct/>
        <w:topLinePunct w:val="0"/>
        <w:autoSpaceDE/>
        <w:autoSpaceDN/>
        <w:bidi w:val="0"/>
        <w:adjustRightInd/>
        <w:snapToGrid/>
        <w:spacing w:line="500" w:lineRule="exact"/>
        <w:jc w:val="both"/>
        <w:textAlignment w:val="auto"/>
        <w:outlineLvl w:val="0"/>
        <w:rPr>
          <w:rFonts w:ascii="仿宋" w:eastAsia="仿宋" w:hAnsi="仿宋" w:cs="仿宋" w:hint="eastAsia"/>
          <w:bCs/>
          <w:iCs/>
          <w:color w:val="auto"/>
          <w:kern w:val="2"/>
          <w:sz w:val="32"/>
          <w:szCs w:val="21"/>
          <w:highlight w:val="none"/>
          <w:lang w:val="en-US" w:eastAsia="zh-CN" w:bidi="ar-SA"/>
        </w:rPr>
      </w:pPr>
      <w:r>
        <w:rPr>
          <w:rFonts w:ascii="仿宋" w:eastAsia="仿宋" w:hAnsi="仿宋" w:cs="仿宋" w:hint="eastAsia"/>
          <w:bCs/>
          <w:iCs/>
          <w:color w:val="auto"/>
          <w:kern w:val="2"/>
          <w:sz w:val="32"/>
          <w:szCs w:val="21"/>
          <w:highlight w:val="none"/>
          <w:lang w:val="en-US" w:eastAsia="zh-CN" w:bidi="ar-SA"/>
        </w:rPr>
        <w:t xml:space="preserve">一、基本情况</w:t>
      </w:r>
      <w:bookmarkEnd w:id="5"/>
      <w:bookmarkEnd w:id="6"/>
      <w:bookmarkEnd w:id="7"/>
      <w:bookmarkEnd w:id="8"/>
      <w:bookmarkEnd w:id="9"/>
      <w:bookmarkEnd w:id="10"/>
      <w:bookmarkEnd w:id="11"/>
      <w:bookmarkStart w:id="12" w:name="_Toc27593"/>
    </w:p>
    <w:p>
      <w:pPr>
        <w:pStyle w:val="Heading3"/>
        <w:bidi w:val="0"/>
        <w:jc w:val="both"/>
        <w:outlineLvl w:val="1"/>
        <w:rPr>
          <w:rFonts w:ascii="仿宋" w:eastAsia="仿宋" w:hAnsi="仿宋" w:cs="仿宋" w:hint="eastAsia"/>
          <w:color w:val="auto"/>
          <w:highlight w:val="none"/>
        </w:rPr>
      </w:pPr>
      <w:bookmarkStart w:id="13" w:name="_Toc9236"/>
      <w:bookmarkStart w:id="14" w:name="_Toc14957"/>
      <w:bookmarkStart w:id="15" w:name="_Toc24706"/>
      <w:bookmarkStart w:id="16" w:name="_Toc26183"/>
      <w:bookmarkStart w:id="17" w:name="_Toc24048"/>
      <w:r>
        <w:rPr>
          <w:rFonts w:ascii="仿宋" w:eastAsia="仿宋" w:hAnsi="仿宋" w:cs="仿宋" w:hint="eastAsia"/>
          <w:color w:val="auto"/>
          <w:highlight w:val="none"/>
        </w:rPr>
        <w:t xml:space="preserve">（一）项目概况</w:t>
      </w:r>
      <w:bookmarkEnd w:id="12"/>
      <w:bookmarkEnd w:id="13"/>
      <w:bookmarkEnd w:id="14"/>
      <w:bookmarkEnd w:id="15"/>
      <w:bookmarkEnd w:id="16"/>
      <w:bookmarkEnd w:id="17"/>
    </w:p>
    <w:p>
      <w:pPr>
        <w:bidi w:val="0"/>
        <w:jc w:val="both"/>
        <w:rPr>
          <w:rFonts w:ascii="仿宋" w:eastAsia="仿宋" w:hAnsi="仿宋" w:cs="仿宋" w:hint="eastAsia"/>
          <w:b/>
          <w:bCs/>
          <w:color w:val="auto"/>
          <w:highlight w:val="none"/>
        </w:rPr>
      </w:pPr>
      <w:bookmarkStart w:id="18" w:name="_Toc19984"/>
      <w:bookmarkStart w:id="19" w:name="_Toc11427"/>
      <w:r>
        <w:rPr>
          <w:rFonts w:ascii="仿宋" w:eastAsia="仿宋" w:hAnsi="仿宋" w:cs="仿宋" w:hint="eastAsia"/>
          <w:b/>
          <w:bCs/>
          <w:color w:val="auto"/>
          <w:highlight w:val="none"/>
        </w:rPr>
        <w:t xml:space="preserve">1.项目背景</w:t>
      </w:r>
      <w:bookmarkEnd w:id="18"/>
      <w:bookmarkEnd w:id="19"/>
    </w:p>
    <w:p>
      <w:pPr>
        <w:bidi w:val="0"/>
        <w:jc w:val="both"/>
        <w:rPr>
          <w:rFonts w:ascii="仿宋" w:eastAsia="仿宋" w:hAnsi="仿宋" w:cs="仿宋" w:hint="eastAsia"/>
          <w:color w:val="auto"/>
          <w:highlight w:val="none"/>
          <w:lang w:val="en-US" w:eastAsia="zh-CN"/>
        </w:rPr>
      </w:pPr>
      <w:bookmarkStart w:id="20" w:name="_Toc22216"/>
      <w:r>
        <w:rPr>
          <w:rFonts w:ascii="仿宋" w:eastAsia="仿宋" w:hAnsi="仿宋" w:cs="仿宋" w:hint="eastAsia"/>
          <w:color w:val="auto"/>
          <w:highlight w:val="none"/>
          <w:lang w:val="en-US" w:eastAsia="zh-CN"/>
        </w:rPr>
        <w:t xml:space="preserve">党的十八大以来，中央连续多年将基层农技推广体系改革写入"一号文件"。2023年农业农村部印发《关于加快推进基层农技推广体系改革发展的指导意见》，明确提出"到2025年基本建成适应现代农业发展的新型农技推广体系"。新疆作为国家重要的农产品生产基地，尉犁县承担着棉花、特色林果等战略物资的稳产保供任务。农业农村部2023年提出的基层农技推广体系要强化公益性服务功能的要求，明确要求各地围绕粮油作物单产提升、农业科技社会化服务等核心任务深化改革。</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尉犁县地处塔里木盆地东北缘，县域耕地面积128万亩，棉花种植占比超70%，是新疆优质棉主产区。但当前面临单产提升瓶颈，2022年皮棉单产150公斤/亩，低于全疆先进地区10%以上。传统农技服务存在"三低"现象：技术到位率低（不足60%）、服务覆盖率低（仅涵盖45%新型经营主体）、技术集成度低（单项技术推广为主）。特别是在节水灌溉、智慧农机、绿色防控等关键技术领域，存在推广机制僵化、服务能力滞后等问题，严重制约现代农业转型升级。</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为深入贯彻中央一号文件精神，落实《巴州2024年基层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技推广体系改革与建设项目实施方案》</w:t>
      </w:r>
      <w:r>
        <w:rPr>
          <w:rFonts w:ascii="仿宋" w:eastAsia="仿宋" w:hAnsi="仿宋" w:cs="仿宋" w:hint="eastAsia"/>
          <w:b w:val="0"/>
          <w:bCs w:val="0"/>
          <w:color w:val="auto"/>
          <w:highlight w:val="none"/>
          <w:lang w:val="en-US" w:eastAsia="zh-CN"/>
        </w:rPr>
        <w:t xml:space="preserve">〔2023〕57号）</w:t>
      </w:r>
      <w:r>
        <w:rPr>
          <w:rFonts w:ascii="仿宋" w:eastAsia="仿宋" w:hAnsi="仿宋" w:cs="仿宋" w:hint="eastAsia"/>
          <w:color w:val="auto"/>
          <w:highlight w:val="none"/>
          <w:lang w:val="en-US" w:eastAsia="zh-CN"/>
        </w:rPr>
        <w:t xml:space="preserve">要求，加快推动先进适用技术进村入户到田、充分发挥农业科技实验示范引导作用、权利提升农技推广队伍能力素质、加快提升农技推广信息水平。项目的实施，正是落实国家《"十四五"农业农村科技发展规划》的具体实践，通过改革破解农技服务"</w:t>
      </w:r>
      <w:r>
        <w:rPr>
          <w:rFonts w:ascii="仿宋" w:eastAsia="仿宋" w:hAnsi="仿宋" w:cs="仿宋" w:hint="eastAsia"/>
          <w:color w:val="auto"/>
          <w:highlight w:val="none"/>
          <w:lang w:val="en-US" w:eastAsia="zh-CN"/>
        </w:rPr>
        <w:t xml:space="preserve">“最后一公里”</w:t>
      </w:r>
      <w:r>
        <w:rPr>
          <w:rFonts w:ascii="仿宋" w:eastAsia="仿宋" w:hAnsi="仿宋" w:cs="仿宋" w:hint="eastAsia"/>
          <w:color w:val="auto"/>
          <w:highlight w:val="none"/>
          <w:lang w:val="en-US" w:eastAsia="zh-CN"/>
        </w:rPr>
        <w:t xml:space="preserve">"难题，强化科技对现代农业的支撑作用。尉犁县基层农技推广体系改革既是落实国家战略的必然要求，也是破解区域发展难题的现实需要，更是实现农业现代化、促进乡村振兴的关键举措。通过体制机制创新、服务能力提升、数字技术赋能，打造南疆农技推广体系改革的示范样板，为新疆农业农村现代化提供可复制推广的经验。</w:t>
      </w:r>
    </w:p>
    <w:p>
      <w:pPr>
        <w:bidi w:val="0"/>
        <w:jc w:val="both"/>
        <w:rPr>
          <w:rFonts w:ascii="仿宋" w:eastAsia="仿宋" w:hAnsi="仿宋" w:cs="仿宋" w:hint="eastAsia"/>
          <w:b/>
          <w:bCs/>
          <w:color w:val="auto"/>
          <w:highlight w:val="none"/>
        </w:rPr>
      </w:pPr>
      <w:bookmarkStart w:id="21" w:name="_Toc22079"/>
      <w:r>
        <w:rPr>
          <w:rFonts w:ascii="仿宋" w:eastAsia="仿宋" w:hAnsi="仿宋" w:cs="仿宋" w:hint="eastAsia"/>
          <w:b/>
          <w:bCs/>
          <w:color w:val="auto"/>
          <w:highlight w:val="none"/>
        </w:rPr>
        <w:t xml:space="preserve">2.项目主要内容</w:t>
      </w:r>
      <w:bookmarkEnd w:id="20"/>
      <w:bookmarkEnd w:id="21"/>
    </w:p>
    <w:p>
      <w:pPr>
        <w:bidi w:val="0"/>
        <w:jc w:val="both"/>
        <w:rPr>
          <w:rFonts w:ascii="仿宋" w:eastAsia="仿宋" w:hAnsi="仿宋" w:cs="仿宋" w:hint="eastAsia"/>
          <w:color w:val="auto"/>
          <w:highlight w:val="none"/>
        </w:rPr>
      </w:pPr>
      <w:bookmarkStart w:id="22" w:name="_Toc21529"/>
      <w:r>
        <w:rPr>
          <w:rFonts w:ascii="仿宋" w:eastAsia="仿宋" w:hAnsi="仿宋" w:cs="仿宋" w:hint="eastAsia"/>
          <w:color w:val="auto"/>
          <w:highlight w:val="none"/>
          <w:lang w:val="en-US" w:eastAsia="zh-CN"/>
        </w:rPr>
        <w:t xml:space="preserve">推介一批主导品种和农业先进适用主推技术，主推技术到位率达到95%以上；打造2个标杆现代农业科技试验示范基地，每个基地直接联系农户不少于10户，开展技术观摩学习不少于200人次；培育科技示范主体40个；组织50名基层农技人员接受连续不少于5天的知识更新培训，遴选技术骨干参加自治州、自治区级培训；招募特聘农技员35名，充实基层农技推广队伍。</w:t>
      </w:r>
    </w:p>
    <w:p>
      <w:pPr>
        <w:bidi w:val="0"/>
        <w:jc w:val="both"/>
        <w:rPr>
          <w:rFonts w:ascii="仿宋" w:eastAsia="仿宋" w:hAnsi="仿宋" w:cs="仿宋" w:hint="eastAsia"/>
          <w:b/>
          <w:bCs/>
          <w:color w:val="auto"/>
          <w:highlight w:val="none"/>
        </w:rPr>
      </w:pPr>
      <w:bookmarkStart w:id="23" w:name="_Toc31519"/>
      <w:r>
        <w:rPr>
          <w:rFonts w:ascii="仿宋" w:eastAsia="仿宋" w:hAnsi="仿宋" w:cs="仿宋" w:hint="eastAsia"/>
          <w:b/>
          <w:bCs/>
          <w:color w:val="auto"/>
          <w:highlight w:val="none"/>
        </w:rPr>
        <w:t xml:space="preserve">3.项目实施情况</w:t>
      </w:r>
      <w:bookmarkEnd w:id="22"/>
      <w:bookmarkEnd w:id="23"/>
      <w:bookmarkStart w:id="24" w:name="_Toc20138"/>
    </w:p>
    <w:p>
      <w:pPr>
        <w:bidi w:val="0"/>
        <w:jc w:val="both"/>
        <w:rPr>
          <w:rFonts w:ascii="仿宋" w:eastAsia="仿宋" w:hAnsi="仿宋" w:cs="仿宋" w:hint="eastAsia"/>
          <w:b w:val="0"/>
          <w:bCs w:val="0"/>
          <w:color w:val="auto"/>
          <w:highlight w:val="none"/>
        </w:rPr>
      </w:pPr>
      <w:bookmarkStart w:id="25" w:name="_Toc1111"/>
      <w:r>
        <w:rPr>
          <w:rFonts w:ascii="仿宋" w:eastAsia="仿宋" w:hAnsi="仿宋" w:cs="仿宋" w:hint="eastAsia"/>
          <w:b w:val="0"/>
          <w:bCs w:val="0"/>
          <w:color w:val="auto"/>
          <w:highlight w:val="none"/>
        </w:rPr>
        <w:t xml:space="preserve">2024年，农业农村局组织8个技术服务组，包村联户农技指导员联系村49个行政村，覆盖率为98%。招募农技特聘人员35人，服务科技示范户100户，其中小麦50户，棉花50户，辐射带动周边400户农户增收。推介发布尉犁县年度主导品种6个、农业主推技术4项。围绕我县主栽经济作物棉花和冬小麦、青贮玉米、蔬菜等特色产业，建立农业科技示范基地2个。</w:t>
      </w:r>
      <w:r>
        <w:rPr>
          <w:rFonts w:ascii="仿宋" w:eastAsia="仿宋" w:hAnsi="仿宋" w:cs="仿宋" w:hint="eastAsia"/>
          <w:b w:val="0"/>
          <w:bCs w:val="0"/>
          <w:color w:val="auto"/>
          <w:highlight w:val="none"/>
          <w:lang w:eastAsia="zh-CN"/>
        </w:rPr>
        <w:t xml:space="preserve">举办</w:t>
      </w:r>
      <w:r>
        <w:rPr>
          <w:rFonts w:ascii="仿宋" w:eastAsia="仿宋" w:hAnsi="仿宋" w:cs="仿宋" w:hint="eastAsia"/>
          <w:b w:val="0"/>
          <w:bCs w:val="0"/>
          <w:color w:val="auto"/>
          <w:highlight w:val="none"/>
          <w:lang w:val="en-US" w:eastAsia="zh-CN"/>
        </w:rPr>
        <w:t xml:space="preserve">5天50名基层农技人员能力提升培训，</w:t>
      </w:r>
      <w:r>
        <w:rPr>
          <w:rFonts w:ascii="仿宋" w:eastAsia="仿宋" w:hAnsi="仿宋" w:cs="仿宋" w:hint="eastAsia"/>
          <w:b w:val="0"/>
          <w:bCs w:val="0"/>
          <w:color w:val="auto"/>
          <w:highlight w:val="none"/>
        </w:rPr>
        <w:t xml:space="preserve">县级组织90余名农技人员于本县田间地头不定期培训10场次1300人次，遴选10名农技骨干人员到内地参加学习培训，15名农技骨干人员参加省级、自治州级能力提升培训。</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4.资金投入情况</w:t>
      </w:r>
      <w:bookmarkEnd w:id="24"/>
      <w:bookmarkEnd w:id="25"/>
    </w:p>
    <w:p>
      <w:pPr>
        <w:bidi w:val="0"/>
        <w:jc w:val="both"/>
        <w:rPr>
          <w:rFonts w:ascii="仿宋" w:eastAsia="仿宋" w:hAnsi="仿宋" w:cs="仿宋" w:hint="eastAsia"/>
          <w:color w:val="auto"/>
          <w:highlight w:val="none"/>
          <w:lang w:eastAsia="zh-CN"/>
        </w:rPr>
      </w:pPr>
      <w:bookmarkStart w:id="26" w:name="_Toc7324"/>
      <w:r>
        <w:rPr>
          <w:rFonts w:ascii="仿宋" w:eastAsia="仿宋" w:hAnsi="仿宋" w:cs="仿宋" w:hint="eastAsia"/>
          <w:color w:val="auto"/>
          <w:highlight w:val="none"/>
        </w:rPr>
        <w:t xml:space="preserve">根据</w:t>
      </w:r>
      <w:r>
        <w:rPr>
          <w:rFonts w:ascii="仿宋" w:eastAsia="仿宋" w:hAnsi="仿宋" w:cs="仿宋" w:hint="eastAsia"/>
          <w:color w:val="auto"/>
          <w:highlight w:val="none"/>
          <w:lang w:val="en-US" w:eastAsia="zh-CN"/>
        </w:rPr>
        <w:t xml:space="preserve">《巴州2024年基层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技推广体系改革与建设项目实施方案》</w:t>
      </w:r>
      <w:r>
        <w:rPr>
          <w:rFonts w:ascii="仿宋" w:eastAsia="仿宋" w:hAnsi="仿宋" w:cs="仿宋" w:hint="eastAsia"/>
          <w:b w:val="0"/>
          <w:bCs w:val="0"/>
          <w:color w:val="auto"/>
          <w:highlight w:val="none"/>
          <w:lang w:val="en-US" w:eastAsia="zh-CN"/>
        </w:rPr>
        <w:t xml:space="preserve">〔2023〕57号）</w:t>
      </w:r>
      <w:r>
        <w:rPr>
          <w:rFonts w:ascii="仿宋" w:eastAsia="仿宋" w:hAnsi="仿宋" w:cs="仿宋" w:hint="eastAsia"/>
          <w:color w:val="auto"/>
          <w:highlight w:val="none"/>
        </w:rPr>
        <w:t xml:space="preserve">，下</w:t>
      </w:r>
      <w:r>
        <w:rPr>
          <w:rFonts w:ascii="仿宋" w:eastAsia="仿宋" w:hAnsi="仿宋" w:cs="仿宋" w:hint="eastAsia"/>
          <w:color w:val="auto"/>
          <w:highlight w:val="none"/>
          <w:lang w:eastAsia="zh-CN"/>
        </w:rPr>
        <w:t xml:space="preserve">达</w:t>
      </w:r>
      <w:r>
        <w:rPr>
          <w:rFonts w:ascii="仿宋" w:eastAsia="仿宋" w:hAnsi="仿宋" w:cs="仿宋" w:hint="eastAsia"/>
          <w:color w:val="auto"/>
          <w:highlight w:val="none"/>
          <w:lang w:val="en-US" w:eastAsia="zh-CN"/>
        </w:rPr>
        <w:t xml:space="preserve">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w:t>
      </w:r>
      <w:r>
        <w:rPr>
          <w:rFonts w:ascii="仿宋" w:eastAsia="仿宋" w:hAnsi="仿宋" w:cs="仿宋" w:hint="eastAsia"/>
          <w:color w:val="auto"/>
          <w:highlight w:val="none"/>
        </w:rPr>
        <w:t xml:space="preserve">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万元。其中用于提升基层农技推广队伍素质能力7.</w:t>
      </w:r>
      <w:r>
        <w:rPr>
          <w:rFonts w:ascii="仿宋" w:eastAsia="仿宋" w:hAnsi="仿宋" w:cs="仿宋" w:hint="eastAsia"/>
          <w:color w:val="auto"/>
          <w:highlight w:val="none"/>
          <w:lang w:val="en-US" w:eastAsia="zh-CN"/>
        </w:rPr>
        <w:t xml:space="preserve">60</w:t>
      </w:r>
      <w:r>
        <w:rPr>
          <w:rFonts w:ascii="仿宋" w:eastAsia="仿宋" w:hAnsi="仿宋" w:cs="仿宋" w:hint="eastAsia"/>
          <w:color w:val="auto"/>
          <w:highlight w:val="none"/>
        </w:rPr>
        <w:t xml:space="preserve">万元，打造农业科技示范基地及培育科技示范户物化补贴</w:t>
      </w:r>
      <w:r>
        <w:rPr>
          <w:rFonts w:ascii="仿宋" w:eastAsia="仿宋" w:hAnsi="仿宋" w:cs="仿宋" w:hint="eastAsia"/>
          <w:color w:val="auto"/>
          <w:highlight w:val="none"/>
          <w:lang w:val="en-US" w:eastAsia="zh-CN"/>
        </w:rPr>
        <w:t xml:space="preserve">59.40</w:t>
      </w:r>
      <w:r>
        <w:rPr>
          <w:rFonts w:ascii="仿宋" w:eastAsia="仿宋" w:hAnsi="仿宋" w:cs="仿宋" w:hint="eastAsia"/>
          <w:color w:val="auto"/>
          <w:highlight w:val="none"/>
        </w:rPr>
        <w:t xml:space="preserve">万元，宣传制作、项目管理、组织各类活动等相关经费3.</w:t>
      </w:r>
      <w:r>
        <w:rPr>
          <w:rFonts w:ascii="仿宋" w:eastAsia="仿宋" w:hAnsi="仿宋" w:cs="仿宋" w:hint="eastAsia"/>
          <w:color w:val="auto"/>
          <w:highlight w:val="none"/>
          <w:lang w:val="en-US" w:eastAsia="zh-CN"/>
        </w:rPr>
        <w:t xml:space="preserve">80</w:t>
      </w:r>
      <w:r>
        <w:rPr>
          <w:rFonts w:ascii="仿宋" w:eastAsia="仿宋" w:hAnsi="仿宋" w:cs="仿宋" w:hint="eastAsia"/>
          <w:color w:val="auto"/>
          <w:highlight w:val="none"/>
        </w:rPr>
        <w:t xml:space="preserve"> 万元，实施村特聘计划33.6万元</w:t>
      </w:r>
      <w:bookmarkStart w:id="27" w:name="_Toc10837"/>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实施尉犁县2024年基层农技</w:t>
      </w:r>
      <w:r>
        <w:rPr>
          <w:rFonts w:ascii="仿宋" w:eastAsia="仿宋" w:hAnsi="仿宋" w:cs="仿宋" w:hint="eastAsia"/>
          <w:b w:val="0"/>
          <w:bCs w:val="0"/>
          <w:color w:val="auto"/>
          <w:highlight w:val="none"/>
          <w:lang w:val="en-US" w:eastAsia="zh-CN"/>
        </w:rPr>
        <w:t xml:space="preserve">推广体系改革与建设项目</w:t>
      </w:r>
      <w:r>
        <w:rPr>
          <w:rFonts w:ascii="仿宋" w:eastAsia="仿宋" w:hAnsi="仿宋" w:cs="仿宋" w:hint="eastAsia"/>
          <w:color w:val="auto"/>
          <w:highlight w:val="none"/>
          <w:lang w:val="en-US" w:eastAsia="zh-CN"/>
        </w:rPr>
        <w:t xml:space="preserve">投入104.4万元，资金来源为</w:t>
      </w:r>
      <w:r>
        <w:rPr>
          <w:rFonts w:ascii="仿宋" w:eastAsia="仿宋" w:hAnsi="仿宋" w:cs="仿宋" w:hint="eastAsia"/>
          <w:lang w:val="en-US" w:eastAsia="zh-CN"/>
        </w:rPr>
        <w:t xml:space="preserve">中央补助</w:t>
      </w:r>
      <w:r>
        <w:rPr>
          <w:rFonts w:ascii="仿宋" w:eastAsia="仿宋" w:hAnsi="仿宋" w:cs="仿宋" w:hint="eastAsia"/>
          <w:color w:val="auto"/>
          <w:highlight w:val="none"/>
          <w:lang w:val="en-US" w:eastAsia="zh-CN"/>
        </w:rPr>
        <w:t xml:space="preserve">资金。</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5.资金使用情况</w:t>
      </w:r>
      <w:bookmarkEnd w:id="26"/>
      <w:bookmarkEnd w:id="2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2024</w:t>
      </w:r>
      <w:r>
        <w:rPr>
          <w:rFonts w:ascii="仿宋" w:eastAsia="仿宋" w:hAnsi="仿宋" w:cs="仿宋" w:hint="eastAsia"/>
          <w:color w:val="auto"/>
          <w:sz w:val="32"/>
          <w:szCs w:val="32"/>
          <w:highlight w:val="none"/>
          <w:lang w:eastAsia="zh-CN"/>
        </w:rPr>
        <w:t xml:space="preserve">年初预算数</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实际到位资金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截止202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年12月31日</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项目实际使用资金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万元，资金</w:t>
      </w:r>
      <w:r>
        <w:rPr>
          <w:rFonts w:ascii="仿宋" w:eastAsia="仿宋" w:hAnsi="仿宋" w:cs="仿宋" w:hint="eastAsia"/>
          <w:color w:val="auto"/>
          <w:highlight w:val="none"/>
          <w:lang w:val="en-US" w:eastAsia="zh-CN"/>
        </w:rPr>
        <w:t xml:space="preserve">使用</w:t>
      </w:r>
      <w:r>
        <w:rPr>
          <w:rFonts w:ascii="仿宋" w:eastAsia="仿宋" w:hAnsi="仿宋" w:cs="仿宋" w:hint="eastAsia"/>
          <w:color w:val="auto"/>
          <w:highlight w:val="none"/>
        </w:rPr>
        <w:t xml:space="preserve">率达到了</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%。具体资金支付情况：</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09</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25</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99.78</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10</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29</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0.95</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01</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1.22</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26</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2.45</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pStyle w:val="Heading3"/>
        <w:bidi w:val="0"/>
        <w:jc w:val="both"/>
        <w:outlineLvl w:val="1"/>
        <w:rPr>
          <w:rFonts w:ascii="仿宋" w:eastAsia="仿宋" w:hAnsi="仿宋" w:cs="仿宋" w:hint="eastAsia"/>
          <w:color w:val="auto"/>
          <w:highlight w:val="none"/>
        </w:rPr>
      </w:pPr>
      <w:bookmarkStart w:id="28" w:name="_Toc9567"/>
      <w:bookmarkStart w:id="29" w:name="_Toc14296"/>
      <w:bookmarkStart w:id="30" w:name="_Toc2520"/>
      <w:bookmarkStart w:id="31" w:name="_Toc26395"/>
      <w:bookmarkStart w:id="32" w:name="_Toc11967"/>
      <w:bookmarkStart w:id="33" w:name="_Toc31302"/>
      <w:r>
        <w:rPr>
          <w:rFonts w:ascii="仿宋" w:eastAsia="仿宋" w:hAnsi="仿宋" w:cs="仿宋" w:hint="eastAsia"/>
          <w:color w:val="auto"/>
          <w:highlight w:val="none"/>
        </w:rPr>
        <w:t xml:space="preserve">（二）项目绩效目标</w:t>
      </w:r>
      <w:bookmarkEnd w:id="28"/>
      <w:bookmarkEnd w:id="29"/>
      <w:bookmarkEnd w:id="30"/>
      <w:bookmarkEnd w:id="31"/>
      <w:bookmarkEnd w:id="32"/>
      <w:bookmarkEnd w:id="33"/>
    </w:p>
    <w:p>
      <w:pPr>
        <w:bidi w:val="0"/>
        <w:jc w:val="both"/>
        <w:rPr>
          <w:rFonts w:ascii="仿宋" w:eastAsia="仿宋" w:hAnsi="仿宋" w:cs="仿宋" w:hint="eastAsia"/>
          <w:b/>
          <w:bCs/>
          <w:color w:val="auto"/>
          <w:highlight w:val="none"/>
        </w:rPr>
      </w:pPr>
      <w:bookmarkStart w:id="34" w:name="_Toc18809"/>
      <w:bookmarkStart w:id="35" w:name="_Toc905"/>
      <w:r>
        <w:rPr>
          <w:rFonts w:ascii="仿宋" w:eastAsia="仿宋" w:hAnsi="仿宋" w:cs="仿宋" w:hint="eastAsia"/>
          <w:b/>
          <w:bCs/>
          <w:color w:val="auto"/>
          <w:highlight w:val="none"/>
        </w:rPr>
        <w:t xml:space="preserve">1.总体目标</w:t>
      </w:r>
      <w:bookmarkEnd w:id="34"/>
      <w:bookmarkEnd w:id="35"/>
    </w:p>
    <w:p>
      <w:pPr>
        <w:bidi w:val="0"/>
        <w:jc w:val="both"/>
        <w:rPr>
          <w:rFonts w:ascii="仿宋" w:eastAsia="仿宋" w:hAnsi="仿宋" w:cs="仿宋" w:hint="eastAsia"/>
          <w:color w:val="auto"/>
          <w:highlight w:val="none"/>
          <w:lang w:eastAsia="zh-CN"/>
        </w:rPr>
      </w:pPr>
      <w:bookmarkStart w:id="36" w:name="_Toc10045"/>
      <w:r>
        <w:rPr>
          <w:rFonts w:ascii="仿宋" w:eastAsia="仿宋" w:hAnsi="仿宋" w:cs="仿宋" w:hint="eastAsia"/>
          <w:color w:val="auto"/>
          <w:highlight w:val="none"/>
          <w:lang w:eastAsia="zh-CN"/>
        </w:rPr>
        <w:t xml:space="preserve">推广一批农业先进适用主推技术,建设 2个农业科技示范展示基地,农业主推技术到位率达到95%以上,农业科技示范主体抽样满意度超过 9</w:t>
      </w:r>
      <w:r>
        <w:rPr>
          <w:rFonts w:ascii="仿宋" w:eastAsia="仿宋" w:hAnsi="仿宋" w:cs="仿宋" w:hint="eastAsia"/>
          <w:color w:val="auto"/>
          <w:highlight w:val="none"/>
          <w:lang w:val="en-US" w:eastAsia="zh-CN"/>
        </w:rPr>
        <w:t xml:space="preserve">0</w:t>
      </w:r>
      <w:r>
        <w:rPr>
          <w:rFonts w:ascii="仿宋" w:eastAsia="仿宋" w:hAnsi="仿宋" w:cs="仿宋" w:hint="eastAsia"/>
          <w:color w:val="auto"/>
          <w:highlight w:val="none"/>
          <w:lang w:eastAsia="zh-CN"/>
        </w:rPr>
        <w:t xml:space="preserve">%。 对我县县、乡两级技术人员37名以上在编在岗基层农技人员开展知识更新培训,培育50名以上业务精通、服务优良的农技推广骨干人才。招募35名以上特聘农技员，重点开展技术、设施、营销等技术服务, 发挥科技帮扶作用。</w:t>
      </w:r>
    </w:p>
    <w:p>
      <w:pPr>
        <w:bidi w:val="0"/>
        <w:jc w:val="both"/>
        <w:rPr>
          <w:rFonts w:ascii="仿宋" w:eastAsia="仿宋" w:hAnsi="仿宋" w:cs="仿宋" w:hint="eastAsia"/>
          <w:b/>
          <w:bCs/>
          <w:color w:val="auto"/>
          <w:highlight w:val="none"/>
        </w:rPr>
      </w:pPr>
      <w:bookmarkStart w:id="37" w:name="_Toc11195"/>
      <w:r>
        <w:rPr>
          <w:rFonts w:ascii="仿宋" w:eastAsia="仿宋" w:hAnsi="仿宋" w:cs="仿宋" w:hint="eastAsia"/>
          <w:b/>
          <w:bCs/>
          <w:color w:val="auto"/>
          <w:highlight w:val="none"/>
        </w:rPr>
        <w:t xml:space="preserve">2.阶段性目标</w:t>
      </w:r>
      <w:bookmarkEnd w:id="36"/>
      <w:bookmarkEnd w:id="37"/>
    </w:p>
    <w:p>
      <w:pPr>
        <w:bidi w:val="0"/>
        <w:rPr>
          <w:rFonts w:ascii="仿宋" w:eastAsia="仿宋" w:hAnsi="仿宋" w:cs="仿宋" w:hint="eastAsia"/>
        </w:rPr>
      </w:pPr>
      <w:bookmarkStart w:id="38" w:name="_Toc25321"/>
      <w:bookmarkStart w:id="39" w:name="_Toc857"/>
      <w:r>
        <w:rPr>
          <w:rFonts w:ascii="仿宋" w:eastAsia="仿宋" w:hAnsi="仿宋" w:cs="仿宋" w:hint="eastAsia"/>
          <w:lang w:val="en-US" w:eastAsia="zh-CN"/>
        </w:rPr>
        <w:t xml:space="preserve">（1）实施农技推广服务特聘计划。按照历年来基层农技推广体系建设与改革项目村级特聘员的补助标准800元/月，</w:t>
      </w:r>
      <w:r>
        <w:rPr>
          <w:rFonts w:ascii="仿宋" w:eastAsia="仿宋" w:hAnsi="仿宋" w:cs="仿宋" w:hint="eastAsia"/>
        </w:rPr>
        <w:t xml:space="preserve">对</w:t>
      </w:r>
      <w:r>
        <w:rPr>
          <w:rFonts w:ascii="仿宋" w:eastAsia="仿宋" w:hAnsi="仿宋" w:cs="仿宋" w:hint="eastAsia"/>
          <w:lang w:val="en-US" w:eastAsia="zh-CN"/>
        </w:rPr>
        <w:t xml:space="preserve">35名</w:t>
      </w:r>
      <w:r>
        <w:rPr>
          <w:rFonts w:ascii="仿宋" w:eastAsia="仿宋" w:hAnsi="仿宋" w:cs="仿宋" w:hint="eastAsia"/>
        </w:rPr>
        <w:t xml:space="preserve">特聘农技员予以劳务补助。</w:t>
      </w:r>
    </w:p>
    <w:p>
      <w:pPr>
        <w:bidi w:val="0"/>
        <w:rPr>
          <w:rFonts w:ascii="仿宋" w:eastAsia="仿宋" w:hAnsi="仿宋" w:cs="仿宋" w:hint="eastAsia"/>
          <w:lang w:val="en-US" w:eastAsia="zh-CN"/>
        </w:rPr>
      </w:pPr>
      <w:r>
        <w:rPr>
          <w:rFonts w:ascii="仿宋" w:eastAsia="仿宋" w:hAnsi="仿宋" w:cs="仿宋" w:hint="eastAsia"/>
          <w:lang w:val="en-US" w:eastAsia="zh-CN"/>
        </w:rPr>
        <w:t xml:space="preserve">（2）提升农技人员能力素质。主要用市乡村各级农技人员分类分层次参加业务培训所产生的各项费用。</w:t>
      </w:r>
    </w:p>
    <w:p>
      <w:pPr>
        <w:bidi w:val="0"/>
        <w:rPr>
          <w:rFonts w:ascii="仿宋" w:eastAsia="仿宋" w:hAnsi="仿宋" w:cs="仿宋" w:hint="eastAsia"/>
          <w:lang w:val="en-US" w:eastAsia="zh-CN"/>
        </w:rPr>
      </w:pPr>
      <w:r>
        <w:rPr>
          <w:rFonts w:ascii="仿宋" w:eastAsia="仿宋" w:hAnsi="仿宋" w:cs="仿宋" w:hint="eastAsia"/>
        </w:rPr>
        <w:t xml:space="preserve">（</w:t>
      </w:r>
      <w:r>
        <w:rPr>
          <w:rFonts w:ascii="仿宋" w:eastAsia="仿宋" w:hAnsi="仿宋" w:cs="仿宋" w:hint="eastAsia"/>
          <w:lang w:val="en-US" w:eastAsia="zh-CN"/>
        </w:rPr>
        <w:t xml:space="preserve">3</w:t>
      </w:r>
      <w:r>
        <w:rPr>
          <w:rFonts w:ascii="仿宋" w:eastAsia="仿宋" w:hAnsi="仿宋" w:cs="仿宋" w:hint="eastAsia"/>
        </w:rPr>
        <w:t xml:space="preserve">）</w:t>
      </w:r>
      <w:r>
        <w:rPr>
          <w:rFonts w:ascii="仿宋" w:eastAsia="仿宋" w:hAnsi="仿宋" w:cs="仿宋" w:hint="eastAsia"/>
          <w:lang w:val="en-US" w:eastAsia="zh-CN"/>
        </w:rPr>
        <w:t xml:space="preserve">建立</w:t>
      </w:r>
      <w:r>
        <w:rPr>
          <w:rFonts w:ascii="仿宋" w:eastAsia="仿宋" w:hAnsi="仿宋" w:cs="仿宋" w:hint="eastAsia"/>
        </w:rPr>
        <w:t xml:space="preserve">农业科技示范基地</w:t>
      </w:r>
      <w:r>
        <w:rPr>
          <w:rFonts w:ascii="仿宋" w:eastAsia="仿宋" w:hAnsi="仿宋" w:cs="仿宋" w:hint="eastAsia"/>
          <w:lang w:val="en-US" w:eastAsia="zh-CN"/>
        </w:rPr>
        <w:t xml:space="preserve">及培育科技示范主体</w:t>
      </w:r>
      <w:r>
        <w:rPr>
          <w:rFonts w:ascii="仿宋" w:eastAsia="仿宋" w:hAnsi="仿宋" w:cs="仿宋" w:hint="eastAsia"/>
        </w:rPr>
        <w:t xml:space="preserve">。</w:t>
      </w:r>
      <w:r>
        <w:rPr>
          <w:rFonts w:ascii="仿宋" w:eastAsia="仿宋" w:hAnsi="仿宋" w:cs="仿宋" w:hint="eastAsia"/>
          <w:lang w:val="en-US" w:eastAsia="zh-CN"/>
        </w:rPr>
        <w:t xml:space="preserve">用于2个农业科技试验示范基地购买生物农药、新型肥料、试验示范设施装备（太阳能杀虫灯、诱捕器、诱芯、黄板、蓝板等）等以及开展技术集成试验示范、推广应用、展示观摩和示范培训等所产生的费用。</w:t>
      </w:r>
    </w:p>
    <w:p>
      <w:pPr>
        <w:bidi w:val="0"/>
        <w:rPr>
          <w:rFonts w:ascii="仿宋" w:eastAsia="仿宋" w:hAnsi="仿宋" w:cs="仿宋" w:hint="eastAsia"/>
        </w:rPr>
      </w:pPr>
      <w:r>
        <w:rPr>
          <w:rFonts w:ascii="仿宋" w:eastAsia="仿宋" w:hAnsi="仿宋" w:cs="仿宋" w:hint="eastAsia"/>
        </w:rPr>
        <w:t xml:space="preserve">（</w:t>
      </w:r>
      <w:r>
        <w:rPr>
          <w:rFonts w:ascii="仿宋" w:eastAsia="仿宋" w:hAnsi="仿宋" w:cs="仿宋" w:hint="eastAsia"/>
          <w:lang w:val="en-US" w:eastAsia="zh-CN"/>
        </w:rPr>
        <w:t xml:space="preserve">4</w:t>
      </w:r>
      <w:r>
        <w:rPr>
          <w:rFonts w:ascii="仿宋" w:eastAsia="仿宋" w:hAnsi="仿宋" w:cs="仿宋" w:hint="eastAsia"/>
        </w:rPr>
        <w:t xml:space="preserve">）培育农业科技示范</w:t>
      </w:r>
      <w:r>
        <w:rPr>
          <w:rFonts w:ascii="仿宋" w:eastAsia="仿宋" w:hAnsi="仿宋" w:cs="仿宋" w:hint="eastAsia"/>
          <w:lang w:val="en-US" w:eastAsia="zh-CN"/>
        </w:rPr>
        <w:t xml:space="preserve">户</w:t>
      </w:r>
      <w:r>
        <w:rPr>
          <w:rFonts w:ascii="仿宋" w:eastAsia="仿宋" w:hAnsi="仿宋" w:cs="仿宋" w:hint="eastAsia"/>
        </w:rPr>
        <w:t xml:space="preserve">。</w:t>
      </w:r>
      <w:r>
        <w:rPr>
          <w:rFonts w:ascii="仿宋" w:eastAsia="仿宋" w:hAnsi="仿宋" w:cs="仿宋" w:hint="eastAsia"/>
          <w:lang w:val="en-US" w:eastAsia="zh-CN"/>
        </w:rPr>
        <w:t xml:space="preserve">主要用于示范引领推广应用新品种、新技术、新模式的农业科技示范主体指导服务、技术培训、物化补贴等。支持社会化服务组织开展农业产前、产中、产后社会化服务的补助费用；聘请技术专家、技术资料印刷、制度建设、工作考评及宣传报道等项目实施与管理费用。</w:t>
      </w:r>
    </w:p>
    <w:p>
      <w:pPr>
        <w:pStyle w:val="Heading2"/>
        <w:bidi w:val="0"/>
        <w:jc w:val="both"/>
        <w:outlineLvl w:val="0"/>
        <w:rPr>
          <w:rFonts w:ascii="仿宋" w:eastAsia="仿宋" w:hAnsi="仿宋" w:cs="仿宋" w:hint="eastAsia"/>
          <w:color w:val="auto"/>
          <w:highlight w:val="none"/>
        </w:rPr>
      </w:pPr>
      <w:bookmarkStart w:id="40" w:name="_Toc6534"/>
      <w:bookmarkStart w:id="41" w:name="_Toc6156"/>
      <w:bookmarkStart w:id="42" w:name="_Toc31122"/>
      <w:bookmarkStart w:id="43" w:name="_Toc15893"/>
      <w:r>
        <w:rPr>
          <w:rFonts w:ascii="仿宋" w:eastAsia="仿宋" w:hAnsi="仿宋" w:cs="仿宋" w:hint="eastAsia"/>
          <w:color w:val="auto"/>
          <w:highlight w:val="none"/>
        </w:rPr>
        <w:t xml:space="preserve">二、绩效评价工作开展情况</w:t>
      </w:r>
      <w:bookmarkEnd w:id="38"/>
      <w:bookmarkEnd w:id="39"/>
      <w:bookmarkEnd w:id="40"/>
      <w:bookmarkEnd w:id="41"/>
      <w:bookmarkEnd w:id="42"/>
      <w:bookmarkEnd w:id="43"/>
    </w:p>
    <w:p>
      <w:pPr>
        <w:pStyle w:val="Heading3"/>
        <w:bidi w:val="0"/>
        <w:jc w:val="both"/>
        <w:outlineLvl w:val="1"/>
        <w:rPr>
          <w:rFonts w:ascii="仿宋" w:eastAsia="仿宋" w:hAnsi="仿宋" w:cs="仿宋" w:hint="eastAsia"/>
          <w:color w:val="auto"/>
          <w:highlight w:val="none"/>
        </w:rPr>
      </w:pPr>
      <w:bookmarkStart w:id="44" w:name="_Toc17486"/>
      <w:bookmarkStart w:id="45" w:name="_Toc32557"/>
      <w:bookmarkStart w:id="46" w:name="_Toc30569"/>
      <w:bookmarkStart w:id="47" w:name="_Toc10300"/>
      <w:bookmarkStart w:id="48" w:name="_Toc17516"/>
      <w:r>
        <w:rPr>
          <w:rFonts w:ascii="仿宋" w:eastAsia="仿宋" w:hAnsi="仿宋" w:cs="仿宋" w:hint="eastAsia"/>
          <w:color w:val="auto"/>
          <w:highlight w:val="none"/>
        </w:rPr>
        <w:t xml:space="preserve">（一）绩效评价目的、对象和范围</w:t>
      </w:r>
      <w:bookmarkEnd w:id="44"/>
      <w:bookmarkEnd w:id="45"/>
      <w:bookmarkEnd w:id="46"/>
      <w:bookmarkEnd w:id="47"/>
      <w:bookmarkEnd w:id="48"/>
    </w:p>
    <w:p>
      <w:pPr>
        <w:bidi w:val="0"/>
        <w:jc w:val="both"/>
        <w:rPr>
          <w:rFonts w:ascii="仿宋" w:eastAsia="仿宋" w:hAnsi="仿宋" w:cs="仿宋" w:hint="eastAsia"/>
          <w:b/>
          <w:bCs/>
          <w:color w:val="auto"/>
          <w:highlight w:val="none"/>
        </w:rPr>
      </w:pPr>
      <w:bookmarkStart w:id="49" w:name="_Toc11562"/>
      <w:bookmarkStart w:id="50" w:name="_Toc12440"/>
      <w:r>
        <w:rPr>
          <w:rFonts w:ascii="仿宋" w:eastAsia="仿宋" w:hAnsi="仿宋" w:cs="仿宋" w:hint="eastAsia"/>
          <w:b/>
          <w:bCs/>
          <w:color w:val="auto"/>
          <w:highlight w:val="none"/>
        </w:rPr>
        <w:t xml:space="preserve">1.绩效评价目的</w:t>
      </w:r>
      <w:bookmarkEnd w:id="49"/>
      <w:bookmarkEnd w:id="5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本次绩效评价遵循财政部《关于印发</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项目支出绩效评价管理办法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的通知》（财预〔2020〕10号）文件精神，对</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预算编制合理性、资金使用合规性、项目管理的规范性、项目目标的实现情况、服务对象的满意度等，通过部门自评来总结经验，促进项目成果转化和应用，查找其存在的不足，为今后类似项目的长效管理，资金使用规范性以及加强制定相关制度、采取措施等方面提供参考，不断提高财政资金使用效益和项目管理水平。</w:t>
      </w:r>
      <w:bookmarkStart w:id="51" w:name="OLE_LINK7"/>
      <w:r>
        <w:rPr>
          <w:rFonts w:ascii="仿宋" w:eastAsia="仿宋" w:hAnsi="仿宋" w:cs="仿宋" w:hint="eastAsia"/>
          <w:color w:val="auto"/>
          <w:highlight w:val="none"/>
        </w:rPr>
        <w:t xml:space="preserve">具体绩效评价的目的细分如下：</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一是：通过部门项目支出绩效评价，进一步严格落实《中华人民共和国预算法》以及党中央、国务院关于加强预算绩效管理的指示精神，建立健全“花钱必问效、无效必问责”的绩效预算管理机制</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提升财政资金的使用效能。</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二是：通过部门项目支出绩效评价，进一步做实绩效目标，根据项目绩效目标设立情况，细化形成多维度绩效指标，将绩效指标细化为数量指标、质量指标、时效指标、成本指标、经济效益指标、社会效益指标、服务对象满意度指标等内容，保证项目绩效指标设置科学、规范、合理、可衡量。</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三是：通过部门项目支出绩效评价，进一步纠正对绩效管理理解上的偏差，建立更加全面科学的绩效指标体系，督促在预算编制中，将资金申请、绩效目标和具体指标统筹考虑，形成“花钱问效”的责任契约机制，进一步强化预算绩效管理的严肃性和约束力，推动绩效管理向全方位的绩效预算转变，逐步建立“以绩效目标为导向，以绩效评价为手段，以评价结果应用为保障，全方位、全覆盖、全过程”的绩效预算管理新体制。</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四是：通过部门项目支出绩效评价，从绩效的角度发现本项目在决策、实施和管理过程中存在的问题，寻求解决方案，为进一步深化项目管理工作提供依据，以促进项目进一步的推进和后期项目维护和评价工作提供更深一步的理论和实际支持。</w:t>
      </w:r>
      <w:bookmarkEnd w:id="51"/>
    </w:p>
    <w:p>
      <w:pPr>
        <w:bidi w:val="0"/>
        <w:jc w:val="both"/>
        <w:rPr>
          <w:rFonts w:ascii="仿宋" w:eastAsia="仿宋" w:hAnsi="仿宋" w:cs="仿宋" w:hint="eastAsia"/>
          <w:b/>
          <w:bCs/>
          <w:color w:val="auto"/>
          <w:highlight w:val="none"/>
        </w:rPr>
      </w:pPr>
      <w:bookmarkStart w:id="52" w:name="_Toc8924"/>
      <w:bookmarkStart w:id="53" w:name="_Toc2159"/>
      <w:r>
        <w:rPr>
          <w:rFonts w:ascii="仿宋" w:eastAsia="仿宋" w:hAnsi="仿宋" w:cs="仿宋" w:hint="eastAsia"/>
          <w:b/>
          <w:bCs/>
          <w:color w:val="auto"/>
          <w:highlight w:val="none"/>
        </w:rPr>
        <w:t xml:space="preserve">2.绩效评价对象</w:t>
      </w:r>
      <w:bookmarkEnd w:id="52"/>
      <w:r>
        <w:rPr>
          <w:rFonts w:ascii="仿宋" w:eastAsia="仿宋" w:hAnsi="仿宋" w:cs="仿宋" w:hint="eastAsia"/>
          <w:b/>
          <w:bCs/>
          <w:color w:val="auto"/>
          <w:highlight w:val="none"/>
        </w:rPr>
        <w:t xml:space="preserve">和范围</w:t>
      </w:r>
      <w:bookmarkEnd w:id="5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根据《财政支出绩效评价管理办法》（财预〔2020〕10号）文件要求，对</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开展绩效评价，本次绩效评价范围主要围绕项目决策（包括项目</w:t>
      </w:r>
      <w:r>
        <w:rPr>
          <w:rFonts w:ascii="仿宋" w:eastAsia="仿宋" w:hAnsi="仿宋" w:cs="仿宋" w:hint="eastAsia"/>
          <w:color w:val="auto"/>
          <w:highlight w:val="none"/>
          <w:lang w:eastAsia="zh-CN"/>
        </w:rPr>
        <w:t xml:space="preserve">实施</w:t>
      </w:r>
      <w:r>
        <w:rPr>
          <w:rFonts w:ascii="仿宋" w:eastAsia="仿宋" w:hAnsi="仿宋" w:cs="仿宋" w:hint="eastAsia"/>
          <w:color w:val="auto"/>
          <w:highlight w:val="none"/>
        </w:rPr>
        <w:t xml:space="preserve">、绩效目标、资金投入）、项目过程（包括资金管理、组织实施）、项目产出（包括产出数量、质量、时效、成本）和项目效益等进行评价。</w:t>
      </w:r>
    </w:p>
    <w:p>
      <w:pPr>
        <w:pStyle w:val="Heading3"/>
        <w:bidi w:val="0"/>
        <w:jc w:val="both"/>
        <w:outlineLvl w:val="1"/>
        <w:rPr>
          <w:rFonts w:ascii="仿宋" w:eastAsia="仿宋" w:hAnsi="仿宋" w:cs="仿宋" w:hint="eastAsia"/>
          <w:color w:val="auto"/>
          <w:highlight w:val="none"/>
        </w:rPr>
      </w:pPr>
      <w:bookmarkStart w:id="54" w:name="_Toc27011"/>
      <w:bookmarkStart w:id="55" w:name="_Toc13496"/>
      <w:bookmarkStart w:id="56" w:name="_Toc17158"/>
      <w:bookmarkStart w:id="57" w:name="_Toc15409"/>
      <w:bookmarkStart w:id="58" w:name="_Toc19566"/>
      <w:r>
        <w:rPr>
          <w:rFonts w:ascii="仿宋" w:eastAsia="仿宋" w:hAnsi="仿宋" w:cs="仿宋" w:hint="eastAsia"/>
          <w:color w:val="auto"/>
          <w:highlight w:val="none"/>
        </w:rPr>
        <w:t xml:space="preserve">（二）绩效评价原则、评价指标体系、评价方法、评价标准</w:t>
      </w:r>
      <w:bookmarkEnd w:id="54"/>
      <w:bookmarkEnd w:id="55"/>
      <w:bookmarkEnd w:id="56"/>
      <w:bookmarkEnd w:id="57"/>
      <w:bookmarkEnd w:id="58"/>
    </w:p>
    <w:p>
      <w:pPr>
        <w:bidi w:val="0"/>
        <w:jc w:val="both"/>
        <w:rPr>
          <w:rFonts w:ascii="仿宋" w:eastAsia="仿宋" w:hAnsi="仿宋" w:cs="仿宋" w:hint="eastAsia"/>
          <w:b/>
          <w:bCs/>
          <w:color w:val="auto"/>
          <w:highlight w:val="none"/>
        </w:rPr>
      </w:pPr>
      <w:bookmarkStart w:id="59" w:name="_Toc18268"/>
      <w:bookmarkStart w:id="60" w:name="_Toc23487"/>
      <w:r>
        <w:rPr>
          <w:rFonts w:ascii="仿宋" w:eastAsia="仿宋" w:hAnsi="仿宋" w:cs="仿宋" w:hint="eastAsia"/>
          <w:b/>
          <w:bCs/>
          <w:color w:val="auto"/>
          <w:highlight w:val="none"/>
        </w:rPr>
        <w:t xml:space="preserve">1.绩效评价原则</w:t>
      </w:r>
      <w:bookmarkEnd w:id="59"/>
      <w:bookmarkEnd w:id="6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（1）科学公正。绩效评价应当运用科学合理的方法，按照规范的程序，对项目绩效进行客观、</w:t>
      </w:r>
      <w:r>
        <w:rPr>
          <w:rFonts w:ascii="仿宋" w:eastAsia="仿宋" w:hAnsi="仿宋" w:cs="仿宋" w:hint="eastAsia"/>
          <w:color w:val="auto"/>
          <w:highlight w:val="none"/>
          <w:lang w:eastAsia="zh-CN"/>
        </w:rPr>
        <w:t xml:space="preserve">公正地反映</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（2）统筹兼顾。单位自评应由项目单位自主实施，即“谁支出、谁自评”。</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（3）激励约束。绩效评价结果应与预算安排、政策调整、改进管理实质性挂钩，体现奖优罚劣和激励相容导向，有效要安排、低效要压减、无效要问责。</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（4）公开透明。</w:t>
      </w:r>
      <w:r>
        <w:rPr>
          <w:rFonts w:ascii="仿宋" w:eastAsia="仿宋" w:hAnsi="仿宋" w:cs="仿宋" w:hint="eastAsia"/>
          <w:color w:val="auto"/>
          <w:highlight w:val="none"/>
          <w:lang w:val="en-US" w:eastAsia="zh-CN"/>
        </w:rPr>
        <w:t xml:space="preserve">本次项目支出绩效评价结果已依法依规在尉犁县人民政府网站上公开，并自觉接受社会监督</w:t>
      </w:r>
      <w:r>
        <w:rPr>
          <w:rFonts w:ascii="仿宋" w:eastAsia="仿宋" w:hAnsi="仿宋" w:cs="仿宋" w:hint="eastAsia"/>
          <w:color w:val="auto"/>
          <w:highlight w:val="none"/>
        </w:rPr>
        <w:t xml:space="preserve">。</w:t>
      </w:r>
    </w:p>
    <w:p>
      <w:pPr>
        <w:bidi w:val="0"/>
        <w:jc w:val="both"/>
        <w:rPr>
          <w:rFonts w:ascii="仿宋" w:eastAsia="仿宋" w:hAnsi="仿宋" w:cs="仿宋" w:hint="eastAsia"/>
          <w:b w:val="0"/>
          <w:bCs w:val="0"/>
          <w:color w:val="auto"/>
          <w:highlight w:val="none"/>
        </w:rPr>
      </w:pPr>
      <w:bookmarkStart w:id="61" w:name="OLE_LINK9"/>
      <w:bookmarkStart w:id="62" w:name="_Toc23112"/>
      <w:bookmarkStart w:id="63" w:name="_Toc28342"/>
      <w:r>
        <w:rPr>
          <w:rFonts w:ascii="仿宋" w:eastAsia="仿宋" w:hAnsi="仿宋" w:cs="仿宋" w:hint="eastAsia"/>
          <w:b w:val="0"/>
          <w:bCs w:val="0"/>
          <w:color w:val="auto"/>
          <w:highlight w:val="none"/>
        </w:rPr>
        <w:t xml:space="preserve">根据以上原则</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绩效评价应遵循如下要求:</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（1）在数据采集时</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采取客观数据</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主管部门审查、社会中介组织复查</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与问卷调查相结合的形式</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以保证各项指标的真实性。</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（2）保证评价结果的真实性、公正性</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提高评价报告的公信力。</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（3）</w:t>
      </w:r>
      <w:r>
        <w:rPr>
          <w:rFonts w:ascii="仿宋" w:eastAsia="仿宋" w:hAnsi="仿宋" w:cs="仿宋" w:hint="eastAsia"/>
          <w:b w:val="0"/>
          <w:bCs w:val="0"/>
          <w:color w:val="auto"/>
          <w:highlight w:val="none"/>
          <w:lang w:val="en-US" w:eastAsia="zh-CN"/>
        </w:rPr>
        <w:t xml:space="preserve">绩效</w:t>
      </w:r>
      <w:r>
        <w:rPr>
          <w:rFonts w:ascii="仿宋" w:eastAsia="仿宋" w:hAnsi="仿宋" w:cs="仿宋" w:hint="eastAsia"/>
          <w:b w:val="0"/>
          <w:bCs w:val="0"/>
          <w:color w:val="auto"/>
          <w:highlight w:val="none"/>
        </w:rPr>
        <w:t xml:space="preserve">评价报告应当简明扼要</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除了对绩效评价的过程、结果描述外</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还应总结经验</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指出问题</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并就共性问题提出可操作性改进建议。评价工作组本着科学规范、公平公正、绩效相关的原则，采用全面、重点、现场和非现场相结合的方式进行评价。</w:t>
      </w:r>
      <w:bookmarkEnd w:id="61"/>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2.评价指标体系</w:t>
      </w:r>
      <w:bookmarkEnd w:id="62"/>
      <w:bookmarkEnd w:id="6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绩效评价（部门自评）指标体系的设计，是在充分掌握项目状况的基础上，形成了</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的项目支出绩效评价指标体系（部门自评）。本项目设计绩效评价指标体系满分100分。四个级别分别是：优、良、中、差，90（含）-100分为优、80（含）-90分为良、60（含）-80分为中、60分以下为差。</w:t>
      </w:r>
    </w:p>
    <w:p>
      <w:pPr>
        <w:bidi w:val="0"/>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按照财预〔2020〕10号文件关于“原则上产出、效益指标权重不低于60%”的要求，本项目产出、效益指标权重60%（即60分）。</w:t>
      </w:r>
      <w:bookmarkStart w:id="64" w:name="_Toc10631"/>
      <w:bookmarkStart w:id="65" w:name="_Toc15680"/>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详见：附表2</w:t>
      </w:r>
      <w:r>
        <w:rPr>
          <w:rFonts w:ascii="仿宋" w:eastAsia="仿宋" w:hAnsi="仿宋" w:cs="仿宋" w:hint="eastAsia"/>
          <w:color w:val="auto"/>
          <w:highlight w:val="none"/>
          <w:lang w:eastAsia="zh-CN"/>
        </w:rPr>
        <w:t xml:space="preserve">）</w:t>
      </w:r>
    </w:p>
    <w:p>
      <w:pPr>
        <w:bidi w:val="0"/>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3.绩效评价方法</w:t>
      </w:r>
      <w:bookmarkEnd w:id="64"/>
      <w:bookmarkEnd w:id="65"/>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结合</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的特点，</w:t>
      </w:r>
      <w:r>
        <w:rPr>
          <w:rFonts w:ascii="仿宋" w:eastAsia="仿宋" w:hAnsi="仿宋" w:cs="仿宋" w:hint="eastAsia"/>
          <w:color w:val="auto"/>
          <w:highlight w:val="none"/>
          <w:lang w:val="en-US" w:eastAsia="zh-CN"/>
        </w:rPr>
        <w:t xml:space="preserve">本项目绩效评价将项目实施情况即实际完成的培训基层农技人员数、农业科技示范展示基地数量、招募村级农技推广服务特聘人员数、农业主体技术到位率等指标与年初设定的目标值进行比较</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因此，采取的</w:t>
      </w:r>
      <w:r>
        <w:rPr>
          <w:rFonts w:ascii="仿宋" w:eastAsia="仿宋" w:hAnsi="仿宋" w:cs="仿宋" w:hint="eastAsia"/>
          <w:color w:val="auto"/>
          <w:highlight w:val="none"/>
        </w:rPr>
        <w:t xml:space="preserve">绩效评价方法</w:t>
      </w:r>
      <w:r>
        <w:rPr>
          <w:rFonts w:ascii="仿宋" w:eastAsia="仿宋" w:hAnsi="仿宋" w:cs="仿宋" w:hint="eastAsia"/>
          <w:color w:val="auto"/>
          <w:highlight w:val="none"/>
          <w:lang w:val="en-US" w:eastAsia="zh-CN"/>
        </w:rPr>
        <w:t xml:space="preserve">是</w:t>
      </w:r>
      <w:r>
        <w:rPr>
          <w:rFonts w:ascii="仿宋" w:eastAsia="仿宋" w:hAnsi="仿宋" w:cs="仿宋" w:hint="eastAsia"/>
          <w:color w:val="auto"/>
          <w:highlight w:val="none"/>
        </w:rPr>
        <w:t xml:space="preserve">：比较法</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b/>
          <w:bCs/>
          <w:color w:val="auto"/>
          <w:highlight w:val="none"/>
        </w:rPr>
      </w:pPr>
      <w:bookmarkStart w:id="66" w:name="_Toc15525"/>
      <w:bookmarkStart w:id="67" w:name="_Toc3155"/>
      <w:r>
        <w:rPr>
          <w:rFonts w:ascii="仿宋" w:eastAsia="仿宋" w:hAnsi="仿宋" w:cs="仿宋" w:hint="eastAsia"/>
          <w:b/>
          <w:bCs/>
          <w:color w:val="auto"/>
          <w:highlight w:val="none"/>
        </w:rPr>
        <w:t xml:space="preserve">4.绩效评价标准</w:t>
      </w:r>
      <w:bookmarkEnd w:id="66"/>
      <w:bookmarkEnd w:id="6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绩效评价标准通常包括计划标准、行业标准、历史标准等，用于对绩效指标完成情况进行比较。</w:t>
      </w:r>
    </w:p>
    <w:p>
      <w:pPr>
        <w:pStyle w:val="CommentText"/>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结合</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的特点，</w:t>
      </w:r>
      <w:bookmarkStart w:id="68" w:name="_Toc26411"/>
      <w:bookmarkStart w:id="69" w:name="_Toc30219"/>
      <w:bookmarkStart w:id="70" w:name="_Toc17851"/>
      <w:bookmarkStart w:id="71" w:name="_Toc15381"/>
      <w:r>
        <w:rPr>
          <w:rFonts w:ascii="仿宋" w:eastAsia="仿宋" w:hAnsi="仿宋" w:cs="仿宋" w:hint="eastAsia"/>
          <w:bCs/>
          <w:color w:val="auto"/>
          <w:kern w:val="2"/>
          <w:sz w:val="32"/>
          <w:szCs w:val="32"/>
          <w:highlight w:val="none"/>
          <w:lang w:val="en-US" w:eastAsia="zh-CN" w:bidi="ar-SA"/>
        </w:rPr>
        <w:t xml:space="preserve">本项目绩效评价以预先制定的</w:t>
      </w:r>
      <w:r>
        <w:rPr>
          <w:rFonts w:ascii="仿宋" w:eastAsia="仿宋" w:hAnsi="仿宋" w:cs="仿宋" w:hint="eastAsia"/>
          <w:color w:val="auto"/>
          <w:highlight w:val="none"/>
          <w:lang w:val="en-US" w:eastAsia="zh-CN"/>
        </w:rPr>
        <w:t xml:space="preserve">培训基层农技人员数、农业科技示范展示基地数量、招募村级农技推广服务特聘人员数</w:t>
      </w:r>
      <w:r>
        <w:rPr>
          <w:rFonts w:ascii="仿宋" w:eastAsia="仿宋" w:hAnsi="仿宋" w:cs="仿宋" w:hint="eastAsia"/>
          <w:bCs/>
          <w:color w:val="auto"/>
          <w:kern w:val="2"/>
          <w:sz w:val="32"/>
          <w:szCs w:val="32"/>
          <w:highlight w:val="none"/>
          <w:lang w:val="en-US" w:eastAsia="zh-CN" w:bidi="ar-SA"/>
        </w:rPr>
        <w:t xml:space="preserve">为计划数作为评价标准；同时参照</w:t>
      </w:r>
      <w:r>
        <w:rPr>
          <w:rFonts w:ascii="仿宋" w:eastAsia="仿宋" w:hAnsi="仿宋" w:cs="仿宋" w:hint="eastAsia"/>
          <w:b w:val="0"/>
          <w:color w:val="auto"/>
          <w:kern w:val="2"/>
          <w:sz w:val="32"/>
          <w:szCs w:val="22"/>
          <w:highlight w:val="none"/>
          <w:lang w:val="en-US" w:eastAsia="zh-CN" w:bidi="ar-SA"/>
        </w:rPr>
        <w:t xml:space="preserve">有关化肥减量增效与耕地质量检测等同类项目建设的行业标准</w:t>
      </w:r>
      <w:r>
        <w:rPr>
          <w:rFonts w:ascii="仿宋" w:eastAsia="仿宋" w:hAnsi="仿宋" w:cs="仿宋" w:hint="eastAsia"/>
          <w:bCs/>
          <w:color w:val="auto"/>
          <w:kern w:val="2"/>
          <w:sz w:val="32"/>
          <w:szCs w:val="32"/>
          <w:highlight w:val="none"/>
          <w:lang w:val="en-US" w:eastAsia="zh-CN" w:bidi="ar-SA"/>
        </w:rPr>
        <w:t xml:space="preserve">来制定评价标准。因此，采取的绩效评价标准为：计划标准、行业标准。</w:t>
      </w:r>
    </w:p>
    <w:p>
      <w:pPr>
        <w:pStyle w:val="Heading3"/>
        <w:bidi w:val="0"/>
        <w:jc w:val="both"/>
        <w:outlineLvl w:val="1"/>
        <w:rPr>
          <w:rFonts w:ascii="仿宋" w:eastAsia="仿宋" w:hAnsi="仿宋" w:cs="仿宋" w:hint="eastAsia"/>
          <w:color w:val="auto"/>
          <w:highlight w:val="none"/>
        </w:rPr>
      </w:pPr>
      <w:bookmarkStart w:id="72" w:name="_Toc12344"/>
      <w:r>
        <w:rPr>
          <w:rFonts w:ascii="仿宋" w:eastAsia="仿宋" w:hAnsi="仿宋" w:cs="仿宋" w:hint="eastAsia"/>
          <w:color w:val="auto"/>
          <w:highlight w:val="none"/>
        </w:rPr>
        <w:t xml:space="preserve">（三）绩效评价工作过程</w:t>
      </w:r>
      <w:bookmarkEnd w:id="68"/>
      <w:bookmarkEnd w:id="69"/>
      <w:bookmarkEnd w:id="70"/>
      <w:bookmarkEnd w:id="71"/>
      <w:bookmarkEnd w:id="72"/>
    </w:p>
    <w:p>
      <w:pPr>
        <w:bidi w:val="0"/>
        <w:jc w:val="both"/>
        <w:rPr>
          <w:rFonts w:ascii="仿宋" w:eastAsia="仿宋" w:hAnsi="仿宋" w:cs="仿宋" w:hint="eastAsia"/>
          <w:b/>
          <w:bCs/>
          <w:color w:val="auto"/>
          <w:highlight w:val="none"/>
        </w:rPr>
      </w:pPr>
      <w:bookmarkStart w:id="73" w:name="_Toc17595"/>
      <w:bookmarkStart w:id="74" w:name="_Toc30911"/>
      <w:bookmarkStart w:id="75" w:name="_Toc22987"/>
      <w:bookmarkStart w:id="76" w:name="_Toc27442"/>
      <w:bookmarkStart w:id="77" w:name="_Toc31054"/>
      <w:r>
        <w:rPr>
          <w:rFonts w:ascii="仿宋" w:eastAsia="仿宋" w:hAnsi="仿宋" w:cs="仿宋" w:hint="eastAsia"/>
          <w:b/>
          <w:bCs/>
          <w:color w:val="auto"/>
          <w:highlight w:val="none"/>
        </w:rPr>
        <w:t xml:space="preserve">1.前期准备</w:t>
      </w:r>
      <w:bookmarkEnd w:id="73"/>
      <w:bookmarkEnd w:id="74"/>
      <w:bookmarkEnd w:id="75"/>
      <w:bookmarkEnd w:id="76"/>
      <w:bookmarkEnd w:id="77"/>
    </w:p>
    <w:p>
      <w:pPr>
        <w:spacing w:line="600" w:lineRule="exact"/>
        <w:ind w:firstLine="640"/>
        <w:jc w:val="both"/>
        <w:rPr>
          <w:rFonts w:ascii="仿宋" w:eastAsia="仿宋" w:hAnsi="仿宋" w:cs="仿宋" w:hint="eastAsia"/>
          <w:bCs/>
          <w:color w:val="auto"/>
          <w:szCs w:val="32"/>
          <w:highlight w:val="none"/>
        </w:rPr>
      </w:pPr>
      <w:bookmarkStart w:id="78" w:name="_Toc2579"/>
      <w:r>
        <w:rPr>
          <w:rFonts w:ascii="仿宋" w:eastAsia="仿宋" w:hAnsi="仿宋" w:cs="仿宋" w:hint="eastAsia"/>
          <w:bCs/>
          <w:color w:val="auto"/>
          <w:szCs w:val="32"/>
          <w:highlight w:val="none"/>
        </w:rPr>
        <w:t xml:space="preserve">按照《项目支出绩效评价管理办法》（财预〔2020〕10号）文件要求，</w:t>
      </w:r>
      <w:r>
        <w:rPr>
          <w:rFonts w:ascii="仿宋" w:eastAsia="仿宋" w:hAnsi="仿宋" w:cs="仿宋" w:hint="eastAsia"/>
          <w:color w:val="auto"/>
          <w:highlight w:val="none"/>
          <w:lang w:eastAsia="zh-CN"/>
        </w:rPr>
        <w:t xml:space="preserve">尉犁县农业技术推广中心（农产品质量安全检验检测中心</w:t>
      </w:r>
      <w:r>
        <w:rPr>
          <w:rFonts w:ascii="仿宋" w:eastAsia="仿宋" w:hAnsi="仿宋" w:cs="仿宋" w:hint="eastAsia"/>
          <w:bCs/>
          <w:color w:val="auto"/>
          <w:szCs w:val="32"/>
          <w:highlight w:val="none"/>
        </w:rPr>
        <w:t xml:space="preserve">成立了绩效评价小组，对项目实施的全过程，收集、整理项目实施的相关资料，了解项目实施情况和资金支付情况。从项目内容出发，结合项目预期目标，制定绩效评价的指标体系。</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2.组织实施</w:t>
      </w:r>
      <w:bookmarkEnd w:id="78"/>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评价的具体实施根据评价指标及评价工作要求，对具体评价内容和不同环节，采用以下取得的资料与评价方式。</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（1）</w:t>
      </w:r>
      <w:r>
        <w:rPr>
          <w:rFonts w:ascii="仿宋" w:eastAsia="仿宋" w:hAnsi="仿宋" w:cs="仿宋" w:hint="eastAsia"/>
          <w:color w:val="auto"/>
          <w:highlight w:val="none"/>
          <w:lang w:val="en-US" w:eastAsia="zh-CN"/>
        </w:rPr>
        <w:t xml:space="preserve">根据绩效管理的要求，本单位成实施目评价小组，全过程跟踪监管项目实施过程，包括项目资金到位时绩效工作的安排、年中2次绩效监控工作的监督，项目实施完成之后收集资料开展项目绩效评价。</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实地考察。根据评价指标及评价工作要求，到评价实地采取调查、询查、复核等方式收集、整理数据和资料，包括评价对象的基本情况、财政资金使用情况、评价指标体系需要的相关资料等。根据基础资料，核实数据的全面性、真实性以及指标口径的一致性，并对所掌握的有关信息资料采用相关方法进行分类、整理和分析，根据评价标准进行打分。</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）问卷调查。选择与项目评价有关的调查对象，设计调查问卷。通过问卷调查，对有关评价内容完成情况进行打分，并根据分值评价绩效目标完成情况，作为对项目评价的依据。</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项目评价小组人员与专业技术人员相结合评价。对绩效评价工作专业性较强的内容，在评价工作过程中，采用以专业技术人员与有关科（股）室、其他部门专业人员进行评价相结合的方式，分别对相关专业指标进行现场问询、检验和考查。</w:t>
      </w:r>
    </w:p>
    <w:p>
      <w:pPr>
        <w:bidi w:val="0"/>
        <w:jc w:val="both"/>
        <w:rPr>
          <w:rFonts w:ascii="仿宋" w:eastAsia="仿宋" w:hAnsi="仿宋" w:cs="仿宋" w:hint="eastAsia"/>
          <w:b/>
          <w:bCs/>
          <w:color w:val="auto"/>
          <w:highlight w:val="none"/>
        </w:rPr>
      </w:pPr>
      <w:bookmarkStart w:id="79" w:name="_Toc19781"/>
      <w:r>
        <w:rPr>
          <w:rFonts w:ascii="仿宋" w:eastAsia="仿宋" w:hAnsi="仿宋" w:cs="仿宋" w:hint="eastAsia"/>
          <w:b/>
          <w:bCs/>
          <w:color w:val="auto"/>
          <w:highlight w:val="none"/>
        </w:rPr>
        <w:t xml:space="preserve">3.数据集中分析</w:t>
      </w:r>
      <w:bookmarkEnd w:id="79"/>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对相关资料，包括资金文件、项目实施方案、相关管理办法，问卷调查等进行集中分析。在查阅大量项目资料的基础上，根据考察、考评的结果进行整理、分析。</w:t>
      </w:r>
    </w:p>
    <w:p>
      <w:pPr>
        <w:bidi w:val="0"/>
        <w:jc w:val="both"/>
        <w:rPr>
          <w:rFonts w:ascii="仿宋" w:eastAsia="仿宋" w:hAnsi="仿宋" w:cs="仿宋" w:hint="eastAsia"/>
          <w:b/>
          <w:bCs/>
          <w:color w:val="auto"/>
          <w:highlight w:val="none"/>
        </w:rPr>
      </w:pPr>
      <w:bookmarkStart w:id="80" w:name="_Toc5021"/>
      <w:r>
        <w:rPr>
          <w:rFonts w:ascii="仿宋" w:eastAsia="仿宋" w:hAnsi="仿宋" w:cs="仿宋" w:hint="eastAsia"/>
          <w:b/>
          <w:bCs/>
          <w:color w:val="auto"/>
          <w:highlight w:val="none"/>
        </w:rPr>
        <w:t xml:space="preserve">4.分析总结</w:t>
      </w:r>
      <w:bookmarkEnd w:id="8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（1）根据部门自评的意见及考察、考评的结果进行整理、分析，撰写绩效评价报告初稿；</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（2）就部门自评报告与部门具体有关股室征求意见，形成最终的绩效评价报告。</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
          <w:bCs/>
          <w:iCs w:val="0"/>
          <w:color w:val="auto"/>
          <w:kern w:val="2"/>
          <w:sz w:val="32"/>
          <w:szCs w:val="22"/>
          <w:highlight w:val="none"/>
          <w:lang w:val="en-US" w:eastAsia="zh-CN" w:bidi="ar-SA"/>
        </w:rPr>
      </w:pPr>
      <w:bookmarkStart w:id="81" w:name="OLE_LINK11"/>
      <w:r>
        <w:rPr>
          <w:rFonts w:ascii="仿宋" w:eastAsia="仿宋" w:hAnsi="仿宋" w:cs="仿宋" w:hint="eastAsia"/>
          <w:b/>
          <w:bCs/>
          <w:iCs w:val="0"/>
          <w:color w:val="auto"/>
          <w:kern w:val="2"/>
          <w:sz w:val="32"/>
          <w:szCs w:val="22"/>
          <w:highlight w:val="none"/>
          <w:lang w:val="en-US" w:eastAsia="zh-CN" w:bidi="ar-SA"/>
        </w:rPr>
        <w:t xml:space="preserve">5.问题整改</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Cs w:val="0"/>
          <w:iCs w:val="0"/>
          <w:color w:val="auto"/>
          <w:kern w:val="2"/>
          <w:sz w:val="32"/>
          <w:szCs w:val="22"/>
          <w:highlight w:val="none"/>
          <w:lang w:val="en-US" w:eastAsia="zh-CN" w:bidi="ar-SA"/>
        </w:rPr>
      </w:pPr>
      <w:r>
        <w:rPr>
          <w:rFonts w:ascii="仿宋" w:eastAsia="仿宋" w:hAnsi="仿宋" w:cs="仿宋" w:hint="eastAsia"/>
          <w:bCs w:val="0"/>
          <w:iCs w:val="0"/>
          <w:color w:val="auto"/>
          <w:kern w:val="2"/>
          <w:sz w:val="32"/>
          <w:szCs w:val="22"/>
          <w:highlight w:val="none"/>
          <w:lang w:val="en-US" w:eastAsia="zh-CN" w:bidi="ar-SA"/>
        </w:rPr>
        <w:t xml:space="preserve">经审核通过后，由评价小组将报告推送至项目实施人员，由项目实施人员根据报告评价结论、存在的问题以及改进建议落实问题整改，并形成整改报告，由评价小组负责监督和核查整改落实情况，确保绩效评价落到实处。</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
          <w:bCs/>
          <w:iCs w:val="0"/>
          <w:color w:val="auto"/>
          <w:kern w:val="2"/>
          <w:sz w:val="32"/>
          <w:szCs w:val="22"/>
          <w:highlight w:val="none"/>
          <w:lang w:val="en-US" w:eastAsia="zh-CN" w:bidi="ar-SA"/>
        </w:rPr>
      </w:pPr>
      <w:r>
        <w:rPr>
          <w:rFonts w:ascii="仿宋" w:eastAsia="仿宋" w:hAnsi="仿宋" w:cs="仿宋" w:hint="eastAsia"/>
          <w:b/>
          <w:bCs/>
          <w:iCs w:val="0"/>
          <w:color w:val="auto"/>
          <w:kern w:val="2"/>
          <w:sz w:val="32"/>
          <w:szCs w:val="22"/>
          <w:highlight w:val="none"/>
          <w:lang w:val="en-US" w:eastAsia="zh-CN" w:bidi="ar-SA"/>
        </w:rPr>
        <w:t xml:space="preserve">6.档案整理</w:t>
      </w:r>
    </w:p>
    <w:p>
      <w:pPr>
        <w:bidi w:val="0"/>
        <w:rPr>
          <w:rFonts w:ascii="仿宋" w:eastAsia="仿宋" w:hAnsi="仿宋" w:cs="仿宋" w:hint="eastAsia"/>
        </w:rPr>
      </w:pPr>
      <w:r>
        <w:rPr>
          <w:rFonts w:ascii="仿宋" w:eastAsia="仿宋" w:hAnsi="仿宋" w:cs="仿宋" w:hint="eastAsia"/>
          <w:bCs w:val="0"/>
          <w:iCs w:val="0"/>
          <w:color w:val="auto"/>
          <w:kern w:val="2"/>
          <w:sz w:val="32"/>
          <w:szCs w:val="22"/>
          <w:highlight w:val="none"/>
          <w:lang w:val="en-US" w:eastAsia="zh-CN" w:bidi="ar-SA"/>
        </w:rPr>
        <w:t xml:space="preserve">建立和落实档案管理制度，将项目相关资料存档，包括但不限于：评价项目基本情况和相关文件、评价实施方案、项目支付资料等相关档案。</w:t>
      </w:r>
      <w:bookmarkEnd w:id="81"/>
    </w:p>
    <w:p>
      <w:pPr>
        <w:pStyle w:val="Heading2"/>
        <w:bidi w:val="0"/>
        <w:jc w:val="both"/>
        <w:outlineLvl w:val="0"/>
        <w:rPr>
          <w:rFonts w:ascii="仿宋" w:eastAsia="仿宋" w:hAnsi="仿宋" w:cs="仿宋" w:hint="eastAsia"/>
          <w:color w:val="auto"/>
          <w:highlight w:val="none"/>
        </w:rPr>
      </w:pPr>
      <w:bookmarkStart w:id="82" w:name="_Toc32641"/>
      <w:bookmarkStart w:id="83" w:name="_Toc24398"/>
      <w:bookmarkStart w:id="84" w:name="_Toc25201"/>
      <w:bookmarkStart w:id="85" w:name="_Toc1808"/>
      <w:bookmarkStart w:id="86" w:name="_Toc31058"/>
      <w:bookmarkStart w:id="87" w:name="_Toc21627"/>
      <w:r>
        <w:rPr>
          <w:rFonts w:ascii="仿宋" w:eastAsia="仿宋" w:hAnsi="仿宋" w:cs="仿宋" w:hint="eastAsia"/>
          <w:color w:val="auto"/>
          <w:highlight w:val="none"/>
        </w:rPr>
        <w:t xml:space="preserve">三、综合评价情况及评价结论</w:t>
      </w:r>
      <w:bookmarkEnd w:id="82"/>
      <w:bookmarkEnd w:id="83"/>
      <w:bookmarkEnd w:id="84"/>
      <w:bookmarkEnd w:id="85"/>
      <w:bookmarkEnd w:id="86"/>
      <w:bookmarkEnd w:id="8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本项目的绩效评价结果为“优”，综合评分</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分。其中项目决策22分，项目过程1</w:t>
      </w:r>
      <w:r>
        <w:rPr>
          <w:rFonts w:ascii="仿宋" w:eastAsia="仿宋" w:hAnsi="仿宋" w:cs="仿宋" w:hint="eastAsia"/>
          <w:color w:val="auto"/>
          <w:highlight w:val="none"/>
          <w:lang w:val="en-US" w:eastAsia="zh-CN"/>
        </w:rPr>
        <w:t xml:space="preserve">8</w:t>
      </w:r>
      <w:r>
        <w:rPr>
          <w:rFonts w:ascii="仿宋" w:eastAsia="仿宋" w:hAnsi="仿宋" w:cs="仿宋" w:hint="eastAsia"/>
          <w:color w:val="auto"/>
          <w:highlight w:val="none"/>
        </w:rPr>
        <w:t xml:space="preserve">分，项目产出管理得分</w:t>
      </w:r>
      <w:r>
        <w:rPr>
          <w:rFonts w:ascii="仿宋" w:eastAsia="仿宋" w:hAnsi="仿宋" w:cs="仿宋" w:hint="eastAsia"/>
          <w:color w:val="auto"/>
          <w:highlight w:val="none"/>
          <w:lang w:val="en-US" w:eastAsia="zh-CN"/>
        </w:rPr>
        <w:t xml:space="preserve">40</w:t>
      </w:r>
      <w:r>
        <w:rPr>
          <w:rFonts w:ascii="仿宋" w:eastAsia="仿宋" w:hAnsi="仿宋" w:cs="仿宋" w:hint="eastAsia"/>
          <w:color w:val="auto"/>
          <w:highlight w:val="none"/>
        </w:rPr>
        <w:t xml:space="preserve">分，项目效益20分</w:t>
      </w:r>
      <w:r>
        <w:rPr>
          <w:rFonts w:ascii="仿宋" w:eastAsia="仿宋" w:hAnsi="仿宋" w:cs="仿宋" w:hint="eastAsia"/>
          <w:color w:val="auto"/>
          <w:highlight w:val="none"/>
          <w:lang w:val="en-US" w:eastAsia="zh-CN"/>
        </w:rPr>
        <w:t xml:space="preserve">。各部分权重和绩效汇总分值如下表所示：</w:t>
      </w:r>
    </w:p>
    <w:tbl>
      <w:tblPr>
        <w:tblStyle w:val="NormalTable"/>
        <w:tblW w:w="8289" w:type="dxa"/>
        <w:jc w:val="center"/>
        <w:tblLayout w:type="fixed"/>
        <w:tblCellMar>
          <w:top w:w="0" w:type="dxa"/>
          <w:left w:w="0" w:type="dxa"/>
          <w:bottom w:w="0" w:type="dxa"/>
          <w:right w:w="0" w:type="dxa"/>
        </w:tblCellMar>
        <w:tblLook w:firstRow="0" w:lastRow="0" w:firstColumn="0" w:lastColumn="0" w:noHBand="1" w:noVBand="1"/>
      </w:tblPr>
      <w:tblGrid>
        <w:gridCol w:w="1094"/>
        <w:gridCol w:w="1541"/>
        <w:gridCol w:w="1520"/>
        <w:gridCol w:w="1536"/>
        <w:gridCol w:w="1504"/>
        <w:gridCol w:w="1094"/>
      </w:tblGrid>
      <w:tr>
        <w:tblPrEx>
          <w:tblW w:w="8289" w:type="dxa"/>
          <w:tblLayout w:type="fixed"/>
          <w:tblCellMar>
            <w:top w:w="0" w:type="dxa"/>
            <w:left w:w="0" w:type="dxa"/>
            <w:bottom w:w="0" w:type="dxa"/>
            <w:right w:w="0" w:type="dxa"/>
          </w:tblCellMar>
        </w:tblPrEx>
        <w:trPr>
          <w:trHeight w:val="375"/>
          <w:jc w:val="center"/>
        </w:trPr>
        <w:tc>
          <w:tcPr>
            <w:tcW w:w="8289" w:type="dxa"/>
            <w:gridSpan w:val="6"/>
            <w:tcBorders>
              <w:top w:val="nil"/>
              <w:left w:val="nil"/>
              <w:bottom w:val="nil"/>
              <w:right w:val="nil"/>
            </w:tcBorders>
            <w:noWrap w:val="1"/>
            <w:tcMar>
              <w:top w:w="15" w:type="dxa"/>
              <w:left w:w="15" w:type="dxa"/>
              <w:bottom w:w="0" w:type="dxa"/>
              <w:right w:w="15" w:type="dxa"/>
            </w:tcMar>
            <w:vAlign w:val="center"/>
          </w:tcPr>
          <w:p>
            <w:pPr>
              <w:pStyle w:val="表格标题"/>
              <w:bidi w:val="0"/>
              <w:jc w:val="center"/>
              <w:rPr>
                <w:rFonts w:ascii="仿宋" w:eastAsia="仿宋" w:hAnsi="仿宋" w:cs="仿宋" w:hint="eastAsia"/>
                <w:color w:val="auto"/>
                <w:highlight w:val="none"/>
                <w:lang w:val="en-US" w:eastAsia="zh-CN"/>
              </w:rPr>
            </w:pPr>
            <w:bookmarkStart w:id="88" w:name="_Toc5597"/>
            <w:bookmarkStart w:id="89" w:name="_Toc16086"/>
            <w:bookmarkStart w:id="90" w:name="_Toc3703"/>
            <w:bookmarkStart w:id="91" w:name="_Toc17356"/>
            <w:bookmarkStart w:id="92" w:name="_Toc30727"/>
            <w:r>
              <w:rPr>
                <w:rFonts w:ascii="仿宋" w:eastAsia="仿宋" w:hAnsi="仿宋" w:cs="仿宋" w:hint="eastAsia"/>
                <w:color w:val="auto"/>
                <w:highlight w:val="none"/>
                <w:lang w:val="en-US" w:eastAsia="zh-CN"/>
              </w:rPr>
              <w:t xml:space="preserve">尉犁县2024年基层农技推广体系改革与建设项目</w:t>
            </w:r>
            <w:bookmarkEnd w:id="88"/>
          </w:p>
          <w:p>
            <w:pPr>
              <w:pStyle w:val="表格标题"/>
              <w:bidi w:val="0"/>
              <w:jc w:val="center"/>
              <w:rPr>
                <w:rFonts w:ascii="仿宋" w:eastAsia="仿宋" w:hAnsi="仿宋" w:cs="仿宋" w:hint="eastAsia"/>
                <w:color w:val="auto"/>
                <w:highlight w:val="none"/>
              </w:rPr>
            </w:pPr>
            <w:bookmarkStart w:id="93" w:name="_Toc32363"/>
            <w:r>
              <w:rPr>
                <w:rFonts w:ascii="仿宋" w:eastAsia="仿宋" w:hAnsi="仿宋" w:cs="仿宋" w:hint="eastAsia"/>
                <w:color w:val="auto"/>
                <w:highlight w:val="none"/>
              </w:rPr>
              <w:t xml:space="preserve">绩效评价</w:t>
            </w:r>
            <w:r>
              <w:rPr>
                <w:rFonts w:ascii="仿宋" w:eastAsia="仿宋" w:hAnsi="仿宋" w:cs="仿宋" w:hint="eastAsia"/>
                <w:color w:val="auto"/>
                <w:highlight w:val="none"/>
                <w:lang w:val="zh-TW" w:eastAsia="zh-TW"/>
              </w:rPr>
              <w:t xml:space="preserve">得分表</w:t>
            </w:r>
            <w:bookmarkEnd w:id="89"/>
            <w:bookmarkEnd w:id="90"/>
            <w:bookmarkEnd w:id="93"/>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指标类别</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1.项目决策</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2.过程管理</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3.项目产出</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4.项目效益</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合计</w:t>
            </w:r>
          </w:p>
        </w:tc>
      </w:tr>
      <w:tr>
        <w:tblPrEx>
          <w:tblW w:w="8289" w:type="dxa"/>
          <w:tblLayout w:type="fixed"/>
          <w:tblCellMar>
            <w:top w:w="0" w:type="dxa"/>
            <w:left w:w="0" w:type="dxa"/>
            <w:bottom w:w="0" w:type="dxa"/>
            <w:right w:w="0" w:type="dxa"/>
          </w:tblCellMar>
        </w:tblPrEx>
        <w:trPr>
          <w:trHeight w:val="441"/>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权重</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100</w:t>
            </w:r>
            <w:r>
              <w:rPr>
                <w:rFonts w:ascii="仿宋" w:eastAsia="仿宋" w:hAnsi="仿宋" w:cs="仿宋" w:hint="eastAsia"/>
                <w:color w:val="auto"/>
                <w:highlight w:val="none"/>
                <w:lang w:val="en-US" w:eastAsia="zh-CN"/>
              </w:rPr>
              <w:t xml:space="preserve">%</w:t>
            </w:r>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分值</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100</w:t>
            </w:r>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得分</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100</w:t>
            </w:r>
          </w:p>
        </w:tc>
      </w:tr>
    </w:tbl>
    <w:p>
      <w:pPr>
        <w:pStyle w:val="Heading2"/>
        <w:bidi w:val="0"/>
        <w:jc w:val="both"/>
        <w:outlineLvl w:val="0"/>
        <w:rPr>
          <w:rFonts w:ascii="仿宋" w:eastAsia="仿宋" w:hAnsi="仿宋" w:cs="仿宋" w:hint="eastAsia"/>
          <w:color w:val="auto"/>
          <w:highlight w:val="none"/>
        </w:rPr>
      </w:pPr>
      <w:bookmarkStart w:id="94" w:name="_Toc29439"/>
      <w:bookmarkStart w:id="95" w:name="_Toc13630"/>
      <w:bookmarkStart w:id="96" w:name="_Toc4904"/>
      <w:bookmarkStart w:id="97" w:name="_Toc22788"/>
      <w:r>
        <w:rPr>
          <w:rFonts w:ascii="仿宋" w:eastAsia="仿宋" w:hAnsi="仿宋" w:cs="仿宋" w:hint="eastAsia"/>
          <w:color w:val="auto"/>
          <w:highlight w:val="none"/>
        </w:rPr>
        <w:t xml:space="preserve">四、绩效评价指标分析</w:t>
      </w:r>
      <w:bookmarkEnd w:id="91"/>
      <w:bookmarkEnd w:id="92"/>
      <w:bookmarkEnd w:id="94"/>
      <w:bookmarkEnd w:id="95"/>
      <w:bookmarkEnd w:id="96"/>
      <w:bookmarkEnd w:id="97"/>
    </w:p>
    <w:p>
      <w:pPr>
        <w:pStyle w:val="Heading3"/>
        <w:bidi w:val="0"/>
        <w:jc w:val="both"/>
        <w:outlineLvl w:val="1"/>
        <w:rPr>
          <w:rFonts w:ascii="仿宋" w:eastAsia="仿宋" w:hAnsi="仿宋" w:cs="仿宋" w:hint="eastAsia"/>
          <w:color w:val="auto"/>
          <w:highlight w:val="none"/>
        </w:rPr>
      </w:pPr>
      <w:bookmarkStart w:id="98" w:name="_Toc1968"/>
      <w:bookmarkStart w:id="99" w:name="_Toc8607"/>
      <w:bookmarkStart w:id="100" w:name="_Toc22323"/>
      <w:bookmarkStart w:id="101" w:name="_Toc28477"/>
      <w:bookmarkStart w:id="102" w:name="_Toc2901"/>
      <w:r>
        <w:rPr>
          <w:rFonts w:ascii="仿宋" w:eastAsia="仿宋" w:hAnsi="仿宋" w:cs="仿宋" w:hint="eastAsia"/>
          <w:color w:val="auto"/>
          <w:highlight w:val="none"/>
        </w:rPr>
        <w:t xml:space="preserve">（一）项目决策情况</w:t>
      </w:r>
      <w:bookmarkEnd w:id="98"/>
      <w:bookmarkEnd w:id="99"/>
      <w:bookmarkEnd w:id="100"/>
      <w:bookmarkEnd w:id="101"/>
      <w:bookmarkEnd w:id="102"/>
    </w:p>
    <w:p>
      <w:pPr>
        <w:bidi w:val="0"/>
        <w:jc w:val="both"/>
        <w:rPr>
          <w:rFonts w:ascii="仿宋" w:eastAsia="仿宋" w:hAnsi="仿宋" w:cs="仿宋" w:hint="eastAsia"/>
          <w:b/>
          <w:bCs/>
          <w:color w:val="auto"/>
          <w:highlight w:val="none"/>
        </w:rPr>
      </w:pPr>
      <w:bookmarkStart w:id="103" w:name="_Toc22511"/>
      <w:bookmarkStart w:id="104" w:name="_Toc510"/>
      <w:r>
        <w:rPr>
          <w:rFonts w:ascii="仿宋" w:eastAsia="仿宋" w:hAnsi="仿宋" w:cs="仿宋" w:hint="eastAsia"/>
          <w:b/>
          <w:bCs/>
          <w:color w:val="auto"/>
          <w:highlight w:val="none"/>
        </w:rPr>
        <w:t xml:space="preserve">1.</w:t>
      </w:r>
      <w:r>
        <w:rPr>
          <w:rFonts w:ascii="仿宋" w:eastAsia="仿宋" w:hAnsi="仿宋" w:cs="仿宋" w:hint="eastAsia"/>
          <w:b/>
          <w:bCs/>
          <w:color w:val="auto"/>
          <w:highlight w:val="none"/>
          <w:lang w:eastAsia="zh-CN"/>
        </w:rPr>
        <w:t xml:space="preserve">实施</w:t>
      </w:r>
      <w:r>
        <w:rPr>
          <w:rFonts w:ascii="仿宋" w:eastAsia="仿宋" w:hAnsi="仿宋" w:cs="仿宋" w:hint="eastAsia"/>
          <w:b/>
          <w:bCs/>
          <w:color w:val="auto"/>
          <w:highlight w:val="none"/>
        </w:rPr>
        <w:t xml:space="preserve">依据充分性</w:t>
      </w:r>
      <w:bookmarkEnd w:id="103"/>
      <w:bookmarkEnd w:id="10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w:t>
      </w:r>
      <w:r>
        <w:rPr>
          <w:rFonts w:ascii="仿宋" w:eastAsia="仿宋" w:hAnsi="仿宋" w:cs="仿宋" w:hint="eastAsia"/>
          <w:color w:val="auto"/>
          <w:highlight w:val="none"/>
        </w:rPr>
        <w:t xml:space="preserve">项目</w:t>
      </w:r>
      <w:r>
        <w:rPr>
          <w:rFonts w:ascii="仿宋" w:eastAsia="仿宋" w:hAnsi="仿宋" w:cs="仿宋" w:hint="eastAsia"/>
          <w:color w:val="auto"/>
          <w:highlight w:val="none"/>
          <w:lang w:val="en-US" w:eastAsia="zh-CN"/>
        </w:rPr>
        <w:t xml:space="preserve">实施</w:t>
      </w:r>
      <w:r>
        <w:rPr>
          <w:rFonts w:ascii="仿宋" w:eastAsia="仿宋" w:hAnsi="仿宋" w:cs="仿宋" w:hint="eastAsia"/>
          <w:color w:val="auto"/>
          <w:highlight w:val="none"/>
        </w:rPr>
        <w:t xml:space="preserve">符合</w:t>
      </w:r>
      <w:r>
        <w:rPr>
          <w:rFonts w:ascii="仿宋" w:eastAsia="仿宋" w:hAnsi="仿宋" w:cs="仿宋" w:hint="eastAsia"/>
          <w:color w:val="auto"/>
          <w:highlight w:val="none"/>
          <w:lang w:val="en-US"/>
        </w:rPr>
        <w:t xml:space="preserve">巴州农业农村局</w:t>
      </w:r>
      <w:r>
        <w:rPr>
          <w:rFonts w:ascii="仿宋" w:eastAsia="仿宋" w:hAnsi="仿宋" w:cs="仿宋" w:hint="eastAsia"/>
          <w:color w:val="auto"/>
          <w:highlight w:val="none"/>
        </w:rPr>
        <w:t xml:space="preserve">颁发的</w:t>
      </w:r>
      <w:r>
        <w:rPr>
          <w:rFonts w:ascii="仿宋" w:eastAsia="仿宋" w:hAnsi="仿宋" w:cs="仿宋" w:hint="eastAsia"/>
          <w:b w:val="0"/>
          <w:bCs w:val="0"/>
          <w:i w:val="0"/>
          <w:iCs w:val="0"/>
          <w:color w:val="auto"/>
          <w:kern w:val="2"/>
          <w:sz w:val="32"/>
          <w:szCs w:val="22"/>
          <w:highlight w:val="none"/>
          <w:vertAlign w:val="baseline"/>
          <w:lang w:val="en-US" w:eastAsia="zh-CN" w:bidi="ar-SA"/>
        </w:rPr>
        <w:t xml:space="preserve">《巴州2024年基层农技推广体系改革与建设项目实施方案》〔2023〕57号</w:t>
      </w:r>
      <w:r>
        <w:rPr>
          <w:rFonts w:ascii="仿宋" w:eastAsia="仿宋" w:hAnsi="仿宋" w:cs="仿宋" w:hint="eastAsia"/>
          <w:color w:val="auto"/>
          <w:highlight w:val="none"/>
        </w:rPr>
        <w:t xml:space="preserve">内容，</w:t>
      </w:r>
      <w:r>
        <w:rPr>
          <w:rFonts w:ascii="仿宋" w:eastAsia="仿宋" w:hAnsi="仿宋" w:cs="仿宋" w:hint="eastAsia"/>
          <w:color w:val="auto"/>
          <w:highlight w:val="none"/>
        </w:rPr>
        <w:t xml:space="preserve">符合行业发展规</w:t>
      </w:r>
      <w:r>
        <w:rPr>
          <w:rFonts w:ascii="仿宋" w:eastAsia="仿宋" w:hAnsi="仿宋" w:cs="仿宋" w:hint="eastAsia"/>
          <w:color w:val="000000"/>
          <w:highlight w:val="none"/>
        </w:rPr>
        <w:t xml:space="preserve">划和政策要求</w:t>
      </w:r>
      <w:r>
        <w:rPr>
          <w:rFonts w:ascii="仿宋" w:eastAsia="仿宋" w:hAnsi="仿宋" w:cs="仿宋" w:hint="eastAsia"/>
          <w:color w:val="000000"/>
          <w:highlight w:val="none"/>
        </w:rPr>
        <w:t xml:space="preserve">；</w:t>
      </w:r>
      <w:r>
        <w:rPr>
          <w:rFonts w:ascii="仿宋" w:eastAsia="仿宋" w:hAnsi="仿宋" w:cs="仿宋" w:hint="eastAsia"/>
          <w:color w:val="000000"/>
          <w:highlight w:val="none"/>
          <w:lang w:val="en-US" w:eastAsia="zh-CN"/>
        </w:rPr>
        <w:t xml:space="preserve">因此，</w:t>
      </w:r>
      <w:r>
        <w:rPr>
          <w:rFonts w:ascii="仿宋" w:eastAsia="仿宋" w:hAnsi="仿宋" w:cs="仿宋" w:hint="eastAsia"/>
          <w:color w:val="auto"/>
          <w:highlight w:val="none"/>
        </w:rPr>
        <w:t xml:space="preserve">项目</w:t>
      </w:r>
      <w:r>
        <w:rPr>
          <w:rFonts w:ascii="仿宋" w:eastAsia="仿宋" w:hAnsi="仿宋" w:cs="仿宋" w:hint="eastAsia"/>
          <w:color w:val="auto"/>
          <w:highlight w:val="none"/>
          <w:lang w:val="en-US" w:eastAsia="zh-CN"/>
        </w:rPr>
        <w:t xml:space="preserve">实施</w:t>
      </w:r>
      <w:r>
        <w:rPr>
          <w:rFonts w:ascii="仿宋" w:eastAsia="仿宋" w:hAnsi="仿宋" w:cs="仿宋" w:hint="eastAsia"/>
          <w:color w:val="auto"/>
          <w:highlight w:val="none"/>
        </w:rPr>
        <w:t xml:space="preserve">符合国家法律法规、国民经济发展规划和相关政策；符合行业发展规划和政策要求；与部门职责范围相符，属</w:t>
      </w:r>
      <w:r>
        <w:rPr>
          <w:rFonts w:ascii="仿宋" w:eastAsia="仿宋" w:hAnsi="仿宋" w:cs="仿宋" w:hint="eastAsia"/>
          <w:color w:val="auto"/>
          <w:highlight w:val="none"/>
        </w:rPr>
        <w:t xml:space="preserve">干部</w:t>
      </w:r>
      <w:r>
        <w:rPr>
          <w:rFonts w:ascii="仿宋" w:eastAsia="仿宋" w:hAnsi="仿宋" w:cs="仿宋" w:hint="eastAsia"/>
          <w:color w:val="auto"/>
          <w:highlight w:val="none"/>
        </w:rPr>
        <w:t xml:space="preserve">门履职所需；属于公共财政支持范围，符合中央、地方事权支出责任划分原则；</w:t>
      </w:r>
      <w:r>
        <w:rPr>
          <w:rFonts w:ascii="仿宋" w:eastAsia="仿宋" w:hAnsi="仿宋" w:cs="仿宋" w:hint="eastAsia"/>
          <w:color w:val="auto"/>
          <w:highlight w:val="none"/>
          <w:lang w:val="en-US" w:eastAsia="zh-CN"/>
        </w:rPr>
        <w:t xml:space="preserve">不存在</w:t>
      </w:r>
      <w:r>
        <w:rPr>
          <w:rFonts w:ascii="仿宋" w:eastAsia="仿宋" w:hAnsi="仿宋" w:cs="仿宋" w:hint="eastAsia"/>
          <w:color w:val="auto"/>
          <w:highlight w:val="none"/>
        </w:rPr>
        <w:t xml:space="preserve">与相关部门同类项目或部门内部相关项目重复</w:t>
      </w:r>
      <w:r>
        <w:rPr>
          <w:rFonts w:ascii="仿宋" w:eastAsia="仿宋" w:hAnsi="仿宋" w:cs="仿宋" w:hint="eastAsia"/>
          <w:color w:val="auto"/>
          <w:highlight w:val="none"/>
          <w:lang w:val="en-US" w:eastAsia="zh-CN"/>
        </w:rPr>
        <w:t xml:space="preserve">的现象</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项目实施依据充分。</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05" w:name="_Toc27895"/>
      <w:bookmarkStart w:id="106" w:name="_Toc283"/>
      <w:r>
        <w:rPr>
          <w:rFonts w:ascii="仿宋" w:eastAsia="仿宋" w:hAnsi="仿宋" w:cs="仿宋" w:hint="eastAsia"/>
          <w:b/>
          <w:bCs/>
          <w:color w:val="auto"/>
          <w:highlight w:val="none"/>
        </w:rPr>
        <w:t xml:space="preserve">2.</w:t>
      </w:r>
      <w:r>
        <w:rPr>
          <w:rFonts w:ascii="仿宋" w:eastAsia="仿宋" w:hAnsi="仿宋" w:cs="仿宋" w:hint="eastAsia"/>
          <w:b/>
          <w:bCs/>
          <w:color w:val="auto"/>
          <w:highlight w:val="none"/>
          <w:lang w:eastAsia="zh-CN"/>
        </w:rPr>
        <w:t xml:space="preserve">实施</w:t>
      </w:r>
      <w:r>
        <w:rPr>
          <w:rFonts w:ascii="仿宋" w:eastAsia="仿宋" w:hAnsi="仿宋" w:cs="仿宋" w:hint="eastAsia"/>
          <w:b/>
          <w:bCs/>
          <w:color w:val="auto"/>
          <w:highlight w:val="none"/>
        </w:rPr>
        <w:t xml:space="preserve">程序规范性</w:t>
      </w:r>
      <w:bookmarkEnd w:id="105"/>
      <w:bookmarkEnd w:id="106"/>
    </w:p>
    <w:p>
      <w:pPr>
        <w:bidi w:val="0"/>
        <w:rPr>
          <w:rFonts w:ascii="仿宋" w:eastAsia="仿宋" w:hAnsi="仿宋" w:cs="仿宋" w:hint="eastAsia"/>
          <w:color w:val="auto"/>
          <w:highlight w:val="none"/>
        </w:rPr>
      </w:pPr>
      <w:r>
        <w:rPr>
          <w:rFonts w:ascii="仿宋" w:eastAsia="仿宋" w:hAnsi="仿宋" w:cs="仿宋" w:hint="eastAsia"/>
          <w:color w:val="auto"/>
          <w:highlight w:val="none"/>
        </w:rPr>
        <w:t xml:space="preserve">本项目实施单位</w:t>
      </w:r>
      <w:r>
        <w:rPr>
          <w:rFonts w:ascii="仿宋" w:eastAsia="仿宋" w:hAnsi="仿宋" w:cs="仿宋" w:hint="eastAsia"/>
          <w:color w:val="auto"/>
          <w:highlight w:val="none"/>
          <w:lang w:val="en-US" w:eastAsia="zh-CN"/>
        </w:rPr>
        <w:t xml:space="preserve">尉犁县农业技术推广中心</w:t>
      </w:r>
      <w:r>
        <w:rPr>
          <w:rFonts w:ascii="仿宋" w:eastAsia="仿宋" w:hAnsi="仿宋" w:cs="仿宋" w:hint="eastAsia"/>
          <w:color w:val="auto"/>
          <w:highlight w:val="none"/>
        </w:rPr>
        <w:t xml:space="preserve">编制了</w:t>
      </w:r>
      <w:r>
        <w:rPr>
          <w:rFonts w:ascii="仿宋" w:eastAsia="仿宋" w:hAnsi="仿宋" w:cs="仿宋" w:hint="eastAsia"/>
          <w:color w:val="auto"/>
          <w:highlight w:val="none"/>
          <w:lang w:val="en-US" w:eastAsia="zh-CN"/>
        </w:rPr>
        <w:t xml:space="preserve">尉犁县2024年基层农技推广体系改革与建设项目实施方案</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2024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月完成实施方案编制</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通过尉犁县农业农村局党组会议。因此，实施</w:t>
      </w:r>
      <w:r>
        <w:rPr>
          <w:rFonts w:ascii="仿宋" w:eastAsia="仿宋" w:hAnsi="仿宋" w:cs="仿宋" w:hint="eastAsia"/>
          <w:color w:val="auto"/>
          <w:highlight w:val="none"/>
        </w:rPr>
        <w:t xml:space="preserve">程序规范；审批文件、材料符合相</w:t>
      </w:r>
      <w:r>
        <w:rPr>
          <w:rFonts w:ascii="仿宋" w:eastAsia="仿宋" w:hAnsi="仿宋" w:cs="仿宋" w:hint="eastAsia"/>
          <w:color w:val="000000"/>
          <w:highlight w:val="none"/>
        </w:rPr>
        <w:t xml:space="preserve">关要求，事前已经过必要的集体决策，实施程序规范。</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07" w:name="_Toc20471"/>
      <w:bookmarkStart w:id="108" w:name="_Toc13368"/>
      <w:r>
        <w:rPr>
          <w:rFonts w:ascii="仿宋" w:eastAsia="仿宋" w:hAnsi="仿宋" w:cs="仿宋" w:hint="eastAsia"/>
          <w:b/>
          <w:bCs/>
          <w:color w:val="auto"/>
          <w:highlight w:val="none"/>
        </w:rPr>
        <w:t xml:space="preserve">3.绩效目标合理性</w:t>
      </w:r>
      <w:bookmarkEnd w:id="107"/>
      <w:bookmarkEnd w:id="108"/>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设立了项目绩效目标，绩效目标指标设置合理，项目绩效目标与实际工作内容相关性较强；项目预期产出效益和效果符合正常的业绩水平；绩效目标与预算确定的项目投资额相匹配。</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09" w:name="_Toc21087"/>
      <w:bookmarkStart w:id="110" w:name="_Toc15543"/>
      <w:r>
        <w:rPr>
          <w:rFonts w:ascii="仿宋" w:eastAsia="仿宋" w:hAnsi="仿宋" w:cs="仿宋" w:hint="eastAsia"/>
          <w:b/>
          <w:bCs/>
          <w:color w:val="auto"/>
          <w:highlight w:val="none"/>
        </w:rPr>
        <w:t xml:space="preserve">4.绩效指标明确性</w:t>
      </w:r>
      <w:bookmarkEnd w:id="109"/>
      <w:bookmarkEnd w:id="11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，设置一级指标3条，二级指标</w:t>
      </w:r>
      <w:r>
        <w:rPr>
          <w:rFonts w:ascii="仿宋" w:eastAsia="仿宋" w:hAnsi="仿宋" w:cs="仿宋" w:hint="eastAsia"/>
          <w:color w:val="auto"/>
          <w:highlight w:val="none"/>
          <w:lang w:val="en-US" w:eastAsia="zh-CN"/>
        </w:rPr>
        <w:t xml:space="preserve">6</w:t>
      </w:r>
      <w:r>
        <w:rPr>
          <w:rFonts w:ascii="仿宋" w:eastAsia="仿宋" w:hAnsi="仿宋" w:cs="仿宋" w:hint="eastAsia"/>
          <w:color w:val="auto"/>
          <w:highlight w:val="none"/>
        </w:rPr>
        <w:t xml:space="preserve">条，三级指标</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条，其中量化指标</w:t>
      </w:r>
      <w:r>
        <w:rPr>
          <w:rFonts w:ascii="仿宋" w:eastAsia="仿宋" w:hAnsi="仿宋" w:cs="仿宋" w:hint="eastAsia"/>
          <w:color w:val="auto"/>
          <w:highlight w:val="none"/>
          <w:lang w:val="en-US" w:eastAsia="zh-CN"/>
        </w:rPr>
        <w:t xml:space="preserve">9</w:t>
      </w:r>
      <w:r>
        <w:rPr>
          <w:rFonts w:ascii="仿宋" w:eastAsia="仿宋" w:hAnsi="仿宋" w:cs="仿宋" w:hint="eastAsia"/>
          <w:color w:val="auto"/>
          <w:highlight w:val="none"/>
        </w:rPr>
        <w:t xml:space="preserve">条，绩效目标指标设定清晰、可衡量性较强，与项目目标任务计划数对应性较强。</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11" w:name="_Toc25638"/>
      <w:bookmarkStart w:id="112" w:name="_Toc21476"/>
      <w:r>
        <w:rPr>
          <w:rFonts w:ascii="仿宋" w:eastAsia="仿宋" w:hAnsi="仿宋" w:cs="仿宋" w:hint="eastAsia"/>
          <w:b/>
          <w:bCs/>
          <w:color w:val="auto"/>
          <w:highlight w:val="none"/>
        </w:rPr>
        <w:t xml:space="preserve">5.预算编制科学性</w:t>
      </w:r>
      <w:bookmarkEnd w:id="111"/>
      <w:bookmarkEnd w:id="112"/>
    </w:p>
    <w:p>
      <w:pPr>
        <w:bidi w:val="0"/>
        <w:rPr>
          <w:rFonts w:ascii="仿宋" w:eastAsia="仿宋" w:hAnsi="仿宋" w:cs="仿宋" w:hint="eastAsia"/>
        </w:rPr>
      </w:pPr>
      <w:r>
        <w:rPr>
          <w:rFonts w:ascii="仿宋" w:eastAsia="仿宋" w:hAnsi="仿宋" w:cs="仿宋" w:hint="eastAsia"/>
        </w:rPr>
        <w:t xml:space="preserve">本项目预算资金</w:t>
      </w:r>
      <w:r>
        <w:rPr>
          <w:rFonts w:ascii="仿宋" w:eastAsia="仿宋" w:hAnsi="仿宋" w:cs="仿宋" w:hint="eastAsia"/>
          <w:lang w:val="en-US" w:eastAsia="zh-CN"/>
        </w:rPr>
        <w:t xml:space="preserve">104.4</w:t>
      </w:r>
      <w:r>
        <w:rPr>
          <w:rFonts w:ascii="仿宋" w:eastAsia="仿宋" w:hAnsi="仿宋" w:cs="仿宋" w:hint="eastAsia"/>
        </w:rPr>
        <w:t xml:space="preserve">万元，来源为</w:t>
      </w:r>
      <w:r>
        <w:rPr>
          <w:rFonts w:ascii="仿宋" w:eastAsia="仿宋" w:hAnsi="仿宋" w:cs="仿宋" w:hint="eastAsia"/>
          <w:lang w:val="en-US" w:eastAsia="zh-CN"/>
        </w:rPr>
        <w:t xml:space="preserve">中央补助</w:t>
      </w:r>
      <w:r>
        <w:rPr>
          <w:rFonts w:ascii="仿宋" w:eastAsia="仿宋" w:hAnsi="仿宋" w:cs="仿宋" w:hint="eastAsia"/>
        </w:rPr>
        <w:t xml:space="preserve">资金</w:t>
      </w:r>
      <w:r>
        <w:rPr>
          <w:rFonts w:ascii="仿宋" w:eastAsia="仿宋" w:hAnsi="仿宋" w:cs="仿宋" w:hint="eastAsia"/>
          <w:lang w:val="en-US" w:eastAsia="zh-CN"/>
        </w:rPr>
        <w:t xml:space="preserve">104.4</w:t>
      </w:r>
      <w:r>
        <w:rPr>
          <w:rFonts w:ascii="仿宋" w:eastAsia="仿宋" w:hAnsi="仿宋" w:cs="仿宋" w:hint="eastAsia"/>
        </w:rPr>
        <w:t xml:space="preserve">万元，预算编制较为科学，预算内容与项目建设内容相匹配，预算额度测算依据充分，预算确定的资金量与工程量相匹配。</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13" w:name="_Toc21577"/>
      <w:bookmarkStart w:id="114" w:name="_Toc30661"/>
      <w:r>
        <w:rPr>
          <w:rFonts w:ascii="仿宋" w:eastAsia="仿宋" w:hAnsi="仿宋" w:cs="仿宋" w:hint="eastAsia"/>
          <w:b/>
          <w:bCs/>
          <w:color w:val="auto"/>
          <w:highlight w:val="none"/>
        </w:rPr>
        <w:t xml:space="preserve">6.资金分配合理性</w:t>
      </w:r>
      <w:bookmarkEnd w:id="113"/>
      <w:bookmarkEnd w:id="11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本项目预算资金分配依据充分；资金分配额度合理，与项目单位实际相适应。</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pStyle w:val="Heading3"/>
        <w:bidi w:val="0"/>
        <w:outlineLvl w:val="1"/>
        <w:rPr>
          <w:rFonts w:ascii="仿宋" w:eastAsia="仿宋" w:hAnsi="仿宋" w:cs="仿宋" w:hint="eastAsia"/>
        </w:rPr>
      </w:pPr>
      <w:bookmarkStart w:id="115" w:name="_Toc30992"/>
      <w:bookmarkStart w:id="116" w:name="_Toc13442"/>
      <w:bookmarkStart w:id="117" w:name="_Toc27855"/>
      <w:bookmarkStart w:id="118" w:name="_Toc9897"/>
      <w:bookmarkStart w:id="119" w:name="_Toc16141"/>
      <w:r>
        <w:rPr>
          <w:rFonts w:ascii="仿宋" w:eastAsia="仿宋" w:hAnsi="仿宋" w:cs="仿宋" w:hint="eastAsia"/>
        </w:rPr>
        <w:t xml:space="preserve">（二）项目过程情况</w:t>
      </w:r>
      <w:bookmarkEnd w:id="115"/>
      <w:bookmarkEnd w:id="116"/>
      <w:bookmarkEnd w:id="117"/>
      <w:bookmarkEnd w:id="118"/>
      <w:bookmarkEnd w:id="119"/>
    </w:p>
    <w:p>
      <w:pPr>
        <w:bidi w:val="0"/>
        <w:jc w:val="both"/>
        <w:rPr>
          <w:rFonts w:ascii="仿宋" w:eastAsia="仿宋" w:hAnsi="仿宋" w:cs="仿宋" w:hint="eastAsia"/>
          <w:b/>
          <w:bCs/>
          <w:color w:val="auto"/>
          <w:highlight w:val="none"/>
        </w:rPr>
      </w:pPr>
      <w:bookmarkStart w:id="120" w:name="_Toc19854"/>
      <w:bookmarkStart w:id="121" w:name="_Toc29417"/>
      <w:r>
        <w:rPr>
          <w:rFonts w:ascii="仿宋" w:eastAsia="仿宋" w:hAnsi="仿宋" w:cs="仿宋" w:hint="eastAsia"/>
          <w:b/>
          <w:bCs/>
          <w:color w:val="auto"/>
          <w:highlight w:val="none"/>
        </w:rPr>
        <w:t xml:space="preserve">1.资金到位率</w:t>
      </w:r>
      <w:bookmarkEnd w:id="120"/>
      <w:bookmarkEnd w:id="121"/>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本项目预算资金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万元，实际到位资金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万元，资金到位率100%。</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22" w:name="_Toc29889"/>
      <w:bookmarkStart w:id="123" w:name="_Toc13724"/>
      <w:r>
        <w:rPr>
          <w:rFonts w:ascii="仿宋" w:eastAsia="仿宋" w:hAnsi="仿宋" w:cs="仿宋" w:hint="eastAsia"/>
          <w:b/>
          <w:bCs/>
          <w:color w:val="auto"/>
          <w:highlight w:val="none"/>
        </w:rPr>
        <w:t xml:space="preserve">2.预算执行率</w:t>
      </w:r>
      <w:bookmarkEnd w:id="122"/>
      <w:bookmarkEnd w:id="12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万元，实际支付资金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万元，预算执行率为</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分。</w:t>
      </w:r>
    </w:p>
    <w:p>
      <w:pPr>
        <w:bidi w:val="0"/>
        <w:jc w:val="both"/>
        <w:rPr>
          <w:rFonts w:ascii="仿宋" w:eastAsia="仿宋" w:hAnsi="仿宋" w:cs="仿宋" w:hint="eastAsia"/>
          <w:b/>
          <w:bCs/>
          <w:color w:val="auto"/>
          <w:highlight w:val="none"/>
        </w:rPr>
      </w:pPr>
      <w:bookmarkStart w:id="124" w:name="_Toc8316"/>
      <w:bookmarkStart w:id="125" w:name="_Toc2484"/>
      <w:r>
        <w:rPr>
          <w:rFonts w:ascii="仿宋" w:eastAsia="仿宋" w:hAnsi="仿宋" w:cs="仿宋" w:hint="eastAsia"/>
          <w:b/>
          <w:bCs/>
          <w:color w:val="auto"/>
          <w:highlight w:val="none"/>
        </w:rPr>
        <w:t xml:space="preserve">3.资金使用合规性</w:t>
      </w:r>
      <w:bookmarkEnd w:id="124"/>
      <w:bookmarkEnd w:id="125"/>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本项目资金的使用符合</w:t>
      </w:r>
      <w:r>
        <w:rPr>
          <w:rFonts w:ascii="仿宋" w:eastAsia="仿宋" w:hAnsi="仿宋" w:cs="仿宋" w:hint="eastAsia"/>
          <w:color w:val="auto"/>
          <w:highlight w:val="none"/>
          <w:lang w:val="en-US" w:eastAsia="zh-CN"/>
        </w:rPr>
        <w:t xml:space="preserve">《中华人民共和国预算法》《中华人民共和国会计法》《中华人民共和国招标投标法》等</w:t>
      </w:r>
      <w:r>
        <w:rPr>
          <w:rFonts w:ascii="仿宋" w:eastAsia="仿宋" w:hAnsi="仿宋" w:cs="仿宋" w:hint="eastAsia"/>
          <w:color w:val="auto"/>
          <w:highlight w:val="none"/>
          <w:lang w:eastAsia="zh-CN"/>
        </w:rPr>
        <w:t xml:space="preserve">国家</w:t>
      </w:r>
      <w:r>
        <w:rPr>
          <w:rFonts w:ascii="仿宋" w:eastAsia="仿宋" w:hAnsi="仿宋" w:cs="仿宋" w:hint="eastAsia"/>
          <w:color w:val="auto"/>
          <w:highlight w:val="none"/>
          <w:lang w:val="en-US" w:eastAsia="zh-CN"/>
        </w:rPr>
        <w:t xml:space="preserve">有关</w:t>
      </w:r>
      <w:r>
        <w:rPr>
          <w:rFonts w:ascii="仿宋" w:eastAsia="仿宋" w:hAnsi="仿宋" w:cs="仿宋" w:hint="eastAsia"/>
          <w:color w:val="auto"/>
          <w:highlight w:val="none"/>
          <w:lang w:eastAsia="zh-CN"/>
        </w:rPr>
        <w:t xml:space="preserve">财经法规</w:t>
      </w:r>
      <w:r>
        <w:rPr>
          <w:rFonts w:ascii="仿宋" w:eastAsia="仿宋" w:hAnsi="仿宋" w:cs="仿宋" w:hint="eastAsia"/>
          <w:color w:val="auto"/>
          <w:highlight w:val="none"/>
          <w:lang w:val="en-US" w:eastAsia="zh-CN"/>
        </w:rPr>
        <w:t xml:space="preserve">以及预算管理制度。</w:t>
      </w:r>
      <w:r>
        <w:rPr>
          <w:rFonts w:ascii="仿宋" w:eastAsia="仿宋" w:hAnsi="仿宋" w:cs="仿宋" w:hint="eastAsia"/>
          <w:color w:val="auto"/>
          <w:highlight w:val="none"/>
        </w:rPr>
        <w:t xml:space="preserve">资金的</w:t>
      </w:r>
      <w:r>
        <w:rPr>
          <w:rFonts w:ascii="仿宋" w:eastAsia="仿宋" w:hAnsi="仿宋" w:cs="仿宋" w:hint="eastAsia"/>
          <w:color w:val="auto"/>
          <w:highlight w:val="none"/>
          <w:lang w:val="en-US" w:eastAsia="zh-CN"/>
        </w:rPr>
        <w:t xml:space="preserve">审批和</w:t>
      </w:r>
      <w:r>
        <w:rPr>
          <w:rFonts w:ascii="仿宋" w:eastAsia="仿宋" w:hAnsi="仿宋" w:cs="仿宋" w:hint="eastAsia"/>
          <w:color w:val="auto"/>
          <w:highlight w:val="none"/>
        </w:rPr>
        <w:t xml:space="preserve">拨付</w:t>
      </w:r>
      <w:r>
        <w:rPr>
          <w:rFonts w:ascii="仿宋" w:eastAsia="仿宋" w:hAnsi="仿宋" w:cs="仿宋" w:hint="eastAsia"/>
          <w:color w:val="auto"/>
          <w:highlight w:val="none"/>
          <w:lang w:val="en-US" w:eastAsia="zh-CN"/>
        </w:rPr>
        <w:t xml:space="preserve">按照《尉犁县财政资金审批管理办法》执行</w:t>
      </w:r>
      <w:r>
        <w:rPr>
          <w:rFonts w:ascii="仿宋" w:eastAsia="仿宋" w:hAnsi="仿宋" w:cs="仿宋" w:hint="eastAsia"/>
          <w:color w:val="auto"/>
          <w:highlight w:val="none"/>
        </w:rPr>
        <w:t xml:space="preserve">。资金的拨付有完整的审批程序和手续；资金使用符合专项资金支持的范围。不存在截留、挤占、挪用、虚列支出等情况。</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26" w:name="_Toc20651"/>
      <w:bookmarkStart w:id="127" w:name="_Toc15332"/>
      <w:r>
        <w:rPr>
          <w:rFonts w:ascii="仿宋" w:eastAsia="仿宋" w:hAnsi="仿宋" w:cs="仿宋" w:hint="eastAsia"/>
          <w:b/>
          <w:bCs/>
          <w:color w:val="auto"/>
          <w:highlight w:val="none"/>
        </w:rPr>
        <w:t xml:space="preserve">4.管理制度健全性</w:t>
      </w:r>
      <w:bookmarkEnd w:id="126"/>
      <w:bookmarkEnd w:id="127"/>
    </w:p>
    <w:p>
      <w:pPr>
        <w:bidi w:val="0"/>
        <w:jc w:val="both"/>
        <w:rPr>
          <w:rFonts w:ascii="仿宋" w:eastAsia="仿宋" w:hAnsi="仿宋" w:cs="仿宋" w:hint="eastAsia"/>
          <w:color w:val="auto"/>
          <w:highlight w:val="none"/>
        </w:rPr>
      </w:pP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rPr>
        <w:t xml:space="preserve">制定了</w:t>
      </w:r>
      <w:r>
        <w:rPr>
          <w:rFonts w:ascii="仿宋" w:eastAsia="仿宋" w:hAnsi="仿宋" w:cs="仿宋" w:hint="eastAsia"/>
          <w:color w:val="auto"/>
          <w:highlight w:val="none"/>
          <w:lang w:val="en-US" w:eastAsia="zh-CN"/>
        </w:rPr>
        <w:t xml:space="preserve">《</w:t>
      </w: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lang w:val="en-US" w:eastAsia="zh-CN"/>
        </w:rPr>
        <w:t xml:space="preserve">财务管理制度》和《</w:t>
      </w: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lang w:val="en-US" w:eastAsia="zh-CN"/>
        </w:rPr>
        <w:t xml:space="preserve">预算管理内控制度》，制定了较为全面的项目管理制度，对项目实施、组织与管理、跟踪与验收、监督与评价以及资金管理等方面都做出明确的规范要求。同时，项目的实施严格遵守《中华人民共和国预算法》《中华人民共和国会计法》《政府投资条例》等法律法规、财经制度的要求，</w:t>
      </w:r>
      <w:r>
        <w:rPr>
          <w:rFonts w:ascii="仿宋" w:eastAsia="仿宋" w:hAnsi="仿宋" w:cs="仿宋" w:hint="eastAsia"/>
          <w:color w:val="auto"/>
          <w:highlight w:val="none"/>
        </w:rPr>
        <w:t xml:space="preserve">资金管理等方面都做出明确的规范的要求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财务制度和业务管理制度</w:t>
      </w:r>
      <w:r>
        <w:rPr>
          <w:rFonts w:ascii="仿宋" w:eastAsia="仿宋" w:hAnsi="仿宋" w:cs="仿宋" w:hint="eastAsia"/>
          <w:color w:val="auto"/>
          <w:highlight w:val="none"/>
          <w:lang w:val="en-US" w:eastAsia="zh-CN"/>
        </w:rPr>
        <w:t xml:space="preserve">健全</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28" w:name="_Toc14853"/>
      <w:bookmarkStart w:id="129" w:name="_Toc14023"/>
      <w:r>
        <w:rPr>
          <w:rFonts w:ascii="仿宋" w:eastAsia="仿宋" w:hAnsi="仿宋" w:cs="仿宋" w:hint="eastAsia"/>
          <w:b/>
          <w:bCs/>
          <w:color w:val="auto"/>
          <w:highlight w:val="none"/>
        </w:rPr>
        <w:t xml:space="preserve">5.制度执行有效性</w:t>
      </w:r>
      <w:bookmarkEnd w:id="128"/>
      <w:bookmarkEnd w:id="129"/>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本项目在实施过程中严格遵守相关法律法规和相关管理规定，如《中华人民共和国预算法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中华人民共和国会计法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等，严格执行基本建设程序，</w:t>
      </w:r>
      <w:r>
        <w:rPr>
          <w:rFonts w:ascii="仿宋" w:eastAsia="仿宋" w:hAnsi="仿宋" w:cs="仿宋" w:hint="eastAsia"/>
          <w:color w:val="auto"/>
          <w:highlight w:val="none"/>
          <w:lang w:val="en-US" w:eastAsia="zh-CN"/>
        </w:rPr>
        <w:t xml:space="preserve">项目申报、审批、实施、资金拨付、检查及审计等</w:t>
      </w:r>
      <w:r>
        <w:rPr>
          <w:rFonts w:ascii="仿宋" w:eastAsia="仿宋" w:hAnsi="仿宋" w:cs="仿宋" w:hint="eastAsia"/>
          <w:color w:val="auto"/>
          <w:highlight w:val="none"/>
        </w:rPr>
        <w:t xml:space="preserve">有关资料齐全，并及时整理归档。</w:t>
      </w:r>
      <w:r>
        <w:rPr>
          <w:rFonts w:ascii="仿宋" w:eastAsia="仿宋" w:hAnsi="仿宋" w:cs="仿宋" w:hint="eastAsia"/>
          <w:color w:val="auto"/>
          <w:highlight w:val="none"/>
          <w:lang w:val="en-US" w:eastAsia="zh-CN"/>
        </w:rPr>
        <w:t xml:space="preserve">本项目无项目调整及支出调整，制度执行有效性较高。</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pStyle w:val="Heading3"/>
        <w:bidi w:val="0"/>
        <w:jc w:val="both"/>
        <w:outlineLvl w:val="1"/>
        <w:rPr>
          <w:rFonts w:ascii="仿宋" w:eastAsia="仿宋" w:hAnsi="仿宋" w:cs="仿宋" w:hint="eastAsia"/>
          <w:color w:val="auto"/>
          <w:highlight w:val="none"/>
        </w:rPr>
      </w:pPr>
      <w:bookmarkStart w:id="130" w:name="_Toc6865"/>
      <w:bookmarkStart w:id="131" w:name="_Toc16306"/>
      <w:bookmarkStart w:id="132" w:name="_Toc22156"/>
      <w:bookmarkStart w:id="133" w:name="_Toc5161"/>
      <w:bookmarkStart w:id="134" w:name="_Toc31545"/>
      <w:r>
        <w:rPr>
          <w:rFonts w:ascii="仿宋" w:eastAsia="仿宋" w:hAnsi="仿宋" w:cs="仿宋" w:hint="eastAsia"/>
          <w:color w:val="auto"/>
          <w:highlight w:val="none"/>
        </w:rPr>
        <w:t xml:space="preserve">（三）项目产出情况</w:t>
      </w:r>
      <w:bookmarkEnd w:id="130"/>
      <w:bookmarkEnd w:id="131"/>
      <w:bookmarkEnd w:id="132"/>
      <w:bookmarkEnd w:id="133"/>
      <w:bookmarkEnd w:id="134"/>
    </w:p>
    <w:p>
      <w:pPr>
        <w:bidi w:val="0"/>
        <w:jc w:val="both"/>
        <w:rPr>
          <w:rFonts w:ascii="仿宋" w:eastAsia="仿宋" w:hAnsi="仿宋" w:cs="仿宋" w:hint="eastAsia"/>
          <w:b/>
          <w:bCs/>
          <w:color w:val="auto"/>
          <w:highlight w:val="none"/>
        </w:rPr>
      </w:pPr>
      <w:bookmarkStart w:id="135" w:name="_Toc4184"/>
      <w:bookmarkStart w:id="136" w:name="_Toc31041"/>
      <w:r>
        <w:rPr>
          <w:rFonts w:ascii="仿宋" w:eastAsia="仿宋" w:hAnsi="仿宋" w:cs="仿宋" w:hint="eastAsia"/>
          <w:b/>
          <w:bCs/>
          <w:color w:val="auto"/>
          <w:highlight w:val="none"/>
        </w:rPr>
        <w:t xml:space="preserve">1.产出数量</w:t>
      </w:r>
      <w:bookmarkEnd w:id="135"/>
      <w:bookmarkEnd w:id="136"/>
    </w:p>
    <w:p>
      <w:pPr>
        <w:bidi w:val="0"/>
        <w:jc w:val="both"/>
        <w:rPr>
          <w:rFonts w:ascii="仿宋" w:eastAsia="仿宋" w:hAnsi="仿宋" w:cs="仿宋" w:hint="eastAsia"/>
          <w:color w:val="auto"/>
          <w:highlight w:val="none"/>
        </w:rPr>
      </w:pPr>
      <w:r>
        <w:rPr>
          <w:rFonts w:ascii="仿宋" w:eastAsia="仿宋" w:hAnsi="仿宋" w:cs="仿宋" w:hint="eastAsia"/>
          <w:bCs/>
          <w:color w:val="auto"/>
          <w:szCs w:val="32"/>
          <w:highlight w:val="none"/>
          <w:lang w:val="en-US" w:eastAsia="zh-CN"/>
        </w:rPr>
        <w:t xml:space="preserve">指标1：</w:t>
      </w:r>
      <w:r>
        <w:rPr>
          <w:rFonts w:ascii="仿宋" w:eastAsia="仿宋" w:hAnsi="仿宋" w:cs="仿宋" w:hint="eastAsia"/>
          <w:color w:val="auto"/>
          <w:highlight w:val="none"/>
          <w:lang w:val="en-US" w:eastAsia="zh-CN"/>
        </w:rPr>
        <w:t xml:space="preserve">培训基层农技人员数</w:t>
      </w:r>
      <w:r>
        <w:rPr>
          <w:rFonts w:ascii="仿宋" w:eastAsia="仿宋" w:hAnsi="仿宋" w:cs="仿宋" w:hint="eastAsia"/>
          <w:color w:val="auto"/>
          <w:highlight w:val="none"/>
        </w:rPr>
        <w:t xml:space="preserve">，预期指标值</w:t>
      </w:r>
      <w:r>
        <w:rPr>
          <w:rFonts w:ascii="仿宋" w:eastAsia="仿宋" w:hAnsi="仿宋" w:cs="仿宋" w:hint="eastAsia"/>
          <w:b w:val="0"/>
          <w:bCs/>
          <w:color w:val="auto"/>
          <w:kern w:val="2"/>
          <w:sz w:val="32"/>
          <w:szCs w:val="32"/>
          <w:highlight w:val="none"/>
          <w:lang w:val="en-US" w:eastAsia="zh-CN" w:bidi="ar-SA"/>
        </w:rPr>
        <w:t xml:space="preserve">大于或等于</w:t>
      </w:r>
      <w:r>
        <w:rPr>
          <w:rFonts w:ascii="仿宋" w:eastAsia="仿宋" w:hAnsi="仿宋" w:cs="仿宋" w:hint="eastAsia"/>
          <w:color w:val="auto"/>
          <w:highlight w:val="none"/>
          <w:lang w:val="en-US" w:eastAsia="zh-CN"/>
        </w:rPr>
        <w:t xml:space="preserve">50人</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50人</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指标2：打造农业科技示范基地，指标值为大于或等于2个，实际完成2个，完成率100%</w:t>
      </w:r>
      <w:r>
        <w:rPr>
          <w:rFonts w:ascii="仿宋" w:eastAsia="仿宋" w:hAnsi="仿宋" w:cs="仿宋" w:hint="eastAsia"/>
          <w:color w:val="auto"/>
          <w:highlight w:val="none"/>
        </w:rPr>
        <w:t xml:space="preserve">；</w:t>
      </w:r>
    </w:p>
    <w:p>
      <w:pPr>
        <w:bidi w:val="0"/>
        <w:rPr>
          <w:rFonts w:ascii="仿宋" w:eastAsia="仿宋" w:hAnsi="仿宋" w:cs="仿宋" w:hint="eastAsia"/>
        </w:rPr>
      </w:pPr>
      <w:r>
        <w:rPr>
          <w:rFonts w:ascii="仿宋" w:eastAsia="仿宋" w:hAnsi="仿宋" w:cs="仿宋" w:hint="eastAsia"/>
          <w:lang w:val="en-US" w:eastAsia="zh-CN"/>
        </w:rPr>
        <w:t xml:space="preserve">指标3：招募村级农技推广服务特聘人员数</w:t>
      </w:r>
      <w:r>
        <w:rPr>
          <w:rFonts w:ascii="仿宋" w:eastAsia="仿宋" w:hAnsi="仿宋" w:cs="仿宋" w:hint="eastAsia"/>
        </w:rPr>
        <w:t xml:space="preserve">，预期指标值</w:t>
      </w:r>
      <w:r>
        <w:rPr>
          <w:rFonts w:ascii="仿宋" w:eastAsia="仿宋" w:hAnsi="仿宋" w:cs="仿宋" w:hint="eastAsia"/>
          <w:lang w:val="en-US" w:eastAsia="zh-CN"/>
        </w:rPr>
        <w:t xml:space="preserve">大于或等于35人</w:t>
      </w:r>
      <w:r>
        <w:rPr>
          <w:rFonts w:ascii="仿宋" w:eastAsia="仿宋" w:hAnsi="仿宋" w:cs="仿宋" w:hint="eastAsia"/>
        </w:rPr>
        <w:t xml:space="preserve">，指标完成值：</w:t>
      </w:r>
      <w:r>
        <w:rPr>
          <w:rFonts w:ascii="仿宋" w:eastAsia="仿宋" w:hAnsi="仿宋" w:cs="仿宋" w:hint="eastAsia"/>
          <w:lang w:val="en-US" w:eastAsia="zh-CN"/>
        </w:rPr>
        <w:t xml:space="preserve">35人</w:t>
      </w:r>
      <w:r>
        <w:rPr>
          <w:rFonts w:ascii="仿宋" w:eastAsia="仿宋" w:hAnsi="仿宋" w:cs="仿宋" w:hint="eastAsia"/>
        </w:rPr>
        <w:t xml:space="preserve">，完成率：</w:t>
      </w:r>
      <w:r>
        <w:rPr>
          <w:rFonts w:ascii="仿宋" w:eastAsia="仿宋" w:hAnsi="仿宋" w:cs="仿宋" w:hint="eastAsia"/>
          <w:lang w:val="en-US" w:eastAsia="zh-CN"/>
        </w:rPr>
        <w:t xml:space="preserve">100%</w:t>
      </w:r>
      <w:r>
        <w:rPr>
          <w:rFonts w:ascii="仿宋" w:eastAsia="仿宋" w:hAnsi="仿宋" w:cs="仿宋" w:hint="eastAsia"/>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本项满分12分，评估得分12分。</w:t>
      </w:r>
    </w:p>
    <w:p>
      <w:pPr>
        <w:bidi w:val="0"/>
        <w:jc w:val="both"/>
        <w:rPr>
          <w:rFonts w:ascii="仿宋" w:eastAsia="仿宋" w:hAnsi="仿宋" w:cs="仿宋" w:hint="eastAsia"/>
          <w:b/>
          <w:bCs/>
          <w:color w:val="auto"/>
          <w:highlight w:val="none"/>
        </w:rPr>
      </w:pPr>
      <w:bookmarkStart w:id="137" w:name="_Toc21607"/>
      <w:bookmarkStart w:id="138" w:name="_Toc7420"/>
      <w:r>
        <w:rPr>
          <w:rFonts w:ascii="仿宋" w:eastAsia="仿宋" w:hAnsi="仿宋" w:cs="仿宋" w:hint="eastAsia"/>
          <w:b/>
          <w:bCs/>
          <w:color w:val="auto"/>
          <w:highlight w:val="none"/>
        </w:rPr>
        <w:t xml:space="preserve">2.产出质量</w:t>
      </w:r>
      <w:bookmarkEnd w:id="137"/>
      <w:bookmarkEnd w:id="138"/>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农业主体技术到位率</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大于或等于95%</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95%</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本项满分12分，评估得分12分。</w:t>
      </w:r>
    </w:p>
    <w:p>
      <w:pPr>
        <w:bidi w:val="0"/>
        <w:jc w:val="both"/>
        <w:rPr>
          <w:rFonts w:ascii="仿宋" w:eastAsia="仿宋" w:hAnsi="仿宋" w:cs="仿宋" w:hint="eastAsia"/>
          <w:b/>
          <w:bCs/>
          <w:color w:val="auto"/>
          <w:highlight w:val="none"/>
        </w:rPr>
      </w:pPr>
      <w:bookmarkStart w:id="139" w:name="_Toc6277"/>
      <w:bookmarkStart w:id="140" w:name="_Toc5394"/>
      <w:r>
        <w:rPr>
          <w:rFonts w:ascii="仿宋" w:eastAsia="仿宋" w:hAnsi="仿宋" w:cs="仿宋" w:hint="eastAsia"/>
          <w:b/>
          <w:bCs/>
          <w:color w:val="auto"/>
          <w:highlight w:val="none"/>
        </w:rPr>
        <w:t xml:space="preserve">3.产出时效</w:t>
      </w:r>
      <w:bookmarkEnd w:id="139"/>
      <w:bookmarkEnd w:id="140"/>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各项任务完成时限</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2024年12月20日前</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2024年12月20日</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w:t>
      </w:r>
      <w:r>
        <w:rPr>
          <w:rFonts w:ascii="仿宋" w:eastAsia="仿宋" w:hAnsi="仿宋" w:cs="仿宋" w:hint="eastAsia"/>
          <w:color w:val="auto"/>
          <w:highlight w:val="none"/>
          <w:lang w:val="en-US" w:eastAsia="zh-CN"/>
        </w:rPr>
        <w:t xml:space="preserve">12</w:t>
      </w:r>
      <w:r>
        <w:rPr>
          <w:rFonts w:ascii="仿宋" w:eastAsia="仿宋" w:hAnsi="仿宋" w:cs="仿宋" w:hint="eastAsia"/>
          <w:color w:val="auto"/>
          <w:highlight w:val="none"/>
        </w:rPr>
        <w:t xml:space="preserve">分。</w:t>
      </w:r>
    </w:p>
    <w:p>
      <w:pPr>
        <w:bidi w:val="0"/>
        <w:jc w:val="both"/>
        <w:rPr>
          <w:rFonts w:ascii="仿宋" w:eastAsia="仿宋" w:hAnsi="仿宋" w:cs="仿宋" w:hint="eastAsia"/>
          <w:b/>
          <w:bCs/>
          <w:color w:val="auto"/>
          <w:highlight w:val="none"/>
        </w:rPr>
      </w:pPr>
      <w:bookmarkStart w:id="141" w:name="_Toc28975"/>
      <w:bookmarkStart w:id="142" w:name="_Toc18558"/>
      <w:r>
        <w:rPr>
          <w:rFonts w:ascii="仿宋" w:eastAsia="仿宋" w:hAnsi="仿宋" w:cs="仿宋" w:hint="eastAsia"/>
          <w:b/>
          <w:bCs/>
          <w:color w:val="auto"/>
          <w:highlight w:val="none"/>
        </w:rPr>
        <w:t xml:space="preserve">4.产出成本</w:t>
      </w:r>
      <w:bookmarkEnd w:id="141"/>
      <w:bookmarkEnd w:id="142"/>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农业科技示范展示基地费用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小于或等于59.40万元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59.40万元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指标2：</w:t>
      </w:r>
      <w:r>
        <w:rPr>
          <w:rFonts w:ascii="仿宋" w:eastAsia="仿宋" w:hAnsi="仿宋" w:cs="仿宋" w:hint="eastAsia"/>
          <w:color w:val="auto"/>
          <w:highlight w:val="none"/>
          <w:lang w:val="en-US" w:eastAsia="zh-CN"/>
        </w:rPr>
        <w:t xml:space="preserve">基层农技人员培训及宣传费用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小于或等于7.60万元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7.60万元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指标3：</w:t>
      </w:r>
      <w:r>
        <w:rPr>
          <w:rFonts w:ascii="仿宋" w:eastAsia="仿宋" w:hAnsi="仿宋" w:cs="仿宋" w:hint="eastAsia"/>
          <w:color w:val="auto"/>
          <w:highlight w:val="none"/>
          <w:lang w:val="en-US" w:eastAsia="zh-CN"/>
        </w:rPr>
        <w:t xml:space="preserve">农技推广服务特聘人员经费</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小于或等于33.60万元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33.60万元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lang w:val="en-US" w:eastAsia="zh-CN"/>
        </w:rPr>
      </w:pPr>
      <w:r>
        <w:rPr>
          <w:rFonts w:ascii="仿宋" w:eastAsia="仿宋" w:hAnsi="仿宋" w:cs="仿宋" w:hint="eastAsia"/>
          <w:b w:val="0"/>
          <w:bCs/>
          <w:color w:val="auto"/>
          <w:kern w:val="2"/>
          <w:sz w:val="32"/>
          <w:szCs w:val="32"/>
          <w:highlight w:val="none"/>
          <w:lang w:val="en-US" w:eastAsia="zh-CN" w:bidi="ar-SA"/>
        </w:rPr>
        <w:t xml:space="preserve">指标4：</w:t>
      </w:r>
      <w:r>
        <w:rPr>
          <w:rFonts w:ascii="仿宋" w:eastAsia="仿宋" w:hAnsi="仿宋" w:cs="仿宋" w:hint="eastAsia"/>
          <w:color w:val="auto"/>
          <w:highlight w:val="none"/>
          <w:lang w:val="en-US" w:eastAsia="zh-CN"/>
        </w:rPr>
        <w:t xml:space="preserve">宣传制作及其他费用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小于或等于3.8万元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3.8万元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分。</w:t>
      </w:r>
    </w:p>
    <w:p>
      <w:pPr>
        <w:pStyle w:val="Heading3"/>
        <w:bidi w:val="0"/>
        <w:jc w:val="both"/>
        <w:outlineLvl w:val="1"/>
        <w:rPr>
          <w:rFonts w:ascii="仿宋" w:eastAsia="仿宋" w:hAnsi="仿宋" w:cs="仿宋" w:hint="eastAsia"/>
          <w:color w:val="auto"/>
          <w:highlight w:val="none"/>
        </w:rPr>
      </w:pPr>
      <w:bookmarkStart w:id="143" w:name="_Toc27548"/>
      <w:bookmarkStart w:id="144" w:name="_Toc18194"/>
      <w:bookmarkStart w:id="145" w:name="_Toc24492"/>
      <w:bookmarkStart w:id="146" w:name="_Toc14052"/>
      <w:bookmarkStart w:id="147" w:name="_Toc14881"/>
      <w:r>
        <w:rPr>
          <w:rFonts w:ascii="仿宋" w:eastAsia="仿宋" w:hAnsi="仿宋" w:cs="仿宋" w:hint="eastAsia"/>
          <w:color w:val="auto"/>
          <w:highlight w:val="none"/>
        </w:rPr>
        <w:t xml:space="preserve">（四）项目效益情况</w:t>
      </w:r>
      <w:bookmarkEnd w:id="143"/>
      <w:bookmarkEnd w:id="144"/>
      <w:bookmarkEnd w:id="145"/>
      <w:bookmarkEnd w:id="146"/>
      <w:bookmarkEnd w:id="147"/>
    </w:p>
    <w:p>
      <w:pPr>
        <w:bidi w:val="0"/>
        <w:jc w:val="both"/>
        <w:rPr>
          <w:rFonts w:ascii="仿宋" w:eastAsia="仿宋" w:hAnsi="仿宋" w:cs="仿宋" w:hint="eastAsia"/>
          <w:b/>
          <w:bCs/>
          <w:color w:val="auto"/>
          <w:highlight w:val="none"/>
        </w:rPr>
      </w:pPr>
      <w:bookmarkStart w:id="148" w:name="_Toc15599"/>
      <w:bookmarkStart w:id="149" w:name="_Toc8370"/>
      <w:r>
        <w:rPr>
          <w:rFonts w:ascii="仿宋" w:eastAsia="仿宋" w:hAnsi="仿宋" w:cs="仿宋" w:hint="eastAsia"/>
          <w:b/>
          <w:bCs/>
          <w:color w:val="auto"/>
          <w:highlight w:val="none"/>
        </w:rPr>
        <w:t xml:space="preserve">1.实施效益</w:t>
      </w:r>
      <w:bookmarkEnd w:id="148"/>
      <w:bookmarkEnd w:id="149"/>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本项目实施所产生的效益主要包括社会效益。项目的实施</w:t>
      </w:r>
      <w:r>
        <w:rPr>
          <w:rFonts w:ascii="仿宋" w:eastAsia="仿宋" w:hAnsi="仿宋" w:cs="仿宋" w:hint="eastAsia"/>
          <w:color w:val="auto"/>
          <w:highlight w:val="none"/>
          <w:lang w:eastAsia="zh-CN"/>
        </w:rPr>
        <w:t xml:space="preserve">无</w:t>
      </w:r>
      <w:r>
        <w:rPr>
          <w:rFonts w:ascii="仿宋" w:eastAsia="仿宋" w:hAnsi="仿宋" w:cs="仿宋" w:hint="eastAsia"/>
          <w:color w:val="auto"/>
          <w:highlight w:val="none"/>
          <w:lang w:val="en-US" w:eastAsia="zh-CN"/>
        </w:rPr>
        <w:t xml:space="preserve">资金使用重大违规违纪问题。促进实现农业现代化、促进乡村振兴，强化科技对现代农业的支撑作用。</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w:t>
      </w:r>
      <w:r>
        <w:rPr>
          <w:rFonts w:ascii="仿宋" w:eastAsia="仿宋" w:hAnsi="仿宋" w:cs="仿宋" w:hint="eastAsia"/>
          <w:color w:val="auto"/>
          <w:highlight w:val="none"/>
          <w:lang w:val="en-US" w:eastAsia="zh-CN"/>
        </w:rPr>
        <w:t xml:space="preserve">10</w:t>
      </w:r>
      <w:r>
        <w:rPr>
          <w:rFonts w:ascii="仿宋" w:eastAsia="仿宋" w:hAnsi="仿宋" w:cs="仿宋" w:hint="eastAsia"/>
          <w:color w:val="auto"/>
          <w:highlight w:val="none"/>
        </w:rPr>
        <w:t xml:space="preserve">分，评估得分</w:t>
      </w: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0分。</w:t>
      </w:r>
    </w:p>
    <w:p>
      <w:pPr>
        <w:bidi w:val="0"/>
        <w:jc w:val="both"/>
        <w:rPr>
          <w:rFonts w:ascii="仿宋" w:eastAsia="仿宋" w:hAnsi="仿宋" w:cs="仿宋" w:hint="eastAsia"/>
          <w:b/>
          <w:bCs/>
          <w:color w:val="auto"/>
          <w:highlight w:val="none"/>
        </w:rPr>
      </w:pPr>
      <w:bookmarkStart w:id="150" w:name="_Toc31503"/>
      <w:bookmarkStart w:id="151" w:name="_Toc20772"/>
      <w:r>
        <w:rPr>
          <w:rFonts w:ascii="仿宋" w:eastAsia="仿宋" w:hAnsi="仿宋" w:cs="仿宋" w:hint="eastAsia"/>
          <w:b/>
          <w:bCs/>
          <w:color w:val="auto"/>
          <w:highlight w:val="none"/>
        </w:rPr>
        <w:t xml:space="preserve">2.满意度</w:t>
      </w:r>
      <w:bookmarkEnd w:id="150"/>
      <w:bookmarkEnd w:id="151"/>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本项目服务对象和受益群众主要是</w:t>
      </w:r>
      <w:r>
        <w:rPr>
          <w:rFonts w:ascii="仿宋" w:eastAsia="仿宋" w:hAnsi="仿宋" w:cs="仿宋" w:hint="eastAsia"/>
          <w:color w:val="auto"/>
          <w:highlight w:val="none"/>
          <w:lang w:val="en-US" w:eastAsia="zh-CN"/>
        </w:rPr>
        <w:t xml:space="preserve">农业科技示范主体</w:t>
      </w:r>
      <w:r>
        <w:rPr>
          <w:rFonts w:ascii="仿宋" w:eastAsia="仿宋" w:hAnsi="仿宋" w:cs="仿宋" w:hint="eastAsia"/>
          <w:color w:val="auto"/>
          <w:highlight w:val="none"/>
        </w:rPr>
        <w:t xml:space="preserve">，通过问卷调查方式收集服务对象和受益群众对本项目实施的满意度。调查人群都表示很满意，都认为本项目实施后，</w:t>
      </w:r>
      <w:r>
        <w:rPr>
          <w:rFonts w:ascii="仿宋" w:eastAsia="仿宋" w:hAnsi="仿宋" w:cs="仿宋" w:hint="eastAsia"/>
          <w:color w:val="auto"/>
          <w:highlight w:val="none"/>
          <w:lang w:val="en-US" w:eastAsia="zh-CN"/>
        </w:rPr>
        <w:t xml:space="preserve">提高了农业科技示范主的经济收入。</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本项满分10分，评估得分10分。</w:t>
      </w:r>
    </w:p>
    <w:p>
      <w:pPr>
        <w:pStyle w:val="Heading2"/>
        <w:bidi w:val="0"/>
        <w:jc w:val="both"/>
        <w:outlineLvl w:val="0"/>
        <w:rPr>
          <w:rFonts w:ascii="仿宋" w:eastAsia="仿宋" w:hAnsi="仿宋" w:cs="仿宋" w:hint="eastAsia"/>
          <w:color w:val="auto"/>
          <w:highlight w:val="none"/>
        </w:rPr>
      </w:pPr>
      <w:bookmarkStart w:id="152" w:name="_Toc20473"/>
      <w:bookmarkStart w:id="153" w:name="_Toc17413"/>
      <w:bookmarkStart w:id="154" w:name="_Toc6687"/>
      <w:bookmarkStart w:id="155" w:name="_Toc3310"/>
      <w:bookmarkStart w:id="156" w:name="_Toc24261"/>
      <w:bookmarkStart w:id="157" w:name="_Toc23114"/>
      <w:r>
        <w:rPr>
          <w:rFonts w:ascii="仿宋" w:eastAsia="仿宋" w:hAnsi="仿宋" w:cs="仿宋" w:hint="eastAsia"/>
          <w:color w:val="auto"/>
          <w:highlight w:val="none"/>
        </w:rPr>
        <w:t xml:space="preserve">五、主要经验及做法、存在的问题及原因分析</w:t>
      </w:r>
      <w:bookmarkEnd w:id="152"/>
      <w:bookmarkEnd w:id="153"/>
      <w:bookmarkEnd w:id="154"/>
      <w:bookmarkEnd w:id="155"/>
      <w:bookmarkEnd w:id="156"/>
      <w:bookmarkEnd w:id="157"/>
    </w:p>
    <w:p>
      <w:pPr>
        <w:pStyle w:val="Heading3"/>
        <w:bidi w:val="0"/>
        <w:jc w:val="both"/>
        <w:outlineLvl w:val="1"/>
        <w:rPr>
          <w:rFonts w:ascii="仿宋" w:eastAsia="仿宋" w:hAnsi="仿宋" w:cs="仿宋" w:hint="eastAsia"/>
          <w:color w:val="auto"/>
          <w:highlight w:val="none"/>
        </w:rPr>
      </w:pPr>
      <w:bookmarkStart w:id="158" w:name="_Toc6522"/>
      <w:bookmarkStart w:id="159" w:name="_Toc14696"/>
      <w:bookmarkStart w:id="160" w:name="_Toc10514"/>
      <w:bookmarkStart w:id="161" w:name="_Toc6741"/>
      <w:bookmarkStart w:id="162" w:name="_Toc14362"/>
      <w:r>
        <w:rPr>
          <w:rFonts w:ascii="仿宋" w:eastAsia="仿宋" w:hAnsi="仿宋" w:cs="仿宋" w:hint="eastAsia"/>
          <w:color w:val="auto"/>
          <w:highlight w:val="none"/>
        </w:rPr>
        <w:t xml:space="preserve">（一）主要经验及做法</w:t>
      </w:r>
      <w:bookmarkEnd w:id="158"/>
      <w:bookmarkEnd w:id="159"/>
      <w:bookmarkEnd w:id="160"/>
      <w:bookmarkEnd w:id="161"/>
      <w:bookmarkEnd w:id="162"/>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在</w:t>
      </w:r>
      <w:r>
        <w:rPr>
          <w:rFonts w:ascii="仿宋" w:eastAsia="仿宋" w:hAnsi="仿宋" w:cs="仿宋" w:hint="eastAsia"/>
          <w:color w:val="auto"/>
          <w:highlight w:val="none"/>
          <w:lang w:eastAsia="zh-CN"/>
        </w:rPr>
        <w:t xml:space="preserve">尉犁县委、县政府</w:t>
      </w:r>
      <w:r>
        <w:rPr>
          <w:rFonts w:ascii="仿宋" w:eastAsia="仿宋" w:hAnsi="仿宋" w:cs="仿宋" w:hint="eastAsia"/>
          <w:color w:val="auto"/>
          <w:highlight w:val="none"/>
        </w:rPr>
        <w:t xml:space="preserve">的支持下，在相关部门的配合下，全面顺利完成，绩效评价“优”，主要经验及做法如下：</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创新推广模式</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通过专家团队指导、技术员驻村、示范户带动，形成技术辐射网络。</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数字化工具应用：利用微信小程序、短视频平台推广农业技术，解决偏远地区信息滞后问题。</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强化基层能力建设</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农技人员培训：定期组织基层人员到科研院所进修，提升实操能力。</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激励机制优化：将技术推广成效与绩效考核挂钩，激发工作积极性。</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5、</w:t>
      </w:r>
      <w:r>
        <w:rPr>
          <w:rFonts w:ascii="仿宋" w:eastAsia="仿宋" w:hAnsi="仿宋" w:cs="仿宋" w:hint="eastAsia"/>
          <w:color w:val="auto"/>
          <w:highlight w:val="none"/>
        </w:rPr>
        <w:t xml:space="preserve">聚焦特色产业需求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针对尉犁县棉花、畜牧等主导产业，定制化推广节水灌溉、病虫害绿色防控等技术，精准对接农民需求。</w:t>
      </w:r>
    </w:p>
    <w:p>
      <w:pPr>
        <w:pStyle w:val="Heading3"/>
        <w:bidi w:val="0"/>
        <w:jc w:val="both"/>
        <w:outlineLvl w:val="1"/>
        <w:rPr>
          <w:rFonts w:ascii="仿宋" w:eastAsia="仿宋" w:hAnsi="仿宋" w:cs="仿宋" w:hint="eastAsia"/>
          <w:color w:val="auto"/>
          <w:highlight w:val="none"/>
        </w:rPr>
      </w:pPr>
      <w:bookmarkStart w:id="163" w:name="_Toc22095"/>
      <w:bookmarkStart w:id="164" w:name="_Toc6359"/>
      <w:bookmarkStart w:id="165" w:name="_Toc11238"/>
      <w:bookmarkStart w:id="166" w:name="_Toc27408"/>
      <w:bookmarkStart w:id="167" w:name="_Toc4673"/>
      <w:r>
        <w:rPr>
          <w:rFonts w:ascii="仿宋" w:eastAsia="仿宋" w:hAnsi="仿宋" w:cs="仿宋" w:hint="eastAsia"/>
          <w:color w:val="auto"/>
          <w:highlight w:val="none"/>
        </w:rPr>
        <w:t xml:space="preserve">（二）存在的问题及分析</w:t>
      </w:r>
      <w:bookmarkEnd w:id="163"/>
      <w:bookmarkEnd w:id="164"/>
      <w:bookmarkEnd w:id="165"/>
      <w:bookmarkEnd w:id="166"/>
      <w:bookmarkEnd w:id="167"/>
    </w:p>
    <w:p>
      <w:pPr>
        <w:bidi w:val="0"/>
        <w:rPr>
          <w:rFonts w:ascii="仿宋" w:eastAsia="仿宋" w:hAnsi="仿宋" w:cs="仿宋" w:hint="eastAsia"/>
          <w:color w:val="auto"/>
          <w:highlight w:val="none"/>
        </w:rPr>
      </w:pPr>
      <w:bookmarkStart w:id="168" w:name="_Toc22271"/>
      <w:bookmarkStart w:id="169" w:name="_Toc5702"/>
      <w:bookmarkStart w:id="170" w:name="_Toc13345"/>
      <w:bookmarkStart w:id="171" w:name="_Toc20116"/>
      <w:bookmarkStart w:id="172" w:name="_Toc13270"/>
      <w:r>
        <w:rPr>
          <w:rFonts w:ascii="仿宋" w:eastAsia="仿宋" w:hAnsi="仿宋" w:cs="仿宋" w:hint="eastAsia"/>
          <w:color w:val="auto"/>
          <w:highlight w:val="none"/>
        </w:rPr>
        <w:t xml:space="preserve">1.技术推广覆盖不均衡：</w:t>
      </w:r>
      <w:r>
        <w:rPr>
          <w:rFonts w:ascii="仿宋" w:eastAsia="仿宋" w:hAnsi="仿宋" w:cs="仿宋" w:hint="eastAsia"/>
          <w:color w:val="auto"/>
          <w:highlight w:val="none"/>
          <w:lang w:val="en-US" w:eastAsia="zh-CN"/>
        </w:rPr>
        <w:t xml:space="preserve">因</w:t>
      </w:r>
      <w:r>
        <w:rPr>
          <w:rFonts w:ascii="仿宋" w:eastAsia="仿宋" w:hAnsi="仿宋" w:cs="仿宋" w:hint="eastAsia"/>
          <w:color w:val="auto"/>
          <w:highlight w:val="none"/>
        </w:rPr>
        <w:t xml:space="preserve">农技人员配备不足，交通成本高；推广手段以集中培训为主，缺乏个性化指导</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导致</w:t>
      </w:r>
      <w:r>
        <w:rPr>
          <w:rFonts w:ascii="仿宋" w:eastAsia="仿宋" w:hAnsi="仿宋" w:cs="仿宋" w:hint="eastAsia"/>
          <w:color w:val="auto"/>
          <w:highlight w:val="none"/>
        </w:rPr>
        <w:t xml:space="preserve">偏远乡镇、小农户技术覆盖率低，老年农民对新技术接受度差，推广存在“最后一公里”障碍。</w:t>
      </w:r>
    </w:p>
    <w:p>
      <w:pPr>
        <w:bidi w:val="0"/>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.技术推广与市场需求脱节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部分推广技术（如传统种植模式）未能契合市场对绿色、优质农产品的需求。推广内容依赖上级任务，未充分结合尉犁县特色产业的转型升级需求。</w:t>
      </w:r>
    </w:p>
    <w:p>
      <w:pPr>
        <w:bidi w:val="0"/>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.基层队伍能力不足</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部分农技人员知识老化，对新品种、智慧农业设备操作不熟练。培训内容偏理论，缺乏实践性；激励机制不足，人员流动性大。</w:t>
      </w:r>
    </w:p>
    <w:p>
      <w:pPr>
        <w:pStyle w:val="Heading2"/>
        <w:bidi w:val="0"/>
        <w:jc w:val="both"/>
        <w:outlineLvl w:val="0"/>
        <w:rPr>
          <w:rFonts w:ascii="仿宋" w:eastAsia="仿宋" w:hAnsi="仿宋" w:cs="仿宋" w:hint="eastAsia"/>
          <w:color w:val="auto"/>
          <w:highlight w:val="none"/>
        </w:rPr>
      </w:pPr>
      <w:bookmarkStart w:id="173" w:name="_Toc20034"/>
      <w:r>
        <w:rPr>
          <w:rFonts w:ascii="仿宋" w:eastAsia="仿宋" w:hAnsi="仿宋" w:cs="仿宋" w:hint="eastAsia"/>
          <w:color w:val="auto"/>
          <w:highlight w:val="none"/>
        </w:rPr>
        <w:t xml:space="preserve">六、有关建议</w:t>
      </w:r>
      <w:bookmarkEnd w:id="168"/>
      <w:bookmarkEnd w:id="169"/>
      <w:bookmarkEnd w:id="170"/>
      <w:bookmarkEnd w:id="171"/>
      <w:bookmarkEnd w:id="172"/>
      <w:bookmarkEnd w:id="17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1.优化技术推广模式</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增设村级农技服务点，聘用本地“乡土专家”驻点指导。针对老年农民，开发</w:t>
      </w:r>
      <w:r>
        <w:rPr>
          <w:rFonts w:ascii="仿宋" w:eastAsia="仿宋" w:hAnsi="仿宋" w:cs="仿宋" w:hint="eastAsia"/>
          <w:color w:val="auto"/>
          <w:highlight w:val="none"/>
          <w:lang w:val="en-US" w:eastAsia="zh-CN"/>
        </w:rPr>
        <w:t xml:space="preserve">简易</w:t>
      </w:r>
      <w:r>
        <w:rPr>
          <w:rFonts w:ascii="仿宋" w:eastAsia="仿宋" w:hAnsi="仿宋" w:cs="仿宋" w:hint="eastAsia"/>
          <w:color w:val="auto"/>
          <w:highlight w:val="none"/>
        </w:rPr>
        <w:t xml:space="preserve">版技术手册、短视频教程，简化操作流程。强化数字化工具应用</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搭建县域农技推广APP，集成在线咨询、病虫害识别、市场行情等功能。利用大数据分析农民需求，定向推送技术方案。</w:t>
      </w:r>
    </w:p>
    <w:p>
      <w:pPr>
        <w:bidi w:val="0"/>
        <w:rPr>
          <w:rFonts w:ascii="仿宋" w:eastAsia="仿宋" w:hAnsi="仿宋" w:cs="仿宋" w:hint="eastAsia"/>
        </w:rPr>
      </w:pPr>
      <w:r>
        <w:rPr>
          <w:rFonts w:ascii="仿宋" w:eastAsia="仿宋" w:hAnsi="仿宋" w:cs="仿宋" w:hint="eastAsia"/>
          <w:lang w:val="en-US" w:eastAsia="zh-CN"/>
        </w:rPr>
        <w:t xml:space="preserve">2.</w:t>
      </w:r>
      <w:r>
        <w:rPr>
          <w:rFonts w:ascii="仿宋" w:eastAsia="仿宋" w:hAnsi="仿宋" w:cs="仿宋" w:hint="eastAsia"/>
        </w:rPr>
        <w:t xml:space="preserve">对接产业升级需求</w:t>
      </w:r>
      <w:r>
        <w:rPr>
          <w:rFonts w:ascii="仿宋" w:eastAsia="仿宋" w:hAnsi="仿宋" w:cs="仿宋" w:hint="eastAsia"/>
          <w:lang w:eastAsia="zh-CN"/>
        </w:rPr>
        <w:t xml:space="preserve">。</w:t>
      </w:r>
      <w:r>
        <w:rPr>
          <w:rFonts w:ascii="仿宋" w:eastAsia="仿宋" w:hAnsi="仿宋" w:cs="仿宋" w:hint="eastAsia"/>
        </w:rPr>
        <w:t xml:space="preserve">针对尉犁县棉花产业，推广节水滴灌、无人机植保等节本增效技术。加强市场导向培训</w:t>
      </w:r>
      <w:r>
        <w:rPr>
          <w:rFonts w:ascii="仿宋" w:eastAsia="仿宋" w:hAnsi="仿宋" w:cs="仿宋" w:hint="eastAsia"/>
          <w:lang w:eastAsia="zh-CN"/>
        </w:rPr>
        <w:t xml:space="preserve">，</w:t>
      </w:r>
      <w:r>
        <w:rPr>
          <w:rFonts w:ascii="仿宋" w:eastAsia="仿宋" w:hAnsi="仿宋" w:cs="仿宋" w:hint="eastAsia"/>
        </w:rPr>
        <w:t xml:space="preserve">增加农产品电商营销、质量追溯体系等课程，提升农民市场适应能力。</w:t>
      </w:r>
    </w:p>
    <w:p>
      <w:pPr>
        <w:bidi w:val="0"/>
        <w:rPr>
          <w:rFonts w:ascii="仿宋" w:eastAsia="仿宋" w:hAnsi="仿宋" w:cs="仿宋" w:hint="eastAsia"/>
        </w:rPr>
      </w:pPr>
      <w:r>
        <w:rPr>
          <w:rFonts w:ascii="仿宋" w:eastAsia="仿宋" w:hAnsi="仿宋" w:cs="仿宋" w:hint="eastAsia"/>
          <w:lang w:val="en-US" w:eastAsia="zh-CN"/>
        </w:rPr>
        <w:t xml:space="preserve">3.</w:t>
      </w:r>
      <w:r>
        <w:rPr>
          <w:rFonts w:ascii="仿宋" w:eastAsia="仿宋" w:hAnsi="仿宋" w:cs="仿宋" w:hint="eastAsia"/>
        </w:rPr>
        <w:t xml:space="preserve">强化基层队伍建设</w:t>
      </w:r>
      <w:r>
        <w:rPr>
          <w:rFonts w:ascii="仿宋" w:eastAsia="仿宋" w:hAnsi="仿宋" w:cs="仿宋" w:hint="eastAsia"/>
          <w:lang w:eastAsia="zh-CN"/>
        </w:rPr>
        <w:t xml:space="preserve">。</w:t>
      </w:r>
      <w:r>
        <w:rPr>
          <w:rFonts w:ascii="仿宋" w:eastAsia="仿宋" w:hAnsi="仿宋" w:cs="仿宋" w:hint="eastAsia"/>
        </w:rPr>
        <w:t xml:space="preserve">与科研院所合作，开展“田间课堂”培训，重点学习智慧农机操作、土壤检测等实用技能。实行“师徒制”，安排年轻技术员跟随专家实地学习。完善激励机制</w:t>
      </w:r>
      <w:r>
        <w:rPr>
          <w:rFonts w:ascii="仿宋" w:eastAsia="仿宋" w:hAnsi="仿宋" w:cs="仿宋" w:hint="eastAsia"/>
          <w:lang w:eastAsia="zh-CN"/>
        </w:rPr>
        <w:t xml:space="preserve">，</w:t>
      </w:r>
      <w:r>
        <w:rPr>
          <w:rFonts w:ascii="仿宋" w:eastAsia="仿宋" w:hAnsi="仿宋" w:cs="仿宋" w:hint="eastAsia"/>
        </w:rPr>
        <w:t xml:space="preserve">对长期服务偏远地区的农技员给予补贴。</w:t>
      </w:r>
    </w:p>
    <w:p>
      <w:pPr>
        <w:pStyle w:val="Heading2"/>
        <w:bidi w:val="0"/>
        <w:jc w:val="both"/>
        <w:outlineLvl w:val="0"/>
        <w:rPr>
          <w:rFonts w:ascii="仿宋" w:eastAsia="仿宋" w:hAnsi="仿宋" w:cs="仿宋" w:hint="eastAsia"/>
          <w:bCs/>
          <w:iCs/>
          <w:color w:val="auto"/>
          <w:highlight w:val="none"/>
        </w:rPr>
      </w:pPr>
      <w:bookmarkStart w:id="174" w:name="_Toc5794"/>
      <w:bookmarkStart w:id="175" w:name="_Toc32163"/>
      <w:bookmarkStart w:id="176" w:name="_Toc21621"/>
      <w:bookmarkStart w:id="177" w:name="_Toc12100"/>
      <w:bookmarkStart w:id="178" w:name="_Toc22823"/>
      <w:bookmarkStart w:id="179" w:name="_Toc24871"/>
      <w:r>
        <w:rPr>
          <w:rFonts w:ascii="仿宋" w:eastAsia="仿宋" w:hAnsi="仿宋" w:cs="仿宋" w:hint="eastAsia"/>
          <w:bCs/>
          <w:iCs/>
          <w:color w:val="auto"/>
          <w:highlight w:val="none"/>
        </w:rPr>
        <w:t xml:space="preserve">七、其他需要说明的问题</w:t>
      </w:r>
      <w:bookmarkEnd w:id="174"/>
      <w:bookmarkEnd w:id="175"/>
      <w:bookmarkEnd w:id="176"/>
      <w:bookmarkEnd w:id="177"/>
      <w:bookmarkEnd w:id="178"/>
      <w:bookmarkEnd w:id="179"/>
    </w:p>
    <w:p>
      <w:pPr>
        <w:bidi w:val="0"/>
        <w:jc w:val="both"/>
        <w:rPr>
          <w:rFonts w:ascii="仿宋" w:eastAsia="仿宋" w:hAnsi="仿宋" w:cs="仿宋" w:hint="eastAsia"/>
          <w:color w:val="auto"/>
          <w:highlight w:val="none"/>
        </w:rPr>
      </w:pPr>
      <w:bookmarkStart w:id="180" w:name="OLE_LINK6"/>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本项目部分间接产生的效果无法准确在短期内衡量，因此很难认定项目产生的全部效果。通过指标来反映绩效，指标的科学性和全面性需要不断地完善和研究。</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评价结果分别编入政府决算和部门预算，报送本级人民代表大会常务委员会，并依法予以公开。</w:t>
      </w:r>
      <w:bookmarkEnd w:id="180"/>
    </w:p>
    <w:p>
      <w:pPr>
        <w:pStyle w:val="Heading2"/>
        <w:bidi w:val="0"/>
        <w:jc w:val="both"/>
        <w:outlineLvl w:val="0"/>
        <w:rPr>
          <w:rFonts w:ascii="仿宋" w:eastAsia="仿宋" w:hAnsi="仿宋" w:cs="仿宋" w:hint="eastAsia"/>
          <w:bCs/>
          <w:iCs/>
          <w:color w:val="auto"/>
          <w:highlight w:val="none"/>
        </w:rPr>
      </w:pPr>
      <w:bookmarkStart w:id="181" w:name="_Toc30245"/>
      <w:bookmarkStart w:id="182" w:name="_Toc4210"/>
      <w:bookmarkStart w:id="183" w:name="_Toc28493"/>
      <w:bookmarkStart w:id="184" w:name="_Toc24641"/>
      <w:r>
        <w:rPr>
          <w:rFonts w:ascii="仿宋" w:eastAsia="仿宋" w:hAnsi="仿宋" w:cs="仿宋" w:hint="eastAsia"/>
          <w:bCs/>
          <w:iCs/>
          <w:color w:val="auto"/>
          <w:highlight w:val="none"/>
        </w:rPr>
        <w:t xml:space="preserve">八、附件</w:t>
      </w:r>
      <w:bookmarkEnd w:id="181"/>
      <w:bookmarkEnd w:id="182"/>
      <w:bookmarkEnd w:id="183"/>
      <w:bookmarkEnd w:id="18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1、项目支出绩效自评表</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2、项目支出绩效评价指标体系及评分</w:t>
      </w:r>
    </w:p>
    <w:p>
      <w:pPr>
        <w:jc w:val="both"/>
        <w:rPr>
          <w:rFonts w:ascii="仿宋" w:eastAsia="仿宋" w:hAnsi="仿宋" w:cs="仿宋" w:hint="eastAsia"/>
          <w:color w:val="auto"/>
          <w:highlight w:val="none"/>
        </w:rPr>
      </w:pPr>
    </w:p>
    <w:p>
      <w:pPr>
        <w:jc w:val="both"/>
        <w:rPr>
          <w:rFonts w:ascii="仿宋" w:eastAsia="仿宋" w:hAnsi="仿宋" w:cs="仿宋" w:hint="eastAsia"/>
          <w:color w:val="auto"/>
          <w:highlight w:val="none"/>
        </w:rPr>
      </w:pPr>
    </w:p>
    <w:p>
      <w:pPr>
        <w:jc w:val="both"/>
        <w:rPr>
          <w:rFonts w:ascii="仿宋" w:eastAsia="仿宋" w:hAnsi="仿宋" w:cs="仿宋" w:hint="eastAsia"/>
          <w:color w:val="auto"/>
          <w:highlight w:val="none"/>
        </w:rPr>
        <w:sectPr>
          <w:footerReference w:type="default" r:id="rId4"/>
          <w:pgSz w:w="11906" w:h="16838" w:orient="portrait"/>
          <w:pgMar w:top="1440" w:right="1800" w:bottom="1440" w:left="1800" w:header="851" w:footer="992" w:gutter="0"/>
          <w:pgBorders/>
          <w:pgNumType w:fmt="decimal" w:start="1"/>
          <w:cols w:num="1" w:space="720">
            <w:col w:w="8306" w:space="720"/>
          </w:cols>
          <w:docGrid w:type="lines" w:linePitch="312" w:charSpace="0"/>
        </w:sectPr>
      </w:pPr>
    </w:p>
    <w:p>
      <w:pPr>
        <w:jc w:val="both"/>
        <w:rPr>
          <w:rFonts w:ascii="仿宋" w:eastAsia="仿宋" w:hAnsi="仿宋" w:cs="仿宋" w:hint="eastAsia"/>
          <w:color w:val="auto"/>
          <w:highlight w:val="none"/>
        </w:rPr>
      </w:pPr>
    </w:p>
    <w:p>
      <w:pPr>
        <w:pStyle w:val="Heading2"/>
        <w:bidi w:val="0"/>
        <w:jc w:val="both"/>
        <w:outlineLvl w:val="0"/>
        <w:rPr>
          <w:rFonts w:ascii="仿宋" w:eastAsia="仿宋" w:hAnsi="仿宋" w:cs="仿宋" w:hint="eastAsia"/>
          <w:bCs/>
          <w:iCs/>
          <w:color w:val="auto"/>
          <w:highlight w:val="none"/>
        </w:rPr>
      </w:pPr>
      <w:bookmarkStart w:id="185" w:name="_Toc15698"/>
      <w:bookmarkStart w:id="186" w:name="_Toc28598"/>
      <w:bookmarkStart w:id="187" w:name="_Toc728"/>
      <w:r>
        <w:rPr>
          <w:rFonts w:ascii="仿宋" w:eastAsia="仿宋" w:hAnsi="仿宋" w:cs="仿宋" w:hint="eastAsia"/>
          <w:bCs/>
          <w:iCs/>
          <w:color w:val="auto"/>
          <w:highlight w:val="none"/>
        </w:rPr>
        <w:t xml:space="preserve">附件1：</w:t>
      </w:r>
      <w:bookmarkEnd w:id="185"/>
      <w:bookmarkEnd w:id="186"/>
      <w:r>
        <w:rPr>
          <w:rFonts w:ascii="仿宋" w:eastAsia="仿宋" w:hAnsi="仿宋" w:cs="仿宋" w:hint="eastAsia"/>
          <w:color w:val="auto"/>
          <w:highlight w:val="none"/>
        </w:rPr>
        <w:t xml:space="preserve">项目支出绩效自评表</w:t>
      </w:r>
      <w:bookmarkEnd w:id="187"/>
    </w:p>
    <w:tbl>
      <w:tblPr>
        <w:tblStyle w:val="NormalTable"/>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Look w:firstRow="0" w:lastRow="0" w:firstColumn="0" w:lastColumn="0" w:noHBand="1" w:noVBand="1"/>
      </w:tblPr>
      <w:tblGrid>
        <w:gridCol w:w="1236"/>
        <w:gridCol w:w="690"/>
        <w:gridCol w:w="1219"/>
        <w:gridCol w:w="1760"/>
        <w:gridCol w:w="81"/>
        <w:gridCol w:w="1220"/>
        <w:gridCol w:w="842"/>
        <w:gridCol w:w="859"/>
        <w:gridCol w:w="691"/>
        <w:gridCol w:w="252"/>
        <w:gridCol w:w="988"/>
        <w:gridCol w:w="1195"/>
        <w:gridCol w:w="336"/>
        <w:gridCol w:w="646"/>
        <w:gridCol w:w="456"/>
        <w:gridCol w:w="280"/>
        <w:gridCol w:w="1237"/>
      </w:tblGrid>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20"/>
          <w:jc w:val="center"/>
        </w:trPr>
        <w:tc>
          <w:tcPr>
            <w:tcW w:w="5000" w:type="pct"/>
            <w:gridSpan w:val="1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b/>
                <w:i w:val="0"/>
                <w:color w:val="auto"/>
                <w:sz w:val="21"/>
                <w:szCs w:val="21"/>
                <w:highlight w:val="none"/>
                <w:u w:val="none"/>
              </w:rPr>
            </w:pPr>
            <w:bookmarkStart w:id="188" w:name="_Toc1641"/>
            <w:bookmarkStart w:id="189" w:name="_Toc28099"/>
            <w:bookmarkStart w:id="190" w:name="_Toc5134"/>
            <w:bookmarkStart w:id="191" w:name="_Toc22143"/>
            <w:r>
              <w:rPr>
                <w:rFonts w:ascii="仿宋" w:eastAsia="仿宋" w:hAnsi="仿宋" w:cs="仿宋" w:hint="eastAsia"/>
                <w:b/>
                <w:i w:val="0"/>
                <w:color w:val="auto"/>
                <w:kern w:val="0"/>
                <w:sz w:val="21"/>
                <w:szCs w:val="21"/>
                <w:highlight w:val="none"/>
                <w:u w:val="none"/>
                <w:lang w:val="en-US" w:eastAsia="zh-CN"/>
              </w:rPr>
              <w:t xml:space="preserve">项目支出绩效自评表</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517"/>
          <w:jc w:val="center"/>
        </w:trPr>
        <w:tc>
          <w:tcPr>
            <w:tcW w:w="5000" w:type="pct"/>
            <w:gridSpan w:val="1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b/>
                <w:i w:val="0"/>
                <w:color w:val="auto"/>
                <w:sz w:val="21"/>
                <w:szCs w:val="21"/>
                <w:highlight w:val="none"/>
                <w:u w:val="none"/>
              </w:rPr>
            </w:pPr>
            <w:r>
              <w:rPr>
                <w:rFonts w:ascii="仿宋" w:eastAsia="仿宋" w:hAnsi="仿宋" w:cs="仿宋" w:hint="eastAsia"/>
                <w:b/>
                <w:i w:val="0"/>
                <w:color w:val="auto"/>
                <w:kern w:val="0"/>
                <w:sz w:val="21"/>
                <w:szCs w:val="21"/>
                <w:highlight w:val="none"/>
                <w:u w:val="none"/>
                <w:lang w:val="en-US" w:eastAsia="zh-CN"/>
              </w:rPr>
              <w:t xml:space="preserve">（2024年度）</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270"/>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项目名称</w:t>
            </w:r>
          </w:p>
        </w:tc>
        <w:tc>
          <w:tcPr>
            <w:tcW w:w="4557" w:type="pct"/>
            <w:gridSpan w:val="16"/>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2024年度基层农技推广体系改革与建设项目</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主管部门</w:t>
            </w:r>
          </w:p>
        </w:tc>
        <w:tc>
          <w:tcPr>
            <w:tcW w:w="2631" w:type="pct"/>
            <w:gridSpan w:val="8"/>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尉犁县农业技术推广中心</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实施单位</w:t>
            </w:r>
          </w:p>
        </w:tc>
        <w:tc>
          <w:tcPr>
            <w:tcW w:w="1482" w:type="pct"/>
            <w:gridSpan w:val="6"/>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尉犁县农业技术推广中心</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项目资金</w:t>
            </w:r>
            <w:r>
              <w:rPr>
                <w:rFonts w:ascii="仿宋" w:eastAsia="仿宋" w:hAnsi="仿宋" w:cs="仿宋" w:hint="eastAsia"/>
                <w:i w:val="0"/>
                <w:color w:val="auto"/>
                <w:kern w:val="0"/>
                <w:sz w:val="21"/>
                <w:szCs w:val="21"/>
                <w:highlight w:val="none"/>
                <w:u w:val="none"/>
                <w:lang w:val="en-US" w:eastAsia="zh-CN"/>
              </w:rPr>
              <w:br/>
            </w:r>
            <w:r>
              <w:rPr>
                <w:rFonts w:ascii="仿宋" w:eastAsia="仿宋" w:hAnsi="仿宋" w:cs="仿宋" w:hint="eastAsia"/>
                <w:i w:val="0"/>
                <w:color w:val="auto"/>
                <w:kern w:val="0"/>
                <w:sz w:val="21"/>
                <w:szCs w:val="21"/>
                <w:highlight w:val="none"/>
                <w:u w:val="none"/>
                <w:lang w:val="en-US" w:eastAsia="zh-CN"/>
              </w:rPr>
              <w:t xml:space="preserve">（万元）</w:t>
            </w: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资金来源</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年初预算数</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全年预算数</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全年执行数</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分值权重</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执行率</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得分</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年度资金总额</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105.32</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104.40</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104.40</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100.00%</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10.00分</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其中：当年财政拨款</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105.32</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其他资金</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0.00</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0.00</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lang w:val="en-US" w:eastAsia="zh-CN"/>
              </w:rPr>
            </w:pPr>
            <w:r>
              <w:rPr>
                <w:rFonts w:ascii="仿宋" w:eastAsia="仿宋" w:hAnsi="仿宋" w:cs="仿宋" w:hint="eastAsia"/>
                <w:i w:val="0"/>
                <w:color w:val="auto"/>
                <w:sz w:val="21"/>
                <w:szCs w:val="21"/>
                <w:highlight w:val="none"/>
                <w:u w:val="none"/>
                <w:lang w:val="en-US" w:eastAsia="zh-CN"/>
              </w:rPr>
              <w:t xml:space="preserve">0</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年度总体目标</w:t>
            </w:r>
          </w:p>
        </w:tc>
        <w:tc>
          <w:tcPr>
            <w:tcW w:w="2384"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总体目标</w:t>
            </w:r>
          </w:p>
        </w:tc>
        <w:tc>
          <w:tcPr>
            <w:tcW w:w="2172" w:type="pct"/>
            <w:gridSpan w:val="9"/>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总体目标完成情况</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156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384"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推广一批农业先进适用主推技术,建设 2个农业科技示范展示基地,农业主推技术到位率达到95%以上,农业科技示范主体抽样满意度超过 9O%。 对我县县、乡两级技术人员37名以上在编在岗基层农技人员开展知识更新培训,培育50名以上业务精通、服务优良的农技推广骨干人才。招募35名以上特聘农技员,重点开展技术、设施、营销等技术服务, 发挥科技帮扶作用。</w:t>
            </w:r>
          </w:p>
        </w:tc>
        <w:tc>
          <w:tcPr>
            <w:tcW w:w="2172" w:type="pct"/>
            <w:gridSpan w:val="9"/>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推广农业先进适用主推技术4个，主导品种6个，建设 2个农业科技示范展示基地，农业主推技术到位率达到95%，农业科技示范主体抽样满意度 90%，包括我县县、乡两级技术人员37名以上在编在岗基层农技人员开展知识更新培训50名以上培育业务精通，招录35名特聘员。</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953"/>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一级指标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二级指标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三级指标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指标值</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指标值设置依据</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上年完成值</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指标分值权重</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佐证资料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指标实际完成值</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完成率</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指标得分</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偏差原因分析及改进措施</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年度绩效指标完成情况</w:t>
            </w:r>
          </w:p>
        </w:tc>
        <w:tc>
          <w:tcPr>
            <w:tcW w:w="247"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产出指标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培训基层农技人员数</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&gt;=50人</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=50人</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农业科技示范展示基地数量</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&gt;=2个</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=2个</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招募村级农技推广服务特聘人员数</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&gt;=35人</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=35人</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质量指标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农业主体技术到位率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&gt;=95%</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=95%</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时效指标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各项任务完成时限</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2024年12月20日前</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2024年12月20日</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成本指标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农业科技示范展示基地费用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&lt;=59.40万元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=59.4万元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基层农技人员培训及宣传费用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&lt;=7.60万元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=7.6万元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农技推广服务特聘人员经费</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&lt;=33.60万元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=33.6万元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宣传制作及其他费用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&lt;=3.8万元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=3.8万元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效益指标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社会效益指标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资金使用重大违规违纪问题</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无</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达成目标</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满意度指标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满意度指标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农业科技示范主体抽样满意度</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&gt;=90%</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=90%</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2520"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both"/>
              <w:textAlignment w:val="center"/>
              <w:rPr>
                <w:rFonts w:ascii="仿宋" w:eastAsia="仿宋" w:hAnsi="仿宋" w:cs="仿宋" w:hint="eastAsia"/>
                <w:i w:val="0"/>
                <w:color w:val="auto"/>
                <w:kern w:val="0"/>
                <w:sz w:val="21"/>
                <w:szCs w:val="21"/>
                <w:highlight w:val="none"/>
                <w:u w:val="none"/>
                <w:lang w:val="en-US" w:eastAsia="zh-CN"/>
              </w:rPr>
            </w:pPr>
            <w:r>
              <w:rPr>
                <w:rFonts w:ascii="仿宋" w:eastAsia="仿宋" w:hAnsi="仿宋" w:cs="仿宋" w:hint="eastAsia"/>
                <w:i w:val="0"/>
                <w:color w:val="auto"/>
                <w:kern w:val="0"/>
                <w:sz w:val="21"/>
                <w:szCs w:val="21"/>
                <w:highlight w:val="none"/>
                <w:u w:val="none"/>
                <w:lang w:val="en-US" w:eastAsia="zh-CN"/>
              </w:rPr>
              <w:t xml:space="preserve">合计</w:t>
            </w:r>
          </w:p>
        </w:tc>
        <w:tc>
          <w:tcPr>
            <w:tcW w:w="1775"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left"/>
              <w:textAlignment w:val="center"/>
              <w:rPr>
                <w:rFonts w:ascii="仿宋" w:eastAsia="仿宋" w:hAnsi="仿宋" w:cs="仿宋" w:hint="eastAsia"/>
                <w:i w:val="0"/>
                <w:color w:val="auto"/>
                <w:kern w:val="0"/>
                <w:sz w:val="21"/>
                <w:szCs w:val="21"/>
                <w:highlight w:val="none"/>
                <w:u w:val="none"/>
                <w:lang w:val="en-US" w:eastAsia="zh-CN"/>
              </w:rPr>
            </w:pPr>
          </w:p>
        </w:tc>
        <w:tc>
          <w:tcPr>
            <w:tcW w:w="70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100分</w:t>
            </w:r>
          </w:p>
        </w:tc>
      </w:tr>
    </w:tbl>
    <w:p>
      <w:pPr>
        <w:pStyle w:val="Heading3"/>
        <w:ind w:left="0" w:firstLine="0" w:leftChars="0" w:firstLineChars="0"/>
        <w:jc w:val="both"/>
        <w:outlineLvl w:val="9"/>
        <w:rPr>
          <w:rFonts w:ascii="仿宋" w:eastAsia="仿宋" w:hAnsi="仿宋" w:cs="仿宋" w:hint="eastAsia"/>
          <w:color w:val="auto"/>
          <w:highlight w:val="none"/>
        </w:rPr>
        <w:sectPr>
          <w:pgSz w:w="16838" w:h="11906" w:orient="landscape"/>
          <w:pgMar w:top="1800" w:right="1440" w:bottom="1800" w:left="1440" w:header="851" w:footer="992" w:gutter="0"/>
          <w:pgBorders/>
          <w:pgNumType w:fmt="decimal"/>
          <w:cols w:num="1" w:space="720">
            <w:col w:w="13958" w:space="720"/>
          </w:cols>
          <w:docGrid w:type="lines" w:linePitch="312" w:charSpace="0"/>
        </w:sectPr>
      </w:pPr>
    </w:p>
    <w:p>
      <w:pPr>
        <w:pStyle w:val="Heading2"/>
        <w:bidi w:val="0"/>
        <w:jc w:val="both"/>
        <w:outlineLvl w:val="0"/>
        <w:rPr>
          <w:rFonts w:ascii="仿宋" w:eastAsia="仿宋" w:hAnsi="仿宋" w:cs="仿宋" w:hint="eastAsia"/>
          <w:color w:val="auto"/>
          <w:highlight w:val="none"/>
        </w:rPr>
      </w:pPr>
      <w:bookmarkStart w:id="192" w:name="_Toc9645"/>
      <w:bookmarkStart w:id="193" w:name="_Toc31300"/>
      <w:bookmarkStart w:id="194" w:name="_Toc29757"/>
      <w:r>
        <w:rPr>
          <w:rFonts w:ascii="仿宋" w:eastAsia="仿宋" w:hAnsi="仿宋" w:cs="仿宋" w:hint="eastAsia"/>
          <w:color w:val="auto"/>
          <w:highlight w:val="none"/>
        </w:rPr>
        <w:t xml:space="preserve">附件2：</w:t>
      </w:r>
      <w:bookmarkEnd w:id="188"/>
      <w:bookmarkEnd w:id="189"/>
      <w:bookmarkEnd w:id="190"/>
      <w:bookmarkEnd w:id="191"/>
      <w:bookmarkEnd w:id="192"/>
      <w:bookmarkEnd w:id="193"/>
      <w:bookmarkEnd w:id="194"/>
      <w:r>
        <w:rPr>
          <w:rFonts w:ascii="仿宋" w:eastAsia="仿宋" w:hAnsi="仿宋" w:cs="仿宋" w:hint="eastAsia"/>
          <w:color w:val="auto"/>
          <w:highlight w:val="none"/>
        </w:rPr>
        <w:t xml:space="preserve">项目支出绩效评价指标体系及评分</w:t>
      </w:r>
    </w:p>
    <w:p>
      <w:pPr>
        <w:pStyle w:val="表格标题"/>
        <w:bidi w:val="0"/>
        <w:jc w:val="center"/>
        <w:rPr>
          <w:rFonts w:ascii="仿宋" w:eastAsia="仿宋" w:hAnsi="仿宋" w:cs="仿宋" w:hint="eastAsia"/>
          <w:color w:val="auto"/>
          <w:highlight w:val="none"/>
        </w:rPr>
      </w:pPr>
      <w:bookmarkStart w:id="195" w:name="_Toc8079"/>
      <w:bookmarkStart w:id="196" w:name="_Toc29561"/>
      <w:bookmarkStart w:id="197" w:name="_Toc28172"/>
      <w:r>
        <w:rPr>
          <w:rFonts w:ascii="仿宋" w:eastAsia="仿宋" w:hAnsi="仿宋" w:cs="仿宋" w:hint="eastAsia"/>
          <w:color w:val="auto"/>
          <w:highlight w:val="none"/>
        </w:rPr>
        <w:t xml:space="preserve">项目支出绩效评价指标体系及评分</w:t>
      </w:r>
      <w:bookmarkEnd w:id="195"/>
      <w:bookmarkEnd w:id="196"/>
      <w:bookmarkEnd w:id="197"/>
    </w:p>
    <w:tbl>
      <w:tblPr>
        <w:tblStyle w:val="NormalTable"/>
        <w:tblW w:w="5674" w:type="pct"/>
        <w:jc w:val="center"/>
        <w:tblLayout w:type="fixed"/>
        <w:tblCellMar>
          <w:top w:w="0" w:type="dxa"/>
          <w:left w:w="108" w:type="dxa"/>
          <w:bottom w:w="0" w:type="dxa"/>
          <w:right w:w="108" w:type="dxa"/>
        </w:tblCellMar>
        <w:tblLook w:firstRow="0" w:lastRow="0" w:firstColumn="0" w:lastColumn="0" w:noHBand="1" w:noVBand="1"/>
      </w:tblPr>
      <w:tblGrid>
        <w:gridCol w:w="592"/>
        <w:gridCol w:w="670"/>
        <w:gridCol w:w="818"/>
        <w:gridCol w:w="2173"/>
        <w:gridCol w:w="4179"/>
        <w:gridCol w:w="614"/>
        <w:gridCol w:w="625"/>
      </w:tblGrid>
      <w:tr>
        <w:tblPrEx>
          <w:tblW w:w="5674" w:type="pct"/>
          <w:tblLayout w:type="fixed"/>
          <w:tblCellMar>
            <w:top w:w="0" w:type="dxa"/>
            <w:left w:w="108" w:type="dxa"/>
            <w:bottom w:w="0" w:type="dxa"/>
            <w:right w:w="108" w:type="dxa"/>
          </w:tblCellMar>
        </w:tblPrEx>
        <w:trPr>
          <w:trHeight w:val="460"/>
          <w:jc w:val="center"/>
        </w:trPr>
        <w:tc>
          <w:tcPr>
            <w:tcW w:w="592"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一级</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w:t>
            </w:r>
          </w:p>
        </w:tc>
        <w:tc>
          <w:tcPr>
            <w:tcW w:w="670"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二级指标</w:t>
            </w: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三级</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指标解释</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指标说明</w:t>
            </w:r>
          </w:p>
        </w:tc>
        <w:tc>
          <w:tcPr>
            <w:tcW w:w="614"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分值</w:t>
            </w:r>
          </w:p>
        </w:tc>
        <w:tc>
          <w:tcPr>
            <w:tcW w:w="625"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得分</w:t>
            </w:r>
          </w:p>
        </w:tc>
      </w:tr>
      <w:tr>
        <w:tblPrEx>
          <w:tblW w:w="5674" w:type="pct"/>
          <w:tblLayout w:type="fixed"/>
          <w:tblCellMar>
            <w:top w:w="0" w:type="dxa"/>
            <w:left w:w="108" w:type="dxa"/>
            <w:bottom w:w="0" w:type="dxa"/>
            <w:right w:w="108" w:type="dxa"/>
          </w:tblCellMar>
        </w:tblPrEx>
        <w:trPr>
          <w:trHeight w:val="9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决策</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eastAsia="zh-CN"/>
              </w:rPr>
            </w:pPr>
            <w:r>
              <w:rPr>
                <w:rFonts w:ascii="仿宋" w:eastAsia="仿宋" w:hAnsi="仿宋" w:cs="仿宋" w:hint="eastAsia"/>
                <w:color w:val="auto"/>
                <w:sz w:val="18"/>
                <w:szCs w:val="18"/>
                <w:highlight w:val="none"/>
              </w:rPr>
              <w:t xml:space="preserve">项目</w:t>
            </w:r>
            <w:r>
              <w:rPr>
                <w:rFonts w:ascii="仿宋" w:eastAsia="仿宋" w:hAnsi="仿宋" w:cs="仿宋" w:hint="eastAsia"/>
                <w:color w:val="auto"/>
                <w:sz w:val="18"/>
                <w:szCs w:val="18"/>
                <w:highlight w:val="none"/>
                <w:lang w:eastAsia="zh-CN"/>
              </w:rPr>
              <w:t xml:space="preserve">实施</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依据充分性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是否符合法律法规、相关政策、发展规划以及部门职责，用以反映和考核项目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依据情况。</w:t>
            </w: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是否符合国家法律法规、国民经济发展规划和相关政策；</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是否符合行业发展规划和政策要求；</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是否与部门职责范围相符，属于部门履职所需；</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④项目是否属于公共财政支持范围，是否符合中央、地方事权支出责任划分原则；</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⑤项目是否与相关部门同类项目或部门内部相关项目重复。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3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程序规范性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项目申请、设立过程是否符合相关要求，用以反映和考核项目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的规范情况。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10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①项目是否按照规定的程序申请设立；</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54"/>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②审批文件、材料是否符合相关要求；</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③事前是否已经过必要的可行性研究、专家论证、风险评估、绩效评估、集体决策。</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2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绩效目标</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绩效目标合理性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项目所设定的绩效目标是否依据充分，是否符合客观实际，用以反映和考核项目绩效目标与项目实施的相符情况。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15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①项目是否有绩效目标；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9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②项目绩效目标与实际工作内容是否具有相关性；</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③项目预期产出效益和效果是否符合正常的业绩水平；</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53"/>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④是否与预算确定的项目投资额或资金量相匹配。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绩效指标明确性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依据绩效目标设定的绩效指标是否清晰、细化、可衡量等，用以反映和考核项目绩效目标的明细化情况。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①是否将项目绩效目标细化分解为具体的绩效指标；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4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②是否通过清晰、可衡量的指标值予以体现；</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3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③是否与项目目标任务数或计划数相对应。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资金投入</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预算编制科学性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项目预算编制是否经过科学论证、有明确标准，资金额度与年度目标是否相适应，用以反映和考核项目预算编制的科学性、合理性情况。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①预算编制是否经过科学论证；</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②预算内容与项目内容是否匹配；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③预算额度测算依据是否充分，是否按照标准编制；</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④预算确定的项目投资额或资金量是否与工作任务相匹配。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76"/>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资金分配合理性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项目预算资金分配是否有测算依据，与补助单位或地方实际是否相适应，用以反映和考核项目预算资金分配的科学性、合理性情况。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①预算资金分配依据是否充分；</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08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top"/>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②资金分配额度是否合理，与项目单位或地方实际是否相适应。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08"/>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过程</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资金管理</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资金到位率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实际到位资金与预算资金的比率，用以反映和考核资金落实情况对项目实施的总体保障程度。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资金到位率=（实际到位资金/预算资金）×100%。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实际到位资金：一定时期（本年度或项目期）内落实到具体项目的资金。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58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预算资金：一定时期（本年度或项目期）内预算安排到具体项目的资金。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预算执行率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项目预算资金是否按照计划执行，用以反映或考核项目预算执行情况。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预算执行率=（实际支出资金/实际到位资金）×100%。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eastAsia="zh-CN"/>
              </w:rPr>
            </w:pPr>
            <w:r>
              <w:rPr>
                <w:rFonts w:ascii="仿宋" w:eastAsia="仿宋" w:hAnsi="仿宋" w:cs="仿宋" w:hint="eastAsia"/>
                <w:color w:val="auto"/>
                <w:sz w:val="18"/>
                <w:szCs w:val="18"/>
                <w:highlight w:val="none"/>
                <w:lang w:val="en-US" w:eastAsia="zh-CN"/>
              </w:rPr>
              <w:t xml:space="preserve">4</w:t>
            </w:r>
          </w:p>
        </w:tc>
      </w:tr>
      <w:tr>
        <w:tblPrEx>
          <w:tblW w:w="5674" w:type="pct"/>
          <w:tblLayout w:type="fixed"/>
          <w:tblCellMar>
            <w:top w:w="0" w:type="dxa"/>
            <w:left w:w="108" w:type="dxa"/>
            <w:bottom w:w="0" w:type="dxa"/>
            <w:right w:w="108" w:type="dxa"/>
          </w:tblCellMar>
        </w:tblPrEx>
        <w:trPr>
          <w:trHeight w:val="62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实际支出资金：一定时期（本年度或项目期）内项目实际拨付的资金。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资金使用合规性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项目资金使用是否符合相关的财务管理制度规定，用以反映和考核项目资金的规范运行情况。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①是否符合国家财经法规和财务管理制度以及有关专项资金管理办法的规定；</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②资金的拨付是否有完整的审批程序和手续；</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③是否符合项目预算批复或合同规定的用途；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19"/>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④是否存在截留、挤占、挪用、虚列支出等情况。</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组织实施</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管理制度健全性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项目实施单位的财务和业务管理制度是否健全，用以反映和考核财务和业务管理制度对项目顺利实施的保障情况。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①是否已制定或具有相应的财务和业务管理制度；</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②财务和业务管理制度是否合法、合规、完整。</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33"/>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制度执行有效性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项目实施是否符合相关管理规定，用以反映和考核相关管理制度的有效执行情况。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15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①是否遵守相关法律法规和相关管理规定；</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②项目调整及支出调整手续是否完备；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③项目合同书、验收报告、技术鉴定等资料是否齐全并及时归档；</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④项目实施的人员条件、场地设备、信息支撑等是否落实到位。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产出数量</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项目实施的实际产出数与计划产出数的比率，用以反映和考核项目产出数量目标的实现程度。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实际完成率=（实际产出数/计划产出数）×100%。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实际产出数：一定时期（本年度或项目期）内项目实际产出的产品或提供的服务数量。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计划产出数：项目绩效目标确定的在一定时期（本年度或项目期）内计划产出的产品或提供的服务数量。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33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产出质量</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项目完成的质量达标产出数与实际产出数的比率，用以反映和考核项目产出质量目标的实现程度。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质量达标率=（质量达标产出数/实际产出数）×100%。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r>
      <w:tr>
        <w:tblPrEx>
          <w:tblW w:w="5674" w:type="pct"/>
          <w:tblLayout w:type="fixed"/>
          <w:tblCellMar>
            <w:top w:w="0" w:type="dxa"/>
            <w:left w:w="108" w:type="dxa"/>
            <w:bottom w:w="0" w:type="dxa"/>
            <w:right w:w="108" w:type="dxa"/>
          </w:tblCellMar>
        </w:tblPrEx>
        <w:trPr>
          <w:trHeight w:val="88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产出时效</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完成及时性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项目实际完成时间与计划完成时间的比较，用以反映和考核项目产出时效目标的实现程度。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实际完成时间：项目实施单位完成该项目实际所耗用的时间。</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12</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计划完成时间：按照项目实施计划或相关规定完成该项目所需的时间。</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产出成本</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成本节约率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完成项目计划工作目标的实际节约成本与计划成本的比率，用以反映和考核项目的成本节约程度。</w:t>
            </w:r>
          </w:p>
        </w:tc>
        <w:tc>
          <w:tcPr>
            <w:tcW w:w="4179" w:type="dxa"/>
            <w:tcBorders>
              <w:top w:val="single" w:sz="4" w:space="0" w:color="auto"/>
              <w:left w:val="single" w:sz="4" w:space="0" w:color="auto"/>
              <w:bottom w:val="nil"/>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成本节约率=〔（计划成本</w:t>
            </w:r>
            <w:r>
              <w:rPr>
                <w:rFonts w:ascii="仿宋" w:eastAsia="仿宋" w:hAnsi="仿宋" w:cs="仿宋" w:hint="eastAsia"/>
                <w:color w:val="auto"/>
                <w:sz w:val="18"/>
                <w:szCs w:val="18"/>
                <w:highlight w:val="none"/>
                <w:lang w:eastAsia="zh-CN"/>
              </w:rPr>
              <w:t xml:space="preserve">－</w:t>
            </w:r>
            <w:r>
              <w:rPr>
                <w:rFonts w:ascii="仿宋" w:eastAsia="仿宋" w:hAnsi="仿宋" w:cs="仿宋" w:hint="eastAsia"/>
                <w:color w:val="auto"/>
                <w:sz w:val="18"/>
                <w:szCs w:val="18"/>
                <w:highlight w:val="none"/>
              </w:rPr>
              <w:t xml:space="preserve">实际成本）/计划成本〕×100%。</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实际成本：项目实施单位如期、保质、保量完成既定工作目标实际所耗费的支出。</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计划成本：项目实施单位为完成工作目标计划安排的支出，一般以项目预算为参考。</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78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效益</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项目效益</w:t>
            </w: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实施</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效益</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项目实施所产生的效益。</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项目实施所产生的社会效益、经济效益、生态效益、可持续影响等。可根据项目实际情况有选择地设置和细化。</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r>
      <w:tr>
        <w:tblPrEx>
          <w:tblW w:w="5674" w:type="pct"/>
          <w:tblLayout w:type="fixed"/>
          <w:tblCellMar>
            <w:top w:w="0" w:type="dxa"/>
            <w:left w:w="108" w:type="dxa"/>
            <w:bottom w:w="0" w:type="dxa"/>
            <w:right w:w="108" w:type="dxa"/>
          </w:tblCellMar>
        </w:tblPrEx>
        <w:trPr>
          <w:trHeight w:val="8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满意度</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社会公众或服务对象对项目实施效果的满意程度。</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社会公众或服务对象是指因该项目实施而受到影响的部门（单位）、群体或个人。一般采取社会调查的方式。</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r>
      <w:tr>
        <w:tblPrEx>
          <w:tblW w:w="5674" w:type="pct"/>
          <w:tblLayout w:type="fixed"/>
          <w:tblCellMar>
            <w:top w:w="0" w:type="dxa"/>
            <w:left w:w="108" w:type="dxa"/>
            <w:bottom w:w="0" w:type="dxa"/>
            <w:right w:w="108" w:type="dxa"/>
          </w:tblCellMar>
        </w:tblPrEx>
        <w:trPr>
          <w:trHeight w:val="460"/>
          <w:jc w:val="center"/>
        </w:trPr>
        <w:tc>
          <w:tcPr>
            <w:tcW w:w="8432" w:type="dxa"/>
            <w:gridSpan w:val="5"/>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合计</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100</w:t>
            </w:r>
            <w:bookmarkEnd w:id="0"/>
          </w:p>
        </w:tc>
      </w:tr>
    </w:tbl>
    <w:p>
      <w:pPr>
        <w:ind w:firstLine="640"/>
        <w:jc w:val="both"/>
        <w:rPr>
          <w:rFonts w:ascii="仿宋" w:eastAsia="仿宋" w:hAnsi="仿宋" w:cs="仿宋" w:hint="eastAsia"/>
          <w:color w:val="auto"/>
          <w:highlight w:val="none"/>
        </w:rPr>
      </w:pPr>
    </w:p>
    <w:sectPr>
      <w:pgSz w:w="11906" w:h="16838" w:orient="portrait"/>
      <w:pgMar w:top="1440" w:right="1800" w:bottom="1440" w:left="1800" w:header="851" w:footer="992" w:gutter="0"/>
      <w:pgBorders/>
      <w:pgNumType w:fmt="decimal"/>
      <w:cols w:num="1" w:space="720">
        <w:col w:w="8306" w:space="720"/>
      </w:cols>
      <w:docGrid w:type="lines" w:linePitch="312" w:charSpace="0"/>
    </w:sectPr>
  </w:body>
</w:document>
</file>

<file path=word/fontTable.xml><?xml version="1.0" encoding="utf-8"?>
<w:fonts xmlns:r="http://schemas.openxmlformats.org/officeDocument/2006/relationships" xmlns:w="http://schemas.openxmlformats.org/wordprocessingml/2006/main" xmlns:mc="http://schemas.openxmlformats.org/markup-compatibility/2006">
  <w:font w:name="Times New Roman">
    <w:panose1 w:val="02020603050405020304"/>
    <w:charset w:val="5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1E0E77E-4480-4A77-B949-F777C1F0BE23}"/>
  </w:font>
  <w:font w:name="Arial">
    <w:panose1 w:val="020B0604020202020204"/>
    <w:charset w:val="01"/>
    <w:family w:val="swiss"/>
    <w:pitch w:val="default"/>
    <w:sig w:usb0="E0002EFF" w:usb1="C0007843" w:usb2="00000009" w:usb3="00000000" w:csb0="400001FF" w:csb1="FFFF0000"/>
    <w:embedRegular r:id="rId2" w:fontKey="{D6FB05DC-61A3-4F9D-A097-FC163AB4E8F9}"/>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153703EE-A3B1-4D73-A5B6-6CAD7EDC6827}"/>
  </w:font>
  <w:font w:name="Symbol">
    <w:panose1 w:val="05050102010706020507"/>
    <w:charset w:val="02"/>
    <w:family w:val="roman"/>
    <w:pitch w:val="default"/>
    <w:sig w:usb0="00000000" w:usb1="00000000" w:usb2="00000000" w:usb3="00000000" w:csb0="80000000" w:csb1="00000000"/>
    <w:embedRegular r:id="rId4" w:fontKey="{8A382829-AEB5-435D-B920-FEB5F9894917}"/>
  </w:font>
  <w:font w:name="Calibri">
    <w:panose1 w:val="020F0502020204030204"/>
    <w:charset w:val="00"/>
    <w:family w:val="swiss"/>
    <w:pitch w:val="default"/>
    <w:sig w:usb0="E0002AFF" w:usb1="C000247B" w:usb2="00000009" w:usb3="00000000" w:csb0="200001FF" w:csb1="00000000"/>
    <w:embedRegular r:id="rId5" w:fontKey="{4ADDDD98-1A7C-43AB-960A-5A70C3DFA7FD}"/>
  </w:font>
  <w:font w:name="仿宋_GB2312">
    <w:altName w:val="仿宋"/>
    <w:panose1 w:val="02010609030101010101"/>
    <w:charset w:val="86"/>
    <w:family w:val="modern"/>
    <w:pitch w:val="default"/>
    <w:sig w:usb0="00000000" w:usb1="00000000" w:usb2="00000000" w:usb3="00000000" w:csb0="00040001" w:csb1="00000000"/>
  </w:font>
  <w:font w:name="方正小标宋_GBK">
    <w:altName w:val="微软雅黑"/>
    <w:panose1 w:val="02000000000000000000"/>
    <w:charset w:val="86"/>
    <w:family w:val="auto"/>
    <w:pitch w:val="default"/>
    <w:sig w:usb0="00000001" w:usb1="08000000" w:usb2="00000000" w:usb3="00000000" w:csb0="00040000" w:csb1="00000000"/>
  </w:font>
  <w:font w:name="楷体_GB2312">
    <w:altName w:val="楷体"/>
    <w:panose1 w:val="02010609030101010101"/>
    <w:charset w:val="86"/>
    <w:family w:val="modern"/>
    <w:pitch w:val="default"/>
    <w:sig w:usb0="00000000" w:usb1="00000000" w:usb2="00000000" w:usb3="00000000" w:csb0="00040001" w:csb1="00000000"/>
  </w:font>
  <w:font w:name="Cambria">
    <w:panose1 w:val="02040503050406030204"/>
    <w:charset w:val="00"/>
    <w:family w:val="roman"/>
    <w:pitch w:val="default"/>
    <w:sig w:usb0="E00002FF" w:usb1="400004FF" w:usb2="00000000" w:usb3="00000000" w:csb0="2000019F" w:csb1="00000000"/>
    <w:embedRegular r:id="rId6" w:fontKey="{AEC55978-46BE-4296-A2D2-7494E8EDF451}"/>
  </w:font>
  <w:font w:name="仿宋">
    <w:panose1 w:val="02010609060101010101"/>
    <w:charset w:val="86"/>
    <w:family w:val="auto"/>
    <w:pitch w:val="default"/>
    <w:sig w:usb0="800002BF" w:usb1="38CF7CFA" w:usb2="00000016" w:usb3="00000000" w:csb0="00040001" w:csb1="00000000"/>
    <w:embedRegular r:id="rId7" w:fontKey="{6A0AD474-8B81-449A-AC95-F98CF529EDE4}"/>
  </w:font>
  <w:font w:name="方正小标宋">
    <w:panose1 w:val="00000000000000000000"/>
    <w:charset w:val="01"/>
    <w:family w:val="auto"/>
    <w:pitch w:val="default"/>
    <w:sig w:usb0="00000000" w:usb1="00000000" w:usb2="00000000" w:usb3="00000000" w:csb0="00000000" w:csb1="00000000"/>
  </w:font>
  <w:font w:name="楷体">
    <w:panose1 w:val="00000000000000000000"/>
    <w:charset w:val="01"/>
    <w:family w:val="auto"/>
    <w:pitch w:val="default"/>
    <w:sig w:usb0="00000000" w:usb1="00000000" w:usb2="00000000" w:usb3="00000000" w:csb0="00000000" w:csb1="00000000"/>
  </w:font>
</w:fonts>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tabs>
        <w:tab w:val="center" w:pos="4153"/>
        <w:tab w:val="right" w:pos="8306"/>
      </w:tabs>
    </w:pP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tabs>
        <w:tab w:val="center" w:pos="4153"/>
        <w:tab w:val="right" w:pos="8306"/>
      </w:tabs>
    </w:pPr>
    <w:r>
      <w:pict>
        <v:shapetype id="_x0000_t202" coordsize="21600,21600" o:spt="202" path="m,l,21600r21600,l21600,xe">
          <v:stroke joinstyle="miter"/>
          <v:path gradientshapeok="t" o:connecttype="rect"/>
        </v:shapetype>
        <v:shape id="_x0000_s2049" o:spid="_x0000_s2049" type="#_x0000_t202" style="width:2in;height:2in;margin-top:0;margin-left:0;mso-height-relative:page;mso-position-horizontal:center;mso-position-horizontal-relative:margin;mso-width-relative:page;mso-wrap-style:none;position:absolute;z-index:251658240" coordsize="21600,21600" filled="f" stroked="f">
          <o:lock v:ext="edit" aspectratio="f"/>
          <v:textbox style="mso-fit-shape-to-text:t" inset="0,0,0,0">
            <w:txbxContent>
              <w:p>
                <w:pPr>
                  <w:pStyle w:val="Footer"/>
                </w:pPr>
                <w:r>
                  <w:fldChar w:fldCharType="begin"/>
                </w:r>
                <w:r>
                  <w:instrText xml:space="preserve"> PAGE  \* MERGEFORMAT </w:instrText>
                </w:r>
                <w:r>
                  <w:fldChar w:fldCharType="separate"/>
                </w:r>
                <w:r>
                  <w:t xml:space="preserve">4</w:t>
                </w:r>
                <w:r>
                  <w:fldChar w:fldCharType="end"/>
                </w:r>
              </w:p>
            </w:txbxContent>
          </v:textbox>
          <w10:wrap anchorx="margin"/>
        </v:shape>
      </w:pic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w:zoom w:percent="110"/>
  <w:embedTrueTypeFonts/>
  <w:bordersDoNotSurroundFooter w:val="0"/>
  <w:bordersDoNotSurroundHeader w:val="0"/>
  <w:doNotTrackMoves/>
  <w:defaultTabStop w:val="420"/>
  <w:drawingGridVerticalSpacing w:val="156"/>
  <w:doNotShadeFormData/>
  <w:noPunctuationKerning/>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Y2E4NTQ3OTRmYjcwMWNmY2FkZTJjNDYwNGEyMjllYmYifQ=="/>
  </w:docVar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rPr>
    </w:rPrDefault>
    <w:pPrDefault/>
  </w:docDefaults>
  <w:latentStyles w:defLockedState="0" w:defUIPriority="99" w:defSemiHidden="1" w:defUnhideWhenUsed="1" w:defQFormat="0" w:count="260">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qFormat="1"/>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Variable" w:semiHidden="0" w:uiPriority="0" w:unhideWhenUsed="0"/>
    <w:lsdException w:name="Normal Table" w:semiHidden="0"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Heading2"/>
    <w:qFormat/>
    <w:pPr>
      <w:widowControl w:val="0"/>
      <w:spacing w:after="0" w:line="360" w:lineRule="auto"/>
      <w:ind w:firstLine="880" w:firstLineChars="200"/>
      <w:jc w:val="both"/>
    </w:pPr>
    <w:rPr>
      <w:rFonts w:ascii="Times New Roman" w:eastAsia="仿宋_GB2312" w:hAnsi="Times New Roman" w:cs="Times New Roman"/>
      <w:kern w:val="2"/>
      <w:sz w:val="32"/>
      <w:szCs w:val="22"/>
      <w:lang w:val="en-US" w:eastAsia="zh-CN" w:bidi="ar-SA"/>
    </w:rPr>
  </w:style>
  <w:style w:type="paragraph" w:styleId="Heading1">
    <w:name w:val="Heading 1"/>
    <w:basedOn w:val="Normal"/>
    <w:qFormat/>
    <w:pPr>
      <w:keepNext/>
      <w:keepLines/>
      <w:widowControl w:val="0"/>
      <w:spacing w:after="0" w:line="360" w:lineRule="auto"/>
      <w:ind w:firstLine="0" w:firstLineChars="0"/>
      <w:jc w:val="center"/>
      <w:outlineLvl w:val="0"/>
    </w:pPr>
    <w:rPr>
      <w:rFonts w:ascii="Times New Roman" w:eastAsia="方正小标宋_GBK" w:hAnsi="Times New Roman" w:cs="Times New Roman"/>
      <w:kern w:val="44"/>
      <w:sz w:val="36"/>
      <w:szCs w:val="22"/>
      <w:lang w:val="en-US" w:eastAsia="zh-CN" w:bidi="ar-SA"/>
    </w:rPr>
  </w:style>
  <w:style w:type="paragraph" w:styleId="Heading2">
    <w:name w:val="Heading 2"/>
    <w:basedOn w:val="Normal"/>
    <w:next w:val="Normal"/>
    <w:link w:val="标题2字符"/>
    <w:qFormat/>
    <w:pPr>
      <w:keepNext/>
      <w:widowControl w:val="0"/>
      <w:spacing w:after="0" w:line="360" w:lineRule="auto"/>
      <w:ind w:firstLine="880" w:firstLineChars="200"/>
      <w:jc w:val="both"/>
      <w:outlineLvl w:val="1"/>
    </w:pPr>
    <w:rPr>
      <w:rFonts w:ascii="Times New Roman" w:eastAsia="黑体" w:hAnsi="Times New Roman" w:cs="Times New Roman"/>
      <w:kern w:val="2"/>
      <w:sz w:val="32"/>
      <w:szCs w:val="21"/>
      <w:lang w:val="en-US" w:eastAsia="zh-CN" w:bidi="ar-SA"/>
    </w:rPr>
  </w:style>
  <w:style w:type="paragraph" w:styleId="Heading3">
    <w:name w:val="Heading 3"/>
    <w:basedOn w:val="Normal"/>
    <w:link w:val="标题3字符"/>
    <w:qFormat/>
    <w:pPr>
      <w:keepNext/>
      <w:keepLines/>
      <w:widowControl w:val="0"/>
      <w:spacing w:after="0" w:line="360" w:lineRule="auto"/>
      <w:ind w:firstLine="880" w:firstLineChars="200"/>
      <w:jc w:val="both"/>
      <w:outlineLvl w:val="2"/>
    </w:pPr>
    <w:rPr>
      <w:rFonts w:ascii="Times New Roman" w:eastAsia="楷体_GB2312" w:hAnsi="Times New Roman" w:cs="Times New Roman"/>
      <w:b/>
      <w:bCs/>
      <w:kern w:val="2"/>
      <w:sz w:val="32"/>
      <w:szCs w:val="22"/>
      <w:lang w:val="en-US" w:eastAsia="zh-CN" w:bidi="ar-SA"/>
    </w:rPr>
  </w:style>
  <w:style w:type="paragraph" w:styleId="Heading4">
    <w:name w:val="Heading 4"/>
    <w:basedOn w:val="Normal"/>
    <w:next w:val="Normal"/>
    <w:pPr>
      <w:keepNext/>
      <w:keepLines/>
      <w:spacing w:before="280" w:after="290" w:line="376" w:lineRule="auto"/>
      <w:outlineLvl w:val="3"/>
    </w:pPr>
    <w:rPr>
      <w:rFonts w:ascii="Cambria" w:eastAsia="宋体" w:hAnsi="Cambria" w:cs="Times New Roman"/>
      <w:b/>
      <w:bCs/>
      <w:sz w:val="28"/>
      <w:szCs w:val="28"/>
    </w:rPr>
  </w:style>
  <w:style w:type="character" w:default="1" w:styleId="DefaultParagraphFont">
    <w:name w:val="Default Paragraph Font"/>
    <w:rPr>
      <w:rFonts w:ascii="Times New Roman" w:eastAsia="宋体" w:hAnsi="Times New Roman" w:cs="Times New Roman"/>
    </w:rPr>
  </w:style>
  <w:style w:type="table" w:default="1" w:styleId="NormalTable">
    <w:name w:val="Normal Table"/>
    <w:rPr/>
    <w:tblPr>
      <w:tblCellMar>
        <w:top w:w="0" w:type="dxa"/>
        <w:left w:w="108" w:type="dxa"/>
        <w:bottom w:w="0" w:type="dxa"/>
        <w:right w:w="108" w:type="dxa"/>
      </w:tblCellMar>
    </w:tblPr>
  </w:style>
  <w:style w:type="paragraph" w:styleId="CommentText">
    <w:name w:val="Comment Text"/>
    <w:basedOn w:val="Normal"/>
    <w:qFormat/>
    <w:pPr>
      <w:widowControl w:val="0"/>
      <w:spacing w:after="0" w:line="360" w:lineRule="auto"/>
      <w:ind w:firstLine="880" w:firstLineChars="200"/>
      <w:jc w:val="left"/>
    </w:pPr>
    <w:rPr>
      <w:rFonts w:ascii="Times New Roman" w:eastAsia="仿宋_GB2312" w:hAnsi="Times New Roman" w:cs="Times New Roman"/>
      <w:kern w:val="2"/>
      <w:sz w:val="32"/>
      <w:szCs w:val="22"/>
      <w:lang w:val="en-US" w:eastAsia="zh-CN" w:bidi="ar-SA"/>
    </w:rPr>
  </w:style>
  <w:style w:type="paragraph" w:styleId="TOC3">
    <w:name w:val="TOC 3"/>
    <w:basedOn w:val="Normal"/>
    <w:next w:val="Normal"/>
    <w:pPr>
      <w:ind w:left="840" w:leftChars="400"/>
    </w:pPr>
    <w:rPr>
      <w:rFonts w:ascii="Times New Roman" w:eastAsia="宋体" w:hAnsi="Times New Roman" w:cs="Times New Roman"/>
    </w:rPr>
  </w:style>
  <w:style w:type="paragraph" w:styleId="Footer">
    <w:name w:val="Footer"/>
    <w:basedOn w:val="Normal"/>
    <w:qFormat/>
    <w:pPr>
      <w:widowControl w:val="0"/>
      <w:tabs>
        <w:tab w:val="center" w:pos="4140"/>
        <w:tab w:val="right" w:pos="8300"/>
      </w:tabs>
      <w:snapToGrid w:val="0"/>
      <w:spacing w:after="0" w:line="360" w:lineRule="auto"/>
      <w:ind w:firstLine="880" w:firstLineChars="200"/>
      <w:jc w:val="left"/>
    </w:pPr>
    <w:rPr>
      <w:rFonts w:ascii="Times New Roman" w:eastAsia="仿宋_GB2312" w:hAnsi="Times New Roman" w:cs="Times New Roman"/>
      <w:kern w:val="2"/>
      <w:sz w:val="18"/>
      <w:szCs w:val="22"/>
      <w:lang w:val="en-US" w:eastAsia="zh-CN" w:bidi="ar-SA"/>
    </w:rPr>
  </w:style>
  <w:style w:type="paragraph" w:styleId="Header">
    <w:name w:val="Header"/>
    <w:basedOn w:val="Normal"/>
    <w:link w:val="页眉字符"/>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rFonts w:ascii="Times New Roman" w:eastAsia="宋体" w:hAnsi="Times New Roman" w:cs="Times New Roman"/>
      <w:sz w:val="18"/>
    </w:rPr>
  </w:style>
  <w:style w:type="paragraph" w:styleId="TOC1">
    <w:name w:val="TOC 1"/>
    <w:basedOn w:val="Normal"/>
    <w:next w:val="Normal"/>
    <w:rPr>
      <w:rFonts w:ascii="Times New Roman" w:eastAsia="宋体" w:hAnsi="Times New Roman" w:cs="Times New Roman"/>
    </w:rPr>
  </w:style>
  <w:style w:type="paragraph" w:styleId="TOC2">
    <w:name w:val="TOC 2"/>
    <w:basedOn w:val="Normal"/>
    <w:next w:val="Normal"/>
    <w:pPr>
      <w:ind w:left="420" w:leftChars="200"/>
    </w:pPr>
    <w:rPr>
      <w:rFonts w:ascii="Times New Roman" w:eastAsia="宋体" w:hAnsi="Times New Roman" w:cs="Times New Roman"/>
    </w:rPr>
  </w:style>
  <w:style w:type="paragraph" w:styleId="Normal(Web)">
    <w:name w:val="Normal (Web)"/>
    <w:basedOn w:val="Normal"/>
    <w:pPr>
      <w:widowControl/>
      <w:spacing w:before="100" w:beforeAutospacing="1" w:after="100" w:afterAutospacing="1"/>
      <w:jc w:val="left"/>
    </w:pPr>
    <w:rPr>
      <w:rFonts w:ascii="宋体" w:eastAsia="宋体" w:hAnsi="宋体" w:cs="宋体"/>
      <w:kern w:val="0"/>
      <w:sz w:val="24"/>
      <w:szCs w:val="24"/>
    </w:rPr>
  </w:style>
  <w:style w:type="character" w:styleId="Strong">
    <w:name w:val="Strong"/>
    <w:basedOn w:val="DefaultParagraphFont"/>
    <w:qFormat/>
    <w:rPr>
      <w:b/>
    </w:rPr>
  </w:style>
  <w:style w:type="character" w:customStyle="1" w:styleId="font21">
    <w:name w:val="font21"/>
    <w:basedOn w:val="DefaultParagraphFont"/>
    <w:rPr>
      <w:rFonts w:ascii="Times New Roman" w:eastAsia="宋体" w:hAnsi="Times New Roman" w:cs="Times New Roman" w:hint="default"/>
      <w:color w:val="000000"/>
      <w:sz w:val="22"/>
      <w:szCs w:val="22"/>
      <w:u w:val="none"/>
    </w:rPr>
  </w:style>
  <w:style w:type="character" w:customStyle="1" w:styleId="font131">
    <w:name w:val="font131"/>
    <w:basedOn w:val="DefaultParagraphFont"/>
    <w:rPr>
      <w:rFonts w:ascii="宋体" w:eastAsia="宋体" w:hAnsi="宋体" w:cs="宋体" w:hint="eastAsia"/>
      <w:color w:val="000000"/>
      <w:sz w:val="18"/>
      <w:szCs w:val="18"/>
      <w:u w:val="none"/>
    </w:rPr>
  </w:style>
  <w:style w:type="character" w:customStyle="1" w:styleId="标题2字符">
    <w:name w:val="标题 2 字符"/>
    <w:link w:val="Heading2"/>
    <w:rPr>
      <w:rFonts w:ascii="Times New Roman" w:eastAsia="黑体" w:hAnsi="Times New Roman" w:cs="Times New Roman"/>
      <w:bCs/>
      <w:iCs/>
      <w:kern w:val="2"/>
      <w:sz w:val="32"/>
      <w:szCs w:val="21"/>
    </w:rPr>
  </w:style>
  <w:style w:type="character" w:customStyle="1" w:styleId="font112">
    <w:name w:val="font112"/>
    <w:basedOn w:val="DefaultParagraphFont"/>
    <w:rPr>
      <w:rFonts w:ascii="宋体" w:eastAsia="宋体" w:hAnsi="宋体" w:cs="宋体" w:hint="eastAsia"/>
      <w:color w:val="000000"/>
      <w:sz w:val="22"/>
      <w:szCs w:val="22"/>
      <w:u w:val="none"/>
    </w:rPr>
  </w:style>
  <w:style w:type="character" w:customStyle="1" w:styleId="font91">
    <w:name w:val="font91"/>
    <w:basedOn w:val="DefaultParagraphFont"/>
    <w:rPr>
      <w:rFonts w:ascii="Times New Roman" w:eastAsia="宋体" w:hAnsi="Times New Roman" w:cs="Times New Roman" w:hint="default"/>
      <w:color w:val="000000"/>
      <w:sz w:val="18"/>
      <w:szCs w:val="18"/>
      <w:u w:val="none"/>
    </w:rPr>
  </w:style>
  <w:style w:type="character" w:customStyle="1" w:styleId="页眉字符">
    <w:name w:val="页眉 字符"/>
    <w:link w:val="Header"/>
    <w:rPr>
      <w:rFonts w:ascii="Times New Roman" w:eastAsia="仿宋_GB2312" w:hAnsi="Times New Roman" w:cs="Times New Roman"/>
      <w:kern w:val="2"/>
      <w:sz w:val="18"/>
      <w:szCs w:val="22"/>
    </w:rPr>
  </w:style>
  <w:style w:type="character" w:customStyle="1" w:styleId="标题3字符">
    <w:name w:val="标题 3 字符"/>
    <w:link w:val="Heading3"/>
    <w:rPr>
      <w:rFonts w:ascii="Times New Roman" w:eastAsia="楷体_GB2312" w:hAnsi="Times New Roman" w:cs="Times New Roman"/>
      <w:b/>
      <w:kern w:val="2"/>
      <w:sz w:val="32"/>
      <w:szCs w:val="22"/>
    </w:rPr>
  </w:style>
  <w:style w:type="character" w:customStyle="1" w:styleId="font81">
    <w:name w:val="font81"/>
    <w:basedOn w:val="DefaultParagraphFont"/>
    <w:rPr>
      <w:rFonts w:ascii="宋体" w:eastAsia="宋体" w:hAnsi="宋体" w:cs="宋体" w:hint="eastAsia"/>
      <w:color w:val="000000"/>
      <w:sz w:val="22"/>
      <w:szCs w:val="22"/>
      <w:u w:val="none"/>
    </w:rPr>
  </w:style>
  <w:style w:type="character" w:customStyle="1" w:styleId="页脚字符">
    <w:name w:val="页脚 字符"/>
    <w:rPr>
      <w:rFonts w:ascii="Times New Roman" w:eastAsia="仿宋_GB2312" w:hAnsi="Times New Roman" w:cs="Times New Roman"/>
      <w:kern w:val="2"/>
      <w:sz w:val="18"/>
      <w:szCs w:val="22"/>
    </w:rPr>
  </w:style>
  <w:style w:type="character" w:customStyle="1" w:styleId="font41">
    <w:name w:val="font41"/>
    <w:basedOn w:val="DefaultParagraphFont"/>
    <w:rPr>
      <w:rFonts w:ascii="宋体" w:eastAsia="宋体" w:hAnsi="宋体" w:cs="宋体" w:hint="eastAsia"/>
      <w:color w:val="000000"/>
      <w:sz w:val="22"/>
      <w:szCs w:val="22"/>
      <w:u w:val="none"/>
    </w:rPr>
  </w:style>
  <w:style w:type="character" w:customStyle="1" w:styleId="font101">
    <w:name w:val="font101"/>
    <w:basedOn w:val="DefaultParagraphFont"/>
    <w:rPr>
      <w:rFonts w:ascii="宋体" w:eastAsia="宋体" w:hAnsi="宋体" w:cs="宋体" w:hint="eastAsia"/>
      <w:color w:val="000000"/>
      <w:sz w:val="18"/>
      <w:szCs w:val="18"/>
      <w:u w:val="none"/>
    </w:rPr>
  </w:style>
  <w:style w:type="character" w:customStyle="1" w:styleId="font71">
    <w:name w:val="font71"/>
    <w:basedOn w:val="DefaultParagraphFont"/>
    <w:rPr>
      <w:rFonts w:ascii="宋体" w:eastAsia="宋体" w:hAnsi="宋体" w:cs="宋体" w:hint="eastAsia"/>
      <w:color w:val="000000"/>
      <w:sz w:val="22"/>
      <w:szCs w:val="22"/>
      <w:u w:val="none"/>
    </w:rPr>
  </w:style>
  <w:style w:type="paragraph" w:customStyle="1" w:styleId="表格标题">
    <w:name w:val="表格标题"/>
    <w:basedOn w:val="Normal"/>
    <w:next w:val="Normal"/>
    <w:qFormat/>
    <w:pPr>
      <w:keepNext/>
      <w:keepLines/>
      <w:ind w:firstLine="0" w:firstLineChars="0"/>
      <w:jc w:val="center"/>
      <w:outlineLvl w:val="0"/>
    </w:pPr>
    <w:rPr>
      <w:rFonts w:ascii="Times New Roman" w:eastAsia="仿宋_GB2312" w:hAnsi="Times New Roman" w:hint="eastAsia"/>
      <w:b/>
      <w:kern w:val="44"/>
    </w:rPr>
  </w:style>
  <w:style w:type="paragraph" w:customStyle="1" w:styleId="表格内容">
    <w:name w:val="表格内容"/>
    <w:basedOn w:val="Normal"/>
    <w:next w:val="Normal"/>
    <w:qFormat/>
    <w:pPr>
      <w:keepNext w:val="0"/>
      <w:keepLines/>
      <w:spacing w:line="240" w:lineRule="auto"/>
      <w:ind w:firstLine="0" w:firstLineChars="0"/>
      <w:jc w:val="center"/>
      <w:outlineLvl w:val="9"/>
    </w:pPr>
    <w:rPr>
      <w:rFonts w:ascii="Times New Roman" w:eastAsia="宋体" w:hAnsi="Times New Roman" w:cs="Times New Roman" w:hint="eastAsia"/>
      <w:kern w:val="44"/>
      <w:sz w:val="21"/>
    </w:rPr>
  </w:style>
  <w:style w:type="paragraph" w:customStyle="1" w:styleId="WPSOffice手动目录1">
    <w:name w:val="WPSOffice手动目录 1"/>
    <w:qFormat/>
    <w:pPr>
      <w:ind w:leftChars="0"/>
    </w:pPr>
    <w:rPr>
      <w:sz w:val="20"/>
      <w:szCs w:val="20"/>
    </w:rPr>
  </w:style>
  <w:style w:type="paragraph" w:customStyle="1" w:styleId="WPSOffice手动目录2">
    <w:name w:val="WPSOffice手动目录 2"/>
    <w:qFormat/>
    <w:pPr>
      <w:ind w:leftChars="200"/>
    </w:pPr>
    <w:rPr>
      <w:sz w:val="20"/>
      <w:szCs w:val="20"/>
    </w:rPr>
  </w:style>
  <w:style w:type="numbering" w:default="1" w:styleId="NoList">
    <w:name w:val="No List"/>
    <w:uiPriority w:val="99"/>
    <w:semiHidden/>
    <w:unhideWhenUsed/>
  </w:style>
  <w:style w:type="table" w:styleId="TableGrid">
    <w:name w:val="Table Grid"/>
    <w:basedOn w:val="TableNormal"/>
    <w:tblPr>
      <w:tblInd w:w="0" w:type="dxa"/>
      <w:tblBorders>
        <w:top w:val="single" w:sz="4" w:space="0" w:color="000000"/>
        <w:left val="single" sz="4" space="0" 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footer" Target="footer1.xml"/><Relationship Id="rId4" Type="http://schemas.openxmlformats.org/officeDocument/2006/relationships/footer" Target="footer2.xml"/><Relationship Id="rId5" Type="http://schemas.openxmlformats.org/officeDocument/2006/relationships/theme" Target="theme/theme1.xml"/><Relationship Id="rId6" Type="http://schemas.openxmlformats.org/officeDocument/2006/relationships/styles" Target="styles.xml"/><Relationship Id="rId7" Type="http://schemas.openxmlformats.org/officeDocument/2006/relationships/webSettings" Target="webSettings.xml"/><Relationship Id="rId8" Type="http://schemas.openxmlformats.org/officeDocument/2006/relationships/fontTable" Target="fontTable.xml"/><Relationship Id="rId9" Type="http://schemas.openxmlformats.org/officeDocument/2006/relationships/settings" Target="settings.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 Id="rId5" Type="http://schemas.openxmlformats.org/officeDocument/2006/relationships/font" Target="fonts/font5.odttf"/><Relationship Id="rId6" Type="http://schemas.openxmlformats.org/officeDocument/2006/relationships/font" Target="fonts/font6.odttf"/><Relationship Id="rId7" Type="http://schemas.openxmlformats.org/officeDocument/2006/relationships/font" Target="fonts/font7.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7317D08CF0D64CD3B10B23D106232DB3_13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

<file path=customXml/item2.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textRotate="1"/>
  </customShpExts>
</s:customData>
</file>

<file path=customXml/itemProps1.xml><?xml version="1.0" encoding="utf-8"?>
<ds:datastoreItem xmlns:ds="http://schemas.openxmlformats.org/officeDocument/2006/customXml" ds:itemID="">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vt="http://schemas.openxmlformats.org/officeDocument/2006/docPropsVTypes" xmlns="http://schemas.openxmlformats.org/officeDocument/2006/extended-properties">
  <Template>Normal.dotm</Template>
  <TotalTime>4</TotalTime>
  <Pages>22</Pages>
  <Words>6111</Words>
  <Characters>6378</Characters>
  <Application>WPS Office_12.1.0.15120_F1E327BC-269C-435d-A152-05C5408002CA</Application>
  <DocSecurity>0</DocSecurity>
  <Lines>110</Lines>
  <Paragraphs>31</Paragraphs>
  <Company>Microsoft</Company>
  <CharactersWithSpaces>6407</CharactersWithSpaces>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郭子歪</cp:lastModifiedBy>
  <cp:revision>3</cp:revision>
  <dcterms:created xsi:type="dcterms:W3CDTF">2019-11-25T12:51:00Z</dcterms:created>
  <dcterms:modified xsi:type="dcterms:W3CDTF">2025-09-04T07:42:23Z</dcterms:modified>
</cp:coreProperties>
</file>

<file path=docProps/custom.xml><?xml version="1.0" encoding="utf-8"?>
<Properties xmlns:vt="http://schemas.openxmlformats.org/officeDocument/2006/docPropsVTypes" xmlns="http://schemas.openxmlformats.org/officeDocument/2006/custom-properties">
  <property fmtid="{D5CDD505-2E9C-101B-9397-08002B2CF9AE}" pid="2" name="KSOProductBuildVer">
    <vt:lpwstr>2052-12.1.0.15120</vt:lpwstr>
  </property>
  <property fmtid="{D5CDD505-2E9C-101B-9397-08002B2CF9AE}" pid="3" name="ICV">
    <vt:lpwstr>7317D08CF0D64CD3B10B23D106232DB3_13</vt:lpwstr>
  </property>
  <property fmtid="{D5CDD505-2E9C-101B-9397-08002B2CF9AE}" pid="4" name="commondata">
    <vt:lpwstr>eyJoZGlkIjoiMzFhODQ1NGNmNGU5ZTQ0MGUxMDEzMGEzNzMxNWFjNDkifQ_x003D__x003D_</vt:lpwstr>
  </property>
  <property fmtid="{D5CDD505-2E9C-101B-9397-08002B2CF9AE}" pid="5" name="KSOTemplateDocerSaveRecord">
    <vt:lpwstr>eyJoZGlkIjoiODRhYjhkNzI4OGQ5M2E5NzE5YzFiNzg2M2ZlMzkxMWUiLCJ1c2VySWQiOiIxMTQ4NTc0MTIzIn0_x003D_</vt:lpwstr>
  </property>
</Properties>
</file>