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项目支出绩效评价报告</w:t>
      </w:r>
    </w:p>
    <w:p>
      <w:pPr>
        <w:bidi w:val="0"/>
        <w:jc w:val="center"/>
        <w:rPr>
          <w:rFonts w:ascii="仿宋" w:eastAsia="仿宋" w:hAnsi="仿宋" w:cs="仿宋" w:hint="eastAsia"/>
          <w:b/>
          <w:bCs/>
          <w:color w:val="auto"/>
          <w:sz w:val="44"/>
          <w:szCs w:val="44"/>
          <w:highlight w:val="none"/>
        </w:rPr>
      </w:pPr>
    </w:p>
    <w:p>
      <w:pPr>
        <w:ind w:firstLine="640"/>
        <w:jc w:val="center"/>
        <w:rPr>
          <w:rFonts w:ascii="仿宋" w:eastAsia="仿宋" w:hAnsi="仿宋" w:cs="仿宋" w:hint="eastAsia"/>
          <w:color w:val="auto"/>
          <w:highlight w:val="none"/>
        </w:rPr>
      </w:pPr>
    </w:p>
    <w:p>
      <w:pPr>
        <w:pStyle w:val="Heading2"/>
        <w:rPr>
          <w:rFonts w:ascii="仿宋" w:eastAsia="仿宋" w:hAnsi="仿宋" w:cs="仿宋" w:hint="eastAsia"/>
          <w:color w:val="auto"/>
          <w:highlight w:val="none"/>
        </w:rPr>
      </w:pPr>
      <w:bookmarkStart w:id="0" w:name="_GoBack"/>
      <w:bookmarkEnd w:id="0"/>
    </w:p>
    <w:p>
      <w:pPr>
        <w:bidi w:val="0"/>
        <w:ind w:firstLine="2880" w:firstLineChars="90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2024年基本公共卫生服务补助项目</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eastAsia="zh-CN"/>
        </w:rPr>
        <w:t xml:space="preserve">尉犁县卫生健康委员会</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eastAsia="zh-CN"/>
        </w:rPr>
        <w:t xml:space="preserve">尉犁县卫生健康委员会</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赵茜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4</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2</w:t>
      </w:r>
      <w:r>
        <w:rPr>
          <w:rFonts w:ascii="仿宋" w:eastAsia="仿宋" w:hAnsi="仿宋" w:cs="仿宋" w:hint="eastAsia"/>
          <w:b w:val="0"/>
          <w:bCs w:val="0"/>
          <w:color w:val="auto"/>
          <w:highlight w:val="none"/>
        </w:rPr>
        <w:t xml:space="preserve">日</w:t>
      </w:r>
    </w:p>
    <w:p>
      <w:pPr>
        <w:ind w:firstLine="620"/>
        <w:rPr>
          <w:rFonts w:ascii="仿宋" w:eastAsia="仿宋" w:hAnsi="仿宋" w:cs="仿宋" w:hint="eastAsia"/>
          <w:color w:val="auto"/>
          <w:sz w:val="31"/>
          <w:szCs w:val="31"/>
          <w:highlight w:val="none"/>
        </w:rPr>
      </w:pPr>
      <w:r>
        <w:br w:type="page"/>
      </w:r>
    </w:p>
    <w:p>
      <w:pPr>
        <w:ind w:firstLine="883"/>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7</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1" w:name="_Toc25620"/>
      <w:r>
        <w:rPr>
          <w:rFonts w:ascii="仿宋" w:eastAsia="仿宋" w:hAnsi="仿宋" w:cs="仿宋" w:hint="eastAsia"/>
          <w:color w:val="auto"/>
          <w:highlight w:val="none"/>
        </w:rPr>
        <w:t xml:space="preserve">一、基本情况</w:t>
      </w:r>
      <w:bookmarkEnd w:id="1"/>
    </w:p>
    <w:p>
      <w:pPr>
        <w:pStyle w:val="Heading3"/>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rPr>
      </w:pPr>
      <w:bookmarkStart w:id="2" w:name="_Toc8971"/>
      <w:r>
        <w:rPr>
          <w:rFonts w:ascii="仿宋" w:eastAsia="仿宋" w:hAnsi="仿宋" w:cs="仿宋" w:hint="eastAsia"/>
          <w:color w:val="auto"/>
          <w:highlight w:val="none"/>
        </w:rPr>
        <w:t xml:space="preserve">（一）项目概况</w:t>
      </w:r>
      <w:bookmarkEnd w:id="2"/>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bookmarkStart w:id="3" w:name="OLE_LINK23"/>
      <w:r>
        <w:rPr>
          <w:rFonts w:ascii="仿宋" w:eastAsia="仿宋" w:hAnsi="仿宋" w:cs="仿宋" w:hint="eastAsia"/>
          <w:b/>
          <w:bCs/>
          <w:color w:val="auto"/>
          <w:highlight w:val="none"/>
        </w:rPr>
        <w:t xml:space="preserve">1、项目背景</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rPr>
      </w:pPr>
      <w:bookmarkStart w:id="4" w:name="OLE_LINK2"/>
      <w:bookmarkStart w:id="5" w:name="OLE_LINK3"/>
      <w:r>
        <w:rPr>
          <w:rFonts w:ascii="仿宋" w:eastAsia="仿宋" w:hAnsi="仿宋" w:cs="仿宋" w:hint="eastAsia"/>
          <w:color w:val="auto"/>
          <w:sz w:val="32"/>
          <w:szCs w:val="32"/>
          <w:highlight w:val="none"/>
        </w:rPr>
        <w:t xml:space="preserve">国家基本公共卫生服务项目始于2009年，旨在缩小城乡、地区和人群之间的健康差距。随着经济发展和社会进步，人们对健康的需求不断增加，公共卫生服务的重要性日益凸显。流动人口的健康问题突出，需要提供均等化的公共卫生服务。同时，慢性疾病的高发和传染病的防控压力促使政府加大公共卫生服务投入。《关于加强新时代老龄工作的实施方案》（新党办发〔2022〕21号）强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rPr>
        <w:t xml:space="preserve">将积极老龄观和健康老龄化理念融入经济社会发展，健全养老服务体系，包括优化社区养老服务设施布局和创新居家社区养老服务模式，以提升老年人的健康服务。《关于进一步完善医疗卫生服务体系的实施方案》提出</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rPr>
        <w:t xml:space="preserve">到2025年和2035年的目标，包括健全医疗卫生服务体系，强化各级医疗机构的作用，特别是基层医疗机构的公共卫生和健康管理能力。</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rPr>
      </w:pPr>
      <w:r>
        <w:rPr>
          <w:rFonts w:ascii="仿宋" w:eastAsia="仿宋" w:hAnsi="仿宋" w:cs="仿宋" w:hint="eastAsia"/>
          <w:color w:val="auto"/>
          <w:sz w:val="32"/>
          <w:szCs w:val="32"/>
          <w:highlight w:val="none"/>
        </w:rPr>
        <w:t xml:space="preserve">尉犁县卫生健康委员会，作为全县卫生健康事业的主管部门，全面负责项目的策划、组织与实施，确保各项任务精准落地。</w:t>
      </w:r>
      <w:bookmarkStart w:id="6" w:name="OLE_LINK17"/>
      <w:r>
        <w:rPr>
          <w:rFonts w:ascii="仿宋" w:eastAsia="仿宋" w:hAnsi="仿宋" w:cs="仿宋" w:hint="eastAsia"/>
          <w:color w:val="auto"/>
          <w:sz w:val="32"/>
          <w:szCs w:val="32"/>
          <w:highlight w:val="none"/>
          <w:lang w:val="en-US" w:eastAsia="zh-CN"/>
        </w:rPr>
        <w:t xml:space="preserve">为</w:t>
      </w:r>
      <w:r>
        <w:rPr>
          <w:rFonts w:ascii="仿宋" w:eastAsia="仿宋" w:hAnsi="仿宋" w:cs="仿宋" w:hint="eastAsia"/>
          <w:color w:val="auto"/>
          <w:sz w:val="32"/>
          <w:szCs w:val="32"/>
          <w:highlight w:val="none"/>
        </w:rPr>
        <w:t xml:space="preserve">提高全民健康意识，普及健康知识；确保所有居民享有基本公共卫生服务；降低常见病发病率，有效控制慢性病发病率；提升基层卫生服务机构的服务能力和质量</w:t>
      </w:r>
      <w:bookmarkEnd w:id="6"/>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实施</w:t>
      </w:r>
      <w:r>
        <w:rPr>
          <w:rFonts w:ascii="仿宋" w:eastAsia="仿宋" w:hAnsi="仿宋" w:cs="仿宋" w:hint="eastAsia"/>
          <w:color w:val="auto"/>
          <w:highlight w:val="none"/>
          <w:lang w:val="en-US" w:eastAsia="zh-CN"/>
        </w:rPr>
        <w:t xml:space="preserve">基本公共卫生服务项目。</w:t>
      </w:r>
      <w:bookmarkEnd w:id="4"/>
      <w:r>
        <w:rPr>
          <w:rFonts w:ascii="仿宋" w:eastAsia="仿宋" w:hAnsi="仿宋" w:cs="仿宋" w:hint="eastAsia"/>
          <w:color w:val="auto"/>
          <w:sz w:val="32"/>
          <w:szCs w:val="32"/>
          <w:highlight w:val="none"/>
          <w:lang w:val="en-US" w:eastAsia="zh-CN"/>
        </w:rPr>
        <w:t xml:space="preserve">该</w:t>
      </w:r>
      <w:r>
        <w:rPr>
          <w:rFonts w:ascii="仿宋" w:eastAsia="仿宋" w:hAnsi="仿宋" w:cs="仿宋" w:hint="eastAsia"/>
          <w:color w:val="auto"/>
          <w:sz w:val="32"/>
          <w:szCs w:val="32"/>
          <w:highlight w:val="none"/>
        </w:rPr>
        <w:t xml:space="preserve">项目覆盖尉犁县全域，涵盖</w:t>
      </w:r>
      <w:r>
        <w:rPr>
          <w:rFonts w:ascii="仿宋" w:eastAsia="仿宋" w:hAnsi="仿宋" w:cs="仿宋" w:hint="eastAsia"/>
          <w:color w:val="auto"/>
          <w:sz w:val="32"/>
          <w:szCs w:val="32"/>
          <w:highlight w:val="none"/>
          <w:lang w:val="en-US" w:eastAsia="zh-CN"/>
        </w:rPr>
        <w:t xml:space="preserve">7</w:t>
      </w:r>
      <w:r>
        <w:rPr>
          <w:rFonts w:ascii="仿宋" w:eastAsia="仿宋" w:hAnsi="仿宋" w:cs="仿宋" w:hint="eastAsia"/>
          <w:color w:val="auto"/>
          <w:sz w:val="32"/>
          <w:szCs w:val="32"/>
          <w:highlight w:val="none"/>
        </w:rPr>
        <w:t xml:space="preserve">个乡镇、</w:t>
      </w:r>
      <w:r>
        <w:rPr>
          <w:rFonts w:ascii="仿宋" w:eastAsia="仿宋" w:hAnsi="仿宋" w:cs="仿宋" w:hint="eastAsia"/>
          <w:color w:val="auto"/>
          <w:sz w:val="32"/>
          <w:szCs w:val="32"/>
          <w:highlight w:val="none"/>
          <w:lang w:val="en-US" w:eastAsia="zh-CN"/>
        </w:rPr>
        <w:t xml:space="preserve">5个社区卫生服务站，</w:t>
      </w:r>
      <w:r>
        <w:rPr>
          <w:rFonts w:ascii="仿宋" w:eastAsia="仿宋" w:hAnsi="仿宋" w:cs="仿宋" w:hint="eastAsia"/>
          <w:color w:val="auto"/>
          <w:sz w:val="32"/>
          <w:szCs w:val="32"/>
          <w:highlight w:val="none"/>
        </w:rPr>
        <w:t xml:space="preserve">为不同区域的居民提供均等化的卫生健康服务，缩小城乡健康差距。全县约</w:t>
      </w:r>
      <w:r>
        <w:rPr>
          <w:rFonts w:ascii="仿宋" w:eastAsia="仿宋" w:hAnsi="仿宋" w:cs="仿宋" w:hint="eastAsia"/>
          <w:color w:val="auto"/>
          <w:sz w:val="32"/>
          <w:szCs w:val="32"/>
          <w:highlight w:val="none"/>
          <w:lang w:val="en-US" w:eastAsia="zh-CN"/>
        </w:rPr>
        <w:t xml:space="preserve">5.4</w:t>
      </w:r>
      <w:r>
        <w:rPr>
          <w:rFonts w:ascii="仿宋" w:eastAsia="仿宋" w:hAnsi="仿宋" w:cs="仿宋" w:hint="eastAsia"/>
          <w:color w:val="auto"/>
          <w:sz w:val="32"/>
          <w:szCs w:val="32"/>
          <w:highlight w:val="none"/>
        </w:rPr>
        <w:t xml:space="preserve">万常住人口均为项目受益人群，重点聚焦老年人、妇女儿童、慢性病患者等弱势群体，为他们提供针对性的健康关怀与服务保障。</w:t>
      </w:r>
      <w:bookmarkEnd w:id="5"/>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基本公共卫生服务项目包括居民健康档案管理、健康教育、预防接种、0 - 6 岁儿童健康管理、孕产妇健康管理、老年人健康管理、慢性病患者健康管理（高血压、糖尿病等）、严重精神障碍患者管理、肺结核患者健康管理、中医药健康管理、传染病及突发公共卫生事件报告和处理、卫生监督协管等14项基本服务，全方位守护居民健康。</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eastAsia="仿宋" w:hAnsi="仿宋" w:cs="仿宋" w:hint="eastAsia"/>
          <w:color w:val="auto"/>
          <w:sz w:val="32"/>
          <w:szCs w:val="32"/>
          <w:highlight w:val="none"/>
          <w:lang w:val="en-US" w:eastAsia="zh-CN"/>
        </w:rPr>
      </w:pPr>
      <w:bookmarkStart w:id="7" w:name="OLE_LINK7"/>
      <w:r>
        <w:rPr>
          <w:rFonts w:ascii="仿宋" w:eastAsia="仿宋" w:hAnsi="仿宋" w:cs="仿宋" w:hint="eastAsia"/>
          <w:color w:val="auto"/>
          <w:highlight w:val="none"/>
          <w:lang w:val="en-US" w:eastAsia="zh-CN"/>
        </w:rPr>
        <w:t xml:space="preserve">根据《关于提前下达2024年</w:t>
      </w:r>
      <w:bookmarkStart w:id="8" w:name="OLE_LINK4"/>
      <w:r>
        <w:rPr>
          <w:rFonts w:ascii="仿宋" w:eastAsia="仿宋" w:hAnsi="仿宋" w:cs="仿宋" w:hint="eastAsia"/>
          <w:color w:val="auto"/>
          <w:highlight w:val="none"/>
          <w:lang w:val="en-US" w:eastAsia="zh-CN"/>
        </w:rPr>
        <w:t xml:space="preserve">基本公共卫生服务</w:t>
      </w:r>
      <w:bookmarkEnd w:id="8"/>
      <w:r>
        <w:rPr>
          <w:rFonts w:ascii="仿宋" w:eastAsia="仿宋" w:hAnsi="仿宋" w:cs="仿宋" w:hint="eastAsia"/>
          <w:color w:val="auto"/>
          <w:highlight w:val="none"/>
          <w:lang w:val="en-US" w:eastAsia="zh-CN"/>
        </w:rPr>
        <w:t xml:space="preserve">补助资金》文件要求，尉犁县卫生健康委员制定了《基本公共卫生实施方案》，按照基本公共卫生服务要求开展各项工作，</w:t>
      </w:r>
      <w:r>
        <w:rPr>
          <w:rFonts w:ascii="仿宋" w:eastAsia="仿宋" w:hAnsi="仿宋" w:cs="仿宋" w:hint="eastAsia"/>
          <w:color w:val="auto"/>
          <w:sz w:val="32"/>
          <w:szCs w:val="32"/>
          <w:highlight w:val="none"/>
        </w:rPr>
        <w:t xml:space="preserve">全面负责项目的策划、组织与实施，确保各项任务精准落地。</w:t>
      </w:r>
      <w:r>
        <w:rPr>
          <w:rFonts w:ascii="仿宋" w:eastAsia="仿宋" w:hAnsi="仿宋" w:cs="仿宋" w:hint="eastAsia"/>
          <w:color w:val="auto"/>
          <w:highlight w:val="none"/>
        </w:rPr>
        <w:t xml:space="preserve">以及加强制定相关制度、采取措施等方面提供参考，不断提高财政资金使用效益和项目管理水平。</w:t>
      </w:r>
      <w:r>
        <w:rPr>
          <w:rFonts w:ascii="仿宋" w:eastAsia="仿宋" w:hAnsi="仿宋" w:cs="仿宋" w:hint="eastAsia"/>
          <w:color w:val="auto"/>
          <w:sz w:val="32"/>
          <w:szCs w:val="32"/>
          <w:highlight w:val="none"/>
          <w:lang w:val="en-US" w:eastAsia="zh-CN"/>
        </w:rPr>
        <w:t xml:space="preserve">为全县卫生健康事业发展做出了积极贡献。</w:t>
      </w:r>
      <w:bookmarkEnd w:id="7"/>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lang w:eastAsia="zh-CN"/>
        </w:rPr>
      </w:pPr>
      <w:bookmarkStart w:id="9" w:name="OLE_LINK1"/>
      <w:r>
        <w:rPr>
          <w:rFonts w:ascii="仿宋" w:eastAsia="仿宋" w:hAnsi="仿宋" w:cs="仿宋" w:hint="eastAsia"/>
          <w:color w:val="auto"/>
          <w:sz w:val="32"/>
          <w:szCs w:val="32"/>
          <w:highlight w:val="none"/>
        </w:rPr>
        <w:t xml:space="preserve">根据《</w:t>
      </w:r>
      <w:r>
        <w:rPr>
          <w:rFonts w:ascii="仿宋" w:eastAsia="仿宋" w:hAnsi="仿宋" w:cs="仿宋" w:hint="eastAsia"/>
          <w:color w:val="auto"/>
          <w:sz w:val="32"/>
          <w:szCs w:val="32"/>
          <w:highlight w:val="none"/>
          <w:lang w:val="en-US" w:eastAsia="zh-CN"/>
        </w:rPr>
        <w:t xml:space="preserve">关于提前下达2024年基本公共卫生服务补助资金</w:t>
      </w:r>
      <w:r>
        <w:rPr>
          <w:rFonts w:ascii="仿宋" w:eastAsia="仿宋" w:hAnsi="仿宋" w:cs="仿宋" w:hint="eastAsia"/>
          <w:color w:val="auto"/>
          <w:sz w:val="32"/>
          <w:szCs w:val="32"/>
          <w:highlight w:val="none"/>
        </w:rPr>
        <w:t xml:space="preserve">》</w:t>
      </w:r>
      <w:bookmarkEnd w:id="9"/>
      <w:r>
        <w:rPr>
          <w:rFonts w:ascii="仿宋" w:eastAsia="仿宋" w:hAnsi="仿宋" w:cs="仿宋" w:hint="eastAsia"/>
          <w:color w:val="auto"/>
          <w:sz w:val="32"/>
          <w:szCs w:val="32"/>
          <w:highlight w:val="none"/>
        </w:rPr>
        <w:t xml:space="preserve">（</w:t>
      </w:r>
      <w:r>
        <w:rPr>
          <w:rFonts w:ascii="仿宋" w:eastAsia="仿宋" w:hAnsi="仿宋" w:cs="仿宋" w:hint="eastAsia"/>
          <w:color w:val="auto"/>
          <w:sz w:val="32"/>
          <w:szCs w:val="32"/>
          <w:highlight w:val="none"/>
          <w:lang w:val="en-US" w:eastAsia="zh-CN"/>
        </w:rPr>
        <w:t xml:space="preserve">巴财社[2023]101号</w:t>
      </w:r>
      <w:r>
        <w:rPr>
          <w:rFonts w:ascii="仿宋" w:eastAsia="仿宋" w:hAnsi="仿宋" w:cs="仿宋" w:hint="eastAsia"/>
          <w:color w:val="auto"/>
          <w:sz w:val="32"/>
          <w:szCs w:val="32"/>
          <w:highlight w:val="none"/>
        </w:rPr>
        <w:t xml:space="preserve">），下达</w:t>
      </w:r>
      <w:r>
        <w:rPr>
          <w:rFonts w:ascii="仿宋" w:eastAsia="仿宋" w:hAnsi="仿宋" w:cs="仿宋" w:hint="eastAsia"/>
          <w:color w:val="auto"/>
          <w:sz w:val="32"/>
          <w:szCs w:val="32"/>
          <w:highlight w:val="none"/>
          <w:lang w:eastAsia="zh-CN"/>
        </w:rPr>
        <w:t xml:space="preserve">资金</w:t>
      </w:r>
      <w:r>
        <w:rPr>
          <w:rFonts w:ascii="仿宋" w:eastAsia="仿宋" w:hAnsi="仿宋" w:cs="仿宋" w:hint="eastAsia"/>
          <w:color w:val="auto"/>
          <w:sz w:val="32"/>
          <w:szCs w:val="32"/>
          <w:highlight w:val="none"/>
          <w:lang w:val="en-US" w:eastAsia="zh-CN"/>
        </w:rPr>
        <w:t xml:space="preserve">399.35</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《关于提前下达</w:t>
      </w:r>
      <w:bookmarkStart w:id="10" w:name="OLE_LINK6"/>
      <w:r>
        <w:rPr>
          <w:rFonts w:ascii="仿宋" w:eastAsia="仿宋" w:hAnsi="仿宋" w:cs="仿宋" w:hint="eastAsia"/>
          <w:color w:val="auto"/>
          <w:sz w:val="32"/>
          <w:szCs w:val="32"/>
          <w:highlight w:val="none"/>
          <w:lang w:val="en-US" w:eastAsia="zh-CN"/>
        </w:rPr>
        <w:t xml:space="preserve">2024年自治区基本公共卫生服务</w:t>
      </w:r>
      <w:bookmarkEnd w:id="10"/>
      <w:r>
        <w:rPr>
          <w:rFonts w:ascii="仿宋" w:eastAsia="仿宋" w:hAnsi="仿宋" w:cs="仿宋" w:hint="eastAsia"/>
          <w:color w:val="auto"/>
          <w:sz w:val="32"/>
          <w:szCs w:val="32"/>
          <w:highlight w:val="none"/>
          <w:lang w:val="en-US" w:eastAsia="zh-CN"/>
        </w:rPr>
        <w:t xml:space="preserve">补助资金预算的通知》</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巴财社[2023]102号</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下达资金59万元</w:t>
      </w:r>
      <w:r>
        <w:rPr>
          <w:rFonts w:ascii="仿宋" w:eastAsia="仿宋" w:hAnsi="仿宋" w:cs="仿宋" w:hint="eastAsia"/>
          <w:color w:val="auto"/>
          <w:sz w:val="32"/>
          <w:szCs w:val="32"/>
          <w:highlight w:val="none"/>
          <w:lang w:eastAsia="zh-CN"/>
        </w:rPr>
        <w:t xml:space="preserve">；</w:t>
      </w:r>
      <w:r>
        <w:rPr>
          <w:rFonts w:ascii="仿宋" w:eastAsia="仿宋" w:hAnsi="仿宋" w:cs="仿宋" w:hint="eastAsia"/>
          <w:color w:val="auto"/>
          <w:sz w:val="32"/>
          <w:szCs w:val="32"/>
          <w:highlight w:val="none"/>
          <w:lang w:val="en-US" w:eastAsia="zh-CN"/>
        </w:rPr>
        <w:t xml:space="preserve">《关于下达2024年基本公共卫生服务补助资金》（巴财社[2024]15号），下达资金70.45万元；《自治区基本公共卫生服务补助资金（第二批）》（</w:t>
      </w:r>
      <w:r>
        <w:rPr>
          <w:rFonts w:ascii="仿宋" w:eastAsia="仿宋" w:hAnsi="仿宋" w:cs="仿宋" w:hint="eastAsia"/>
          <w:color w:val="auto"/>
          <w:sz w:val="32"/>
          <w:szCs w:val="32"/>
          <w:highlight w:val="none"/>
          <w:lang w:eastAsia="zh-CN"/>
        </w:rPr>
        <w:t xml:space="preserve">巴</w:t>
      </w:r>
      <w:r>
        <w:rPr>
          <w:rFonts w:ascii="仿宋" w:eastAsia="仿宋" w:hAnsi="仿宋" w:cs="仿宋" w:hint="eastAsia"/>
          <w:color w:val="auto"/>
          <w:sz w:val="32"/>
          <w:szCs w:val="32"/>
          <w:highlight w:val="none"/>
          <w:lang w:val="en-US" w:eastAsia="zh-CN"/>
        </w:rPr>
        <w:t xml:space="preserve">财社〔2024〕5号）下达资金7万元；共计下达535.8万元，</w:t>
      </w:r>
      <w:r>
        <w:rPr>
          <w:rFonts w:ascii="仿宋" w:eastAsia="仿宋" w:hAnsi="仿宋" w:cs="仿宋" w:hint="eastAsia"/>
          <w:color w:val="auto"/>
          <w:sz w:val="32"/>
          <w:szCs w:val="32"/>
          <w:highlight w:val="none"/>
        </w:rPr>
        <w:t xml:space="preserve">其中</w:t>
      </w:r>
      <w:bookmarkStart w:id="11" w:name="OLE_LINK12"/>
      <w:r>
        <w:rPr>
          <w:rFonts w:ascii="仿宋" w:eastAsia="仿宋" w:hAnsi="仿宋" w:cs="仿宋" w:hint="eastAsia"/>
          <w:color w:val="auto"/>
          <w:sz w:val="32"/>
          <w:szCs w:val="32"/>
          <w:highlight w:val="none"/>
          <w:lang w:val="en-US" w:eastAsia="zh-CN"/>
        </w:rPr>
        <w:t xml:space="preserve">中央资金469.8万元，自治区资金66万元</w:t>
      </w:r>
      <w:bookmarkEnd w:id="11"/>
      <w:r>
        <w:rPr>
          <w:rFonts w:ascii="仿宋" w:eastAsia="仿宋" w:hAnsi="仿宋" w:cs="仿宋" w:hint="eastAsia"/>
          <w:color w:val="auto"/>
          <w:sz w:val="32"/>
          <w:szCs w:val="32"/>
          <w:highlight w:val="none"/>
          <w:lang w:val="en-US" w:eastAsia="zh-CN"/>
        </w:rPr>
        <w:t xml:space="preserve">；</w:t>
      </w:r>
      <w:r>
        <w:rPr>
          <w:rFonts w:ascii="仿宋" w:eastAsia="仿宋" w:hAnsi="仿宋" w:cs="仿宋" w:hint="eastAsia"/>
          <w:color w:val="auto"/>
          <w:sz w:val="32"/>
          <w:szCs w:val="32"/>
          <w:highlight w:val="none"/>
        </w:rPr>
        <w:t xml:space="preserve">用于</w:t>
      </w:r>
      <w:r>
        <w:rPr>
          <w:rFonts w:ascii="仿宋" w:eastAsia="仿宋" w:hAnsi="仿宋" w:cs="仿宋" w:hint="eastAsia"/>
          <w:color w:val="auto"/>
          <w:sz w:val="32"/>
          <w:szCs w:val="32"/>
          <w:highlight w:val="none"/>
          <w:lang w:val="en-US" w:eastAsia="zh-CN"/>
        </w:rPr>
        <w:t xml:space="preserve">人员经费305</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办公经费</w:t>
      </w:r>
      <w:r>
        <w:rPr>
          <w:rFonts w:ascii="仿宋" w:eastAsia="仿宋" w:hAnsi="仿宋" w:cs="仿宋" w:hint="eastAsia"/>
          <w:color w:val="auto"/>
          <w:sz w:val="32"/>
          <w:szCs w:val="32"/>
          <w:highlight w:val="none"/>
          <w:lang w:val="en-US" w:eastAsia="zh-CN"/>
        </w:rPr>
        <w:t xml:space="preserve">222.1</w:t>
      </w:r>
      <w:r>
        <w:rPr>
          <w:rFonts w:ascii="仿宋" w:eastAsia="仿宋" w:hAnsi="仿宋" w:cs="仿宋" w:hint="eastAsia"/>
          <w:color w:val="auto"/>
          <w:sz w:val="32"/>
          <w:szCs w:val="32"/>
          <w:highlight w:val="none"/>
        </w:rPr>
        <w:t xml:space="preserve">万元</w:t>
      </w:r>
      <w:r>
        <w:rPr>
          <w:rFonts w:ascii="仿宋" w:eastAsia="仿宋" w:hAnsi="仿宋" w:cs="仿宋" w:hint="eastAsia"/>
          <w:color w:val="auto"/>
          <w:sz w:val="32"/>
          <w:szCs w:val="32"/>
          <w:highlight w:val="none"/>
          <w:lang w:eastAsia="zh-CN"/>
        </w:rPr>
        <w:t xml:space="preserve">、设备采购</w:t>
      </w:r>
      <w:r>
        <w:rPr>
          <w:rFonts w:ascii="仿宋" w:eastAsia="仿宋" w:hAnsi="仿宋" w:cs="仿宋" w:hint="eastAsia"/>
          <w:color w:val="auto"/>
          <w:sz w:val="32"/>
          <w:szCs w:val="32"/>
          <w:highlight w:val="none"/>
          <w:lang w:val="en-US" w:eastAsia="zh-CN"/>
        </w:rPr>
        <w:t xml:space="preserve">8.7万元</w:t>
      </w:r>
      <w:r>
        <w:rPr>
          <w:rFonts w:ascii="仿宋" w:eastAsia="仿宋" w:hAnsi="仿宋" w:cs="仿宋" w:hint="eastAsia"/>
          <w:color w:val="auto"/>
          <w:sz w:val="32"/>
          <w:szCs w:val="32"/>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rPr>
      </w:pPr>
      <w:bookmarkStart w:id="12" w:name="_Toc25187"/>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458.35</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全年预算数535.8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bookmarkStart w:id="13" w:name="OLE_LINK8"/>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bookmarkEnd w:id="13"/>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p>
    <w:p>
      <w:pPr>
        <w:pageBreakBefore w:val="0"/>
        <w:widowControl w:val="0"/>
        <w:kinsoku/>
        <w:wordWrap/>
        <w:overflowPunct/>
        <w:topLinePunct w:val="0"/>
        <w:autoSpaceDE/>
        <w:autoSpaceDN/>
        <w:bidi w:val="0"/>
        <w:adjustRightInd/>
        <w:snapToGrid/>
        <w:spacing w:line="360" w:lineRule="auto"/>
        <w:jc w:val="both"/>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28日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25日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64.7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28日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39.67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56.07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24日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72.99</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19日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62.47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54.93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9</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26日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57.3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41.3</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20日</w:t>
      </w:r>
      <w:r>
        <w:rPr>
          <w:rFonts w:ascii="仿宋" w:eastAsia="仿宋" w:hAnsi="仿宋" w:cs="仿宋" w:hint="eastAsia"/>
          <w:color w:val="auto"/>
          <w:highlight w:val="none"/>
        </w:rPr>
        <w:t xml:space="preserve">，支付</w:t>
      </w:r>
      <w:r>
        <w:rPr>
          <w:rFonts w:ascii="仿宋" w:eastAsia="仿宋" w:hAnsi="仿宋" w:cs="仿宋" w:hint="eastAsia"/>
          <w:color w:val="auto"/>
          <w:highlight w:val="none"/>
          <w:lang w:val="en-US" w:eastAsia="zh-CN"/>
        </w:rPr>
        <w:t xml:space="preserve">30.07</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bookmarkEnd w:id="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（二）项目绩效目标</w:t>
      </w:r>
      <w:bookmarkEnd w:id="12"/>
    </w:p>
    <w:p>
      <w:pPr>
        <w:bidi w:val="0"/>
        <w:rPr>
          <w:rFonts w:ascii="仿宋" w:eastAsia="仿宋" w:hAnsi="仿宋" w:cs="仿宋" w:hint="eastAsia"/>
          <w:b/>
          <w:bCs/>
          <w:color w:val="auto"/>
          <w:highlight w:val="none"/>
        </w:rPr>
      </w:pPr>
      <w:bookmarkStart w:id="14" w:name="OLE_LINK25"/>
      <w:r>
        <w:rPr>
          <w:rFonts w:ascii="仿宋" w:eastAsia="仿宋" w:hAnsi="仿宋" w:cs="仿宋" w:hint="eastAsia"/>
          <w:b/>
          <w:bCs/>
          <w:color w:val="auto"/>
          <w:highlight w:val="none"/>
        </w:rPr>
        <w:t xml:space="preserve">1、总体目标</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sz w:val="32"/>
          <w:szCs w:val="32"/>
          <w:highlight w:val="none"/>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保持在≥90%以上；推进电子健康档案应用，有序推进向居民开放，居民规范化电子健康档案覆盖率≥62%，加强儿童管理，7岁以下儿童健康管理率均保持在≥85%以上，全县高血压患者管理人数保持在5800人以上，2型糖尿病患者管理人数达到1500人以上</w:t>
      </w:r>
      <w:r>
        <w:rPr>
          <w:rFonts w:ascii="仿宋" w:eastAsia="仿宋" w:hAnsi="仿宋" w:cs="仿宋" w:hint="eastAsia"/>
          <w:color w:val="auto"/>
          <w:sz w:val="32"/>
          <w:szCs w:val="32"/>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rPr>
      </w:pPr>
      <w:bookmarkStart w:id="15" w:name="_Toc28824"/>
      <w:r>
        <w:rPr>
          <w:rFonts w:ascii="仿宋" w:eastAsia="仿宋" w:hAnsi="仿宋" w:cs="仿宋" w:hint="eastAsia"/>
          <w:color w:val="auto"/>
          <w:highlight w:val="none"/>
        </w:rPr>
        <w:t xml:space="preserve">基本公共卫生服务方面，居民健康档案规范化电子建档率达到</w:t>
      </w:r>
      <w:r>
        <w:rPr>
          <w:rFonts w:ascii="仿宋" w:eastAsia="仿宋" w:hAnsi="仿宋" w:cs="仿宋" w:hint="eastAsia"/>
          <w:color w:val="auto"/>
          <w:highlight w:val="none"/>
          <w:lang w:val="en-US" w:eastAsia="zh-CN"/>
        </w:rPr>
        <w:t xml:space="preserve">64%</w:t>
      </w:r>
      <w:r>
        <w:rPr>
          <w:rFonts w:ascii="仿宋" w:eastAsia="仿宋" w:hAnsi="仿宋" w:cs="仿宋" w:hint="eastAsia"/>
          <w:color w:val="auto"/>
          <w:highlight w:val="none"/>
        </w:rPr>
        <w:t xml:space="preserve">以上，适龄儿童国家免疫规划疫苗接种率保持在</w:t>
      </w:r>
      <w:r>
        <w:rPr>
          <w:rFonts w:ascii="仿宋" w:eastAsia="仿宋" w:hAnsi="仿宋" w:cs="仿宋" w:hint="eastAsia"/>
          <w:color w:val="auto"/>
          <w:highlight w:val="none"/>
          <w:lang w:val="en-US" w:eastAsia="zh-CN"/>
        </w:rPr>
        <w:t xml:space="preserve">90</w:t>
      </w:r>
      <w:r>
        <w:rPr>
          <w:rFonts w:ascii="仿宋" w:eastAsia="仿宋" w:hAnsi="仿宋" w:cs="仿宋" w:hint="eastAsia"/>
          <w:color w:val="auto"/>
          <w:highlight w:val="none"/>
        </w:rPr>
        <w:t xml:space="preserve">% 以上，高血压、糖尿病患者规范管理率分别提升至</w:t>
      </w:r>
      <w:r>
        <w:rPr>
          <w:rFonts w:ascii="仿宋" w:eastAsia="仿宋" w:hAnsi="仿宋" w:cs="仿宋" w:hint="eastAsia"/>
          <w:color w:val="auto"/>
          <w:highlight w:val="none"/>
          <w:lang w:val="en-US" w:eastAsia="zh-CN"/>
        </w:rPr>
        <w:t xml:space="preserve">72</w:t>
      </w:r>
      <w:r>
        <w:rPr>
          <w:rFonts w:ascii="仿宋" w:eastAsia="仿宋" w:hAnsi="仿宋" w:cs="仿宋" w:hint="eastAsia"/>
          <w:color w:val="auto"/>
          <w:highlight w:val="none"/>
        </w:rPr>
        <w:t xml:space="preserve">%、孕产妇系统管理率</w:t>
      </w:r>
      <w:r>
        <w:rPr>
          <w:rFonts w:ascii="仿宋" w:eastAsia="仿宋" w:hAnsi="仿宋" w:cs="仿宋" w:hint="eastAsia"/>
          <w:color w:val="auto"/>
          <w:highlight w:val="none"/>
          <w:lang w:val="en-US" w:eastAsia="zh-CN"/>
        </w:rPr>
        <w:t xml:space="preserve">保持90</w:t>
      </w:r>
      <w:r>
        <w:rPr>
          <w:rFonts w:ascii="仿宋" w:eastAsia="仿宋" w:hAnsi="仿宋" w:cs="仿宋" w:hint="eastAsia"/>
          <w:color w:val="auto"/>
          <w:highlight w:val="none"/>
        </w:rPr>
        <w:t xml:space="preserve">%老年人中医药健康管理率</w:t>
      </w:r>
      <w:r>
        <w:rPr>
          <w:rFonts w:ascii="仿宋" w:eastAsia="仿宋" w:hAnsi="仿宋" w:cs="仿宋" w:hint="eastAsia"/>
          <w:color w:val="auto"/>
          <w:highlight w:val="none"/>
          <w:lang w:val="en-US" w:eastAsia="zh-CN"/>
        </w:rPr>
        <w:t xml:space="preserve">74%，</w:t>
      </w:r>
      <w:r>
        <w:rPr>
          <w:rFonts w:ascii="仿宋" w:eastAsia="仿宋" w:hAnsi="仿宋" w:cs="仿宋" w:hint="eastAsia"/>
          <w:color w:val="auto"/>
          <w:highlight w:val="none"/>
        </w:rPr>
        <w:t xml:space="preserve">以量化指标保障服务质量。每季度开展绩效目标跟踪监测，对照年初设定目标，核查任务完成进度、服务质量达标情况，及时发现偏差并调整优化。</w:t>
      </w:r>
      <w:bookmarkEnd w:id="14"/>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15"/>
    </w:p>
    <w:p>
      <w:pPr>
        <w:pStyle w:val="Heading3"/>
        <w:bidi w:val="0"/>
        <w:rPr>
          <w:rFonts w:ascii="仿宋" w:eastAsia="仿宋" w:hAnsi="仿宋" w:cs="仿宋" w:hint="eastAsia"/>
          <w:color w:val="auto"/>
          <w:highlight w:val="none"/>
        </w:rPr>
      </w:pPr>
      <w:bookmarkStart w:id="16" w:name="_Toc24175"/>
      <w:r>
        <w:rPr>
          <w:rFonts w:ascii="仿宋" w:eastAsia="仿宋" w:hAnsi="仿宋" w:cs="仿宋" w:hint="eastAsia"/>
          <w:color w:val="auto"/>
          <w:highlight w:val="none"/>
        </w:rPr>
        <w:t xml:space="preserve">（一）绩效评价目的、对象和范围</w:t>
      </w:r>
      <w:bookmarkEnd w:id="16"/>
    </w:p>
    <w:p>
      <w:pPr>
        <w:bidi w:val="0"/>
        <w:rPr>
          <w:rFonts w:ascii="仿宋" w:eastAsia="仿宋" w:hAnsi="仿宋" w:cs="仿宋" w:hint="eastAsia"/>
          <w:b/>
          <w:bCs/>
          <w:color w:val="auto"/>
          <w:highlight w:val="none"/>
        </w:rPr>
      </w:pPr>
      <w:bookmarkStart w:id="17" w:name="OLE_LINK26"/>
      <w:r>
        <w:rPr>
          <w:rFonts w:ascii="仿宋" w:eastAsia="仿宋" w:hAnsi="仿宋" w:cs="仿宋" w:hint="eastAsia"/>
          <w:b/>
          <w:bCs/>
          <w:color w:val="auto"/>
          <w:highlight w:val="none"/>
        </w:rPr>
        <w:t xml:space="preserve">1、绩效评价的目的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w:t>
      </w:r>
      <w:bookmarkStart w:id="18" w:name="OLE_LINK5"/>
      <w:r>
        <w:rPr>
          <w:rFonts w:ascii="仿宋" w:eastAsia="仿宋" w:hAnsi="仿宋" w:cs="仿宋" w:hint="eastAsia"/>
          <w:color w:val="auto"/>
          <w:highlight w:val="none"/>
        </w:rPr>
        <w:t xml:space="preserve">资金使用规范性以及加强制定相关制度、采取措施等方面提供参考，不断提高财政资金使用效益和项目管理水平。</w:t>
      </w:r>
      <w:bookmarkEnd w:id="1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开展绩效评价，本次绩效评价范围主要围绕项目决策（包括项目实施、绩效目标、资金投入）、项目过程（包括资金管理、组织实施）、项目产出（包括产出数量、质量、时效、成本）和项目效益等进行评价。</w:t>
      </w:r>
      <w:bookmarkEnd w:id="17"/>
    </w:p>
    <w:p>
      <w:pPr>
        <w:pStyle w:val="Heading3"/>
        <w:bidi w:val="0"/>
        <w:rPr>
          <w:rFonts w:ascii="仿宋" w:eastAsia="仿宋" w:hAnsi="仿宋" w:cs="仿宋" w:hint="eastAsia"/>
          <w:color w:val="auto"/>
          <w:highlight w:val="none"/>
        </w:rPr>
      </w:pPr>
      <w:bookmarkStart w:id="19" w:name="_Toc5109"/>
      <w:r>
        <w:rPr>
          <w:rFonts w:ascii="仿宋" w:eastAsia="仿宋" w:hAnsi="仿宋" w:cs="仿宋" w:hint="eastAsia"/>
          <w:color w:val="auto"/>
          <w:highlight w:val="none"/>
        </w:rPr>
        <w:t xml:space="preserve">（二）绩效评价原则、评价指标体系、评价方法、评价标准</w:t>
      </w:r>
      <w:bookmarkEnd w:id="19"/>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20" w:name="_Toc23112"/>
      <w:bookmarkStart w:id="21" w:name="_Toc30993"/>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20"/>
      <w:bookmarkEnd w:id="21"/>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22" w:name="_Toc15680"/>
      <w:bookmarkStart w:id="23" w:name="_Toc4156"/>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22"/>
      <w:bookmarkEnd w:id="23"/>
    </w:p>
    <w:p>
      <w:pPr>
        <w:keepNext w:val="0"/>
        <w:keepLines w:val="0"/>
        <w:pageBreakBefore w:val="0"/>
        <w:widowControl w:val="0"/>
        <w:suppressLineNumbers w:val="0"/>
        <w:kinsoku/>
        <w:wordWrap/>
        <w:overflowPunct/>
        <w:topLinePunct w:val="0"/>
        <w:autoSpaceDE/>
        <w:autoSpaceDN/>
        <w:bidi w:val="0"/>
        <w:adjustRightInd/>
        <w:snapToGrid/>
        <w:jc w:val="left"/>
        <w:textAlignment w:val="auto"/>
        <w:rPr>
          <w:rFonts w:ascii="仿宋" w:eastAsia="仿宋" w:hAnsi="仿宋" w:cs="仿宋" w:hint="eastAsia"/>
          <w:color w:val="auto"/>
          <w:sz w:val="32"/>
          <w:szCs w:val="32"/>
          <w:highlight w:val="none"/>
        </w:rPr>
      </w:pPr>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的特点，本次评价主要运用比较法，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keepNext w:val="0"/>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w:t>
      </w:r>
      <w:r>
        <w:rPr>
          <w:rFonts w:ascii="仿宋" w:eastAsia="仿宋" w:hAnsi="仿宋" w:cs="仿宋" w:hint="eastAsia"/>
          <w:bCs/>
          <w:color w:val="auto"/>
          <w:kern w:val="2"/>
          <w:sz w:val="32"/>
          <w:szCs w:val="32"/>
          <w:highlight w:val="none"/>
          <w:lang w:val="en-US" w:eastAsia="zh-CN" w:bidi="ar-SA"/>
        </w:rPr>
        <w:t xml:space="preserve">适龄儿童国家免疫规划疫苗接种率≥90%以上；居民规范化电子健康档案覆盖率≥62%，7岁以下儿童健康管理率均保持在≥85%，全县高血压患者管理人数5800人，2型糖尿病患者管理人数1500人</w:t>
      </w:r>
      <w:r>
        <w:rPr>
          <w:rFonts w:ascii="仿宋" w:eastAsia="仿宋" w:hAnsi="仿宋" w:cs="仿宋" w:hint="eastAsia"/>
          <w:color w:val="auto"/>
          <w:highlight w:val="none"/>
        </w:rPr>
        <w:t xml:space="preserve">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bookmarkStart w:id="24" w:name="OLE_LINK10"/>
      <w:r>
        <w:rPr>
          <w:rFonts w:ascii="仿宋" w:eastAsia="仿宋" w:hAnsi="仿宋" w:cs="仿宋" w:hint="eastAsia"/>
          <w:color w:val="auto"/>
          <w:highlight w:val="none"/>
          <w:lang w:eastAsia="zh-CN"/>
        </w:rPr>
        <w:t xml:space="preserve">2024年基本公共卫生服务补助项目</w:t>
      </w:r>
      <w:bookmarkEnd w:id="24"/>
      <w:r>
        <w:rPr>
          <w:rFonts w:ascii="仿宋" w:eastAsia="仿宋" w:hAnsi="仿宋" w:cs="仿宋" w:hint="eastAsia"/>
          <w:color w:val="auto"/>
          <w:highlight w:val="none"/>
        </w:rPr>
        <w:t xml:space="preserve">的特点，本次项目支出绩效自评采用了计划标准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w:t>
      </w:r>
      <w:bookmarkStart w:id="25" w:name="OLE_LINK9"/>
      <w:r>
        <w:rPr>
          <w:rFonts w:ascii="仿宋" w:eastAsia="仿宋" w:hAnsi="仿宋" w:cs="仿宋" w:hint="eastAsia"/>
          <w:bCs/>
          <w:color w:val="auto"/>
          <w:kern w:val="2"/>
          <w:sz w:val="32"/>
          <w:szCs w:val="32"/>
          <w:highlight w:val="none"/>
          <w:lang w:val="en-US" w:eastAsia="zh-CN" w:bidi="ar-SA"/>
        </w:rPr>
        <w:t xml:space="preserve">适龄儿童国家免疫规划疫苗接种率≥90%以上；居民规范化电子健康档案覆盖率≥62%，7岁以下儿童健康管理率均保持在≥85%，全县高血压患者管理人数5800人，2型糖尿病患者管理人数1500人</w:t>
      </w:r>
      <w:bookmarkEnd w:id="25"/>
      <w:r>
        <w:rPr>
          <w:rFonts w:ascii="仿宋" w:eastAsia="仿宋" w:hAnsi="仿宋" w:cs="仿宋" w:hint="eastAsia"/>
          <w:color w:val="auto"/>
          <w:highlight w:val="none"/>
          <w:lang w:val="en-US" w:eastAsia="zh-CN"/>
        </w:rPr>
        <w:t xml:space="preserve">为计划数</w:t>
      </w:r>
      <w:r>
        <w:rPr>
          <w:rFonts w:ascii="仿宋" w:eastAsia="仿宋" w:hAnsi="仿宋" w:cs="仿宋" w:hint="eastAsia"/>
          <w:color w:val="auto"/>
          <w:highlight w:val="none"/>
        </w:rPr>
        <w:t xml:space="preserve">作为评价的标准。</w:t>
      </w:r>
    </w:p>
    <w:p>
      <w:pPr>
        <w:pStyle w:val="Heading3"/>
        <w:bidi w:val="0"/>
        <w:rPr>
          <w:rFonts w:ascii="仿宋" w:eastAsia="仿宋" w:hAnsi="仿宋" w:cs="仿宋" w:hint="eastAsia"/>
          <w:color w:val="auto"/>
          <w:highlight w:val="none"/>
        </w:rPr>
      </w:pPr>
      <w:bookmarkStart w:id="26" w:name="_Toc23796"/>
      <w:r>
        <w:rPr>
          <w:rFonts w:ascii="仿宋" w:eastAsia="仿宋" w:hAnsi="仿宋" w:cs="仿宋" w:hint="eastAsia"/>
          <w:color w:val="auto"/>
          <w:highlight w:val="none"/>
        </w:rPr>
        <w:t xml:space="preserve">（三）绩效评价工作过程</w:t>
      </w:r>
      <w:bookmarkEnd w:id="26"/>
      <w:bookmarkStart w:id="27" w:name="_Toc17595"/>
      <w:bookmarkStart w:id="28" w:name="_Toc30911"/>
      <w:bookmarkStart w:id="29" w:name="_Toc22987"/>
      <w:bookmarkStart w:id="30" w:name="_Toc27442"/>
    </w:p>
    <w:p>
      <w:pPr>
        <w:bidi w:val="0"/>
        <w:rPr>
          <w:rFonts w:ascii="仿宋" w:eastAsia="仿宋" w:hAnsi="仿宋" w:cs="仿宋" w:hint="eastAsia"/>
          <w:b/>
          <w:bCs/>
          <w:color w:val="auto"/>
          <w:highlight w:val="none"/>
        </w:rPr>
      </w:pPr>
      <w:bookmarkStart w:id="31" w:name="OLE_LINK27"/>
      <w:r>
        <w:rPr>
          <w:rFonts w:ascii="仿宋" w:eastAsia="仿宋" w:hAnsi="仿宋" w:cs="仿宋" w:hint="eastAsia"/>
          <w:b/>
          <w:bCs/>
          <w:color w:val="auto"/>
          <w:highlight w:val="none"/>
        </w:rPr>
        <w:t xml:space="preserve">1、前期准备</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2025年2月10日-2025年2月28日）</w:t>
      </w:r>
    </w:p>
    <w:p>
      <w:pPr>
        <w:spacing w:line="600" w:lineRule="exact"/>
        <w:ind w:firstLine="640"/>
        <w:jc w:val="both"/>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w:t>
      </w:r>
      <w:r>
        <w:rPr>
          <w:rFonts w:ascii="仿宋" w:eastAsia="仿宋" w:hAnsi="仿宋" w:cs="仿宋" w:hint="eastAsia"/>
          <w:color w:val="auto"/>
          <w:highlight w:val="none"/>
        </w:rPr>
        <w:t xml:space="preserve">县</w:t>
      </w:r>
      <w:r>
        <w:rPr>
          <w:rFonts w:ascii="仿宋" w:eastAsia="仿宋" w:hAnsi="仿宋" w:cs="仿宋" w:hint="eastAsia"/>
          <w:color w:val="auto"/>
          <w:highlight w:val="none"/>
          <w:lang w:val="en-US" w:eastAsia="zh-CN"/>
        </w:rPr>
        <w:t xml:space="preserve">卫生健康委员会</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评价小组组长：赵茜，主要负责协调相关科室、部门对项目整体运行情况进行验收、评估。</w:t>
      </w:r>
    </w:p>
    <w:p>
      <w:pPr>
        <w:bidi w:val="0"/>
        <w:rPr>
          <w:rFonts w:ascii="仿宋" w:eastAsia="仿宋" w:hAnsi="仿宋" w:cs="仿宋" w:hint="eastAsia"/>
          <w:color w:val="auto"/>
          <w:highlight w:val="none"/>
          <w:lang w:val="en-US" w:eastAsia="zh-CN"/>
        </w:rPr>
      </w:pPr>
      <w:bookmarkStart w:id="32" w:name="OLE_LINK11"/>
      <w:r>
        <w:rPr>
          <w:rFonts w:ascii="仿宋" w:eastAsia="仿宋" w:hAnsi="仿宋" w:cs="仿宋" w:hint="eastAsia"/>
          <w:color w:val="auto"/>
          <w:highlight w:val="none"/>
          <w:lang w:val="en-US" w:eastAsia="zh-CN"/>
        </w:rPr>
        <w:t xml:space="preserve">评价小组组员：</w:t>
      </w:r>
      <w:bookmarkEnd w:id="32"/>
      <w:r>
        <w:rPr>
          <w:rFonts w:ascii="仿宋" w:eastAsia="仿宋" w:hAnsi="仿宋" w:cs="仿宋" w:hint="eastAsia"/>
          <w:color w:val="auto"/>
          <w:highlight w:val="none"/>
          <w:lang w:val="en-US" w:eastAsia="zh-CN"/>
        </w:rPr>
        <w:t xml:space="preserve">刘瑞芳、江小林，主要负责制定评价指标体系及评价标准。负责</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lang w:val="en-US" w:eastAsia="zh-CN"/>
        </w:rPr>
        <w:t xml:space="preserve">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2025年3月1日-2025年3月10日）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27"/>
      <w:bookmarkEnd w:id="28"/>
      <w:bookmarkEnd w:id="29"/>
      <w:bookmarkEnd w:id="3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33"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33"/>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bookmarkEnd w:id="31"/>
    </w:p>
    <w:p>
      <w:pPr>
        <w:rPr>
          <w:rFonts w:ascii="仿宋" w:eastAsia="仿宋" w:hAnsi="仿宋" w:cs="仿宋" w:hint="eastAsia"/>
          <w:b/>
          <w:bCs/>
          <w:color w:val="auto"/>
          <w:highlight w:val="none"/>
        </w:rPr>
      </w:pPr>
      <w:bookmarkStart w:id="34" w:name="_Toc20784"/>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三、综合评价情况及评价结论</w:t>
      </w:r>
      <w:bookmarkEnd w:id="34"/>
    </w:p>
    <w:p>
      <w:pPr>
        <w:bidi w:val="0"/>
        <w:rPr>
          <w:rFonts w:ascii="仿宋" w:eastAsia="仿宋" w:hAnsi="仿宋" w:cs="仿宋" w:hint="eastAsia"/>
          <w:color w:val="auto"/>
          <w:highlight w:val="none"/>
        </w:rPr>
      </w:pPr>
      <w:bookmarkStart w:id="35" w:name="OLE_LINK28"/>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仿宋" w:eastAsia="仿宋" w:hAnsi="仿宋" w:cs="仿宋" w:hint="eastAsia"/>
                <w:color w:val="auto"/>
                <w:highlight w:val="none"/>
                <w:lang w:eastAsia="zh-CN"/>
              </w:rPr>
            </w:pPr>
            <w:bookmarkStart w:id="36" w:name="OLE_LINK19"/>
            <w:r>
              <w:rPr>
                <w:rFonts w:ascii="仿宋" w:eastAsia="仿宋" w:hAnsi="仿宋" w:cs="仿宋" w:hint="eastAsia"/>
                <w:color w:val="auto"/>
                <w:highlight w:val="none"/>
                <w:lang w:eastAsia="zh-CN"/>
              </w:rPr>
              <w:t xml:space="preserve">2024年基本公共卫生服务补助项目</w:t>
            </w:r>
            <w:bookmarkEnd w:id="36"/>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bookmarkEnd w:id="35"/>
    </w:p>
    <w:p>
      <w:pPr>
        <w:pStyle w:val="Heading2"/>
        <w:bidi w:val="0"/>
        <w:rPr>
          <w:rFonts w:ascii="仿宋" w:eastAsia="仿宋" w:hAnsi="仿宋" w:cs="仿宋" w:hint="eastAsia"/>
          <w:color w:val="auto"/>
          <w:highlight w:val="none"/>
        </w:rPr>
      </w:pPr>
      <w:bookmarkStart w:id="37" w:name="_Toc8960"/>
      <w:r>
        <w:rPr>
          <w:rFonts w:ascii="仿宋" w:eastAsia="仿宋" w:hAnsi="仿宋" w:cs="仿宋" w:hint="eastAsia"/>
          <w:color w:val="auto"/>
          <w:highlight w:val="none"/>
        </w:rPr>
        <w:t xml:space="preserve">四、绩效评价指标分析</w:t>
      </w:r>
      <w:bookmarkEnd w:id="37"/>
    </w:p>
    <w:p>
      <w:pPr>
        <w:pStyle w:val="Heading3"/>
        <w:bidi w:val="0"/>
        <w:rPr>
          <w:rFonts w:ascii="仿宋" w:eastAsia="仿宋" w:hAnsi="仿宋" w:cs="仿宋" w:hint="eastAsia"/>
          <w:color w:val="auto"/>
          <w:highlight w:val="none"/>
        </w:rPr>
      </w:pPr>
      <w:bookmarkStart w:id="38" w:name="_Toc3445"/>
      <w:r>
        <w:rPr>
          <w:rFonts w:ascii="仿宋" w:eastAsia="仿宋" w:hAnsi="仿宋" w:cs="仿宋" w:hint="eastAsia"/>
          <w:color w:val="auto"/>
          <w:highlight w:val="none"/>
        </w:rPr>
        <w:t xml:space="preserve">（一）项目决策情况</w:t>
      </w:r>
      <w:bookmarkEnd w:id="38"/>
    </w:p>
    <w:p>
      <w:pPr>
        <w:bidi w:val="0"/>
        <w:rPr>
          <w:rFonts w:ascii="仿宋" w:eastAsia="仿宋" w:hAnsi="仿宋" w:cs="仿宋" w:hint="eastAsia"/>
          <w:color w:val="auto"/>
          <w:highlight w:val="none"/>
        </w:rPr>
      </w:pPr>
      <w:bookmarkStart w:id="39" w:name="OLE_LINK29"/>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eastAsia="zh-CN"/>
        </w:rPr>
        <w:t xml:space="preserve">关于做好</w:t>
      </w:r>
      <w:r>
        <w:rPr>
          <w:rFonts w:ascii="仿宋" w:eastAsia="仿宋" w:hAnsi="仿宋" w:cs="仿宋" w:hint="eastAsia"/>
          <w:color w:val="auto"/>
          <w:highlight w:val="none"/>
          <w:lang w:val="en-US" w:eastAsia="zh-CN"/>
        </w:rPr>
        <w:t xml:space="preserve">2024年基本公共卫生服务工作的通知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国卫基层发</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持续推进基本公共卫生服务均等化，增强基本公共卫生服务均衡性和可及性，发挥保障城乡居民健康的基础性作业</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eastAsia="zh-CN"/>
        </w:rPr>
        <w:t xml:space="preserve">关于做好</w:t>
      </w:r>
      <w:r>
        <w:rPr>
          <w:rFonts w:ascii="仿宋" w:eastAsia="仿宋" w:hAnsi="仿宋" w:cs="仿宋" w:hint="eastAsia"/>
          <w:color w:val="auto"/>
          <w:highlight w:val="none"/>
          <w:lang w:val="en-US" w:eastAsia="zh-CN"/>
        </w:rPr>
        <w:t xml:space="preserve">2024年基本公共卫生服务工作的通知</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新卫基层发</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31</w:t>
      </w:r>
      <w:r>
        <w:rPr>
          <w:rFonts w:ascii="仿宋" w:eastAsia="仿宋" w:hAnsi="仿宋" w:cs="仿宋" w:hint="eastAsia"/>
          <w:color w:val="auto"/>
          <w:highlight w:val="none"/>
        </w:rPr>
        <w:t xml:space="preserve">号）</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为持续提升基本公共卫生服务均等化水平，不断增强各族群众健康获得感</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内容，</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w:t>
      </w:r>
      <w:r>
        <w:rPr>
          <w:rFonts w:ascii="仿宋" w:eastAsia="仿宋" w:hAnsi="仿宋" w:cs="仿宋" w:hint="eastAsia"/>
          <w:bCs w:val="0"/>
          <w:iCs w:val="0"/>
          <w:color w:val="auto"/>
          <w:kern w:val="2"/>
          <w:sz w:val="32"/>
          <w:szCs w:val="22"/>
          <w:highlight w:val="none"/>
          <w:lang w:val="en-US" w:eastAsia="zh-CN" w:bidi="ar-SA"/>
        </w:rPr>
        <w:t xml:space="preserve">《尉犁县基本公共卫生</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通过尉犁县卫生健康委员会党组会议同意实施该项目。因此，</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，设置一级指标3条，二级指标</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19</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17</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万元，来源为</w:t>
      </w:r>
      <w:r>
        <w:rPr>
          <w:rFonts w:ascii="仿宋" w:eastAsia="仿宋" w:hAnsi="仿宋" w:cs="仿宋" w:hint="eastAsia"/>
          <w:color w:val="auto"/>
          <w:sz w:val="32"/>
          <w:szCs w:val="32"/>
          <w:highlight w:val="none"/>
          <w:lang w:val="en-US" w:eastAsia="zh-CN"/>
        </w:rPr>
        <w:t xml:space="preserve">中央资金469.8万元，自治区资金66万元</w:t>
      </w:r>
      <w:r>
        <w:rPr>
          <w:rFonts w:ascii="仿宋" w:eastAsia="仿宋" w:hAnsi="仿宋" w:cs="仿宋" w:hint="eastAsia"/>
          <w:color w:val="auto"/>
          <w:highlight w:val="none"/>
        </w:rPr>
        <w:t xml:space="preserve">，预算编制较为科学，预算内容与</w:t>
      </w:r>
      <w:r>
        <w:rPr>
          <w:rFonts w:ascii="仿宋" w:eastAsia="仿宋" w:hAnsi="仿宋" w:cs="仿宋" w:hint="eastAsia"/>
          <w:color w:val="auto"/>
          <w:highlight w:val="none"/>
          <w:lang w:eastAsia="zh-CN"/>
        </w:rPr>
        <w:t xml:space="preserve">2024年基本公共卫生服务补助项目</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bookmarkEnd w:id="39"/>
    </w:p>
    <w:p>
      <w:pPr>
        <w:pStyle w:val="Heading3"/>
        <w:bidi w:val="0"/>
        <w:rPr>
          <w:rFonts w:ascii="仿宋" w:eastAsia="仿宋" w:hAnsi="仿宋" w:cs="仿宋" w:hint="eastAsia"/>
          <w:color w:val="auto"/>
          <w:highlight w:val="none"/>
        </w:rPr>
      </w:pPr>
      <w:bookmarkStart w:id="40" w:name="_Toc11290"/>
      <w:r>
        <w:rPr>
          <w:rFonts w:ascii="仿宋" w:eastAsia="仿宋" w:hAnsi="仿宋" w:cs="仿宋" w:hint="eastAsia"/>
          <w:color w:val="auto"/>
          <w:highlight w:val="none"/>
        </w:rPr>
        <w:t xml:space="preserve">（二）项目过程情况</w:t>
      </w:r>
      <w:bookmarkEnd w:id="40"/>
    </w:p>
    <w:p>
      <w:pPr>
        <w:bidi w:val="0"/>
        <w:rPr>
          <w:rFonts w:ascii="仿宋" w:eastAsia="仿宋" w:hAnsi="仿宋" w:cs="仿宋" w:hint="eastAsia"/>
          <w:color w:val="auto"/>
          <w:highlight w:val="none"/>
        </w:rPr>
      </w:pPr>
      <w:bookmarkStart w:id="41" w:name="OLE_LINK30"/>
      <w:r>
        <w:rPr>
          <w:rFonts w:ascii="仿宋" w:eastAsia="仿宋" w:hAnsi="仿宋" w:cs="仿宋" w:hint="eastAsia"/>
          <w:color w:val="auto"/>
          <w:highlight w:val="none"/>
        </w:rPr>
        <w:t xml:space="preserve">1、资金到位率</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万元，实际到位资金</w:t>
      </w:r>
      <w:bookmarkStart w:id="42" w:name="OLE_LINK13"/>
      <w:r>
        <w:rPr>
          <w:rFonts w:ascii="仿宋" w:eastAsia="仿宋" w:hAnsi="仿宋" w:cs="仿宋" w:hint="eastAsia"/>
          <w:color w:val="auto"/>
          <w:highlight w:val="none"/>
          <w:lang w:val="en-US" w:eastAsia="zh-CN"/>
        </w:rPr>
        <w:t xml:space="preserve">535.8</w:t>
      </w:r>
      <w:bookmarkEnd w:id="42"/>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535.8</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符合《基本公共卫生专项资金管理办法》要求。资金的审批和拨付按照《尉犁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kern w:val="2"/>
          <w:sz w:val="32"/>
          <w:szCs w:val="24"/>
          <w:highlight w:val="none"/>
          <w:lang w:val="en-US" w:eastAsia="zh-CN" w:bidi="ar-SA"/>
        </w:rPr>
        <w:t xml:space="preserve">尉犁县卫生健康委员会制定了</w:t>
      </w:r>
      <w:r>
        <w:rPr>
          <w:rFonts w:ascii="仿宋" w:eastAsia="仿宋" w:hAnsi="仿宋" w:cs="仿宋" w:hint="eastAsia"/>
          <w:color w:val="auto"/>
          <w:highlight w:val="none"/>
        </w:rPr>
        <w:t xml:space="preserve">《</w:t>
      </w:r>
      <w:r>
        <w:rPr>
          <w:rFonts w:ascii="仿宋" w:eastAsia="仿宋" w:hAnsi="仿宋" w:cs="仿宋" w:hint="eastAsia"/>
          <w:color w:val="auto"/>
          <w:kern w:val="2"/>
          <w:sz w:val="32"/>
          <w:szCs w:val="24"/>
          <w:highlight w:val="none"/>
          <w:lang w:val="en-US" w:eastAsia="zh-CN" w:bidi="ar-SA"/>
        </w:rPr>
        <w:t xml:space="preserve">尉犁县卫生健康委员会</w:t>
      </w:r>
      <w:r>
        <w:rPr>
          <w:rFonts w:ascii="仿宋" w:eastAsia="仿宋" w:hAnsi="仿宋" w:cs="仿宋" w:hint="eastAsia"/>
          <w:color w:val="auto"/>
          <w:highlight w:val="none"/>
        </w:rPr>
        <w:t xml:space="preserve">财务管理办法》和《</w:t>
      </w:r>
      <w:r>
        <w:rPr>
          <w:rFonts w:ascii="仿宋" w:eastAsia="仿宋" w:hAnsi="仿宋" w:cs="仿宋" w:hint="eastAsia"/>
          <w:color w:val="auto"/>
          <w:kern w:val="2"/>
          <w:sz w:val="32"/>
          <w:szCs w:val="24"/>
          <w:highlight w:val="none"/>
          <w:lang w:val="en-US" w:eastAsia="zh-CN" w:bidi="ar-SA"/>
        </w:rPr>
        <w:t xml:space="preserve">尉犁县卫生健康委员会</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43" w:name="_Toc32013"/>
      <w:bookmarkEnd w:id="41"/>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43"/>
    </w:p>
    <w:p>
      <w:pPr>
        <w:bidi w:val="0"/>
        <w:rPr>
          <w:rFonts w:ascii="仿宋" w:eastAsia="仿宋" w:hAnsi="仿宋" w:cs="仿宋" w:hint="eastAsia"/>
          <w:color w:val="auto"/>
          <w:highlight w:val="none"/>
        </w:rPr>
      </w:pPr>
      <w:bookmarkStart w:id="44" w:name="OLE_LINK31"/>
      <w:r>
        <w:rPr>
          <w:rFonts w:ascii="仿宋" w:eastAsia="仿宋" w:hAnsi="仿宋" w:cs="仿宋" w:hint="eastAsia"/>
          <w:color w:val="auto"/>
          <w:highlight w:val="none"/>
        </w:rPr>
        <w:t xml:space="preserve">1、产出数量</w:t>
      </w:r>
    </w:p>
    <w:p>
      <w:pPr>
        <w:bidi w:val="0"/>
        <w:jc w:val="both"/>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lang w:val="en-US" w:eastAsia="zh-CN"/>
        </w:rPr>
        <w:t xml:space="preserve">适龄儿童国家免疫规划疫苗接种率</w:t>
      </w:r>
      <w:r>
        <w:rPr>
          <w:rFonts w:ascii="仿宋" w:eastAsia="仿宋" w:hAnsi="仿宋" w:cs="仿宋" w:hint="eastAsia"/>
          <w:color w:val="auto"/>
          <w:highlight w:val="none"/>
        </w:rPr>
        <w:t xml:space="preserve">，预期指标值</w:t>
      </w:r>
      <w:bookmarkStart w:id="45" w:name="OLE_LINK15"/>
      <w:r>
        <w:rPr>
          <w:rFonts w:ascii="仿宋" w:eastAsia="仿宋" w:hAnsi="仿宋" w:cs="仿宋" w:hint="eastAsia"/>
          <w:color w:val="auto"/>
          <w:highlight w:val="none"/>
          <w:lang w:val="en-US" w:eastAsia="zh-CN"/>
        </w:rPr>
        <w:t xml:space="preserve">大于或等于</w:t>
      </w:r>
      <w:bookmarkEnd w:id="45"/>
      <w:r>
        <w:rPr>
          <w:rFonts w:ascii="仿宋" w:eastAsia="仿宋" w:hAnsi="仿宋" w:cs="仿宋" w:hint="eastAsia"/>
          <w:color w:val="auto"/>
          <w:highlight w:val="none"/>
          <w:lang w:val="en-US" w:eastAsia="zh-CN"/>
        </w:rPr>
        <w:t xml:space="preserve">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99.72%</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110.8%</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7岁以下儿童健康管理率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大于或等于85%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94.45%</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111.12%</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指标3：</w:t>
      </w:r>
      <w:r>
        <w:rPr>
          <w:rFonts w:ascii="仿宋" w:eastAsia="仿宋" w:hAnsi="仿宋" w:cs="仿宋" w:hint="eastAsia"/>
          <w:color w:val="auto"/>
          <w:highlight w:val="none"/>
          <w:lang w:val="en-US" w:eastAsia="zh-CN"/>
        </w:rPr>
        <w:t xml:space="preserve">孕产妇系统管理率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95.86%</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106.51%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指标4：</w:t>
      </w:r>
      <w:r>
        <w:rPr>
          <w:rFonts w:ascii="仿宋" w:eastAsia="仿宋" w:hAnsi="仿宋" w:cs="仿宋" w:hint="eastAsia"/>
          <w:color w:val="auto"/>
          <w:highlight w:val="none"/>
          <w:lang w:val="en-US" w:eastAsia="zh-CN"/>
        </w:rPr>
        <w:t xml:space="preserve">高血压患者管理人数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大于或等于5800人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6832人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117.79%</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指标5：</w:t>
      </w:r>
      <w:r>
        <w:rPr>
          <w:rFonts w:ascii="仿宋" w:eastAsia="仿宋" w:hAnsi="仿宋" w:cs="仿宋" w:hint="eastAsia"/>
          <w:color w:val="auto"/>
          <w:highlight w:val="none"/>
          <w:lang w:val="en-US" w:eastAsia="zh-CN"/>
        </w:rPr>
        <w:t xml:space="preserve">2型糖尿病患者管理人数</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大于或等于1500人</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1876人</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125.07%</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指标6：</w:t>
      </w:r>
      <w:r>
        <w:rPr>
          <w:rFonts w:ascii="仿宋" w:eastAsia="仿宋" w:hAnsi="仿宋" w:cs="仿宋" w:hint="eastAsia"/>
          <w:color w:val="auto"/>
          <w:highlight w:val="none"/>
          <w:lang w:val="en-US" w:eastAsia="zh-CN"/>
        </w:rPr>
        <w:t xml:space="preserve">肺结核患者管理率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111.11%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指标7：</w:t>
      </w:r>
      <w:r>
        <w:rPr>
          <w:rFonts w:ascii="仿宋" w:eastAsia="仿宋" w:hAnsi="仿宋" w:cs="仿宋" w:hint="eastAsia"/>
          <w:color w:val="auto"/>
          <w:highlight w:val="none"/>
          <w:lang w:val="en-US" w:eastAsia="zh-CN"/>
        </w:rPr>
        <w:t xml:space="preserve">社区在册居家严重精神障碍患者健康管理率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大于或等于80%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96.43%</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107.14%</w:t>
      </w:r>
      <w:r>
        <w:rPr>
          <w:rFonts w:ascii="仿宋" w:eastAsia="仿宋" w:hAnsi="仿宋" w:cs="仿宋" w:hint="eastAsia"/>
          <w:color w:val="auto"/>
          <w:highlight w:val="none"/>
        </w:rPr>
        <w:t xml:space="preserve">；</w:t>
      </w:r>
    </w:p>
    <w:p>
      <w:pPr>
        <w:bidi w:val="0"/>
        <w:jc w:val="both"/>
        <w:rPr>
          <w:rFonts w:ascii="仿宋" w:eastAsia="仿宋" w:hAnsi="仿宋" w:cs="仿宋" w:hint="eastAsia"/>
          <w:b w:val="0"/>
          <w:color w:val="auto"/>
          <w:kern w:val="2"/>
          <w:sz w:val="32"/>
          <w:szCs w:val="2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指标8：</w:t>
      </w:r>
      <w:r>
        <w:rPr>
          <w:rFonts w:ascii="仿宋" w:eastAsia="仿宋" w:hAnsi="仿宋" w:cs="仿宋" w:hint="eastAsia"/>
          <w:color w:val="auto"/>
          <w:highlight w:val="none"/>
        </w:rPr>
        <w:t xml:space="preserve">儿童中医药健康管理率</w:t>
      </w:r>
      <w:r>
        <w:rPr>
          <w:rFonts w:ascii="仿宋" w:eastAsia="仿宋" w:hAnsi="仿宋" w:cs="仿宋" w:hint="eastAsia"/>
          <w:b w:val="0"/>
          <w:color w:val="auto"/>
          <w:kern w:val="2"/>
          <w:sz w:val="32"/>
          <w:szCs w:val="22"/>
          <w:highlight w:val="none"/>
          <w:lang w:val="en-US" w:eastAsia="zh-CN" w:bidi="ar-SA"/>
        </w:rPr>
        <w:t xml:space="preserve">，预期指标值</w:t>
      </w:r>
      <w:r>
        <w:rPr>
          <w:rFonts w:ascii="仿宋" w:eastAsia="仿宋" w:hAnsi="仿宋" w:cs="仿宋" w:hint="eastAsia"/>
          <w:color w:val="auto"/>
          <w:highlight w:val="none"/>
          <w:lang w:val="en-US" w:eastAsia="zh-CN"/>
        </w:rPr>
        <w:t xml:space="preserve">大于或等于77%</w:t>
      </w:r>
      <w:r>
        <w:rPr>
          <w:rFonts w:ascii="仿宋" w:eastAsia="仿宋" w:hAnsi="仿宋" w:cs="仿宋" w:hint="eastAsia"/>
          <w:b w:val="0"/>
          <w:color w:val="auto"/>
          <w:kern w:val="2"/>
          <w:sz w:val="32"/>
          <w:szCs w:val="22"/>
          <w:highlight w:val="none"/>
          <w:lang w:val="en-US" w:eastAsia="zh-CN" w:bidi="ar-SA"/>
        </w:rPr>
        <w:t xml:space="preserve">，指标完成值：99.47</w:t>
      </w:r>
      <w:r>
        <w:rPr>
          <w:rFonts w:ascii="仿宋" w:eastAsia="仿宋" w:hAnsi="仿宋" w:cs="仿宋" w:hint="eastAsia"/>
          <w:color w:val="auto"/>
          <w:highlight w:val="none"/>
          <w:lang w:val="en-US" w:eastAsia="zh-CN"/>
        </w:rPr>
        <w:t xml:space="preserve">%</w:t>
      </w:r>
      <w:r>
        <w:rPr>
          <w:rFonts w:ascii="仿宋" w:eastAsia="仿宋" w:hAnsi="仿宋" w:cs="仿宋" w:hint="eastAsia"/>
          <w:b w:val="0"/>
          <w:color w:val="auto"/>
          <w:kern w:val="2"/>
          <w:sz w:val="32"/>
          <w:szCs w:val="22"/>
          <w:highlight w:val="none"/>
          <w:lang w:val="en-US" w:eastAsia="zh-CN" w:bidi="ar-SA"/>
        </w:rPr>
        <w:t xml:space="preserve">，完成率：129.18%；</w:t>
      </w:r>
    </w:p>
    <w:p>
      <w:pPr>
        <w:bidi w:val="0"/>
        <w:jc w:val="both"/>
        <w:rPr>
          <w:rFonts w:ascii="仿宋" w:eastAsia="仿宋" w:hAnsi="仿宋" w:cs="仿宋" w:hint="eastAsia"/>
          <w:b w:val="0"/>
          <w:color w:val="auto"/>
          <w:kern w:val="2"/>
          <w:sz w:val="32"/>
          <w:szCs w:val="22"/>
          <w:highlight w:val="none"/>
          <w:lang w:val="en-US" w:eastAsia="zh-CN" w:bidi="ar-SA"/>
        </w:rPr>
      </w:pPr>
      <w:r>
        <w:rPr>
          <w:rFonts w:ascii="仿宋" w:eastAsia="仿宋" w:hAnsi="仿宋" w:cs="仿宋" w:hint="eastAsia"/>
          <w:b w:val="0"/>
          <w:bCs/>
          <w:color w:val="auto"/>
          <w:kern w:val="2"/>
          <w:sz w:val="32"/>
          <w:szCs w:val="32"/>
          <w:highlight w:val="none"/>
          <w:lang w:val="en-US" w:eastAsia="zh-CN" w:bidi="ar-SA"/>
        </w:rPr>
        <w:t xml:space="preserve">指标9：</w:t>
      </w:r>
      <w:r>
        <w:rPr>
          <w:rFonts w:ascii="仿宋" w:eastAsia="仿宋" w:hAnsi="仿宋" w:cs="仿宋" w:hint="eastAsia"/>
          <w:color w:val="auto"/>
          <w:highlight w:val="none"/>
        </w:rPr>
        <w:t xml:space="preserve">老年人中医药健康管理率</w:t>
      </w:r>
      <w:r>
        <w:rPr>
          <w:rFonts w:ascii="仿宋" w:eastAsia="仿宋" w:hAnsi="仿宋" w:cs="仿宋" w:hint="eastAsia"/>
          <w:b w:val="0"/>
          <w:color w:val="auto"/>
          <w:kern w:val="2"/>
          <w:sz w:val="32"/>
          <w:szCs w:val="22"/>
          <w:highlight w:val="none"/>
          <w:lang w:val="en-US" w:eastAsia="zh-CN" w:bidi="ar-SA"/>
        </w:rPr>
        <w:t xml:space="preserve">，预期指标值</w:t>
      </w:r>
      <w:r>
        <w:rPr>
          <w:rFonts w:ascii="仿宋" w:eastAsia="仿宋" w:hAnsi="仿宋" w:cs="仿宋" w:hint="eastAsia"/>
          <w:color w:val="auto"/>
          <w:highlight w:val="none"/>
          <w:lang w:val="en-US" w:eastAsia="zh-CN"/>
        </w:rPr>
        <w:t xml:space="preserve">大于或等于70%</w:t>
      </w:r>
      <w:r>
        <w:rPr>
          <w:rFonts w:ascii="仿宋" w:eastAsia="仿宋" w:hAnsi="仿宋" w:cs="仿宋" w:hint="eastAsia"/>
          <w:b w:val="0"/>
          <w:color w:val="auto"/>
          <w:kern w:val="2"/>
          <w:sz w:val="32"/>
          <w:szCs w:val="22"/>
          <w:highlight w:val="none"/>
          <w:lang w:val="en-US" w:eastAsia="zh-CN" w:bidi="ar-SA"/>
        </w:rPr>
        <w:t xml:space="preserve">，指标完成值：</w:t>
      </w:r>
      <w:r>
        <w:rPr>
          <w:rFonts w:ascii="仿宋" w:eastAsia="仿宋" w:hAnsi="仿宋" w:cs="仿宋" w:hint="eastAsia"/>
          <w:color w:val="auto"/>
          <w:highlight w:val="none"/>
          <w:lang w:val="en-US" w:eastAsia="zh-CN"/>
        </w:rPr>
        <w:t xml:space="preserve">大于或等于97.57%</w:t>
      </w:r>
      <w:r>
        <w:rPr>
          <w:rFonts w:ascii="仿宋" w:eastAsia="仿宋" w:hAnsi="仿宋" w:cs="仿宋" w:hint="eastAsia"/>
          <w:b w:val="0"/>
          <w:color w:val="auto"/>
          <w:kern w:val="2"/>
          <w:sz w:val="32"/>
          <w:szCs w:val="22"/>
          <w:highlight w:val="none"/>
          <w:lang w:val="en-US" w:eastAsia="zh-CN" w:bidi="ar-SA"/>
        </w:rPr>
        <w:t xml:space="preserve">，完成率：139.39%；</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居民规范化电子健康档案覆盖率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95.55%</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154.11%</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高血压患者基层规范管理服务率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96.94%</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156.35%</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指标3：</w:t>
      </w:r>
      <w:r>
        <w:rPr>
          <w:rFonts w:ascii="仿宋" w:eastAsia="仿宋" w:hAnsi="仿宋" w:cs="仿宋" w:hint="eastAsia"/>
          <w:color w:val="auto"/>
          <w:highlight w:val="none"/>
          <w:lang w:val="en-US" w:eastAsia="zh-CN"/>
        </w:rPr>
        <w:t xml:space="preserve">2型糖尿病患者基层规范管理服务率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大于或等于62%</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96.86%</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156.22%</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指标4：</w:t>
      </w:r>
      <w:r>
        <w:rPr>
          <w:rFonts w:ascii="仿宋" w:eastAsia="仿宋" w:hAnsi="仿宋" w:cs="仿宋" w:hint="eastAsia"/>
          <w:color w:val="auto"/>
          <w:highlight w:val="none"/>
          <w:lang w:val="en-US" w:eastAsia="zh-CN"/>
        </w:rPr>
        <w:t xml:space="preserve">65岁及以上老年人城乡社区规范健康管理服务率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大于或等于67%</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96.78%</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144.45%</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指标5：</w:t>
      </w:r>
      <w:r>
        <w:rPr>
          <w:rFonts w:ascii="仿宋" w:eastAsia="仿宋" w:hAnsi="仿宋" w:cs="仿宋" w:hint="eastAsia"/>
          <w:color w:val="auto"/>
          <w:highlight w:val="none"/>
          <w:lang w:val="en-US" w:eastAsia="zh-CN"/>
        </w:rPr>
        <w:t xml:space="preserve">传染病和突发公共卫生事件报告率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105.26%</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业务指导按期完成率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大于或等于95%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105.26%</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指标2：基层医疗卫生人才培训按期完成率，预期指标值大于或等于95%，指标完成值：100%，完成率：105.26%；</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预算成本控制率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小于或等于100%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bookmarkEnd w:id="44"/>
    </w:p>
    <w:p>
      <w:pPr>
        <w:pStyle w:val="Heading3"/>
        <w:bidi w:val="0"/>
        <w:rPr>
          <w:rFonts w:ascii="仿宋" w:eastAsia="仿宋" w:hAnsi="仿宋" w:cs="仿宋" w:hint="eastAsia"/>
          <w:color w:val="auto"/>
          <w:highlight w:val="none"/>
        </w:rPr>
      </w:pPr>
      <w:bookmarkStart w:id="46" w:name="_Toc28354"/>
      <w:r>
        <w:rPr>
          <w:rFonts w:ascii="仿宋" w:eastAsia="仿宋" w:hAnsi="仿宋" w:cs="仿宋" w:hint="eastAsia"/>
          <w:color w:val="auto"/>
          <w:highlight w:val="none"/>
        </w:rPr>
        <w:t xml:space="preserve">（四）项目效益情况</w:t>
      </w:r>
      <w:bookmarkEnd w:id="46"/>
    </w:p>
    <w:p>
      <w:pPr>
        <w:bidi w:val="0"/>
        <w:rPr>
          <w:rFonts w:ascii="仿宋" w:eastAsia="仿宋" w:hAnsi="仿宋" w:cs="仿宋" w:hint="eastAsia"/>
          <w:color w:val="auto"/>
          <w:highlight w:val="none"/>
        </w:rPr>
      </w:pPr>
      <w:bookmarkStart w:id="47" w:name="OLE_LINK32"/>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项目实施</w:t>
      </w:r>
      <w:r>
        <w:rPr>
          <w:rFonts w:ascii="仿宋" w:eastAsia="仿宋" w:hAnsi="仿宋" w:cs="仿宋" w:hint="eastAsia"/>
          <w:color w:val="auto"/>
          <w:highlight w:val="none"/>
          <w:lang w:val="en-US" w:eastAsia="zh-CN"/>
        </w:rPr>
        <w:t xml:space="preserve">后，</w:t>
      </w:r>
      <w:r>
        <w:rPr>
          <w:rFonts w:ascii="仿宋" w:eastAsia="仿宋" w:hAnsi="仿宋" w:cs="仿宋" w:hint="eastAsia"/>
          <w:color w:val="auto"/>
          <w:sz w:val="32"/>
          <w:szCs w:val="32"/>
          <w:highlight w:val="none"/>
        </w:rPr>
        <w:t xml:space="preserve">提高</w:t>
      </w:r>
      <w:r>
        <w:rPr>
          <w:rFonts w:ascii="仿宋" w:eastAsia="仿宋" w:hAnsi="仿宋" w:cs="仿宋" w:hint="eastAsia"/>
          <w:color w:val="auto"/>
          <w:sz w:val="32"/>
          <w:szCs w:val="32"/>
          <w:highlight w:val="none"/>
          <w:lang w:val="en-US" w:eastAsia="zh-CN"/>
        </w:rPr>
        <w:t xml:space="preserve">了</w:t>
      </w:r>
      <w:r>
        <w:rPr>
          <w:rFonts w:ascii="仿宋" w:eastAsia="仿宋" w:hAnsi="仿宋" w:cs="仿宋" w:hint="eastAsia"/>
          <w:color w:val="auto"/>
          <w:sz w:val="32"/>
          <w:szCs w:val="32"/>
          <w:highlight w:val="none"/>
        </w:rPr>
        <w:t xml:space="preserve">全民健康意识；确保所有居民享有基本公共卫生服务；降低常见病发病率，有效控制慢性病发病率；</w:t>
      </w:r>
      <w:r>
        <w:rPr>
          <w:rFonts w:ascii="仿宋" w:eastAsia="仿宋" w:hAnsi="仿宋" w:cs="仿宋" w:hint="eastAsia"/>
          <w:color w:val="auto"/>
          <w:highlight w:val="none"/>
          <w:lang w:val="en-US" w:eastAsia="zh-CN"/>
        </w:rPr>
        <w:t xml:space="preserve">城乡居民公共卫生差距不断缩小，基本公共卫生服务水平不断提高。</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0分，评估得分</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0分。</w:t>
      </w:r>
      <w:bookmarkEnd w:id="47"/>
    </w:p>
    <w:p>
      <w:pPr>
        <w:pStyle w:val="Heading2"/>
        <w:bidi w:val="0"/>
        <w:rPr>
          <w:rFonts w:ascii="仿宋" w:eastAsia="仿宋" w:hAnsi="仿宋" w:cs="仿宋" w:hint="eastAsia"/>
          <w:color w:val="auto"/>
          <w:highlight w:val="none"/>
        </w:rPr>
      </w:pPr>
      <w:bookmarkStart w:id="48" w:name="_Toc27244"/>
      <w:r>
        <w:rPr>
          <w:rFonts w:ascii="仿宋" w:eastAsia="仿宋" w:hAnsi="仿宋" w:cs="仿宋" w:hint="eastAsia"/>
          <w:color w:val="auto"/>
          <w:highlight w:val="none"/>
        </w:rPr>
        <w:t xml:space="preserve">五、主要经验及做法、存在的问题及原因分析</w:t>
      </w:r>
      <w:bookmarkEnd w:id="48"/>
    </w:p>
    <w:p>
      <w:pPr>
        <w:pStyle w:val="Heading3"/>
        <w:bidi w:val="0"/>
        <w:rPr>
          <w:rFonts w:ascii="仿宋" w:eastAsia="仿宋" w:hAnsi="仿宋" w:cs="仿宋" w:hint="eastAsia"/>
          <w:color w:val="auto"/>
          <w:highlight w:val="none"/>
        </w:rPr>
      </w:pPr>
      <w:bookmarkStart w:id="49" w:name="_Toc18880"/>
      <w:bookmarkStart w:id="50" w:name="OLE_LINK33"/>
      <w:r>
        <w:rPr>
          <w:rFonts w:ascii="仿宋" w:eastAsia="仿宋" w:hAnsi="仿宋" w:cs="仿宋" w:hint="eastAsia"/>
          <w:color w:val="auto"/>
          <w:highlight w:val="none"/>
        </w:rPr>
        <w:t xml:space="preserve">（一）主要经验及做法</w:t>
      </w:r>
      <w:bookmarkEnd w:id="49"/>
    </w:p>
    <w:p>
      <w:pPr>
        <w:bidi w:val="0"/>
        <w:rPr>
          <w:rFonts w:ascii="仿宋" w:eastAsia="仿宋" w:hAnsi="仿宋" w:cs="仿宋" w:hint="eastAsia"/>
          <w:color w:val="auto"/>
          <w:highlight w:val="none"/>
        </w:rPr>
      </w:pPr>
      <w:bookmarkStart w:id="51" w:name="OLE_LINK24"/>
      <w:r>
        <w:rPr>
          <w:rFonts w:ascii="仿宋" w:eastAsia="仿宋" w:hAnsi="仿宋" w:cs="仿宋" w:hint="eastAsia"/>
          <w:color w:val="auto"/>
          <w:highlight w:val="none"/>
          <w:lang w:eastAsia="zh-CN"/>
        </w:rPr>
        <w:t xml:space="preserve">2024年基本公共卫生服务补助项目</w:t>
      </w:r>
      <w:bookmarkEnd w:id="51"/>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lang w:eastAsia="zh-CN"/>
        </w:rPr>
        <w:t xml:space="preserve">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1、加强领导，落实责任。为规范、有效推进</w:t>
      </w:r>
      <w:r>
        <w:rPr>
          <w:rFonts w:ascii="仿宋" w:eastAsia="仿宋" w:hAnsi="仿宋" w:cs="仿宋" w:hint="eastAsia"/>
          <w:color w:val="auto"/>
          <w:highlight w:val="none"/>
          <w:lang w:val="en-US" w:eastAsia="zh-CN"/>
        </w:rPr>
        <w:t xml:space="preserve">工作开展</w:t>
      </w:r>
      <w:r>
        <w:rPr>
          <w:rFonts w:ascii="仿宋" w:eastAsia="仿宋" w:hAnsi="仿宋" w:cs="仿宋" w:hint="eastAsia"/>
          <w:color w:val="auto"/>
          <w:highlight w:val="none"/>
        </w:rPr>
        <w:t xml:space="preserve">，</w:t>
      </w:r>
      <w:r>
        <w:rPr>
          <w:rFonts w:ascii="仿宋" w:eastAsia="仿宋" w:hAnsi="仿宋" w:cs="仿宋" w:hint="eastAsia"/>
          <w:color w:val="auto"/>
          <w:sz w:val="32"/>
          <w:szCs w:val="32"/>
          <w:highlight w:val="none"/>
        </w:rPr>
        <w:t xml:space="preserve">成立以</w:t>
      </w:r>
      <w:r>
        <w:rPr>
          <w:rFonts w:ascii="仿宋" w:eastAsia="仿宋" w:hAnsi="仿宋" w:cs="仿宋" w:hint="eastAsia"/>
          <w:color w:val="auto"/>
          <w:sz w:val="32"/>
          <w:szCs w:val="32"/>
          <w:highlight w:val="none"/>
          <w:lang w:val="en-US" w:eastAsia="zh-CN"/>
        </w:rPr>
        <w:t xml:space="preserve">尉犁县</w:t>
      </w:r>
      <w:r>
        <w:rPr>
          <w:rFonts w:ascii="仿宋" w:eastAsia="仿宋" w:hAnsi="仿宋" w:cs="仿宋" w:hint="eastAsia"/>
          <w:color w:val="auto"/>
          <w:sz w:val="32"/>
          <w:szCs w:val="32"/>
          <w:highlight w:val="none"/>
        </w:rPr>
        <w:t xml:space="preserve">卫健委主任为组长的项目领导小组，</w:t>
      </w:r>
      <w:r>
        <w:rPr>
          <w:rFonts w:ascii="仿宋" w:eastAsia="仿宋" w:hAnsi="仿宋" w:cs="仿宋" w:hint="eastAsia"/>
          <w:color w:val="auto"/>
          <w:highlight w:val="none"/>
        </w:rPr>
        <w:t xml:space="preserve">明确了各部门工作职责，从</w:t>
      </w:r>
      <w:r>
        <w:rPr>
          <w:rFonts w:ascii="仿宋" w:eastAsia="仿宋" w:hAnsi="仿宋" w:cs="仿宋" w:hint="eastAsia"/>
          <w:color w:val="auto"/>
          <w:highlight w:val="none"/>
          <w:lang w:val="en-US" w:eastAsia="zh-CN"/>
        </w:rPr>
        <w:t xml:space="preserve">制定工作方案、工作推进</w:t>
      </w:r>
      <w:r>
        <w:rPr>
          <w:rFonts w:ascii="仿宋" w:eastAsia="仿宋" w:hAnsi="仿宋" w:cs="仿宋" w:hint="eastAsia"/>
          <w:color w:val="auto"/>
          <w:highlight w:val="none"/>
        </w:rPr>
        <w:t xml:space="preserve">、资金管理各方面加强统筹协调，共同推进</w:t>
      </w:r>
      <w:r>
        <w:rPr>
          <w:rFonts w:ascii="仿宋" w:eastAsia="仿宋" w:hAnsi="仿宋" w:cs="仿宋" w:hint="eastAsia"/>
          <w:color w:val="auto"/>
          <w:highlight w:val="none"/>
          <w:lang w:val="en-US" w:eastAsia="zh-CN"/>
        </w:rPr>
        <w:t xml:space="preserve">基本公共卫生工作</w:t>
      </w:r>
      <w:r>
        <w:rPr>
          <w:rFonts w:ascii="仿宋" w:eastAsia="仿宋" w:hAnsi="仿宋" w:cs="仿宋" w:hint="eastAsia"/>
          <w:color w:val="auto"/>
          <w:highlight w:val="none"/>
        </w:rPr>
        <w:t xml:space="preserve">顺利实施。</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2、严格程序，确保资金效益。严格资金审批流程，明确资金使用范围，保证项目资金专款专用，有效杜绝了截留、挪用、滞留、浪费资金等现象的发生，确保了资金使用安全和最大效益的发挥。</w:t>
      </w:r>
    </w:p>
    <w:p>
      <w:pPr>
        <w:pStyle w:val="Heading3"/>
        <w:bidi w:val="0"/>
        <w:rPr>
          <w:rFonts w:ascii="仿宋" w:eastAsia="仿宋" w:hAnsi="仿宋" w:cs="仿宋" w:hint="eastAsia"/>
          <w:color w:val="auto"/>
          <w:highlight w:val="none"/>
        </w:rPr>
      </w:pPr>
      <w:bookmarkStart w:id="52" w:name="_Toc9914"/>
      <w:r>
        <w:rPr>
          <w:rFonts w:ascii="仿宋" w:eastAsia="仿宋" w:hAnsi="仿宋" w:cs="仿宋" w:hint="eastAsia"/>
          <w:color w:val="auto"/>
          <w:highlight w:val="none"/>
        </w:rPr>
        <w:t xml:space="preserve">（二）存在问题及原因分析</w:t>
      </w:r>
      <w:bookmarkEnd w:id="52"/>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1、本项目为上级专项资金，设置预期指标根据上级绩效要求，设置目标值，未结合往年同类项目实际完成情况考虑，导致实际工作开展情况超额完成，指标完成率出现偏差。</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、绩效管理体系需要逐渐健全。首先，需要进一步完善</w:t>
      </w:r>
      <w:r>
        <w:rPr>
          <w:rFonts w:ascii="仿宋" w:eastAsia="仿宋" w:hAnsi="仿宋" w:cs="仿宋" w:hint="eastAsia"/>
          <w:color w:val="auto"/>
          <w:highlight w:val="none"/>
          <w:lang w:val="en-US" w:eastAsia="zh-CN"/>
        </w:rPr>
        <w:t xml:space="preserve">单位内部</w:t>
      </w:r>
      <w:r>
        <w:rPr>
          <w:rFonts w:ascii="仿宋" w:eastAsia="仿宋" w:hAnsi="仿宋" w:cs="仿宋" w:hint="eastAsia"/>
          <w:color w:val="auto"/>
          <w:highlight w:val="none"/>
        </w:rPr>
        <w:t xml:space="preserve">预算绩效管理制度，为单位预算绩效管理工作提供强有力的制度保障；其次，需要进一步建立健全</w:t>
      </w:r>
      <w:r>
        <w:rPr>
          <w:rFonts w:ascii="仿宋" w:eastAsia="仿宋" w:hAnsi="仿宋" w:cs="仿宋" w:hint="eastAsia"/>
          <w:color w:val="auto"/>
          <w:highlight w:val="none"/>
          <w:lang w:val="en-US" w:eastAsia="zh-CN"/>
        </w:rPr>
        <w:t xml:space="preserve">本单位</w:t>
      </w:r>
      <w:r>
        <w:rPr>
          <w:rFonts w:ascii="仿宋" w:eastAsia="仿宋" w:hAnsi="仿宋" w:cs="仿宋" w:hint="eastAsia"/>
          <w:color w:val="auto"/>
          <w:highlight w:val="none"/>
        </w:rPr>
        <w:t xml:space="preserve">绩效评价指标体系，对个性化指标进行不断优化调整。</w:t>
      </w:r>
    </w:p>
    <w:p>
      <w:pPr>
        <w:spacing w:line="620" w:lineRule="exact"/>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基层人才短缺问题依然突出：尽管开展了人才培养项目，但由于基层工作条件相对艰苦、待遇偏低，难以吸引和留住高素质人才，导致部分乡镇卫生院专业技术人员不足，影响服务质量提升。</w:t>
      </w:r>
      <w:bookmarkEnd w:id="50"/>
    </w:p>
    <w:p>
      <w:pPr>
        <w:pStyle w:val="Heading2"/>
        <w:bidi w:val="0"/>
        <w:rPr>
          <w:rFonts w:ascii="仿宋" w:eastAsia="仿宋" w:hAnsi="仿宋" w:cs="仿宋" w:hint="eastAsia"/>
          <w:color w:val="auto"/>
          <w:highlight w:val="none"/>
        </w:rPr>
      </w:pPr>
      <w:bookmarkStart w:id="53" w:name="_Toc2334"/>
      <w:r>
        <w:rPr>
          <w:rFonts w:ascii="仿宋" w:eastAsia="仿宋" w:hAnsi="仿宋" w:cs="仿宋" w:hint="eastAsia"/>
          <w:color w:val="auto"/>
          <w:highlight w:val="none"/>
        </w:rPr>
        <w:t xml:space="preserve">六、有关建议</w:t>
      </w:r>
      <w:bookmarkEnd w:id="53"/>
    </w:p>
    <w:p>
      <w:pPr>
        <w:spacing w:line="620" w:lineRule="exact"/>
        <w:ind w:firstLine="640" w:firstLineChars="200"/>
        <w:rPr>
          <w:rFonts w:ascii="仿宋" w:eastAsia="仿宋" w:hAnsi="仿宋" w:cs="仿宋" w:hint="eastAsia"/>
          <w:color w:val="auto"/>
          <w:sz w:val="32"/>
          <w:szCs w:val="32"/>
          <w:highlight w:val="none"/>
          <w:lang w:val="en-US" w:eastAsia="zh-CN"/>
        </w:rPr>
      </w:pPr>
      <w:bookmarkStart w:id="54" w:name="_Toc30571"/>
      <w:r>
        <w:rPr>
          <w:rFonts w:ascii="仿宋" w:eastAsia="仿宋" w:hAnsi="仿宋" w:cs="仿宋" w:hint="eastAsia"/>
          <w:color w:val="auto"/>
          <w:sz w:val="32"/>
          <w:szCs w:val="32"/>
          <w:highlight w:val="none"/>
          <w:lang w:val="en-US" w:eastAsia="zh-CN"/>
        </w:rPr>
        <w:t xml:space="preserve">1、（1）优化指标设置：确保指标科学合理，注重服务质量和效果，避免过于繁琐。采用定性与- 量相结合的方式，突出重点指标，简化次要指标。（2）加强数据管理：提高数据采集的准确性和真实性，利用信息化手段减少人为误差。定期审核和清理数据，确保信息更新及时。（3）提升人员能力：加强培训，提高基层人员业务水平，确保服务质量。</w:t>
      </w:r>
    </w:p>
    <w:p>
      <w:pPr>
        <w:spacing w:line="620" w:lineRule="exact"/>
        <w:ind w:firstLine="640" w:firstLineChars="200"/>
        <w:rPr>
          <w:rFonts w:ascii="仿宋" w:eastAsia="仿宋" w:hAnsi="仿宋" w:cs="仿宋" w:hint="eastAsia"/>
          <w:color w:val="auto"/>
          <w:sz w:val="32"/>
          <w:szCs w:val="32"/>
          <w:highlight w:val="none"/>
          <w:lang w:val="en-US" w:eastAsia="zh-CN"/>
        </w:rPr>
      </w:pPr>
      <w:r>
        <w:rPr>
          <w:rFonts w:ascii="仿宋" w:eastAsia="仿宋" w:hAnsi="仿宋" w:cs="仿宋" w:hint="eastAsia"/>
          <w:color w:val="auto"/>
          <w:sz w:val="32"/>
          <w:szCs w:val="32"/>
          <w:highlight w:val="none"/>
          <w:lang w:val="en-US" w:eastAsia="zh-CN"/>
        </w:rPr>
        <w:t xml:space="preserve">2、制定完善的资金管理办法和项目管理制度，明确开支范围和标准。建立监督检查和责任追究机制，确保资金使用的规范性。完善内控制度，防范风险，促进服务均等化。科学统筹预算资金，确保及时分配和足额到位。明确年度任务目标，实施“月巡查、季通报、年考评”机制。以绩效评价结果为依据，优化资源分配，提升服务质量。</w:t>
      </w:r>
    </w:p>
    <w:p>
      <w:pPr>
        <w:spacing w:line="620" w:lineRule="exact"/>
        <w:ind w:firstLine="640" w:firstLineChars="200"/>
        <w:rPr>
          <w:rFonts w:ascii="仿宋" w:eastAsia="仿宋" w:hAnsi="仿宋" w:cs="仿宋" w:hint="eastAsia"/>
          <w:color w:val="auto"/>
          <w:sz w:val="32"/>
          <w:szCs w:val="32"/>
          <w:highlight w:val="none"/>
        </w:rPr>
      </w:pPr>
      <w:r>
        <w:rPr>
          <w:rFonts w:ascii="仿宋" w:eastAsia="仿宋" w:hAnsi="仿宋" w:cs="仿宋" w:hint="eastAsia"/>
          <w:color w:val="auto"/>
          <w:sz w:val="32"/>
          <w:szCs w:val="32"/>
          <w:highlight w:val="none"/>
          <w:lang w:val="en-US" w:eastAsia="zh-CN"/>
        </w:rPr>
        <w:t xml:space="preserve">3、</w:t>
      </w:r>
      <w:r>
        <w:rPr>
          <w:rFonts w:ascii="仿宋" w:eastAsia="仿宋" w:hAnsi="仿宋" w:cs="仿宋" w:hint="eastAsia"/>
          <w:color w:val="auto"/>
          <w:sz w:val="32"/>
          <w:szCs w:val="32"/>
          <w:highlight w:val="none"/>
        </w:rPr>
        <w:t xml:space="preserve">加大对基层医疗卫生人才的扶持力度：建议中央和地方财政进一步增加基层医疗卫生人才专项资金，提高基层人员待遇，完善职称晋升等激励机制，吸引更多优秀人才扎根基层。统筹推进医疗卫生信息化建设：由上级部门牵头，制定统一的医疗卫生信息化建设标准与规划，整合现有资源，打破数据孤岛，实现全系统信息互联互通，提升管理与服务效能。</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54"/>
    </w:p>
    <w:p>
      <w:pPr>
        <w:bidi w:val="0"/>
        <w:jc w:val="both"/>
        <w:rPr>
          <w:rFonts w:ascii="仿宋" w:eastAsia="仿宋" w:hAnsi="仿宋" w:cs="仿宋" w:hint="eastAsia"/>
          <w:color w:val="auto"/>
          <w:highlight w:val="none"/>
        </w:rPr>
      </w:pPr>
      <w:bookmarkStart w:id="55" w:name="_Toc10180"/>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八、相关附件</w:t>
      </w:r>
      <w:bookmarkEnd w:id="5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56" w:name="_Toc12781"/>
      <w:bookmarkStart w:id="57" w:name="_Toc18004"/>
      <w:bookmarkStart w:id="58" w:name="_Toc6652"/>
      <w:r>
        <w:rPr>
          <w:rFonts w:ascii="仿宋" w:eastAsia="仿宋" w:hAnsi="仿宋" w:cs="仿宋" w:hint="eastAsia"/>
          <w:color w:val="auto"/>
          <w:highlight w:val="none"/>
        </w:rPr>
        <w:t xml:space="preserve">附件1：项目支出绩效自评表</w:t>
      </w:r>
      <w:bookmarkEnd w:id="56"/>
      <w:bookmarkEnd w:id="57"/>
      <w:bookmarkEnd w:id="58"/>
    </w:p>
    <w:tbl>
      <w:tblPr>
        <w:tblStyle w:val="NormalTable"/>
        <w:tblpPr w:leftFromText="180" w:rightFromText="180" w:vertAnchor="text" w:horzAnchor="page" w:tblpX="1781" w:tblpY="441"/>
        <w:tblOverlap w:val="never"/>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38"/>
        <w:gridCol w:w="757"/>
        <w:gridCol w:w="686"/>
        <w:gridCol w:w="1332"/>
        <w:gridCol w:w="768"/>
        <w:gridCol w:w="961"/>
        <w:gridCol w:w="785"/>
        <w:gridCol w:w="763"/>
        <w:gridCol w:w="1046"/>
        <w:gridCol w:w="882"/>
        <w:gridCol w:w="1049"/>
        <w:gridCol w:w="1089"/>
        <w:gridCol w:w="726"/>
        <w:gridCol w:w="2492"/>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color w:val="auto"/>
                <w:highlight w:val="none"/>
              </w:rPr>
            </w:pPr>
            <w:bookmarkStart w:id="59" w:name="_Toc5134"/>
            <w:bookmarkStart w:id="60" w:name="_Toc1641"/>
            <w:bookmarkStart w:id="61" w:name="_Toc28099"/>
            <w:r>
              <w:rPr>
                <w:rFonts w:ascii="仿宋" w:eastAsia="仿宋" w:hAnsi="仿宋" w:cs="仿宋" w:hint="eastAsia"/>
                <w:color w:val="auto"/>
                <w:highlight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15"/>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6"/>
        </w:trPr>
        <w:tc>
          <w:tcPr>
            <w:tcW w:w="56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项目名称</w:t>
            </w:r>
          </w:p>
        </w:tc>
        <w:tc>
          <w:tcPr>
            <w:tcW w:w="4436"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2024年基本公共卫生服务补助项目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56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主管部门</w:t>
            </w:r>
          </w:p>
        </w:tc>
        <w:tc>
          <w:tcPr>
            <w:tcW w:w="1599"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bookmarkStart w:id="62" w:name="OLE_LINK18"/>
            <w:r>
              <w:rPr>
                <w:rFonts w:ascii="仿宋" w:eastAsia="仿宋" w:hAnsi="仿宋" w:cs="仿宋" w:hint="eastAsia"/>
                <w:color w:val="auto"/>
                <w:sz w:val="16"/>
                <w:szCs w:val="16"/>
                <w:highlight w:val="none"/>
                <w:lang w:val="en-US" w:eastAsia="zh-CN"/>
              </w:rPr>
              <w:t xml:space="preserve">尉犁县卫生健康委员会</w:t>
            </w:r>
            <w:bookmarkEnd w:id="62"/>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实施单位</w:t>
            </w:r>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尉犁县卫生健康委员会</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3"/>
        </w:trPr>
        <w:tc>
          <w:tcPr>
            <w:tcW w:w="563"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项目资金</w:t>
            </w:r>
            <w:r>
              <w:rPr>
                <w:rFonts w:ascii="仿宋" w:eastAsia="仿宋" w:hAnsi="仿宋" w:cs="仿宋" w:hint="eastAsia"/>
                <w:color w:val="auto"/>
                <w:sz w:val="16"/>
                <w:szCs w:val="16"/>
                <w:highlight w:val="none"/>
                <w:lang w:val="en-US" w:eastAsia="zh-CN"/>
              </w:rPr>
              <w:br/>
            </w:r>
            <w:r>
              <w:rPr>
                <w:rFonts w:ascii="仿宋" w:eastAsia="仿宋" w:hAnsi="仿宋" w:cs="仿宋" w:hint="eastAsia"/>
                <w:color w:val="auto"/>
                <w:sz w:val="16"/>
                <w:szCs w:val="16"/>
                <w:highlight w:val="none"/>
                <w:lang w:val="en-US" w:eastAsia="zh-CN"/>
              </w:rPr>
              <w:t xml:space="preserve">（万元）</w:t>
            </w: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资金来源</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年初预算数</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全年预算数</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全年执行数</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分值权重</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执行率</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30"/>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年度资金总额</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458.35</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08"/>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其中：当年财政拨款</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458.35</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535.8</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96"/>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3" w:name="OLE_LINK20" w:colFirst="2" w:colLast="2"/>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上年结转资金</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3"/>
        </w:trPr>
        <w:tc>
          <w:tcPr>
            <w:tcW w:w="563"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71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其他资金</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w:t>
            </w:r>
          </w:p>
        </w:tc>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ind w:firstLine="0" w:firstLineChars="0"/>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0</w:t>
            </w:r>
          </w:p>
        </w:tc>
        <w:tc>
          <w:tcPr>
            <w:tcW w:w="68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6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w:t>
            </w:r>
            <w:bookmarkEnd w:id="63"/>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79"/>
        </w:trPr>
        <w:tc>
          <w:tcPr>
            <w:tcW w:w="29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年度总体目标</w:t>
            </w:r>
          </w:p>
        </w:tc>
        <w:tc>
          <w:tcPr>
            <w:tcW w:w="2502"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总体目标</w:t>
            </w:r>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26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502"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jc w:val="left"/>
              <w:textAlignment w:val="auto"/>
              <w:rPr>
                <w:rFonts w:ascii="仿宋" w:eastAsia="仿宋" w:hAnsi="仿宋" w:cs="仿宋" w:hint="eastAsia"/>
                <w:color w:val="auto"/>
                <w:sz w:val="16"/>
                <w:szCs w:val="16"/>
                <w:highlight w:val="none"/>
              </w:rPr>
            </w:pPr>
            <w:bookmarkStart w:id="64" w:name="OLE_LINK21"/>
            <w:r>
              <w:rPr>
                <w:rFonts w:ascii="仿宋" w:eastAsia="仿宋" w:hAnsi="仿宋" w:cs="仿宋" w:hint="eastAsia"/>
                <w:color w:val="auto"/>
                <w:sz w:val="16"/>
                <w:szCs w:val="16"/>
                <w:highlight w:val="none"/>
                <w:lang w:val="en-US" w:eastAsia="zh-CN"/>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保持在≥90%以上；推进电子健康档案应用，有序推进向居民开放，居民规范化电子健康档案覆盖率≥62%，加强儿童管理，7岁以下儿童健康管理率均保持在≥85%以上，全县高血压患者管理人数保持在5800人以上，2型糖尿病患者管理人数达到1500人以上。</w:t>
            </w:r>
            <w:bookmarkEnd w:id="64"/>
          </w:p>
        </w:tc>
        <w:tc>
          <w:tcPr>
            <w:tcW w:w="22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jc w:val="lef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等基本公共卫生服务。适龄儿童国家免疫规划疫苗接种率达到99.72%；推进电子健康档案应用，有序推进向居民开放，居民规范化电子健康档案覆盖率达到95.55%，加强儿童管理，7岁以下儿童健康管理率达到94.45%，全县高血压患者管理人数6832人，2型糖尿病患者管理人数达到1876人。</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01"/>
        </w:trPr>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一级指标</w:t>
            </w:r>
          </w:p>
        </w:tc>
        <w:tc>
          <w:tcPr>
            <w:tcW w:w="2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二级指标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三级指标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指标值</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指标值设置依据</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上年完成值</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指标分值权重</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指标赋分规则</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佐证资料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指标实际完成值</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完成率</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指标得分</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年度绩效指标完成情况</w:t>
            </w:r>
          </w:p>
        </w:tc>
        <w:tc>
          <w:tcPr>
            <w:tcW w:w="26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产出指标</w:t>
            </w:r>
          </w:p>
        </w:tc>
        <w:tc>
          <w:tcPr>
            <w:tcW w:w="24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数量指标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适龄儿童国家免疫规划疫苗接种率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95%</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5" w:name="OLE_LINK22"/>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bookmarkEnd w:id="65"/>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=99.72%</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110.8%</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3.57</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6" w:name="OLE_LINK14"/>
            <w:r>
              <w:rPr>
                <w:rFonts w:ascii="仿宋" w:eastAsia="仿宋" w:hAnsi="仿宋" w:cs="仿宋" w:hint="eastAsia"/>
                <w:color w:val="auto"/>
                <w:sz w:val="16"/>
                <w:szCs w:val="16"/>
                <w:highlight w:val="none"/>
              </w:rPr>
              <w:t xml:space="preserve">根据上级绩效要求，设置目标值，实际工作开展情况超额完成，导致出现偏差。</w:t>
            </w:r>
            <w:bookmarkEnd w:id="66"/>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7岁以下儿童健康管理率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85%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95.07%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=94.45%</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111.12%</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3.56</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bookmarkStart w:id="67" w:name="OLE_LINK16"/>
            <w:r>
              <w:rPr>
                <w:rFonts w:ascii="仿宋" w:eastAsia="仿宋" w:hAnsi="仿宋" w:cs="仿宋" w:hint="eastAsia"/>
                <w:color w:val="auto"/>
                <w:sz w:val="16"/>
                <w:szCs w:val="16"/>
                <w:highlight w:val="none"/>
              </w:rPr>
              <w:t xml:space="preserve">根据上级绩效要求，设置目标值，实际工作开展情况超额完成，导致出现偏差</w:t>
            </w:r>
            <w:bookmarkEnd w:id="67"/>
            <w:r>
              <w:rPr>
                <w:rFonts w:ascii="仿宋" w:eastAsia="仿宋" w:hAnsi="仿宋" w:cs="仿宋" w:hint="eastAsia"/>
                <w:color w:val="auto"/>
                <w:sz w:val="16"/>
                <w:szCs w:val="16"/>
                <w:highlight w:val="none"/>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孕产妇系统管理率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96.47%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=95.86%</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106.51%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3.74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高血压患者管理人数</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5800人</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5859人</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=6832人</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117.79%</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1.64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2型糖尿病患者管理人数</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1500人</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1543人</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=1876人</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125.07%</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肺结核患者管理率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111.11%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1.78</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社区在册居家严重精神障碍患者健康管理率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80%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96.04%</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=96.43%</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107.14%</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1.86</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儿童中医药健康管理率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77%</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82.53%</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=99.47%</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129.18%</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1.42</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老年人中医药健康管理率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70%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87.07%</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=97.57%</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139.39%</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1.21</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质量指标</w:t>
            </w:r>
          </w:p>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居民规范化电子健康档案覆盖率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4</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w:t>
            </w:r>
            <w:r>
              <w:rPr>
                <w:rFonts w:ascii="仿宋" w:eastAsia="仿宋" w:hAnsi="仿宋" w:cs="仿宋" w:hint="eastAsia"/>
                <w:color w:val="auto"/>
                <w:sz w:val="16"/>
                <w:szCs w:val="16"/>
                <w:highlight w:val="none"/>
                <w:lang w:val="en-US" w:eastAsia="zh-CN"/>
              </w:rPr>
              <w:t xml:space="preserve">95.55</w:t>
            </w:r>
            <w:r>
              <w:rPr>
                <w:rFonts w:ascii="仿宋" w:eastAsia="仿宋" w:hAnsi="仿宋" w:cs="仿宋" w:hint="eastAsia"/>
                <w:color w:val="auto"/>
                <w:sz w:val="16"/>
                <w:szCs w:val="16"/>
                <w:highlight w:val="none"/>
              </w:rPr>
              <w:t xml:space="preserve">%</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154.11%</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1.84</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高血压患者基层规范管理服务率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95.78%</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=96.94%</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156.35%</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0.87</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2型糖尿病患者基层规范管理服务率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62%</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95.2%</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=96.86%</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156.22%</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0.88</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65岁及以上老年人城乡社区规范健康管理服务率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67%</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78.6%</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=96.78%</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144.45%</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1.11</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根据上级绩效要求，设置目标值，实际工作开展情况超额完成，导致出现偏差。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89"/>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传染病和突发公共卫生事件报告率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&gt;=</w:t>
            </w:r>
            <w:r>
              <w:rPr>
                <w:rFonts w:ascii="仿宋" w:eastAsia="仿宋" w:hAnsi="仿宋" w:cs="仿宋" w:hint="eastAsia"/>
                <w:color w:val="auto"/>
                <w:sz w:val="16"/>
                <w:szCs w:val="16"/>
                <w:highlight w:val="none"/>
              </w:rPr>
              <w:t xml:space="preserve">95%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val="restart"/>
            <w:tcBorders>
              <w:top w:val="single" w:sz="4" w:space="0" w:color="auto"/>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时效指标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业务指导按期完成率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w:t>
            </w:r>
            <w:r>
              <w:rPr>
                <w:rFonts w:ascii="仿宋" w:eastAsia="仿宋" w:hAnsi="仿宋" w:cs="仿宋" w:hint="eastAsia"/>
                <w:color w:val="auto"/>
                <w:sz w:val="16"/>
                <w:szCs w:val="16"/>
                <w:highlight w:val="none"/>
              </w:rPr>
              <w:t xml:space="preserve">95%</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基层医疗卫生人才培训按期完成率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&lt;=100%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eastAsia="zh-CN"/>
              </w:rPr>
            </w:pPr>
            <w:r>
              <w:rPr>
                <w:rFonts w:ascii="仿宋" w:eastAsia="仿宋" w:hAnsi="仿宋" w:cs="仿宋" w:hint="eastAsia"/>
                <w:color w:val="auto"/>
                <w:sz w:val="16"/>
                <w:szCs w:val="16"/>
                <w:highlight w:val="none"/>
                <w:lang w:eastAsia="zh-CN"/>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105.26%</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1.89</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成本指标</w:t>
            </w:r>
          </w:p>
        </w:tc>
        <w:tc>
          <w:tcPr>
            <w:tcW w:w="2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经济成本指标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预算成本控制率</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&lt;=100%</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w:t>
            </w:r>
            <w:r>
              <w:rPr>
                <w:rFonts w:ascii="仿宋" w:eastAsia="仿宋" w:hAnsi="仿宋" w:cs="仿宋" w:hint="eastAsia"/>
                <w:color w:val="auto"/>
                <w:sz w:val="16"/>
                <w:szCs w:val="16"/>
                <w:highlight w:val="none"/>
                <w:lang w:val="en-US" w:eastAsia="zh-CN"/>
              </w:rPr>
              <w:t xml:space="preserve">照完成</w:t>
            </w:r>
            <w:r>
              <w:rPr>
                <w:rFonts w:ascii="仿宋" w:eastAsia="仿宋" w:hAnsi="仿宋" w:cs="仿宋" w:hint="eastAsia"/>
                <w:color w:val="auto"/>
                <w:sz w:val="16"/>
                <w:szCs w:val="16"/>
                <w:highlight w:val="none"/>
              </w:rPr>
              <w:t xml:space="preserve">比例赋分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原始凭证</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20</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指标值设置准确度不够。指标值设置准确度不够。</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效益指标</w:t>
            </w:r>
          </w:p>
        </w:tc>
        <w:tc>
          <w:tcPr>
            <w:tcW w:w="242" w:type="pct"/>
            <w:vMerge w:val="restart"/>
            <w:tcBorders>
              <w:top w:val="single" w:sz="4" w:space="0" w:color="auto"/>
              <w:left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社会效益指标</w:t>
            </w: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城乡居民公共卫生差距</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不断缩小</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达成“不断缩小”目标</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按评判等级赋分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达成目标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42" w:type="pct"/>
            <w:vMerge/>
            <w:tcBorders>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4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基本公共卫生服务水平</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不断提高</w:t>
            </w: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计划标准</w:t>
            </w: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达成“不断提高”目标</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按评判等级赋分</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工作资料</w:t>
            </w: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rPr>
              <w:t xml:space="preserve">达成目标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100%</w:t>
            </w: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lang w:val="en-US" w:eastAsia="zh-CN"/>
              </w:rPr>
            </w:pPr>
            <w:r>
              <w:rPr>
                <w:rFonts w:ascii="仿宋" w:eastAsia="仿宋" w:hAnsi="仿宋" w:cs="仿宋" w:hint="eastAsia"/>
                <w:color w:val="auto"/>
                <w:sz w:val="16"/>
                <w:szCs w:val="16"/>
                <w:highlight w:val="none"/>
                <w:lang w:val="en-US" w:eastAsia="zh-CN"/>
              </w:rPr>
              <w:t xml:space="preserve">15</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275"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总分</w:t>
            </w:r>
          </w:p>
        </w:tc>
        <w:tc>
          <w:tcPr>
            <w:tcW w:w="2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3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7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7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c>
          <w:tcPr>
            <w:tcW w:w="25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r>
              <w:rPr>
                <w:rFonts w:ascii="仿宋" w:eastAsia="仿宋" w:hAnsi="仿宋" w:cs="仿宋" w:hint="eastAsia"/>
                <w:color w:val="auto"/>
                <w:sz w:val="16"/>
                <w:szCs w:val="16"/>
                <w:highlight w:val="none"/>
                <w:lang w:val="en-US" w:eastAsia="zh-CN"/>
              </w:rPr>
              <w:t xml:space="preserve">90.65分</w:t>
            </w:r>
          </w:p>
        </w:tc>
        <w:tc>
          <w:tcPr>
            <w:tcW w:w="8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6"/>
                <w:szCs w:val="16"/>
                <w:highlight w:val="none"/>
              </w:rPr>
            </w:pPr>
          </w:p>
        </w:tc>
      </w:tr>
    </w:tbl>
    <w:p>
      <w:pPr>
        <w:ind w:firstLine="600"/>
        <w:rPr>
          <w:rFonts w:ascii="仿宋" w:eastAsia="仿宋" w:hAnsi="仿宋" w:cs="仿宋" w:hint="eastAsia"/>
          <w:color w:val="auto"/>
          <w:sz w:val="30"/>
          <w:szCs w:val="30"/>
          <w:highlight w:val="none"/>
        </w:rPr>
      </w:pPr>
      <w:r>
        <w:br w:type="page"/>
      </w:r>
    </w:p>
    <w:p>
      <w:pPr>
        <w:bidi w:val="0"/>
        <w:jc w:val="left"/>
        <w:rPr>
          <w:rFonts w:ascii="仿宋" w:eastAsia="仿宋" w:hAnsi="仿宋" w:cs="仿宋" w:hint="eastAsia"/>
          <w:color w:val="auto"/>
          <w:kern w:val="2"/>
          <w:sz w:val="32"/>
          <w:szCs w:val="22"/>
          <w:highlight w:val="none"/>
          <w:lang w:val="en-US" w:eastAsia="zh-CN" w:bidi="ar-SA"/>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3"/>
        <w:rPr>
          <w:rFonts w:ascii="仿宋" w:eastAsia="仿宋" w:hAnsi="仿宋" w:cs="仿宋" w:hint="eastAsia"/>
          <w:color w:val="auto"/>
          <w:highlight w:val="none"/>
          <w:lang w:val="en-US" w:eastAsia="zh-CN"/>
        </w:rPr>
      </w:pPr>
    </w:p>
    <w:p>
      <w:pPr>
        <w:pStyle w:val="Heading2"/>
        <w:bidi w:val="0"/>
        <w:rPr>
          <w:rFonts w:ascii="仿宋" w:eastAsia="仿宋" w:hAnsi="仿宋" w:cs="仿宋" w:hint="eastAsia"/>
          <w:color w:val="auto"/>
          <w:highlight w:val="none"/>
        </w:rPr>
      </w:pPr>
      <w:bookmarkStart w:id="68" w:name="_Toc23301"/>
      <w:r>
        <w:rPr>
          <w:rFonts w:ascii="仿宋" w:eastAsia="仿宋" w:hAnsi="仿宋" w:cs="仿宋" w:hint="eastAsia"/>
          <w:color w:val="auto"/>
          <w:highlight w:val="none"/>
        </w:rPr>
        <w:t xml:space="preserve">附件2：项目支出绩效评价指标体系及评分</w:t>
      </w:r>
      <w:bookmarkEnd w:id="59"/>
      <w:bookmarkEnd w:id="60"/>
      <w:bookmarkEnd w:id="61"/>
      <w:bookmarkEnd w:id="68"/>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595" w:tblpY="180"/>
        <w:tblOverlap w:val="never"/>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782"/>
        <w:gridCol w:w="763"/>
        <w:gridCol w:w="909"/>
        <w:gridCol w:w="1674"/>
        <w:gridCol w:w="3407"/>
        <w:gridCol w:w="531"/>
        <w:gridCol w:w="531"/>
      </w:tblGrid>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44"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2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7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08"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08"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08"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08"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29"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7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08"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08"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vMerge/>
            <w:shd w:val="clear" w:color="auto" w:fill="FFFFFF"/>
            <w:vAlign w:val="center"/>
          </w:tcPr>
          <w:p>
            <w:pPr>
              <w:pStyle w:val="表格内容"/>
              <w:bidi w:val="0"/>
              <w:rPr>
                <w:rFonts w:ascii="仿宋" w:eastAsia="仿宋" w:hAnsi="仿宋" w:cs="仿宋" w:hint="eastAsia"/>
                <w:color w:val="auto"/>
                <w:highlight w:val="none"/>
              </w:rPr>
            </w:pPr>
          </w:p>
        </w:tc>
        <w:tc>
          <w:tcPr>
            <w:tcW w:w="529" w:type="pct"/>
            <w:vMerge/>
            <w:shd w:val="clear" w:color="auto" w:fill="FFFFFF"/>
            <w:vAlign w:val="center"/>
          </w:tcPr>
          <w:p>
            <w:pPr>
              <w:pStyle w:val="表格内容"/>
              <w:bidi w:val="0"/>
              <w:rPr>
                <w:rFonts w:ascii="仿宋" w:eastAsia="仿宋" w:hAnsi="仿宋" w:cs="仿宋" w:hint="eastAsia"/>
                <w:color w:val="auto"/>
                <w:highlight w:val="none"/>
              </w:rPr>
            </w:pPr>
          </w:p>
        </w:tc>
        <w:tc>
          <w:tcPr>
            <w:tcW w:w="973" w:type="pct"/>
            <w:vMerge/>
            <w:shd w:val="clear" w:color="auto" w:fill="FFFFFF"/>
            <w:vAlign w:val="center"/>
          </w:tcPr>
          <w:p>
            <w:pPr>
              <w:pStyle w:val="表格内容"/>
              <w:bidi w:val="0"/>
              <w:rPr>
                <w:rFonts w:ascii="仿宋" w:eastAsia="仿宋" w:hAnsi="仿宋" w:cs="仿宋" w:hint="eastAsia"/>
                <w:color w:val="auto"/>
                <w:highlight w:val="none"/>
              </w:rPr>
            </w:pP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08" w:type="pct"/>
            <w:vMerge/>
            <w:noWrap w:val="1"/>
            <w:vAlign w:val="center"/>
          </w:tcPr>
          <w:p>
            <w:pPr>
              <w:pStyle w:val="表格内容"/>
              <w:bidi w:val="0"/>
              <w:rPr>
                <w:rFonts w:ascii="仿宋" w:eastAsia="仿宋" w:hAnsi="仿宋" w:cs="仿宋" w:hint="eastAsia"/>
                <w:color w:val="auto"/>
                <w:highlight w:val="none"/>
              </w:rPr>
            </w:pPr>
          </w:p>
        </w:tc>
        <w:tc>
          <w:tcPr>
            <w:tcW w:w="308" w:type="pct"/>
            <w:vMerge/>
            <w:noWrap w:val="1"/>
            <w:vAlign w:val="center"/>
          </w:tcPr>
          <w:p>
            <w:pPr>
              <w:pStyle w:val="表格内容"/>
              <w:bidi w:val="0"/>
              <w:rPr>
                <w:rFonts w:ascii="仿宋" w:eastAsia="仿宋" w:hAnsi="仿宋" w:cs="仿宋" w:hint="eastAsia"/>
                <w:color w:val="auto"/>
                <w:highlight w:val="none"/>
              </w:rPr>
            </w:pP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trPr>
        <w:tc>
          <w:tcPr>
            <w:tcW w:w="455" w:type="pct"/>
            <w:vMerge/>
            <w:shd w:val="clear" w:color="auto" w:fill="FFFFFF"/>
            <w:vAlign w:val="center"/>
          </w:tcPr>
          <w:p>
            <w:pPr>
              <w:pStyle w:val="表格内容"/>
              <w:bidi w:val="0"/>
              <w:rPr>
                <w:rFonts w:ascii="仿宋" w:eastAsia="仿宋" w:hAnsi="仿宋" w:cs="仿宋" w:hint="eastAsia"/>
                <w:color w:val="auto"/>
                <w:highlight w:val="none"/>
              </w:rPr>
            </w:pPr>
          </w:p>
        </w:tc>
        <w:tc>
          <w:tcPr>
            <w:tcW w:w="444"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29"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73"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1979"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08" w:type="pct"/>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08" w:type="pct"/>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55"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44"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2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7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1979"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08" w:type="pc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0</w:t>
            </w:r>
          </w:p>
        </w:tc>
      </w:tr>
      <w:tr>
        <w:tblPrEx>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382" w:type="pct"/>
            <w:gridSpan w:val="5"/>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08"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ind w:firstLine="640"/>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749DA77A-061E-4364-B961-C5538A87CC44}"/>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TrueTypeFonts/>
  <w:saveSubsetFonts/>
  <w:bordersDoNotSurroundFooter/>
  <w:bordersDoNotSurroundHeader/>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16</TotalTime>
  <Pages>30</Pages>
  <Words>10213</Words>
  <Characters>11028</Characters>
  <Application>WPS Office_11.8.2.9022_F1E327BC-269C-435d-A152-05C5408002CA</Application>
  <DocSecurity>0</DocSecurity>
  <Lines>98</Lines>
  <Paragraphs>27</Paragraphs>
  <Company>Microsoft</Company>
  <CharactersWithSpaces>11058</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60</cp:revision>
  <dcterms:created xsi:type="dcterms:W3CDTF">2020-05-25T09:48:00Z</dcterms:created>
  <dcterms:modified xsi:type="dcterms:W3CDTF">2025-08-07T04:59:04Z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eyJoZGlkIjoiODRhYjhkNzI4OGQ5M2E5NzE5YzFiNzg2M2ZlMzkxMWUiLCJ1c2VySWQiOiIxMTQ4NTc0MTIzIn0_x003D_</vt:lpwstr>
  </property>
</Properties>
</file>