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962" w:rsidRDefault="00B00962">
      <w:pPr>
        <w:ind w:firstLine="640"/>
      </w:pPr>
    </w:p>
    <w:p w:rsidR="00B00962" w:rsidRDefault="00B00962">
      <w:pPr>
        <w:ind w:firstLine="640"/>
      </w:pPr>
      <w:bookmarkStart w:id="0" w:name="OLE_LINK1"/>
    </w:p>
    <w:p w:rsidR="00B00962" w:rsidRDefault="00B00962">
      <w:pPr>
        <w:ind w:firstLine="640"/>
      </w:pPr>
    </w:p>
    <w:p w:rsidR="00B00962" w:rsidRDefault="00B00962">
      <w:pPr>
        <w:ind w:firstLine="640"/>
      </w:pPr>
    </w:p>
    <w:p w:rsidR="00B00962" w:rsidRDefault="00B00962">
      <w:pPr>
        <w:ind w:firstLine="640"/>
      </w:pPr>
    </w:p>
    <w:p w:rsidR="00B00962" w:rsidRDefault="00B00962">
      <w:pPr>
        <w:ind w:firstLine="640"/>
      </w:pPr>
    </w:p>
    <w:p w:rsidR="00B00962" w:rsidRDefault="00B00962">
      <w:pPr>
        <w:ind w:firstLine="640"/>
        <w:rPr>
          <w:rFonts w:eastAsia="宋体" w:cs="Times New Roman"/>
        </w:rPr>
      </w:pPr>
    </w:p>
    <w:p w:rsidR="00B00962" w:rsidRDefault="00B00962">
      <w:pPr>
        <w:ind w:firstLine="640"/>
        <w:rPr>
          <w:rFonts w:eastAsia="宋体" w:cs="Times New Roman"/>
        </w:rPr>
      </w:pPr>
    </w:p>
    <w:p w:rsidR="00B00962" w:rsidRDefault="00EB5CA1">
      <w:pPr>
        <w:pStyle w:val="1"/>
        <w:rPr>
          <w:rFonts w:cs="Times New Roman"/>
          <w:sz w:val="44"/>
          <w:szCs w:val="44"/>
        </w:rPr>
      </w:pPr>
      <w:bookmarkStart w:id="1" w:name="_Toc32082"/>
      <w:bookmarkStart w:id="2" w:name="_Toc24054"/>
      <w:bookmarkStart w:id="3" w:name="_Toc28201"/>
      <w:r>
        <w:rPr>
          <w:rFonts w:cs="Times New Roman"/>
          <w:sz w:val="44"/>
          <w:szCs w:val="44"/>
        </w:rPr>
        <w:t>项目支出绩效评价报告</w:t>
      </w:r>
      <w:bookmarkEnd w:id="1"/>
      <w:bookmarkEnd w:id="2"/>
      <w:bookmarkEnd w:id="3"/>
    </w:p>
    <w:p w:rsidR="00B00962" w:rsidRDefault="00B00962">
      <w:pPr>
        <w:ind w:firstLine="883"/>
        <w:rPr>
          <w:rFonts w:eastAsia="宋体" w:cs="Times New Roman"/>
          <w:b/>
          <w:bCs/>
          <w:sz w:val="44"/>
          <w:szCs w:val="44"/>
        </w:rPr>
      </w:pPr>
    </w:p>
    <w:p w:rsidR="00B00962" w:rsidRDefault="00B00962">
      <w:pPr>
        <w:ind w:firstLine="640"/>
        <w:rPr>
          <w:rFonts w:eastAsia="宋体" w:cs="Times New Roman"/>
        </w:rPr>
      </w:pPr>
    </w:p>
    <w:p w:rsidR="00B00962" w:rsidRDefault="00EB5CA1">
      <w:pPr>
        <w:ind w:firstLineChars="0" w:firstLine="0"/>
        <w:jc w:val="center"/>
        <w:rPr>
          <w:rFonts w:eastAsia="宋体" w:cs="Times New Roman"/>
        </w:rPr>
      </w:pPr>
      <w:r>
        <w:rPr>
          <w:sz w:val="28"/>
          <w:szCs w:val="28"/>
        </w:rPr>
        <w:t>（</w:t>
      </w:r>
      <w:r>
        <w:rPr>
          <w:sz w:val="28"/>
          <w:szCs w:val="28"/>
        </w:rPr>
        <w:t>202</w:t>
      </w:r>
      <w:r>
        <w:rPr>
          <w:rFonts w:hint="eastAsia"/>
          <w:sz w:val="28"/>
          <w:szCs w:val="28"/>
        </w:rPr>
        <w:t>4</w:t>
      </w:r>
      <w:r>
        <w:rPr>
          <w:sz w:val="28"/>
          <w:szCs w:val="28"/>
        </w:rPr>
        <w:t>年度）</w:t>
      </w:r>
    </w:p>
    <w:p w:rsidR="00B00962" w:rsidRDefault="00B00962">
      <w:pPr>
        <w:ind w:firstLine="640"/>
        <w:rPr>
          <w:rFonts w:eastAsia="宋体" w:cs="Times New Roman"/>
        </w:rPr>
      </w:pPr>
    </w:p>
    <w:p w:rsidR="00B00962" w:rsidRDefault="00B00962">
      <w:pPr>
        <w:ind w:firstLine="640"/>
        <w:rPr>
          <w:rFonts w:eastAsia="宋体" w:cs="Times New Roman"/>
        </w:rPr>
      </w:pPr>
    </w:p>
    <w:p w:rsidR="00B00962" w:rsidRDefault="00B00962">
      <w:pPr>
        <w:ind w:firstLine="640"/>
        <w:rPr>
          <w:rFonts w:eastAsia="宋体" w:cs="Times New Roman"/>
        </w:rPr>
      </w:pPr>
    </w:p>
    <w:p w:rsidR="00B00962" w:rsidRDefault="00B00962">
      <w:pPr>
        <w:ind w:firstLine="640"/>
        <w:rPr>
          <w:rFonts w:eastAsia="宋体" w:cs="Times New Roman"/>
        </w:rPr>
      </w:pPr>
    </w:p>
    <w:p w:rsidR="00B00962" w:rsidRDefault="00B00962">
      <w:pPr>
        <w:ind w:firstLine="643"/>
        <w:rPr>
          <w:rFonts w:eastAsia="宋体" w:cs="Times New Roman"/>
          <w:b/>
          <w:bCs/>
        </w:rPr>
      </w:pPr>
    </w:p>
    <w:p w:rsidR="00B00962" w:rsidRDefault="00EB5CA1">
      <w:pPr>
        <w:ind w:firstLine="640"/>
        <w:rPr>
          <w:rFonts w:ascii="仿宋_GB2312" w:hAnsi="仿宋_GB2312" w:cs="仿宋_GB2312"/>
        </w:rPr>
      </w:pPr>
      <w:r>
        <w:rPr>
          <w:rFonts w:ascii="仿宋_GB2312" w:hAnsi="仿宋_GB2312" w:cs="仿宋_GB2312" w:hint="eastAsia"/>
        </w:rPr>
        <w:t>项目名称：</w:t>
      </w:r>
      <w:r>
        <w:rPr>
          <w:rFonts w:ascii="仿宋_GB2312" w:hAnsi="仿宋_GB2312" w:cs="仿宋_GB2312" w:hint="eastAsia"/>
        </w:rPr>
        <w:t>2024-2025</w:t>
      </w:r>
      <w:r>
        <w:rPr>
          <w:rFonts w:ascii="仿宋_GB2312" w:hAnsi="仿宋_GB2312" w:cs="仿宋_GB2312" w:hint="eastAsia"/>
        </w:rPr>
        <w:t>年县级储备粮保管经费</w:t>
      </w:r>
    </w:p>
    <w:p w:rsidR="00B00962" w:rsidRDefault="00EB5CA1">
      <w:pPr>
        <w:ind w:firstLine="640"/>
        <w:rPr>
          <w:rFonts w:ascii="仿宋_GB2312" w:hAnsi="仿宋_GB2312" w:cs="仿宋_GB2312"/>
        </w:rPr>
      </w:pPr>
      <w:r>
        <w:rPr>
          <w:rFonts w:ascii="仿宋_GB2312" w:hAnsi="仿宋_GB2312" w:cs="仿宋_GB2312" w:hint="eastAsia"/>
        </w:rPr>
        <w:t>实施单位（公章）：</w:t>
      </w:r>
      <w:r>
        <w:rPr>
          <w:rFonts w:ascii="仿宋_GB2312" w:hAnsi="仿宋_GB2312" w:cs="仿宋_GB2312"/>
        </w:rPr>
        <w:t>尉犁县发展和改革委员会</w:t>
      </w:r>
    </w:p>
    <w:p w:rsidR="00B00962" w:rsidRDefault="00EB5CA1">
      <w:pPr>
        <w:ind w:firstLine="640"/>
        <w:rPr>
          <w:rFonts w:ascii="仿宋_GB2312" w:hAnsi="仿宋_GB2312" w:cs="仿宋_GB2312"/>
        </w:rPr>
      </w:pPr>
      <w:r>
        <w:rPr>
          <w:rFonts w:ascii="仿宋_GB2312" w:hAnsi="仿宋_GB2312" w:cs="仿宋_GB2312" w:hint="eastAsia"/>
        </w:rPr>
        <w:t>主管部门（公章）：</w:t>
      </w:r>
      <w:r>
        <w:rPr>
          <w:rFonts w:ascii="仿宋_GB2312" w:hAnsi="仿宋_GB2312" w:cs="仿宋_GB2312"/>
        </w:rPr>
        <w:t>尉犁县发展和改革委员会</w:t>
      </w:r>
    </w:p>
    <w:p w:rsidR="00B00962" w:rsidRDefault="00EB5CA1">
      <w:pPr>
        <w:ind w:firstLine="640"/>
        <w:rPr>
          <w:rFonts w:ascii="仿宋_GB2312" w:hAnsi="仿宋_GB2312" w:cs="仿宋_GB2312"/>
        </w:rPr>
      </w:pPr>
      <w:r>
        <w:rPr>
          <w:rFonts w:ascii="仿宋_GB2312" w:hAnsi="仿宋_GB2312" w:cs="仿宋_GB2312" w:hint="eastAsia"/>
        </w:rPr>
        <w:t>项目负责人（签章）：</w:t>
      </w:r>
      <w:r>
        <w:rPr>
          <w:rFonts w:ascii="仿宋_GB2312" w:hAnsi="仿宋_GB2312" w:cs="仿宋_GB2312" w:hint="eastAsia"/>
        </w:rPr>
        <w:t>古再丽努尔·多力坤</w:t>
      </w:r>
    </w:p>
    <w:p w:rsidR="00B00962" w:rsidRDefault="00EB5CA1">
      <w:pPr>
        <w:ind w:firstLine="640"/>
        <w:rPr>
          <w:rFonts w:eastAsia="宋体" w:cs="Times New Roman"/>
        </w:rPr>
        <w:sectPr w:rsidR="00B00962">
          <w:pgSz w:w="11906" w:h="16838"/>
          <w:pgMar w:top="1440" w:right="1800" w:bottom="1440" w:left="1800" w:header="851" w:footer="992" w:gutter="0"/>
          <w:pgNumType w:start="1"/>
          <w:cols w:space="720"/>
          <w:docGrid w:type="lines" w:linePitch="312"/>
        </w:sectPr>
      </w:pPr>
      <w:r>
        <w:rPr>
          <w:rFonts w:ascii="仿宋_GB2312" w:hAnsi="仿宋_GB2312" w:cs="仿宋_GB2312" w:hint="eastAsia"/>
        </w:rPr>
        <w:t>填报时间：</w:t>
      </w:r>
      <w:r>
        <w:rPr>
          <w:rFonts w:ascii="仿宋_GB2312" w:hAnsi="仿宋_GB2312" w:cs="仿宋_GB2312" w:hint="eastAsia"/>
        </w:rPr>
        <w:t>2025</w:t>
      </w:r>
      <w:r>
        <w:rPr>
          <w:rFonts w:ascii="仿宋_GB2312" w:hAnsi="仿宋_GB2312" w:cs="仿宋_GB2312" w:hint="eastAsia"/>
        </w:rPr>
        <w:t>年</w:t>
      </w:r>
      <w:r>
        <w:rPr>
          <w:rFonts w:ascii="仿宋_GB2312" w:hAnsi="仿宋_GB2312" w:cs="仿宋_GB2312" w:hint="eastAsia"/>
        </w:rPr>
        <w:t>3</w:t>
      </w:r>
      <w:r>
        <w:rPr>
          <w:rFonts w:ascii="仿宋_GB2312" w:hAnsi="仿宋_GB2312" w:cs="仿宋_GB2312" w:hint="eastAsia"/>
        </w:rPr>
        <w:t>月</w:t>
      </w:r>
      <w:r>
        <w:rPr>
          <w:rFonts w:ascii="仿宋_GB2312" w:hAnsi="仿宋_GB2312" w:cs="仿宋_GB2312" w:hint="eastAsia"/>
        </w:rPr>
        <w:t>31</w:t>
      </w:r>
      <w:r>
        <w:rPr>
          <w:rFonts w:ascii="仿宋_GB2312" w:hAnsi="仿宋_GB2312" w:cs="仿宋_GB2312" w:hint="eastAsia"/>
        </w:rPr>
        <w:t>日</w:t>
      </w:r>
    </w:p>
    <w:sdt>
      <w:sdtPr>
        <w:rPr>
          <w:rFonts w:ascii="仿宋_GB2312" w:hAnsi="仿宋_GB2312" w:cs="仿宋_GB2312" w:hint="eastAsia"/>
          <w:szCs w:val="32"/>
        </w:rPr>
        <w:id w:val="147458059"/>
        <w:docPartObj>
          <w:docPartGallery w:val="Table of Contents"/>
          <w:docPartUnique/>
        </w:docPartObj>
      </w:sdtPr>
      <w:sdtEndPr>
        <w:rPr>
          <w:rFonts w:ascii="Times New Roman" w:eastAsia="黑体" w:hAnsi="Times New Roman" w:cstheme="minorBidi"/>
          <w:b/>
          <w:bCs/>
          <w:szCs w:val="44"/>
        </w:rPr>
      </w:sdtEndPr>
      <w:sdtContent>
        <w:p w:rsidR="00B00962" w:rsidRDefault="00EB5CA1">
          <w:pPr>
            <w:spacing w:line="580" w:lineRule="exact"/>
            <w:ind w:firstLineChars="0" w:firstLine="0"/>
            <w:jc w:val="center"/>
            <w:rPr>
              <w:rFonts w:cs="仿宋_GB2312"/>
              <w:b/>
              <w:szCs w:val="32"/>
            </w:rPr>
          </w:pPr>
          <w:r>
            <w:rPr>
              <w:rFonts w:cs="仿宋_GB2312" w:hint="eastAsia"/>
              <w:b/>
              <w:bCs/>
              <w:szCs w:val="32"/>
            </w:rPr>
            <w:t>目</w:t>
          </w:r>
          <w:r>
            <w:rPr>
              <w:rFonts w:cs="仿宋_GB2312" w:hint="eastAsia"/>
              <w:b/>
              <w:bCs/>
              <w:szCs w:val="32"/>
            </w:rPr>
            <w:t xml:space="preserve">  </w:t>
          </w:r>
          <w:r>
            <w:rPr>
              <w:rFonts w:cs="仿宋_GB2312" w:hint="eastAsia"/>
              <w:b/>
              <w:bCs/>
              <w:szCs w:val="32"/>
            </w:rPr>
            <w:t>录</w:t>
          </w:r>
          <w:r>
            <w:rPr>
              <w:rFonts w:cs="仿宋_GB2312" w:hint="eastAsia"/>
              <w:b/>
              <w:bCs/>
              <w:szCs w:val="32"/>
            </w:rPr>
            <w:fldChar w:fldCharType="begin"/>
          </w:r>
          <w:r>
            <w:rPr>
              <w:rFonts w:cs="仿宋_GB2312" w:hint="eastAsia"/>
              <w:b/>
              <w:bCs/>
              <w:szCs w:val="32"/>
            </w:rPr>
            <w:instrText>TOC \o "1-2" \h \u</w:instrText>
          </w:r>
          <w:r>
            <w:rPr>
              <w:rFonts w:cs="仿宋_GB2312" w:hint="eastAsia"/>
              <w:b/>
              <w:bCs/>
              <w:szCs w:val="32"/>
            </w:rPr>
            <w:fldChar w:fldCharType="separate"/>
          </w:r>
        </w:p>
        <w:p w:rsidR="00B00962" w:rsidRDefault="00EB5CA1">
          <w:pPr>
            <w:pStyle w:val="WPSOffice2"/>
            <w:tabs>
              <w:tab w:val="right" w:leader="dot" w:pos="8306"/>
            </w:tabs>
            <w:spacing w:line="580" w:lineRule="exact"/>
            <w:ind w:leftChars="0" w:left="0"/>
            <w:rPr>
              <w:rFonts w:eastAsia="仿宋_GB2312" w:cs="仿宋_GB2312"/>
              <w:sz w:val="32"/>
              <w:szCs w:val="32"/>
            </w:rPr>
          </w:pPr>
          <w:hyperlink w:anchor="_Toc20953" w:history="1">
            <w:r>
              <w:rPr>
                <w:rFonts w:eastAsia="仿宋_GB2312" w:cs="仿宋_GB2312" w:hint="eastAsia"/>
                <w:sz w:val="32"/>
                <w:szCs w:val="32"/>
              </w:rPr>
              <w:t>一、基本情况</w:t>
            </w:r>
            <w:r>
              <w:rPr>
                <w:rFonts w:eastAsia="仿宋_GB2312" w:cs="仿宋_GB2312" w:hint="eastAsia"/>
                <w:sz w:val="32"/>
                <w:szCs w:val="32"/>
              </w:rPr>
              <w:tab/>
            </w:r>
            <w:r>
              <w:rPr>
                <w:rFonts w:eastAsia="仿宋_GB2312" w:cs="仿宋_GB2312" w:hint="eastAsia"/>
                <w:sz w:val="32"/>
                <w:szCs w:val="32"/>
              </w:rPr>
              <w:fldChar w:fldCharType="begin"/>
            </w:r>
            <w:r>
              <w:rPr>
                <w:rFonts w:eastAsia="仿宋_GB2312" w:cs="仿宋_GB2312" w:hint="eastAsia"/>
                <w:sz w:val="32"/>
                <w:szCs w:val="32"/>
              </w:rPr>
              <w:instrText xml:space="preserve"> PAGEREF _Toc20953 \h </w:instrText>
            </w:r>
            <w:r>
              <w:rPr>
                <w:rFonts w:eastAsia="仿宋_GB2312" w:cs="仿宋_GB2312" w:hint="eastAsia"/>
                <w:sz w:val="32"/>
                <w:szCs w:val="32"/>
              </w:rPr>
            </w:r>
            <w:r>
              <w:rPr>
                <w:rFonts w:eastAsia="仿宋_GB2312" w:cs="仿宋_GB2312" w:hint="eastAsia"/>
                <w:sz w:val="32"/>
                <w:szCs w:val="32"/>
              </w:rPr>
              <w:fldChar w:fldCharType="separate"/>
            </w:r>
            <w:r>
              <w:rPr>
                <w:rFonts w:eastAsia="仿宋_GB2312" w:cs="仿宋_GB2312" w:hint="eastAsia"/>
                <w:sz w:val="32"/>
                <w:szCs w:val="32"/>
              </w:rPr>
              <w:t>1</w:t>
            </w:r>
            <w:r>
              <w:rPr>
                <w:rFonts w:eastAsia="仿宋_GB2312" w:cs="仿宋_GB2312" w:hint="eastAsia"/>
                <w:sz w:val="32"/>
                <w:szCs w:val="32"/>
              </w:rPr>
              <w:fldChar w:fldCharType="end"/>
            </w:r>
          </w:hyperlink>
        </w:p>
        <w:p w:rsidR="00B00962" w:rsidRDefault="00EB5CA1">
          <w:pPr>
            <w:pStyle w:val="WPSOffice2"/>
            <w:tabs>
              <w:tab w:val="right" w:leader="dot" w:pos="8306"/>
            </w:tabs>
            <w:spacing w:line="580" w:lineRule="exact"/>
            <w:ind w:left="640"/>
            <w:rPr>
              <w:rFonts w:eastAsia="仿宋_GB2312" w:cs="仿宋_GB2312"/>
              <w:sz w:val="32"/>
              <w:szCs w:val="32"/>
            </w:rPr>
          </w:pPr>
          <w:hyperlink w:anchor="_Toc10294" w:history="1">
            <w:r>
              <w:rPr>
                <w:rFonts w:eastAsia="仿宋_GB2312" w:cs="仿宋_GB2312" w:hint="eastAsia"/>
                <w:sz w:val="32"/>
                <w:szCs w:val="32"/>
              </w:rPr>
              <w:t>（一）项目概况</w:t>
            </w:r>
            <w:r>
              <w:rPr>
                <w:rFonts w:eastAsia="仿宋_GB2312" w:cs="仿宋_GB2312" w:hint="eastAsia"/>
                <w:sz w:val="32"/>
                <w:szCs w:val="32"/>
              </w:rPr>
              <w:tab/>
            </w:r>
            <w:r>
              <w:rPr>
                <w:rFonts w:eastAsia="仿宋_GB2312" w:cs="仿宋_GB2312" w:hint="eastAsia"/>
                <w:sz w:val="32"/>
                <w:szCs w:val="32"/>
              </w:rPr>
              <w:fldChar w:fldCharType="begin"/>
            </w:r>
            <w:r>
              <w:rPr>
                <w:rFonts w:eastAsia="仿宋_GB2312" w:cs="仿宋_GB2312" w:hint="eastAsia"/>
                <w:sz w:val="32"/>
                <w:szCs w:val="32"/>
              </w:rPr>
              <w:instrText xml:space="preserve"> PAGEREF _Toc10294 \h </w:instrText>
            </w:r>
            <w:r>
              <w:rPr>
                <w:rFonts w:eastAsia="仿宋_GB2312" w:cs="仿宋_GB2312" w:hint="eastAsia"/>
                <w:sz w:val="32"/>
                <w:szCs w:val="32"/>
              </w:rPr>
            </w:r>
            <w:r>
              <w:rPr>
                <w:rFonts w:eastAsia="仿宋_GB2312" w:cs="仿宋_GB2312" w:hint="eastAsia"/>
                <w:sz w:val="32"/>
                <w:szCs w:val="32"/>
              </w:rPr>
              <w:fldChar w:fldCharType="separate"/>
            </w:r>
            <w:r>
              <w:rPr>
                <w:rFonts w:eastAsia="仿宋_GB2312" w:cs="仿宋_GB2312" w:hint="eastAsia"/>
                <w:sz w:val="32"/>
                <w:szCs w:val="32"/>
              </w:rPr>
              <w:t>1</w:t>
            </w:r>
            <w:r>
              <w:rPr>
                <w:rFonts w:eastAsia="仿宋_GB2312" w:cs="仿宋_GB2312" w:hint="eastAsia"/>
                <w:sz w:val="32"/>
                <w:szCs w:val="32"/>
              </w:rPr>
              <w:fldChar w:fldCharType="end"/>
            </w:r>
          </w:hyperlink>
        </w:p>
        <w:p w:rsidR="00B00962" w:rsidRDefault="00EB5CA1">
          <w:pPr>
            <w:pStyle w:val="WPSOffice2"/>
            <w:tabs>
              <w:tab w:val="right" w:leader="dot" w:pos="8306"/>
            </w:tabs>
            <w:spacing w:line="580" w:lineRule="exact"/>
            <w:ind w:left="640"/>
            <w:rPr>
              <w:rFonts w:eastAsia="仿宋_GB2312" w:cs="仿宋_GB2312"/>
              <w:sz w:val="32"/>
              <w:szCs w:val="32"/>
            </w:rPr>
          </w:pPr>
          <w:hyperlink w:anchor="_Toc8950" w:history="1">
            <w:r>
              <w:rPr>
                <w:rFonts w:eastAsia="仿宋_GB2312" w:cs="仿宋_GB2312" w:hint="eastAsia"/>
                <w:sz w:val="32"/>
                <w:szCs w:val="32"/>
              </w:rPr>
              <w:t>（二）项目绩效目标</w:t>
            </w:r>
            <w:r>
              <w:rPr>
                <w:rFonts w:eastAsia="仿宋_GB2312" w:cs="仿宋_GB2312" w:hint="eastAsia"/>
                <w:sz w:val="32"/>
                <w:szCs w:val="32"/>
              </w:rPr>
              <w:tab/>
            </w:r>
            <w:r>
              <w:rPr>
                <w:rFonts w:eastAsia="仿宋_GB2312" w:cs="仿宋_GB2312" w:hint="eastAsia"/>
                <w:sz w:val="32"/>
                <w:szCs w:val="32"/>
              </w:rPr>
              <w:fldChar w:fldCharType="begin"/>
            </w:r>
            <w:r>
              <w:rPr>
                <w:rFonts w:eastAsia="仿宋_GB2312" w:cs="仿宋_GB2312" w:hint="eastAsia"/>
                <w:sz w:val="32"/>
                <w:szCs w:val="32"/>
              </w:rPr>
              <w:instrText xml:space="preserve"> PAGEREF _Toc8950 \h </w:instrText>
            </w:r>
            <w:r>
              <w:rPr>
                <w:rFonts w:eastAsia="仿宋_GB2312" w:cs="仿宋_GB2312" w:hint="eastAsia"/>
                <w:sz w:val="32"/>
                <w:szCs w:val="32"/>
              </w:rPr>
            </w:r>
            <w:r>
              <w:rPr>
                <w:rFonts w:eastAsia="仿宋_GB2312" w:cs="仿宋_GB2312" w:hint="eastAsia"/>
                <w:sz w:val="32"/>
                <w:szCs w:val="32"/>
              </w:rPr>
              <w:fldChar w:fldCharType="separate"/>
            </w:r>
            <w:r>
              <w:rPr>
                <w:rFonts w:eastAsia="仿宋_GB2312" w:cs="仿宋_GB2312" w:hint="eastAsia"/>
                <w:sz w:val="32"/>
                <w:szCs w:val="32"/>
              </w:rPr>
              <w:t>3</w:t>
            </w:r>
            <w:r>
              <w:rPr>
                <w:rFonts w:eastAsia="仿宋_GB2312" w:cs="仿宋_GB2312" w:hint="eastAsia"/>
                <w:sz w:val="32"/>
                <w:szCs w:val="32"/>
              </w:rPr>
              <w:fldChar w:fldCharType="end"/>
            </w:r>
          </w:hyperlink>
        </w:p>
        <w:p w:rsidR="00B00962" w:rsidRDefault="00EB5CA1">
          <w:pPr>
            <w:pStyle w:val="WPSOffice2"/>
            <w:tabs>
              <w:tab w:val="right" w:leader="dot" w:pos="8306"/>
            </w:tabs>
            <w:spacing w:line="580" w:lineRule="exact"/>
            <w:ind w:leftChars="0" w:left="0"/>
            <w:rPr>
              <w:rFonts w:eastAsia="仿宋_GB2312" w:cs="仿宋_GB2312"/>
              <w:sz w:val="32"/>
              <w:szCs w:val="32"/>
            </w:rPr>
          </w:pPr>
          <w:hyperlink w:anchor="_Toc3101" w:history="1">
            <w:r>
              <w:rPr>
                <w:rFonts w:eastAsia="仿宋_GB2312" w:cs="仿宋_GB2312" w:hint="eastAsia"/>
                <w:sz w:val="32"/>
                <w:szCs w:val="32"/>
              </w:rPr>
              <w:t>二、绩效评价工作开展情况</w:t>
            </w:r>
            <w:r>
              <w:rPr>
                <w:rFonts w:eastAsia="仿宋_GB2312" w:cs="仿宋_GB2312" w:hint="eastAsia"/>
                <w:sz w:val="32"/>
                <w:szCs w:val="32"/>
              </w:rPr>
              <w:tab/>
            </w:r>
            <w:r>
              <w:rPr>
                <w:rFonts w:eastAsia="仿宋_GB2312" w:cs="仿宋_GB2312" w:hint="eastAsia"/>
                <w:sz w:val="32"/>
                <w:szCs w:val="32"/>
              </w:rPr>
              <w:fldChar w:fldCharType="begin"/>
            </w:r>
            <w:r>
              <w:rPr>
                <w:rFonts w:eastAsia="仿宋_GB2312" w:cs="仿宋_GB2312" w:hint="eastAsia"/>
                <w:sz w:val="32"/>
                <w:szCs w:val="32"/>
              </w:rPr>
              <w:instrText xml:space="preserve"> PAGEREF _Toc3101 \h </w:instrText>
            </w:r>
            <w:r>
              <w:rPr>
                <w:rFonts w:eastAsia="仿宋_GB2312" w:cs="仿宋_GB2312" w:hint="eastAsia"/>
                <w:sz w:val="32"/>
                <w:szCs w:val="32"/>
              </w:rPr>
            </w:r>
            <w:r>
              <w:rPr>
                <w:rFonts w:eastAsia="仿宋_GB2312" w:cs="仿宋_GB2312" w:hint="eastAsia"/>
                <w:sz w:val="32"/>
                <w:szCs w:val="32"/>
              </w:rPr>
              <w:fldChar w:fldCharType="separate"/>
            </w:r>
            <w:r>
              <w:rPr>
                <w:rFonts w:eastAsia="仿宋_GB2312" w:cs="仿宋_GB2312" w:hint="eastAsia"/>
                <w:sz w:val="32"/>
                <w:szCs w:val="32"/>
              </w:rPr>
              <w:t>3</w:t>
            </w:r>
            <w:r>
              <w:rPr>
                <w:rFonts w:eastAsia="仿宋_GB2312" w:cs="仿宋_GB2312" w:hint="eastAsia"/>
                <w:sz w:val="32"/>
                <w:szCs w:val="32"/>
              </w:rPr>
              <w:fldChar w:fldCharType="end"/>
            </w:r>
          </w:hyperlink>
        </w:p>
        <w:p w:rsidR="00B00962" w:rsidRDefault="00EB5CA1">
          <w:pPr>
            <w:pStyle w:val="WPSOffice2"/>
            <w:tabs>
              <w:tab w:val="right" w:leader="dot" w:pos="8306"/>
            </w:tabs>
            <w:spacing w:line="580" w:lineRule="exact"/>
            <w:ind w:left="640"/>
            <w:rPr>
              <w:rFonts w:eastAsia="仿宋_GB2312" w:cs="仿宋_GB2312"/>
              <w:sz w:val="32"/>
              <w:szCs w:val="32"/>
            </w:rPr>
          </w:pPr>
          <w:hyperlink w:anchor="_Toc2975" w:history="1">
            <w:r>
              <w:rPr>
                <w:rFonts w:eastAsia="仿宋_GB2312" w:cs="仿宋_GB2312" w:hint="eastAsia"/>
                <w:sz w:val="32"/>
                <w:szCs w:val="32"/>
              </w:rPr>
              <w:t>（一）绩效评价目的、对象和范围</w:t>
            </w:r>
            <w:r>
              <w:rPr>
                <w:rFonts w:eastAsia="仿宋_GB2312" w:cs="仿宋_GB2312" w:hint="eastAsia"/>
                <w:sz w:val="32"/>
                <w:szCs w:val="32"/>
              </w:rPr>
              <w:tab/>
            </w:r>
            <w:r>
              <w:rPr>
                <w:rFonts w:eastAsia="仿宋_GB2312" w:cs="仿宋_GB2312" w:hint="eastAsia"/>
                <w:sz w:val="32"/>
                <w:szCs w:val="32"/>
              </w:rPr>
              <w:fldChar w:fldCharType="begin"/>
            </w:r>
            <w:r>
              <w:rPr>
                <w:rFonts w:eastAsia="仿宋_GB2312" w:cs="仿宋_GB2312" w:hint="eastAsia"/>
                <w:sz w:val="32"/>
                <w:szCs w:val="32"/>
              </w:rPr>
              <w:instrText xml:space="preserve"> PAGEREF _Toc2975 \h </w:instrText>
            </w:r>
            <w:r>
              <w:rPr>
                <w:rFonts w:eastAsia="仿宋_GB2312" w:cs="仿宋_GB2312" w:hint="eastAsia"/>
                <w:sz w:val="32"/>
                <w:szCs w:val="32"/>
              </w:rPr>
            </w:r>
            <w:r>
              <w:rPr>
                <w:rFonts w:eastAsia="仿宋_GB2312" w:cs="仿宋_GB2312" w:hint="eastAsia"/>
                <w:sz w:val="32"/>
                <w:szCs w:val="32"/>
              </w:rPr>
              <w:fldChar w:fldCharType="separate"/>
            </w:r>
            <w:r>
              <w:rPr>
                <w:rFonts w:eastAsia="仿宋_GB2312" w:cs="仿宋_GB2312" w:hint="eastAsia"/>
                <w:sz w:val="32"/>
                <w:szCs w:val="32"/>
              </w:rPr>
              <w:t>3</w:t>
            </w:r>
            <w:r>
              <w:rPr>
                <w:rFonts w:eastAsia="仿宋_GB2312" w:cs="仿宋_GB2312" w:hint="eastAsia"/>
                <w:sz w:val="32"/>
                <w:szCs w:val="32"/>
              </w:rPr>
              <w:fldChar w:fldCharType="end"/>
            </w:r>
          </w:hyperlink>
        </w:p>
        <w:p w:rsidR="00B00962" w:rsidRDefault="00EB5CA1">
          <w:pPr>
            <w:pStyle w:val="WPSOffice2"/>
            <w:tabs>
              <w:tab w:val="right" w:leader="dot" w:pos="8306"/>
            </w:tabs>
            <w:spacing w:line="580" w:lineRule="exact"/>
            <w:ind w:left="640"/>
            <w:rPr>
              <w:rFonts w:eastAsia="仿宋_GB2312" w:cs="仿宋_GB2312"/>
              <w:sz w:val="32"/>
              <w:szCs w:val="32"/>
            </w:rPr>
          </w:pPr>
          <w:hyperlink w:anchor="_Toc18082" w:history="1">
            <w:r>
              <w:rPr>
                <w:rFonts w:eastAsia="仿宋_GB2312" w:cs="仿宋_GB2312" w:hint="eastAsia"/>
                <w:sz w:val="32"/>
                <w:szCs w:val="32"/>
              </w:rPr>
              <w:t>（二）绩效评价原则、评价指标体系、评价方法、评价标准</w:t>
            </w:r>
            <w:r>
              <w:rPr>
                <w:rFonts w:eastAsia="仿宋_GB2312" w:cs="仿宋_GB2312" w:hint="eastAsia"/>
                <w:sz w:val="32"/>
                <w:szCs w:val="32"/>
              </w:rPr>
              <w:tab/>
            </w:r>
            <w:r>
              <w:rPr>
                <w:rFonts w:eastAsia="仿宋_GB2312" w:cs="仿宋_GB2312" w:hint="eastAsia"/>
                <w:sz w:val="32"/>
                <w:szCs w:val="32"/>
              </w:rPr>
              <w:fldChar w:fldCharType="begin"/>
            </w:r>
            <w:r>
              <w:rPr>
                <w:rFonts w:eastAsia="仿宋_GB2312" w:cs="仿宋_GB2312" w:hint="eastAsia"/>
                <w:sz w:val="32"/>
                <w:szCs w:val="32"/>
              </w:rPr>
              <w:instrText xml:space="preserve"> PAGEREF _Toc18082 \h </w:instrText>
            </w:r>
            <w:r>
              <w:rPr>
                <w:rFonts w:eastAsia="仿宋_GB2312" w:cs="仿宋_GB2312" w:hint="eastAsia"/>
                <w:sz w:val="32"/>
                <w:szCs w:val="32"/>
              </w:rPr>
            </w:r>
            <w:r>
              <w:rPr>
                <w:rFonts w:eastAsia="仿宋_GB2312" w:cs="仿宋_GB2312" w:hint="eastAsia"/>
                <w:sz w:val="32"/>
                <w:szCs w:val="32"/>
              </w:rPr>
              <w:fldChar w:fldCharType="separate"/>
            </w:r>
            <w:r>
              <w:rPr>
                <w:rFonts w:eastAsia="仿宋_GB2312" w:cs="仿宋_GB2312" w:hint="eastAsia"/>
                <w:sz w:val="32"/>
                <w:szCs w:val="32"/>
              </w:rPr>
              <w:t>5</w:t>
            </w:r>
            <w:r>
              <w:rPr>
                <w:rFonts w:eastAsia="仿宋_GB2312" w:cs="仿宋_GB2312" w:hint="eastAsia"/>
                <w:sz w:val="32"/>
                <w:szCs w:val="32"/>
              </w:rPr>
              <w:fldChar w:fldCharType="end"/>
            </w:r>
          </w:hyperlink>
        </w:p>
        <w:p w:rsidR="00B00962" w:rsidRDefault="00EB5CA1">
          <w:pPr>
            <w:pStyle w:val="WPSOffice2"/>
            <w:tabs>
              <w:tab w:val="right" w:leader="dot" w:pos="8306"/>
            </w:tabs>
            <w:spacing w:line="580" w:lineRule="exact"/>
            <w:ind w:left="640"/>
            <w:rPr>
              <w:rFonts w:eastAsia="仿宋_GB2312" w:cs="仿宋_GB2312"/>
              <w:sz w:val="32"/>
              <w:szCs w:val="32"/>
            </w:rPr>
          </w:pPr>
          <w:hyperlink w:anchor="_Toc24483" w:history="1">
            <w:r>
              <w:rPr>
                <w:rFonts w:eastAsia="仿宋_GB2312" w:cs="仿宋_GB2312" w:hint="eastAsia"/>
                <w:sz w:val="32"/>
                <w:szCs w:val="32"/>
              </w:rPr>
              <w:t>（三）绩效评价工作过程</w:t>
            </w:r>
            <w:r>
              <w:rPr>
                <w:rFonts w:eastAsia="仿宋_GB2312" w:cs="仿宋_GB2312" w:hint="eastAsia"/>
                <w:sz w:val="32"/>
                <w:szCs w:val="32"/>
              </w:rPr>
              <w:tab/>
            </w:r>
            <w:r>
              <w:rPr>
                <w:rFonts w:eastAsia="仿宋_GB2312" w:cs="仿宋_GB2312" w:hint="eastAsia"/>
                <w:sz w:val="32"/>
                <w:szCs w:val="32"/>
              </w:rPr>
              <w:fldChar w:fldCharType="begin"/>
            </w:r>
            <w:r>
              <w:rPr>
                <w:rFonts w:eastAsia="仿宋_GB2312" w:cs="仿宋_GB2312" w:hint="eastAsia"/>
                <w:sz w:val="32"/>
                <w:szCs w:val="32"/>
              </w:rPr>
              <w:instrText xml:space="preserve"> PAGEREF _Toc24483 \h </w:instrText>
            </w:r>
            <w:r>
              <w:rPr>
                <w:rFonts w:eastAsia="仿宋_GB2312" w:cs="仿宋_GB2312" w:hint="eastAsia"/>
                <w:sz w:val="32"/>
                <w:szCs w:val="32"/>
              </w:rPr>
            </w:r>
            <w:r>
              <w:rPr>
                <w:rFonts w:eastAsia="仿宋_GB2312" w:cs="仿宋_GB2312" w:hint="eastAsia"/>
                <w:sz w:val="32"/>
                <w:szCs w:val="32"/>
              </w:rPr>
              <w:fldChar w:fldCharType="separate"/>
            </w:r>
            <w:r>
              <w:rPr>
                <w:rFonts w:eastAsia="仿宋_GB2312" w:cs="仿宋_GB2312" w:hint="eastAsia"/>
                <w:sz w:val="32"/>
                <w:szCs w:val="32"/>
              </w:rPr>
              <w:t>8</w:t>
            </w:r>
            <w:r>
              <w:rPr>
                <w:rFonts w:eastAsia="仿宋_GB2312" w:cs="仿宋_GB2312" w:hint="eastAsia"/>
                <w:sz w:val="32"/>
                <w:szCs w:val="32"/>
              </w:rPr>
              <w:fldChar w:fldCharType="end"/>
            </w:r>
          </w:hyperlink>
        </w:p>
        <w:p w:rsidR="00B00962" w:rsidRDefault="00EB5CA1">
          <w:pPr>
            <w:pStyle w:val="WPSOffice2"/>
            <w:tabs>
              <w:tab w:val="right" w:leader="dot" w:pos="8306"/>
            </w:tabs>
            <w:spacing w:line="580" w:lineRule="exact"/>
            <w:ind w:leftChars="0" w:left="0"/>
            <w:rPr>
              <w:rFonts w:eastAsia="仿宋_GB2312" w:cs="仿宋_GB2312"/>
              <w:b/>
              <w:sz w:val="32"/>
              <w:szCs w:val="32"/>
            </w:rPr>
          </w:pPr>
          <w:hyperlink w:anchor="_Toc2273" w:history="1">
            <w:r>
              <w:rPr>
                <w:rFonts w:eastAsia="仿宋_GB2312" w:cs="仿宋_GB2312" w:hint="eastAsia"/>
                <w:sz w:val="32"/>
                <w:szCs w:val="32"/>
              </w:rPr>
              <w:t>三、综合评价情况及评价结论</w:t>
            </w:r>
            <w:r>
              <w:rPr>
                <w:rFonts w:eastAsia="仿宋_GB2312" w:cs="仿宋_GB2312" w:hint="eastAsia"/>
                <w:sz w:val="32"/>
                <w:szCs w:val="32"/>
              </w:rPr>
              <w:tab/>
            </w:r>
            <w:r>
              <w:rPr>
                <w:rFonts w:eastAsia="仿宋_GB2312" w:cs="仿宋_GB2312" w:hint="eastAsia"/>
                <w:sz w:val="32"/>
                <w:szCs w:val="32"/>
              </w:rPr>
              <w:fldChar w:fldCharType="begin"/>
            </w:r>
            <w:r>
              <w:rPr>
                <w:rFonts w:eastAsia="仿宋_GB2312" w:cs="仿宋_GB2312" w:hint="eastAsia"/>
                <w:sz w:val="32"/>
                <w:szCs w:val="32"/>
              </w:rPr>
              <w:instrText xml:space="preserve"> PAGEREF _Toc2273 \h </w:instrText>
            </w:r>
            <w:r>
              <w:rPr>
                <w:rFonts w:eastAsia="仿宋_GB2312" w:cs="仿宋_GB2312" w:hint="eastAsia"/>
                <w:sz w:val="32"/>
                <w:szCs w:val="32"/>
              </w:rPr>
            </w:r>
            <w:r>
              <w:rPr>
                <w:rFonts w:eastAsia="仿宋_GB2312" w:cs="仿宋_GB2312" w:hint="eastAsia"/>
                <w:sz w:val="32"/>
                <w:szCs w:val="32"/>
              </w:rPr>
              <w:fldChar w:fldCharType="separate"/>
            </w:r>
            <w:r>
              <w:rPr>
                <w:rFonts w:eastAsia="仿宋_GB2312" w:cs="仿宋_GB2312" w:hint="eastAsia"/>
                <w:sz w:val="32"/>
                <w:szCs w:val="32"/>
              </w:rPr>
              <w:t>10</w:t>
            </w:r>
            <w:r>
              <w:rPr>
                <w:rFonts w:eastAsia="仿宋_GB2312" w:cs="仿宋_GB2312" w:hint="eastAsia"/>
                <w:sz w:val="32"/>
                <w:szCs w:val="32"/>
              </w:rPr>
              <w:fldChar w:fldCharType="end"/>
            </w:r>
          </w:hyperlink>
        </w:p>
        <w:p w:rsidR="00B00962" w:rsidRDefault="00EB5CA1">
          <w:pPr>
            <w:pStyle w:val="WPSOffice2"/>
            <w:tabs>
              <w:tab w:val="right" w:leader="dot" w:pos="8306"/>
            </w:tabs>
            <w:spacing w:line="580" w:lineRule="exact"/>
            <w:ind w:leftChars="0" w:left="0"/>
            <w:rPr>
              <w:rFonts w:eastAsia="仿宋_GB2312" w:cs="仿宋_GB2312"/>
              <w:sz w:val="32"/>
              <w:szCs w:val="32"/>
            </w:rPr>
          </w:pPr>
          <w:hyperlink w:anchor="_Toc12000" w:history="1">
            <w:r>
              <w:rPr>
                <w:rFonts w:eastAsia="仿宋_GB2312" w:cs="仿宋_GB2312" w:hint="eastAsia"/>
                <w:sz w:val="32"/>
                <w:szCs w:val="32"/>
              </w:rPr>
              <w:t>四、绩效评价指标分析</w:t>
            </w:r>
            <w:r>
              <w:rPr>
                <w:rFonts w:eastAsia="仿宋_GB2312" w:cs="仿宋_GB2312" w:hint="eastAsia"/>
                <w:sz w:val="32"/>
                <w:szCs w:val="32"/>
              </w:rPr>
              <w:tab/>
            </w:r>
            <w:r>
              <w:rPr>
                <w:rFonts w:eastAsia="仿宋_GB2312" w:cs="仿宋_GB2312" w:hint="eastAsia"/>
                <w:sz w:val="32"/>
                <w:szCs w:val="32"/>
              </w:rPr>
              <w:fldChar w:fldCharType="begin"/>
            </w:r>
            <w:r>
              <w:rPr>
                <w:rFonts w:eastAsia="仿宋_GB2312" w:cs="仿宋_GB2312" w:hint="eastAsia"/>
                <w:sz w:val="32"/>
                <w:szCs w:val="32"/>
              </w:rPr>
              <w:instrText xml:space="preserve"> PAGEREF _Toc12000 \h </w:instrText>
            </w:r>
            <w:r>
              <w:rPr>
                <w:rFonts w:eastAsia="仿宋_GB2312" w:cs="仿宋_GB2312" w:hint="eastAsia"/>
                <w:sz w:val="32"/>
                <w:szCs w:val="32"/>
              </w:rPr>
            </w:r>
            <w:r>
              <w:rPr>
                <w:rFonts w:eastAsia="仿宋_GB2312" w:cs="仿宋_GB2312" w:hint="eastAsia"/>
                <w:sz w:val="32"/>
                <w:szCs w:val="32"/>
              </w:rPr>
              <w:fldChar w:fldCharType="separate"/>
            </w:r>
            <w:r>
              <w:rPr>
                <w:rFonts w:eastAsia="仿宋_GB2312" w:cs="仿宋_GB2312" w:hint="eastAsia"/>
                <w:sz w:val="32"/>
                <w:szCs w:val="32"/>
              </w:rPr>
              <w:t>11</w:t>
            </w:r>
            <w:r>
              <w:rPr>
                <w:rFonts w:eastAsia="仿宋_GB2312" w:cs="仿宋_GB2312" w:hint="eastAsia"/>
                <w:sz w:val="32"/>
                <w:szCs w:val="32"/>
              </w:rPr>
              <w:fldChar w:fldCharType="end"/>
            </w:r>
          </w:hyperlink>
        </w:p>
        <w:p w:rsidR="00B00962" w:rsidRDefault="00EB5CA1">
          <w:pPr>
            <w:pStyle w:val="WPSOffice2"/>
            <w:tabs>
              <w:tab w:val="right" w:leader="dot" w:pos="8306"/>
            </w:tabs>
            <w:spacing w:line="580" w:lineRule="exact"/>
            <w:ind w:left="640"/>
            <w:rPr>
              <w:rFonts w:eastAsia="仿宋_GB2312" w:cs="仿宋_GB2312"/>
              <w:sz w:val="32"/>
              <w:szCs w:val="32"/>
            </w:rPr>
          </w:pPr>
          <w:hyperlink w:anchor="_Toc20696" w:history="1">
            <w:r>
              <w:rPr>
                <w:rFonts w:eastAsia="仿宋_GB2312" w:cs="仿宋_GB2312" w:hint="eastAsia"/>
                <w:sz w:val="32"/>
                <w:szCs w:val="32"/>
              </w:rPr>
              <w:t>（一）项目决策情况</w:t>
            </w:r>
            <w:r>
              <w:rPr>
                <w:rFonts w:eastAsia="仿宋_GB2312" w:cs="仿宋_GB2312" w:hint="eastAsia"/>
                <w:sz w:val="32"/>
                <w:szCs w:val="32"/>
              </w:rPr>
              <w:tab/>
            </w:r>
            <w:r>
              <w:rPr>
                <w:rFonts w:eastAsia="仿宋_GB2312" w:cs="仿宋_GB2312" w:hint="eastAsia"/>
                <w:sz w:val="32"/>
                <w:szCs w:val="32"/>
              </w:rPr>
              <w:fldChar w:fldCharType="begin"/>
            </w:r>
            <w:r>
              <w:rPr>
                <w:rFonts w:eastAsia="仿宋_GB2312" w:cs="仿宋_GB2312" w:hint="eastAsia"/>
                <w:sz w:val="32"/>
                <w:szCs w:val="32"/>
              </w:rPr>
              <w:instrText xml:space="preserve"> PAGEREF _Toc20696 \h </w:instrText>
            </w:r>
            <w:r>
              <w:rPr>
                <w:rFonts w:eastAsia="仿宋_GB2312" w:cs="仿宋_GB2312" w:hint="eastAsia"/>
                <w:sz w:val="32"/>
                <w:szCs w:val="32"/>
              </w:rPr>
            </w:r>
            <w:r>
              <w:rPr>
                <w:rFonts w:eastAsia="仿宋_GB2312" w:cs="仿宋_GB2312" w:hint="eastAsia"/>
                <w:sz w:val="32"/>
                <w:szCs w:val="32"/>
              </w:rPr>
              <w:fldChar w:fldCharType="separate"/>
            </w:r>
            <w:r>
              <w:rPr>
                <w:rFonts w:eastAsia="仿宋_GB2312" w:cs="仿宋_GB2312" w:hint="eastAsia"/>
                <w:sz w:val="32"/>
                <w:szCs w:val="32"/>
              </w:rPr>
              <w:t>11</w:t>
            </w:r>
            <w:r>
              <w:rPr>
                <w:rFonts w:eastAsia="仿宋_GB2312" w:cs="仿宋_GB2312" w:hint="eastAsia"/>
                <w:sz w:val="32"/>
                <w:szCs w:val="32"/>
              </w:rPr>
              <w:fldChar w:fldCharType="end"/>
            </w:r>
          </w:hyperlink>
        </w:p>
        <w:p w:rsidR="00B00962" w:rsidRDefault="00EB5CA1">
          <w:pPr>
            <w:pStyle w:val="WPSOffice2"/>
            <w:tabs>
              <w:tab w:val="right" w:leader="dot" w:pos="8306"/>
            </w:tabs>
            <w:spacing w:line="580" w:lineRule="exact"/>
            <w:ind w:left="640"/>
            <w:rPr>
              <w:rFonts w:eastAsia="仿宋_GB2312" w:cs="仿宋_GB2312"/>
              <w:sz w:val="32"/>
              <w:szCs w:val="32"/>
            </w:rPr>
          </w:pPr>
          <w:hyperlink w:anchor="_Toc27623" w:history="1">
            <w:r>
              <w:rPr>
                <w:rFonts w:eastAsia="仿宋_GB2312" w:cs="仿宋_GB2312" w:hint="eastAsia"/>
                <w:sz w:val="32"/>
                <w:szCs w:val="32"/>
              </w:rPr>
              <w:t>（二）项目过程情况</w:t>
            </w:r>
            <w:r>
              <w:rPr>
                <w:rFonts w:eastAsia="仿宋_GB2312" w:cs="仿宋_GB2312" w:hint="eastAsia"/>
                <w:sz w:val="32"/>
                <w:szCs w:val="32"/>
              </w:rPr>
              <w:tab/>
            </w:r>
            <w:r>
              <w:rPr>
                <w:rFonts w:eastAsia="仿宋_GB2312" w:cs="仿宋_GB2312" w:hint="eastAsia"/>
                <w:sz w:val="32"/>
                <w:szCs w:val="32"/>
              </w:rPr>
              <w:fldChar w:fldCharType="begin"/>
            </w:r>
            <w:r>
              <w:rPr>
                <w:rFonts w:eastAsia="仿宋_GB2312" w:cs="仿宋_GB2312" w:hint="eastAsia"/>
                <w:sz w:val="32"/>
                <w:szCs w:val="32"/>
              </w:rPr>
              <w:instrText xml:space="preserve"> PAGEREF _Toc27623 \h </w:instrText>
            </w:r>
            <w:r>
              <w:rPr>
                <w:rFonts w:eastAsia="仿宋_GB2312" w:cs="仿宋_GB2312" w:hint="eastAsia"/>
                <w:sz w:val="32"/>
                <w:szCs w:val="32"/>
              </w:rPr>
            </w:r>
            <w:r>
              <w:rPr>
                <w:rFonts w:eastAsia="仿宋_GB2312" w:cs="仿宋_GB2312" w:hint="eastAsia"/>
                <w:sz w:val="32"/>
                <w:szCs w:val="32"/>
              </w:rPr>
              <w:fldChar w:fldCharType="separate"/>
            </w:r>
            <w:r>
              <w:rPr>
                <w:rFonts w:eastAsia="仿宋_GB2312" w:cs="仿宋_GB2312" w:hint="eastAsia"/>
                <w:sz w:val="32"/>
                <w:szCs w:val="32"/>
              </w:rPr>
              <w:t>13</w:t>
            </w:r>
            <w:r>
              <w:rPr>
                <w:rFonts w:eastAsia="仿宋_GB2312" w:cs="仿宋_GB2312" w:hint="eastAsia"/>
                <w:sz w:val="32"/>
                <w:szCs w:val="32"/>
              </w:rPr>
              <w:fldChar w:fldCharType="end"/>
            </w:r>
          </w:hyperlink>
        </w:p>
        <w:p w:rsidR="00B00962" w:rsidRDefault="00EB5CA1">
          <w:pPr>
            <w:pStyle w:val="WPSOffice2"/>
            <w:tabs>
              <w:tab w:val="right" w:leader="dot" w:pos="8306"/>
            </w:tabs>
            <w:spacing w:line="580" w:lineRule="exact"/>
            <w:ind w:left="640"/>
            <w:rPr>
              <w:rFonts w:eastAsia="仿宋_GB2312" w:cs="仿宋_GB2312"/>
              <w:sz w:val="32"/>
              <w:szCs w:val="32"/>
            </w:rPr>
          </w:pPr>
          <w:hyperlink w:anchor="_Toc25286" w:history="1">
            <w:r>
              <w:rPr>
                <w:rFonts w:eastAsia="仿宋_GB2312" w:cs="仿宋_GB2312" w:hint="eastAsia"/>
                <w:sz w:val="32"/>
                <w:szCs w:val="32"/>
              </w:rPr>
              <w:t>（三）项目产出情况</w:t>
            </w:r>
            <w:r>
              <w:rPr>
                <w:rFonts w:eastAsia="仿宋_GB2312" w:cs="仿宋_GB2312" w:hint="eastAsia"/>
                <w:sz w:val="32"/>
                <w:szCs w:val="32"/>
              </w:rPr>
              <w:tab/>
            </w:r>
            <w:r>
              <w:rPr>
                <w:rFonts w:eastAsia="仿宋_GB2312" w:cs="仿宋_GB2312" w:hint="eastAsia"/>
                <w:sz w:val="32"/>
                <w:szCs w:val="32"/>
              </w:rPr>
              <w:fldChar w:fldCharType="begin"/>
            </w:r>
            <w:r>
              <w:rPr>
                <w:rFonts w:eastAsia="仿宋_GB2312" w:cs="仿宋_GB2312" w:hint="eastAsia"/>
                <w:sz w:val="32"/>
                <w:szCs w:val="32"/>
              </w:rPr>
              <w:instrText xml:space="preserve"> PAGEREF _Toc25286 \h </w:instrText>
            </w:r>
            <w:r>
              <w:rPr>
                <w:rFonts w:eastAsia="仿宋_GB2312" w:cs="仿宋_GB2312" w:hint="eastAsia"/>
                <w:sz w:val="32"/>
                <w:szCs w:val="32"/>
              </w:rPr>
            </w:r>
            <w:r>
              <w:rPr>
                <w:rFonts w:eastAsia="仿宋_GB2312" w:cs="仿宋_GB2312" w:hint="eastAsia"/>
                <w:sz w:val="32"/>
                <w:szCs w:val="32"/>
              </w:rPr>
              <w:fldChar w:fldCharType="separate"/>
            </w:r>
            <w:r>
              <w:rPr>
                <w:rFonts w:eastAsia="仿宋_GB2312" w:cs="仿宋_GB2312" w:hint="eastAsia"/>
                <w:sz w:val="32"/>
                <w:szCs w:val="32"/>
              </w:rPr>
              <w:t>15</w:t>
            </w:r>
            <w:r>
              <w:rPr>
                <w:rFonts w:eastAsia="仿宋_GB2312" w:cs="仿宋_GB2312" w:hint="eastAsia"/>
                <w:sz w:val="32"/>
                <w:szCs w:val="32"/>
              </w:rPr>
              <w:fldChar w:fldCharType="end"/>
            </w:r>
          </w:hyperlink>
        </w:p>
        <w:p w:rsidR="00B00962" w:rsidRDefault="00EB5CA1">
          <w:pPr>
            <w:pStyle w:val="WPSOffice2"/>
            <w:tabs>
              <w:tab w:val="right" w:leader="dot" w:pos="8306"/>
            </w:tabs>
            <w:spacing w:line="580" w:lineRule="exact"/>
            <w:ind w:left="640"/>
            <w:rPr>
              <w:rFonts w:eastAsia="仿宋_GB2312" w:cs="仿宋_GB2312"/>
              <w:sz w:val="32"/>
              <w:szCs w:val="32"/>
            </w:rPr>
          </w:pPr>
          <w:hyperlink w:anchor="_Toc1327" w:history="1">
            <w:r>
              <w:rPr>
                <w:rFonts w:eastAsia="仿宋_GB2312" w:cs="仿宋_GB2312" w:hint="eastAsia"/>
                <w:sz w:val="32"/>
                <w:szCs w:val="32"/>
              </w:rPr>
              <w:t>（四）项目效益情况</w:t>
            </w:r>
            <w:r>
              <w:rPr>
                <w:rFonts w:eastAsia="仿宋_GB2312" w:cs="仿宋_GB2312" w:hint="eastAsia"/>
                <w:sz w:val="32"/>
                <w:szCs w:val="32"/>
              </w:rPr>
              <w:tab/>
            </w:r>
            <w:r>
              <w:rPr>
                <w:rFonts w:eastAsia="仿宋_GB2312" w:cs="仿宋_GB2312" w:hint="eastAsia"/>
                <w:sz w:val="32"/>
                <w:szCs w:val="32"/>
              </w:rPr>
              <w:fldChar w:fldCharType="begin"/>
            </w:r>
            <w:r>
              <w:rPr>
                <w:rFonts w:eastAsia="仿宋_GB2312" w:cs="仿宋_GB2312" w:hint="eastAsia"/>
                <w:sz w:val="32"/>
                <w:szCs w:val="32"/>
              </w:rPr>
              <w:instrText xml:space="preserve"> PAGEREF _Toc1327 \h </w:instrText>
            </w:r>
            <w:r>
              <w:rPr>
                <w:rFonts w:eastAsia="仿宋_GB2312" w:cs="仿宋_GB2312" w:hint="eastAsia"/>
                <w:sz w:val="32"/>
                <w:szCs w:val="32"/>
              </w:rPr>
            </w:r>
            <w:r>
              <w:rPr>
                <w:rFonts w:eastAsia="仿宋_GB2312" w:cs="仿宋_GB2312" w:hint="eastAsia"/>
                <w:sz w:val="32"/>
                <w:szCs w:val="32"/>
              </w:rPr>
              <w:fldChar w:fldCharType="separate"/>
            </w:r>
            <w:r>
              <w:rPr>
                <w:rFonts w:eastAsia="仿宋_GB2312" w:cs="仿宋_GB2312" w:hint="eastAsia"/>
                <w:sz w:val="32"/>
                <w:szCs w:val="32"/>
              </w:rPr>
              <w:t>16</w:t>
            </w:r>
            <w:r>
              <w:rPr>
                <w:rFonts w:eastAsia="仿宋_GB2312" w:cs="仿宋_GB2312" w:hint="eastAsia"/>
                <w:sz w:val="32"/>
                <w:szCs w:val="32"/>
              </w:rPr>
              <w:fldChar w:fldCharType="end"/>
            </w:r>
          </w:hyperlink>
        </w:p>
        <w:p w:rsidR="00B00962" w:rsidRDefault="00EB5CA1">
          <w:pPr>
            <w:pStyle w:val="WPSOffice2"/>
            <w:tabs>
              <w:tab w:val="right" w:leader="dot" w:pos="8306"/>
            </w:tabs>
            <w:spacing w:line="580" w:lineRule="exact"/>
            <w:ind w:leftChars="0" w:left="0"/>
            <w:rPr>
              <w:rFonts w:eastAsia="仿宋_GB2312" w:cs="仿宋_GB2312"/>
              <w:sz w:val="32"/>
              <w:szCs w:val="32"/>
            </w:rPr>
          </w:pPr>
          <w:hyperlink w:anchor="_Toc11091" w:history="1">
            <w:r>
              <w:rPr>
                <w:rFonts w:eastAsia="仿宋_GB2312" w:cs="仿宋_GB2312" w:hint="eastAsia"/>
                <w:sz w:val="32"/>
                <w:szCs w:val="32"/>
              </w:rPr>
              <w:t>五、主要经验及做法、存在的问题及原因分析</w:t>
            </w:r>
            <w:r>
              <w:rPr>
                <w:rFonts w:eastAsia="仿宋_GB2312" w:cs="仿宋_GB2312" w:hint="eastAsia"/>
                <w:sz w:val="32"/>
                <w:szCs w:val="32"/>
              </w:rPr>
              <w:tab/>
            </w:r>
            <w:r>
              <w:rPr>
                <w:rFonts w:eastAsia="仿宋_GB2312" w:cs="仿宋_GB2312" w:hint="eastAsia"/>
                <w:sz w:val="32"/>
                <w:szCs w:val="32"/>
              </w:rPr>
              <w:fldChar w:fldCharType="begin"/>
            </w:r>
            <w:r>
              <w:rPr>
                <w:rFonts w:eastAsia="仿宋_GB2312" w:cs="仿宋_GB2312" w:hint="eastAsia"/>
                <w:sz w:val="32"/>
                <w:szCs w:val="32"/>
              </w:rPr>
              <w:instrText xml:space="preserve"> PAGEREF _Toc11091 \h </w:instrText>
            </w:r>
            <w:r>
              <w:rPr>
                <w:rFonts w:eastAsia="仿宋_GB2312" w:cs="仿宋_GB2312" w:hint="eastAsia"/>
                <w:sz w:val="32"/>
                <w:szCs w:val="32"/>
              </w:rPr>
            </w:r>
            <w:r>
              <w:rPr>
                <w:rFonts w:eastAsia="仿宋_GB2312" w:cs="仿宋_GB2312" w:hint="eastAsia"/>
                <w:sz w:val="32"/>
                <w:szCs w:val="32"/>
              </w:rPr>
              <w:fldChar w:fldCharType="separate"/>
            </w:r>
            <w:r>
              <w:rPr>
                <w:rFonts w:eastAsia="仿宋_GB2312" w:cs="仿宋_GB2312" w:hint="eastAsia"/>
                <w:sz w:val="32"/>
                <w:szCs w:val="32"/>
              </w:rPr>
              <w:t>16</w:t>
            </w:r>
            <w:r>
              <w:rPr>
                <w:rFonts w:eastAsia="仿宋_GB2312" w:cs="仿宋_GB2312" w:hint="eastAsia"/>
                <w:sz w:val="32"/>
                <w:szCs w:val="32"/>
              </w:rPr>
              <w:fldChar w:fldCharType="end"/>
            </w:r>
          </w:hyperlink>
        </w:p>
        <w:p w:rsidR="00B00962" w:rsidRDefault="00EB5CA1">
          <w:pPr>
            <w:pStyle w:val="WPSOffice2"/>
            <w:tabs>
              <w:tab w:val="right" w:leader="dot" w:pos="8306"/>
            </w:tabs>
            <w:spacing w:line="580" w:lineRule="exact"/>
            <w:ind w:left="640"/>
            <w:rPr>
              <w:rFonts w:eastAsia="仿宋_GB2312" w:cs="仿宋_GB2312"/>
              <w:sz w:val="32"/>
              <w:szCs w:val="32"/>
            </w:rPr>
          </w:pPr>
          <w:hyperlink w:anchor="_Toc27006" w:history="1">
            <w:r>
              <w:rPr>
                <w:rFonts w:eastAsia="仿宋_GB2312" w:cs="仿宋_GB2312" w:hint="eastAsia"/>
                <w:sz w:val="32"/>
                <w:szCs w:val="32"/>
              </w:rPr>
              <w:t>（一）主要经验及做法</w:t>
            </w:r>
            <w:r>
              <w:rPr>
                <w:rFonts w:eastAsia="仿宋_GB2312" w:cs="仿宋_GB2312" w:hint="eastAsia"/>
                <w:sz w:val="32"/>
                <w:szCs w:val="32"/>
              </w:rPr>
              <w:tab/>
            </w:r>
            <w:r>
              <w:rPr>
                <w:rFonts w:eastAsia="仿宋_GB2312" w:cs="仿宋_GB2312" w:hint="eastAsia"/>
                <w:sz w:val="32"/>
                <w:szCs w:val="32"/>
              </w:rPr>
              <w:fldChar w:fldCharType="begin"/>
            </w:r>
            <w:r>
              <w:rPr>
                <w:rFonts w:eastAsia="仿宋_GB2312" w:cs="仿宋_GB2312" w:hint="eastAsia"/>
                <w:sz w:val="32"/>
                <w:szCs w:val="32"/>
              </w:rPr>
              <w:instrText xml:space="preserve"> PAGEREF _Toc27006 </w:instrText>
            </w:r>
            <w:r>
              <w:rPr>
                <w:rFonts w:eastAsia="仿宋_GB2312" w:cs="仿宋_GB2312" w:hint="eastAsia"/>
                <w:sz w:val="32"/>
                <w:szCs w:val="32"/>
              </w:rPr>
              <w:instrText xml:space="preserve">\h </w:instrText>
            </w:r>
            <w:r>
              <w:rPr>
                <w:rFonts w:eastAsia="仿宋_GB2312" w:cs="仿宋_GB2312" w:hint="eastAsia"/>
                <w:sz w:val="32"/>
                <w:szCs w:val="32"/>
              </w:rPr>
            </w:r>
            <w:r>
              <w:rPr>
                <w:rFonts w:eastAsia="仿宋_GB2312" w:cs="仿宋_GB2312" w:hint="eastAsia"/>
                <w:sz w:val="32"/>
                <w:szCs w:val="32"/>
              </w:rPr>
              <w:fldChar w:fldCharType="separate"/>
            </w:r>
            <w:r>
              <w:rPr>
                <w:rFonts w:eastAsia="仿宋_GB2312" w:cs="仿宋_GB2312" w:hint="eastAsia"/>
                <w:sz w:val="32"/>
                <w:szCs w:val="32"/>
              </w:rPr>
              <w:t>16</w:t>
            </w:r>
            <w:r>
              <w:rPr>
                <w:rFonts w:eastAsia="仿宋_GB2312" w:cs="仿宋_GB2312" w:hint="eastAsia"/>
                <w:sz w:val="32"/>
                <w:szCs w:val="32"/>
              </w:rPr>
              <w:fldChar w:fldCharType="end"/>
            </w:r>
          </w:hyperlink>
        </w:p>
        <w:p w:rsidR="00B00962" w:rsidRDefault="00EB5CA1">
          <w:pPr>
            <w:pStyle w:val="WPSOffice2"/>
            <w:tabs>
              <w:tab w:val="right" w:leader="dot" w:pos="8306"/>
            </w:tabs>
            <w:spacing w:line="580" w:lineRule="exact"/>
            <w:ind w:left="640"/>
            <w:rPr>
              <w:rFonts w:eastAsia="仿宋_GB2312" w:cs="仿宋_GB2312"/>
              <w:sz w:val="32"/>
              <w:szCs w:val="32"/>
            </w:rPr>
          </w:pPr>
          <w:hyperlink w:anchor="_Toc21295" w:history="1">
            <w:r>
              <w:rPr>
                <w:rFonts w:eastAsia="仿宋_GB2312" w:cs="仿宋_GB2312" w:hint="eastAsia"/>
                <w:sz w:val="32"/>
                <w:szCs w:val="32"/>
              </w:rPr>
              <w:t>（二）存在问题及原因分析</w:t>
            </w:r>
            <w:r>
              <w:rPr>
                <w:rFonts w:eastAsia="仿宋_GB2312" w:cs="仿宋_GB2312" w:hint="eastAsia"/>
                <w:sz w:val="32"/>
                <w:szCs w:val="32"/>
              </w:rPr>
              <w:tab/>
            </w:r>
            <w:r>
              <w:rPr>
                <w:rFonts w:eastAsia="仿宋_GB2312" w:cs="仿宋_GB2312" w:hint="eastAsia"/>
                <w:sz w:val="32"/>
                <w:szCs w:val="32"/>
              </w:rPr>
              <w:fldChar w:fldCharType="begin"/>
            </w:r>
            <w:r>
              <w:rPr>
                <w:rFonts w:eastAsia="仿宋_GB2312" w:cs="仿宋_GB2312" w:hint="eastAsia"/>
                <w:sz w:val="32"/>
                <w:szCs w:val="32"/>
              </w:rPr>
              <w:instrText xml:space="preserve"> PAGEREF _Toc21295 \h </w:instrText>
            </w:r>
            <w:r>
              <w:rPr>
                <w:rFonts w:eastAsia="仿宋_GB2312" w:cs="仿宋_GB2312" w:hint="eastAsia"/>
                <w:sz w:val="32"/>
                <w:szCs w:val="32"/>
              </w:rPr>
            </w:r>
            <w:r>
              <w:rPr>
                <w:rFonts w:eastAsia="仿宋_GB2312" w:cs="仿宋_GB2312" w:hint="eastAsia"/>
                <w:sz w:val="32"/>
                <w:szCs w:val="32"/>
              </w:rPr>
              <w:fldChar w:fldCharType="separate"/>
            </w:r>
            <w:r>
              <w:rPr>
                <w:rFonts w:eastAsia="仿宋_GB2312" w:cs="仿宋_GB2312" w:hint="eastAsia"/>
                <w:sz w:val="32"/>
                <w:szCs w:val="32"/>
              </w:rPr>
              <w:t>17</w:t>
            </w:r>
            <w:r>
              <w:rPr>
                <w:rFonts w:eastAsia="仿宋_GB2312" w:cs="仿宋_GB2312" w:hint="eastAsia"/>
                <w:sz w:val="32"/>
                <w:szCs w:val="32"/>
              </w:rPr>
              <w:fldChar w:fldCharType="end"/>
            </w:r>
          </w:hyperlink>
        </w:p>
        <w:p w:rsidR="00B00962" w:rsidRDefault="00EB5CA1">
          <w:pPr>
            <w:pStyle w:val="WPSOffice2"/>
            <w:tabs>
              <w:tab w:val="right" w:leader="dot" w:pos="8306"/>
            </w:tabs>
            <w:spacing w:line="580" w:lineRule="exact"/>
            <w:ind w:leftChars="0" w:left="0"/>
            <w:rPr>
              <w:rFonts w:eastAsia="仿宋_GB2312" w:cs="仿宋_GB2312"/>
              <w:sz w:val="32"/>
              <w:szCs w:val="32"/>
            </w:rPr>
          </w:pPr>
          <w:hyperlink w:anchor="_Toc18358" w:history="1">
            <w:r>
              <w:rPr>
                <w:rFonts w:eastAsia="仿宋_GB2312" w:cs="仿宋_GB2312" w:hint="eastAsia"/>
                <w:sz w:val="32"/>
                <w:szCs w:val="32"/>
              </w:rPr>
              <w:t>六、有关建议</w:t>
            </w:r>
            <w:r>
              <w:rPr>
                <w:rFonts w:eastAsia="仿宋_GB2312" w:cs="仿宋_GB2312" w:hint="eastAsia"/>
                <w:sz w:val="32"/>
                <w:szCs w:val="32"/>
              </w:rPr>
              <w:tab/>
            </w:r>
            <w:r>
              <w:rPr>
                <w:rFonts w:eastAsia="仿宋_GB2312" w:cs="仿宋_GB2312" w:hint="eastAsia"/>
                <w:sz w:val="32"/>
                <w:szCs w:val="32"/>
              </w:rPr>
              <w:fldChar w:fldCharType="begin"/>
            </w:r>
            <w:r>
              <w:rPr>
                <w:rFonts w:eastAsia="仿宋_GB2312" w:cs="仿宋_GB2312" w:hint="eastAsia"/>
                <w:sz w:val="32"/>
                <w:szCs w:val="32"/>
              </w:rPr>
              <w:instrText xml:space="preserve"> PAGEREF _Toc18358 \h </w:instrText>
            </w:r>
            <w:r>
              <w:rPr>
                <w:rFonts w:eastAsia="仿宋_GB2312" w:cs="仿宋_GB2312" w:hint="eastAsia"/>
                <w:sz w:val="32"/>
                <w:szCs w:val="32"/>
              </w:rPr>
            </w:r>
            <w:r>
              <w:rPr>
                <w:rFonts w:eastAsia="仿宋_GB2312" w:cs="仿宋_GB2312" w:hint="eastAsia"/>
                <w:sz w:val="32"/>
                <w:szCs w:val="32"/>
              </w:rPr>
              <w:fldChar w:fldCharType="separate"/>
            </w:r>
            <w:r>
              <w:rPr>
                <w:rFonts w:eastAsia="仿宋_GB2312" w:cs="仿宋_GB2312" w:hint="eastAsia"/>
                <w:sz w:val="32"/>
                <w:szCs w:val="32"/>
              </w:rPr>
              <w:t>17</w:t>
            </w:r>
            <w:r>
              <w:rPr>
                <w:rFonts w:eastAsia="仿宋_GB2312" w:cs="仿宋_GB2312" w:hint="eastAsia"/>
                <w:sz w:val="32"/>
                <w:szCs w:val="32"/>
              </w:rPr>
              <w:fldChar w:fldCharType="end"/>
            </w:r>
          </w:hyperlink>
        </w:p>
        <w:p w:rsidR="00B00962" w:rsidRDefault="00EB5CA1">
          <w:pPr>
            <w:pStyle w:val="WPSOffice2"/>
            <w:tabs>
              <w:tab w:val="right" w:leader="dot" w:pos="8306"/>
            </w:tabs>
            <w:spacing w:line="580" w:lineRule="exact"/>
            <w:ind w:leftChars="0" w:left="0"/>
            <w:rPr>
              <w:rFonts w:eastAsia="仿宋_GB2312" w:cs="仿宋_GB2312"/>
              <w:sz w:val="32"/>
              <w:szCs w:val="32"/>
            </w:rPr>
          </w:pPr>
          <w:hyperlink w:anchor="_Toc15040" w:history="1">
            <w:r>
              <w:rPr>
                <w:rFonts w:eastAsia="仿宋_GB2312" w:cs="仿宋_GB2312" w:hint="eastAsia"/>
                <w:sz w:val="32"/>
                <w:szCs w:val="32"/>
              </w:rPr>
              <w:t>七、其他需要说明的问题</w:t>
            </w:r>
            <w:r>
              <w:rPr>
                <w:rFonts w:eastAsia="仿宋_GB2312" w:cs="仿宋_GB2312" w:hint="eastAsia"/>
                <w:sz w:val="32"/>
                <w:szCs w:val="32"/>
              </w:rPr>
              <w:tab/>
            </w:r>
            <w:r>
              <w:rPr>
                <w:rFonts w:eastAsia="仿宋_GB2312" w:cs="仿宋_GB2312" w:hint="eastAsia"/>
                <w:sz w:val="32"/>
                <w:szCs w:val="32"/>
              </w:rPr>
              <w:fldChar w:fldCharType="begin"/>
            </w:r>
            <w:r>
              <w:rPr>
                <w:rFonts w:eastAsia="仿宋_GB2312" w:cs="仿宋_GB2312" w:hint="eastAsia"/>
                <w:sz w:val="32"/>
                <w:szCs w:val="32"/>
              </w:rPr>
              <w:instrText xml:space="preserve"> PAGEREF _Toc15040 \h </w:instrText>
            </w:r>
            <w:r>
              <w:rPr>
                <w:rFonts w:eastAsia="仿宋_GB2312" w:cs="仿宋_GB2312" w:hint="eastAsia"/>
                <w:sz w:val="32"/>
                <w:szCs w:val="32"/>
              </w:rPr>
            </w:r>
            <w:r>
              <w:rPr>
                <w:rFonts w:eastAsia="仿宋_GB2312" w:cs="仿宋_GB2312" w:hint="eastAsia"/>
                <w:sz w:val="32"/>
                <w:szCs w:val="32"/>
              </w:rPr>
              <w:fldChar w:fldCharType="separate"/>
            </w:r>
            <w:r>
              <w:rPr>
                <w:rFonts w:eastAsia="仿宋_GB2312" w:cs="仿宋_GB2312" w:hint="eastAsia"/>
                <w:sz w:val="32"/>
                <w:szCs w:val="32"/>
              </w:rPr>
              <w:t>18</w:t>
            </w:r>
            <w:r>
              <w:rPr>
                <w:rFonts w:eastAsia="仿宋_GB2312" w:cs="仿宋_GB2312" w:hint="eastAsia"/>
                <w:sz w:val="32"/>
                <w:szCs w:val="32"/>
              </w:rPr>
              <w:fldChar w:fldCharType="end"/>
            </w:r>
          </w:hyperlink>
        </w:p>
        <w:p w:rsidR="00B00962" w:rsidRDefault="00EB5CA1">
          <w:pPr>
            <w:pStyle w:val="WPSOffice2"/>
            <w:tabs>
              <w:tab w:val="right" w:leader="dot" w:pos="8306"/>
            </w:tabs>
            <w:spacing w:line="580" w:lineRule="exact"/>
            <w:ind w:leftChars="0" w:left="0"/>
            <w:rPr>
              <w:rFonts w:eastAsia="仿宋_GB2312" w:cs="仿宋_GB2312"/>
              <w:sz w:val="32"/>
              <w:szCs w:val="32"/>
            </w:rPr>
          </w:pPr>
          <w:hyperlink w:anchor="_Toc32626" w:history="1">
            <w:r>
              <w:rPr>
                <w:rFonts w:eastAsia="仿宋_GB2312" w:cs="仿宋_GB2312" w:hint="eastAsia"/>
                <w:sz w:val="32"/>
                <w:szCs w:val="32"/>
              </w:rPr>
              <w:t>八、相关附件</w:t>
            </w:r>
            <w:r>
              <w:rPr>
                <w:rFonts w:eastAsia="仿宋_GB2312" w:cs="仿宋_GB2312" w:hint="eastAsia"/>
                <w:sz w:val="32"/>
                <w:szCs w:val="32"/>
              </w:rPr>
              <w:tab/>
            </w:r>
            <w:r>
              <w:rPr>
                <w:rFonts w:eastAsia="仿宋_GB2312" w:cs="仿宋_GB2312" w:hint="eastAsia"/>
                <w:sz w:val="32"/>
                <w:szCs w:val="32"/>
              </w:rPr>
              <w:fldChar w:fldCharType="begin"/>
            </w:r>
            <w:r>
              <w:rPr>
                <w:rFonts w:eastAsia="仿宋_GB2312" w:cs="仿宋_GB2312" w:hint="eastAsia"/>
                <w:sz w:val="32"/>
                <w:szCs w:val="32"/>
              </w:rPr>
              <w:instrText xml:space="preserve"> PAGEREF _Toc32626 \h </w:instrText>
            </w:r>
            <w:r>
              <w:rPr>
                <w:rFonts w:eastAsia="仿宋_GB2312" w:cs="仿宋_GB2312" w:hint="eastAsia"/>
                <w:sz w:val="32"/>
                <w:szCs w:val="32"/>
              </w:rPr>
            </w:r>
            <w:r>
              <w:rPr>
                <w:rFonts w:eastAsia="仿宋_GB2312" w:cs="仿宋_GB2312" w:hint="eastAsia"/>
                <w:sz w:val="32"/>
                <w:szCs w:val="32"/>
              </w:rPr>
              <w:fldChar w:fldCharType="separate"/>
            </w:r>
            <w:r>
              <w:rPr>
                <w:rFonts w:eastAsia="仿宋_GB2312" w:cs="仿宋_GB2312" w:hint="eastAsia"/>
                <w:sz w:val="32"/>
                <w:szCs w:val="32"/>
              </w:rPr>
              <w:t>18</w:t>
            </w:r>
            <w:r>
              <w:rPr>
                <w:rFonts w:eastAsia="仿宋_GB2312" w:cs="仿宋_GB2312" w:hint="eastAsia"/>
                <w:sz w:val="32"/>
                <w:szCs w:val="32"/>
              </w:rPr>
              <w:fldChar w:fldCharType="end"/>
            </w:r>
          </w:hyperlink>
        </w:p>
        <w:p w:rsidR="00B00962" w:rsidRDefault="00EB5CA1">
          <w:pPr>
            <w:pStyle w:val="WPSOffice2"/>
            <w:tabs>
              <w:tab w:val="right" w:leader="dot" w:pos="8306"/>
            </w:tabs>
            <w:spacing w:line="580" w:lineRule="exact"/>
            <w:ind w:left="640"/>
            <w:rPr>
              <w:rFonts w:eastAsia="仿宋_GB2312" w:cs="仿宋_GB2312"/>
              <w:sz w:val="32"/>
              <w:szCs w:val="32"/>
            </w:rPr>
          </w:pPr>
          <w:hyperlink w:anchor="_Toc26845" w:history="1">
            <w:r>
              <w:rPr>
                <w:rFonts w:eastAsia="仿宋_GB2312" w:cs="仿宋_GB2312" w:hint="eastAsia"/>
                <w:sz w:val="32"/>
                <w:szCs w:val="32"/>
              </w:rPr>
              <w:t>附件</w:t>
            </w:r>
            <w:r>
              <w:rPr>
                <w:rFonts w:eastAsia="仿宋_GB2312" w:cs="仿宋_GB2312" w:hint="eastAsia"/>
                <w:sz w:val="32"/>
                <w:szCs w:val="32"/>
              </w:rPr>
              <w:t>1</w:t>
            </w:r>
            <w:r>
              <w:rPr>
                <w:rFonts w:eastAsia="仿宋_GB2312" w:cs="仿宋_GB2312" w:hint="eastAsia"/>
                <w:sz w:val="32"/>
                <w:szCs w:val="32"/>
              </w:rPr>
              <w:t>：项目支出绩效自评表</w:t>
            </w:r>
            <w:r>
              <w:rPr>
                <w:rFonts w:eastAsia="仿宋_GB2312" w:cs="仿宋_GB2312" w:hint="eastAsia"/>
                <w:sz w:val="32"/>
                <w:szCs w:val="32"/>
              </w:rPr>
              <w:tab/>
            </w:r>
            <w:r>
              <w:rPr>
                <w:rFonts w:eastAsia="仿宋_GB2312" w:cs="仿宋_GB2312" w:hint="eastAsia"/>
                <w:sz w:val="32"/>
                <w:szCs w:val="32"/>
              </w:rPr>
              <w:fldChar w:fldCharType="begin"/>
            </w:r>
            <w:r>
              <w:rPr>
                <w:rFonts w:eastAsia="仿宋_GB2312" w:cs="仿宋_GB2312" w:hint="eastAsia"/>
                <w:sz w:val="32"/>
                <w:szCs w:val="32"/>
              </w:rPr>
              <w:instrText xml:space="preserve"> PAGEREF _Toc26845 \h </w:instrText>
            </w:r>
            <w:r>
              <w:rPr>
                <w:rFonts w:eastAsia="仿宋_GB2312" w:cs="仿宋_GB2312" w:hint="eastAsia"/>
                <w:sz w:val="32"/>
                <w:szCs w:val="32"/>
              </w:rPr>
            </w:r>
            <w:r>
              <w:rPr>
                <w:rFonts w:eastAsia="仿宋_GB2312" w:cs="仿宋_GB2312" w:hint="eastAsia"/>
                <w:sz w:val="32"/>
                <w:szCs w:val="32"/>
              </w:rPr>
              <w:fldChar w:fldCharType="separate"/>
            </w:r>
            <w:r>
              <w:rPr>
                <w:rFonts w:eastAsia="仿宋_GB2312" w:cs="仿宋_GB2312" w:hint="eastAsia"/>
                <w:sz w:val="32"/>
                <w:szCs w:val="32"/>
              </w:rPr>
              <w:t>19</w:t>
            </w:r>
            <w:r>
              <w:rPr>
                <w:rFonts w:eastAsia="仿宋_GB2312" w:cs="仿宋_GB2312" w:hint="eastAsia"/>
                <w:sz w:val="32"/>
                <w:szCs w:val="32"/>
              </w:rPr>
              <w:fldChar w:fldCharType="end"/>
            </w:r>
          </w:hyperlink>
        </w:p>
        <w:p w:rsidR="00B00962" w:rsidRDefault="00EB5CA1">
          <w:pPr>
            <w:pStyle w:val="WPSOffice2"/>
            <w:tabs>
              <w:tab w:val="right" w:leader="dot" w:pos="8306"/>
            </w:tabs>
            <w:spacing w:line="580" w:lineRule="exact"/>
            <w:ind w:left="640"/>
            <w:rPr>
              <w:rFonts w:eastAsia="仿宋_GB2312" w:cs="仿宋_GB2312"/>
              <w:sz w:val="32"/>
              <w:szCs w:val="32"/>
            </w:rPr>
          </w:pPr>
          <w:hyperlink w:anchor="_Toc16517" w:history="1">
            <w:r>
              <w:rPr>
                <w:rFonts w:eastAsia="仿宋_GB2312" w:cs="仿宋_GB2312" w:hint="eastAsia"/>
                <w:sz w:val="32"/>
                <w:szCs w:val="32"/>
              </w:rPr>
              <w:t>附件</w:t>
            </w:r>
            <w:r>
              <w:rPr>
                <w:rFonts w:eastAsia="仿宋_GB2312" w:cs="仿宋_GB2312" w:hint="eastAsia"/>
                <w:sz w:val="32"/>
                <w:szCs w:val="32"/>
              </w:rPr>
              <w:t>2</w:t>
            </w:r>
            <w:r>
              <w:rPr>
                <w:rFonts w:eastAsia="仿宋_GB2312" w:cs="仿宋_GB2312" w:hint="eastAsia"/>
                <w:sz w:val="32"/>
                <w:szCs w:val="32"/>
              </w:rPr>
              <w:t>：项目支出绩效评价指标体系及评分</w:t>
            </w:r>
            <w:r>
              <w:rPr>
                <w:rFonts w:eastAsia="仿宋_GB2312" w:cs="仿宋_GB2312" w:hint="eastAsia"/>
                <w:sz w:val="32"/>
                <w:szCs w:val="32"/>
              </w:rPr>
              <w:tab/>
            </w:r>
            <w:r>
              <w:rPr>
                <w:rFonts w:eastAsia="仿宋_GB2312" w:cs="仿宋_GB2312" w:hint="eastAsia"/>
                <w:sz w:val="32"/>
                <w:szCs w:val="32"/>
              </w:rPr>
              <w:fldChar w:fldCharType="begin"/>
            </w:r>
            <w:r>
              <w:rPr>
                <w:rFonts w:eastAsia="仿宋_GB2312" w:cs="仿宋_GB2312" w:hint="eastAsia"/>
                <w:sz w:val="32"/>
                <w:szCs w:val="32"/>
              </w:rPr>
              <w:instrText xml:space="preserve"> PAGEREF _Toc16517 \h </w:instrText>
            </w:r>
            <w:r>
              <w:rPr>
                <w:rFonts w:eastAsia="仿宋_GB2312" w:cs="仿宋_GB2312" w:hint="eastAsia"/>
                <w:sz w:val="32"/>
                <w:szCs w:val="32"/>
              </w:rPr>
            </w:r>
            <w:r>
              <w:rPr>
                <w:rFonts w:eastAsia="仿宋_GB2312" w:cs="仿宋_GB2312" w:hint="eastAsia"/>
                <w:sz w:val="32"/>
                <w:szCs w:val="32"/>
              </w:rPr>
              <w:fldChar w:fldCharType="separate"/>
            </w:r>
            <w:r>
              <w:rPr>
                <w:rFonts w:eastAsia="仿宋_GB2312" w:cs="仿宋_GB2312" w:hint="eastAsia"/>
                <w:sz w:val="32"/>
                <w:szCs w:val="32"/>
              </w:rPr>
              <w:t>20</w:t>
            </w:r>
            <w:r>
              <w:rPr>
                <w:rFonts w:eastAsia="仿宋_GB2312" w:cs="仿宋_GB2312" w:hint="eastAsia"/>
                <w:sz w:val="32"/>
                <w:szCs w:val="32"/>
              </w:rPr>
              <w:fldChar w:fldCharType="end"/>
            </w:r>
          </w:hyperlink>
        </w:p>
        <w:p w:rsidR="00B00962" w:rsidRDefault="00EB5CA1">
          <w:pPr>
            <w:tabs>
              <w:tab w:val="right" w:leader="dot" w:pos="8306"/>
            </w:tabs>
            <w:spacing w:line="580" w:lineRule="exact"/>
            <w:ind w:firstLineChars="0" w:firstLine="0"/>
            <w:rPr>
              <w:rFonts w:eastAsia="黑体"/>
              <w:b/>
              <w:bCs/>
              <w:sz w:val="44"/>
              <w:szCs w:val="44"/>
            </w:rPr>
            <w:sectPr w:rsidR="00B00962">
              <w:pgSz w:w="11906" w:h="16838"/>
              <w:pgMar w:top="1440" w:right="1800" w:bottom="1440" w:left="1800" w:header="851" w:footer="992" w:gutter="0"/>
              <w:pgNumType w:start="1"/>
              <w:cols w:space="425"/>
              <w:docGrid w:type="lines" w:linePitch="312"/>
            </w:sectPr>
          </w:pPr>
          <w:r>
            <w:rPr>
              <w:rFonts w:cs="仿宋_GB2312" w:hint="eastAsia"/>
              <w:b/>
              <w:bCs/>
              <w:szCs w:val="32"/>
            </w:rPr>
            <w:fldChar w:fldCharType="end"/>
          </w:r>
        </w:p>
      </w:sdtContent>
    </w:sdt>
    <w:p w:rsidR="00B00962" w:rsidRDefault="00EB5CA1">
      <w:pPr>
        <w:pStyle w:val="2"/>
        <w:ind w:firstLine="640"/>
      </w:pPr>
      <w:bookmarkStart w:id="4" w:name="_Toc25620"/>
      <w:bookmarkStart w:id="5" w:name="_Toc20953"/>
      <w:r>
        <w:lastRenderedPageBreak/>
        <w:t>一、基本情况</w:t>
      </w:r>
      <w:bookmarkEnd w:id="4"/>
      <w:bookmarkEnd w:id="5"/>
    </w:p>
    <w:p w:rsidR="00B00962" w:rsidRDefault="00EB5CA1">
      <w:pPr>
        <w:pStyle w:val="3"/>
        <w:ind w:firstLine="643"/>
      </w:pPr>
      <w:bookmarkStart w:id="6" w:name="_Toc10294"/>
      <w:bookmarkStart w:id="7" w:name="_Toc8971"/>
      <w:r>
        <w:t>（一）项目概况</w:t>
      </w:r>
      <w:bookmarkEnd w:id="6"/>
      <w:bookmarkEnd w:id="7"/>
    </w:p>
    <w:p w:rsidR="00B00962" w:rsidRDefault="00EB5CA1">
      <w:pPr>
        <w:ind w:firstLine="643"/>
        <w:rPr>
          <w:b/>
          <w:bCs/>
        </w:rPr>
      </w:pPr>
      <w:r>
        <w:rPr>
          <w:b/>
          <w:bCs/>
        </w:rPr>
        <w:t>1</w:t>
      </w:r>
      <w:r>
        <w:rPr>
          <w:b/>
          <w:bCs/>
        </w:rPr>
        <w:t>、项目背景</w:t>
      </w:r>
    </w:p>
    <w:p w:rsidR="00B00962" w:rsidRDefault="00EB5CA1">
      <w:pPr>
        <w:ind w:firstLine="640"/>
        <w:rPr>
          <w:rFonts w:ascii="仿宋_GB2312" w:hAnsi="仿宋_GB2312" w:cs="仿宋_GB2312"/>
          <w:bCs/>
          <w:iCs/>
          <w:szCs w:val="32"/>
        </w:rPr>
      </w:pPr>
      <w:bookmarkStart w:id="8" w:name="_Toc22216"/>
      <w:bookmarkStart w:id="9" w:name="_Toc22079"/>
      <w:r>
        <w:rPr>
          <w:rFonts w:ascii="仿宋_GB2312" w:hAnsi="仿宋_GB2312" w:cs="仿宋_GB2312" w:hint="eastAsia"/>
          <w:bCs/>
          <w:iCs/>
          <w:szCs w:val="32"/>
        </w:rPr>
        <w:t>根据</w:t>
      </w:r>
      <w:r>
        <w:rPr>
          <w:rFonts w:ascii="仿宋_GB2312" w:hAnsi="仿宋_GB2312" w:cs="仿宋_GB2312"/>
          <w:bCs/>
          <w:iCs/>
          <w:szCs w:val="32"/>
        </w:rPr>
        <w:t>尉犁县发展和改革委员会</w:t>
      </w:r>
      <w:r>
        <w:rPr>
          <w:rFonts w:ascii="仿宋_GB2312" w:hAnsi="仿宋_GB2312" w:cs="仿宋_GB2312" w:hint="eastAsia"/>
          <w:bCs/>
          <w:iCs/>
          <w:szCs w:val="32"/>
        </w:rPr>
        <w:t>职能配置为背景，</w:t>
      </w:r>
      <w:r>
        <w:rPr>
          <w:rFonts w:ascii="仿宋_GB2312" w:hAnsi="仿宋_GB2312" w:cs="仿宋_GB2312" w:hint="eastAsia"/>
          <w:bCs/>
          <w:iCs/>
          <w:szCs w:val="32"/>
        </w:rPr>
        <w:t>结合本县实际情况，</w:t>
      </w:r>
      <w:r>
        <w:rPr>
          <w:rFonts w:ascii="仿宋_GB2312" w:hAnsi="仿宋_GB2312" w:cs="仿宋_GB2312" w:hint="eastAsia"/>
          <w:bCs/>
          <w:iCs/>
          <w:szCs w:val="32"/>
        </w:rPr>
        <w:t>按照《关于建立尉犁县县级储备粮有关事宜的通知》</w:t>
      </w:r>
      <w:r>
        <w:rPr>
          <w:rFonts w:ascii="仿宋_GB2312" w:hAnsi="仿宋_GB2312" w:cs="仿宋_GB2312"/>
          <w:bCs/>
          <w:iCs/>
          <w:szCs w:val="32"/>
        </w:rPr>
        <w:t>（尉</w:t>
      </w:r>
      <w:r>
        <w:rPr>
          <w:rFonts w:ascii="仿宋_GB2312" w:hAnsi="仿宋_GB2312" w:cs="仿宋_GB2312" w:hint="eastAsia"/>
          <w:bCs/>
          <w:iCs/>
          <w:szCs w:val="32"/>
        </w:rPr>
        <w:t>发改</w:t>
      </w:r>
      <w:r>
        <w:rPr>
          <w:rFonts w:ascii="仿宋_GB2312" w:hAnsi="仿宋_GB2312" w:cs="仿宋_GB2312"/>
          <w:bCs/>
          <w:iCs/>
          <w:szCs w:val="32"/>
        </w:rPr>
        <w:t>〔</w:t>
      </w:r>
      <w:r>
        <w:rPr>
          <w:rFonts w:ascii="仿宋_GB2312" w:hAnsi="仿宋_GB2312" w:cs="仿宋_GB2312"/>
          <w:bCs/>
          <w:iCs/>
          <w:szCs w:val="32"/>
        </w:rPr>
        <w:t>202</w:t>
      </w:r>
      <w:r>
        <w:rPr>
          <w:rFonts w:ascii="仿宋_GB2312" w:hAnsi="仿宋_GB2312" w:cs="仿宋_GB2312" w:hint="eastAsia"/>
          <w:bCs/>
          <w:iCs/>
          <w:szCs w:val="32"/>
        </w:rPr>
        <w:t>2</w:t>
      </w:r>
      <w:r>
        <w:rPr>
          <w:rFonts w:ascii="仿宋_GB2312" w:hAnsi="仿宋_GB2312" w:cs="仿宋_GB2312"/>
          <w:bCs/>
          <w:iCs/>
          <w:szCs w:val="32"/>
        </w:rPr>
        <w:t>〕</w:t>
      </w:r>
      <w:r>
        <w:rPr>
          <w:rFonts w:ascii="仿宋_GB2312" w:hAnsi="仿宋_GB2312" w:cs="仿宋_GB2312" w:hint="eastAsia"/>
          <w:bCs/>
          <w:iCs/>
          <w:szCs w:val="32"/>
        </w:rPr>
        <w:t>21</w:t>
      </w:r>
      <w:r>
        <w:rPr>
          <w:rFonts w:ascii="仿宋_GB2312" w:hAnsi="仿宋_GB2312" w:cs="仿宋_GB2312"/>
          <w:bCs/>
          <w:iCs/>
          <w:szCs w:val="32"/>
        </w:rPr>
        <w:t>号）</w:t>
      </w:r>
      <w:r>
        <w:rPr>
          <w:rFonts w:ascii="仿宋_GB2312" w:hAnsi="仿宋_GB2312" w:cs="仿宋_GB2312" w:hint="eastAsia"/>
          <w:bCs/>
          <w:iCs/>
          <w:szCs w:val="32"/>
        </w:rPr>
        <w:t>文件内容，经尉犁县十八届人民政府</w:t>
      </w:r>
      <w:r>
        <w:rPr>
          <w:rFonts w:ascii="仿宋_GB2312" w:hAnsi="仿宋_GB2312" w:cs="仿宋_GB2312" w:hint="eastAsia"/>
          <w:bCs/>
          <w:iCs/>
          <w:szCs w:val="32"/>
        </w:rPr>
        <w:t>13</w:t>
      </w:r>
      <w:r>
        <w:rPr>
          <w:rFonts w:ascii="仿宋_GB2312" w:hAnsi="仿宋_GB2312" w:cs="仿宋_GB2312" w:hint="eastAsia"/>
          <w:bCs/>
          <w:iCs/>
          <w:szCs w:val="32"/>
        </w:rPr>
        <w:t>次常务会议研究通过，决定建立</w:t>
      </w:r>
      <w:r>
        <w:rPr>
          <w:rFonts w:ascii="仿宋_GB2312" w:hAnsi="仿宋_GB2312" w:cs="仿宋_GB2312"/>
          <w:bCs/>
          <w:iCs/>
          <w:szCs w:val="32"/>
        </w:rPr>
        <w:t>2000</w:t>
      </w:r>
      <w:r>
        <w:rPr>
          <w:rFonts w:ascii="仿宋_GB2312" w:hAnsi="仿宋_GB2312" w:cs="仿宋_GB2312"/>
          <w:bCs/>
          <w:iCs/>
          <w:szCs w:val="32"/>
        </w:rPr>
        <w:t>吨县级储备粮</w:t>
      </w:r>
      <w:r>
        <w:rPr>
          <w:rFonts w:ascii="仿宋_GB2312" w:hAnsi="仿宋_GB2312" w:cs="仿宋_GB2312" w:hint="eastAsia"/>
          <w:bCs/>
          <w:iCs/>
          <w:szCs w:val="32"/>
        </w:rPr>
        <w:t>，储备粮保管费资金标准</w:t>
      </w:r>
      <w:r>
        <w:rPr>
          <w:rFonts w:ascii="仿宋_GB2312" w:hAnsi="仿宋_GB2312" w:cs="仿宋_GB2312" w:hint="eastAsia"/>
          <w:bCs/>
          <w:iCs/>
          <w:szCs w:val="32"/>
        </w:rPr>
        <w:t>0.1</w:t>
      </w:r>
      <w:r>
        <w:rPr>
          <w:rFonts w:ascii="仿宋_GB2312" w:hAnsi="仿宋_GB2312" w:cs="仿宋_GB2312" w:hint="eastAsia"/>
          <w:bCs/>
          <w:iCs/>
          <w:szCs w:val="32"/>
        </w:rPr>
        <w:t>元</w:t>
      </w:r>
      <w:r>
        <w:rPr>
          <w:rFonts w:ascii="仿宋_GB2312" w:hAnsi="仿宋_GB2312" w:cs="仿宋_GB2312" w:hint="eastAsia"/>
          <w:bCs/>
          <w:iCs/>
          <w:szCs w:val="32"/>
        </w:rPr>
        <w:t>/</w:t>
      </w:r>
      <w:r>
        <w:rPr>
          <w:rFonts w:ascii="仿宋_GB2312" w:hAnsi="仿宋_GB2312" w:cs="仿宋_GB2312" w:hint="eastAsia"/>
          <w:bCs/>
          <w:iCs/>
          <w:szCs w:val="32"/>
        </w:rPr>
        <w:t>公斤，保管费每年</w:t>
      </w:r>
      <w:r>
        <w:rPr>
          <w:rFonts w:ascii="仿宋_GB2312" w:hAnsi="仿宋_GB2312" w:cs="仿宋_GB2312" w:hint="eastAsia"/>
          <w:bCs/>
          <w:iCs/>
          <w:szCs w:val="32"/>
        </w:rPr>
        <w:t>20</w:t>
      </w:r>
      <w:r>
        <w:rPr>
          <w:rFonts w:ascii="仿宋_GB2312" w:hAnsi="仿宋_GB2312" w:cs="仿宋_GB2312" w:hint="eastAsia"/>
          <w:bCs/>
          <w:iCs/>
          <w:szCs w:val="32"/>
        </w:rPr>
        <w:t>万元，由</w:t>
      </w:r>
      <w:r>
        <w:rPr>
          <w:rFonts w:ascii="仿宋_GB2312" w:hAnsi="仿宋_GB2312" w:cs="仿宋_GB2312" w:hint="eastAsia"/>
          <w:bCs/>
          <w:iCs/>
          <w:szCs w:val="32"/>
        </w:rPr>
        <w:t>尉犁县聚穗粮油购销储备有限公司</w:t>
      </w:r>
      <w:r>
        <w:rPr>
          <w:rFonts w:ascii="仿宋_GB2312" w:hAnsi="仿宋_GB2312" w:cs="仿宋_GB2312" w:hint="eastAsia"/>
          <w:bCs/>
          <w:iCs/>
          <w:szCs w:val="32"/>
        </w:rPr>
        <w:t>承担县级储备粮任务。</w:t>
      </w:r>
    </w:p>
    <w:p w:rsidR="00B00962" w:rsidRDefault="00EB5CA1">
      <w:pPr>
        <w:ind w:firstLine="640"/>
        <w:rPr>
          <w:rFonts w:ascii="仿宋_GB2312" w:hAnsi="仿宋_GB2312" w:cs="仿宋_GB2312"/>
          <w:bCs/>
          <w:iCs/>
          <w:szCs w:val="32"/>
        </w:rPr>
      </w:pPr>
      <w:r>
        <w:rPr>
          <w:rFonts w:ascii="仿宋_GB2312" w:hAnsi="仿宋_GB2312" w:cs="仿宋_GB2312" w:hint="eastAsia"/>
          <w:bCs/>
          <w:iCs/>
          <w:szCs w:val="32"/>
        </w:rPr>
        <w:t>按照</w:t>
      </w:r>
      <w:r>
        <w:rPr>
          <w:rFonts w:ascii="仿宋_GB2312" w:hAnsi="仿宋_GB2312" w:cs="仿宋_GB2312" w:hint="eastAsia"/>
          <w:bCs/>
          <w:iCs/>
          <w:szCs w:val="32"/>
        </w:rPr>
        <w:t>《</w:t>
      </w:r>
      <w:r>
        <w:rPr>
          <w:rFonts w:ascii="仿宋_GB2312" w:hAnsi="仿宋_GB2312" w:cs="仿宋_GB2312" w:hint="eastAsia"/>
          <w:bCs/>
          <w:iCs/>
          <w:szCs w:val="32"/>
        </w:rPr>
        <w:t>2024-2025</w:t>
      </w:r>
      <w:r>
        <w:rPr>
          <w:rFonts w:ascii="仿宋_GB2312" w:hAnsi="仿宋_GB2312" w:cs="仿宋_GB2312" w:hint="eastAsia"/>
          <w:bCs/>
          <w:iCs/>
          <w:szCs w:val="32"/>
        </w:rPr>
        <w:t>年县级储备粮保管费》</w:t>
      </w:r>
      <w:r>
        <w:rPr>
          <w:rFonts w:ascii="仿宋_GB2312" w:hAnsi="仿宋_GB2312" w:cs="仿宋_GB2312"/>
          <w:bCs/>
          <w:iCs/>
          <w:szCs w:val="32"/>
        </w:rPr>
        <w:t>（尉财预〔</w:t>
      </w:r>
      <w:r>
        <w:rPr>
          <w:rFonts w:ascii="仿宋_GB2312" w:hAnsi="仿宋_GB2312" w:cs="仿宋_GB2312"/>
          <w:bCs/>
          <w:iCs/>
          <w:szCs w:val="32"/>
        </w:rPr>
        <w:t>202</w:t>
      </w:r>
      <w:r>
        <w:rPr>
          <w:rFonts w:ascii="仿宋_GB2312" w:hAnsi="仿宋_GB2312" w:cs="仿宋_GB2312" w:hint="eastAsia"/>
          <w:bCs/>
          <w:iCs/>
          <w:szCs w:val="32"/>
        </w:rPr>
        <w:t>4</w:t>
      </w:r>
      <w:r>
        <w:rPr>
          <w:rFonts w:ascii="仿宋_GB2312" w:hAnsi="仿宋_GB2312" w:cs="仿宋_GB2312"/>
          <w:bCs/>
          <w:iCs/>
          <w:szCs w:val="32"/>
        </w:rPr>
        <w:t>〕</w:t>
      </w:r>
      <w:r>
        <w:rPr>
          <w:rFonts w:ascii="仿宋_GB2312" w:hAnsi="仿宋_GB2312" w:cs="仿宋_GB2312" w:hint="eastAsia"/>
          <w:bCs/>
          <w:iCs/>
          <w:szCs w:val="32"/>
        </w:rPr>
        <w:t>292</w:t>
      </w:r>
      <w:r>
        <w:rPr>
          <w:rFonts w:ascii="仿宋_GB2312" w:hAnsi="仿宋_GB2312" w:cs="仿宋_GB2312"/>
          <w:bCs/>
          <w:iCs/>
          <w:szCs w:val="32"/>
        </w:rPr>
        <w:t>号）文件</w:t>
      </w:r>
      <w:r>
        <w:rPr>
          <w:rFonts w:ascii="仿宋_GB2312" w:hAnsi="仿宋_GB2312" w:cs="仿宋_GB2312" w:hint="eastAsia"/>
          <w:bCs/>
          <w:iCs/>
          <w:szCs w:val="32"/>
        </w:rPr>
        <w:t>要求，安排</w:t>
      </w:r>
      <w:r>
        <w:rPr>
          <w:rFonts w:ascii="仿宋_GB2312" w:hAnsi="仿宋_GB2312" w:cs="仿宋_GB2312" w:hint="eastAsia"/>
          <w:bCs/>
          <w:iCs/>
          <w:szCs w:val="32"/>
        </w:rPr>
        <w:t>2024-2025</w:t>
      </w:r>
      <w:r>
        <w:rPr>
          <w:rFonts w:ascii="仿宋_GB2312" w:hAnsi="仿宋_GB2312" w:cs="仿宋_GB2312" w:hint="eastAsia"/>
          <w:bCs/>
          <w:iCs/>
          <w:szCs w:val="32"/>
        </w:rPr>
        <w:t>年县级储备粮保管费</w:t>
      </w:r>
      <w:r>
        <w:rPr>
          <w:rFonts w:ascii="仿宋_GB2312" w:hAnsi="仿宋_GB2312" w:cs="仿宋_GB2312" w:hint="eastAsia"/>
          <w:bCs/>
          <w:iCs/>
          <w:szCs w:val="32"/>
        </w:rPr>
        <w:t>20</w:t>
      </w:r>
      <w:r>
        <w:rPr>
          <w:rFonts w:ascii="仿宋_GB2312" w:hAnsi="仿宋_GB2312" w:cs="仿宋_GB2312" w:hint="eastAsia"/>
          <w:bCs/>
          <w:iCs/>
          <w:szCs w:val="32"/>
        </w:rPr>
        <w:t>万元，</w:t>
      </w:r>
      <w:r>
        <w:rPr>
          <w:rFonts w:ascii="仿宋_GB2312" w:hAnsi="仿宋_GB2312" w:cs="仿宋_GB2312"/>
          <w:bCs/>
          <w:iCs/>
          <w:szCs w:val="32"/>
        </w:rPr>
        <w:t>支持我县</w:t>
      </w:r>
      <w:r>
        <w:rPr>
          <w:rFonts w:ascii="仿宋_GB2312" w:hAnsi="仿宋_GB2312" w:cs="仿宋_GB2312"/>
          <w:bCs/>
          <w:iCs/>
          <w:szCs w:val="32"/>
        </w:rPr>
        <w:t>1</w:t>
      </w:r>
      <w:r>
        <w:rPr>
          <w:rFonts w:ascii="仿宋_GB2312" w:hAnsi="仿宋_GB2312" w:cs="仿宋_GB2312"/>
          <w:bCs/>
          <w:iCs/>
          <w:szCs w:val="32"/>
        </w:rPr>
        <w:t>家</w:t>
      </w:r>
      <w:r>
        <w:rPr>
          <w:rFonts w:ascii="仿宋_GB2312" w:hAnsi="仿宋_GB2312" w:cs="仿宋_GB2312" w:hint="eastAsia"/>
          <w:bCs/>
          <w:iCs/>
          <w:szCs w:val="32"/>
        </w:rPr>
        <w:t>尉犁县聚穗粮油购销储备有限公司</w:t>
      </w:r>
      <w:r>
        <w:rPr>
          <w:rFonts w:ascii="仿宋_GB2312" w:hAnsi="仿宋_GB2312" w:cs="仿宋_GB2312"/>
          <w:bCs/>
          <w:iCs/>
          <w:szCs w:val="32"/>
        </w:rPr>
        <w:t>2000</w:t>
      </w:r>
      <w:r>
        <w:rPr>
          <w:rFonts w:ascii="仿宋_GB2312" w:hAnsi="仿宋_GB2312" w:cs="仿宋_GB2312"/>
          <w:bCs/>
          <w:iCs/>
          <w:szCs w:val="32"/>
        </w:rPr>
        <w:t>吨县级储备粮保管费</w:t>
      </w:r>
      <w:r>
        <w:rPr>
          <w:rFonts w:ascii="仿宋_GB2312" w:hAnsi="仿宋_GB2312" w:cs="仿宋_GB2312" w:hint="eastAsia"/>
          <w:bCs/>
          <w:iCs/>
          <w:szCs w:val="32"/>
        </w:rPr>
        <w:t>20</w:t>
      </w:r>
      <w:r>
        <w:rPr>
          <w:rFonts w:ascii="仿宋_GB2312" w:hAnsi="仿宋_GB2312" w:cs="仿宋_GB2312" w:hint="eastAsia"/>
          <w:bCs/>
          <w:iCs/>
          <w:szCs w:val="32"/>
        </w:rPr>
        <w:t>万元</w:t>
      </w:r>
      <w:r>
        <w:rPr>
          <w:rFonts w:ascii="仿宋_GB2312" w:hAnsi="仿宋_GB2312" w:cs="仿宋_GB2312"/>
          <w:bCs/>
          <w:iCs/>
          <w:szCs w:val="32"/>
        </w:rPr>
        <w:t>的拨付，</w:t>
      </w:r>
      <w:r>
        <w:rPr>
          <w:rFonts w:ascii="仿宋_GB2312" w:hAnsi="仿宋_GB2312" w:cs="仿宋_GB2312" w:hint="eastAsia"/>
          <w:bCs/>
          <w:iCs/>
          <w:szCs w:val="32"/>
        </w:rPr>
        <w:t>资金的拨付</w:t>
      </w:r>
      <w:r>
        <w:rPr>
          <w:rFonts w:ascii="仿宋_GB2312" w:hAnsi="仿宋_GB2312" w:cs="仿宋_GB2312"/>
          <w:bCs/>
          <w:iCs/>
          <w:szCs w:val="32"/>
        </w:rPr>
        <w:t>有效减轻储粮企业经营负担，确保全县粮食安全，增强政府对粮油市场的调控能力，有效应对重大自然灾害、事故灾难、公共卫生等灾害突发情况，保障城乡居民生活需求确保全县粮食安全。</w:t>
      </w:r>
    </w:p>
    <w:p w:rsidR="00B00962" w:rsidRDefault="00EB5CA1">
      <w:pPr>
        <w:ind w:firstLine="643"/>
        <w:rPr>
          <w:rFonts w:cs="Times New Roman"/>
          <w:b/>
          <w:bCs/>
        </w:rPr>
      </w:pPr>
      <w:r>
        <w:rPr>
          <w:rFonts w:cs="Times New Roman"/>
          <w:b/>
          <w:bCs/>
        </w:rPr>
        <w:t>2.</w:t>
      </w:r>
      <w:r>
        <w:rPr>
          <w:rFonts w:cs="Times New Roman"/>
          <w:b/>
          <w:bCs/>
        </w:rPr>
        <w:t>项目主要内容</w:t>
      </w:r>
      <w:bookmarkEnd w:id="8"/>
      <w:bookmarkEnd w:id="9"/>
    </w:p>
    <w:p w:rsidR="00B00962" w:rsidRDefault="00EB5CA1">
      <w:pPr>
        <w:ind w:firstLine="640"/>
        <w:rPr>
          <w:rFonts w:ascii="仿宋_GB2312" w:hAnsi="仿宋_GB2312" w:cs="仿宋_GB2312"/>
          <w:bCs/>
          <w:iCs/>
          <w:szCs w:val="32"/>
        </w:rPr>
      </w:pPr>
      <w:bookmarkStart w:id="10" w:name="_Toc21529"/>
      <w:r>
        <w:rPr>
          <w:rFonts w:ascii="仿宋_GB2312" w:hAnsi="仿宋_GB2312" w:cs="仿宋_GB2312" w:hint="eastAsia"/>
          <w:bCs/>
          <w:iCs/>
          <w:szCs w:val="32"/>
        </w:rPr>
        <w:t>项目资金主要用于支持尉犁县聚穗粮油购销储备有限公司储粮企业</w:t>
      </w:r>
      <w:r>
        <w:rPr>
          <w:rFonts w:ascii="仿宋_GB2312" w:hAnsi="仿宋_GB2312" w:cs="仿宋_GB2312" w:hint="eastAsia"/>
          <w:bCs/>
          <w:iCs/>
          <w:szCs w:val="32"/>
        </w:rPr>
        <w:t>2000</w:t>
      </w:r>
      <w:r>
        <w:rPr>
          <w:rFonts w:ascii="仿宋_GB2312" w:hAnsi="仿宋_GB2312" w:cs="仿宋_GB2312" w:hint="eastAsia"/>
          <w:bCs/>
          <w:iCs/>
          <w:szCs w:val="32"/>
        </w:rPr>
        <w:t>吨县级储备粮，</w:t>
      </w:r>
      <w:r>
        <w:rPr>
          <w:rFonts w:ascii="仿宋_GB2312" w:hAnsi="仿宋_GB2312" w:cs="仿宋_GB2312" w:hint="eastAsia"/>
          <w:bCs/>
          <w:iCs/>
          <w:szCs w:val="32"/>
        </w:rPr>
        <w:t>储备粮保管费资金标准</w:t>
      </w:r>
      <w:r>
        <w:rPr>
          <w:rFonts w:ascii="仿宋_GB2312" w:hAnsi="仿宋_GB2312" w:cs="仿宋_GB2312" w:hint="eastAsia"/>
          <w:bCs/>
          <w:iCs/>
          <w:szCs w:val="32"/>
        </w:rPr>
        <w:t>0.1</w:t>
      </w:r>
      <w:r>
        <w:rPr>
          <w:rFonts w:ascii="仿宋_GB2312" w:hAnsi="仿宋_GB2312" w:cs="仿宋_GB2312" w:hint="eastAsia"/>
          <w:bCs/>
          <w:iCs/>
          <w:szCs w:val="32"/>
        </w:rPr>
        <w:t>元</w:t>
      </w:r>
      <w:r>
        <w:rPr>
          <w:rFonts w:ascii="仿宋_GB2312" w:hAnsi="仿宋_GB2312" w:cs="仿宋_GB2312" w:hint="eastAsia"/>
          <w:bCs/>
          <w:iCs/>
          <w:szCs w:val="32"/>
        </w:rPr>
        <w:t>/</w:t>
      </w:r>
      <w:r>
        <w:rPr>
          <w:rFonts w:ascii="仿宋_GB2312" w:hAnsi="仿宋_GB2312" w:cs="仿宋_GB2312" w:hint="eastAsia"/>
          <w:bCs/>
          <w:iCs/>
          <w:szCs w:val="32"/>
        </w:rPr>
        <w:t>公斤，</w:t>
      </w:r>
      <w:r>
        <w:rPr>
          <w:rFonts w:ascii="仿宋_GB2312" w:hAnsi="仿宋_GB2312" w:cs="仿宋_GB2312" w:hint="eastAsia"/>
          <w:bCs/>
          <w:iCs/>
          <w:szCs w:val="32"/>
        </w:rPr>
        <w:t>2024-2025</w:t>
      </w:r>
      <w:r>
        <w:rPr>
          <w:rFonts w:ascii="仿宋_GB2312" w:hAnsi="仿宋_GB2312" w:cs="仿宋_GB2312" w:hint="eastAsia"/>
          <w:bCs/>
          <w:iCs/>
          <w:szCs w:val="32"/>
        </w:rPr>
        <w:t>年储备粮保管费</w:t>
      </w:r>
      <w:r>
        <w:rPr>
          <w:rFonts w:ascii="仿宋_GB2312" w:hAnsi="仿宋_GB2312" w:cs="仿宋_GB2312" w:hint="eastAsia"/>
          <w:bCs/>
          <w:iCs/>
          <w:szCs w:val="32"/>
        </w:rPr>
        <w:t>20</w:t>
      </w:r>
      <w:r>
        <w:rPr>
          <w:rFonts w:ascii="仿宋_GB2312" w:hAnsi="仿宋_GB2312" w:cs="仿宋_GB2312" w:hint="eastAsia"/>
          <w:bCs/>
          <w:iCs/>
          <w:szCs w:val="32"/>
        </w:rPr>
        <w:t>万元。</w:t>
      </w:r>
    </w:p>
    <w:p w:rsidR="00B00962" w:rsidRDefault="00EB5CA1">
      <w:pPr>
        <w:ind w:firstLine="643"/>
        <w:rPr>
          <w:rFonts w:cs="Times New Roman"/>
          <w:b/>
          <w:bCs/>
        </w:rPr>
      </w:pPr>
      <w:bookmarkStart w:id="11" w:name="_Toc31519"/>
      <w:r>
        <w:rPr>
          <w:rFonts w:cs="Times New Roman"/>
          <w:b/>
          <w:bCs/>
        </w:rPr>
        <w:lastRenderedPageBreak/>
        <w:t>3.</w:t>
      </w:r>
      <w:r>
        <w:rPr>
          <w:rFonts w:cs="Times New Roman"/>
          <w:b/>
          <w:bCs/>
        </w:rPr>
        <w:t>项目实施情况</w:t>
      </w:r>
      <w:bookmarkStart w:id="12" w:name="_Toc20138"/>
      <w:bookmarkEnd w:id="10"/>
      <w:bookmarkEnd w:id="11"/>
    </w:p>
    <w:p w:rsidR="00B00962" w:rsidRDefault="00EB5CA1">
      <w:pPr>
        <w:ind w:firstLine="640"/>
        <w:rPr>
          <w:rFonts w:ascii="仿宋_GB2312" w:hAnsi="仿宋_GB2312" w:cs="仿宋_GB2312"/>
          <w:bCs/>
          <w:iCs/>
          <w:sz w:val="30"/>
          <w:szCs w:val="30"/>
        </w:rPr>
      </w:pPr>
      <w:bookmarkStart w:id="13" w:name="_Toc1111"/>
      <w:r>
        <w:rPr>
          <w:rFonts w:ascii="仿宋_GB2312" w:hAnsi="仿宋_GB2312" w:cs="仿宋_GB2312" w:hint="eastAsia"/>
          <w:bCs/>
          <w:iCs/>
          <w:szCs w:val="32"/>
        </w:rPr>
        <w:t>根据资金使用计划，按照《关于建立尉犁县县级储备粮有关事宜的通知》</w:t>
      </w:r>
      <w:r>
        <w:rPr>
          <w:rFonts w:ascii="仿宋_GB2312" w:hAnsi="仿宋_GB2312" w:cs="仿宋_GB2312"/>
          <w:bCs/>
          <w:iCs/>
          <w:szCs w:val="32"/>
        </w:rPr>
        <w:t>（尉</w:t>
      </w:r>
      <w:r>
        <w:rPr>
          <w:rFonts w:ascii="仿宋_GB2312" w:hAnsi="仿宋_GB2312" w:cs="仿宋_GB2312" w:hint="eastAsia"/>
          <w:bCs/>
          <w:iCs/>
          <w:szCs w:val="32"/>
        </w:rPr>
        <w:t>发改</w:t>
      </w:r>
      <w:r>
        <w:rPr>
          <w:rFonts w:ascii="仿宋_GB2312" w:hAnsi="仿宋_GB2312" w:cs="仿宋_GB2312"/>
          <w:bCs/>
          <w:iCs/>
          <w:szCs w:val="32"/>
        </w:rPr>
        <w:t>〔</w:t>
      </w:r>
      <w:r>
        <w:rPr>
          <w:rFonts w:ascii="仿宋_GB2312" w:hAnsi="仿宋_GB2312" w:cs="仿宋_GB2312"/>
          <w:bCs/>
          <w:iCs/>
          <w:szCs w:val="32"/>
        </w:rPr>
        <w:t>202</w:t>
      </w:r>
      <w:r>
        <w:rPr>
          <w:rFonts w:ascii="仿宋_GB2312" w:hAnsi="仿宋_GB2312" w:cs="仿宋_GB2312" w:hint="eastAsia"/>
          <w:bCs/>
          <w:iCs/>
          <w:szCs w:val="32"/>
        </w:rPr>
        <w:t>2</w:t>
      </w:r>
      <w:r>
        <w:rPr>
          <w:rFonts w:ascii="仿宋_GB2312" w:hAnsi="仿宋_GB2312" w:cs="仿宋_GB2312"/>
          <w:bCs/>
          <w:iCs/>
          <w:szCs w:val="32"/>
        </w:rPr>
        <w:t>〕</w:t>
      </w:r>
      <w:r>
        <w:rPr>
          <w:rFonts w:ascii="仿宋_GB2312" w:hAnsi="仿宋_GB2312" w:cs="仿宋_GB2312" w:hint="eastAsia"/>
          <w:bCs/>
          <w:iCs/>
          <w:szCs w:val="32"/>
        </w:rPr>
        <w:t>21</w:t>
      </w:r>
      <w:r>
        <w:rPr>
          <w:rFonts w:ascii="仿宋_GB2312" w:hAnsi="仿宋_GB2312" w:cs="仿宋_GB2312"/>
          <w:bCs/>
          <w:iCs/>
          <w:szCs w:val="32"/>
        </w:rPr>
        <w:t>号）</w:t>
      </w:r>
      <w:r>
        <w:rPr>
          <w:rFonts w:ascii="仿宋_GB2312" w:hAnsi="仿宋_GB2312" w:cs="仿宋_GB2312" w:hint="eastAsia"/>
          <w:bCs/>
          <w:iCs/>
          <w:szCs w:val="32"/>
        </w:rPr>
        <w:t>文件要求，认真落实，</w:t>
      </w:r>
      <w:r>
        <w:rPr>
          <w:rFonts w:ascii="仿宋_GB2312" w:hAnsi="仿宋_GB2312" w:cs="仿宋_GB2312" w:hint="eastAsia"/>
          <w:bCs/>
          <w:iCs/>
          <w:szCs w:val="32"/>
        </w:rPr>
        <w:t>2024</w:t>
      </w:r>
      <w:r>
        <w:rPr>
          <w:rFonts w:ascii="仿宋_GB2312" w:hAnsi="仿宋_GB2312" w:cs="仿宋_GB2312" w:hint="eastAsia"/>
          <w:bCs/>
          <w:iCs/>
          <w:szCs w:val="32"/>
        </w:rPr>
        <w:t>年</w:t>
      </w:r>
      <w:r>
        <w:rPr>
          <w:rFonts w:ascii="仿宋_GB2312" w:hAnsi="仿宋_GB2312" w:cs="仿宋_GB2312" w:hint="eastAsia"/>
          <w:bCs/>
          <w:iCs/>
          <w:szCs w:val="32"/>
        </w:rPr>
        <w:t>1</w:t>
      </w:r>
      <w:r>
        <w:rPr>
          <w:rFonts w:ascii="仿宋_GB2312" w:hAnsi="仿宋_GB2312" w:cs="仿宋_GB2312" w:hint="eastAsia"/>
          <w:bCs/>
          <w:iCs/>
          <w:szCs w:val="32"/>
        </w:rPr>
        <w:t>0</w:t>
      </w:r>
      <w:r>
        <w:rPr>
          <w:rFonts w:ascii="仿宋_GB2312" w:hAnsi="仿宋_GB2312" w:cs="仿宋_GB2312" w:hint="eastAsia"/>
          <w:bCs/>
          <w:iCs/>
          <w:szCs w:val="32"/>
        </w:rPr>
        <w:t>月发改委联合财政局、农发行对县级储备粮检查验收合格后，完成尉犁县聚穗粮油购销储备有限公司储粮企业</w:t>
      </w:r>
      <w:r>
        <w:rPr>
          <w:rFonts w:ascii="仿宋_GB2312" w:hAnsi="仿宋_GB2312" w:cs="仿宋_GB2312" w:hint="eastAsia"/>
          <w:bCs/>
          <w:iCs/>
          <w:szCs w:val="32"/>
        </w:rPr>
        <w:t>2000</w:t>
      </w:r>
      <w:r>
        <w:rPr>
          <w:rFonts w:ascii="仿宋_GB2312" w:hAnsi="仿宋_GB2312" w:cs="仿宋_GB2312" w:hint="eastAsia"/>
          <w:bCs/>
          <w:iCs/>
          <w:szCs w:val="32"/>
        </w:rPr>
        <w:t>吨县级储备粮保管费</w:t>
      </w:r>
      <w:r>
        <w:rPr>
          <w:rFonts w:ascii="仿宋_GB2312" w:hAnsi="仿宋_GB2312" w:cs="仿宋_GB2312" w:hint="eastAsia"/>
          <w:bCs/>
          <w:iCs/>
          <w:szCs w:val="32"/>
        </w:rPr>
        <w:t>20</w:t>
      </w:r>
      <w:r>
        <w:rPr>
          <w:rFonts w:ascii="仿宋_GB2312" w:hAnsi="仿宋_GB2312" w:cs="仿宋_GB2312" w:hint="eastAsia"/>
          <w:bCs/>
          <w:iCs/>
          <w:szCs w:val="32"/>
        </w:rPr>
        <w:t>万元的拨付。</w:t>
      </w:r>
      <w:r>
        <w:rPr>
          <w:rFonts w:ascii="仿宋_GB2312" w:hAnsi="仿宋_GB2312" w:cs="仿宋_GB2312" w:hint="eastAsia"/>
          <w:bCs/>
          <w:iCs/>
          <w:szCs w:val="32"/>
        </w:rPr>
        <w:t>资金的拨付</w:t>
      </w:r>
      <w:r>
        <w:rPr>
          <w:rFonts w:ascii="仿宋_GB2312" w:hAnsi="仿宋_GB2312" w:cs="仿宋_GB2312" w:hint="eastAsia"/>
          <w:bCs/>
          <w:iCs/>
          <w:szCs w:val="32"/>
        </w:rPr>
        <w:t>确保全县粮食安全，增强政府对粮油市场的调控能力，有效应对重大自然灾害、事故灾难、公共卫生等灾害突发情况，保障城乡居民生活需求</w:t>
      </w:r>
      <w:r>
        <w:rPr>
          <w:rFonts w:ascii="仿宋_GB2312" w:hAnsi="仿宋_GB2312" w:cs="仿宋_GB2312" w:hint="eastAsia"/>
          <w:bCs/>
          <w:iCs/>
          <w:szCs w:val="32"/>
        </w:rPr>
        <w:t>，</w:t>
      </w:r>
      <w:r>
        <w:rPr>
          <w:rFonts w:ascii="仿宋_GB2312" w:hAnsi="仿宋_GB2312" w:cs="仿宋_GB2312" w:hint="eastAsia"/>
          <w:bCs/>
          <w:iCs/>
          <w:szCs w:val="32"/>
        </w:rPr>
        <w:t>减轻储备粮企业经营负担</w:t>
      </w:r>
      <w:r>
        <w:rPr>
          <w:rFonts w:ascii="仿宋_GB2312" w:hAnsi="仿宋_GB2312" w:cs="仿宋_GB2312" w:hint="eastAsia"/>
          <w:bCs/>
          <w:iCs/>
          <w:szCs w:val="32"/>
        </w:rPr>
        <w:t>。</w:t>
      </w:r>
    </w:p>
    <w:p w:rsidR="00B00962" w:rsidRDefault="00EB5CA1">
      <w:pPr>
        <w:ind w:firstLine="643"/>
        <w:rPr>
          <w:rFonts w:cs="Times New Roman"/>
          <w:b/>
          <w:bCs/>
        </w:rPr>
      </w:pPr>
      <w:r>
        <w:rPr>
          <w:rFonts w:cs="Times New Roman"/>
          <w:b/>
          <w:bCs/>
        </w:rPr>
        <w:t>4.</w:t>
      </w:r>
      <w:r>
        <w:rPr>
          <w:rFonts w:cs="Times New Roman"/>
          <w:b/>
          <w:bCs/>
        </w:rPr>
        <w:t>资金投入情况</w:t>
      </w:r>
      <w:bookmarkEnd w:id="12"/>
      <w:bookmarkEnd w:id="13"/>
    </w:p>
    <w:p w:rsidR="00B00962" w:rsidRDefault="00EB5CA1">
      <w:pPr>
        <w:ind w:firstLine="640"/>
        <w:rPr>
          <w:rFonts w:ascii="仿宋_GB2312" w:hAnsi="仿宋_GB2312" w:cs="仿宋_GB2312"/>
          <w:bCs/>
          <w:iCs/>
          <w:szCs w:val="32"/>
        </w:rPr>
      </w:pPr>
      <w:bookmarkStart w:id="14" w:name="_Toc7324"/>
      <w:r>
        <w:rPr>
          <w:rFonts w:ascii="仿宋_GB2312" w:hAnsi="仿宋_GB2312" w:cs="仿宋_GB2312"/>
          <w:bCs/>
          <w:iCs/>
          <w:szCs w:val="32"/>
        </w:rPr>
        <w:t>根据</w:t>
      </w:r>
      <w:r>
        <w:rPr>
          <w:rFonts w:ascii="仿宋_GB2312" w:hAnsi="仿宋_GB2312" w:cs="仿宋_GB2312" w:hint="eastAsia"/>
          <w:bCs/>
          <w:iCs/>
          <w:szCs w:val="32"/>
        </w:rPr>
        <w:t>《</w:t>
      </w:r>
      <w:r>
        <w:rPr>
          <w:rFonts w:ascii="仿宋_GB2312" w:hAnsi="仿宋_GB2312" w:cs="仿宋_GB2312" w:hint="eastAsia"/>
          <w:bCs/>
          <w:iCs/>
          <w:szCs w:val="32"/>
        </w:rPr>
        <w:t>2024-2025</w:t>
      </w:r>
      <w:r>
        <w:rPr>
          <w:rFonts w:ascii="仿宋_GB2312" w:hAnsi="仿宋_GB2312" w:cs="仿宋_GB2312" w:hint="eastAsia"/>
          <w:bCs/>
          <w:iCs/>
          <w:szCs w:val="32"/>
        </w:rPr>
        <w:t>年县级储备粮保管费》</w:t>
      </w:r>
      <w:r>
        <w:rPr>
          <w:rFonts w:ascii="仿宋_GB2312" w:hAnsi="仿宋_GB2312" w:cs="仿宋_GB2312"/>
          <w:bCs/>
          <w:iCs/>
          <w:szCs w:val="32"/>
        </w:rPr>
        <w:t>（尉财预〔</w:t>
      </w:r>
      <w:r>
        <w:rPr>
          <w:rFonts w:ascii="仿宋_GB2312" w:hAnsi="仿宋_GB2312" w:cs="仿宋_GB2312"/>
          <w:bCs/>
          <w:iCs/>
          <w:szCs w:val="32"/>
        </w:rPr>
        <w:t>202</w:t>
      </w:r>
      <w:r>
        <w:rPr>
          <w:rFonts w:ascii="仿宋_GB2312" w:hAnsi="仿宋_GB2312" w:cs="仿宋_GB2312" w:hint="eastAsia"/>
          <w:bCs/>
          <w:iCs/>
          <w:szCs w:val="32"/>
        </w:rPr>
        <w:t>4</w:t>
      </w:r>
      <w:r>
        <w:rPr>
          <w:rFonts w:ascii="仿宋_GB2312" w:hAnsi="仿宋_GB2312" w:cs="仿宋_GB2312"/>
          <w:bCs/>
          <w:iCs/>
          <w:szCs w:val="32"/>
        </w:rPr>
        <w:t>〕</w:t>
      </w:r>
      <w:r>
        <w:rPr>
          <w:rFonts w:ascii="仿宋_GB2312" w:hAnsi="仿宋_GB2312" w:cs="仿宋_GB2312" w:hint="eastAsia"/>
          <w:bCs/>
          <w:iCs/>
          <w:szCs w:val="32"/>
        </w:rPr>
        <w:t>292</w:t>
      </w:r>
      <w:r>
        <w:rPr>
          <w:rFonts w:ascii="仿宋_GB2312" w:hAnsi="仿宋_GB2312" w:cs="仿宋_GB2312"/>
          <w:bCs/>
          <w:iCs/>
          <w:szCs w:val="32"/>
        </w:rPr>
        <w:t>号）文件，下达</w:t>
      </w:r>
      <w:r>
        <w:rPr>
          <w:rFonts w:ascii="仿宋_GB2312" w:hAnsi="仿宋_GB2312" w:cs="仿宋_GB2312" w:hint="eastAsia"/>
          <w:bCs/>
          <w:iCs/>
          <w:szCs w:val="32"/>
        </w:rPr>
        <w:t>2024-2025</w:t>
      </w:r>
      <w:r>
        <w:rPr>
          <w:rFonts w:ascii="仿宋_GB2312" w:hAnsi="仿宋_GB2312" w:cs="仿宋_GB2312" w:hint="eastAsia"/>
          <w:bCs/>
          <w:iCs/>
          <w:szCs w:val="32"/>
        </w:rPr>
        <w:t>年县级储备粮保管费</w:t>
      </w:r>
      <w:r>
        <w:rPr>
          <w:rFonts w:ascii="仿宋_GB2312" w:hAnsi="仿宋_GB2312" w:cs="仿宋_GB2312" w:hint="eastAsia"/>
          <w:bCs/>
          <w:iCs/>
          <w:szCs w:val="32"/>
        </w:rPr>
        <w:t>20</w:t>
      </w:r>
      <w:r>
        <w:rPr>
          <w:rFonts w:ascii="仿宋_GB2312" w:hAnsi="仿宋_GB2312" w:cs="仿宋_GB2312" w:hint="eastAsia"/>
          <w:bCs/>
          <w:iCs/>
          <w:szCs w:val="32"/>
        </w:rPr>
        <w:t>万元</w:t>
      </w:r>
      <w:r>
        <w:rPr>
          <w:rFonts w:ascii="仿宋_GB2312" w:hAnsi="仿宋_GB2312" w:cs="仿宋_GB2312"/>
          <w:bCs/>
          <w:iCs/>
          <w:szCs w:val="32"/>
        </w:rPr>
        <w:t>。其中用于</w:t>
      </w:r>
      <w:r>
        <w:rPr>
          <w:rFonts w:ascii="仿宋_GB2312" w:hAnsi="仿宋_GB2312" w:cs="仿宋_GB2312" w:hint="eastAsia"/>
          <w:bCs/>
          <w:iCs/>
          <w:szCs w:val="32"/>
        </w:rPr>
        <w:t>2024-2025</w:t>
      </w:r>
      <w:r>
        <w:rPr>
          <w:rFonts w:ascii="仿宋_GB2312" w:hAnsi="仿宋_GB2312" w:cs="仿宋_GB2312" w:hint="eastAsia"/>
          <w:bCs/>
          <w:iCs/>
          <w:szCs w:val="32"/>
        </w:rPr>
        <w:t>年县</w:t>
      </w:r>
      <w:r>
        <w:rPr>
          <w:rFonts w:ascii="仿宋_GB2312" w:hAnsi="仿宋_GB2312" w:cs="仿宋_GB2312" w:hint="eastAsia"/>
          <w:bCs/>
          <w:iCs/>
          <w:szCs w:val="32"/>
        </w:rPr>
        <w:t>级储备粮保管费</w:t>
      </w:r>
      <w:r>
        <w:rPr>
          <w:rFonts w:ascii="仿宋_GB2312" w:hAnsi="仿宋_GB2312" w:cs="仿宋_GB2312" w:hint="eastAsia"/>
          <w:bCs/>
          <w:iCs/>
          <w:szCs w:val="32"/>
        </w:rPr>
        <w:t>20</w:t>
      </w:r>
      <w:r>
        <w:rPr>
          <w:rFonts w:ascii="仿宋_GB2312" w:hAnsi="仿宋_GB2312" w:cs="仿宋_GB2312" w:hint="eastAsia"/>
          <w:bCs/>
          <w:iCs/>
          <w:szCs w:val="32"/>
        </w:rPr>
        <w:t>万元</w:t>
      </w:r>
      <w:r>
        <w:rPr>
          <w:rFonts w:ascii="仿宋_GB2312" w:hAnsi="仿宋_GB2312" w:cs="仿宋_GB2312"/>
          <w:bCs/>
          <w:iCs/>
          <w:szCs w:val="32"/>
        </w:rPr>
        <w:t>。</w:t>
      </w:r>
    </w:p>
    <w:p w:rsidR="00B00962" w:rsidRDefault="00EB5CA1">
      <w:pPr>
        <w:ind w:firstLine="640"/>
        <w:rPr>
          <w:rFonts w:ascii="仿宋_GB2312" w:hAnsi="仿宋_GB2312" w:cs="仿宋_GB2312"/>
          <w:bCs/>
          <w:iCs/>
          <w:sz w:val="30"/>
          <w:szCs w:val="30"/>
        </w:rPr>
      </w:pPr>
      <w:r>
        <w:rPr>
          <w:rFonts w:ascii="仿宋_GB2312" w:hAnsi="仿宋_GB2312" w:cs="仿宋_GB2312"/>
          <w:bCs/>
          <w:iCs/>
          <w:szCs w:val="32"/>
        </w:rPr>
        <w:t>实施</w:t>
      </w:r>
      <w:r>
        <w:rPr>
          <w:rFonts w:ascii="仿宋_GB2312" w:hAnsi="仿宋_GB2312" w:cs="仿宋_GB2312" w:hint="eastAsia"/>
          <w:bCs/>
          <w:iCs/>
          <w:szCs w:val="32"/>
        </w:rPr>
        <w:t>2024-2025</w:t>
      </w:r>
      <w:r>
        <w:rPr>
          <w:rFonts w:ascii="仿宋_GB2312" w:hAnsi="仿宋_GB2312" w:cs="仿宋_GB2312" w:hint="eastAsia"/>
          <w:bCs/>
          <w:iCs/>
          <w:szCs w:val="32"/>
        </w:rPr>
        <w:t>年县级储备粮保管费</w:t>
      </w:r>
      <w:r>
        <w:rPr>
          <w:rFonts w:ascii="仿宋_GB2312" w:hAnsi="仿宋_GB2312" w:cs="仿宋_GB2312"/>
          <w:bCs/>
          <w:iCs/>
          <w:szCs w:val="32"/>
        </w:rPr>
        <w:t>投入</w:t>
      </w:r>
      <w:r>
        <w:rPr>
          <w:rFonts w:ascii="仿宋_GB2312" w:hAnsi="仿宋_GB2312" w:cs="仿宋_GB2312" w:hint="eastAsia"/>
          <w:bCs/>
          <w:iCs/>
          <w:szCs w:val="32"/>
        </w:rPr>
        <w:t>20</w:t>
      </w:r>
      <w:r>
        <w:rPr>
          <w:rFonts w:ascii="仿宋_GB2312" w:hAnsi="仿宋_GB2312" w:cs="仿宋_GB2312"/>
          <w:bCs/>
          <w:iCs/>
          <w:szCs w:val="32"/>
        </w:rPr>
        <w:t>万元，其中</w:t>
      </w:r>
      <w:r>
        <w:rPr>
          <w:rFonts w:ascii="仿宋_GB2312" w:hAnsi="仿宋_GB2312" w:cs="仿宋_GB2312" w:hint="eastAsia"/>
          <w:bCs/>
          <w:iCs/>
          <w:szCs w:val="32"/>
        </w:rPr>
        <w:t>县级</w:t>
      </w:r>
      <w:r>
        <w:rPr>
          <w:rFonts w:ascii="仿宋_GB2312" w:hAnsi="仿宋_GB2312" w:cs="仿宋_GB2312"/>
          <w:bCs/>
          <w:iCs/>
          <w:szCs w:val="32"/>
        </w:rPr>
        <w:t>资金</w:t>
      </w:r>
      <w:r>
        <w:rPr>
          <w:rFonts w:ascii="仿宋_GB2312" w:hAnsi="仿宋_GB2312" w:cs="仿宋_GB2312" w:hint="eastAsia"/>
          <w:bCs/>
          <w:iCs/>
          <w:szCs w:val="32"/>
        </w:rPr>
        <w:t>20</w:t>
      </w:r>
      <w:r>
        <w:rPr>
          <w:rFonts w:ascii="仿宋_GB2312" w:hAnsi="仿宋_GB2312" w:cs="仿宋_GB2312"/>
          <w:bCs/>
          <w:iCs/>
          <w:szCs w:val="32"/>
        </w:rPr>
        <w:t>万元</w:t>
      </w:r>
      <w:r>
        <w:rPr>
          <w:rFonts w:ascii="仿宋_GB2312" w:hAnsi="仿宋_GB2312" w:cs="仿宋_GB2312" w:hint="eastAsia"/>
          <w:bCs/>
          <w:iCs/>
          <w:szCs w:val="32"/>
        </w:rPr>
        <w:t>。</w:t>
      </w:r>
    </w:p>
    <w:p w:rsidR="00B00962" w:rsidRDefault="00EB5CA1">
      <w:pPr>
        <w:ind w:firstLine="643"/>
        <w:rPr>
          <w:rFonts w:cs="Times New Roman"/>
          <w:b/>
          <w:bCs/>
        </w:rPr>
      </w:pPr>
      <w:bookmarkStart w:id="15" w:name="_Toc10837"/>
      <w:r>
        <w:rPr>
          <w:rFonts w:cs="Times New Roman"/>
          <w:b/>
          <w:bCs/>
        </w:rPr>
        <w:t>5.</w:t>
      </w:r>
      <w:r>
        <w:rPr>
          <w:rFonts w:cs="Times New Roman"/>
          <w:b/>
          <w:bCs/>
        </w:rPr>
        <w:t>资金使用情况</w:t>
      </w:r>
      <w:bookmarkEnd w:id="14"/>
      <w:bookmarkEnd w:id="15"/>
    </w:p>
    <w:p w:rsidR="00B00962" w:rsidRDefault="00EB5CA1">
      <w:pPr>
        <w:ind w:firstLine="640"/>
        <w:rPr>
          <w:rFonts w:ascii="仿宋_GB2312" w:hAnsi="仿宋_GB2312" w:cs="仿宋_GB2312"/>
          <w:bCs/>
          <w:iCs/>
          <w:szCs w:val="32"/>
        </w:rPr>
      </w:pPr>
      <w:r>
        <w:rPr>
          <w:rFonts w:ascii="仿宋_GB2312" w:hAnsi="仿宋_GB2312" w:cs="仿宋_GB2312" w:hint="eastAsia"/>
          <w:bCs/>
          <w:iCs/>
          <w:szCs w:val="32"/>
        </w:rPr>
        <w:t>2024</w:t>
      </w:r>
      <w:r>
        <w:rPr>
          <w:rFonts w:ascii="仿宋_GB2312" w:hAnsi="仿宋_GB2312" w:cs="仿宋_GB2312"/>
          <w:bCs/>
          <w:iCs/>
          <w:szCs w:val="32"/>
        </w:rPr>
        <w:t>年初预算数</w:t>
      </w:r>
      <w:r>
        <w:rPr>
          <w:rFonts w:ascii="仿宋_GB2312" w:hAnsi="仿宋_GB2312" w:cs="仿宋_GB2312" w:hint="eastAsia"/>
          <w:bCs/>
          <w:iCs/>
          <w:szCs w:val="32"/>
        </w:rPr>
        <w:t>20</w:t>
      </w:r>
      <w:r>
        <w:rPr>
          <w:rFonts w:ascii="仿宋_GB2312" w:hAnsi="仿宋_GB2312" w:cs="仿宋_GB2312"/>
          <w:bCs/>
          <w:iCs/>
          <w:szCs w:val="32"/>
        </w:rPr>
        <w:t>万元，实际到位资金</w:t>
      </w:r>
      <w:r>
        <w:rPr>
          <w:rFonts w:ascii="仿宋_GB2312" w:hAnsi="仿宋_GB2312" w:cs="仿宋_GB2312" w:hint="eastAsia"/>
          <w:bCs/>
          <w:iCs/>
          <w:szCs w:val="32"/>
        </w:rPr>
        <w:t>20</w:t>
      </w:r>
      <w:r>
        <w:rPr>
          <w:rFonts w:ascii="仿宋_GB2312" w:hAnsi="仿宋_GB2312" w:cs="仿宋_GB2312"/>
          <w:bCs/>
          <w:iCs/>
          <w:szCs w:val="32"/>
        </w:rPr>
        <w:t>万元。截</w:t>
      </w:r>
      <w:r>
        <w:rPr>
          <w:rFonts w:ascii="仿宋_GB2312" w:hAnsi="仿宋_GB2312" w:cs="仿宋_GB2312" w:hint="eastAsia"/>
          <w:bCs/>
          <w:iCs/>
          <w:szCs w:val="32"/>
        </w:rPr>
        <w:t>至</w:t>
      </w:r>
      <w:r>
        <w:rPr>
          <w:rFonts w:ascii="仿宋_GB2312" w:hAnsi="仿宋_GB2312" w:cs="仿宋_GB2312"/>
          <w:bCs/>
          <w:iCs/>
          <w:szCs w:val="32"/>
        </w:rPr>
        <w:t>202</w:t>
      </w:r>
      <w:r>
        <w:rPr>
          <w:rFonts w:ascii="仿宋_GB2312" w:hAnsi="仿宋_GB2312" w:cs="仿宋_GB2312" w:hint="eastAsia"/>
          <w:bCs/>
          <w:iCs/>
          <w:szCs w:val="32"/>
        </w:rPr>
        <w:t>4</w:t>
      </w:r>
      <w:r>
        <w:rPr>
          <w:rFonts w:ascii="仿宋_GB2312" w:hAnsi="仿宋_GB2312" w:cs="仿宋_GB2312"/>
          <w:bCs/>
          <w:iCs/>
          <w:szCs w:val="32"/>
        </w:rPr>
        <w:t>年</w:t>
      </w:r>
      <w:r>
        <w:rPr>
          <w:rFonts w:ascii="仿宋_GB2312" w:hAnsi="仿宋_GB2312" w:cs="仿宋_GB2312"/>
          <w:bCs/>
          <w:iCs/>
          <w:szCs w:val="32"/>
        </w:rPr>
        <w:t>12</w:t>
      </w:r>
      <w:r>
        <w:rPr>
          <w:rFonts w:ascii="仿宋_GB2312" w:hAnsi="仿宋_GB2312" w:cs="仿宋_GB2312"/>
          <w:bCs/>
          <w:iCs/>
          <w:szCs w:val="32"/>
        </w:rPr>
        <w:t>月</w:t>
      </w:r>
      <w:r>
        <w:rPr>
          <w:rFonts w:ascii="仿宋_GB2312" w:hAnsi="仿宋_GB2312" w:cs="仿宋_GB2312"/>
          <w:bCs/>
          <w:iCs/>
          <w:szCs w:val="32"/>
        </w:rPr>
        <w:t>31</w:t>
      </w:r>
      <w:r>
        <w:rPr>
          <w:rFonts w:ascii="仿宋_GB2312" w:hAnsi="仿宋_GB2312" w:cs="仿宋_GB2312"/>
          <w:bCs/>
          <w:iCs/>
          <w:szCs w:val="32"/>
        </w:rPr>
        <w:t>日，项目实际使用资金</w:t>
      </w:r>
      <w:r>
        <w:rPr>
          <w:rFonts w:ascii="仿宋_GB2312" w:hAnsi="仿宋_GB2312" w:cs="仿宋_GB2312" w:hint="eastAsia"/>
          <w:bCs/>
          <w:iCs/>
          <w:szCs w:val="32"/>
        </w:rPr>
        <w:t>20</w:t>
      </w:r>
      <w:r>
        <w:rPr>
          <w:rFonts w:ascii="仿宋_GB2312" w:hAnsi="仿宋_GB2312" w:cs="仿宋_GB2312"/>
          <w:bCs/>
          <w:iCs/>
          <w:szCs w:val="32"/>
        </w:rPr>
        <w:t>万元，资金使用率达到了</w:t>
      </w:r>
      <w:r>
        <w:rPr>
          <w:rFonts w:ascii="仿宋_GB2312" w:hAnsi="仿宋_GB2312" w:cs="仿宋_GB2312"/>
          <w:bCs/>
          <w:iCs/>
          <w:szCs w:val="32"/>
        </w:rPr>
        <w:t>100%</w:t>
      </w:r>
      <w:r>
        <w:rPr>
          <w:rFonts w:ascii="仿宋_GB2312" w:hAnsi="仿宋_GB2312" w:cs="仿宋_GB2312"/>
          <w:bCs/>
          <w:iCs/>
          <w:szCs w:val="32"/>
        </w:rPr>
        <w:t>。具体资金支付情况</w:t>
      </w:r>
      <w:r>
        <w:rPr>
          <w:rFonts w:ascii="仿宋_GB2312" w:hAnsi="仿宋_GB2312" w:cs="仿宋_GB2312" w:hint="eastAsia"/>
          <w:bCs/>
          <w:iCs/>
          <w:szCs w:val="32"/>
        </w:rPr>
        <w:t>如下</w:t>
      </w:r>
      <w:r>
        <w:rPr>
          <w:rFonts w:ascii="仿宋_GB2312" w:hAnsi="仿宋_GB2312" w:cs="仿宋_GB2312"/>
          <w:bCs/>
          <w:iCs/>
          <w:szCs w:val="32"/>
        </w:rPr>
        <w:t>：</w:t>
      </w:r>
    </w:p>
    <w:p w:rsidR="00B00962" w:rsidRDefault="00EB5CA1">
      <w:pPr>
        <w:ind w:firstLine="640"/>
        <w:rPr>
          <w:rFonts w:cs="Times New Roman"/>
          <w:szCs w:val="32"/>
        </w:rPr>
      </w:pPr>
      <w:r>
        <w:rPr>
          <w:rFonts w:ascii="仿宋_GB2312" w:hAnsi="仿宋_GB2312" w:cs="仿宋_GB2312"/>
          <w:bCs/>
          <w:iCs/>
          <w:szCs w:val="32"/>
        </w:rPr>
        <w:t>202</w:t>
      </w:r>
      <w:r>
        <w:rPr>
          <w:rFonts w:ascii="仿宋_GB2312" w:hAnsi="仿宋_GB2312" w:cs="仿宋_GB2312" w:hint="eastAsia"/>
          <w:bCs/>
          <w:iCs/>
          <w:szCs w:val="32"/>
        </w:rPr>
        <w:t>4</w:t>
      </w:r>
      <w:r>
        <w:rPr>
          <w:rFonts w:ascii="仿宋_GB2312" w:hAnsi="仿宋_GB2312" w:cs="仿宋_GB2312"/>
          <w:bCs/>
          <w:iCs/>
          <w:szCs w:val="32"/>
        </w:rPr>
        <w:t>年</w:t>
      </w:r>
      <w:r>
        <w:rPr>
          <w:rFonts w:ascii="仿宋_GB2312" w:hAnsi="仿宋_GB2312" w:cs="仿宋_GB2312" w:hint="eastAsia"/>
          <w:bCs/>
          <w:iCs/>
          <w:szCs w:val="32"/>
        </w:rPr>
        <w:t>11</w:t>
      </w:r>
      <w:r>
        <w:rPr>
          <w:rFonts w:ascii="仿宋_GB2312" w:hAnsi="仿宋_GB2312" w:cs="仿宋_GB2312"/>
          <w:bCs/>
          <w:iCs/>
          <w:szCs w:val="32"/>
        </w:rPr>
        <w:t>月</w:t>
      </w:r>
      <w:r>
        <w:rPr>
          <w:rFonts w:ascii="仿宋_GB2312" w:hAnsi="仿宋_GB2312" w:cs="仿宋_GB2312" w:hint="eastAsia"/>
          <w:bCs/>
          <w:iCs/>
          <w:szCs w:val="32"/>
        </w:rPr>
        <w:t>20</w:t>
      </w:r>
      <w:r>
        <w:rPr>
          <w:rFonts w:ascii="仿宋_GB2312" w:hAnsi="仿宋_GB2312" w:cs="仿宋_GB2312"/>
          <w:bCs/>
          <w:iCs/>
          <w:szCs w:val="32"/>
        </w:rPr>
        <w:t>日，支付</w:t>
      </w:r>
      <w:r>
        <w:rPr>
          <w:rFonts w:ascii="仿宋_GB2312" w:hAnsi="仿宋_GB2312" w:cs="仿宋_GB2312" w:hint="eastAsia"/>
          <w:bCs/>
          <w:iCs/>
          <w:szCs w:val="32"/>
        </w:rPr>
        <w:t>尉犁县聚穗粮油购销储备有限公司</w:t>
      </w:r>
      <w:r>
        <w:rPr>
          <w:rFonts w:ascii="仿宋_GB2312" w:hAnsi="仿宋_GB2312" w:cs="仿宋_GB2312" w:hint="eastAsia"/>
          <w:bCs/>
          <w:iCs/>
          <w:szCs w:val="32"/>
        </w:rPr>
        <w:t>2024-2025</w:t>
      </w:r>
      <w:r>
        <w:rPr>
          <w:rFonts w:ascii="仿宋_GB2312" w:hAnsi="仿宋_GB2312" w:cs="仿宋_GB2312" w:hint="eastAsia"/>
          <w:bCs/>
          <w:iCs/>
          <w:szCs w:val="32"/>
        </w:rPr>
        <w:t>年县级储备粮</w:t>
      </w:r>
      <w:r>
        <w:rPr>
          <w:rFonts w:ascii="仿宋_GB2312" w:hAnsi="仿宋_GB2312" w:cs="仿宋_GB2312" w:hint="eastAsia"/>
          <w:bCs/>
          <w:iCs/>
          <w:szCs w:val="32"/>
        </w:rPr>
        <w:t>20</w:t>
      </w:r>
      <w:r>
        <w:rPr>
          <w:rFonts w:ascii="仿宋_GB2312" w:hAnsi="仿宋_GB2312" w:cs="仿宋_GB2312"/>
          <w:bCs/>
          <w:iCs/>
          <w:szCs w:val="32"/>
        </w:rPr>
        <w:t>万元</w:t>
      </w:r>
      <w:r>
        <w:rPr>
          <w:rFonts w:ascii="仿宋_GB2312" w:hAnsi="仿宋_GB2312" w:cs="仿宋_GB2312" w:hint="eastAsia"/>
          <w:bCs/>
          <w:iCs/>
          <w:szCs w:val="32"/>
        </w:rPr>
        <w:t>，支付率</w:t>
      </w:r>
      <w:r>
        <w:rPr>
          <w:rFonts w:ascii="仿宋_GB2312" w:hAnsi="仿宋_GB2312" w:cs="仿宋_GB2312" w:hint="eastAsia"/>
          <w:bCs/>
          <w:iCs/>
          <w:szCs w:val="32"/>
        </w:rPr>
        <w:t>100%</w:t>
      </w:r>
      <w:r>
        <w:rPr>
          <w:rFonts w:ascii="仿宋_GB2312" w:hAnsi="仿宋_GB2312" w:cs="仿宋_GB2312" w:hint="eastAsia"/>
          <w:bCs/>
          <w:iCs/>
          <w:szCs w:val="32"/>
        </w:rPr>
        <w:t>。</w:t>
      </w:r>
    </w:p>
    <w:p w:rsidR="00B00962" w:rsidRDefault="00EB5CA1">
      <w:pPr>
        <w:pStyle w:val="3"/>
        <w:ind w:firstLine="643"/>
      </w:pPr>
      <w:bookmarkStart w:id="16" w:name="_Toc25187"/>
      <w:bookmarkStart w:id="17" w:name="_Toc8950"/>
      <w:bookmarkStart w:id="18" w:name="_Toc31302"/>
      <w:bookmarkStart w:id="19" w:name="_Toc26395"/>
      <w:bookmarkStart w:id="20" w:name="_Toc11967"/>
      <w:bookmarkStart w:id="21" w:name="_Toc9567"/>
      <w:bookmarkStart w:id="22" w:name="_Toc14296"/>
      <w:r>
        <w:lastRenderedPageBreak/>
        <w:t>（二）项目绩效目标</w:t>
      </w:r>
      <w:bookmarkEnd w:id="16"/>
      <w:bookmarkEnd w:id="17"/>
    </w:p>
    <w:p w:rsidR="00B00962" w:rsidRDefault="00EB5CA1">
      <w:pPr>
        <w:ind w:firstLine="643"/>
        <w:rPr>
          <w:b/>
          <w:bCs/>
        </w:rPr>
      </w:pPr>
      <w:r>
        <w:rPr>
          <w:rFonts w:hint="eastAsia"/>
          <w:b/>
          <w:bCs/>
        </w:rPr>
        <w:t>1</w:t>
      </w:r>
      <w:r>
        <w:rPr>
          <w:rFonts w:hint="eastAsia"/>
          <w:b/>
          <w:bCs/>
        </w:rPr>
        <w:t>、总体目标</w:t>
      </w:r>
      <w:bookmarkEnd w:id="18"/>
      <w:bookmarkEnd w:id="19"/>
      <w:bookmarkEnd w:id="20"/>
      <w:bookmarkEnd w:id="21"/>
      <w:bookmarkEnd w:id="22"/>
    </w:p>
    <w:p w:rsidR="00B00962" w:rsidRDefault="00EB5CA1">
      <w:pPr>
        <w:ind w:firstLine="640"/>
        <w:rPr>
          <w:rFonts w:cs="Times New Roman"/>
        </w:rPr>
      </w:pPr>
      <w:bookmarkStart w:id="23" w:name="_Toc10045"/>
      <w:r>
        <w:rPr>
          <w:rFonts w:ascii="仿宋_GB2312" w:hAnsi="仿宋_GB2312" w:cs="仿宋_GB2312" w:hint="eastAsia"/>
          <w:bCs/>
          <w:iCs/>
          <w:szCs w:val="32"/>
        </w:rPr>
        <w:t>确保全县粮食安全，增强政府对粮油市场的调控能力，有效应对重大自然灾害、事故灾难、公共卫生等灾害突发情况，保障城乡居民生活需求；减轻储备粮企业经营负担，拨付</w:t>
      </w:r>
      <w:r>
        <w:rPr>
          <w:rFonts w:ascii="仿宋_GB2312" w:hAnsi="仿宋_GB2312" w:cs="仿宋_GB2312" w:hint="eastAsia"/>
          <w:bCs/>
          <w:iCs/>
          <w:szCs w:val="32"/>
        </w:rPr>
        <w:t>1</w:t>
      </w:r>
      <w:r>
        <w:rPr>
          <w:rFonts w:ascii="仿宋_GB2312" w:hAnsi="仿宋_GB2312" w:cs="仿宋_GB2312" w:hint="eastAsia"/>
          <w:bCs/>
          <w:iCs/>
          <w:szCs w:val="32"/>
        </w:rPr>
        <w:t>家储粮企业</w:t>
      </w:r>
      <w:r>
        <w:rPr>
          <w:rFonts w:ascii="仿宋_GB2312" w:hAnsi="仿宋_GB2312" w:cs="仿宋_GB2312" w:hint="eastAsia"/>
          <w:bCs/>
          <w:iCs/>
          <w:szCs w:val="32"/>
        </w:rPr>
        <w:t>2000</w:t>
      </w:r>
      <w:r>
        <w:rPr>
          <w:rFonts w:ascii="仿宋_GB2312" w:hAnsi="仿宋_GB2312" w:cs="仿宋_GB2312" w:hint="eastAsia"/>
          <w:bCs/>
          <w:iCs/>
          <w:szCs w:val="32"/>
        </w:rPr>
        <w:t>吨储备粮保管费。</w:t>
      </w:r>
    </w:p>
    <w:p w:rsidR="00B00962" w:rsidRDefault="00EB5CA1">
      <w:pPr>
        <w:numPr>
          <w:ilvl w:val="0"/>
          <w:numId w:val="3"/>
        </w:numPr>
        <w:ind w:firstLine="643"/>
        <w:rPr>
          <w:rFonts w:cs="Times New Roman"/>
          <w:b/>
          <w:bCs/>
        </w:rPr>
      </w:pPr>
      <w:bookmarkStart w:id="24" w:name="_Toc11195"/>
      <w:r>
        <w:rPr>
          <w:rFonts w:cs="Times New Roman"/>
          <w:b/>
          <w:bCs/>
        </w:rPr>
        <w:t>阶段性目标</w:t>
      </w:r>
      <w:bookmarkEnd w:id="23"/>
      <w:bookmarkEnd w:id="24"/>
    </w:p>
    <w:p w:rsidR="00B00962" w:rsidRDefault="00EB5CA1">
      <w:pPr>
        <w:ind w:firstLine="640"/>
      </w:pPr>
      <w:r>
        <w:rPr>
          <w:rFonts w:hint="eastAsia"/>
        </w:rPr>
        <w:t>按照《关于建立尉犁县县级储备粮有关事宜的通知》</w:t>
      </w:r>
      <w:r>
        <w:t>（尉</w:t>
      </w:r>
      <w:r>
        <w:rPr>
          <w:rFonts w:hint="eastAsia"/>
        </w:rPr>
        <w:t>发改</w:t>
      </w:r>
      <w:r>
        <w:t>〔</w:t>
      </w:r>
      <w:r>
        <w:t>202</w:t>
      </w:r>
      <w:r>
        <w:rPr>
          <w:rFonts w:hint="eastAsia"/>
        </w:rPr>
        <w:t>2</w:t>
      </w:r>
      <w:r>
        <w:t>〕</w:t>
      </w:r>
      <w:r>
        <w:rPr>
          <w:rFonts w:hint="eastAsia"/>
        </w:rPr>
        <w:t>21</w:t>
      </w:r>
      <w:r>
        <w:t>号）</w:t>
      </w:r>
      <w:r>
        <w:rPr>
          <w:rFonts w:hint="eastAsia"/>
        </w:rPr>
        <w:t>文件要求，认真落实，发改委联合财政局、农发行等相关部门按时对县级储备粮检查，委托自治区粮油产品质量监督检查站对县级储备粮检验，并出具检验</w:t>
      </w:r>
      <w:r w:rsidR="00923719">
        <w:rPr>
          <w:rFonts w:hint="eastAsia"/>
        </w:rPr>
        <w:t>合格报告，尉犁县聚穗粮油购销储备有限公司储备的粮食符合县级储粮</w:t>
      </w:r>
      <w:r>
        <w:rPr>
          <w:rFonts w:hint="eastAsia"/>
        </w:rPr>
        <w:t>标准。</w:t>
      </w:r>
      <w:bookmarkStart w:id="25" w:name="_Toc25321"/>
      <w:bookmarkStart w:id="26" w:name="_Toc31122"/>
      <w:bookmarkStart w:id="27" w:name="_Toc6534"/>
      <w:bookmarkStart w:id="28" w:name="_Toc6156"/>
      <w:bookmarkStart w:id="29" w:name="_Toc857"/>
      <w:r>
        <w:rPr>
          <w:rFonts w:hint="eastAsia"/>
        </w:rPr>
        <w:t>2024</w:t>
      </w:r>
      <w:r>
        <w:rPr>
          <w:rFonts w:hint="eastAsia"/>
        </w:rPr>
        <w:t>年</w:t>
      </w:r>
      <w:r>
        <w:rPr>
          <w:rFonts w:hint="eastAsia"/>
        </w:rPr>
        <w:t>11</w:t>
      </w:r>
      <w:r>
        <w:rPr>
          <w:rFonts w:hint="eastAsia"/>
        </w:rPr>
        <w:t>月支持县级地储</w:t>
      </w:r>
      <w:r>
        <w:rPr>
          <w:rFonts w:hint="eastAsia"/>
        </w:rPr>
        <w:t>粮企业尉犁县聚穗粮油购销储备有限公司，储备粮保管费标准按</w:t>
      </w:r>
      <w:r>
        <w:rPr>
          <w:rFonts w:hint="eastAsia"/>
        </w:rPr>
        <w:t>0.1</w:t>
      </w:r>
      <w:r>
        <w:rPr>
          <w:rFonts w:hint="eastAsia"/>
        </w:rPr>
        <w:t>元</w:t>
      </w:r>
      <w:r>
        <w:rPr>
          <w:rFonts w:hint="eastAsia"/>
        </w:rPr>
        <w:t>/</w:t>
      </w:r>
      <w:r>
        <w:rPr>
          <w:rFonts w:hint="eastAsia"/>
        </w:rPr>
        <w:t>公斤拨付</w:t>
      </w:r>
      <w:r>
        <w:rPr>
          <w:rFonts w:hint="eastAsia"/>
        </w:rPr>
        <w:t>2024-2025</w:t>
      </w:r>
      <w:r>
        <w:rPr>
          <w:rFonts w:hint="eastAsia"/>
        </w:rPr>
        <w:t>年县级储备粮保管费项目资金</w:t>
      </w:r>
      <w:r>
        <w:rPr>
          <w:rFonts w:hint="eastAsia"/>
        </w:rPr>
        <w:t>20</w:t>
      </w:r>
      <w:r>
        <w:rPr>
          <w:rFonts w:hint="eastAsia"/>
        </w:rPr>
        <w:t>万元。</w:t>
      </w:r>
    </w:p>
    <w:p w:rsidR="00B00962" w:rsidRDefault="00EB5CA1">
      <w:pPr>
        <w:pStyle w:val="2"/>
        <w:ind w:firstLine="640"/>
      </w:pPr>
      <w:bookmarkStart w:id="30" w:name="_Toc3101"/>
      <w:bookmarkStart w:id="31" w:name="_Toc28824"/>
      <w:r>
        <w:rPr>
          <w:rFonts w:hint="eastAsia"/>
        </w:rPr>
        <w:t>二、绩效评价工作开展情况</w:t>
      </w:r>
      <w:bookmarkEnd w:id="30"/>
      <w:bookmarkEnd w:id="31"/>
    </w:p>
    <w:p w:rsidR="00B00962" w:rsidRDefault="00EB5CA1">
      <w:pPr>
        <w:pStyle w:val="3"/>
        <w:ind w:firstLine="643"/>
      </w:pPr>
      <w:bookmarkStart w:id="32" w:name="_Toc24175"/>
      <w:bookmarkStart w:id="33" w:name="_Toc2975"/>
      <w:r>
        <w:rPr>
          <w:rFonts w:hint="eastAsia"/>
        </w:rPr>
        <w:t>（一）绩效评价目的、对象和范围</w:t>
      </w:r>
      <w:bookmarkEnd w:id="25"/>
      <w:bookmarkEnd w:id="26"/>
      <w:bookmarkEnd w:id="27"/>
      <w:bookmarkEnd w:id="28"/>
      <w:bookmarkEnd w:id="29"/>
      <w:bookmarkEnd w:id="32"/>
      <w:bookmarkEnd w:id="33"/>
    </w:p>
    <w:p w:rsidR="00B00962" w:rsidRDefault="00EB5CA1">
      <w:pPr>
        <w:ind w:firstLine="643"/>
        <w:rPr>
          <w:rFonts w:cs="Times New Roman"/>
          <w:b/>
          <w:bCs/>
        </w:rPr>
      </w:pPr>
      <w:bookmarkStart w:id="34" w:name="_Toc12440"/>
      <w:bookmarkStart w:id="35" w:name="_Toc11562"/>
      <w:r>
        <w:rPr>
          <w:rFonts w:cs="Times New Roman"/>
          <w:b/>
          <w:bCs/>
        </w:rPr>
        <w:t>1.</w:t>
      </w:r>
      <w:r>
        <w:rPr>
          <w:rFonts w:cs="Times New Roman"/>
          <w:b/>
          <w:bCs/>
        </w:rPr>
        <w:t>绩效评价目的</w:t>
      </w:r>
      <w:bookmarkEnd w:id="34"/>
      <w:bookmarkEnd w:id="35"/>
    </w:p>
    <w:p w:rsidR="00B00962" w:rsidRDefault="00EB5CA1">
      <w:pPr>
        <w:ind w:firstLine="640"/>
      </w:pPr>
      <w:r>
        <w:rPr>
          <w:rFonts w:cs="Times New Roman"/>
        </w:rPr>
        <w:t>本次绩效评价遵循财政部《关于印发</w:t>
      </w:r>
      <w:r>
        <w:rPr>
          <w:rFonts w:cs="Times New Roman"/>
        </w:rPr>
        <w:t>〈</w:t>
      </w:r>
      <w:r>
        <w:rPr>
          <w:rFonts w:cs="Times New Roman"/>
        </w:rPr>
        <w:t>项目支出绩效评价管理办法</w:t>
      </w:r>
      <w:r>
        <w:rPr>
          <w:rFonts w:cs="Times New Roman"/>
        </w:rPr>
        <w:t>〉</w:t>
      </w:r>
      <w:r>
        <w:rPr>
          <w:rFonts w:cs="Times New Roman"/>
        </w:rPr>
        <w:t>的通知》（财预〔</w:t>
      </w:r>
      <w:r>
        <w:rPr>
          <w:rFonts w:cs="Times New Roman"/>
        </w:rPr>
        <w:t>2020</w:t>
      </w:r>
      <w:r>
        <w:rPr>
          <w:rFonts w:cs="Times New Roman"/>
        </w:rPr>
        <w:t>〕</w:t>
      </w:r>
      <w:r>
        <w:rPr>
          <w:rFonts w:cs="Times New Roman"/>
        </w:rPr>
        <w:t>10</w:t>
      </w:r>
      <w:r>
        <w:rPr>
          <w:rFonts w:cs="Times New Roman"/>
        </w:rPr>
        <w:t>号）文件精神，对</w:t>
      </w:r>
      <w:r>
        <w:rPr>
          <w:rFonts w:cs="Times New Roman" w:hint="eastAsia"/>
        </w:rPr>
        <w:t>2024-2025</w:t>
      </w:r>
      <w:r>
        <w:rPr>
          <w:rFonts w:cs="Times New Roman" w:hint="eastAsia"/>
        </w:rPr>
        <w:t>年县级储备粮保管费</w:t>
      </w:r>
      <w:r>
        <w:rPr>
          <w:rFonts w:cs="Times New Roman"/>
        </w:rPr>
        <w:t>预算编制合理性、资金使用合规性、项目管理的规范性、项目目标的实现情况、服务对</w:t>
      </w:r>
      <w:r>
        <w:rPr>
          <w:rFonts w:cs="Times New Roman"/>
        </w:rPr>
        <w:lastRenderedPageBreak/>
        <w:t>象的满意度等，通过部门自评来总结经验，促进项目成果转化和应用，查找其存在的不足，为今后类</w:t>
      </w:r>
      <w:r>
        <w:rPr>
          <w:rFonts w:cs="Times New Roman"/>
        </w:rPr>
        <w:t>似项目的长效管理，资金使用规范性以及加强制定相关制度、采取措施等方面提供参考，不断提高财政资金使用效益和项目管理水平。</w:t>
      </w:r>
      <w:bookmarkStart w:id="36" w:name="OLE_LINK7"/>
      <w:r>
        <w:rPr>
          <w:rFonts w:hint="eastAsia"/>
        </w:rPr>
        <w:t>具体绩效评价的目的细分如下：</w:t>
      </w:r>
    </w:p>
    <w:p w:rsidR="00B00962" w:rsidRDefault="00EB5CA1">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w:t>
      </w:r>
      <w:r>
        <w:rPr>
          <w:rFonts w:hint="eastAsia"/>
        </w:rPr>
        <w:t>，</w:t>
      </w:r>
      <w:r>
        <w:rPr>
          <w:rFonts w:hint="eastAsia"/>
        </w:rPr>
        <w:t>提升财政资金的使用效能。</w:t>
      </w:r>
    </w:p>
    <w:p w:rsidR="00B00962" w:rsidRDefault="00EB5CA1">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B00962" w:rsidRDefault="00EB5CA1">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w:t>
      </w:r>
      <w:r>
        <w:rPr>
          <w:rFonts w:hint="eastAsia"/>
        </w:rPr>
        <w:t>效预算转变，逐步建立“以绩效目标为导向，以绩效评价为手段，以评价结果应用为保障，全方位、全覆盖、全过程”的绩效预算管理新体制。</w:t>
      </w:r>
    </w:p>
    <w:p w:rsidR="00B00962" w:rsidRDefault="00EB5CA1">
      <w:pPr>
        <w:ind w:firstLine="640"/>
        <w:rPr>
          <w:rFonts w:cs="Times New Roman"/>
        </w:rPr>
      </w:pPr>
      <w:r>
        <w:rPr>
          <w:rFonts w:hint="eastAsia"/>
        </w:rPr>
        <w:lastRenderedPageBreak/>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36"/>
    </w:p>
    <w:p w:rsidR="00B00962" w:rsidRDefault="00EB5CA1">
      <w:pPr>
        <w:ind w:firstLine="643"/>
        <w:rPr>
          <w:rFonts w:cs="Times New Roman"/>
          <w:b/>
          <w:bCs/>
        </w:rPr>
      </w:pPr>
      <w:bookmarkStart w:id="37" w:name="_Toc8924"/>
      <w:bookmarkStart w:id="38" w:name="_Toc2159"/>
      <w:r>
        <w:rPr>
          <w:rFonts w:cs="Times New Roman"/>
          <w:b/>
          <w:bCs/>
        </w:rPr>
        <w:t>2.</w:t>
      </w:r>
      <w:r>
        <w:rPr>
          <w:rFonts w:cs="Times New Roman"/>
          <w:b/>
          <w:bCs/>
        </w:rPr>
        <w:t>绩效评价对象</w:t>
      </w:r>
      <w:bookmarkEnd w:id="37"/>
      <w:r>
        <w:rPr>
          <w:rFonts w:cs="Times New Roman"/>
          <w:b/>
          <w:bCs/>
        </w:rPr>
        <w:t>和范围</w:t>
      </w:r>
      <w:bookmarkEnd w:id="38"/>
    </w:p>
    <w:p w:rsidR="00B00962" w:rsidRDefault="00EB5CA1">
      <w:pPr>
        <w:ind w:firstLine="640"/>
        <w:jc w:val="left"/>
        <w:rPr>
          <w:rFonts w:cs="Times New Roman"/>
        </w:rPr>
      </w:pPr>
      <w:r>
        <w:rPr>
          <w:rFonts w:cs="Times New Roman"/>
        </w:rPr>
        <w:t>根据《财政支出绩效评价管理办法》（财预〔</w:t>
      </w:r>
      <w:r>
        <w:rPr>
          <w:rFonts w:cs="Times New Roman"/>
        </w:rPr>
        <w:t>2020</w:t>
      </w:r>
      <w:r>
        <w:rPr>
          <w:rFonts w:cs="Times New Roman"/>
        </w:rPr>
        <w:t>〕</w:t>
      </w:r>
      <w:r>
        <w:rPr>
          <w:rFonts w:cs="Times New Roman"/>
        </w:rPr>
        <w:t>10</w:t>
      </w:r>
      <w:r>
        <w:rPr>
          <w:rFonts w:cs="Times New Roman"/>
        </w:rPr>
        <w:t>号）文件要求，对</w:t>
      </w:r>
      <w:r>
        <w:rPr>
          <w:rFonts w:cs="Times New Roman" w:hint="eastAsia"/>
        </w:rPr>
        <w:t>2024-2025</w:t>
      </w:r>
      <w:r>
        <w:rPr>
          <w:rFonts w:cs="Times New Roman" w:hint="eastAsia"/>
        </w:rPr>
        <w:t>年县级储备粮保管费</w:t>
      </w:r>
      <w:r>
        <w:rPr>
          <w:rFonts w:cs="Times New Roman"/>
        </w:rPr>
        <w:t>开展绩效评价，</w:t>
      </w:r>
      <w:r>
        <w:t>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B00962" w:rsidRDefault="00EB5CA1">
      <w:pPr>
        <w:pStyle w:val="3"/>
        <w:ind w:firstLine="643"/>
      </w:pPr>
      <w:bookmarkStart w:id="39" w:name="_Toc18082"/>
      <w:bookmarkStart w:id="40" w:name="_Toc5109"/>
      <w:bookmarkStart w:id="41" w:name="_Toc15409"/>
      <w:bookmarkStart w:id="42" w:name="_Toc17158"/>
      <w:bookmarkStart w:id="43" w:name="_Toc13496"/>
      <w:bookmarkStart w:id="44" w:name="_Toc19566"/>
      <w:r>
        <w:rPr>
          <w:rFonts w:hint="eastAsia"/>
        </w:rPr>
        <w:t>（二）绩效评价原则、评价指标体系、评价方法、评价标准</w:t>
      </w:r>
      <w:bookmarkEnd w:id="39"/>
      <w:bookmarkEnd w:id="40"/>
    </w:p>
    <w:p w:rsidR="00B00962" w:rsidRDefault="00EB5CA1">
      <w:pPr>
        <w:ind w:firstLine="643"/>
        <w:rPr>
          <w:b/>
          <w:bCs/>
        </w:rPr>
      </w:pPr>
      <w:r>
        <w:rPr>
          <w:b/>
          <w:bCs/>
        </w:rPr>
        <w:t>1</w:t>
      </w:r>
      <w:r>
        <w:rPr>
          <w:b/>
          <w:bCs/>
        </w:rPr>
        <w:t>、绩效评价原则</w:t>
      </w:r>
      <w:bookmarkEnd w:id="41"/>
      <w:bookmarkEnd w:id="42"/>
      <w:bookmarkEnd w:id="43"/>
      <w:bookmarkEnd w:id="44"/>
    </w:p>
    <w:p w:rsidR="00B00962" w:rsidRDefault="00EB5CA1">
      <w:pPr>
        <w:ind w:firstLine="640"/>
        <w:jc w:val="left"/>
      </w:pPr>
      <w:bookmarkStart w:id="45" w:name="OLE_LINK2"/>
      <w:bookmarkStart w:id="46" w:name="OLE_LINK8"/>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w:t>
      </w:r>
      <w:r>
        <w:rPr>
          <w:rFonts w:hint="eastAsia"/>
        </w:rPr>
        <w:t>价管理暂行办法》（新财预〔</w:t>
      </w:r>
      <w:r>
        <w:rPr>
          <w:rFonts w:hint="eastAsia"/>
        </w:rPr>
        <w:t>2018</w:t>
      </w:r>
      <w:r>
        <w:rPr>
          <w:rFonts w:hint="eastAsia"/>
        </w:rPr>
        <w:t>〕</w:t>
      </w:r>
      <w:r>
        <w:rPr>
          <w:rFonts w:hint="eastAsia"/>
        </w:rPr>
        <w:t>189</w:t>
      </w:r>
      <w:r>
        <w:rPr>
          <w:rFonts w:hint="eastAsia"/>
        </w:rPr>
        <w:t>号）等要求，绩效评价应遵循如下原则：</w:t>
      </w:r>
      <w:bookmarkEnd w:id="45"/>
      <w:bookmarkEnd w:id="46"/>
    </w:p>
    <w:p w:rsidR="00B00962" w:rsidRDefault="00EB5CA1">
      <w:pPr>
        <w:ind w:firstLine="640"/>
        <w:jc w:val="left"/>
        <w:rPr>
          <w:rFonts w:cs="Times New Roman"/>
        </w:rPr>
      </w:pPr>
      <w:r>
        <w:rPr>
          <w:rFonts w:cs="Times New Roman"/>
        </w:rPr>
        <w:lastRenderedPageBreak/>
        <w:t>（</w:t>
      </w:r>
      <w:r>
        <w:rPr>
          <w:rFonts w:cs="Times New Roman"/>
        </w:rPr>
        <w:t>1</w:t>
      </w:r>
      <w:r>
        <w:rPr>
          <w:rFonts w:cs="Times New Roman"/>
        </w:rPr>
        <w:t>）科学公正。绩效评价应当运用科学合理的方法，按照规范的程序，对项目绩效进行客观、</w:t>
      </w:r>
      <w:r>
        <w:rPr>
          <w:rFonts w:cs="Times New Roman"/>
        </w:rPr>
        <w:t>公正地反映</w:t>
      </w:r>
      <w:r>
        <w:rPr>
          <w:rFonts w:cs="Times New Roman"/>
        </w:rPr>
        <w:t>。</w:t>
      </w:r>
    </w:p>
    <w:p w:rsidR="00B00962" w:rsidRDefault="00EB5CA1">
      <w:pPr>
        <w:ind w:firstLine="640"/>
        <w:rPr>
          <w:rFonts w:cs="Times New Roman"/>
        </w:rPr>
      </w:pPr>
      <w:r>
        <w:rPr>
          <w:rFonts w:cs="Times New Roman"/>
        </w:rPr>
        <w:t>（</w:t>
      </w:r>
      <w:r>
        <w:rPr>
          <w:rFonts w:cs="Times New Roman"/>
        </w:rPr>
        <w:t>2</w:t>
      </w:r>
      <w:r>
        <w:rPr>
          <w:rFonts w:cs="Times New Roman"/>
        </w:rPr>
        <w:t>）统筹兼顾。单位自评应由项目单位自主实施，即</w:t>
      </w:r>
      <w:r>
        <w:rPr>
          <w:rFonts w:cs="Times New Roman"/>
        </w:rPr>
        <w:t>“</w:t>
      </w:r>
      <w:r>
        <w:rPr>
          <w:rFonts w:cs="Times New Roman"/>
        </w:rPr>
        <w:t>谁支出、谁自评</w:t>
      </w:r>
      <w:r>
        <w:rPr>
          <w:rFonts w:cs="Times New Roman"/>
        </w:rPr>
        <w:t>”</w:t>
      </w:r>
      <w:r>
        <w:rPr>
          <w:rFonts w:cs="Times New Roman"/>
        </w:rPr>
        <w:t>。</w:t>
      </w:r>
    </w:p>
    <w:p w:rsidR="00B00962" w:rsidRDefault="00EB5CA1">
      <w:pPr>
        <w:ind w:firstLine="640"/>
        <w:rPr>
          <w:rFonts w:cs="Times New Roman"/>
        </w:rPr>
      </w:pPr>
      <w:r>
        <w:rPr>
          <w:rFonts w:cs="Times New Roman"/>
        </w:rPr>
        <w:t>（</w:t>
      </w:r>
      <w:r>
        <w:rPr>
          <w:rFonts w:cs="Times New Roman"/>
        </w:rPr>
        <w:t>3</w:t>
      </w:r>
      <w:r>
        <w:rPr>
          <w:rFonts w:cs="Times New Roman"/>
        </w:rPr>
        <w:t>）激励约束。绩效评价结果应与预算安排、政策调整、改进管理实质性挂钩，体现奖优罚劣和激励相容导向，有效要安排、低效要压减、无效要问责。</w:t>
      </w:r>
    </w:p>
    <w:p w:rsidR="00B00962" w:rsidRDefault="00EB5CA1">
      <w:pPr>
        <w:ind w:firstLine="640"/>
        <w:rPr>
          <w:rFonts w:cs="Times New Roman"/>
        </w:rPr>
      </w:pPr>
      <w:r>
        <w:rPr>
          <w:rFonts w:cs="Times New Roman"/>
        </w:rPr>
        <w:t>（</w:t>
      </w:r>
      <w:r>
        <w:rPr>
          <w:rFonts w:cs="Times New Roman"/>
        </w:rPr>
        <w:t>4</w:t>
      </w:r>
      <w:r>
        <w:rPr>
          <w:rFonts w:cs="Times New Roman"/>
        </w:rPr>
        <w:t>）公开透明。</w:t>
      </w:r>
      <w:r>
        <w:rPr>
          <w:rFonts w:cs="Times New Roman"/>
        </w:rPr>
        <w:t>本次项目支出绩效评价结果已依法依规在</w:t>
      </w:r>
      <w:r>
        <w:rPr>
          <w:rFonts w:cs="Times New Roman"/>
        </w:rPr>
        <w:t>尉犁</w:t>
      </w:r>
      <w:r>
        <w:rPr>
          <w:rFonts w:cs="Times New Roman"/>
        </w:rPr>
        <w:t>县人民政府网站上公开，并自觉接受社会监督</w:t>
      </w:r>
      <w:r>
        <w:rPr>
          <w:rFonts w:cs="Times New Roman"/>
        </w:rPr>
        <w:t>。</w:t>
      </w:r>
    </w:p>
    <w:p w:rsidR="00B00962" w:rsidRDefault="00EB5CA1">
      <w:pPr>
        <w:ind w:firstLine="640"/>
      </w:pPr>
      <w:bookmarkStart w:id="47" w:name="OLE_LINK9"/>
      <w:bookmarkStart w:id="48" w:name="OLE_LINK3"/>
      <w:bookmarkStart w:id="49" w:name="_Toc23112"/>
      <w:bookmarkStart w:id="50" w:name="_Toc28342"/>
      <w:r>
        <w:rPr>
          <w:rFonts w:hint="eastAsia"/>
        </w:rPr>
        <w:t>根据以上原则</w:t>
      </w:r>
      <w:r>
        <w:rPr>
          <w:rFonts w:hint="eastAsia"/>
        </w:rPr>
        <w:t>，</w:t>
      </w:r>
      <w:r>
        <w:rPr>
          <w:rFonts w:hint="eastAsia"/>
        </w:rPr>
        <w:t>绩效评价应遵循如下要求</w:t>
      </w:r>
      <w:r>
        <w:rPr>
          <w:rFonts w:hint="eastAsia"/>
        </w:rPr>
        <w:t>:</w:t>
      </w:r>
    </w:p>
    <w:p w:rsidR="00B00962" w:rsidRDefault="00EB5CA1">
      <w:pPr>
        <w:ind w:firstLine="64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以保证各项指标的真实性。</w:t>
      </w:r>
    </w:p>
    <w:p w:rsidR="00B00962" w:rsidRDefault="00EB5CA1">
      <w:pPr>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B00962" w:rsidRDefault="00EB5CA1">
      <w:pPr>
        <w:ind w:firstLine="64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并就共性问题提出可操作性改进建议。评价工作组本着科学规范、公平公正、绩效相关的原则，采用全面、重点、现场和非现场相结合的方式进行评价。</w:t>
      </w:r>
      <w:bookmarkEnd w:id="47"/>
      <w:bookmarkEnd w:id="48"/>
    </w:p>
    <w:p w:rsidR="00B00962" w:rsidRDefault="00EB5CA1">
      <w:pPr>
        <w:ind w:firstLine="643"/>
        <w:rPr>
          <w:rFonts w:cs="Times New Roman"/>
          <w:b/>
          <w:bCs/>
        </w:rPr>
      </w:pPr>
      <w:r>
        <w:rPr>
          <w:rFonts w:cs="Times New Roman"/>
          <w:b/>
          <w:bCs/>
        </w:rPr>
        <w:t>2.</w:t>
      </w:r>
      <w:r>
        <w:rPr>
          <w:rFonts w:cs="Times New Roman"/>
          <w:b/>
          <w:bCs/>
        </w:rPr>
        <w:t>评价指标体系</w:t>
      </w:r>
      <w:bookmarkEnd w:id="49"/>
      <w:bookmarkEnd w:id="50"/>
    </w:p>
    <w:p w:rsidR="00B00962" w:rsidRDefault="00EB5CA1">
      <w:pPr>
        <w:ind w:firstLine="640"/>
        <w:rPr>
          <w:rFonts w:cs="Times New Roman"/>
        </w:rPr>
      </w:pPr>
      <w:r>
        <w:rPr>
          <w:rFonts w:cs="Times New Roman" w:hint="eastAsia"/>
        </w:rPr>
        <w:t>2024-2025</w:t>
      </w:r>
      <w:r>
        <w:rPr>
          <w:rFonts w:cs="Times New Roman" w:hint="eastAsia"/>
        </w:rPr>
        <w:t>年县级储备粮保管费</w:t>
      </w:r>
      <w:r>
        <w:rPr>
          <w:rFonts w:cs="Times New Roman"/>
        </w:rPr>
        <w:t>绩效评价（部门自评）</w:t>
      </w:r>
      <w:r>
        <w:rPr>
          <w:rFonts w:cs="Times New Roman"/>
        </w:rPr>
        <w:lastRenderedPageBreak/>
        <w:t>指标体系的</w:t>
      </w:r>
      <w:r>
        <w:rPr>
          <w:rFonts w:cs="Times New Roman"/>
        </w:rPr>
        <w:t>设计，是在充分掌握项目状况的基础上，形成了</w:t>
      </w:r>
      <w:r>
        <w:rPr>
          <w:rFonts w:cs="Times New Roman" w:hint="eastAsia"/>
        </w:rPr>
        <w:t>2024-2025</w:t>
      </w:r>
      <w:r>
        <w:rPr>
          <w:rFonts w:cs="Times New Roman" w:hint="eastAsia"/>
        </w:rPr>
        <w:t>年县级储备粮保管费</w:t>
      </w:r>
      <w:r>
        <w:rPr>
          <w:rFonts w:cs="Times New Roman"/>
        </w:rPr>
        <w:t>的项目支出绩效评价指标体系（部门自评）。本项目设计绩效评价指标体系满分</w:t>
      </w:r>
      <w:r>
        <w:rPr>
          <w:rFonts w:cs="Times New Roman"/>
        </w:rPr>
        <w:t>100</w:t>
      </w:r>
      <w:r>
        <w:rPr>
          <w:rFonts w:cs="Times New Roman"/>
        </w:rPr>
        <w:t>分。四个级别分别是：优、良、中、差，</w:t>
      </w:r>
      <w:r>
        <w:rPr>
          <w:rFonts w:cs="Times New Roman"/>
        </w:rPr>
        <w:t>90</w:t>
      </w:r>
      <w:r>
        <w:rPr>
          <w:rFonts w:cs="Times New Roman"/>
        </w:rPr>
        <w:t>（含）</w:t>
      </w:r>
      <w:r>
        <w:rPr>
          <w:rFonts w:cs="Times New Roman"/>
        </w:rPr>
        <w:t>-100</w:t>
      </w:r>
      <w:r>
        <w:rPr>
          <w:rFonts w:cs="Times New Roman"/>
        </w:rPr>
        <w:t>分为优、</w:t>
      </w:r>
      <w:r>
        <w:rPr>
          <w:rFonts w:cs="Times New Roman"/>
        </w:rPr>
        <w:t>80</w:t>
      </w:r>
      <w:r>
        <w:rPr>
          <w:rFonts w:cs="Times New Roman"/>
        </w:rPr>
        <w:t>（含）</w:t>
      </w:r>
      <w:r>
        <w:rPr>
          <w:rFonts w:cs="Times New Roman"/>
        </w:rPr>
        <w:t>-90</w:t>
      </w:r>
      <w:r>
        <w:rPr>
          <w:rFonts w:cs="Times New Roman"/>
        </w:rPr>
        <w:t>分为良、</w:t>
      </w:r>
      <w:r>
        <w:rPr>
          <w:rFonts w:cs="Times New Roman"/>
        </w:rPr>
        <w:t>60</w:t>
      </w:r>
      <w:r>
        <w:rPr>
          <w:rFonts w:cs="Times New Roman"/>
        </w:rPr>
        <w:t>（含）</w:t>
      </w:r>
      <w:r>
        <w:rPr>
          <w:rFonts w:cs="Times New Roman"/>
        </w:rPr>
        <w:t>-80</w:t>
      </w:r>
      <w:r>
        <w:rPr>
          <w:rFonts w:cs="Times New Roman"/>
        </w:rPr>
        <w:t>分为中、</w:t>
      </w:r>
      <w:r>
        <w:rPr>
          <w:rFonts w:cs="Times New Roman"/>
        </w:rPr>
        <w:t>60</w:t>
      </w:r>
      <w:r>
        <w:rPr>
          <w:rFonts w:cs="Times New Roman"/>
        </w:rPr>
        <w:t>分以下为差。</w:t>
      </w:r>
    </w:p>
    <w:p w:rsidR="00B00962" w:rsidRDefault="00EB5CA1">
      <w:pPr>
        <w:ind w:firstLine="640"/>
        <w:rPr>
          <w:rFonts w:cs="Times New Roman"/>
        </w:rPr>
      </w:pPr>
      <w:r>
        <w:rPr>
          <w:rFonts w:cs="Times New Roman"/>
        </w:rPr>
        <w:t>按照财预〔</w:t>
      </w:r>
      <w:r>
        <w:rPr>
          <w:rFonts w:cs="Times New Roman"/>
        </w:rPr>
        <w:t>2020</w:t>
      </w:r>
      <w:r>
        <w:rPr>
          <w:rFonts w:cs="Times New Roman"/>
        </w:rPr>
        <w:t>〕</w:t>
      </w:r>
      <w:r>
        <w:rPr>
          <w:rFonts w:cs="Times New Roman"/>
        </w:rPr>
        <w:t>10</w:t>
      </w:r>
      <w:r>
        <w:rPr>
          <w:rFonts w:cs="Times New Roman"/>
        </w:rPr>
        <w:t>号文件关于</w:t>
      </w:r>
      <w:r>
        <w:rPr>
          <w:rFonts w:cs="Times New Roman"/>
        </w:rPr>
        <w:t>“</w:t>
      </w:r>
      <w:r>
        <w:rPr>
          <w:rFonts w:cs="Times New Roman"/>
        </w:rPr>
        <w:t>原则上产出、效益指标权重不低于</w:t>
      </w:r>
      <w:r>
        <w:rPr>
          <w:rFonts w:cs="Times New Roman"/>
        </w:rPr>
        <w:t>60%”</w:t>
      </w:r>
      <w:r>
        <w:rPr>
          <w:rFonts w:cs="Times New Roman"/>
        </w:rPr>
        <w:t>的要求，本项目产出、效益指标权重</w:t>
      </w:r>
      <w:r>
        <w:rPr>
          <w:rFonts w:cs="Times New Roman"/>
        </w:rPr>
        <w:t>60%</w:t>
      </w:r>
      <w:r>
        <w:rPr>
          <w:rFonts w:cs="Times New Roman"/>
        </w:rPr>
        <w:t>（即</w:t>
      </w:r>
      <w:r>
        <w:rPr>
          <w:rFonts w:cs="Times New Roman"/>
        </w:rPr>
        <w:t>60</w:t>
      </w:r>
      <w:r>
        <w:rPr>
          <w:rFonts w:cs="Times New Roman"/>
        </w:rPr>
        <w:t>分）（详见：附表</w:t>
      </w:r>
      <w:r>
        <w:rPr>
          <w:rFonts w:cs="Times New Roman"/>
        </w:rPr>
        <w:t>2</w:t>
      </w:r>
      <w:r>
        <w:rPr>
          <w:rFonts w:cs="Times New Roman"/>
        </w:rPr>
        <w:t>）。</w:t>
      </w:r>
    </w:p>
    <w:p w:rsidR="00B00962" w:rsidRDefault="00EB5CA1">
      <w:pPr>
        <w:ind w:firstLine="640"/>
      </w:pPr>
      <w:r>
        <w:rPr>
          <w:rFonts w:hint="eastAsia"/>
        </w:rPr>
        <w:t>3</w:t>
      </w:r>
      <w:r>
        <w:rPr>
          <w:rFonts w:hint="eastAsia"/>
        </w:rPr>
        <w:t>、绩效评价方法</w:t>
      </w:r>
    </w:p>
    <w:p w:rsidR="00B00962" w:rsidRDefault="00EB5CA1">
      <w:pPr>
        <w:ind w:firstLine="640"/>
      </w:pPr>
      <w:bookmarkStart w:id="51" w:name="OLE_LINK10"/>
      <w:r>
        <w:rPr>
          <w:rFonts w:hint="eastAsia"/>
        </w:rPr>
        <w:t>绩效评价从项目决策、项目过程、项目产出、项目效益四个维度进行评价。评价对象为项目目标实施情况，评价核心为资金的支出完成情况和项目的产出效益。</w:t>
      </w:r>
      <w:bookmarkEnd w:id="51"/>
    </w:p>
    <w:p w:rsidR="00B00962" w:rsidRDefault="00EB5CA1">
      <w:pPr>
        <w:ind w:firstLine="640"/>
      </w:pPr>
      <w:r>
        <w:rPr>
          <w:rFonts w:hint="eastAsia"/>
        </w:rPr>
        <w:t>结合</w:t>
      </w:r>
      <w:r>
        <w:rPr>
          <w:rFonts w:cs="Times New Roman" w:hint="eastAsia"/>
        </w:rPr>
        <w:t>2024-2025</w:t>
      </w:r>
      <w:r>
        <w:rPr>
          <w:rFonts w:cs="Times New Roman" w:hint="eastAsia"/>
        </w:rPr>
        <w:t>年县级储备粮保管费</w:t>
      </w:r>
      <w:r>
        <w:rPr>
          <w:rFonts w:hint="eastAsia"/>
        </w:rPr>
        <w:t>的特点，本次评价主要运用比较法、公众评判法，</w:t>
      </w:r>
      <w:r>
        <w:rPr>
          <w:rFonts w:hint="eastAsia"/>
        </w:rPr>
        <w:t>原因是</w:t>
      </w:r>
      <w:r>
        <w:rPr>
          <w:rFonts w:hint="eastAsia"/>
        </w:rPr>
        <w:t>：</w:t>
      </w:r>
    </w:p>
    <w:p w:rsidR="00B00962" w:rsidRDefault="00EB5CA1">
      <w:pPr>
        <w:ind w:firstLine="640"/>
      </w:pPr>
      <w:r>
        <w:t>比较法</w:t>
      </w:r>
      <w:r>
        <w:rPr>
          <w:rFonts w:hint="eastAsia"/>
        </w:rPr>
        <w:t>：本项目绩效评价将项目实施情况即实际完成的</w:t>
      </w:r>
      <w:r>
        <w:rPr>
          <w:rFonts w:hint="eastAsia"/>
        </w:rPr>
        <w:t>储备粮保管费企业数量、储备粮保管费发放次数、地方储备粮数量等指标</w:t>
      </w:r>
      <w:r>
        <w:rPr>
          <w:rFonts w:hint="eastAsia"/>
        </w:rPr>
        <w:t>与年初设定的</w:t>
      </w:r>
      <w:r>
        <w:rPr>
          <w:rFonts w:hint="eastAsia"/>
        </w:rPr>
        <w:t>目标</w:t>
      </w:r>
      <w:r>
        <w:rPr>
          <w:rFonts w:hint="eastAsia"/>
        </w:rPr>
        <w:t>进行比较。</w:t>
      </w:r>
    </w:p>
    <w:p w:rsidR="00B00962" w:rsidRDefault="00EB5CA1">
      <w:pPr>
        <w:ind w:firstLine="640"/>
      </w:pPr>
      <w:r>
        <w:rPr>
          <w:rFonts w:hint="eastAsia"/>
        </w:rPr>
        <w:t>公众评判法：通过对</w:t>
      </w:r>
      <w:r>
        <w:rPr>
          <w:rFonts w:hint="eastAsia"/>
        </w:rPr>
        <w:t>县级储备粮承储企业</w:t>
      </w:r>
      <w:r>
        <w:rPr>
          <w:rFonts w:hint="eastAsia"/>
        </w:rPr>
        <w:t>进行问卷及抽样调查等对财政资金效果进行评判，评价绩效目标实现程度。</w:t>
      </w:r>
    </w:p>
    <w:p w:rsidR="00B00962" w:rsidRDefault="00EB5CA1">
      <w:pPr>
        <w:ind w:firstLine="643"/>
        <w:rPr>
          <w:b/>
          <w:bCs/>
        </w:rPr>
      </w:pPr>
      <w:r>
        <w:rPr>
          <w:rFonts w:hint="eastAsia"/>
          <w:b/>
          <w:bCs/>
        </w:rPr>
        <w:t>4</w:t>
      </w:r>
      <w:r>
        <w:rPr>
          <w:rFonts w:hint="eastAsia"/>
          <w:b/>
          <w:bCs/>
        </w:rPr>
        <w:t>、绩效评价标准</w:t>
      </w:r>
    </w:p>
    <w:p w:rsidR="00B00962" w:rsidRDefault="00EB5CA1">
      <w:pPr>
        <w:ind w:firstLine="640"/>
      </w:pPr>
      <w:r>
        <w:rPr>
          <w:rFonts w:hint="eastAsia"/>
        </w:rPr>
        <w:t>结合</w:t>
      </w:r>
      <w:r>
        <w:rPr>
          <w:rFonts w:cs="Times New Roman" w:hint="eastAsia"/>
        </w:rPr>
        <w:t>2024-</w:t>
      </w:r>
      <w:r>
        <w:rPr>
          <w:rFonts w:cs="Times New Roman" w:hint="eastAsia"/>
        </w:rPr>
        <w:t>2025</w:t>
      </w:r>
      <w:r>
        <w:rPr>
          <w:rFonts w:cs="Times New Roman" w:hint="eastAsia"/>
        </w:rPr>
        <w:t>年县级储备粮保管费</w:t>
      </w:r>
      <w:r>
        <w:rPr>
          <w:rFonts w:hint="eastAsia"/>
        </w:rPr>
        <w:t>的特点，本次项目</w:t>
      </w:r>
      <w:r>
        <w:rPr>
          <w:rFonts w:hint="eastAsia"/>
        </w:rPr>
        <w:lastRenderedPageBreak/>
        <w:t>支出绩效自评采用了</w:t>
      </w:r>
      <w:r>
        <w:rPr>
          <w:rFonts w:hint="eastAsia"/>
        </w:rPr>
        <w:t>以下标准：</w:t>
      </w:r>
    </w:p>
    <w:p w:rsidR="00B00962" w:rsidRDefault="00EB5CA1">
      <w:pPr>
        <w:ind w:firstLine="640"/>
      </w:pPr>
      <w:r>
        <w:rPr>
          <w:rFonts w:hint="eastAsia"/>
        </w:rPr>
        <w:t>计划标准，原因</w:t>
      </w:r>
      <w:r>
        <w:rPr>
          <w:rFonts w:hint="eastAsia"/>
        </w:rPr>
        <w:t>是</w:t>
      </w:r>
      <w:r>
        <w:rPr>
          <w:rFonts w:hint="eastAsia"/>
        </w:rPr>
        <w:t>：根据绩效目标表，以预先制定的</w:t>
      </w:r>
      <w:r>
        <w:rPr>
          <w:rFonts w:hint="eastAsia"/>
        </w:rPr>
        <w:t>储备粮保管费企业数量、储备粮保管费发放次数、地方储备粮数量为计划数</w:t>
      </w:r>
      <w:r>
        <w:rPr>
          <w:rFonts w:hint="eastAsia"/>
        </w:rPr>
        <w:t>作为评价的标准。</w:t>
      </w:r>
    </w:p>
    <w:p w:rsidR="00B00962" w:rsidRDefault="00EB5CA1">
      <w:pPr>
        <w:ind w:firstLine="640"/>
      </w:pPr>
      <w:r>
        <w:rPr>
          <w:rFonts w:hint="eastAsia"/>
        </w:rPr>
        <w:t>行业标准，原因是：参照本单位同类项目及相关文件的行业标准制定评价标准。</w:t>
      </w:r>
    </w:p>
    <w:p w:rsidR="00B00962" w:rsidRDefault="00EB5CA1">
      <w:pPr>
        <w:pStyle w:val="3"/>
        <w:ind w:firstLine="643"/>
      </w:pPr>
      <w:bookmarkStart w:id="52" w:name="_Toc24483"/>
      <w:bookmarkStart w:id="53" w:name="_Toc23796"/>
      <w:r>
        <w:rPr>
          <w:rFonts w:hint="eastAsia"/>
        </w:rPr>
        <w:t>（三）绩效评价工作过程</w:t>
      </w:r>
      <w:bookmarkStart w:id="54" w:name="_Toc30911"/>
      <w:bookmarkStart w:id="55" w:name="_Toc17595"/>
      <w:bookmarkStart w:id="56" w:name="_Toc27442"/>
      <w:bookmarkStart w:id="57" w:name="_Toc22987"/>
      <w:bookmarkEnd w:id="52"/>
      <w:bookmarkEnd w:id="53"/>
    </w:p>
    <w:p w:rsidR="00B00962" w:rsidRDefault="00EB5CA1">
      <w:pPr>
        <w:ind w:firstLine="643"/>
        <w:rPr>
          <w:b/>
          <w:bCs/>
        </w:rPr>
      </w:pPr>
      <w:r>
        <w:rPr>
          <w:rFonts w:hint="eastAsia"/>
          <w:b/>
          <w:bCs/>
        </w:rPr>
        <w:t>1</w:t>
      </w:r>
      <w:r>
        <w:rPr>
          <w:rFonts w:hint="eastAsia"/>
          <w:b/>
          <w:bCs/>
        </w:rPr>
        <w:t>、前期准备</w:t>
      </w:r>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r>
        <w:rPr>
          <w:rFonts w:hint="eastAsia"/>
          <w:b/>
          <w:bCs/>
        </w:rPr>
        <w:t>）</w:t>
      </w:r>
    </w:p>
    <w:p w:rsidR="00B00962" w:rsidRDefault="00EB5CA1">
      <w:pPr>
        <w:ind w:firstLine="640"/>
        <w:rPr>
          <w:bCs/>
          <w:szCs w:val="32"/>
        </w:rPr>
      </w:pPr>
      <w:r>
        <w:rPr>
          <w:rFonts w:hint="eastAsia"/>
          <w:bCs/>
          <w:szCs w:val="32"/>
        </w:rPr>
        <w:t>按照《项目支出绩效评价管理办法》（财预〔</w:t>
      </w:r>
      <w:r>
        <w:rPr>
          <w:rFonts w:hint="eastAsia"/>
          <w:bCs/>
          <w:szCs w:val="32"/>
        </w:rPr>
        <w:t>2020</w:t>
      </w:r>
      <w:r>
        <w:rPr>
          <w:rFonts w:hint="eastAsia"/>
          <w:bCs/>
          <w:szCs w:val="32"/>
        </w:rPr>
        <w:t>〕</w:t>
      </w:r>
      <w:r>
        <w:rPr>
          <w:rFonts w:hint="eastAsia"/>
          <w:bCs/>
          <w:szCs w:val="32"/>
        </w:rPr>
        <w:t>10</w:t>
      </w:r>
      <w:r>
        <w:rPr>
          <w:rFonts w:hint="eastAsia"/>
          <w:bCs/>
          <w:szCs w:val="32"/>
        </w:rPr>
        <w:t>号）文件要求，</w:t>
      </w:r>
      <w:r>
        <w:rPr>
          <w:rFonts w:hint="eastAsia"/>
          <w:bCs/>
          <w:szCs w:val="32"/>
        </w:rPr>
        <w:t>尉犁县发展和改革委员会</w:t>
      </w:r>
      <w:r>
        <w:rPr>
          <w:rFonts w:hint="eastAsia"/>
          <w:bCs/>
          <w:szCs w:val="32"/>
        </w:rPr>
        <w:t>成立了绩效评价小组，对项目实施的全过程，收集、整理项目实施的相关资料，了解项目实施情况和资金支付情况。从项目内容出发，结合项目预期目标，制定绩效评价的指标体系。</w:t>
      </w:r>
      <w:r>
        <w:rPr>
          <w:rFonts w:hint="eastAsia"/>
          <w:bCs/>
          <w:szCs w:val="32"/>
        </w:rPr>
        <w:t>绩效评价工作小组人员名单及分工如下：</w:t>
      </w:r>
    </w:p>
    <w:p w:rsidR="00B00962" w:rsidRDefault="00EB5CA1">
      <w:pPr>
        <w:ind w:firstLine="640"/>
      </w:pPr>
      <w:r>
        <w:rPr>
          <w:rFonts w:hint="eastAsia"/>
        </w:rPr>
        <w:t>评价小组组长：李翔，主要负责协调相关科室，部门对项目整体运行情况进行验收、评估。</w:t>
      </w:r>
    </w:p>
    <w:p w:rsidR="00B00962" w:rsidRDefault="00EB5CA1">
      <w:pPr>
        <w:ind w:firstLine="640"/>
        <w:rPr>
          <w:bCs/>
          <w:szCs w:val="32"/>
        </w:rPr>
      </w:pPr>
      <w:r>
        <w:rPr>
          <w:rFonts w:hint="eastAsia"/>
          <w:bCs/>
          <w:szCs w:val="32"/>
        </w:rPr>
        <w:t>评价小组组员：古再丽努尔·多力坤、其米克，主要制定评价指标体系及评价标准。</w:t>
      </w:r>
    </w:p>
    <w:p w:rsidR="00B00962" w:rsidRDefault="00EB5CA1">
      <w:pPr>
        <w:ind w:firstLine="640"/>
        <w:rPr>
          <w:bCs/>
          <w:szCs w:val="32"/>
        </w:rPr>
      </w:pPr>
      <w:r>
        <w:rPr>
          <w:rFonts w:hint="eastAsia"/>
          <w:bCs/>
          <w:szCs w:val="32"/>
        </w:rPr>
        <w:t>评价小组组员：古再丽努尔·多力坤、其米克，主要负责</w:t>
      </w:r>
      <w:r>
        <w:rPr>
          <w:rFonts w:hint="eastAsia"/>
          <w:bCs/>
          <w:szCs w:val="32"/>
        </w:rPr>
        <w:t>2024-2025</w:t>
      </w:r>
      <w:r>
        <w:rPr>
          <w:rFonts w:hint="eastAsia"/>
          <w:bCs/>
          <w:szCs w:val="32"/>
        </w:rPr>
        <w:t>年县级储备粮保管经费项目实施、监督、评估工作。</w:t>
      </w:r>
    </w:p>
    <w:p w:rsidR="00B00962" w:rsidRDefault="00EB5CA1">
      <w:pPr>
        <w:ind w:firstLine="643"/>
        <w:rPr>
          <w:b/>
          <w:bCs/>
        </w:rPr>
      </w:pPr>
      <w:r>
        <w:rPr>
          <w:rFonts w:hint="eastAsia"/>
          <w:b/>
          <w:bCs/>
        </w:rPr>
        <w:t>2</w:t>
      </w:r>
      <w:r>
        <w:rPr>
          <w:rFonts w:hint="eastAsia"/>
          <w:b/>
          <w:bCs/>
        </w:rPr>
        <w:t>、组织实施</w:t>
      </w:r>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w:t>
      </w:r>
      <w:r>
        <w:rPr>
          <w:rFonts w:hint="eastAsia"/>
          <w:b/>
          <w:bCs/>
        </w:rPr>
        <w:t>5</w:t>
      </w:r>
      <w:r>
        <w:rPr>
          <w:rFonts w:hint="eastAsia"/>
          <w:b/>
          <w:bCs/>
        </w:rPr>
        <w:t>年</w:t>
      </w:r>
      <w:r>
        <w:rPr>
          <w:rFonts w:hint="eastAsia"/>
          <w:b/>
          <w:bCs/>
        </w:rPr>
        <w:t>3</w:t>
      </w:r>
      <w:r>
        <w:rPr>
          <w:rFonts w:hint="eastAsia"/>
          <w:b/>
          <w:bCs/>
        </w:rPr>
        <w:t>月</w:t>
      </w:r>
      <w:r>
        <w:rPr>
          <w:rFonts w:hint="eastAsia"/>
          <w:b/>
          <w:bCs/>
        </w:rPr>
        <w:t>10</w:t>
      </w:r>
      <w:r>
        <w:rPr>
          <w:rFonts w:hint="eastAsia"/>
          <w:b/>
          <w:bCs/>
        </w:rPr>
        <w:t>日</w:t>
      </w:r>
      <w:r>
        <w:rPr>
          <w:rFonts w:hint="eastAsia"/>
          <w:b/>
          <w:bCs/>
        </w:rPr>
        <w:t>）</w:t>
      </w:r>
    </w:p>
    <w:p w:rsidR="00B00962" w:rsidRDefault="00EB5CA1">
      <w:pPr>
        <w:ind w:firstLine="640"/>
        <w:rPr>
          <w:rFonts w:cs="Times New Roman"/>
        </w:rPr>
      </w:pPr>
      <w:r>
        <w:rPr>
          <w:rFonts w:cs="Times New Roman"/>
        </w:rPr>
        <w:lastRenderedPageBreak/>
        <w:t>评价的具体实施根据评价指标及评价工作要求，对具体评价内容和不同环节，采用以下取得的资料与评价方式。</w:t>
      </w:r>
    </w:p>
    <w:p w:rsidR="00B00962" w:rsidRDefault="00EB5CA1">
      <w:pPr>
        <w:ind w:firstLine="640"/>
      </w:pPr>
      <w:r>
        <w:rPr>
          <w:rFonts w:hint="eastAsia"/>
        </w:rPr>
        <w:t>（</w:t>
      </w:r>
      <w:r>
        <w:rPr>
          <w:rFonts w:hint="eastAsia"/>
        </w:rPr>
        <w:t>1</w:t>
      </w:r>
      <w:r>
        <w:rPr>
          <w:rFonts w:hint="eastAsia"/>
        </w:rPr>
        <w:t>）</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B00962" w:rsidRDefault="00EB5CA1">
      <w:pPr>
        <w:ind w:firstLine="640"/>
        <w:rPr>
          <w:rFonts w:cs="Times New Roman"/>
        </w:rPr>
      </w:pPr>
      <w:r>
        <w:rPr>
          <w:rFonts w:cs="Times New Roman"/>
        </w:rPr>
        <w:t>（</w:t>
      </w:r>
      <w:r>
        <w:rPr>
          <w:rFonts w:cs="Times New Roman" w:hint="eastAsia"/>
        </w:rPr>
        <w:t>2</w:t>
      </w:r>
      <w:r>
        <w:rPr>
          <w:rFonts w:cs="Times New Roman"/>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w:t>
      </w:r>
      <w:r>
        <w:rPr>
          <w:rFonts w:cs="Times New Roman"/>
        </w:rPr>
        <w:t>性以及指标口径的一致性，并对所掌握的有关信息资料采用相关方法进行分类、整理和分析，根据评价标准进行打分。</w:t>
      </w:r>
    </w:p>
    <w:p w:rsidR="00B00962" w:rsidRDefault="00EB5CA1">
      <w:pPr>
        <w:ind w:firstLine="640"/>
        <w:rPr>
          <w:rFonts w:cs="Times New Roman"/>
        </w:rPr>
      </w:pPr>
      <w:r>
        <w:rPr>
          <w:rFonts w:cs="Times New Roman"/>
        </w:rPr>
        <w:t>（</w:t>
      </w:r>
      <w:r>
        <w:rPr>
          <w:rFonts w:cs="Times New Roman" w:hint="eastAsia"/>
        </w:rPr>
        <w:t>3</w:t>
      </w:r>
      <w:r>
        <w:rPr>
          <w:rFonts w:cs="Times New Roman"/>
        </w:rPr>
        <w:t>）问卷调查。选择与项目评价有关的调查对象，设计调查问卷。通过问卷调查，对有关评价内容完成情况进行打分，并根据分值评价绩效目标完成情况，作为对项目评价的依据。</w:t>
      </w:r>
    </w:p>
    <w:p w:rsidR="00B00962" w:rsidRDefault="00EB5CA1">
      <w:pPr>
        <w:ind w:firstLine="640"/>
      </w:pPr>
      <w:r>
        <w:rPr>
          <w:rFonts w:cs="Times New Roman"/>
        </w:rPr>
        <w:t>（</w:t>
      </w:r>
      <w:r>
        <w:rPr>
          <w:rFonts w:cs="Times New Roman" w:hint="eastAsia"/>
        </w:rPr>
        <w:t>4</w:t>
      </w:r>
      <w:r>
        <w:rPr>
          <w:rFonts w:cs="Times New Roman"/>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B00962" w:rsidRDefault="00EB5CA1">
      <w:pPr>
        <w:ind w:firstLine="643"/>
        <w:rPr>
          <w:b/>
          <w:bCs/>
        </w:rPr>
      </w:pPr>
      <w:r>
        <w:rPr>
          <w:rFonts w:hint="eastAsia"/>
          <w:b/>
          <w:bCs/>
        </w:rPr>
        <w:lastRenderedPageBreak/>
        <w:t>3</w:t>
      </w:r>
      <w:r>
        <w:rPr>
          <w:rFonts w:hint="eastAsia"/>
          <w:b/>
          <w:bCs/>
        </w:rPr>
        <w:t>、数据集中分析</w:t>
      </w:r>
      <w:bookmarkEnd w:id="54"/>
      <w:bookmarkEnd w:id="55"/>
      <w:bookmarkEnd w:id="56"/>
      <w:bookmarkEnd w:id="57"/>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r>
        <w:rPr>
          <w:rFonts w:hint="eastAsia"/>
          <w:b/>
          <w:bCs/>
        </w:rPr>
        <w:t>）</w:t>
      </w:r>
    </w:p>
    <w:p w:rsidR="00B00962" w:rsidRDefault="00EB5CA1">
      <w:pPr>
        <w:ind w:firstLine="640"/>
      </w:pPr>
      <w:r>
        <w:rPr>
          <w:rFonts w:hint="eastAsia"/>
        </w:rPr>
        <w:t>对相关资料，包括资金文件、项目实施方案、相关管理办法，问卷调查等进行集中分析。在查阅大量项目资料的基础上，根据考察、考评的结果进行整理、分析。</w:t>
      </w:r>
      <w:bookmarkStart w:id="58" w:name="_Toc20775"/>
    </w:p>
    <w:p w:rsidR="00B00962" w:rsidRDefault="00EB5CA1">
      <w:pPr>
        <w:ind w:firstLine="643"/>
        <w:rPr>
          <w:b/>
          <w:bCs/>
        </w:rPr>
      </w:pPr>
      <w:r>
        <w:rPr>
          <w:rFonts w:hint="eastAsia"/>
          <w:b/>
          <w:bCs/>
        </w:rPr>
        <w:t>4</w:t>
      </w:r>
      <w:r>
        <w:rPr>
          <w:rFonts w:hint="eastAsia"/>
          <w:b/>
          <w:bCs/>
        </w:rPr>
        <w:t>、分析总结</w:t>
      </w:r>
      <w:bookmarkEnd w:id="58"/>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r>
        <w:rPr>
          <w:rFonts w:hint="eastAsia"/>
          <w:b/>
          <w:bCs/>
        </w:rPr>
        <w:t>）</w:t>
      </w:r>
    </w:p>
    <w:p w:rsidR="00B00962" w:rsidRDefault="00EB5CA1">
      <w:pPr>
        <w:ind w:firstLine="640"/>
      </w:pPr>
      <w:r>
        <w:rPr>
          <w:rFonts w:hint="eastAsia"/>
        </w:rPr>
        <w:t>（</w:t>
      </w:r>
      <w:r>
        <w:rPr>
          <w:rFonts w:hint="eastAsia"/>
        </w:rPr>
        <w:t>1</w:t>
      </w:r>
      <w:r>
        <w:rPr>
          <w:rFonts w:hint="eastAsia"/>
        </w:rPr>
        <w:t>）根据部门自评的意见及考察、考评的结果进行整理、分析，撰写绩效评价报告初稿。</w:t>
      </w:r>
    </w:p>
    <w:p w:rsidR="00B00962" w:rsidRDefault="00EB5CA1">
      <w:pPr>
        <w:ind w:firstLine="640"/>
      </w:pPr>
      <w:r>
        <w:rPr>
          <w:rFonts w:hint="eastAsia"/>
        </w:rPr>
        <w:t>（</w:t>
      </w:r>
      <w:r>
        <w:rPr>
          <w:rFonts w:hint="eastAsia"/>
        </w:rPr>
        <w:t>2</w:t>
      </w:r>
      <w:r>
        <w:rPr>
          <w:rFonts w:hint="eastAsia"/>
        </w:rPr>
        <w:t>）就部门自评报告与部门具体有关科室征求意见，形成最终的绩效评价报告。</w:t>
      </w:r>
    </w:p>
    <w:p w:rsidR="00B00962" w:rsidRDefault="00EB5CA1">
      <w:pPr>
        <w:ind w:firstLine="643"/>
        <w:rPr>
          <w:b/>
          <w:bCs/>
        </w:rPr>
      </w:pPr>
      <w:bookmarkStart w:id="59" w:name="OLE_LINK11"/>
      <w:r>
        <w:rPr>
          <w:rFonts w:hint="eastAsia"/>
          <w:b/>
          <w:bCs/>
        </w:rPr>
        <w:t>5</w:t>
      </w:r>
      <w:r>
        <w:rPr>
          <w:rFonts w:hint="eastAsia"/>
          <w:b/>
          <w:bCs/>
        </w:rPr>
        <w:t>.</w:t>
      </w:r>
      <w:r>
        <w:rPr>
          <w:rFonts w:hint="eastAsia"/>
          <w:b/>
          <w:bCs/>
        </w:rPr>
        <w:t>问题整改</w:t>
      </w:r>
    </w:p>
    <w:p w:rsidR="00B00962" w:rsidRDefault="00EB5CA1">
      <w:pPr>
        <w:ind w:firstLine="640"/>
      </w:pPr>
      <w:r>
        <w:rPr>
          <w:rFonts w:hint="eastAsia"/>
        </w:rPr>
        <w:t>经审核通过后，由评价小组将报告推送至项目实施人员，由项目实施人员根据报告评价结论、存在的问题</w:t>
      </w:r>
      <w:r>
        <w:rPr>
          <w:rFonts w:hint="eastAsia"/>
        </w:rPr>
        <w:t>以及改进建议落实问题整改，并形成整改报告，由评价小组负责监督和核查整改落实情况，确保绩效评价落到实处。</w:t>
      </w:r>
    </w:p>
    <w:p w:rsidR="00B00962" w:rsidRDefault="00EB5CA1">
      <w:pPr>
        <w:ind w:firstLine="643"/>
        <w:rPr>
          <w:b/>
          <w:bCs/>
        </w:rPr>
      </w:pPr>
      <w:r>
        <w:rPr>
          <w:rFonts w:hint="eastAsia"/>
          <w:b/>
          <w:bCs/>
        </w:rPr>
        <w:t>6</w:t>
      </w:r>
      <w:r>
        <w:rPr>
          <w:rFonts w:hint="eastAsia"/>
          <w:b/>
          <w:bCs/>
        </w:rPr>
        <w:t>.</w:t>
      </w:r>
      <w:r>
        <w:rPr>
          <w:rFonts w:hint="eastAsia"/>
          <w:b/>
          <w:bCs/>
        </w:rPr>
        <w:t>档案整理</w:t>
      </w:r>
    </w:p>
    <w:p w:rsidR="00B00962" w:rsidRDefault="00EB5CA1">
      <w:pPr>
        <w:ind w:firstLine="640"/>
      </w:pPr>
      <w:r>
        <w:t>建立和落实档案管理制度，将项目相关资料存档，包括但不限于：评价项目基本情况和相关文件、评价实施方案、项目支付资料等相关档案。</w:t>
      </w:r>
      <w:bookmarkEnd w:id="59"/>
    </w:p>
    <w:p w:rsidR="00B00962" w:rsidRDefault="00EB5CA1">
      <w:pPr>
        <w:pStyle w:val="2"/>
        <w:ind w:firstLine="640"/>
      </w:pPr>
      <w:bookmarkStart w:id="60" w:name="_Toc2273"/>
      <w:bookmarkStart w:id="61" w:name="_Toc20784"/>
      <w:r>
        <w:rPr>
          <w:rFonts w:hint="eastAsia"/>
        </w:rPr>
        <w:t>三、综合评价情况及评价结论</w:t>
      </w:r>
      <w:bookmarkEnd w:id="60"/>
      <w:bookmarkEnd w:id="61"/>
    </w:p>
    <w:p w:rsidR="00B00962" w:rsidRDefault="00EB5CA1">
      <w:pPr>
        <w:ind w:firstLine="640"/>
      </w:pPr>
      <w:r>
        <w:rPr>
          <w:rFonts w:hint="eastAsia"/>
        </w:rPr>
        <w:t>本项目的绩效评价结果为“优”，综合评分</w:t>
      </w:r>
      <w:r>
        <w:rPr>
          <w:rFonts w:hint="eastAsia"/>
        </w:rPr>
        <w:t>100</w:t>
      </w:r>
      <w:r>
        <w:rPr>
          <w:rFonts w:hint="eastAsia"/>
        </w:rPr>
        <w:t>分。其中项目决策</w:t>
      </w:r>
      <w:r>
        <w:rPr>
          <w:rFonts w:hint="eastAsia"/>
        </w:rPr>
        <w:t>22</w:t>
      </w:r>
      <w:r>
        <w:rPr>
          <w:rFonts w:hint="eastAsia"/>
        </w:rPr>
        <w:t>分，项目过程</w:t>
      </w:r>
      <w:r>
        <w:rPr>
          <w:rFonts w:hint="eastAsia"/>
        </w:rPr>
        <w:t>18</w:t>
      </w:r>
      <w:r>
        <w:rPr>
          <w:rFonts w:hint="eastAsia"/>
        </w:rPr>
        <w:t>分，项目产出管理得分</w:t>
      </w:r>
      <w:r>
        <w:rPr>
          <w:rFonts w:hint="eastAsia"/>
        </w:rPr>
        <w:t>40</w:t>
      </w:r>
      <w:r>
        <w:rPr>
          <w:rFonts w:hint="eastAsia"/>
        </w:rPr>
        <w:lastRenderedPageBreak/>
        <w:t>分，项目效益</w:t>
      </w:r>
      <w:r>
        <w:rPr>
          <w:rFonts w:hint="eastAsia"/>
        </w:rPr>
        <w:t>20</w:t>
      </w:r>
      <w:r>
        <w:rPr>
          <w:rFonts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B00962">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B00962" w:rsidRDefault="00EB5CA1">
            <w:pPr>
              <w:pStyle w:val="a6"/>
              <w:rPr>
                <w:rFonts w:hint="default"/>
              </w:rPr>
            </w:pPr>
            <w:bookmarkStart w:id="62" w:name="_Toc28170"/>
            <w:r>
              <w:rPr>
                <w:rFonts w:cs="Times New Roman"/>
              </w:rPr>
              <w:t>2024-2025</w:t>
            </w:r>
            <w:r>
              <w:rPr>
                <w:rFonts w:cs="Times New Roman"/>
              </w:rPr>
              <w:t>年县级储备粮保管费</w:t>
            </w:r>
            <w:r>
              <w:t>绩效评价</w:t>
            </w:r>
            <w:r>
              <w:rPr>
                <w:lang w:val="zh-TW" w:eastAsia="zh-TW"/>
              </w:rPr>
              <w:t>得分表</w:t>
            </w:r>
            <w:bookmarkEnd w:id="62"/>
          </w:p>
        </w:tc>
      </w:tr>
      <w:tr w:rsidR="00B0096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63" w:name="_Toc533"/>
            <w:r>
              <w:t>指标类别</w:t>
            </w:r>
            <w:bookmarkEnd w:id="63"/>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64" w:name="_Toc2262"/>
            <w:r>
              <w:t>1.</w:t>
            </w:r>
            <w:r>
              <w:t>项目决策</w:t>
            </w:r>
            <w:bookmarkEnd w:id="64"/>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65" w:name="_Toc17308"/>
            <w:r>
              <w:t>2.</w:t>
            </w:r>
            <w:r>
              <w:t>过程管理</w:t>
            </w:r>
            <w:bookmarkEnd w:id="65"/>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66" w:name="_Toc7963"/>
            <w:r>
              <w:t>3.</w:t>
            </w:r>
            <w:r>
              <w:t>项目产出</w:t>
            </w:r>
            <w:bookmarkEnd w:id="66"/>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67" w:name="_Toc15956"/>
            <w:r>
              <w:t>4.</w:t>
            </w:r>
            <w:r>
              <w:t>项目效益</w:t>
            </w:r>
            <w:bookmarkEnd w:id="67"/>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68" w:name="_Toc3065"/>
            <w:r>
              <w:t>合计</w:t>
            </w:r>
            <w:bookmarkEnd w:id="68"/>
          </w:p>
        </w:tc>
      </w:tr>
      <w:tr w:rsidR="00B00962">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69" w:name="_Toc8138"/>
            <w:r>
              <w:t>权重</w:t>
            </w:r>
            <w:bookmarkEnd w:id="69"/>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70" w:name="_Toc12808"/>
            <w:r>
              <w:t>22%</w:t>
            </w:r>
            <w:bookmarkEnd w:id="70"/>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71" w:name="_Toc1646"/>
            <w:r>
              <w:t>18%</w:t>
            </w:r>
            <w:bookmarkEnd w:id="71"/>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72" w:name="_Toc19271"/>
            <w:r>
              <w:t>40%</w:t>
            </w:r>
            <w:bookmarkEnd w:id="72"/>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73" w:name="_Toc19536"/>
            <w:r>
              <w:t>20%</w:t>
            </w:r>
            <w:bookmarkEnd w:id="73"/>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74" w:name="_Toc22890"/>
            <w:r>
              <w:t>100%</w:t>
            </w:r>
            <w:bookmarkEnd w:id="74"/>
          </w:p>
        </w:tc>
      </w:tr>
      <w:tr w:rsidR="00B0096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75" w:name="_Toc17575"/>
            <w:r>
              <w:t>分值</w:t>
            </w:r>
            <w:bookmarkEnd w:id="75"/>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76" w:name="_Toc16832"/>
            <w:r>
              <w:t>22</w:t>
            </w:r>
            <w:bookmarkEnd w:id="76"/>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77" w:name="_Toc27318"/>
            <w:r>
              <w:t>18</w:t>
            </w:r>
            <w:bookmarkEnd w:id="77"/>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78" w:name="_Toc14591"/>
            <w:r>
              <w:t>40</w:t>
            </w:r>
            <w:bookmarkEnd w:id="78"/>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79" w:name="_Toc13523"/>
            <w:r>
              <w:t>20</w:t>
            </w:r>
            <w:bookmarkEnd w:id="79"/>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80" w:name="_Toc1721"/>
            <w:r>
              <w:t>100</w:t>
            </w:r>
            <w:bookmarkEnd w:id="80"/>
          </w:p>
        </w:tc>
      </w:tr>
      <w:tr w:rsidR="00B0096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81" w:name="_Toc5267"/>
            <w:r>
              <w:t>得分</w:t>
            </w:r>
            <w:bookmarkEnd w:id="81"/>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82" w:name="_Toc9552"/>
            <w:r>
              <w:t>22</w:t>
            </w:r>
            <w:bookmarkEnd w:id="82"/>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83" w:name="_Toc13675"/>
            <w:r>
              <w:t>18</w:t>
            </w:r>
            <w:bookmarkEnd w:id="83"/>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84" w:name="_Toc10903"/>
            <w:r>
              <w:t>40</w:t>
            </w:r>
            <w:bookmarkEnd w:id="84"/>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85" w:name="_Toc21830"/>
            <w:r>
              <w:t>20</w:t>
            </w:r>
            <w:bookmarkEnd w:id="85"/>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0962" w:rsidRDefault="00EB5CA1">
            <w:pPr>
              <w:pStyle w:val="a7"/>
              <w:rPr>
                <w:rFonts w:hint="default"/>
              </w:rPr>
            </w:pPr>
            <w:bookmarkStart w:id="86" w:name="_Toc1680"/>
            <w:r>
              <w:t>100</w:t>
            </w:r>
            <w:bookmarkEnd w:id="86"/>
          </w:p>
        </w:tc>
      </w:tr>
    </w:tbl>
    <w:p w:rsidR="00B00962" w:rsidRDefault="00B00962">
      <w:pPr>
        <w:ind w:firstLine="640"/>
      </w:pPr>
    </w:p>
    <w:p w:rsidR="00B00962" w:rsidRDefault="00EB5CA1">
      <w:pPr>
        <w:pStyle w:val="2"/>
        <w:ind w:firstLine="640"/>
      </w:pPr>
      <w:bookmarkStart w:id="87" w:name="_Toc12000"/>
      <w:bookmarkStart w:id="88" w:name="_Toc8960"/>
      <w:r>
        <w:rPr>
          <w:rFonts w:hint="eastAsia"/>
        </w:rPr>
        <w:t>四、绩效评价指标分析</w:t>
      </w:r>
      <w:bookmarkEnd w:id="87"/>
      <w:bookmarkEnd w:id="88"/>
    </w:p>
    <w:p w:rsidR="00B00962" w:rsidRDefault="00EB5CA1">
      <w:pPr>
        <w:pStyle w:val="3"/>
        <w:ind w:firstLine="643"/>
      </w:pPr>
      <w:bookmarkStart w:id="89" w:name="_Toc20696"/>
      <w:bookmarkStart w:id="90" w:name="_Toc3445"/>
      <w:r>
        <w:rPr>
          <w:rFonts w:hint="eastAsia"/>
        </w:rPr>
        <w:t>（一）项目决策情况</w:t>
      </w:r>
      <w:bookmarkEnd w:id="89"/>
      <w:bookmarkEnd w:id="90"/>
    </w:p>
    <w:p w:rsidR="00B00962" w:rsidRDefault="00EB5CA1">
      <w:pPr>
        <w:ind w:firstLine="640"/>
      </w:pPr>
      <w:r>
        <w:rPr>
          <w:rFonts w:hint="eastAsia"/>
        </w:rPr>
        <w:t>1</w:t>
      </w:r>
      <w:r>
        <w:rPr>
          <w:rFonts w:hint="eastAsia"/>
        </w:rPr>
        <w:t>、实施依据充分性</w:t>
      </w:r>
    </w:p>
    <w:p w:rsidR="00B00962" w:rsidRDefault="00EB5CA1">
      <w:pPr>
        <w:ind w:firstLine="640"/>
      </w:pPr>
      <w:r>
        <w:rPr>
          <w:rFonts w:hint="eastAsia"/>
        </w:rPr>
        <w:t>本项目</w:t>
      </w:r>
      <w:r>
        <w:rPr>
          <w:rFonts w:hint="eastAsia"/>
        </w:rPr>
        <w:t>实施</w:t>
      </w:r>
      <w:r>
        <w:rPr>
          <w:rFonts w:hint="eastAsia"/>
        </w:rPr>
        <w:t>符合</w:t>
      </w:r>
      <w:r>
        <w:rPr>
          <w:rFonts w:hint="eastAsia"/>
        </w:rPr>
        <w:t>自治区人民政府</w:t>
      </w:r>
      <w:r>
        <w:rPr>
          <w:rFonts w:hint="eastAsia"/>
        </w:rPr>
        <w:t>颁发的《</w:t>
      </w:r>
      <w:r>
        <w:rPr>
          <w:rFonts w:hint="eastAsia"/>
        </w:rPr>
        <w:t>贯彻落实国务院关于建立健全粮食安全省长责任制若干意见的实施</w:t>
      </w:r>
      <w:r>
        <w:rPr>
          <w:rFonts w:hint="eastAsia"/>
        </w:rPr>
        <w:t>》（</w:t>
      </w:r>
      <w:r>
        <w:rPr>
          <w:rFonts w:hint="eastAsia"/>
        </w:rPr>
        <w:t>新政发</w:t>
      </w:r>
      <w:r>
        <w:rPr>
          <w:rFonts w:hint="eastAsia"/>
        </w:rPr>
        <w:t>〔</w:t>
      </w:r>
      <w:r>
        <w:rPr>
          <w:rFonts w:hint="eastAsia"/>
        </w:rPr>
        <w:t>2015</w:t>
      </w:r>
      <w:r>
        <w:rPr>
          <w:rFonts w:hint="eastAsia"/>
        </w:rPr>
        <w:t>〕</w:t>
      </w:r>
      <w:r>
        <w:rPr>
          <w:rFonts w:hint="eastAsia"/>
        </w:rPr>
        <w:t>98</w:t>
      </w:r>
      <w:r>
        <w:rPr>
          <w:rFonts w:hint="eastAsia"/>
        </w:rPr>
        <w:t>号）</w:t>
      </w:r>
      <w:r>
        <w:rPr>
          <w:rFonts w:hint="eastAsia"/>
        </w:rPr>
        <w:t>和自治区发改委、粮食局、财政厅，农发行新疆分行</w:t>
      </w:r>
      <w:r>
        <w:rPr>
          <w:rFonts w:hint="eastAsia"/>
        </w:rPr>
        <w:t>《</w:t>
      </w:r>
      <w:r>
        <w:rPr>
          <w:rFonts w:hint="eastAsia"/>
        </w:rPr>
        <w:t>关于加强自治区地方储备粮管理工作的通知</w:t>
      </w:r>
      <w:r>
        <w:rPr>
          <w:rFonts w:hint="eastAsia"/>
        </w:rPr>
        <w:t>》（</w:t>
      </w:r>
      <w:r>
        <w:rPr>
          <w:rFonts w:hint="eastAsia"/>
        </w:rPr>
        <w:t>新粮购</w:t>
      </w:r>
      <w:r>
        <w:rPr>
          <w:rFonts w:hint="eastAsia"/>
        </w:rPr>
        <w:t>〔</w:t>
      </w:r>
      <w:r>
        <w:rPr>
          <w:rFonts w:hint="eastAsia"/>
        </w:rPr>
        <w:t>2018</w:t>
      </w:r>
      <w:r>
        <w:rPr>
          <w:rFonts w:hint="eastAsia"/>
        </w:rPr>
        <w:t>〕</w:t>
      </w:r>
      <w:r>
        <w:rPr>
          <w:rFonts w:hint="eastAsia"/>
        </w:rPr>
        <w:t>73</w:t>
      </w:r>
      <w:r>
        <w:rPr>
          <w:rFonts w:hint="eastAsia"/>
        </w:rPr>
        <w:t>号）中：“</w:t>
      </w:r>
      <w:r>
        <w:rPr>
          <w:rFonts w:hint="eastAsia"/>
        </w:rPr>
        <w:t>县级储备粮实行企业保管，政府调用。储备粮粮权归属当地人民政府，由发改委、财政局，农发行承担监管职责。财政局依据粮食（小麦）实际储存数量，落实贷款利息费用、保管费用、轮换费用、价差亏损等由财政补贴</w:t>
      </w:r>
      <w:r>
        <w:rPr>
          <w:rFonts w:hint="eastAsia"/>
        </w:rPr>
        <w:t>”；本项目</w:t>
      </w:r>
      <w:r>
        <w:rPr>
          <w:rFonts w:hint="eastAsia"/>
        </w:rPr>
        <w:t>实施</w:t>
      </w:r>
      <w:r>
        <w:rPr>
          <w:rFonts w:hint="eastAsia"/>
        </w:rPr>
        <w:t>符合《</w:t>
      </w:r>
      <w:r>
        <w:rPr>
          <w:rFonts w:hint="eastAsia"/>
        </w:rPr>
        <w:t>贯彻落实国务院关于建立健全粮食安全省长责任制若干意见的实施、关于加强自治区地方储备粮管理工作的通知</w:t>
      </w:r>
      <w:r>
        <w:rPr>
          <w:rFonts w:hint="eastAsia"/>
        </w:rPr>
        <w:t>》中：“</w:t>
      </w:r>
      <w:r>
        <w:rPr>
          <w:rFonts w:hint="eastAsia"/>
        </w:rPr>
        <w:t>财政局依据粮食（小麦）实际储存数量，落实贷款利息费用、保管费用、</w:t>
      </w:r>
      <w:r>
        <w:rPr>
          <w:rFonts w:hint="eastAsia"/>
        </w:rPr>
        <w:lastRenderedPageBreak/>
        <w:t>轮换费用、价差亏损等由财政补贴</w:t>
      </w:r>
      <w:r>
        <w:rPr>
          <w:rFonts w:hint="eastAsia"/>
        </w:rPr>
        <w:t>”内容，符合行业发展规划和政策要求；</w:t>
      </w:r>
    </w:p>
    <w:p w:rsidR="00B00962" w:rsidRDefault="00EB5CA1">
      <w:pPr>
        <w:ind w:firstLine="640"/>
      </w:pPr>
      <w:r>
        <w:rPr>
          <w:rFonts w:hint="eastAsia"/>
        </w:rPr>
        <w:t>（</w:t>
      </w:r>
      <w:r>
        <w:rPr>
          <w:rFonts w:hint="eastAsia"/>
        </w:rPr>
        <w:t>1</w:t>
      </w:r>
      <w:r>
        <w:rPr>
          <w:rFonts w:hint="eastAsia"/>
        </w:rPr>
        <w:t>）本项目申报和审批符合国家法律法规、国民经济发展规划和相</w:t>
      </w:r>
      <w:r>
        <w:rPr>
          <w:rFonts w:hint="eastAsia"/>
        </w:rPr>
        <w:t>关政策；</w:t>
      </w:r>
    </w:p>
    <w:p w:rsidR="00B00962" w:rsidRDefault="00EB5CA1">
      <w:pPr>
        <w:ind w:firstLine="640"/>
      </w:pPr>
      <w:r>
        <w:rPr>
          <w:rFonts w:hint="eastAsia"/>
        </w:rPr>
        <w:t>（</w:t>
      </w:r>
      <w:r>
        <w:rPr>
          <w:rFonts w:hint="eastAsia"/>
        </w:rPr>
        <w:t>2</w:t>
      </w:r>
      <w:r>
        <w:rPr>
          <w:rFonts w:hint="eastAsia"/>
        </w:rPr>
        <w:t>）本项目申报和审批符合行业发展规划和政策要求；</w:t>
      </w:r>
    </w:p>
    <w:p w:rsidR="00B00962" w:rsidRDefault="00EB5CA1">
      <w:pPr>
        <w:ind w:firstLine="640"/>
      </w:pPr>
      <w:r>
        <w:rPr>
          <w:rFonts w:hint="eastAsia"/>
        </w:rPr>
        <w:t>（</w:t>
      </w:r>
      <w:r>
        <w:rPr>
          <w:rFonts w:hint="eastAsia"/>
        </w:rPr>
        <w:t>3</w:t>
      </w:r>
      <w:r>
        <w:rPr>
          <w:rFonts w:hint="eastAsia"/>
        </w:rPr>
        <w:t>）项目</w:t>
      </w:r>
      <w:r>
        <w:rPr>
          <w:rFonts w:hint="eastAsia"/>
        </w:rPr>
        <w:t>实施</w:t>
      </w:r>
      <w:r>
        <w:rPr>
          <w:rFonts w:hint="eastAsia"/>
        </w:rPr>
        <w:t>与部门职责范围相符，属干部门履职所需；</w:t>
      </w:r>
    </w:p>
    <w:p w:rsidR="00B00962" w:rsidRDefault="00EB5CA1">
      <w:pPr>
        <w:ind w:firstLine="640"/>
      </w:pPr>
      <w:r>
        <w:rPr>
          <w:rFonts w:hint="eastAsia"/>
        </w:rPr>
        <w:t>（</w:t>
      </w:r>
      <w:r>
        <w:rPr>
          <w:rFonts w:hint="eastAsia"/>
        </w:rPr>
        <w:t>4</w:t>
      </w:r>
      <w:r>
        <w:rPr>
          <w:rFonts w:hint="eastAsia"/>
        </w:rPr>
        <w:t>）本项目属于公共财政支持范围，符合中央、地方事权支出责任划分原则；</w:t>
      </w:r>
    </w:p>
    <w:p w:rsidR="00B00962" w:rsidRDefault="00EB5CA1">
      <w:pPr>
        <w:ind w:firstLine="640"/>
      </w:pPr>
      <w:r>
        <w:rPr>
          <w:rFonts w:hint="eastAsia"/>
        </w:rPr>
        <w:t>（</w:t>
      </w:r>
      <w:r>
        <w:rPr>
          <w:rFonts w:hint="eastAsia"/>
        </w:rPr>
        <w:t>5</w:t>
      </w:r>
      <w:r>
        <w:rPr>
          <w:rFonts w:hint="eastAsia"/>
        </w:rPr>
        <w:t>）本项目与相关部门同类项目或部门内部相关项目</w:t>
      </w:r>
      <w:r>
        <w:rPr>
          <w:rFonts w:hint="eastAsia"/>
        </w:rPr>
        <w:t>不</w:t>
      </w:r>
      <w:r>
        <w:rPr>
          <w:rFonts w:hint="eastAsia"/>
        </w:rPr>
        <w:t>重复。</w:t>
      </w:r>
    </w:p>
    <w:p w:rsidR="00B00962" w:rsidRDefault="00EB5CA1">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B00962" w:rsidRDefault="00EB5CA1">
      <w:pPr>
        <w:ind w:firstLine="640"/>
      </w:pPr>
      <w:r>
        <w:rPr>
          <w:rFonts w:hint="eastAsia"/>
        </w:rPr>
        <w:t>2</w:t>
      </w:r>
      <w:r>
        <w:rPr>
          <w:rFonts w:hint="eastAsia"/>
        </w:rPr>
        <w:t>、实施程序规范性</w:t>
      </w:r>
    </w:p>
    <w:p w:rsidR="00B00962" w:rsidRDefault="00EB5CA1">
      <w:pPr>
        <w:ind w:firstLine="640"/>
      </w:pPr>
      <w:r>
        <w:rPr>
          <w:rFonts w:hint="eastAsia"/>
        </w:rPr>
        <w:t>本项目</w:t>
      </w:r>
      <w:r>
        <w:rPr>
          <w:rFonts w:hint="eastAsia"/>
        </w:rPr>
        <w:t>实施</w:t>
      </w:r>
      <w:r>
        <w:rPr>
          <w:rFonts w:hint="eastAsia"/>
        </w:rPr>
        <w:t>资料</w:t>
      </w:r>
      <w:r>
        <w:rPr>
          <w:rFonts w:hint="eastAsia"/>
        </w:rPr>
        <w:t>齐</w:t>
      </w:r>
      <w:r>
        <w:rPr>
          <w:rFonts w:hint="eastAsia"/>
        </w:rPr>
        <w:t>全，</w:t>
      </w:r>
      <w:r>
        <w:t>编制了</w:t>
      </w:r>
      <w:r>
        <w:rPr>
          <w:rFonts w:hint="eastAsia"/>
        </w:rPr>
        <w:t>《</w:t>
      </w:r>
      <w:r>
        <w:rPr>
          <w:rFonts w:hint="eastAsia"/>
        </w:rPr>
        <w:t>关于建立尉犁县县级储备粮有关事宜的通知</w:t>
      </w:r>
      <w:r>
        <w:rPr>
          <w:rFonts w:hint="eastAsia"/>
        </w:rPr>
        <w:t>》</w:t>
      </w:r>
      <w:r>
        <w:t>。</w:t>
      </w:r>
      <w:r>
        <w:rPr>
          <w:rFonts w:hint="eastAsia"/>
        </w:rPr>
        <w:t>通过</w:t>
      </w:r>
      <w:r w:rsidR="00923719">
        <w:rPr>
          <w:rFonts w:hint="eastAsia"/>
        </w:rPr>
        <w:t>尉犁县十八届人民政府第</w:t>
      </w:r>
      <w:bookmarkStart w:id="91" w:name="_GoBack"/>
      <w:bookmarkEnd w:id="91"/>
      <w:r>
        <w:rPr>
          <w:rFonts w:hint="eastAsia"/>
        </w:rPr>
        <w:t>13</w:t>
      </w:r>
      <w:r>
        <w:rPr>
          <w:rFonts w:hint="eastAsia"/>
        </w:rPr>
        <w:t>次常务会议研究通过，</w:t>
      </w:r>
      <w:r>
        <w:rPr>
          <w:rFonts w:hint="eastAsia"/>
        </w:rPr>
        <w:t>会议同意实施该项目。因此，</w:t>
      </w:r>
      <w:r>
        <w:rPr>
          <w:rFonts w:hint="eastAsia"/>
          <w:spacing w:val="-4"/>
          <w:szCs w:val="32"/>
        </w:rPr>
        <w:t>实施</w:t>
      </w:r>
      <w:r>
        <w:rPr>
          <w:rFonts w:hint="eastAsia"/>
          <w:bCs/>
          <w:szCs w:val="32"/>
        </w:rPr>
        <w:t>程序规范；审批文件、材料符合相关要求，事前已经过必要的集体决策，</w:t>
      </w:r>
      <w:r>
        <w:rPr>
          <w:rFonts w:hint="eastAsia"/>
        </w:rPr>
        <w:t>实施程序规范。</w:t>
      </w:r>
    </w:p>
    <w:p w:rsidR="00B00962" w:rsidRDefault="00EB5CA1">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B00962" w:rsidRDefault="00EB5CA1">
      <w:pPr>
        <w:ind w:firstLine="640"/>
      </w:pPr>
      <w:r>
        <w:rPr>
          <w:rFonts w:hint="eastAsia"/>
        </w:rPr>
        <w:t>3</w:t>
      </w:r>
      <w:r>
        <w:rPr>
          <w:rFonts w:hint="eastAsia"/>
        </w:rPr>
        <w:t>、绩效目标合理性</w:t>
      </w:r>
    </w:p>
    <w:p w:rsidR="00B00962" w:rsidRDefault="00EB5CA1">
      <w:pPr>
        <w:ind w:firstLine="640"/>
      </w:pPr>
      <w:r>
        <w:rPr>
          <w:rFonts w:cs="Times New Roman" w:hint="eastAsia"/>
        </w:rPr>
        <w:t>2024-2025</w:t>
      </w:r>
      <w:r>
        <w:rPr>
          <w:rFonts w:cs="Times New Roman" w:hint="eastAsia"/>
        </w:rPr>
        <w:t>年县级储备粮保管费</w:t>
      </w:r>
      <w:r>
        <w:rPr>
          <w:rFonts w:hint="eastAsia"/>
        </w:rPr>
        <w:t>设立了项目绩效目标，绩效目标指标设置合理，项目绩效目标与实际工作内容相关</w:t>
      </w:r>
      <w:r>
        <w:rPr>
          <w:rFonts w:hint="eastAsia"/>
        </w:rPr>
        <w:lastRenderedPageBreak/>
        <w:t>性较强；项目预期产出效益和效果符合正常的业绩水平；绩效目标与预算确定的项目投资额相匹配。</w:t>
      </w:r>
    </w:p>
    <w:p w:rsidR="00B00962" w:rsidRDefault="00EB5CA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00962" w:rsidRDefault="00EB5CA1">
      <w:pPr>
        <w:ind w:firstLine="640"/>
      </w:pPr>
      <w:r>
        <w:rPr>
          <w:rFonts w:hint="eastAsia"/>
        </w:rPr>
        <w:t>4</w:t>
      </w:r>
      <w:r>
        <w:rPr>
          <w:rFonts w:hint="eastAsia"/>
        </w:rPr>
        <w:t>、绩效指标明确性</w:t>
      </w:r>
    </w:p>
    <w:p w:rsidR="00B00962" w:rsidRDefault="00EB5CA1">
      <w:pPr>
        <w:ind w:firstLine="640"/>
      </w:pPr>
      <w:r>
        <w:rPr>
          <w:rFonts w:cs="Times New Roman" w:hint="eastAsia"/>
        </w:rPr>
        <w:t>2024-2025</w:t>
      </w:r>
      <w:r>
        <w:rPr>
          <w:rFonts w:cs="Times New Roman" w:hint="eastAsia"/>
        </w:rPr>
        <w:t>年县级储备粮保管费</w:t>
      </w:r>
      <w:r>
        <w:rPr>
          <w:rFonts w:cs="Times New Roman"/>
        </w:rPr>
        <w:t>，设置一级指标</w:t>
      </w:r>
      <w:r>
        <w:rPr>
          <w:rFonts w:cs="Times New Roman"/>
        </w:rPr>
        <w:t>3</w:t>
      </w:r>
      <w:r>
        <w:rPr>
          <w:rFonts w:cs="Times New Roman"/>
        </w:rPr>
        <w:t>条，二级指标</w:t>
      </w:r>
      <w:r>
        <w:rPr>
          <w:rFonts w:cs="Times New Roman" w:hint="eastAsia"/>
        </w:rPr>
        <w:t>6</w:t>
      </w:r>
      <w:r>
        <w:rPr>
          <w:rFonts w:cs="Times New Roman"/>
        </w:rPr>
        <w:t>条，三级指标</w:t>
      </w:r>
      <w:r>
        <w:rPr>
          <w:rFonts w:cs="Times New Roman" w:hint="eastAsia"/>
        </w:rPr>
        <w:t>8</w:t>
      </w:r>
      <w:r>
        <w:rPr>
          <w:rFonts w:cs="Times New Roman"/>
        </w:rPr>
        <w:t>条，其中量化指标</w:t>
      </w:r>
      <w:r>
        <w:rPr>
          <w:rFonts w:cs="Times New Roman" w:hint="eastAsia"/>
        </w:rPr>
        <w:t>7</w:t>
      </w:r>
      <w:r>
        <w:rPr>
          <w:rFonts w:cs="Times New Roman"/>
        </w:rPr>
        <w:t>条</w:t>
      </w:r>
      <w:r>
        <w:rPr>
          <w:rFonts w:hint="eastAsia"/>
        </w:rPr>
        <w:t>，绩效目标指标设定清晰、可衡量性较强，与项目目标任务计划数对应性较强。</w:t>
      </w:r>
    </w:p>
    <w:p w:rsidR="00B00962" w:rsidRDefault="00EB5CA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00962" w:rsidRDefault="00EB5CA1">
      <w:pPr>
        <w:ind w:firstLine="640"/>
      </w:pPr>
      <w:r>
        <w:rPr>
          <w:rFonts w:hint="eastAsia"/>
        </w:rPr>
        <w:t>5</w:t>
      </w:r>
      <w:r>
        <w:rPr>
          <w:rFonts w:hint="eastAsia"/>
        </w:rPr>
        <w:t>、预算编制科学性</w:t>
      </w:r>
    </w:p>
    <w:p w:rsidR="00B00962" w:rsidRDefault="00EB5CA1">
      <w:pPr>
        <w:ind w:firstLine="640"/>
      </w:pPr>
      <w:r>
        <w:rPr>
          <w:rFonts w:cs="Times New Roman"/>
        </w:rPr>
        <w:t>本项目预算资金</w:t>
      </w:r>
      <w:r>
        <w:rPr>
          <w:rFonts w:cs="Times New Roman" w:hint="eastAsia"/>
        </w:rPr>
        <w:t>20</w:t>
      </w:r>
      <w:r>
        <w:rPr>
          <w:rFonts w:cs="Times New Roman"/>
        </w:rPr>
        <w:t>万元，来源为</w:t>
      </w:r>
      <w:r>
        <w:rPr>
          <w:rFonts w:cs="Times New Roman" w:hint="eastAsia"/>
        </w:rPr>
        <w:t>年中追加县级财政拨款</w:t>
      </w:r>
      <w:r>
        <w:rPr>
          <w:rFonts w:cs="Times New Roman"/>
        </w:rPr>
        <w:t>资金</w:t>
      </w:r>
      <w:r>
        <w:rPr>
          <w:rFonts w:cs="Times New Roman" w:hint="eastAsia"/>
        </w:rPr>
        <w:t>20</w:t>
      </w:r>
      <w:r>
        <w:rPr>
          <w:rFonts w:cs="Times New Roman"/>
        </w:rPr>
        <w:t>万元，</w:t>
      </w:r>
      <w:r>
        <w:rPr>
          <w:rFonts w:hint="eastAsia"/>
        </w:rPr>
        <w:t>预算编制较为科学，预算内容与</w:t>
      </w:r>
      <w:r>
        <w:rPr>
          <w:rFonts w:hint="eastAsia"/>
        </w:rPr>
        <w:t>尉犁县发改委工作</w:t>
      </w:r>
      <w:r>
        <w:rPr>
          <w:rFonts w:hint="eastAsia"/>
        </w:rPr>
        <w:t>内容相匹配，预算额度测算依据充分，预算确定的资金量与</w:t>
      </w:r>
      <w:r>
        <w:rPr>
          <w:rFonts w:hint="eastAsia"/>
        </w:rPr>
        <w:t>工作量</w:t>
      </w:r>
      <w:r>
        <w:rPr>
          <w:rFonts w:hint="eastAsia"/>
        </w:rPr>
        <w:t>相匹配。</w:t>
      </w:r>
    </w:p>
    <w:p w:rsidR="00B00962" w:rsidRDefault="00EB5CA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00962" w:rsidRDefault="00EB5CA1">
      <w:pPr>
        <w:ind w:firstLine="640"/>
      </w:pPr>
      <w:r>
        <w:rPr>
          <w:rFonts w:hint="eastAsia"/>
        </w:rPr>
        <w:t>6</w:t>
      </w:r>
      <w:r>
        <w:rPr>
          <w:rFonts w:hint="eastAsia"/>
        </w:rPr>
        <w:t>、资金分配合理性</w:t>
      </w:r>
    </w:p>
    <w:p w:rsidR="00B00962" w:rsidRDefault="00EB5CA1">
      <w:pPr>
        <w:ind w:firstLine="640"/>
      </w:pPr>
      <w:r>
        <w:rPr>
          <w:rFonts w:hint="eastAsia"/>
        </w:rPr>
        <w:t>本项目预算资金分配依据充分；资金分配额度合理，与项目单位实际相适应。</w:t>
      </w:r>
    </w:p>
    <w:p w:rsidR="00B00962" w:rsidRDefault="00EB5CA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00962" w:rsidRDefault="00EB5CA1">
      <w:pPr>
        <w:pStyle w:val="3"/>
        <w:ind w:firstLine="643"/>
      </w:pPr>
      <w:bookmarkStart w:id="92" w:name="_Toc27623"/>
      <w:bookmarkStart w:id="93" w:name="_Toc11290"/>
      <w:r>
        <w:rPr>
          <w:rFonts w:hint="eastAsia"/>
        </w:rPr>
        <w:t>（二）项目过程情况</w:t>
      </w:r>
      <w:bookmarkEnd w:id="92"/>
      <w:bookmarkEnd w:id="93"/>
    </w:p>
    <w:p w:rsidR="00B00962" w:rsidRDefault="00EB5CA1">
      <w:pPr>
        <w:ind w:firstLine="640"/>
      </w:pPr>
      <w:r>
        <w:rPr>
          <w:rFonts w:hint="eastAsia"/>
        </w:rPr>
        <w:t>1</w:t>
      </w:r>
      <w:r>
        <w:rPr>
          <w:rFonts w:hint="eastAsia"/>
        </w:rPr>
        <w:t>、资金到位率</w:t>
      </w:r>
    </w:p>
    <w:p w:rsidR="00B00962" w:rsidRDefault="00EB5CA1">
      <w:pPr>
        <w:ind w:firstLine="640"/>
      </w:pPr>
      <w:r>
        <w:rPr>
          <w:rFonts w:hint="eastAsia"/>
        </w:rPr>
        <w:t>本项目预算资金</w:t>
      </w:r>
      <w:r>
        <w:rPr>
          <w:rFonts w:hint="eastAsia"/>
        </w:rPr>
        <w:t>20</w:t>
      </w:r>
      <w:r>
        <w:rPr>
          <w:rFonts w:hint="eastAsia"/>
        </w:rPr>
        <w:t>.00</w:t>
      </w:r>
      <w:r>
        <w:rPr>
          <w:rFonts w:hint="eastAsia"/>
        </w:rPr>
        <w:t>万元，实际到位资金</w:t>
      </w:r>
      <w:r>
        <w:rPr>
          <w:rFonts w:hint="eastAsia"/>
        </w:rPr>
        <w:t>20</w:t>
      </w:r>
      <w:r>
        <w:rPr>
          <w:rFonts w:hint="eastAsia"/>
        </w:rPr>
        <w:t>.00</w:t>
      </w:r>
      <w:r>
        <w:rPr>
          <w:rFonts w:hint="eastAsia"/>
        </w:rPr>
        <w:t>万元，</w:t>
      </w:r>
      <w:r>
        <w:rPr>
          <w:rFonts w:hint="eastAsia"/>
        </w:rPr>
        <w:lastRenderedPageBreak/>
        <w:t>资金到位率</w:t>
      </w:r>
      <w:r>
        <w:rPr>
          <w:rFonts w:hint="eastAsia"/>
        </w:rPr>
        <w:t>100%</w:t>
      </w:r>
      <w:r>
        <w:rPr>
          <w:rFonts w:hint="eastAsia"/>
        </w:rPr>
        <w:t>。</w:t>
      </w:r>
    </w:p>
    <w:p w:rsidR="00B00962" w:rsidRDefault="00EB5CA1">
      <w:pPr>
        <w:ind w:firstLine="640"/>
      </w:pPr>
      <w:r>
        <w:rPr>
          <w:rFonts w:hint="eastAsia"/>
        </w:rPr>
        <w:t>本项满分</w:t>
      </w:r>
      <w:r>
        <w:rPr>
          <w:rFonts w:hint="eastAsia"/>
        </w:rPr>
        <w:t>4</w:t>
      </w:r>
      <w:r>
        <w:rPr>
          <w:rFonts w:hint="eastAsia"/>
        </w:rPr>
        <w:t>分，评估得</w:t>
      </w:r>
      <w:r>
        <w:rPr>
          <w:rFonts w:hint="eastAsia"/>
        </w:rPr>
        <w:t>分</w:t>
      </w:r>
      <w:r>
        <w:rPr>
          <w:rFonts w:hint="eastAsia"/>
        </w:rPr>
        <w:t>4</w:t>
      </w:r>
      <w:r>
        <w:rPr>
          <w:rFonts w:hint="eastAsia"/>
        </w:rPr>
        <w:t>分。</w:t>
      </w:r>
    </w:p>
    <w:p w:rsidR="00B00962" w:rsidRDefault="00EB5CA1">
      <w:pPr>
        <w:ind w:firstLine="640"/>
      </w:pPr>
      <w:r>
        <w:rPr>
          <w:rFonts w:hint="eastAsia"/>
        </w:rPr>
        <w:t>2</w:t>
      </w:r>
      <w:r>
        <w:rPr>
          <w:rFonts w:hint="eastAsia"/>
        </w:rPr>
        <w:t>、预算执行率</w:t>
      </w:r>
    </w:p>
    <w:p w:rsidR="00B00962" w:rsidRDefault="00EB5CA1">
      <w:pPr>
        <w:ind w:firstLine="640"/>
      </w:pPr>
      <w:r>
        <w:rPr>
          <w:rFonts w:hint="eastAsia"/>
        </w:rPr>
        <w:t>本项目到位资金</w:t>
      </w:r>
      <w:r>
        <w:rPr>
          <w:rFonts w:hint="eastAsia"/>
        </w:rPr>
        <w:t>20</w:t>
      </w:r>
      <w:r>
        <w:rPr>
          <w:rFonts w:hint="eastAsia"/>
        </w:rPr>
        <w:t>.00</w:t>
      </w:r>
      <w:r>
        <w:rPr>
          <w:rFonts w:hint="eastAsia"/>
        </w:rPr>
        <w:t>万元，实际支付资金</w:t>
      </w:r>
      <w:r>
        <w:rPr>
          <w:rFonts w:hint="eastAsia"/>
        </w:rPr>
        <w:t>20</w:t>
      </w:r>
      <w:r>
        <w:rPr>
          <w:rFonts w:hint="eastAsia"/>
        </w:rPr>
        <w:t>.00</w:t>
      </w:r>
      <w:r>
        <w:rPr>
          <w:rFonts w:hint="eastAsia"/>
        </w:rPr>
        <w:t>万元，预算执行率为</w:t>
      </w:r>
      <w:r>
        <w:rPr>
          <w:rFonts w:hint="eastAsia"/>
        </w:rPr>
        <w:t>100%</w:t>
      </w:r>
      <w:r>
        <w:rPr>
          <w:rFonts w:hint="eastAsia"/>
        </w:rPr>
        <w:t>。</w:t>
      </w:r>
    </w:p>
    <w:p w:rsidR="00B00962" w:rsidRDefault="00EB5CA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00962" w:rsidRDefault="00EB5CA1">
      <w:pPr>
        <w:ind w:firstLine="640"/>
      </w:pPr>
      <w:r>
        <w:rPr>
          <w:rFonts w:hint="eastAsia"/>
        </w:rPr>
        <w:t>3</w:t>
      </w:r>
      <w:r>
        <w:rPr>
          <w:rFonts w:hint="eastAsia"/>
        </w:rPr>
        <w:t>、资金使用合规性</w:t>
      </w:r>
    </w:p>
    <w:p w:rsidR="00B00962" w:rsidRDefault="00EB5CA1">
      <w:pPr>
        <w:ind w:firstLine="640"/>
      </w:pPr>
      <w:r>
        <w:rPr>
          <w:rFonts w:hint="eastAsia"/>
        </w:rPr>
        <w:t>本项目资金的使用符合《中华人民共和国预算法</w:t>
      </w:r>
      <w:r>
        <w:rPr>
          <w:rFonts w:hint="eastAsia"/>
        </w:rPr>
        <w:t>》《</w:t>
      </w:r>
      <w:r>
        <w:rPr>
          <w:rFonts w:hint="eastAsia"/>
        </w:rPr>
        <w:t>中华人民共和国会计法》等国家有关财经法规以及预算管理制度；符合《</w:t>
      </w:r>
      <w:r>
        <w:rPr>
          <w:rFonts w:hint="eastAsia"/>
        </w:rPr>
        <w:t>尉犁县发展和改革委员会</w:t>
      </w:r>
      <w:r>
        <w:rPr>
          <w:rFonts w:hint="eastAsia"/>
        </w:rPr>
        <w:t>专项资金管理办法》要求。资金的审批和拨付按照《</w:t>
      </w:r>
      <w:r>
        <w:rPr>
          <w:rFonts w:hint="eastAsia"/>
        </w:rPr>
        <w:t>尉犁</w:t>
      </w:r>
      <w:r>
        <w:rPr>
          <w:rFonts w:hint="eastAsia"/>
        </w:rPr>
        <w:t>县财政资金审批管理办法》执行，有完整的审批程序和手续；资金使用符合专项资金支持的范围。不存在截留、挤占、挪用、虚列支出等情况。</w:t>
      </w:r>
    </w:p>
    <w:p w:rsidR="00B00962" w:rsidRDefault="00EB5CA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00962" w:rsidRDefault="00EB5CA1">
      <w:pPr>
        <w:ind w:firstLine="640"/>
      </w:pPr>
      <w:r>
        <w:rPr>
          <w:rFonts w:hint="eastAsia"/>
        </w:rPr>
        <w:t>4</w:t>
      </w:r>
      <w:r>
        <w:rPr>
          <w:rFonts w:hint="eastAsia"/>
        </w:rPr>
        <w:t>、管理制度健全性</w:t>
      </w:r>
    </w:p>
    <w:p w:rsidR="00B00962" w:rsidRDefault="00EB5CA1">
      <w:pPr>
        <w:ind w:firstLine="640"/>
        <w:rPr>
          <w:rFonts w:ascii="宋体" w:eastAsia="宋体" w:hAnsi="宋体" w:cs="宋体"/>
          <w:b/>
          <w:bCs/>
          <w:szCs w:val="24"/>
        </w:rPr>
      </w:pPr>
      <w:r>
        <w:rPr>
          <w:rFonts w:cs="Times New Roman" w:hint="eastAsia"/>
        </w:rPr>
        <w:t>尉犁</w:t>
      </w:r>
      <w:r>
        <w:rPr>
          <w:rFonts w:cs="Times New Roman"/>
        </w:rPr>
        <w:t>县发展和改革委</w:t>
      </w:r>
      <w:r>
        <w:rPr>
          <w:rFonts w:hint="eastAsia"/>
        </w:rPr>
        <w:t>员会制定了《</w:t>
      </w:r>
      <w:r>
        <w:rPr>
          <w:rFonts w:cs="Times New Roman" w:hint="eastAsia"/>
        </w:rPr>
        <w:t>尉犁</w:t>
      </w:r>
      <w:r>
        <w:rPr>
          <w:rFonts w:cs="Times New Roman"/>
        </w:rPr>
        <w:t>县发展和改革委</w:t>
      </w:r>
      <w:r>
        <w:rPr>
          <w:rFonts w:hint="eastAsia"/>
        </w:rPr>
        <w:t>员会财务管理办法》和</w:t>
      </w:r>
      <w:r>
        <w:rPr>
          <w:rFonts w:hint="eastAsia"/>
        </w:rPr>
        <w:t>《</w:t>
      </w:r>
      <w:r>
        <w:rPr>
          <w:rFonts w:cs="Times New Roman" w:hint="eastAsia"/>
        </w:rPr>
        <w:t>尉犁</w:t>
      </w:r>
      <w:r>
        <w:rPr>
          <w:rFonts w:cs="Times New Roman"/>
        </w:rPr>
        <w:t>县发展和改革委</w:t>
      </w:r>
      <w:r>
        <w:rPr>
          <w:rFonts w:hint="eastAsia"/>
        </w:rPr>
        <w:t>员会</w:t>
      </w:r>
      <w:r>
        <w:rPr>
          <w:rFonts w:hint="eastAsia"/>
        </w:rPr>
        <w:t>内控管理制度</w:t>
      </w:r>
      <w:r>
        <w:rPr>
          <w:rFonts w:hint="eastAsia"/>
        </w:rPr>
        <w:t>》</w:t>
      </w:r>
      <w:r>
        <w:rPr>
          <w:rFonts w:hint="eastAsia"/>
        </w:rPr>
        <w:t>，</w:t>
      </w:r>
      <w:r>
        <w:rPr>
          <w:rFonts w:hint="eastAsia"/>
        </w:rPr>
        <w:t>制定了较为全面的工作管理制度，对工作开展、组织与管理、跟踪与验收、监督与评价以及资金管理等方面都做出明确的规范要求。同时，项目的实施严格遵守《中华人民共和国预算法</w:t>
      </w:r>
      <w:r>
        <w:rPr>
          <w:rFonts w:hint="eastAsia"/>
        </w:rPr>
        <w:t>》《</w:t>
      </w:r>
      <w:r>
        <w:rPr>
          <w:rFonts w:hint="eastAsia"/>
        </w:rPr>
        <w:t>中华人民共和国会计法》等法律法规、财经制度的要求。</w:t>
      </w:r>
    </w:p>
    <w:p w:rsidR="00B00962" w:rsidRDefault="00EB5CA1">
      <w:pPr>
        <w:ind w:firstLine="640"/>
      </w:pPr>
      <w:r>
        <w:rPr>
          <w:rFonts w:hint="eastAsia"/>
        </w:rPr>
        <w:lastRenderedPageBreak/>
        <w:t>本项满分</w:t>
      </w:r>
      <w:r>
        <w:rPr>
          <w:rFonts w:hint="eastAsia"/>
        </w:rPr>
        <w:t>3</w:t>
      </w:r>
      <w:r>
        <w:rPr>
          <w:rFonts w:hint="eastAsia"/>
        </w:rPr>
        <w:t>分，评估得分</w:t>
      </w:r>
      <w:r>
        <w:rPr>
          <w:rFonts w:hint="eastAsia"/>
        </w:rPr>
        <w:t>3</w:t>
      </w:r>
      <w:r>
        <w:rPr>
          <w:rFonts w:hint="eastAsia"/>
        </w:rPr>
        <w:t>分。</w:t>
      </w:r>
    </w:p>
    <w:p w:rsidR="00B00962" w:rsidRDefault="00EB5CA1">
      <w:pPr>
        <w:ind w:firstLine="640"/>
      </w:pPr>
      <w:r>
        <w:rPr>
          <w:rFonts w:hint="eastAsia"/>
        </w:rPr>
        <w:t>5</w:t>
      </w:r>
      <w:r>
        <w:rPr>
          <w:rFonts w:hint="eastAsia"/>
        </w:rPr>
        <w:t>、制度执行有效性</w:t>
      </w:r>
    </w:p>
    <w:p w:rsidR="00B00962" w:rsidRDefault="00EB5CA1">
      <w:pPr>
        <w:ind w:firstLine="640"/>
      </w:pPr>
      <w:r>
        <w:t>本项目在实施过程中严格遵守相关法律法规和相关管理规定，</w:t>
      </w:r>
      <w:r>
        <w:rPr>
          <w:rFonts w:hint="eastAsia"/>
        </w:rPr>
        <w:t>如《中华人民共和国预算法</w:t>
      </w:r>
      <w:r>
        <w:rPr>
          <w:rFonts w:hint="eastAsia"/>
        </w:rPr>
        <w:t>》《</w:t>
      </w:r>
      <w:r>
        <w:rPr>
          <w:rFonts w:hint="eastAsia"/>
        </w:rPr>
        <w:t>中华人民共和国会计法》等，严格执行项目管理相关文件要求和程序，项目申报、审批、实施、资金拨付、检查及审计等有关资料齐全，并及时整理归档。本项目无项目调整及支出调整，制度执行有效性较高。</w:t>
      </w:r>
    </w:p>
    <w:p w:rsidR="00B00962" w:rsidRDefault="00EB5CA1">
      <w:pPr>
        <w:ind w:firstLine="640"/>
      </w:pPr>
      <w:r>
        <w:rPr>
          <w:rFonts w:hint="eastAsia"/>
        </w:rPr>
        <w:t>本项满分</w:t>
      </w:r>
      <w:r>
        <w:rPr>
          <w:rFonts w:hint="eastAsia"/>
        </w:rPr>
        <w:t>3</w:t>
      </w:r>
      <w:r>
        <w:rPr>
          <w:rFonts w:hint="eastAsia"/>
        </w:rPr>
        <w:t>分，评估得分</w:t>
      </w:r>
      <w:r>
        <w:rPr>
          <w:rFonts w:hint="eastAsia"/>
        </w:rPr>
        <w:t>3</w:t>
      </w:r>
      <w:r>
        <w:rPr>
          <w:rFonts w:hint="eastAsia"/>
        </w:rPr>
        <w:t>分。</w:t>
      </w:r>
      <w:bookmarkStart w:id="94" w:name="_Toc32013"/>
    </w:p>
    <w:p w:rsidR="00B00962" w:rsidRDefault="00EB5CA1">
      <w:pPr>
        <w:pStyle w:val="3"/>
        <w:ind w:firstLine="643"/>
      </w:pPr>
      <w:bookmarkStart w:id="95" w:name="_Toc25286"/>
      <w:r>
        <w:rPr>
          <w:rFonts w:hint="eastAsia"/>
        </w:rPr>
        <w:t>（三）项目产出情况</w:t>
      </w:r>
      <w:bookmarkEnd w:id="94"/>
      <w:bookmarkEnd w:id="95"/>
    </w:p>
    <w:p w:rsidR="00B00962" w:rsidRDefault="00EB5CA1">
      <w:pPr>
        <w:ind w:firstLine="640"/>
      </w:pPr>
      <w:r>
        <w:rPr>
          <w:rFonts w:hint="eastAsia"/>
        </w:rPr>
        <w:t>1</w:t>
      </w:r>
      <w:r>
        <w:rPr>
          <w:rFonts w:hint="eastAsia"/>
        </w:rPr>
        <w:t>、产出数量</w:t>
      </w:r>
    </w:p>
    <w:p w:rsidR="00B00962" w:rsidRDefault="00EB5CA1">
      <w:pPr>
        <w:ind w:firstLine="640"/>
        <w:rPr>
          <w:rFonts w:cs="Times New Roman"/>
        </w:rPr>
      </w:pPr>
      <w:r>
        <w:rPr>
          <w:rFonts w:cs="Times New Roman"/>
          <w:bCs/>
          <w:szCs w:val="32"/>
        </w:rPr>
        <w:t>指标</w:t>
      </w:r>
      <w:r>
        <w:rPr>
          <w:rFonts w:cs="Times New Roman"/>
          <w:bCs/>
          <w:szCs w:val="32"/>
        </w:rPr>
        <w:t>1</w:t>
      </w:r>
      <w:r>
        <w:rPr>
          <w:rFonts w:cs="Times New Roman"/>
          <w:bCs/>
          <w:szCs w:val="32"/>
        </w:rPr>
        <w:t>：</w:t>
      </w:r>
      <w:r>
        <w:rPr>
          <w:rFonts w:cs="Times New Roman" w:hint="eastAsia"/>
        </w:rPr>
        <w:t>储备粮保管费企业数量</w:t>
      </w:r>
      <w:r>
        <w:rPr>
          <w:rFonts w:cs="Times New Roman"/>
        </w:rPr>
        <w:t>，预期指标值</w:t>
      </w:r>
      <w:r>
        <w:rPr>
          <w:rFonts w:cs="Times New Roman" w:hint="eastAsia"/>
        </w:rPr>
        <w:t>等于</w:t>
      </w:r>
      <w:r>
        <w:rPr>
          <w:rFonts w:cs="Times New Roman" w:hint="eastAsia"/>
        </w:rPr>
        <w:t>1</w:t>
      </w:r>
      <w:r>
        <w:rPr>
          <w:rFonts w:cs="Times New Roman" w:hint="eastAsia"/>
        </w:rPr>
        <w:t>个</w:t>
      </w:r>
      <w:r>
        <w:rPr>
          <w:rFonts w:cs="Times New Roman"/>
        </w:rPr>
        <w:t>，指标完成值：</w:t>
      </w:r>
      <w:r>
        <w:rPr>
          <w:rFonts w:cs="Times New Roman" w:hint="eastAsia"/>
        </w:rPr>
        <w:t>1</w:t>
      </w:r>
      <w:r>
        <w:rPr>
          <w:rFonts w:cs="Times New Roman" w:hint="eastAsia"/>
        </w:rPr>
        <w:t>个</w:t>
      </w:r>
      <w:r>
        <w:rPr>
          <w:rFonts w:cs="Times New Roman"/>
        </w:rPr>
        <w:t>，完成率：</w:t>
      </w:r>
      <w:r>
        <w:rPr>
          <w:rFonts w:cs="Times New Roman" w:hint="eastAsia"/>
        </w:rPr>
        <w:t>100%</w:t>
      </w:r>
      <w:r>
        <w:rPr>
          <w:rFonts w:cs="Times New Roman"/>
        </w:rPr>
        <w:t>；</w:t>
      </w:r>
    </w:p>
    <w:p w:rsidR="00B00962" w:rsidRDefault="00EB5CA1">
      <w:pPr>
        <w:ind w:firstLine="640"/>
        <w:rPr>
          <w:rFonts w:cs="Times New Roman"/>
        </w:rPr>
      </w:pPr>
      <w:r>
        <w:rPr>
          <w:rFonts w:cs="Times New Roman"/>
          <w:bCs/>
          <w:szCs w:val="32"/>
        </w:rPr>
        <w:t>指标</w:t>
      </w:r>
      <w:r>
        <w:rPr>
          <w:rFonts w:cs="Times New Roman"/>
          <w:bCs/>
          <w:szCs w:val="32"/>
        </w:rPr>
        <w:t>2</w:t>
      </w:r>
      <w:r>
        <w:rPr>
          <w:rFonts w:cs="Times New Roman"/>
          <w:bCs/>
          <w:szCs w:val="32"/>
        </w:rPr>
        <w:t>：</w:t>
      </w:r>
      <w:r>
        <w:rPr>
          <w:rFonts w:cs="Times New Roman" w:hint="eastAsia"/>
        </w:rPr>
        <w:t>储备粮保管费发放次数</w:t>
      </w:r>
      <w:r>
        <w:rPr>
          <w:rFonts w:cs="Times New Roman"/>
        </w:rPr>
        <w:t>，预期指标值</w:t>
      </w:r>
      <w:r>
        <w:rPr>
          <w:rFonts w:cs="Times New Roman" w:hint="eastAsia"/>
        </w:rPr>
        <w:t>等于</w:t>
      </w:r>
      <w:r>
        <w:rPr>
          <w:rFonts w:cs="Times New Roman" w:hint="eastAsia"/>
        </w:rPr>
        <w:t>1</w:t>
      </w:r>
      <w:r>
        <w:rPr>
          <w:rFonts w:cs="Times New Roman" w:hint="eastAsia"/>
        </w:rPr>
        <w:t>次</w:t>
      </w:r>
      <w:r>
        <w:rPr>
          <w:rFonts w:cs="Times New Roman"/>
        </w:rPr>
        <w:t>，指标完成值：</w:t>
      </w:r>
      <w:r>
        <w:rPr>
          <w:rFonts w:cs="Times New Roman" w:hint="eastAsia"/>
        </w:rPr>
        <w:t>1</w:t>
      </w:r>
      <w:r>
        <w:rPr>
          <w:rFonts w:cs="Times New Roman" w:hint="eastAsia"/>
        </w:rPr>
        <w:t>次</w:t>
      </w:r>
      <w:r>
        <w:rPr>
          <w:rFonts w:cs="Times New Roman"/>
        </w:rPr>
        <w:t>，完成率：</w:t>
      </w:r>
      <w:r>
        <w:rPr>
          <w:rFonts w:cs="Times New Roman" w:hint="eastAsia"/>
        </w:rPr>
        <w:t>100%</w:t>
      </w:r>
      <w:r>
        <w:rPr>
          <w:rFonts w:cs="Times New Roman"/>
        </w:rPr>
        <w:t>；</w:t>
      </w:r>
    </w:p>
    <w:p w:rsidR="00B00962" w:rsidRDefault="00EB5CA1">
      <w:pPr>
        <w:ind w:firstLine="640"/>
      </w:pPr>
      <w:r>
        <w:rPr>
          <w:rFonts w:cs="Times New Roman"/>
          <w:bCs/>
          <w:szCs w:val="32"/>
        </w:rPr>
        <w:t>指标</w:t>
      </w:r>
      <w:r>
        <w:rPr>
          <w:rFonts w:cs="Times New Roman" w:hint="eastAsia"/>
          <w:bCs/>
          <w:szCs w:val="32"/>
        </w:rPr>
        <w:t>3</w:t>
      </w:r>
      <w:r>
        <w:rPr>
          <w:rFonts w:cs="Times New Roman"/>
          <w:bCs/>
          <w:szCs w:val="32"/>
        </w:rPr>
        <w:t>：</w:t>
      </w:r>
      <w:r>
        <w:rPr>
          <w:rFonts w:cs="Times New Roman" w:hint="eastAsia"/>
        </w:rPr>
        <w:t>地方储备粮数量</w:t>
      </w:r>
      <w:r>
        <w:rPr>
          <w:rFonts w:cs="Times New Roman"/>
        </w:rPr>
        <w:t>，预期指标值</w:t>
      </w:r>
      <w:r>
        <w:rPr>
          <w:rFonts w:cs="Times New Roman" w:hint="eastAsia"/>
        </w:rPr>
        <w:t>等于</w:t>
      </w:r>
      <w:r>
        <w:rPr>
          <w:rFonts w:cs="Times New Roman" w:hint="eastAsia"/>
        </w:rPr>
        <w:t>200</w:t>
      </w:r>
      <w:r>
        <w:rPr>
          <w:rFonts w:cs="Times New Roman" w:hint="eastAsia"/>
        </w:rPr>
        <w:t>万公斤</w:t>
      </w:r>
      <w:r>
        <w:rPr>
          <w:rFonts w:cs="Times New Roman"/>
        </w:rPr>
        <w:t>，指标完成值：</w:t>
      </w:r>
      <w:r>
        <w:rPr>
          <w:rFonts w:cs="Times New Roman" w:hint="eastAsia"/>
        </w:rPr>
        <w:t>200</w:t>
      </w:r>
      <w:r>
        <w:rPr>
          <w:rFonts w:cs="Times New Roman" w:hint="eastAsia"/>
        </w:rPr>
        <w:t>万公斤</w:t>
      </w:r>
      <w:r>
        <w:rPr>
          <w:rFonts w:cs="Times New Roman"/>
        </w:rPr>
        <w:t>，完成率：</w:t>
      </w:r>
      <w:r>
        <w:rPr>
          <w:rFonts w:cs="Times New Roman" w:hint="eastAsia"/>
        </w:rPr>
        <w:t>100%</w:t>
      </w:r>
      <w:r>
        <w:rPr>
          <w:rFonts w:cs="Times New Roman"/>
        </w:rPr>
        <w:t>；</w:t>
      </w:r>
    </w:p>
    <w:p w:rsidR="00B00962" w:rsidRDefault="00EB5CA1">
      <w:pPr>
        <w:ind w:firstLine="640"/>
      </w:pPr>
      <w:r>
        <w:rPr>
          <w:rFonts w:hint="eastAsia"/>
        </w:rPr>
        <w:t>本项满分</w:t>
      </w:r>
      <w:r>
        <w:rPr>
          <w:rFonts w:hint="eastAsia"/>
        </w:rPr>
        <w:t>1</w:t>
      </w:r>
      <w:r>
        <w:rPr>
          <w:rFonts w:hint="eastAsia"/>
        </w:rPr>
        <w:t>2</w:t>
      </w:r>
      <w:r>
        <w:rPr>
          <w:rFonts w:hint="eastAsia"/>
        </w:rPr>
        <w:t>分，评估得分</w:t>
      </w:r>
      <w:r>
        <w:rPr>
          <w:rFonts w:hint="eastAsia"/>
        </w:rPr>
        <w:t>1</w:t>
      </w:r>
      <w:r>
        <w:rPr>
          <w:rFonts w:hint="eastAsia"/>
        </w:rPr>
        <w:t>2</w:t>
      </w:r>
      <w:r>
        <w:rPr>
          <w:rFonts w:hint="eastAsia"/>
        </w:rPr>
        <w:t>分。</w:t>
      </w:r>
    </w:p>
    <w:p w:rsidR="00B00962" w:rsidRDefault="00EB5CA1">
      <w:pPr>
        <w:ind w:firstLine="640"/>
      </w:pPr>
      <w:r>
        <w:rPr>
          <w:rFonts w:hint="eastAsia"/>
        </w:rPr>
        <w:t>2</w:t>
      </w:r>
      <w:r>
        <w:rPr>
          <w:rFonts w:hint="eastAsia"/>
        </w:rPr>
        <w:t>、产出质量</w:t>
      </w:r>
    </w:p>
    <w:p w:rsidR="00B00962" w:rsidRDefault="00EB5CA1">
      <w:pPr>
        <w:ind w:firstLine="640"/>
        <w:rPr>
          <w:rFonts w:cs="Times New Roman"/>
        </w:rPr>
      </w:pPr>
      <w:r>
        <w:rPr>
          <w:rFonts w:cs="Times New Roman"/>
          <w:bCs/>
          <w:szCs w:val="32"/>
        </w:rPr>
        <w:t>指标</w:t>
      </w:r>
      <w:r>
        <w:rPr>
          <w:rFonts w:cs="Times New Roman"/>
          <w:bCs/>
          <w:szCs w:val="32"/>
        </w:rPr>
        <w:t>1</w:t>
      </w:r>
      <w:r>
        <w:rPr>
          <w:rFonts w:cs="Times New Roman"/>
          <w:bCs/>
          <w:szCs w:val="32"/>
        </w:rPr>
        <w:t>：</w:t>
      </w:r>
      <w:r>
        <w:rPr>
          <w:rFonts w:cs="Times New Roman" w:hint="eastAsia"/>
        </w:rPr>
        <w:t>按标准发放保管费准确率</w:t>
      </w:r>
      <w:r>
        <w:rPr>
          <w:rFonts w:cs="Times New Roman"/>
        </w:rPr>
        <w:t>，预期指标值</w:t>
      </w:r>
      <w:r>
        <w:rPr>
          <w:rFonts w:cs="Times New Roman" w:hint="eastAsia"/>
        </w:rPr>
        <w:t>等于</w:t>
      </w:r>
      <w:r>
        <w:rPr>
          <w:rFonts w:cs="Times New Roman" w:hint="eastAsia"/>
        </w:rPr>
        <w:t>100%</w:t>
      </w:r>
      <w:r>
        <w:rPr>
          <w:rFonts w:cs="Times New Roman"/>
        </w:rPr>
        <w:t>，指标完成值：</w:t>
      </w:r>
      <w:r>
        <w:rPr>
          <w:rFonts w:cs="Times New Roman" w:hint="eastAsia"/>
        </w:rPr>
        <w:t>100%</w:t>
      </w:r>
      <w:r>
        <w:rPr>
          <w:rFonts w:cs="Times New Roman"/>
        </w:rPr>
        <w:t>，完成率：</w:t>
      </w:r>
      <w:r>
        <w:rPr>
          <w:rFonts w:cs="Times New Roman" w:hint="eastAsia"/>
        </w:rPr>
        <w:t>100%</w:t>
      </w:r>
      <w:r>
        <w:rPr>
          <w:rFonts w:cs="Times New Roman"/>
        </w:rPr>
        <w:t>；</w:t>
      </w:r>
    </w:p>
    <w:p w:rsidR="00B00962" w:rsidRDefault="00EB5CA1">
      <w:pPr>
        <w:ind w:firstLine="640"/>
      </w:pPr>
      <w:r>
        <w:rPr>
          <w:rFonts w:hint="eastAsia"/>
        </w:rPr>
        <w:t>本项满分</w:t>
      </w:r>
      <w:r>
        <w:rPr>
          <w:rFonts w:hint="eastAsia"/>
        </w:rPr>
        <w:t>1</w:t>
      </w:r>
      <w:r>
        <w:rPr>
          <w:rFonts w:hint="eastAsia"/>
        </w:rPr>
        <w:t>2</w:t>
      </w:r>
      <w:r>
        <w:rPr>
          <w:rFonts w:hint="eastAsia"/>
        </w:rPr>
        <w:t>分，评估得分</w:t>
      </w:r>
      <w:r>
        <w:rPr>
          <w:rFonts w:hint="eastAsia"/>
        </w:rPr>
        <w:t>1</w:t>
      </w:r>
      <w:r>
        <w:rPr>
          <w:rFonts w:hint="eastAsia"/>
        </w:rPr>
        <w:t>2</w:t>
      </w:r>
      <w:r>
        <w:rPr>
          <w:rFonts w:hint="eastAsia"/>
        </w:rPr>
        <w:t>分。</w:t>
      </w:r>
    </w:p>
    <w:p w:rsidR="00B00962" w:rsidRDefault="00EB5CA1">
      <w:pPr>
        <w:ind w:firstLine="640"/>
      </w:pPr>
      <w:r>
        <w:rPr>
          <w:rFonts w:hint="eastAsia"/>
        </w:rPr>
        <w:lastRenderedPageBreak/>
        <w:t>3</w:t>
      </w:r>
      <w:r>
        <w:rPr>
          <w:rFonts w:hint="eastAsia"/>
        </w:rPr>
        <w:t>、产出时效</w:t>
      </w:r>
    </w:p>
    <w:p w:rsidR="00B00962" w:rsidRDefault="00EB5CA1">
      <w:pPr>
        <w:ind w:firstLine="640"/>
        <w:rPr>
          <w:rFonts w:cs="Times New Roman"/>
        </w:rPr>
      </w:pPr>
      <w:r>
        <w:rPr>
          <w:rFonts w:cs="Times New Roman"/>
          <w:bCs/>
          <w:szCs w:val="32"/>
        </w:rPr>
        <w:t>指标</w:t>
      </w:r>
      <w:r>
        <w:rPr>
          <w:rFonts w:cs="Times New Roman"/>
          <w:bCs/>
          <w:szCs w:val="32"/>
        </w:rPr>
        <w:t>1</w:t>
      </w:r>
      <w:r>
        <w:rPr>
          <w:rFonts w:cs="Times New Roman"/>
          <w:bCs/>
          <w:szCs w:val="32"/>
        </w:rPr>
        <w:t>：</w:t>
      </w:r>
      <w:r>
        <w:rPr>
          <w:rFonts w:cs="Times New Roman" w:hint="eastAsia"/>
        </w:rPr>
        <w:t>发放保管费及时率</w:t>
      </w:r>
      <w:r>
        <w:rPr>
          <w:rFonts w:cs="Times New Roman"/>
        </w:rPr>
        <w:t>，预期指标值</w:t>
      </w:r>
      <w:r>
        <w:rPr>
          <w:rFonts w:cs="Times New Roman" w:hint="eastAsia"/>
        </w:rPr>
        <w:t>等于</w:t>
      </w:r>
      <w:r>
        <w:rPr>
          <w:rFonts w:cs="Times New Roman" w:hint="eastAsia"/>
        </w:rPr>
        <w:t>100%</w:t>
      </w:r>
      <w:r>
        <w:rPr>
          <w:rFonts w:cs="Times New Roman"/>
        </w:rPr>
        <w:t>，指标完成值：</w:t>
      </w:r>
      <w:r>
        <w:rPr>
          <w:rFonts w:cs="Times New Roman" w:hint="eastAsia"/>
        </w:rPr>
        <w:t>100%</w:t>
      </w:r>
      <w:r>
        <w:rPr>
          <w:rFonts w:cs="Times New Roman"/>
        </w:rPr>
        <w:t>，完成率：</w:t>
      </w:r>
      <w:r>
        <w:rPr>
          <w:rFonts w:cs="Times New Roman" w:hint="eastAsia"/>
        </w:rPr>
        <w:t>100%</w:t>
      </w:r>
      <w:r>
        <w:rPr>
          <w:rFonts w:cs="Times New Roman"/>
        </w:rPr>
        <w:t>；</w:t>
      </w:r>
    </w:p>
    <w:p w:rsidR="00B00962" w:rsidRDefault="00EB5CA1">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B00962" w:rsidRDefault="00EB5CA1">
      <w:pPr>
        <w:ind w:firstLine="640"/>
      </w:pPr>
      <w:r>
        <w:rPr>
          <w:rFonts w:hint="eastAsia"/>
        </w:rPr>
        <w:t>4</w:t>
      </w:r>
      <w:r>
        <w:rPr>
          <w:rFonts w:hint="eastAsia"/>
        </w:rPr>
        <w:t>、产出成本</w:t>
      </w:r>
    </w:p>
    <w:p w:rsidR="00B00962" w:rsidRDefault="00EB5CA1">
      <w:pPr>
        <w:ind w:firstLine="640"/>
        <w:rPr>
          <w:rFonts w:cs="Times New Roman"/>
        </w:rPr>
      </w:pPr>
      <w:r>
        <w:rPr>
          <w:rFonts w:cs="Times New Roman"/>
          <w:bCs/>
          <w:szCs w:val="32"/>
        </w:rPr>
        <w:t>指标</w:t>
      </w:r>
      <w:r>
        <w:rPr>
          <w:rFonts w:cs="Times New Roman"/>
          <w:bCs/>
          <w:szCs w:val="32"/>
        </w:rPr>
        <w:t>1</w:t>
      </w:r>
      <w:r>
        <w:rPr>
          <w:rFonts w:cs="Times New Roman"/>
          <w:bCs/>
          <w:szCs w:val="32"/>
        </w:rPr>
        <w:t>：</w:t>
      </w:r>
      <w:r>
        <w:rPr>
          <w:rFonts w:cs="Times New Roman" w:hint="eastAsia"/>
        </w:rPr>
        <w:t>储备粮保管费资金标准</w:t>
      </w:r>
      <w:r>
        <w:rPr>
          <w:rFonts w:cs="Times New Roman"/>
        </w:rPr>
        <w:t>，预期指标值</w:t>
      </w:r>
      <w:r>
        <w:rPr>
          <w:rFonts w:cs="Times New Roman" w:hint="eastAsia"/>
        </w:rPr>
        <w:t>等于</w:t>
      </w:r>
      <w:r>
        <w:rPr>
          <w:rFonts w:cs="Times New Roman" w:hint="eastAsia"/>
        </w:rPr>
        <w:t>0.1</w:t>
      </w:r>
      <w:r>
        <w:rPr>
          <w:rFonts w:cs="Times New Roman" w:hint="eastAsia"/>
        </w:rPr>
        <w:t>元</w:t>
      </w:r>
      <w:r>
        <w:rPr>
          <w:rFonts w:cs="Times New Roman" w:hint="eastAsia"/>
        </w:rPr>
        <w:t>/</w:t>
      </w:r>
      <w:r>
        <w:rPr>
          <w:rFonts w:cs="Times New Roman" w:hint="eastAsia"/>
        </w:rPr>
        <w:t>公斤</w:t>
      </w:r>
      <w:r>
        <w:rPr>
          <w:rFonts w:cs="Times New Roman"/>
        </w:rPr>
        <w:t>，指标完成值：</w:t>
      </w:r>
      <w:r>
        <w:rPr>
          <w:rFonts w:cs="Times New Roman" w:hint="eastAsia"/>
        </w:rPr>
        <w:t>0.1</w:t>
      </w:r>
      <w:r>
        <w:rPr>
          <w:rFonts w:cs="Times New Roman" w:hint="eastAsia"/>
        </w:rPr>
        <w:t>元</w:t>
      </w:r>
      <w:r>
        <w:rPr>
          <w:rFonts w:cs="Times New Roman" w:hint="eastAsia"/>
        </w:rPr>
        <w:t>/</w:t>
      </w:r>
      <w:r>
        <w:rPr>
          <w:rFonts w:cs="Times New Roman" w:hint="eastAsia"/>
        </w:rPr>
        <w:t>公斤</w:t>
      </w:r>
      <w:r>
        <w:rPr>
          <w:rFonts w:cs="Times New Roman"/>
        </w:rPr>
        <w:t>，完成率：</w:t>
      </w:r>
      <w:r>
        <w:rPr>
          <w:rFonts w:cs="Times New Roman" w:hint="eastAsia"/>
        </w:rPr>
        <w:t>100%</w:t>
      </w:r>
      <w:r>
        <w:rPr>
          <w:rFonts w:cs="Times New Roman"/>
        </w:rPr>
        <w:t>；</w:t>
      </w:r>
    </w:p>
    <w:p w:rsidR="00B00962" w:rsidRDefault="00EB5CA1">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B00962" w:rsidRDefault="00EB5CA1">
      <w:pPr>
        <w:pStyle w:val="3"/>
        <w:ind w:firstLine="643"/>
      </w:pPr>
      <w:bookmarkStart w:id="96" w:name="_Toc28354"/>
      <w:bookmarkStart w:id="97" w:name="_Toc1327"/>
      <w:r>
        <w:rPr>
          <w:rFonts w:hint="eastAsia"/>
        </w:rPr>
        <w:t>（四）项目效益情况</w:t>
      </w:r>
      <w:bookmarkEnd w:id="96"/>
      <w:bookmarkEnd w:id="97"/>
    </w:p>
    <w:p w:rsidR="00B00962" w:rsidRDefault="00EB5CA1">
      <w:pPr>
        <w:ind w:firstLine="640"/>
      </w:pPr>
      <w:r>
        <w:rPr>
          <w:rFonts w:hint="eastAsia"/>
        </w:rPr>
        <w:t>1</w:t>
      </w:r>
      <w:r>
        <w:rPr>
          <w:rFonts w:hint="eastAsia"/>
        </w:rPr>
        <w:t>、</w:t>
      </w:r>
      <w:r>
        <w:rPr>
          <w:rFonts w:hint="eastAsia"/>
        </w:rPr>
        <w:t>实施效益</w:t>
      </w:r>
    </w:p>
    <w:p w:rsidR="00B00962" w:rsidRDefault="00EB5CA1">
      <w:pPr>
        <w:ind w:firstLine="640"/>
      </w:pPr>
      <w:r>
        <w:rPr>
          <w:rFonts w:hint="eastAsia"/>
        </w:rPr>
        <w:t>本项目实施所产生的效益主要包括</w:t>
      </w:r>
      <w:r>
        <w:rPr>
          <w:rFonts w:hint="eastAsia"/>
        </w:rPr>
        <w:t>社会效益</w:t>
      </w:r>
      <w:r>
        <w:rPr>
          <w:rFonts w:hint="eastAsia"/>
        </w:rPr>
        <w:t>。</w:t>
      </w:r>
    </w:p>
    <w:p w:rsidR="00B00962" w:rsidRDefault="00EB5CA1">
      <w:pPr>
        <w:ind w:firstLine="640"/>
      </w:pPr>
      <w:r>
        <w:rPr>
          <w:rFonts w:hint="eastAsia"/>
        </w:rPr>
        <w:t>项目的实施明显提高保障粮食安全</w:t>
      </w:r>
      <w:r>
        <w:rPr>
          <w:rFonts w:hint="eastAsia"/>
        </w:rPr>
        <w:t>作用</w:t>
      </w:r>
      <w:r>
        <w:rPr>
          <w:rFonts w:hint="eastAsia"/>
        </w:rPr>
        <w:t>，</w:t>
      </w:r>
      <w:r>
        <w:rPr>
          <w:rFonts w:hint="eastAsia"/>
        </w:rPr>
        <w:t>预期指标值成效明显，指标完成值：达成目标。</w:t>
      </w:r>
    </w:p>
    <w:p w:rsidR="00B00962" w:rsidRDefault="00EB5CA1">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B00962" w:rsidRDefault="00EB5CA1">
      <w:pPr>
        <w:ind w:firstLine="640"/>
      </w:pPr>
      <w:r>
        <w:rPr>
          <w:rFonts w:hint="eastAsia"/>
        </w:rPr>
        <w:t>2</w:t>
      </w:r>
      <w:r>
        <w:rPr>
          <w:rFonts w:hint="eastAsia"/>
        </w:rPr>
        <w:t>、满意度</w:t>
      </w:r>
    </w:p>
    <w:p w:rsidR="00B00962" w:rsidRDefault="00EB5CA1">
      <w:pPr>
        <w:ind w:firstLine="640"/>
        <w:rPr>
          <w:rFonts w:cs="Times New Roman"/>
        </w:rPr>
      </w:pPr>
      <w:r>
        <w:rPr>
          <w:rFonts w:cs="Times New Roman"/>
        </w:rPr>
        <w:t>本项目服务对象主要是</w:t>
      </w:r>
      <w:r>
        <w:rPr>
          <w:rFonts w:cs="Times New Roman" w:hint="eastAsia"/>
        </w:rPr>
        <w:t>承储企业</w:t>
      </w:r>
      <w:r>
        <w:rPr>
          <w:rFonts w:cs="Times New Roman"/>
        </w:rPr>
        <w:t>，通过问卷调查方式收集服务对象对本项目实施的满意度。调查人群都表示很满意，都认为本项目实施后，</w:t>
      </w:r>
      <w:r>
        <w:rPr>
          <w:rFonts w:cs="Times New Roman" w:hint="eastAsia"/>
        </w:rPr>
        <w:t>提高了储粮企业经营效益；改善了储粮安全。</w:t>
      </w:r>
    </w:p>
    <w:p w:rsidR="00B00962" w:rsidRDefault="00EB5CA1">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B00962" w:rsidRDefault="00EB5CA1">
      <w:pPr>
        <w:pStyle w:val="2"/>
        <w:ind w:firstLine="640"/>
      </w:pPr>
      <w:bookmarkStart w:id="98" w:name="_Toc11091"/>
      <w:bookmarkStart w:id="99" w:name="_Toc27244"/>
      <w:r>
        <w:rPr>
          <w:rFonts w:hint="eastAsia"/>
        </w:rPr>
        <w:lastRenderedPageBreak/>
        <w:t>五、主要经验及做法、存在的问题及原因分析</w:t>
      </w:r>
      <w:bookmarkEnd w:id="98"/>
      <w:bookmarkEnd w:id="99"/>
    </w:p>
    <w:p w:rsidR="00B00962" w:rsidRDefault="00EB5CA1">
      <w:pPr>
        <w:pStyle w:val="3"/>
        <w:ind w:firstLine="643"/>
      </w:pPr>
      <w:bookmarkStart w:id="100" w:name="_Toc27006"/>
      <w:bookmarkStart w:id="101" w:name="_Toc18880"/>
      <w:r>
        <w:rPr>
          <w:rFonts w:hint="eastAsia"/>
        </w:rPr>
        <w:t>（一）主要经验及做法</w:t>
      </w:r>
      <w:bookmarkEnd w:id="100"/>
      <w:bookmarkEnd w:id="101"/>
    </w:p>
    <w:p w:rsidR="00B00962" w:rsidRDefault="00EB5CA1">
      <w:pPr>
        <w:ind w:firstLine="640"/>
      </w:pPr>
      <w:r>
        <w:rPr>
          <w:rFonts w:hint="eastAsia"/>
        </w:rPr>
        <w:t>尉犁县发展和改革委员会</w:t>
      </w:r>
      <w:r>
        <w:rPr>
          <w:rFonts w:hint="eastAsia"/>
        </w:rPr>
        <w:t>2024-2025</w:t>
      </w:r>
      <w:r>
        <w:rPr>
          <w:rFonts w:hint="eastAsia"/>
        </w:rPr>
        <w:t>年</w:t>
      </w:r>
      <w:r>
        <w:rPr>
          <w:rFonts w:hint="eastAsia"/>
        </w:rPr>
        <w:t>县级储备粮保管费</w:t>
      </w:r>
      <w:r>
        <w:rPr>
          <w:rFonts w:hint="eastAsia"/>
        </w:rPr>
        <w:t>，在相关部门的配合下，全面顺利完成，绩效评价“优”，主要经验及做法如下：</w:t>
      </w:r>
    </w:p>
    <w:p w:rsidR="00B00962" w:rsidRDefault="00EB5CA1">
      <w:pPr>
        <w:ind w:firstLine="640"/>
      </w:pPr>
      <w:r>
        <w:rPr>
          <w:rFonts w:hint="eastAsia"/>
        </w:rPr>
        <w:t>1</w:t>
      </w:r>
      <w:r>
        <w:rPr>
          <w:rFonts w:hint="eastAsia"/>
        </w:rPr>
        <w:t>、</w:t>
      </w:r>
      <w:r>
        <w:rPr>
          <w:rFonts w:hint="eastAsia"/>
        </w:rPr>
        <w:t>加强制度建设，明确费用标准。制定完善管理办法，按照县级储备粮管理办法，明确</w:t>
      </w:r>
      <w:r>
        <w:rPr>
          <w:rFonts w:hint="eastAsia"/>
        </w:rPr>
        <w:t>2024</w:t>
      </w:r>
      <w:r>
        <w:rPr>
          <w:rFonts w:hint="eastAsia"/>
        </w:rPr>
        <w:t>年县级储备粮</w:t>
      </w:r>
      <w:r>
        <w:rPr>
          <w:rFonts w:hint="eastAsia"/>
        </w:rPr>
        <w:t>0.1</w:t>
      </w:r>
      <w:r>
        <w:rPr>
          <w:rFonts w:hint="eastAsia"/>
        </w:rPr>
        <w:t>元</w:t>
      </w:r>
      <w:r>
        <w:rPr>
          <w:rFonts w:hint="eastAsia"/>
        </w:rPr>
        <w:t>/</w:t>
      </w:r>
      <w:r>
        <w:rPr>
          <w:rFonts w:hint="eastAsia"/>
        </w:rPr>
        <w:t>公斤标准执行，由承储企业向粮食主管部门提交保管费申请报告及粮食库存资料，由财政、粮食等部门</w:t>
      </w:r>
      <w:r>
        <w:rPr>
          <w:rFonts w:hint="eastAsia"/>
        </w:rPr>
        <w:t>共同推进</w:t>
      </w:r>
      <w:r>
        <w:rPr>
          <w:rFonts w:hint="eastAsia"/>
        </w:rPr>
        <w:t>工作</w:t>
      </w:r>
      <w:r>
        <w:rPr>
          <w:rFonts w:hint="eastAsia"/>
        </w:rPr>
        <w:t>顺利实施。</w:t>
      </w:r>
    </w:p>
    <w:p w:rsidR="00B00962" w:rsidRDefault="00EB5CA1">
      <w:pPr>
        <w:ind w:firstLine="640"/>
      </w:pPr>
      <w:r>
        <w:rPr>
          <w:rFonts w:hint="eastAsia"/>
        </w:rPr>
        <w:t>2</w:t>
      </w:r>
      <w:r>
        <w:rPr>
          <w:rFonts w:hint="eastAsia"/>
        </w:rPr>
        <w:t>、</w:t>
      </w:r>
      <w:r>
        <w:rPr>
          <w:rFonts w:hint="eastAsia"/>
        </w:rPr>
        <w:t>强化资金保障</w:t>
      </w:r>
      <w:r>
        <w:rPr>
          <w:rFonts w:hint="eastAsia"/>
        </w:rPr>
        <w:t>，</w:t>
      </w:r>
      <w:r>
        <w:rPr>
          <w:rFonts w:hint="eastAsia"/>
        </w:rPr>
        <w:t>确保资金及时足额拨付。在预算执行过程，</w:t>
      </w:r>
      <w:r>
        <w:rPr>
          <w:rFonts w:hint="eastAsia"/>
        </w:rPr>
        <w:t>严格</w:t>
      </w:r>
      <w:r>
        <w:rPr>
          <w:rFonts w:hint="eastAsia"/>
        </w:rPr>
        <w:t>按照预算安排和保管费拨付流程，</w:t>
      </w:r>
      <w:r>
        <w:rPr>
          <w:rFonts w:hint="eastAsia"/>
        </w:rPr>
        <w:t>明确资金使用范围，保证项目资金专款专用，确保了资金</w:t>
      </w:r>
      <w:r>
        <w:rPr>
          <w:rFonts w:hint="eastAsia"/>
        </w:rPr>
        <w:t>足额及时拨付。</w:t>
      </w:r>
    </w:p>
    <w:p w:rsidR="00B00962" w:rsidRDefault="00EB5CA1">
      <w:pPr>
        <w:pStyle w:val="3"/>
        <w:ind w:firstLine="643"/>
      </w:pPr>
      <w:bookmarkStart w:id="102" w:name="_Toc9914"/>
      <w:bookmarkStart w:id="103" w:name="_Toc21295"/>
      <w:r>
        <w:rPr>
          <w:rFonts w:hint="eastAsia"/>
        </w:rPr>
        <w:t>（二）存在问题及原因分析</w:t>
      </w:r>
      <w:bookmarkEnd w:id="102"/>
      <w:bookmarkEnd w:id="103"/>
    </w:p>
    <w:p w:rsidR="00B00962" w:rsidRDefault="00EB5CA1">
      <w:pPr>
        <w:ind w:firstLine="640"/>
      </w:pPr>
      <w:r>
        <w:rPr>
          <w:rFonts w:hint="eastAsia"/>
        </w:rPr>
        <w:t>加强资金使用监管</w:t>
      </w:r>
      <w:r>
        <w:rPr>
          <w:rFonts w:hint="eastAsia"/>
        </w:rPr>
        <w:t>。</w:t>
      </w:r>
      <w:r>
        <w:rPr>
          <w:rFonts w:hint="eastAsia"/>
        </w:rPr>
        <w:t>承储企业存在保管</w:t>
      </w:r>
      <w:r>
        <w:rPr>
          <w:rFonts w:hint="eastAsia"/>
        </w:rPr>
        <w:t>费使用不规范，</w:t>
      </w:r>
      <w:r>
        <w:rPr>
          <w:rFonts w:hint="eastAsia"/>
        </w:rPr>
        <w:t>首先，</w:t>
      </w:r>
      <w:r>
        <w:rPr>
          <w:rFonts w:hint="eastAsia"/>
        </w:rPr>
        <w:t>企业经营资金不足，造成储粮保管费支付日常办公费用。监管方面，虽然建立了监督检查机制，但检查方式主要以书面材料审核和定期实地检查为主，难以对资金使用的全过程进行实施动态监控，导致一些违规行为未能及时发现和纠正。</w:t>
      </w:r>
    </w:p>
    <w:p w:rsidR="00B00962" w:rsidRDefault="00EB5CA1">
      <w:pPr>
        <w:pStyle w:val="2"/>
        <w:ind w:firstLine="640"/>
      </w:pPr>
      <w:bookmarkStart w:id="104" w:name="_Toc2334"/>
      <w:bookmarkStart w:id="105" w:name="_Toc18358"/>
      <w:r>
        <w:rPr>
          <w:rFonts w:hint="eastAsia"/>
        </w:rPr>
        <w:t>六、有关建议</w:t>
      </w:r>
      <w:bookmarkEnd w:id="104"/>
      <w:bookmarkEnd w:id="105"/>
    </w:p>
    <w:p w:rsidR="00B00962" w:rsidRDefault="00EB5CA1">
      <w:pPr>
        <w:ind w:firstLine="640"/>
      </w:pPr>
      <w:r>
        <w:rPr>
          <w:rFonts w:hint="eastAsia"/>
        </w:rPr>
        <w:t>加强部门协同监管。财政、粮食、农发行等监管部门建</w:t>
      </w:r>
      <w:r>
        <w:rPr>
          <w:rFonts w:hint="eastAsia"/>
        </w:rPr>
        <w:lastRenderedPageBreak/>
        <w:t>立协同监管机制，共享监管费用，共同商讨解决监管过程中发现的问题，制定联合监管计划，每年开展</w:t>
      </w:r>
      <w:r>
        <w:rPr>
          <w:rFonts w:hint="eastAsia"/>
        </w:rPr>
        <w:t>1-2</w:t>
      </w:r>
      <w:r>
        <w:rPr>
          <w:rFonts w:hint="eastAsia"/>
        </w:rPr>
        <w:t>次联合专项检查，对于检查中发现的问题各部门依据职责依法进行处理，形成监管合力，</w:t>
      </w:r>
      <w:r>
        <w:rPr>
          <w:rFonts w:hint="eastAsia"/>
        </w:rPr>
        <w:t>针对预算绩效管理过程中存在的问题改进预算绩效管</w:t>
      </w:r>
      <w:r>
        <w:rPr>
          <w:rFonts w:hint="eastAsia"/>
        </w:rPr>
        <w:t>理工作，保证预算资金安全、高效使用。</w:t>
      </w:r>
    </w:p>
    <w:p w:rsidR="00B00962" w:rsidRDefault="00EB5CA1">
      <w:pPr>
        <w:pStyle w:val="2"/>
        <w:ind w:firstLine="640"/>
      </w:pPr>
      <w:bookmarkStart w:id="106" w:name="_Toc30571"/>
      <w:bookmarkStart w:id="107" w:name="_Toc15040"/>
      <w:r>
        <w:rPr>
          <w:rFonts w:hint="eastAsia"/>
        </w:rPr>
        <w:t>七、其他需要说明的问题</w:t>
      </w:r>
      <w:bookmarkEnd w:id="106"/>
      <w:bookmarkEnd w:id="107"/>
    </w:p>
    <w:p w:rsidR="00B00962" w:rsidRDefault="00EB5CA1">
      <w:pPr>
        <w:ind w:firstLine="640"/>
        <w:rPr>
          <w:rFonts w:cs="Times New Roman"/>
        </w:rPr>
      </w:pPr>
      <w:bookmarkStart w:id="108" w:name="OLE_LINK6"/>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B00962" w:rsidRDefault="00EB5CA1">
      <w:pPr>
        <w:ind w:firstLine="640"/>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bookmarkEnd w:id="108"/>
    </w:p>
    <w:p w:rsidR="00B00962" w:rsidRDefault="00EB5CA1">
      <w:pPr>
        <w:pStyle w:val="2"/>
        <w:ind w:firstLine="640"/>
      </w:pPr>
      <w:bookmarkStart w:id="109" w:name="_Toc10180"/>
      <w:bookmarkStart w:id="110" w:name="_Toc32626"/>
      <w:r>
        <w:rPr>
          <w:rFonts w:hint="eastAsia"/>
        </w:rPr>
        <w:t>八、相关附件</w:t>
      </w:r>
      <w:bookmarkEnd w:id="109"/>
      <w:bookmarkEnd w:id="110"/>
    </w:p>
    <w:p w:rsidR="00B00962" w:rsidRDefault="00EB5CA1">
      <w:pPr>
        <w:ind w:firstLine="640"/>
      </w:pPr>
      <w:bookmarkStart w:id="111" w:name="_Toc16924_WPSOffice_Level2"/>
      <w:r>
        <w:rPr>
          <w:rFonts w:hint="eastAsia"/>
        </w:rPr>
        <w:t>1</w:t>
      </w:r>
      <w:r>
        <w:rPr>
          <w:rFonts w:hint="eastAsia"/>
        </w:rPr>
        <w:t>、项目支出绩效自评表</w:t>
      </w:r>
      <w:bookmarkEnd w:id="111"/>
    </w:p>
    <w:p w:rsidR="00B00962" w:rsidRDefault="00EB5CA1">
      <w:pPr>
        <w:ind w:firstLine="640"/>
      </w:pPr>
      <w:bookmarkStart w:id="112" w:name="_Toc11447_WPSOffice_Level2"/>
      <w:r>
        <w:rPr>
          <w:rFonts w:hint="eastAsia"/>
        </w:rPr>
        <w:t>2</w:t>
      </w:r>
      <w:r>
        <w:rPr>
          <w:rFonts w:hint="eastAsia"/>
        </w:rPr>
        <w:t>、评价指标体系及得分表</w:t>
      </w:r>
      <w:bookmarkEnd w:id="112"/>
    </w:p>
    <w:p w:rsidR="00B00962" w:rsidRDefault="00B00962">
      <w:pPr>
        <w:ind w:firstLine="640"/>
        <w:sectPr w:rsidR="00B00962">
          <w:footerReference w:type="default" r:id="rId10"/>
          <w:pgSz w:w="11906" w:h="16838"/>
          <w:pgMar w:top="1440" w:right="1800" w:bottom="1440" w:left="1800" w:header="851" w:footer="992" w:gutter="0"/>
          <w:pgNumType w:start="1"/>
          <w:cols w:space="425"/>
          <w:docGrid w:type="lines" w:linePitch="312"/>
        </w:sectPr>
      </w:pPr>
    </w:p>
    <w:p w:rsidR="00B00962" w:rsidRDefault="00EB5CA1">
      <w:pPr>
        <w:pStyle w:val="2"/>
        <w:keepNext w:val="0"/>
        <w:ind w:firstLine="640"/>
      </w:pPr>
      <w:bookmarkStart w:id="113" w:name="_Toc18004"/>
      <w:bookmarkStart w:id="114" w:name="_Toc12781"/>
      <w:bookmarkStart w:id="115" w:name="_Toc26845"/>
      <w:bookmarkStart w:id="116" w:name="_Toc11447_WPSOffice_Level1"/>
      <w:bookmarkStart w:id="117" w:name="_Toc6652"/>
      <w:r>
        <w:lastRenderedPageBreak/>
        <w:t>附件</w:t>
      </w:r>
      <w:r>
        <w:t>1</w:t>
      </w:r>
      <w:r>
        <w:t>：项目支出绩效自评表</w:t>
      </w:r>
      <w:bookmarkEnd w:id="113"/>
      <w:bookmarkEnd w:id="114"/>
      <w:bookmarkEnd w:id="115"/>
      <w:bookmarkEnd w:id="116"/>
      <w:bookmarkEnd w:id="117"/>
    </w:p>
    <w:tbl>
      <w:tblPr>
        <w:tblW w:w="5000" w:type="pct"/>
        <w:tblCellMar>
          <w:left w:w="0" w:type="dxa"/>
          <w:right w:w="0" w:type="dxa"/>
        </w:tblCellMar>
        <w:tblLook w:val="0600" w:firstRow="0" w:lastRow="0" w:firstColumn="0" w:lastColumn="0" w:noHBand="1" w:noVBand="1"/>
      </w:tblPr>
      <w:tblGrid>
        <w:gridCol w:w="491"/>
        <w:gridCol w:w="493"/>
        <w:gridCol w:w="490"/>
        <w:gridCol w:w="1339"/>
        <w:gridCol w:w="1078"/>
        <w:gridCol w:w="490"/>
        <w:gridCol w:w="496"/>
        <w:gridCol w:w="490"/>
        <w:gridCol w:w="496"/>
        <w:gridCol w:w="490"/>
        <w:gridCol w:w="493"/>
        <w:gridCol w:w="491"/>
        <w:gridCol w:w="493"/>
        <w:gridCol w:w="500"/>
      </w:tblGrid>
      <w:tr w:rsidR="00B00962">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6"/>
              <w:outlineLvl w:val="9"/>
              <w:rPr>
                <w:rFonts w:hint="default"/>
                <w:szCs w:val="15"/>
              </w:rPr>
            </w:pPr>
            <w:bookmarkStart w:id="118" w:name="_Toc4934"/>
            <w:r>
              <w:t>项目支出绩效自评表</w:t>
            </w:r>
            <w:bookmarkEnd w:id="118"/>
          </w:p>
        </w:tc>
      </w:tr>
      <w:tr w:rsidR="00B00962">
        <w:trPr>
          <w:trHeight w:val="25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19" w:name="_Toc30842"/>
            <w:r>
              <w:rPr>
                <w:sz w:val="15"/>
                <w:szCs w:val="15"/>
              </w:rPr>
              <w:t>(2024</w:t>
            </w:r>
            <w:r>
              <w:rPr>
                <w:sz w:val="15"/>
                <w:szCs w:val="15"/>
              </w:rPr>
              <w:t>年度</w:t>
            </w:r>
            <w:r>
              <w:rPr>
                <w:sz w:val="15"/>
                <w:szCs w:val="15"/>
              </w:rPr>
              <w:t>)</w:t>
            </w:r>
            <w:bookmarkEnd w:id="119"/>
          </w:p>
        </w:tc>
      </w:tr>
      <w:tr w:rsidR="00B00962">
        <w:trPr>
          <w:trHeight w:val="270"/>
        </w:trPr>
        <w:tc>
          <w:tcPr>
            <w:tcW w:w="59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20" w:name="_Toc4676"/>
            <w:r>
              <w:rPr>
                <w:sz w:val="15"/>
                <w:szCs w:val="15"/>
              </w:rPr>
              <w:t>项目名称</w:t>
            </w:r>
            <w:bookmarkEnd w:id="120"/>
          </w:p>
        </w:tc>
        <w:tc>
          <w:tcPr>
            <w:tcW w:w="4409" w:type="pct"/>
            <w:gridSpan w:val="1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21" w:name="_Toc17573"/>
            <w:r>
              <w:rPr>
                <w:sz w:val="15"/>
                <w:szCs w:val="15"/>
              </w:rPr>
              <w:t>2024-2025</w:t>
            </w:r>
            <w:r>
              <w:rPr>
                <w:sz w:val="15"/>
                <w:szCs w:val="15"/>
              </w:rPr>
              <w:t>年县级储备粮保管经费</w:t>
            </w:r>
            <w:bookmarkEnd w:id="121"/>
          </w:p>
        </w:tc>
      </w:tr>
      <w:tr w:rsidR="00B00962">
        <w:trPr>
          <w:trHeight w:val="600"/>
        </w:trPr>
        <w:tc>
          <w:tcPr>
            <w:tcW w:w="59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22" w:name="_Toc23161"/>
            <w:r>
              <w:rPr>
                <w:sz w:val="15"/>
                <w:szCs w:val="15"/>
              </w:rPr>
              <w:t>主管部门</w:t>
            </w:r>
            <w:bookmarkEnd w:id="122"/>
          </w:p>
        </w:tc>
        <w:tc>
          <w:tcPr>
            <w:tcW w:w="2337"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23" w:name="_Toc19844"/>
            <w:r>
              <w:rPr>
                <w:sz w:val="15"/>
                <w:szCs w:val="15"/>
              </w:rPr>
              <w:t>尉犁县发展和改革委员会</w:t>
            </w:r>
            <w:bookmarkEnd w:id="123"/>
          </w:p>
        </w:tc>
        <w:tc>
          <w:tcPr>
            <w:tcW w:w="59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24" w:name="_Toc25724"/>
            <w:r>
              <w:rPr>
                <w:sz w:val="15"/>
                <w:szCs w:val="15"/>
              </w:rPr>
              <w:t>实施单位</w:t>
            </w:r>
            <w:bookmarkEnd w:id="124"/>
          </w:p>
        </w:tc>
        <w:tc>
          <w:tcPr>
            <w:tcW w:w="1479"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25" w:name="_Toc26168"/>
            <w:r>
              <w:rPr>
                <w:sz w:val="15"/>
                <w:szCs w:val="15"/>
              </w:rPr>
              <w:t>尉犁县发展和改革委员会</w:t>
            </w:r>
            <w:bookmarkEnd w:id="125"/>
          </w:p>
        </w:tc>
      </w:tr>
      <w:tr w:rsidR="00B00962">
        <w:trPr>
          <w:trHeight w:val="440"/>
        </w:trPr>
        <w:tc>
          <w:tcPr>
            <w:tcW w:w="590" w:type="pct"/>
            <w:gridSpan w:val="2"/>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26" w:name="_Toc2118"/>
            <w:r>
              <w:rPr>
                <w:sz w:val="15"/>
                <w:szCs w:val="15"/>
              </w:rPr>
              <w:t>项目资金</w:t>
            </w:r>
            <w:r>
              <w:rPr>
                <w:sz w:val="15"/>
                <w:szCs w:val="15"/>
              </w:rPr>
              <w:br/>
            </w:r>
            <w:r>
              <w:rPr>
                <w:sz w:val="15"/>
                <w:szCs w:val="15"/>
              </w:rPr>
              <w:t>（万元）</w:t>
            </w:r>
            <w:bookmarkEnd w:id="126"/>
          </w:p>
        </w:tc>
        <w:tc>
          <w:tcPr>
            <w:tcW w:w="1097"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27" w:name="_Toc31434"/>
            <w:r>
              <w:rPr>
                <w:sz w:val="15"/>
                <w:szCs w:val="15"/>
              </w:rPr>
              <w:t>资金来源</w:t>
            </w:r>
            <w:bookmarkEnd w:id="127"/>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28" w:name="_Toc28132"/>
            <w:r>
              <w:rPr>
                <w:sz w:val="15"/>
                <w:szCs w:val="15"/>
              </w:rPr>
              <w:t>年初预算数</w:t>
            </w:r>
            <w:bookmarkEnd w:id="128"/>
          </w:p>
        </w:tc>
        <w:tc>
          <w:tcPr>
            <w:tcW w:w="592"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29" w:name="_Toc30352"/>
            <w:r>
              <w:rPr>
                <w:sz w:val="15"/>
                <w:szCs w:val="15"/>
              </w:rPr>
              <w:t>全年预算数</w:t>
            </w:r>
            <w:bookmarkEnd w:id="129"/>
          </w:p>
        </w:tc>
        <w:tc>
          <w:tcPr>
            <w:tcW w:w="59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30" w:name="_Toc12498"/>
            <w:r>
              <w:rPr>
                <w:sz w:val="15"/>
                <w:szCs w:val="15"/>
              </w:rPr>
              <w:t>全年执行数</w:t>
            </w:r>
            <w:bookmarkEnd w:id="130"/>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31" w:name="_Toc22186"/>
            <w:r>
              <w:rPr>
                <w:sz w:val="15"/>
                <w:szCs w:val="15"/>
              </w:rPr>
              <w:t>分值权重</w:t>
            </w:r>
            <w:bookmarkEnd w:id="131"/>
          </w:p>
        </w:tc>
        <w:tc>
          <w:tcPr>
            <w:tcW w:w="59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32" w:name="_Toc13045"/>
            <w:r>
              <w:rPr>
                <w:sz w:val="15"/>
                <w:szCs w:val="15"/>
              </w:rPr>
              <w:t>执行率</w:t>
            </w:r>
            <w:bookmarkEnd w:id="132"/>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33" w:name="_Toc4494"/>
            <w:r>
              <w:rPr>
                <w:sz w:val="15"/>
                <w:szCs w:val="15"/>
              </w:rPr>
              <w:t>得分</w:t>
            </w:r>
            <w:bookmarkEnd w:id="133"/>
          </w:p>
        </w:tc>
      </w:tr>
      <w:tr w:rsidR="00B00962">
        <w:trPr>
          <w:trHeight w:val="440"/>
        </w:trPr>
        <w:tc>
          <w:tcPr>
            <w:tcW w:w="590" w:type="pct"/>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1097"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34" w:name="_Toc17545"/>
            <w:r>
              <w:rPr>
                <w:sz w:val="15"/>
                <w:szCs w:val="15"/>
              </w:rPr>
              <w:t>年度资金总额</w:t>
            </w:r>
            <w:bookmarkEnd w:id="134"/>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35" w:name="_Toc947"/>
            <w:r>
              <w:rPr>
                <w:sz w:val="15"/>
                <w:szCs w:val="15"/>
              </w:rPr>
              <w:t>20.00</w:t>
            </w:r>
            <w:bookmarkEnd w:id="135"/>
          </w:p>
        </w:tc>
        <w:tc>
          <w:tcPr>
            <w:tcW w:w="592"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36" w:name="_Toc12431"/>
            <w:r>
              <w:rPr>
                <w:sz w:val="15"/>
                <w:szCs w:val="15"/>
              </w:rPr>
              <w:t>20.00</w:t>
            </w:r>
            <w:bookmarkEnd w:id="136"/>
          </w:p>
        </w:tc>
        <w:tc>
          <w:tcPr>
            <w:tcW w:w="59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37" w:name="_Toc21217"/>
            <w:r>
              <w:rPr>
                <w:sz w:val="15"/>
                <w:szCs w:val="15"/>
              </w:rPr>
              <w:t>20.00</w:t>
            </w:r>
            <w:bookmarkEnd w:id="137"/>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38" w:name="_Toc31086"/>
            <w:r>
              <w:rPr>
                <w:sz w:val="15"/>
                <w:szCs w:val="15"/>
              </w:rPr>
              <w:t>10</w:t>
            </w:r>
            <w:bookmarkEnd w:id="138"/>
          </w:p>
        </w:tc>
        <w:tc>
          <w:tcPr>
            <w:tcW w:w="59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39" w:name="_Toc1197"/>
            <w:r>
              <w:rPr>
                <w:sz w:val="15"/>
                <w:szCs w:val="15"/>
              </w:rPr>
              <w:t>100.00%</w:t>
            </w:r>
            <w:bookmarkEnd w:id="139"/>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40" w:name="_Toc12269"/>
            <w:r>
              <w:rPr>
                <w:sz w:val="15"/>
                <w:szCs w:val="15"/>
              </w:rPr>
              <w:t>10.00</w:t>
            </w:r>
            <w:r>
              <w:rPr>
                <w:sz w:val="15"/>
                <w:szCs w:val="15"/>
              </w:rPr>
              <w:t>分</w:t>
            </w:r>
            <w:bookmarkEnd w:id="140"/>
          </w:p>
        </w:tc>
      </w:tr>
      <w:tr w:rsidR="00B00962">
        <w:trPr>
          <w:trHeight w:val="440"/>
        </w:trPr>
        <w:tc>
          <w:tcPr>
            <w:tcW w:w="590" w:type="pct"/>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1097"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41" w:name="_Toc10793"/>
            <w:r>
              <w:rPr>
                <w:sz w:val="15"/>
                <w:szCs w:val="15"/>
              </w:rPr>
              <w:t>其中：当年财政拨款</w:t>
            </w:r>
            <w:bookmarkEnd w:id="141"/>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42" w:name="_Toc24239"/>
            <w:r>
              <w:rPr>
                <w:sz w:val="15"/>
                <w:szCs w:val="15"/>
              </w:rPr>
              <w:t>20</w:t>
            </w:r>
            <w:bookmarkEnd w:id="142"/>
          </w:p>
        </w:tc>
        <w:tc>
          <w:tcPr>
            <w:tcW w:w="592"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43" w:name="_Toc5847"/>
            <w:r>
              <w:rPr>
                <w:sz w:val="15"/>
                <w:szCs w:val="15"/>
              </w:rPr>
              <w:t>20</w:t>
            </w:r>
            <w:bookmarkEnd w:id="143"/>
          </w:p>
        </w:tc>
        <w:tc>
          <w:tcPr>
            <w:tcW w:w="59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44" w:name="_Toc14940"/>
            <w:r>
              <w:rPr>
                <w:sz w:val="15"/>
                <w:szCs w:val="15"/>
              </w:rPr>
              <w:t>20</w:t>
            </w:r>
            <w:bookmarkEnd w:id="144"/>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45" w:name="_Toc20093"/>
            <w:r>
              <w:rPr>
                <w:sz w:val="15"/>
                <w:szCs w:val="15"/>
              </w:rPr>
              <w:t>-</w:t>
            </w:r>
            <w:bookmarkEnd w:id="145"/>
          </w:p>
        </w:tc>
        <w:tc>
          <w:tcPr>
            <w:tcW w:w="59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46" w:name="_Toc21370"/>
            <w:r>
              <w:rPr>
                <w:sz w:val="15"/>
                <w:szCs w:val="15"/>
              </w:rPr>
              <w:t>-</w:t>
            </w:r>
            <w:bookmarkEnd w:id="146"/>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47" w:name="_Toc2073"/>
            <w:r>
              <w:rPr>
                <w:sz w:val="15"/>
                <w:szCs w:val="15"/>
              </w:rPr>
              <w:t>-</w:t>
            </w:r>
            <w:bookmarkEnd w:id="147"/>
          </w:p>
        </w:tc>
      </w:tr>
      <w:tr w:rsidR="00B00962">
        <w:trPr>
          <w:trHeight w:val="90"/>
        </w:trPr>
        <w:tc>
          <w:tcPr>
            <w:tcW w:w="590" w:type="pct"/>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1097"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48" w:name="_Toc18537"/>
            <w:r>
              <w:rPr>
                <w:sz w:val="15"/>
                <w:szCs w:val="15"/>
              </w:rPr>
              <w:t>其他资金</w:t>
            </w:r>
            <w:bookmarkEnd w:id="148"/>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49" w:name="_Toc12826"/>
            <w:r>
              <w:rPr>
                <w:sz w:val="15"/>
                <w:szCs w:val="15"/>
              </w:rPr>
              <w:t>0</w:t>
            </w:r>
            <w:bookmarkEnd w:id="149"/>
          </w:p>
        </w:tc>
        <w:tc>
          <w:tcPr>
            <w:tcW w:w="592"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50" w:name="_Toc26003"/>
            <w:r>
              <w:rPr>
                <w:sz w:val="15"/>
                <w:szCs w:val="15"/>
              </w:rPr>
              <w:t>0</w:t>
            </w:r>
            <w:bookmarkEnd w:id="150"/>
          </w:p>
        </w:tc>
        <w:tc>
          <w:tcPr>
            <w:tcW w:w="59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51" w:name="_Toc26677"/>
            <w:r>
              <w:rPr>
                <w:sz w:val="15"/>
                <w:szCs w:val="15"/>
              </w:rPr>
              <w:t>0</w:t>
            </w:r>
            <w:bookmarkEnd w:id="151"/>
          </w:p>
        </w:tc>
        <w:tc>
          <w:tcPr>
            <w:tcW w:w="59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52" w:name="_Toc32028"/>
            <w:r>
              <w:rPr>
                <w:sz w:val="15"/>
                <w:szCs w:val="15"/>
              </w:rPr>
              <w:t>-</w:t>
            </w:r>
            <w:bookmarkEnd w:id="152"/>
          </w:p>
        </w:tc>
        <w:tc>
          <w:tcPr>
            <w:tcW w:w="59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53" w:name="_Toc19508"/>
            <w:r>
              <w:rPr>
                <w:sz w:val="15"/>
                <w:szCs w:val="15"/>
              </w:rPr>
              <w:t>-</w:t>
            </w:r>
            <w:bookmarkEnd w:id="153"/>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54" w:name="_Toc18675"/>
            <w:r>
              <w:rPr>
                <w:sz w:val="15"/>
                <w:szCs w:val="15"/>
              </w:rPr>
              <w:t>-</w:t>
            </w:r>
            <w:bookmarkEnd w:id="154"/>
          </w:p>
        </w:tc>
      </w:tr>
      <w:tr w:rsidR="00B00962">
        <w:trPr>
          <w:trHeight w:val="90"/>
        </w:trPr>
        <w:tc>
          <w:tcPr>
            <w:tcW w:w="294" w:type="pct"/>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55" w:name="_Toc6741"/>
            <w:r>
              <w:rPr>
                <w:sz w:val="15"/>
                <w:szCs w:val="15"/>
              </w:rPr>
              <w:t>年度总体目标</w:t>
            </w:r>
            <w:bookmarkEnd w:id="155"/>
          </w:p>
        </w:tc>
        <w:tc>
          <w:tcPr>
            <w:tcW w:w="3225" w:type="pct"/>
            <w:gridSpan w:val="8"/>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56" w:name="_Toc32322"/>
            <w:r>
              <w:rPr>
                <w:sz w:val="15"/>
                <w:szCs w:val="15"/>
              </w:rPr>
              <w:t>总体目标</w:t>
            </w:r>
            <w:bookmarkEnd w:id="156"/>
          </w:p>
        </w:tc>
        <w:tc>
          <w:tcPr>
            <w:tcW w:w="1479"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57" w:name="_Toc32113"/>
            <w:r>
              <w:rPr>
                <w:sz w:val="15"/>
                <w:szCs w:val="15"/>
              </w:rPr>
              <w:t>总体目标完成情况</w:t>
            </w:r>
            <w:bookmarkEnd w:id="157"/>
          </w:p>
        </w:tc>
      </w:tr>
      <w:tr w:rsidR="00B00962">
        <w:trPr>
          <w:trHeight w:val="600"/>
        </w:trPr>
        <w:tc>
          <w:tcPr>
            <w:tcW w:w="294"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3225" w:type="pct"/>
            <w:gridSpan w:val="8"/>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58" w:name="_Toc9583"/>
            <w:r>
              <w:rPr>
                <w:sz w:val="15"/>
                <w:szCs w:val="15"/>
              </w:rPr>
              <w:t>确保全县粮食安全，增强政府对粮油市场的调控能力，有效应对重大自然灾害、事故灾难、公共卫生等灾害突发情况，保障城乡居民生活需求；减轻储备粮企业经营负担，拨付</w:t>
            </w:r>
            <w:r>
              <w:rPr>
                <w:sz w:val="15"/>
                <w:szCs w:val="15"/>
              </w:rPr>
              <w:t>1</w:t>
            </w:r>
            <w:r>
              <w:rPr>
                <w:sz w:val="15"/>
                <w:szCs w:val="15"/>
              </w:rPr>
              <w:t>家储粮企业</w:t>
            </w:r>
            <w:r>
              <w:rPr>
                <w:sz w:val="15"/>
                <w:szCs w:val="15"/>
              </w:rPr>
              <w:t>2000</w:t>
            </w:r>
            <w:r>
              <w:rPr>
                <w:sz w:val="15"/>
                <w:szCs w:val="15"/>
              </w:rPr>
              <w:t>吨储备粮保管费。</w:t>
            </w:r>
            <w:bookmarkEnd w:id="158"/>
          </w:p>
        </w:tc>
        <w:tc>
          <w:tcPr>
            <w:tcW w:w="1479"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59" w:name="_Toc2435"/>
            <w:r>
              <w:rPr>
                <w:sz w:val="15"/>
                <w:szCs w:val="15"/>
              </w:rPr>
              <w:t>目前已完成尉犁县</w:t>
            </w:r>
            <w:r>
              <w:rPr>
                <w:sz w:val="15"/>
                <w:szCs w:val="15"/>
              </w:rPr>
              <w:t>1</w:t>
            </w:r>
            <w:r>
              <w:rPr>
                <w:sz w:val="15"/>
                <w:szCs w:val="15"/>
              </w:rPr>
              <w:t>家储粮企业</w:t>
            </w:r>
            <w:r>
              <w:rPr>
                <w:sz w:val="15"/>
                <w:szCs w:val="15"/>
              </w:rPr>
              <w:t>2000</w:t>
            </w:r>
            <w:r>
              <w:rPr>
                <w:sz w:val="15"/>
                <w:szCs w:val="15"/>
              </w:rPr>
              <w:t>吨县级储备粮保管费的拨付，有效减轻储粮企业经营负担，增强政府对粮油市场的调控能力，确保全县粮食安全。</w:t>
            </w:r>
            <w:bookmarkEnd w:id="159"/>
          </w:p>
        </w:tc>
      </w:tr>
      <w:tr w:rsidR="00B00962">
        <w:trPr>
          <w:trHeight w:val="1022"/>
        </w:trPr>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60" w:name="_Toc8973"/>
            <w:r>
              <w:rPr>
                <w:sz w:val="15"/>
                <w:szCs w:val="15"/>
              </w:rPr>
              <w:t>一级指标</w:t>
            </w:r>
            <w:bookmarkEnd w:id="160"/>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61" w:name="_Toc14155"/>
            <w:r>
              <w:rPr>
                <w:sz w:val="15"/>
                <w:szCs w:val="15"/>
              </w:rPr>
              <w:t>二级指标</w:t>
            </w:r>
            <w:bookmarkEnd w:id="161"/>
          </w:p>
        </w:tc>
        <w:tc>
          <w:tcPr>
            <w:tcW w:w="80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62" w:name="_Toc367"/>
            <w:r>
              <w:rPr>
                <w:sz w:val="15"/>
                <w:szCs w:val="15"/>
              </w:rPr>
              <w:t>三级指标</w:t>
            </w:r>
            <w:bookmarkEnd w:id="162"/>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63" w:name="_Toc21020"/>
            <w:r>
              <w:rPr>
                <w:sz w:val="15"/>
                <w:szCs w:val="15"/>
              </w:rPr>
              <w:t>指标值</w:t>
            </w:r>
            <w:bookmarkEnd w:id="163"/>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64" w:name="_Toc18362"/>
            <w:r>
              <w:rPr>
                <w:sz w:val="15"/>
                <w:szCs w:val="15"/>
              </w:rPr>
              <w:t>指标值设置依据</w:t>
            </w:r>
            <w:bookmarkEnd w:id="164"/>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65" w:name="_Toc4382"/>
            <w:r>
              <w:rPr>
                <w:sz w:val="15"/>
                <w:szCs w:val="15"/>
              </w:rPr>
              <w:t>上年完成值</w:t>
            </w:r>
            <w:bookmarkEnd w:id="165"/>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66" w:name="_Toc21164"/>
            <w:r>
              <w:rPr>
                <w:sz w:val="15"/>
                <w:szCs w:val="15"/>
              </w:rPr>
              <w:t>指标分值权重</w:t>
            </w:r>
            <w:bookmarkEnd w:id="166"/>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67" w:name="_Toc8066"/>
            <w:r>
              <w:rPr>
                <w:sz w:val="15"/>
                <w:szCs w:val="15"/>
              </w:rPr>
              <w:t>指标赋分规则</w:t>
            </w:r>
            <w:bookmarkEnd w:id="167"/>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68" w:name="_Toc1136"/>
            <w:r>
              <w:rPr>
                <w:sz w:val="15"/>
                <w:szCs w:val="15"/>
              </w:rPr>
              <w:t>佐证资料</w:t>
            </w:r>
            <w:bookmarkEnd w:id="168"/>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69" w:name="_Toc13183"/>
            <w:r>
              <w:rPr>
                <w:sz w:val="15"/>
                <w:szCs w:val="15"/>
              </w:rPr>
              <w:t>指标实际完成值</w:t>
            </w:r>
            <w:bookmarkEnd w:id="169"/>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70" w:name="_Toc3127"/>
            <w:r>
              <w:rPr>
                <w:sz w:val="15"/>
                <w:szCs w:val="15"/>
              </w:rPr>
              <w:t>完成率</w:t>
            </w:r>
            <w:bookmarkEnd w:id="170"/>
          </w:p>
        </w:tc>
        <w:tc>
          <w:tcPr>
            <w:tcW w:w="2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71" w:name="_Toc4626"/>
            <w:r>
              <w:rPr>
                <w:sz w:val="15"/>
                <w:szCs w:val="15"/>
              </w:rPr>
              <w:t>指标得分</w:t>
            </w:r>
            <w:bookmarkEnd w:id="171"/>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72" w:name="_Toc19308"/>
            <w:r>
              <w:rPr>
                <w:sz w:val="15"/>
                <w:szCs w:val="15"/>
              </w:rPr>
              <w:t>偏差原因分析及改进措施</w:t>
            </w:r>
            <w:bookmarkEnd w:id="172"/>
          </w:p>
        </w:tc>
      </w:tr>
      <w:tr w:rsidR="00B00962">
        <w:trPr>
          <w:trHeight w:val="600"/>
        </w:trPr>
        <w:tc>
          <w:tcPr>
            <w:tcW w:w="294" w:type="pct"/>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73" w:name="_Toc3536"/>
            <w:r>
              <w:rPr>
                <w:sz w:val="15"/>
                <w:szCs w:val="15"/>
              </w:rPr>
              <w:t>年度绩效指标完成情况</w:t>
            </w:r>
            <w:bookmarkEnd w:id="173"/>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74" w:name="_Toc19902"/>
            <w:r>
              <w:rPr>
                <w:sz w:val="15"/>
                <w:szCs w:val="15"/>
              </w:rPr>
              <w:t>产出指标</w:t>
            </w:r>
            <w:bookmarkEnd w:id="174"/>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75" w:name="_Toc16726"/>
            <w:r>
              <w:rPr>
                <w:sz w:val="15"/>
                <w:szCs w:val="15"/>
              </w:rPr>
              <w:t>数量指标</w:t>
            </w:r>
            <w:bookmarkEnd w:id="175"/>
          </w:p>
        </w:tc>
        <w:tc>
          <w:tcPr>
            <w:tcW w:w="80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76" w:name="_Toc12891"/>
            <w:r>
              <w:rPr>
                <w:sz w:val="15"/>
                <w:szCs w:val="15"/>
              </w:rPr>
              <w:t>储备粮保管费企业数量</w:t>
            </w:r>
            <w:bookmarkEnd w:id="176"/>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77" w:name="_Toc2577"/>
            <w:r>
              <w:rPr>
                <w:sz w:val="15"/>
                <w:szCs w:val="15"/>
              </w:rPr>
              <w:t>=1</w:t>
            </w:r>
            <w:r>
              <w:rPr>
                <w:sz w:val="15"/>
                <w:szCs w:val="15"/>
              </w:rPr>
              <w:t>个</w:t>
            </w:r>
            <w:bookmarkEnd w:id="177"/>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78" w:name="_Toc6155"/>
            <w:r>
              <w:rPr>
                <w:sz w:val="15"/>
                <w:szCs w:val="15"/>
              </w:rPr>
              <w:t>计划标准</w:t>
            </w:r>
            <w:bookmarkEnd w:id="178"/>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79" w:name="_Toc11899"/>
            <w:r>
              <w:rPr>
                <w:sz w:val="15"/>
                <w:szCs w:val="15"/>
              </w:rPr>
              <w:t>/</w:t>
            </w:r>
            <w:bookmarkEnd w:id="179"/>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80" w:name="_Toc27399"/>
            <w:r>
              <w:rPr>
                <w:sz w:val="15"/>
                <w:szCs w:val="15"/>
              </w:rPr>
              <w:t>8</w:t>
            </w:r>
            <w:bookmarkEnd w:id="180"/>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81" w:name="_Toc13049"/>
            <w:r>
              <w:rPr>
                <w:sz w:val="15"/>
                <w:szCs w:val="15"/>
              </w:rPr>
              <w:t>直接赋分</w:t>
            </w:r>
            <w:bookmarkEnd w:id="181"/>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82" w:name="_Toc10957"/>
            <w:r>
              <w:rPr>
                <w:sz w:val="15"/>
                <w:szCs w:val="15"/>
              </w:rPr>
              <w:t>工作资料</w:t>
            </w:r>
            <w:bookmarkEnd w:id="182"/>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83" w:name="_Toc15109"/>
            <w:r>
              <w:rPr>
                <w:sz w:val="15"/>
                <w:szCs w:val="15"/>
              </w:rPr>
              <w:t>=1</w:t>
            </w:r>
            <w:r>
              <w:rPr>
                <w:sz w:val="15"/>
                <w:szCs w:val="15"/>
              </w:rPr>
              <w:t>个</w:t>
            </w:r>
            <w:bookmarkEnd w:id="183"/>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84" w:name="_Toc12086"/>
            <w:r>
              <w:rPr>
                <w:sz w:val="15"/>
                <w:szCs w:val="15"/>
              </w:rPr>
              <w:t>100%</w:t>
            </w:r>
            <w:bookmarkEnd w:id="184"/>
          </w:p>
        </w:tc>
        <w:tc>
          <w:tcPr>
            <w:tcW w:w="2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85" w:name="_Toc70"/>
            <w:r>
              <w:rPr>
                <w:sz w:val="15"/>
                <w:szCs w:val="15"/>
              </w:rPr>
              <w:t>8</w:t>
            </w:r>
            <w:bookmarkEnd w:id="185"/>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r>
      <w:tr w:rsidR="00B00962">
        <w:trPr>
          <w:trHeight w:val="600"/>
        </w:trPr>
        <w:tc>
          <w:tcPr>
            <w:tcW w:w="294"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86" w:name="_Toc28571"/>
            <w:r>
              <w:rPr>
                <w:sz w:val="15"/>
                <w:szCs w:val="15"/>
              </w:rPr>
              <w:t>数量指标</w:t>
            </w:r>
            <w:bookmarkEnd w:id="186"/>
          </w:p>
        </w:tc>
        <w:tc>
          <w:tcPr>
            <w:tcW w:w="80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87" w:name="_Toc30657"/>
            <w:r>
              <w:rPr>
                <w:sz w:val="15"/>
                <w:szCs w:val="15"/>
              </w:rPr>
              <w:t>储备粮保管费发放次数</w:t>
            </w:r>
            <w:bookmarkEnd w:id="187"/>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88" w:name="_Toc9167"/>
            <w:r>
              <w:rPr>
                <w:sz w:val="15"/>
                <w:szCs w:val="15"/>
              </w:rPr>
              <w:t>=1</w:t>
            </w:r>
            <w:r>
              <w:rPr>
                <w:sz w:val="15"/>
                <w:szCs w:val="15"/>
              </w:rPr>
              <w:t>次</w:t>
            </w:r>
            <w:bookmarkEnd w:id="188"/>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89" w:name="_Toc15697"/>
            <w:r>
              <w:rPr>
                <w:sz w:val="15"/>
                <w:szCs w:val="15"/>
              </w:rPr>
              <w:t>计划标准</w:t>
            </w:r>
            <w:bookmarkEnd w:id="189"/>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90" w:name="_Toc5686"/>
            <w:r>
              <w:rPr>
                <w:sz w:val="15"/>
                <w:szCs w:val="15"/>
              </w:rPr>
              <w:t>/</w:t>
            </w:r>
            <w:bookmarkEnd w:id="190"/>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91" w:name="_Toc24571"/>
            <w:r>
              <w:rPr>
                <w:sz w:val="15"/>
                <w:szCs w:val="15"/>
              </w:rPr>
              <w:t>8</w:t>
            </w:r>
            <w:bookmarkEnd w:id="191"/>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92" w:name="_Toc30527"/>
            <w:r>
              <w:rPr>
                <w:sz w:val="15"/>
                <w:szCs w:val="15"/>
              </w:rPr>
              <w:t>按照完成比例赋分</w:t>
            </w:r>
            <w:bookmarkEnd w:id="192"/>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93" w:name="_Toc15845"/>
            <w:r>
              <w:rPr>
                <w:sz w:val="15"/>
                <w:szCs w:val="15"/>
              </w:rPr>
              <w:t>工作资料</w:t>
            </w:r>
            <w:bookmarkEnd w:id="193"/>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94" w:name="_Toc17934"/>
            <w:r>
              <w:rPr>
                <w:sz w:val="15"/>
                <w:szCs w:val="15"/>
              </w:rPr>
              <w:t>=1</w:t>
            </w:r>
            <w:r>
              <w:rPr>
                <w:sz w:val="15"/>
                <w:szCs w:val="15"/>
              </w:rPr>
              <w:t>次</w:t>
            </w:r>
            <w:bookmarkEnd w:id="194"/>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95" w:name="_Toc21746"/>
            <w:r>
              <w:rPr>
                <w:sz w:val="15"/>
                <w:szCs w:val="15"/>
              </w:rPr>
              <w:t>100%</w:t>
            </w:r>
            <w:bookmarkEnd w:id="195"/>
          </w:p>
        </w:tc>
        <w:tc>
          <w:tcPr>
            <w:tcW w:w="2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96" w:name="_Toc16155"/>
            <w:r>
              <w:rPr>
                <w:sz w:val="15"/>
                <w:szCs w:val="15"/>
              </w:rPr>
              <w:t>8</w:t>
            </w:r>
            <w:bookmarkEnd w:id="196"/>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r>
      <w:tr w:rsidR="00B00962">
        <w:trPr>
          <w:trHeight w:val="600"/>
        </w:trPr>
        <w:tc>
          <w:tcPr>
            <w:tcW w:w="294"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197" w:name="_Toc21841"/>
            <w:r>
              <w:rPr>
                <w:sz w:val="15"/>
                <w:szCs w:val="15"/>
              </w:rPr>
              <w:t>数量指标</w:t>
            </w:r>
            <w:bookmarkEnd w:id="197"/>
          </w:p>
        </w:tc>
        <w:tc>
          <w:tcPr>
            <w:tcW w:w="80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98" w:name="_Toc2312"/>
            <w:r>
              <w:rPr>
                <w:sz w:val="15"/>
                <w:szCs w:val="15"/>
              </w:rPr>
              <w:t>地方储备粮数量</w:t>
            </w:r>
            <w:bookmarkEnd w:id="198"/>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199" w:name="_Toc28041"/>
            <w:r>
              <w:rPr>
                <w:sz w:val="15"/>
                <w:szCs w:val="15"/>
              </w:rPr>
              <w:t>=200</w:t>
            </w:r>
            <w:r>
              <w:rPr>
                <w:sz w:val="15"/>
                <w:szCs w:val="15"/>
              </w:rPr>
              <w:t>万公斤</w:t>
            </w:r>
            <w:bookmarkEnd w:id="199"/>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00" w:name="_Toc22791"/>
            <w:r>
              <w:rPr>
                <w:sz w:val="15"/>
                <w:szCs w:val="15"/>
              </w:rPr>
              <w:t>计划标准</w:t>
            </w:r>
            <w:bookmarkEnd w:id="200"/>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01" w:name="_Toc17340"/>
            <w:r>
              <w:rPr>
                <w:sz w:val="15"/>
                <w:szCs w:val="15"/>
              </w:rPr>
              <w:t>/</w:t>
            </w:r>
            <w:bookmarkEnd w:id="201"/>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02" w:name="_Toc21375"/>
            <w:r>
              <w:rPr>
                <w:sz w:val="15"/>
                <w:szCs w:val="15"/>
              </w:rPr>
              <w:t>8</w:t>
            </w:r>
            <w:bookmarkEnd w:id="202"/>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03" w:name="_Toc28223"/>
            <w:r>
              <w:rPr>
                <w:sz w:val="15"/>
                <w:szCs w:val="15"/>
              </w:rPr>
              <w:t>按照完成比例赋分</w:t>
            </w:r>
            <w:bookmarkEnd w:id="203"/>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04" w:name="_Toc21206"/>
            <w:r>
              <w:rPr>
                <w:sz w:val="15"/>
                <w:szCs w:val="15"/>
              </w:rPr>
              <w:t>工作资料</w:t>
            </w:r>
            <w:bookmarkEnd w:id="204"/>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05" w:name="_Toc3513"/>
            <w:r>
              <w:rPr>
                <w:sz w:val="15"/>
                <w:szCs w:val="15"/>
              </w:rPr>
              <w:t>=200</w:t>
            </w:r>
            <w:r>
              <w:rPr>
                <w:sz w:val="15"/>
                <w:szCs w:val="15"/>
              </w:rPr>
              <w:t>万公斤</w:t>
            </w:r>
            <w:bookmarkEnd w:id="205"/>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06" w:name="_Toc19849"/>
            <w:r>
              <w:rPr>
                <w:sz w:val="15"/>
                <w:szCs w:val="15"/>
              </w:rPr>
              <w:t>100%</w:t>
            </w:r>
            <w:bookmarkEnd w:id="206"/>
          </w:p>
        </w:tc>
        <w:tc>
          <w:tcPr>
            <w:tcW w:w="2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07" w:name="_Toc32097"/>
            <w:r>
              <w:rPr>
                <w:sz w:val="15"/>
                <w:szCs w:val="15"/>
              </w:rPr>
              <w:t>8</w:t>
            </w:r>
            <w:bookmarkEnd w:id="207"/>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r>
      <w:tr w:rsidR="00B00962">
        <w:trPr>
          <w:trHeight w:val="600"/>
        </w:trPr>
        <w:tc>
          <w:tcPr>
            <w:tcW w:w="294"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08" w:name="_Toc7667"/>
            <w:r>
              <w:rPr>
                <w:sz w:val="15"/>
                <w:szCs w:val="15"/>
              </w:rPr>
              <w:t>质量指标</w:t>
            </w:r>
            <w:bookmarkEnd w:id="208"/>
          </w:p>
        </w:tc>
        <w:tc>
          <w:tcPr>
            <w:tcW w:w="80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09" w:name="_Toc29212"/>
            <w:r>
              <w:rPr>
                <w:sz w:val="15"/>
                <w:szCs w:val="15"/>
              </w:rPr>
              <w:t>按标准发放保管费准确率</w:t>
            </w:r>
            <w:bookmarkEnd w:id="209"/>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10" w:name="_Toc16763"/>
            <w:r>
              <w:rPr>
                <w:sz w:val="15"/>
                <w:szCs w:val="15"/>
              </w:rPr>
              <w:t>=100%</w:t>
            </w:r>
            <w:bookmarkEnd w:id="210"/>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11" w:name="_Toc26495"/>
            <w:r>
              <w:rPr>
                <w:sz w:val="15"/>
                <w:szCs w:val="15"/>
              </w:rPr>
              <w:t>计划标准</w:t>
            </w:r>
            <w:bookmarkEnd w:id="211"/>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12" w:name="_Toc4607"/>
            <w:r>
              <w:rPr>
                <w:sz w:val="15"/>
                <w:szCs w:val="15"/>
              </w:rPr>
              <w:t>/</w:t>
            </w:r>
            <w:bookmarkEnd w:id="212"/>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13" w:name="_Toc29195"/>
            <w:r>
              <w:rPr>
                <w:sz w:val="15"/>
                <w:szCs w:val="15"/>
              </w:rPr>
              <w:t>8</w:t>
            </w:r>
            <w:bookmarkEnd w:id="213"/>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14" w:name="_Toc21423"/>
            <w:r>
              <w:rPr>
                <w:sz w:val="15"/>
                <w:szCs w:val="15"/>
              </w:rPr>
              <w:t>按照完成比例赋分</w:t>
            </w:r>
            <w:bookmarkEnd w:id="214"/>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15" w:name="_Toc2076"/>
            <w:r>
              <w:rPr>
                <w:sz w:val="15"/>
                <w:szCs w:val="15"/>
              </w:rPr>
              <w:t>工作资料</w:t>
            </w:r>
            <w:bookmarkEnd w:id="215"/>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16" w:name="_Toc699"/>
            <w:r>
              <w:rPr>
                <w:sz w:val="15"/>
                <w:szCs w:val="15"/>
              </w:rPr>
              <w:t>=100%</w:t>
            </w:r>
            <w:bookmarkEnd w:id="216"/>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17" w:name="_Toc26500"/>
            <w:r>
              <w:rPr>
                <w:sz w:val="15"/>
                <w:szCs w:val="15"/>
              </w:rPr>
              <w:t>100%</w:t>
            </w:r>
            <w:bookmarkEnd w:id="217"/>
          </w:p>
        </w:tc>
        <w:tc>
          <w:tcPr>
            <w:tcW w:w="2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18" w:name="_Toc10921"/>
            <w:r>
              <w:rPr>
                <w:sz w:val="15"/>
                <w:szCs w:val="15"/>
              </w:rPr>
              <w:t>8</w:t>
            </w:r>
            <w:bookmarkEnd w:id="218"/>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r>
      <w:tr w:rsidR="00B00962">
        <w:trPr>
          <w:trHeight w:val="600"/>
        </w:trPr>
        <w:tc>
          <w:tcPr>
            <w:tcW w:w="294"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19" w:name="_Toc27945"/>
            <w:r>
              <w:rPr>
                <w:sz w:val="15"/>
                <w:szCs w:val="15"/>
              </w:rPr>
              <w:t>时效指标</w:t>
            </w:r>
            <w:bookmarkEnd w:id="219"/>
          </w:p>
        </w:tc>
        <w:tc>
          <w:tcPr>
            <w:tcW w:w="80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20" w:name="_Toc9486"/>
            <w:r>
              <w:rPr>
                <w:sz w:val="15"/>
                <w:szCs w:val="15"/>
              </w:rPr>
              <w:t>发放保管费及时率</w:t>
            </w:r>
            <w:bookmarkEnd w:id="220"/>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21" w:name="_Toc21927"/>
            <w:r>
              <w:rPr>
                <w:sz w:val="15"/>
                <w:szCs w:val="15"/>
              </w:rPr>
              <w:t>=100%</w:t>
            </w:r>
            <w:bookmarkEnd w:id="221"/>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22" w:name="_Toc30645"/>
            <w:r>
              <w:rPr>
                <w:sz w:val="15"/>
                <w:szCs w:val="15"/>
              </w:rPr>
              <w:t>计划标准</w:t>
            </w:r>
            <w:bookmarkEnd w:id="222"/>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23" w:name="_Toc32750"/>
            <w:r>
              <w:rPr>
                <w:sz w:val="15"/>
                <w:szCs w:val="15"/>
              </w:rPr>
              <w:t>/</w:t>
            </w:r>
            <w:bookmarkEnd w:id="223"/>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24" w:name="_Toc15945"/>
            <w:r>
              <w:rPr>
                <w:sz w:val="15"/>
                <w:szCs w:val="15"/>
              </w:rPr>
              <w:t>8</w:t>
            </w:r>
            <w:bookmarkEnd w:id="224"/>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25" w:name="_Toc22417"/>
            <w:r>
              <w:rPr>
                <w:sz w:val="15"/>
                <w:szCs w:val="15"/>
              </w:rPr>
              <w:t>按照完成比例赋分</w:t>
            </w:r>
            <w:bookmarkEnd w:id="225"/>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26" w:name="_Toc16990"/>
            <w:r>
              <w:rPr>
                <w:sz w:val="15"/>
                <w:szCs w:val="15"/>
              </w:rPr>
              <w:t>工作资料</w:t>
            </w:r>
            <w:bookmarkEnd w:id="226"/>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27" w:name="_Toc763"/>
            <w:r>
              <w:rPr>
                <w:sz w:val="15"/>
                <w:szCs w:val="15"/>
              </w:rPr>
              <w:t>=100%</w:t>
            </w:r>
            <w:bookmarkEnd w:id="227"/>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28" w:name="_Toc3915"/>
            <w:r>
              <w:rPr>
                <w:sz w:val="15"/>
                <w:szCs w:val="15"/>
              </w:rPr>
              <w:t>100%</w:t>
            </w:r>
            <w:bookmarkEnd w:id="228"/>
          </w:p>
        </w:tc>
        <w:tc>
          <w:tcPr>
            <w:tcW w:w="2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29" w:name="_Toc19537"/>
            <w:r>
              <w:rPr>
                <w:sz w:val="15"/>
                <w:szCs w:val="15"/>
              </w:rPr>
              <w:t>8</w:t>
            </w:r>
            <w:bookmarkEnd w:id="229"/>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r>
      <w:tr w:rsidR="00B00962">
        <w:trPr>
          <w:trHeight w:val="600"/>
        </w:trPr>
        <w:tc>
          <w:tcPr>
            <w:tcW w:w="294"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30" w:name="_Toc18955"/>
            <w:r>
              <w:rPr>
                <w:sz w:val="15"/>
                <w:szCs w:val="15"/>
              </w:rPr>
              <w:t>成本指标</w:t>
            </w:r>
            <w:bookmarkEnd w:id="230"/>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31" w:name="_Toc25196"/>
            <w:r>
              <w:rPr>
                <w:sz w:val="15"/>
                <w:szCs w:val="15"/>
              </w:rPr>
              <w:t>经济成本指标</w:t>
            </w:r>
            <w:bookmarkEnd w:id="231"/>
          </w:p>
        </w:tc>
        <w:tc>
          <w:tcPr>
            <w:tcW w:w="80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32" w:name="_Toc5325"/>
            <w:r>
              <w:rPr>
                <w:sz w:val="15"/>
                <w:szCs w:val="15"/>
              </w:rPr>
              <w:t>储备粮保管费资金标准</w:t>
            </w:r>
            <w:bookmarkEnd w:id="232"/>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33" w:name="_Toc14988"/>
            <w:r>
              <w:rPr>
                <w:sz w:val="15"/>
                <w:szCs w:val="15"/>
              </w:rPr>
              <w:t>=0.1</w:t>
            </w:r>
            <w:r>
              <w:rPr>
                <w:sz w:val="15"/>
                <w:szCs w:val="15"/>
              </w:rPr>
              <w:t>元</w:t>
            </w:r>
            <w:r>
              <w:rPr>
                <w:sz w:val="15"/>
                <w:szCs w:val="15"/>
              </w:rPr>
              <w:t>/</w:t>
            </w:r>
            <w:r>
              <w:rPr>
                <w:sz w:val="15"/>
                <w:szCs w:val="15"/>
              </w:rPr>
              <w:t>公斤</w:t>
            </w:r>
            <w:bookmarkEnd w:id="233"/>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34" w:name="_Toc17501"/>
            <w:r>
              <w:rPr>
                <w:sz w:val="15"/>
                <w:szCs w:val="15"/>
              </w:rPr>
              <w:t>计划标准</w:t>
            </w:r>
            <w:bookmarkEnd w:id="234"/>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35" w:name="_Toc24752"/>
            <w:r>
              <w:rPr>
                <w:sz w:val="15"/>
                <w:szCs w:val="15"/>
              </w:rPr>
              <w:t>/</w:t>
            </w:r>
            <w:bookmarkEnd w:id="235"/>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36" w:name="_Toc7571"/>
            <w:r>
              <w:rPr>
                <w:sz w:val="15"/>
                <w:szCs w:val="15"/>
              </w:rPr>
              <w:t>20</w:t>
            </w:r>
            <w:bookmarkEnd w:id="236"/>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37" w:name="_Toc13250"/>
            <w:r>
              <w:rPr>
                <w:sz w:val="15"/>
                <w:szCs w:val="15"/>
              </w:rPr>
              <w:t>按照完成比例赋分</w:t>
            </w:r>
            <w:bookmarkEnd w:id="237"/>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38" w:name="_Toc17250"/>
            <w:r>
              <w:rPr>
                <w:sz w:val="15"/>
                <w:szCs w:val="15"/>
              </w:rPr>
              <w:t>原始凭证</w:t>
            </w:r>
            <w:bookmarkEnd w:id="238"/>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39" w:name="_Toc13291"/>
            <w:r>
              <w:rPr>
                <w:sz w:val="15"/>
                <w:szCs w:val="15"/>
              </w:rPr>
              <w:t>=0.1</w:t>
            </w:r>
            <w:r>
              <w:rPr>
                <w:sz w:val="15"/>
                <w:szCs w:val="15"/>
              </w:rPr>
              <w:t>元</w:t>
            </w:r>
            <w:r>
              <w:rPr>
                <w:sz w:val="15"/>
                <w:szCs w:val="15"/>
              </w:rPr>
              <w:t>/</w:t>
            </w:r>
            <w:r>
              <w:rPr>
                <w:sz w:val="15"/>
                <w:szCs w:val="15"/>
              </w:rPr>
              <w:t>公斤</w:t>
            </w:r>
            <w:bookmarkEnd w:id="239"/>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40" w:name="_Toc579"/>
            <w:r>
              <w:rPr>
                <w:sz w:val="15"/>
                <w:szCs w:val="15"/>
              </w:rPr>
              <w:t>100%</w:t>
            </w:r>
            <w:bookmarkEnd w:id="240"/>
          </w:p>
        </w:tc>
        <w:tc>
          <w:tcPr>
            <w:tcW w:w="2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41" w:name="_Toc31954"/>
            <w:r>
              <w:rPr>
                <w:sz w:val="15"/>
                <w:szCs w:val="15"/>
              </w:rPr>
              <w:t>20</w:t>
            </w:r>
            <w:bookmarkEnd w:id="241"/>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r>
      <w:tr w:rsidR="00B00962">
        <w:trPr>
          <w:trHeight w:val="600"/>
        </w:trPr>
        <w:tc>
          <w:tcPr>
            <w:tcW w:w="294"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42" w:name="_Toc19468"/>
            <w:r>
              <w:rPr>
                <w:sz w:val="15"/>
                <w:szCs w:val="15"/>
              </w:rPr>
              <w:t>效益指标</w:t>
            </w:r>
            <w:bookmarkEnd w:id="242"/>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43" w:name="_Toc4760"/>
            <w:r>
              <w:rPr>
                <w:sz w:val="15"/>
                <w:szCs w:val="15"/>
              </w:rPr>
              <w:t>社会效益指标</w:t>
            </w:r>
            <w:bookmarkEnd w:id="243"/>
          </w:p>
        </w:tc>
        <w:tc>
          <w:tcPr>
            <w:tcW w:w="80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44" w:name="_Toc3959"/>
            <w:r>
              <w:rPr>
                <w:sz w:val="15"/>
                <w:szCs w:val="15"/>
              </w:rPr>
              <w:t>保障粮食安全</w:t>
            </w:r>
            <w:bookmarkEnd w:id="244"/>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45" w:name="_Toc8129"/>
            <w:r>
              <w:rPr>
                <w:sz w:val="15"/>
                <w:szCs w:val="15"/>
              </w:rPr>
              <w:t>成效明显</w:t>
            </w:r>
            <w:bookmarkEnd w:id="245"/>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46" w:name="_Toc12514"/>
            <w:r>
              <w:rPr>
                <w:sz w:val="15"/>
                <w:szCs w:val="15"/>
              </w:rPr>
              <w:t>计划标准</w:t>
            </w:r>
            <w:bookmarkEnd w:id="246"/>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47" w:name="_Toc29555"/>
            <w:r>
              <w:rPr>
                <w:sz w:val="15"/>
                <w:szCs w:val="15"/>
              </w:rPr>
              <w:t>/</w:t>
            </w:r>
            <w:bookmarkEnd w:id="247"/>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48" w:name="_Toc22033"/>
            <w:r>
              <w:rPr>
                <w:sz w:val="15"/>
                <w:szCs w:val="15"/>
              </w:rPr>
              <w:t>20</w:t>
            </w:r>
            <w:bookmarkEnd w:id="248"/>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49" w:name="_Toc19127"/>
            <w:r>
              <w:rPr>
                <w:sz w:val="15"/>
                <w:szCs w:val="15"/>
              </w:rPr>
              <w:t>按评判等级赋分</w:t>
            </w:r>
            <w:bookmarkEnd w:id="249"/>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50" w:name="_Toc1270"/>
            <w:r>
              <w:rPr>
                <w:sz w:val="15"/>
                <w:szCs w:val="15"/>
              </w:rPr>
              <w:t>工作资料</w:t>
            </w:r>
            <w:bookmarkEnd w:id="250"/>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51" w:name="_Toc1174"/>
            <w:r>
              <w:rPr>
                <w:sz w:val="15"/>
                <w:szCs w:val="15"/>
              </w:rPr>
              <w:t>达成目标</w:t>
            </w:r>
            <w:bookmarkEnd w:id="251"/>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52" w:name="_Toc21967"/>
            <w:r>
              <w:rPr>
                <w:sz w:val="15"/>
                <w:szCs w:val="15"/>
              </w:rPr>
              <w:t>100%</w:t>
            </w:r>
            <w:bookmarkEnd w:id="252"/>
          </w:p>
        </w:tc>
        <w:tc>
          <w:tcPr>
            <w:tcW w:w="2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53" w:name="_Toc8266"/>
            <w:r>
              <w:rPr>
                <w:sz w:val="15"/>
                <w:szCs w:val="15"/>
              </w:rPr>
              <w:t>20</w:t>
            </w:r>
            <w:bookmarkEnd w:id="253"/>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r>
      <w:tr w:rsidR="00B00962">
        <w:trPr>
          <w:trHeight w:val="600"/>
        </w:trPr>
        <w:tc>
          <w:tcPr>
            <w:tcW w:w="294"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54" w:name="_Toc15127"/>
            <w:r>
              <w:rPr>
                <w:sz w:val="15"/>
                <w:szCs w:val="15"/>
              </w:rPr>
              <w:t>满意度指标</w:t>
            </w:r>
            <w:bookmarkEnd w:id="254"/>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55" w:name="_Toc7650"/>
            <w:r>
              <w:rPr>
                <w:sz w:val="15"/>
                <w:szCs w:val="15"/>
              </w:rPr>
              <w:t>满意度指标</w:t>
            </w:r>
            <w:bookmarkEnd w:id="255"/>
          </w:p>
        </w:tc>
        <w:tc>
          <w:tcPr>
            <w:tcW w:w="80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56" w:name="_Toc13855"/>
            <w:r>
              <w:rPr>
                <w:sz w:val="15"/>
                <w:szCs w:val="15"/>
              </w:rPr>
              <w:t>承储企业满意度</w:t>
            </w:r>
            <w:bookmarkEnd w:id="256"/>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57" w:name="_Toc23807"/>
            <w:r>
              <w:rPr>
                <w:sz w:val="15"/>
                <w:szCs w:val="15"/>
              </w:rPr>
              <w:t>&gt;=95%</w:t>
            </w:r>
            <w:bookmarkEnd w:id="257"/>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58" w:name="_Toc17735"/>
            <w:r>
              <w:rPr>
                <w:sz w:val="15"/>
                <w:szCs w:val="15"/>
              </w:rPr>
              <w:t>计划标准</w:t>
            </w:r>
            <w:bookmarkEnd w:id="258"/>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59" w:name="_Toc12960"/>
            <w:r>
              <w:rPr>
                <w:sz w:val="15"/>
                <w:szCs w:val="15"/>
              </w:rPr>
              <w:t>/</w:t>
            </w:r>
            <w:bookmarkEnd w:id="259"/>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60" w:name="_Toc308"/>
            <w:r>
              <w:rPr>
                <w:sz w:val="15"/>
                <w:szCs w:val="15"/>
              </w:rPr>
              <w:t>10</w:t>
            </w:r>
            <w:bookmarkEnd w:id="260"/>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61" w:name="_Toc30222"/>
            <w:r>
              <w:rPr>
                <w:sz w:val="15"/>
                <w:szCs w:val="15"/>
              </w:rPr>
              <w:t>满意度赋分</w:t>
            </w:r>
            <w:bookmarkEnd w:id="261"/>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62" w:name="_Toc18544"/>
            <w:r>
              <w:rPr>
                <w:sz w:val="15"/>
                <w:szCs w:val="15"/>
              </w:rPr>
              <w:t>工作资料</w:t>
            </w:r>
            <w:bookmarkEnd w:id="262"/>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63" w:name="_Toc1640"/>
            <w:r>
              <w:rPr>
                <w:sz w:val="15"/>
                <w:szCs w:val="15"/>
              </w:rPr>
              <w:t>=95%</w:t>
            </w:r>
            <w:bookmarkEnd w:id="263"/>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jc w:val="left"/>
              <w:outlineLvl w:val="9"/>
              <w:rPr>
                <w:rFonts w:hint="default"/>
                <w:sz w:val="15"/>
                <w:szCs w:val="15"/>
              </w:rPr>
            </w:pPr>
            <w:bookmarkStart w:id="264" w:name="_Toc5465"/>
            <w:r>
              <w:rPr>
                <w:sz w:val="15"/>
                <w:szCs w:val="15"/>
              </w:rPr>
              <w:t>100%</w:t>
            </w:r>
            <w:bookmarkEnd w:id="264"/>
          </w:p>
        </w:tc>
        <w:tc>
          <w:tcPr>
            <w:tcW w:w="2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65" w:name="_Toc5478"/>
            <w:r>
              <w:rPr>
                <w:sz w:val="15"/>
                <w:szCs w:val="15"/>
              </w:rPr>
              <w:t>10</w:t>
            </w:r>
            <w:bookmarkEnd w:id="265"/>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r>
      <w:tr w:rsidR="00B00962">
        <w:trPr>
          <w:trHeight w:val="500"/>
        </w:trPr>
        <w:tc>
          <w:tcPr>
            <w:tcW w:w="1688" w:type="pct"/>
            <w:gridSpan w:val="4"/>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66" w:name="_Toc14418"/>
            <w:r>
              <w:rPr>
                <w:sz w:val="15"/>
                <w:szCs w:val="15"/>
              </w:rPr>
              <w:t>总分</w:t>
            </w:r>
            <w:bookmarkEnd w:id="266"/>
          </w:p>
        </w:tc>
        <w:tc>
          <w:tcPr>
            <w:tcW w:w="6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c>
          <w:tcPr>
            <w:tcW w:w="2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EB5CA1">
            <w:pPr>
              <w:pStyle w:val="a7"/>
              <w:keepNext w:val="0"/>
              <w:keepLines w:val="0"/>
              <w:spacing w:line="220" w:lineRule="exact"/>
              <w:outlineLvl w:val="9"/>
              <w:rPr>
                <w:rFonts w:hint="default"/>
                <w:sz w:val="15"/>
                <w:szCs w:val="15"/>
              </w:rPr>
            </w:pPr>
            <w:bookmarkStart w:id="267" w:name="_Toc10562"/>
            <w:r>
              <w:rPr>
                <w:sz w:val="15"/>
                <w:szCs w:val="15"/>
              </w:rPr>
              <w:t>100.00</w:t>
            </w:r>
            <w:r>
              <w:rPr>
                <w:sz w:val="15"/>
                <w:szCs w:val="15"/>
              </w:rPr>
              <w:t>分</w:t>
            </w:r>
            <w:bookmarkEnd w:id="267"/>
          </w:p>
        </w:tc>
        <w:tc>
          <w:tcPr>
            <w:tcW w:w="29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00962" w:rsidRDefault="00B00962">
            <w:pPr>
              <w:pStyle w:val="a7"/>
              <w:keepNext w:val="0"/>
              <w:keepLines w:val="0"/>
              <w:spacing w:line="220" w:lineRule="exact"/>
              <w:outlineLvl w:val="9"/>
              <w:rPr>
                <w:rFonts w:hint="default"/>
                <w:sz w:val="15"/>
                <w:szCs w:val="15"/>
              </w:rPr>
            </w:pPr>
          </w:p>
        </w:tc>
      </w:tr>
    </w:tbl>
    <w:p w:rsidR="00B00962" w:rsidRDefault="00B00962">
      <w:pPr>
        <w:ind w:firstLineChars="0" w:firstLine="0"/>
      </w:pPr>
    </w:p>
    <w:p w:rsidR="00B00962" w:rsidRDefault="00EB5CA1">
      <w:pPr>
        <w:ind w:firstLine="640"/>
        <w:rPr>
          <w:sz w:val="30"/>
          <w:szCs w:val="30"/>
        </w:rPr>
      </w:pPr>
      <w:bookmarkStart w:id="268" w:name="_Toc1641"/>
      <w:bookmarkStart w:id="269" w:name="_Toc5134"/>
      <w:bookmarkStart w:id="270" w:name="_Toc28099"/>
      <w:r>
        <w:br w:type="page"/>
      </w:r>
    </w:p>
    <w:p w:rsidR="00B00962" w:rsidRDefault="00EB5CA1">
      <w:pPr>
        <w:pStyle w:val="2"/>
        <w:ind w:firstLine="640"/>
      </w:pPr>
      <w:bookmarkStart w:id="271" w:name="_Toc23301"/>
      <w:bookmarkStart w:id="272" w:name="_Toc11105_WPSOffice_Level1"/>
      <w:bookmarkStart w:id="273" w:name="_Toc16517"/>
      <w:r>
        <w:lastRenderedPageBreak/>
        <w:t>附件</w:t>
      </w:r>
      <w:r>
        <w:rPr>
          <w:rFonts w:hint="eastAsia"/>
        </w:rPr>
        <w:t>2</w:t>
      </w:r>
      <w:r>
        <w:t>：项目支出绩效评价指标体系及评分</w:t>
      </w:r>
      <w:bookmarkEnd w:id="268"/>
      <w:bookmarkEnd w:id="269"/>
      <w:bookmarkEnd w:id="270"/>
      <w:bookmarkEnd w:id="271"/>
      <w:bookmarkEnd w:id="272"/>
      <w:bookmarkEnd w:id="273"/>
    </w:p>
    <w:p w:rsidR="00B00962" w:rsidRDefault="00EB5CA1">
      <w:pPr>
        <w:pStyle w:val="a6"/>
        <w:rPr>
          <w:rFonts w:hint="default"/>
        </w:rPr>
      </w:pPr>
      <w:bookmarkStart w:id="274" w:name="_Toc5873"/>
      <w:bookmarkStart w:id="275" w:name="_Toc12194_WPSOffice_Level1"/>
      <w:r>
        <w:t>项目支出绩效评价指标体系及评分</w:t>
      </w:r>
      <w:bookmarkEnd w:id="274"/>
      <w:bookmarkEnd w:id="275"/>
    </w:p>
    <w:tbl>
      <w:tblPr>
        <w:tblpPr w:leftFromText="180" w:rightFromText="180" w:vertAnchor="text" w:horzAnchor="page" w:tblpX="1639" w:tblpY="180"/>
        <w:tblOverlap w:val="never"/>
        <w:tblW w:w="5018" w:type="pct"/>
        <w:tblLook w:val="0600" w:firstRow="0" w:lastRow="0" w:firstColumn="0" w:lastColumn="0" w:noHBand="1" w:noVBand="1"/>
      </w:tblPr>
      <w:tblGrid>
        <w:gridCol w:w="741"/>
        <w:gridCol w:w="765"/>
        <w:gridCol w:w="910"/>
        <w:gridCol w:w="1673"/>
        <w:gridCol w:w="3402"/>
        <w:gridCol w:w="531"/>
        <w:gridCol w:w="531"/>
      </w:tblGrid>
      <w:tr w:rsidR="00B00962">
        <w:trPr>
          <w:trHeight w:val="460"/>
        </w:trPr>
        <w:tc>
          <w:tcPr>
            <w:tcW w:w="433" w:type="pc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276" w:name="_Toc28608"/>
            <w:r>
              <w:t>一级指标</w:t>
            </w:r>
            <w:bookmarkEnd w:id="276"/>
          </w:p>
        </w:tc>
        <w:tc>
          <w:tcPr>
            <w:tcW w:w="447" w:type="pc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277" w:name="_Toc32524"/>
            <w:r>
              <w:t>二级指标</w:t>
            </w:r>
            <w:bookmarkEnd w:id="277"/>
          </w:p>
        </w:tc>
        <w:tc>
          <w:tcPr>
            <w:tcW w:w="532" w:type="pc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278" w:name="_Toc14896"/>
            <w:r>
              <w:t>三级指标</w:t>
            </w:r>
            <w:bookmarkEnd w:id="278"/>
          </w:p>
        </w:tc>
        <w:tc>
          <w:tcPr>
            <w:tcW w:w="978" w:type="pc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279" w:name="_Toc27417"/>
            <w:r>
              <w:t>指标解释</w:t>
            </w:r>
            <w:bookmarkEnd w:id="279"/>
          </w:p>
        </w:tc>
        <w:tc>
          <w:tcPr>
            <w:tcW w:w="1987" w:type="pc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280" w:name="_Toc6412"/>
            <w:r>
              <w:t>指标说明</w:t>
            </w:r>
            <w:bookmarkEnd w:id="280"/>
          </w:p>
        </w:tc>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281" w:name="_Toc22044"/>
            <w:r>
              <w:t>分值</w:t>
            </w:r>
            <w:bookmarkEnd w:id="281"/>
          </w:p>
        </w:tc>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282" w:name="_Toc28518"/>
            <w:r>
              <w:t>得分</w:t>
            </w:r>
            <w:bookmarkEnd w:id="282"/>
          </w:p>
        </w:tc>
      </w:tr>
      <w:tr w:rsidR="00B00962">
        <w:trPr>
          <w:trHeight w:val="460"/>
        </w:trPr>
        <w:tc>
          <w:tcPr>
            <w:tcW w:w="433"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283" w:name="_Toc651"/>
            <w:r>
              <w:t>决策</w:t>
            </w:r>
            <w:bookmarkEnd w:id="283"/>
          </w:p>
        </w:tc>
        <w:tc>
          <w:tcPr>
            <w:tcW w:w="4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284" w:name="_Toc31424"/>
            <w:r>
              <w:t>项目</w:t>
            </w:r>
            <w:r>
              <w:t>实施</w:t>
            </w:r>
            <w:bookmarkEnd w:id="284"/>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285" w:name="_Toc20774"/>
            <w:r>
              <w:t>实施</w:t>
            </w:r>
            <w:r>
              <w:t>依据充分性</w:t>
            </w:r>
            <w:bookmarkEnd w:id="285"/>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286" w:name="_Toc21786"/>
            <w:r>
              <w:t>项目</w:t>
            </w:r>
            <w:r>
              <w:t>实施</w:t>
            </w:r>
            <w:r>
              <w:t>是否符合法律法规、相关政策、发展规划以及部门职责，用以反映和考核项目</w:t>
            </w:r>
            <w:r>
              <w:t>实施</w:t>
            </w:r>
            <w:r>
              <w:t>依据情况。</w:t>
            </w:r>
            <w:bookmarkEnd w:id="286"/>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287" w:name="_Toc10043"/>
            <w:r>
              <w:t>评价要点：</w:t>
            </w:r>
            <w:bookmarkEnd w:id="287"/>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288" w:name="_Toc31886"/>
            <w:r>
              <w:t>3</w:t>
            </w:r>
            <w:bookmarkEnd w:id="288"/>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289" w:name="_Toc10335"/>
            <w:r>
              <w:t>3</w:t>
            </w:r>
            <w:bookmarkEnd w:id="289"/>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290" w:name="_Toc13500"/>
            <w:r>
              <w:t>①项目</w:t>
            </w:r>
            <w:r>
              <w:t>实施</w:t>
            </w:r>
            <w:r>
              <w:t>是否符合国家法律法规、国民经济发展规划和相关政策；</w:t>
            </w:r>
            <w:bookmarkEnd w:id="290"/>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291" w:name="_Toc26280"/>
            <w:r>
              <w:t>②项目</w:t>
            </w:r>
            <w:r>
              <w:t>实施</w:t>
            </w:r>
            <w:r>
              <w:t>是否符合行业发展规划和政策要求；</w:t>
            </w:r>
            <w:bookmarkEnd w:id="291"/>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292" w:name="_Toc30858"/>
            <w:r>
              <w:t>③项目</w:t>
            </w:r>
            <w:r>
              <w:t>实施</w:t>
            </w:r>
            <w:r>
              <w:t>是否与部门职责范围相符，属于部门履职所需；</w:t>
            </w:r>
            <w:bookmarkEnd w:id="292"/>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293" w:name="_Toc1506"/>
            <w:r>
              <w:t>④项目是否属于公共财政支持范围，是否符合中央、地方事权支出责任划分原则；</w:t>
            </w:r>
            <w:bookmarkEnd w:id="293"/>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294" w:name="_Toc9998"/>
            <w:r>
              <w:t>⑤项目是否与相关部门同类项目或部门内部相关项目重复。</w:t>
            </w:r>
            <w:bookmarkEnd w:id="294"/>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295" w:name="_Toc29025"/>
            <w:r>
              <w:t>实施</w:t>
            </w:r>
            <w:r>
              <w:t>程序规范性</w:t>
            </w:r>
            <w:bookmarkEnd w:id="295"/>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296" w:name="_Toc11415"/>
            <w:r>
              <w:t>项目申请、设立过程是否符合相关要求，用以反映和考核项目</w:t>
            </w:r>
            <w:r>
              <w:t>实施</w:t>
            </w:r>
            <w:r>
              <w:t>的规范情况。</w:t>
            </w:r>
            <w:bookmarkEnd w:id="296"/>
          </w:p>
        </w:tc>
        <w:tc>
          <w:tcPr>
            <w:tcW w:w="1987" w:type="pct"/>
            <w:tcBorders>
              <w:top w:val="single" w:sz="4" w:space="0" w:color="auto"/>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297" w:name="_Toc339"/>
            <w:r>
              <w:t>评价要点：</w:t>
            </w:r>
            <w:bookmarkEnd w:id="297"/>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298" w:name="_Toc12595"/>
            <w:r>
              <w:t>3</w:t>
            </w:r>
            <w:bookmarkEnd w:id="298"/>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299" w:name="_Toc5064"/>
            <w:r>
              <w:t>3</w:t>
            </w:r>
            <w:bookmarkEnd w:id="299"/>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00" w:name="_Toc24607"/>
            <w:r>
              <w:t>①项目是否按照规定的程序申请设立；</w:t>
            </w:r>
            <w:bookmarkEnd w:id="300"/>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01" w:name="_Toc32451"/>
            <w:r>
              <w:t>②审批文件、材料是否符合相关要求；</w:t>
            </w:r>
            <w:bookmarkEnd w:id="301"/>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02" w:name="_Toc14344"/>
            <w:r>
              <w:t>绩效目标</w:t>
            </w:r>
            <w:bookmarkEnd w:id="302"/>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03" w:name="_Toc11286"/>
            <w:r>
              <w:t>绩效目标合理性</w:t>
            </w:r>
            <w:bookmarkEnd w:id="303"/>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304" w:name="_Toc4616"/>
            <w:r>
              <w:t>项目所设定的绩效目标是否依据充分，是否符合客观实际，用以反映和考核项目绩效目标与项目实施的相符情况。</w:t>
            </w:r>
            <w:bookmarkEnd w:id="304"/>
          </w:p>
        </w:tc>
        <w:tc>
          <w:tcPr>
            <w:tcW w:w="1987" w:type="pct"/>
            <w:tcBorders>
              <w:top w:val="single" w:sz="4" w:space="0" w:color="auto"/>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05" w:name="_Toc29908"/>
            <w:r>
              <w:t>评价要点：</w:t>
            </w:r>
            <w:bookmarkEnd w:id="305"/>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306" w:name="_Toc15800"/>
            <w:r>
              <w:t>4</w:t>
            </w:r>
            <w:bookmarkEnd w:id="306"/>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307" w:name="_Toc16799"/>
            <w:r>
              <w:t>4</w:t>
            </w:r>
            <w:bookmarkEnd w:id="307"/>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08" w:name="_Toc17123"/>
            <w:r>
              <w:t>①项目是否有绩效目标；</w:t>
            </w:r>
            <w:bookmarkEnd w:id="308"/>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09" w:name="_Toc24094"/>
            <w:r>
              <w:t>②项目绩效目标与实际工作内容是否具有相关性；</w:t>
            </w:r>
            <w:bookmarkEnd w:id="309"/>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10" w:name="_Toc7563"/>
            <w:r>
              <w:t>③项目预期产出效益和效果是否符合正常的业绩水平；</w:t>
            </w:r>
            <w:bookmarkEnd w:id="310"/>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11" w:name="_Toc8536"/>
            <w:r>
              <w:t>④是否与预算确定的项目投资额或资金量相匹配。</w:t>
            </w:r>
            <w:bookmarkEnd w:id="311"/>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12" w:name="_Toc12134"/>
            <w:r>
              <w:t>绩效指标明确性</w:t>
            </w:r>
            <w:bookmarkEnd w:id="312"/>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313" w:name="_Toc22993"/>
            <w:r>
              <w:t>依据绩效目标设定的绩效指标是否清晰、细化、可衡量等，用以反映和考核项目绩效目标的明细化情况。</w:t>
            </w:r>
            <w:bookmarkEnd w:id="313"/>
          </w:p>
        </w:tc>
        <w:tc>
          <w:tcPr>
            <w:tcW w:w="1987" w:type="pct"/>
            <w:tcBorders>
              <w:top w:val="single" w:sz="4" w:space="0" w:color="auto"/>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14" w:name="_Toc14847"/>
            <w:r>
              <w:t>评价要点：</w:t>
            </w:r>
            <w:bookmarkEnd w:id="314"/>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315" w:name="_Toc9110"/>
            <w:r>
              <w:t>4</w:t>
            </w:r>
            <w:bookmarkEnd w:id="315"/>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316" w:name="_Toc3868"/>
            <w:r>
              <w:t>4</w:t>
            </w:r>
            <w:bookmarkEnd w:id="316"/>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17" w:name="_Toc16283"/>
            <w:r>
              <w:t>①是否将项目绩效目标细化分解为具体的绩效指标；</w:t>
            </w:r>
            <w:bookmarkEnd w:id="317"/>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18" w:name="_Toc20762"/>
            <w:r>
              <w:t>②是否通过清晰、可衡量的指标值予以体现；</w:t>
            </w:r>
            <w:bookmarkEnd w:id="318"/>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19" w:name="_Toc32536"/>
            <w:r>
              <w:t>③是否与项目目标任务数或计划数相对应。</w:t>
            </w:r>
            <w:bookmarkEnd w:id="319"/>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20" w:name="_Toc11099"/>
            <w:r>
              <w:t>资金</w:t>
            </w:r>
            <w:r>
              <w:lastRenderedPageBreak/>
              <w:t>投入</w:t>
            </w:r>
            <w:bookmarkEnd w:id="320"/>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21" w:name="_Toc10956"/>
            <w:r>
              <w:lastRenderedPageBreak/>
              <w:t>预算编</w:t>
            </w:r>
            <w:r>
              <w:lastRenderedPageBreak/>
              <w:t>制科学性</w:t>
            </w:r>
            <w:bookmarkEnd w:id="321"/>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322" w:name="_Toc27390"/>
            <w:r>
              <w:lastRenderedPageBreak/>
              <w:t>项目预算编制</w:t>
            </w:r>
            <w:r>
              <w:lastRenderedPageBreak/>
              <w:t>是否经过科学论证、有明确标准，资金额度与年度目标是否相适应，用以反映和考核项目预算编制的科学性、合理性情况。</w:t>
            </w:r>
            <w:bookmarkEnd w:id="322"/>
          </w:p>
        </w:tc>
        <w:tc>
          <w:tcPr>
            <w:tcW w:w="1987" w:type="pct"/>
            <w:tcBorders>
              <w:top w:val="single" w:sz="4" w:space="0" w:color="auto"/>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23" w:name="_Toc19784"/>
            <w:r>
              <w:lastRenderedPageBreak/>
              <w:t>评价要点：</w:t>
            </w:r>
            <w:bookmarkEnd w:id="323"/>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324" w:name="_Toc25207"/>
            <w:r>
              <w:t>4</w:t>
            </w:r>
            <w:bookmarkEnd w:id="324"/>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325" w:name="_Toc16568"/>
            <w:r>
              <w:t>4</w:t>
            </w:r>
            <w:bookmarkEnd w:id="325"/>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26" w:name="_Toc5822"/>
            <w:r>
              <w:t>①预算编制是否经过科学论证；</w:t>
            </w:r>
            <w:bookmarkEnd w:id="326"/>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27" w:name="_Toc9150"/>
            <w:r>
              <w:t>②预算内容与项目内容是否匹配；</w:t>
            </w:r>
            <w:bookmarkEnd w:id="327"/>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28" w:name="_Toc27445"/>
            <w:r>
              <w:t>③预算额度测算依据是否充分，是否按照标准编制；</w:t>
            </w:r>
            <w:bookmarkEnd w:id="328"/>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29" w:name="_Toc13916"/>
            <w:r>
              <w:t>④预算确定的项目投资额或资金量是否与工作任务相匹配。</w:t>
            </w:r>
            <w:bookmarkEnd w:id="329"/>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30" w:name="_Toc26992"/>
            <w:r>
              <w:t>资金分配合理性</w:t>
            </w:r>
            <w:bookmarkEnd w:id="330"/>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331" w:name="_Toc26374"/>
            <w:r>
              <w:t>项目预算资金分配是否有测算依据，与补助单位或地方实际是否相适应，用以反映和考核项目预算资金分配的科学性、合理性情况。</w:t>
            </w:r>
            <w:bookmarkEnd w:id="331"/>
          </w:p>
        </w:tc>
        <w:tc>
          <w:tcPr>
            <w:tcW w:w="1987" w:type="pct"/>
            <w:tcBorders>
              <w:top w:val="single" w:sz="4" w:space="0" w:color="auto"/>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32" w:name="_Toc27778"/>
            <w:r>
              <w:t>评价要点：</w:t>
            </w:r>
            <w:bookmarkEnd w:id="332"/>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333" w:name="_Toc22853"/>
            <w:r>
              <w:t>4</w:t>
            </w:r>
            <w:bookmarkEnd w:id="333"/>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334" w:name="_Toc29572"/>
            <w:r>
              <w:t>4</w:t>
            </w:r>
            <w:bookmarkEnd w:id="334"/>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35" w:name="_Toc15011"/>
            <w:r>
              <w:t>①预算资金分配依据是否充分；</w:t>
            </w:r>
            <w:bookmarkEnd w:id="335"/>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36" w:name="_Toc15717"/>
            <w:r>
              <w:t>②资金分配额度是否合理，与</w:t>
            </w:r>
            <w:r>
              <w:t>补助</w:t>
            </w:r>
            <w:r>
              <w:t>项目单位或地方实际是否相适应。</w:t>
            </w:r>
            <w:bookmarkEnd w:id="336"/>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37" w:name="_Toc8110"/>
            <w:r>
              <w:t>过程</w:t>
            </w:r>
            <w:bookmarkEnd w:id="337"/>
          </w:p>
        </w:tc>
        <w:tc>
          <w:tcPr>
            <w:tcW w:w="4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38" w:name="_Toc8276"/>
            <w:r>
              <w:t>资金管理</w:t>
            </w:r>
            <w:bookmarkEnd w:id="338"/>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39" w:name="_Toc12883"/>
            <w:r>
              <w:t>资金到位率</w:t>
            </w:r>
            <w:bookmarkEnd w:id="339"/>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340" w:name="_Toc24883"/>
            <w:r>
              <w:t>实际到位资金与预算资金的比率，用以反映和考核资金落实情况对项目实施的总体保障程度。</w:t>
            </w:r>
            <w:bookmarkEnd w:id="340"/>
          </w:p>
        </w:tc>
        <w:tc>
          <w:tcPr>
            <w:tcW w:w="1987" w:type="pct"/>
            <w:tcBorders>
              <w:top w:val="single" w:sz="4" w:space="0" w:color="auto"/>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41" w:name="_Toc1001"/>
            <w:r>
              <w:t>资金到位率</w:t>
            </w:r>
            <w:r>
              <w:t>=</w:t>
            </w:r>
            <w:r>
              <w:t>（实际到位资金</w:t>
            </w:r>
            <w:r>
              <w:t>/</w:t>
            </w:r>
            <w:r>
              <w:t>预算资金）×</w:t>
            </w:r>
            <w:r>
              <w:t>100%</w:t>
            </w:r>
            <w:r>
              <w:t>。</w:t>
            </w:r>
            <w:bookmarkEnd w:id="341"/>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342" w:name="_Toc13307"/>
            <w:r>
              <w:t>4</w:t>
            </w:r>
            <w:bookmarkEnd w:id="342"/>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343" w:name="_Toc10389"/>
            <w:r>
              <w:t>4</w:t>
            </w:r>
            <w:bookmarkEnd w:id="343"/>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44" w:name="_Toc5122"/>
            <w:r>
              <w:t>实际到位资金：一定时期（本年度或项目期）内落实到具体项目的资金。</w:t>
            </w:r>
            <w:bookmarkEnd w:id="344"/>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45" w:name="_Toc12032"/>
            <w:r>
              <w:t>预算资金：一定时期（本年度或项目期）内预算安排到具体项目的资金。</w:t>
            </w:r>
            <w:bookmarkEnd w:id="345"/>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46" w:name="_Toc23403"/>
            <w:r>
              <w:t>预算执行率</w:t>
            </w:r>
            <w:bookmarkEnd w:id="346"/>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347" w:name="_Toc24169"/>
            <w:r>
              <w:t>项目预算资金是否按照计划执行，用以反映或考核项目预算执行情况。</w:t>
            </w:r>
            <w:bookmarkEnd w:id="347"/>
          </w:p>
        </w:tc>
        <w:tc>
          <w:tcPr>
            <w:tcW w:w="1987" w:type="pct"/>
            <w:tcBorders>
              <w:top w:val="single" w:sz="4" w:space="0" w:color="auto"/>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48" w:name="_Toc31583"/>
            <w:r>
              <w:t>预算执行率</w:t>
            </w:r>
            <w:r>
              <w:t>=</w:t>
            </w:r>
            <w:r>
              <w:t>（实际支出资金</w:t>
            </w:r>
            <w:r>
              <w:t>/</w:t>
            </w:r>
            <w:r>
              <w:t>实际到位资金）×</w:t>
            </w:r>
            <w:r>
              <w:t>100%</w:t>
            </w:r>
            <w:r>
              <w:t>。</w:t>
            </w:r>
            <w:bookmarkEnd w:id="348"/>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349" w:name="_Toc13979"/>
            <w:r>
              <w:t>4</w:t>
            </w:r>
            <w:bookmarkEnd w:id="349"/>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350" w:name="_Toc698"/>
            <w:r>
              <w:t>4</w:t>
            </w:r>
            <w:bookmarkEnd w:id="350"/>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51" w:name="_Toc18519"/>
            <w:r>
              <w:t>实际支出资金：一定时期（本年度或项目期）内项目实际拨付的资金。</w:t>
            </w:r>
            <w:bookmarkEnd w:id="351"/>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52" w:name="_Toc20292"/>
            <w:r>
              <w:t>资金使用合规性</w:t>
            </w:r>
            <w:bookmarkEnd w:id="352"/>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353" w:name="_Toc29220"/>
            <w:r>
              <w:t>项目资金使用是否符合相关的财务管理制度规定，用以反映和考核项目资金的规范运行情况。</w:t>
            </w:r>
            <w:bookmarkEnd w:id="353"/>
          </w:p>
        </w:tc>
        <w:tc>
          <w:tcPr>
            <w:tcW w:w="1987" w:type="pct"/>
            <w:tcBorders>
              <w:top w:val="single" w:sz="4" w:space="0" w:color="auto"/>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54" w:name="_Toc26045"/>
            <w:r>
              <w:t>评价要点：</w:t>
            </w:r>
            <w:bookmarkEnd w:id="354"/>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355" w:name="_Toc11442"/>
            <w:r>
              <w:t>4</w:t>
            </w:r>
            <w:bookmarkEnd w:id="355"/>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356" w:name="_Toc3908"/>
            <w:r>
              <w:t>4</w:t>
            </w:r>
            <w:bookmarkEnd w:id="356"/>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57" w:name="_Toc11050"/>
            <w:r>
              <w:t>①是否符合国家财经法规和财务管理制度以及有关专项资金管理办法的规定；</w:t>
            </w:r>
            <w:bookmarkEnd w:id="357"/>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58" w:name="_Toc3800"/>
            <w:r>
              <w:t>②资金的拨付是否有完整的审批程序和手续；</w:t>
            </w:r>
            <w:bookmarkEnd w:id="358"/>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59" w:name="_Toc30494"/>
            <w:r>
              <w:t>③是否符合项目预算批复或合同规定的用途；</w:t>
            </w:r>
            <w:bookmarkEnd w:id="359"/>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60" w:name="_Toc6153"/>
            <w:r>
              <w:t>④是否存在截留、挤占、挪用、虚列支出等情况。</w:t>
            </w:r>
            <w:bookmarkEnd w:id="360"/>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61" w:name="_Toc11523"/>
            <w:r>
              <w:t>组织</w:t>
            </w:r>
            <w:r>
              <w:lastRenderedPageBreak/>
              <w:t>实施</w:t>
            </w:r>
            <w:bookmarkEnd w:id="361"/>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62" w:name="_Toc14356"/>
            <w:r>
              <w:lastRenderedPageBreak/>
              <w:t>管理制</w:t>
            </w:r>
            <w:r>
              <w:lastRenderedPageBreak/>
              <w:t>度健全性</w:t>
            </w:r>
            <w:bookmarkEnd w:id="362"/>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363" w:name="_Toc25936"/>
            <w:r>
              <w:lastRenderedPageBreak/>
              <w:t>项目实施单位</w:t>
            </w:r>
            <w:r>
              <w:lastRenderedPageBreak/>
              <w:t>的财务和业务管理制度是否健全，用以反映和考核财务和业务管理制度对项目顺利实施的保障情况。</w:t>
            </w:r>
            <w:bookmarkEnd w:id="363"/>
          </w:p>
        </w:tc>
        <w:tc>
          <w:tcPr>
            <w:tcW w:w="1987" w:type="pct"/>
            <w:tcBorders>
              <w:top w:val="single" w:sz="4" w:space="0" w:color="auto"/>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64" w:name="_Toc11520"/>
            <w:r>
              <w:lastRenderedPageBreak/>
              <w:t>评价要点：</w:t>
            </w:r>
            <w:bookmarkEnd w:id="364"/>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365" w:name="_Toc30646"/>
            <w:r>
              <w:t>3</w:t>
            </w:r>
            <w:bookmarkEnd w:id="365"/>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366" w:name="_Toc17010"/>
            <w:r>
              <w:t>3</w:t>
            </w:r>
            <w:bookmarkEnd w:id="366"/>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67" w:name="_Toc28949"/>
            <w:r>
              <w:t>①是否已制定或具有相应的财务和业务管理制度；</w:t>
            </w:r>
            <w:bookmarkEnd w:id="367"/>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68" w:name="_Toc19027"/>
            <w:r>
              <w:t>②财务和业务管理制度是否合法、合规、完整。</w:t>
            </w:r>
            <w:bookmarkEnd w:id="368"/>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69" w:name="_Toc6680"/>
            <w:r>
              <w:t>制度执行有效性</w:t>
            </w:r>
            <w:bookmarkEnd w:id="369"/>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370" w:name="_Toc14208"/>
            <w:r>
              <w:t>项目实施是否符合相关管理规定，用以反映和考核相关管理制度的有效执行情况。</w:t>
            </w:r>
            <w:bookmarkEnd w:id="370"/>
          </w:p>
        </w:tc>
        <w:tc>
          <w:tcPr>
            <w:tcW w:w="1987" w:type="pct"/>
            <w:tcBorders>
              <w:top w:val="single" w:sz="4" w:space="0" w:color="auto"/>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71" w:name="_Toc7062"/>
            <w:r>
              <w:t>评价要点：</w:t>
            </w:r>
            <w:bookmarkEnd w:id="371"/>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372" w:name="_Toc21272"/>
            <w:r>
              <w:t>3</w:t>
            </w:r>
            <w:bookmarkEnd w:id="372"/>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373" w:name="_Toc30516"/>
            <w:r>
              <w:t>3</w:t>
            </w:r>
            <w:bookmarkEnd w:id="373"/>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74" w:name="_Toc2345"/>
            <w:r>
              <w:t>①是否遵守相关法律法规和相关管理规定；</w:t>
            </w:r>
            <w:bookmarkEnd w:id="374"/>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75" w:name="_Toc32218"/>
            <w:r>
              <w:t>②项目调整及支出调整手续是否完备；</w:t>
            </w:r>
            <w:bookmarkEnd w:id="375"/>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val="restart"/>
            <w:tcBorders>
              <w:top w:val="single" w:sz="4" w:space="0" w:color="auto"/>
              <w:left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76" w:name="_Toc28616"/>
            <w:r>
              <w:t>产出</w:t>
            </w:r>
            <w:bookmarkEnd w:id="376"/>
          </w:p>
        </w:tc>
        <w:tc>
          <w:tcPr>
            <w:tcW w:w="4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77" w:name="_Toc31472"/>
            <w:r>
              <w:t>产出数量</w:t>
            </w:r>
            <w:bookmarkEnd w:id="377"/>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78" w:name="_Toc977"/>
            <w:r>
              <w:t>实际完成率</w:t>
            </w:r>
            <w:bookmarkEnd w:id="378"/>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379" w:name="_Toc17036"/>
            <w:r>
              <w:t>项目实施的实际产出数与计划产出数的比率，用以反映和考核项目产出数量目标的实现程度。</w:t>
            </w:r>
            <w:bookmarkEnd w:id="379"/>
          </w:p>
        </w:tc>
        <w:tc>
          <w:tcPr>
            <w:tcW w:w="1987" w:type="pct"/>
            <w:tcBorders>
              <w:top w:val="single" w:sz="4" w:space="0" w:color="auto"/>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80" w:name="_Toc12530"/>
            <w:r>
              <w:t>实际完成率</w:t>
            </w:r>
            <w:r>
              <w:t>=</w:t>
            </w:r>
            <w:r>
              <w:t>（实际产出数</w:t>
            </w:r>
            <w:r>
              <w:t>/</w:t>
            </w:r>
            <w:r>
              <w:t>计划产出数）×</w:t>
            </w:r>
            <w:r>
              <w:t>100%</w:t>
            </w:r>
            <w:r>
              <w:t>。</w:t>
            </w:r>
            <w:bookmarkEnd w:id="380"/>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381" w:name="_Toc494"/>
            <w:r>
              <w:t>12</w:t>
            </w:r>
            <w:bookmarkEnd w:id="381"/>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382" w:name="_Toc9890"/>
            <w:r>
              <w:t>12</w:t>
            </w:r>
            <w:bookmarkEnd w:id="382"/>
          </w:p>
        </w:tc>
      </w:tr>
      <w:tr w:rsidR="00B00962">
        <w:trPr>
          <w:trHeight w:val="460"/>
        </w:trPr>
        <w:tc>
          <w:tcPr>
            <w:tcW w:w="433" w:type="pct"/>
            <w:vMerge/>
            <w:tcBorders>
              <w:left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83" w:name="_Toc27903"/>
            <w:r>
              <w:t>实际产出数：一定时期（本年度或项目期）内项目实际产出的产品或提供的服务数量。</w:t>
            </w:r>
            <w:bookmarkEnd w:id="383"/>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left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84" w:name="_Toc18992"/>
            <w:r>
              <w:t>计划产出数：项目绩效目标确定的在一定时期（本年度或项目期）内计划产出的产品或提供的服务数量。</w:t>
            </w:r>
            <w:bookmarkEnd w:id="384"/>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780"/>
        </w:trPr>
        <w:tc>
          <w:tcPr>
            <w:tcW w:w="433" w:type="pct"/>
            <w:vMerge/>
            <w:tcBorders>
              <w:left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85" w:name="_Toc30897"/>
            <w:r>
              <w:t>产出质量</w:t>
            </w:r>
            <w:bookmarkEnd w:id="385"/>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86" w:name="_Toc22048"/>
            <w:r>
              <w:t>质量达标率</w:t>
            </w:r>
            <w:bookmarkEnd w:id="386"/>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387" w:name="_Toc4463"/>
            <w:r>
              <w:t>项目完成的质量达标产出数与实际产出数的比率，用以反映和考核项目产出质量目标的实现程度。</w:t>
            </w:r>
            <w:bookmarkEnd w:id="387"/>
          </w:p>
        </w:tc>
        <w:tc>
          <w:tcPr>
            <w:tcW w:w="1987" w:type="pct"/>
            <w:tcBorders>
              <w:top w:val="single" w:sz="4" w:space="0" w:color="auto"/>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88" w:name="_Toc31067"/>
            <w:r>
              <w:t>质量达标率</w:t>
            </w:r>
            <w:r>
              <w:t>=</w:t>
            </w:r>
            <w:r>
              <w:t>（质量达标产出数</w:t>
            </w:r>
            <w:r>
              <w:t>/</w:t>
            </w:r>
            <w:r>
              <w:t>实际产出数）×</w:t>
            </w:r>
            <w:r>
              <w:t>100%</w:t>
            </w:r>
            <w:r>
              <w:t>。</w:t>
            </w:r>
            <w:bookmarkEnd w:id="388"/>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389" w:name="_Toc30209"/>
            <w:r>
              <w:t>12</w:t>
            </w:r>
            <w:bookmarkEnd w:id="389"/>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390" w:name="_Toc7428"/>
            <w:r>
              <w:t>12</w:t>
            </w:r>
            <w:bookmarkEnd w:id="390"/>
          </w:p>
        </w:tc>
      </w:tr>
      <w:tr w:rsidR="00B00962">
        <w:trPr>
          <w:trHeight w:val="880"/>
        </w:trPr>
        <w:tc>
          <w:tcPr>
            <w:tcW w:w="433" w:type="pct"/>
            <w:vMerge/>
            <w:tcBorders>
              <w:left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91" w:name="_Toc25226"/>
            <w:r>
              <w:t>质量达标产出数：一定时期（本年度或项目期）内实际达到既定质量标准的产品或服务数量。既定质量标准是指项目实施单位设立绩效目标时依据计划标准、行业标准、历史标准或其他标准而设定的绩效指标值。</w:t>
            </w:r>
            <w:bookmarkEnd w:id="391"/>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60"/>
        </w:trPr>
        <w:tc>
          <w:tcPr>
            <w:tcW w:w="433" w:type="pct"/>
            <w:vMerge/>
            <w:tcBorders>
              <w:left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92" w:name="_Toc28155"/>
            <w:r>
              <w:t>产出时效</w:t>
            </w:r>
            <w:bookmarkEnd w:id="392"/>
          </w:p>
        </w:tc>
        <w:tc>
          <w:tcPr>
            <w:tcW w:w="53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93" w:name="_Toc21648"/>
            <w:r>
              <w:t>完成及时性</w:t>
            </w:r>
            <w:bookmarkEnd w:id="393"/>
          </w:p>
        </w:tc>
        <w:tc>
          <w:tcPr>
            <w:tcW w:w="978" w:type="pct"/>
            <w:vMerge w:val="restar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394" w:name="_Toc28487"/>
            <w:r>
              <w:t>项目实际完成时间与计划完成时间的比较，用以反映和考核项目产出时效目标的实现程度。</w:t>
            </w:r>
            <w:bookmarkEnd w:id="394"/>
          </w:p>
        </w:tc>
        <w:tc>
          <w:tcPr>
            <w:tcW w:w="1987" w:type="pct"/>
            <w:tcBorders>
              <w:top w:val="single" w:sz="4" w:space="0" w:color="auto"/>
              <w:left w:val="single" w:sz="4" w:space="0" w:color="auto"/>
              <w:bottom w:val="nil"/>
              <w:right w:val="single" w:sz="4" w:space="0" w:color="auto"/>
            </w:tcBorders>
            <w:shd w:val="clear" w:color="auto" w:fill="FFFFFF"/>
            <w:vAlign w:val="center"/>
          </w:tcPr>
          <w:p w:rsidR="00B00962" w:rsidRDefault="00EB5CA1">
            <w:pPr>
              <w:pStyle w:val="a7"/>
              <w:outlineLvl w:val="9"/>
              <w:rPr>
                <w:rFonts w:hint="default"/>
              </w:rPr>
            </w:pPr>
            <w:bookmarkStart w:id="395" w:name="_Toc14382"/>
            <w:r>
              <w:t>实际完成时间：项目实施单位完成该项目实际所耗用的时间。</w:t>
            </w:r>
            <w:bookmarkEnd w:id="395"/>
          </w:p>
        </w:tc>
        <w:tc>
          <w:tcPr>
            <w:tcW w:w="310" w:type="pct"/>
            <w:vMerge w:val="restar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396" w:name="_Toc17665"/>
            <w:r>
              <w:t>8</w:t>
            </w:r>
            <w:bookmarkEnd w:id="396"/>
          </w:p>
        </w:tc>
        <w:tc>
          <w:tcPr>
            <w:tcW w:w="310" w:type="pct"/>
            <w:vMerge w:val="restart"/>
            <w:tcBorders>
              <w:top w:val="single" w:sz="4" w:space="0" w:color="auto"/>
              <w:left w:val="single" w:sz="4" w:space="0" w:color="auto"/>
              <w:right w:val="single" w:sz="4" w:space="0" w:color="auto"/>
            </w:tcBorders>
            <w:noWrap/>
            <w:vAlign w:val="center"/>
          </w:tcPr>
          <w:p w:rsidR="00B00962" w:rsidRDefault="00EB5CA1">
            <w:pPr>
              <w:pStyle w:val="a7"/>
              <w:outlineLvl w:val="9"/>
              <w:rPr>
                <w:rFonts w:hint="default"/>
              </w:rPr>
            </w:pPr>
            <w:bookmarkStart w:id="397" w:name="_Toc4061"/>
            <w:r>
              <w:t>8</w:t>
            </w:r>
            <w:bookmarkEnd w:id="397"/>
          </w:p>
        </w:tc>
      </w:tr>
      <w:tr w:rsidR="00B00962">
        <w:trPr>
          <w:trHeight w:val="460"/>
        </w:trPr>
        <w:tc>
          <w:tcPr>
            <w:tcW w:w="433" w:type="pct"/>
            <w:vMerge/>
            <w:tcBorders>
              <w:left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978" w:type="pct"/>
            <w:vMerge/>
            <w:tcBorders>
              <w:top w:val="single" w:sz="4" w:space="0" w:color="auto"/>
              <w:left w:val="single" w:sz="4" w:space="0" w:color="auto"/>
              <w:bottom w:val="single" w:sz="4" w:space="0" w:color="auto"/>
              <w:right w:val="nil"/>
            </w:tcBorders>
            <w:shd w:val="clear" w:color="auto" w:fill="FFFFFF"/>
            <w:vAlign w:val="center"/>
          </w:tcPr>
          <w:p w:rsidR="00B00962" w:rsidRDefault="00B00962">
            <w:pPr>
              <w:pStyle w:val="a7"/>
              <w:outlineLvl w:val="9"/>
              <w:rPr>
                <w:rFonts w:hint="default"/>
              </w:rPr>
            </w:pPr>
          </w:p>
        </w:tc>
        <w:tc>
          <w:tcPr>
            <w:tcW w:w="1987" w:type="pct"/>
            <w:tcBorders>
              <w:top w:val="nil"/>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398" w:name="_Toc9085"/>
            <w:r>
              <w:t>计划完成时间：按照项目实施计划或相关规定完成该项目所需的时间。</w:t>
            </w:r>
            <w:bookmarkEnd w:id="398"/>
          </w:p>
        </w:tc>
        <w:tc>
          <w:tcPr>
            <w:tcW w:w="310" w:type="pct"/>
            <w:vMerge/>
            <w:tcBorders>
              <w:top w:val="single" w:sz="4" w:space="0" w:color="auto"/>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c>
          <w:tcPr>
            <w:tcW w:w="310" w:type="pct"/>
            <w:vMerge/>
            <w:tcBorders>
              <w:left w:val="single" w:sz="4" w:space="0" w:color="auto"/>
              <w:bottom w:val="single" w:sz="4" w:space="0" w:color="auto"/>
              <w:right w:val="single" w:sz="4" w:space="0" w:color="auto"/>
            </w:tcBorders>
            <w:noWrap/>
            <w:vAlign w:val="center"/>
          </w:tcPr>
          <w:p w:rsidR="00B00962" w:rsidRDefault="00B00962">
            <w:pPr>
              <w:pStyle w:val="a7"/>
              <w:outlineLvl w:val="9"/>
              <w:rPr>
                <w:rFonts w:hint="default"/>
              </w:rPr>
            </w:pPr>
          </w:p>
        </w:tc>
      </w:tr>
      <w:tr w:rsidR="00B00962">
        <w:trPr>
          <w:trHeight w:val="457"/>
        </w:trPr>
        <w:tc>
          <w:tcPr>
            <w:tcW w:w="433" w:type="pct"/>
            <w:vMerge/>
            <w:tcBorders>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keepNext w:val="0"/>
              <w:spacing w:line="240" w:lineRule="exact"/>
              <w:outlineLvl w:val="9"/>
              <w:rPr>
                <w:rFonts w:cs="Times New Roman" w:hint="default"/>
                <w:sz w:val="18"/>
                <w:szCs w:val="18"/>
              </w:rPr>
            </w:pPr>
            <w:bookmarkStart w:id="399" w:name="_Toc29557"/>
            <w:r>
              <w:rPr>
                <w:rFonts w:cs="Times New Roman" w:hint="default"/>
                <w:sz w:val="18"/>
                <w:szCs w:val="18"/>
              </w:rPr>
              <w:t>产出成本</w:t>
            </w:r>
            <w:bookmarkEnd w:id="399"/>
          </w:p>
        </w:tc>
        <w:tc>
          <w:tcPr>
            <w:tcW w:w="532" w:type="pc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keepNext w:val="0"/>
              <w:spacing w:line="240" w:lineRule="exact"/>
              <w:outlineLvl w:val="9"/>
              <w:rPr>
                <w:rFonts w:cs="Times New Roman" w:hint="default"/>
                <w:sz w:val="18"/>
                <w:szCs w:val="18"/>
              </w:rPr>
            </w:pPr>
            <w:bookmarkStart w:id="400" w:name="_Toc27833"/>
            <w:r>
              <w:rPr>
                <w:rFonts w:cs="Times New Roman" w:hint="default"/>
                <w:sz w:val="18"/>
                <w:szCs w:val="18"/>
              </w:rPr>
              <w:t>成本节约率</w:t>
            </w:r>
            <w:bookmarkEnd w:id="400"/>
          </w:p>
        </w:tc>
        <w:tc>
          <w:tcPr>
            <w:tcW w:w="978" w:type="pc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keepNext w:val="0"/>
              <w:spacing w:line="240" w:lineRule="exact"/>
              <w:jc w:val="both"/>
              <w:outlineLvl w:val="9"/>
              <w:rPr>
                <w:rFonts w:cs="Times New Roman" w:hint="default"/>
                <w:sz w:val="18"/>
                <w:szCs w:val="18"/>
              </w:rPr>
            </w:pPr>
            <w:bookmarkStart w:id="401" w:name="_Toc26713"/>
            <w:r>
              <w:rPr>
                <w:rFonts w:cs="Times New Roman" w:hint="default"/>
                <w:sz w:val="18"/>
                <w:szCs w:val="18"/>
              </w:rPr>
              <w:t>完成项目计划工作目标的实际节约成本与计划成本的比率，用以反映和考核项目的成本节约程度。</w:t>
            </w:r>
            <w:bookmarkEnd w:id="401"/>
          </w:p>
        </w:tc>
        <w:tc>
          <w:tcPr>
            <w:tcW w:w="1987" w:type="pc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keepNext w:val="0"/>
              <w:spacing w:line="240" w:lineRule="exact"/>
              <w:jc w:val="both"/>
              <w:outlineLvl w:val="9"/>
              <w:rPr>
                <w:rFonts w:cs="Times New Roman" w:hint="default"/>
                <w:sz w:val="18"/>
                <w:szCs w:val="18"/>
              </w:rPr>
            </w:pPr>
            <w:bookmarkStart w:id="402" w:name="_Toc5732"/>
            <w:r>
              <w:rPr>
                <w:rFonts w:cs="Times New Roman" w:hint="default"/>
                <w:sz w:val="18"/>
                <w:szCs w:val="18"/>
              </w:rPr>
              <w:t>成本节约率</w:t>
            </w:r>
            <w:r>
              <w:rPr>
                <w:rFonts w:cs="Times New Roman" w:hint="default"/>
                <w:sz w:val="18"/>
                <w:szCs w:val="18"/>
              </w:rPr>
              <w:t>=</w:t>
            </w:r>
            <w:r>
              <w:rPr>
                <w:rFonts w:cs="Times New Roman" w:hint="default"/>
                <w:sz w:val="18"/>
                <w:szCs w:val="18"/>
              </w:rPr>
              <w:t>〔（计划成本</w:t>
            </w:r>
            <w:r>
              <w:rPr>
                <w:rFonts w:cs="Times New Roman" w:hint="default"/>
                <w:sz w:val="18"/>
                <w:szCs w:val="18"/>
              </w:rPr>
              <w:t>－</w:t>
            </w:r>
            <w:r>
              <w:rPr>
                <w:rFonts w:cs="Times New Roman" w:hint="default"/>
                <w:sz w:val="18"/>
                <w:szCs w:val="18"/>
              </w:rPr>
              <w:t>实际成本）</w:t>
            </w:r>
            <w:r>
              <w:rPr>
                <w:rFonts w:cs="Times New Roman" w:hint="default"/>
                <w:sz w:val="18"/>
                <w:szCs w:val="18"/>
              </w:rPr>
              <w:t>/</w:t>
            </w:r>
            <w:r>
              <w:rPr>
                <w:rFonts w:cs="Times New Roman" w:hint="default"/>
                <w:sz w:val="18"/>
                <w:szCs w:val="18"/>
              </w:rPr>
              <w:t>计划成本〕</w:t>
            </w:r>
            <w:r>
              <w:rPr>
                <w:rFonts w:cs="Times New Roman" w:hint="default"/>
                <w:sz w:val="18"/>
                <w:szCs w:val="18"/>
              </w:rPr>
              <w:t>×100%</w:t>
            </w:r>
            <w:r>
              <w:rPr>
                <w:rFonts w:cs="Times New Roman" w:hint="default"/>
                <w:sz w:val="18"/>
                <w:szCs w:val="18"/>
              </w:rPr>
              <w:t>。</w:t>
            </w:r>
            <w:bookmarkEnd w:id="402"/>
          </w:p>
          <w:p w:rsidR="00B00962" w:rsidRDefault="00EB5CA1">
            <w:pPr>
              <w:pStyle w:val="a7"/>
              <w:keepNext w:val="0"/>
              <w:spacing w:line="240" w:lineRule="exact"/>
              <w:jc w:val="both"/>
              <w:outlineLvl w:val="9"/>
              <w:rPr>
                <w:rFonts w:cs="Times New Roman" w:hint="default"/>
                <w:sz w:val="18"/>
                <w:szCs w:val="18"/>
              </w:rPr>
            </w:pPr>
            <w:bookmarkStart w:id="403" w:name="_Toc25583"/>
            <w:r>
              <w:rPr>
                <w:rFonts w:cs="Times New Roman" w:hint="default"/>
                <w:sz w:val="18"/>
                <w:szCs w:val="18"/>
              </w:rPr>
              <w:t>实际成本：项目实施单位如期、保质、保量完成既定工作目标实际所耗费的支出。</w:t>
            </w:r>
            <w:bookmarkEnd w:id="403"/>
          </w:p>
          <w:p w:rsidR="00B00962" w:rsidRDefault="00EB5CA1">
            <w:pPr>
              <w:pStyle w:val="a7"/>
              <w:keepNext w:val="0"/>
              <w:spacing w:line="240" w:lineRule="exact"/>
              <w:jc w:val="both"/>
              <w:outlineLvl w:val="9"/>
              <w:rPr>
                <w:rFonts w:cs="Times New Roman" w:hint="default"/>
                <w:sz w:val="18"/>
                <w:szCs w:val="18"/>
              </w:rPr>
            </w:pPr>
            <w:bookmarkStart w:id="404" w:name="_Toc1274"/>
            <w:r>
              <w:rPr>
                <w:rFonts w:cs="Times New Roman" w:hint="default"/>
                <w:sz w:val="18"/>
                <w:szCs w:val="18"/>
              </w:rPr>
              <w:t>计划成本：项目实施单位为完成工作目标计划安排的支出，一般以项目预算为参考。</w:t>
            </w:r>
            <w:bookmarkEnd w:id="404"/>
          </w:p>
        </w:tc>
        <w:tc>
          <w:tcPr>
            <w:tcW w:w="310" w:type="pc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cs="Times New Roman" w:hint="default"/>
                <w:sz w:val="18"/>
                <w:szCs w:val="18"/>
              </w:rPr>
            </w:pPr>
            <w:bookmarkStart w:id="405" w:name="_Toc4809"/>
            <w:r>
              <w:t>8</w:t>
            </w:r>
            <w:bookmarkEnd w:id="405"/>
          </w:p>
        </w:tc>
        <w:tc>
          <w:tcPr>
            <w:tcW w:w="310" w:type="pc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406" w:name="_Toc11453"/>
            <w:r>
              <w:t>8</w:t>
            </w:r>
            <w:bookmarkEnd w:id="406"/>
          </w:p>
        </w:tc>
      </w:tr>
      <w:tr w:rsidR="00B00962">
        <w:trPr>
          <w:trHeight w:val="780"/>
        </w:trPr>
        <w:tc>
          <w:tcPr>
            <w:tcW w:w="433"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407" w:name="_Toc4654"/>
            <w:r>
              <w:lastRenderedPageBreak/>
              <w:t>效益</w:t>
            </w:r>
            <w:bookmarkEnd w:id="407"/>
          </w:p>
        </w:tc>
        <w:tc>
          <w:tcPr>
            <w:tcW w:w="4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408" w:name="_Toc4000"/>
            <w:r>
              <w:t>项目效益</w:t>
            </w:r>
            <w:bookmarkEnd w:id="408"/>
          </w:p>
        </w:tc>
        <w:tc>
          <w:tcPr>
            <w:tcW w:w="532" w:type="pc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409" w:name="_Toc30443"/>
            <w:r>
              <w:t>实施效益</w:t>
            </w:r>
            <w:bookmarkEnd w:id="409"/>
          </w:p>
        </w:tc>
        <w:tc>
          <w:tcPr>
            <w:tcW w:w="978" w:type="pc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410" w:name="_Toc10074"/>
            <w:r>
              <w:t>项目实施所产生的效益。</w:t>
            </w:r>
            <w:bookmarkEnd w:id="410"/>
          </w:p>
        </w:tc>
        <w:tc>
          <w:tcPr>
            <w:tcW w:w="1987" w:type="pc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411" w:name="_Toc5000"/>
            <w:r>
              <w:t>项目实施所产生的社会效益、经济效益、生态效益、可持续影响等。可根据项目实际情况有选择地设置和细化。</w:t>
            </w:r>
            <w:bookmarkEnd w:id="411"/>
          </w:p>
        </w:tc>
        <w:tc>
          <w:tcPr>
            <w:tcW w:w="310" w:type="pc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412" w:name="_Toc1339"/>
            <w:r>
              <w:t>10</w:t>
            </w:r>
            <w:bookmarkEnd w:id="412"/>
          </w:p>
        </w:tc>
        <w:tc>
          <w:tcPr>
            <w:tcW w:w="310" w:type="pc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413" w:name="_Toc16732"/>
            <w:r>
              <w:t>10</w:t>
            </w:r>
            <w:bookmarkEnd w:id="413"/>
          </w:p>
        </w:tc>
      </w:tr>
      <w:tr w:rsidR="00B00962">
        <w:trPr>
          <w:trHeight w:val="860"/>
        </w:trPr>
        <w:tc>
          <w:tcPr>
            <w:tcW w:w="433"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B00962">
            <w:pPr>
              <w:pStyle w:val="a7"/>
              <w:outlineLvl w:val="9"/>
              <w:rPr>
                <w:rFonts w:hint="default"/>
              </w:rPr>
            </w:pPr>
          </w:p>
        </w:tc>
        <w:tc>
          <w:tcPr>
            <w:tcW w:w="532" w:type="pc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414" w:name="_Toc32121"/>
            <w:r>
              <w:t>满意度</w:t>
            </w:r>
            <w:bookmarkEnd w:id="414"/>
          </w:p>
        </w:tc>
        <w:tc>
          <w:tcPr>
            <w:tcW w:w="978" w:type="pct"/>
            <w:tcBorders>
              <w:top w:val="single" w:sz="4" w:space="0" w:color="auto"/>
              <w:left w:val="single" w:sz="4" w:space="0" w:color="auto"/>
              <w:bottom w:val="single" w:sz="4" w:space="0" w:color="auto"/>
              <w:right w:val="nil"/>
            </w:tcBorders>
            <w:shd w:val="clear" w:color="auto" w:fill="FFFFFF"/>
            <w:vAlign w:val="center"/>
          </w:tcPr>
          <w:p w:rsidR="00B00962" w:rsidRDefault="00EB5CA1">
            <w:pPr>
              <w:pStyle w:val="a7"/>
              <w:outlineLvl w:val="9"/>
              <w:rPr>
                <w:rFonts w:hint="default"/>
              </w:rPr>
            </w:pPr>
            <w:bookmarkStart w:id="415" w:name="_Toc19224"/>
            <w:r>
              <w:t>社会公众或服务对象对项目实施效果的满意程度。</w:t>
            </w:r>
            <w:bookmarkEnd w:id="415"/>
          </w:p>
        </w:tc>
        <w:tc>
          <w:tcPr>
            <w:tcW w:w="1987" w:type="pct"/>
            <w:tcBorders>
              <w:top w:val="single" w:sz="4" w:space="0" w:color="auto"/>
              <w:left w:val="single" w:sz="4" w:space="0" w:color="auto"/>
              <w:bottom w:val="single" w:sz="4" w:space="0" w:color="auto"/>
              <w:right w:val="single" w:sz="4" w:space="0" w:color="auto"/>
            </w:tcBorders>
            <w:shd w:val="clear" w:color="auto" w:fill="FFFFFF"/>
            <w:vAlign w:val="center"/>
          </w:tcPr>
          <w:p w:rsidR="00B00962" w:rsidRDefault="00EB5CA1">
            <w:pPr>
              <w:pStyle w:val="a7"/>
              <w:outlineLvl w:val="9"/>
              <w:rPr>
                <w:rFonts w:hint="default"/>
              </w:rPr>
            </w:pPr>
            <w:bookmarkStart w:id="416" w:name="_Toc8713"/>
            <w:r>
              <w:t>社会公众或服务对象是指因该项目实施而受到影响的部门（单位）、群体或个人。一般采取社会调查的方式。</w:t>
            </w:r>
            <w:bookmarkEnd w:id="416"/>
          </w:p>
        </w:tc>
        <w:tc>
          <w:tcPr>
            <w:tcW w:w="310" w:type="pc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417" w:name="_Toc19641"/>
            <w:r>
              <w:t>10</w:t>
            </w:r>
            <w:bookmarkEnd w:id="417"/>
          </w:p>
        </w:tc>
        <w:tc>
          <w:tcPr>
            <w:tcW w:w="310" w:type="pc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418" w:name="_Toc12624"/>
            <w:r>
              <w:t>10</w:t>
            </w:r>
            <w:bookmarkEnd w:id="418"/>
          </w:p>
        </w:tc>
      </w:tr>
      <w:tr w:rsidR="00B00962">
        <w:trPr>
          <w:trHeight w:val="460"/>
        </w:trPr>
        <w:tc>
          <w:tcPr>
            <w:tcW w:w="4379" w:type="pct"/>
            <w:gridSpan w:val="5"/>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419" w:name="_Toc15366"/>
            <w:r>
              <w:t>合计</w:t>
            </w:r>
            <w:bookmarkEnd w:id="419"/>
          </w:p>
        </w:tc>
        <w:tc>
          <w:tcPr>
            <w:tcW w:w="310" w:type="pc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420" w:name="_Toc32546"/>
            <w:r>
              <w:t>100</w:t>
            </w:r>
            <w:bookmarkEnd w:id="420"/>
          </w:p>
        </w:tc>
        <w:tc>
          <w:tcPr>
            <w:tcW w:w="310" w:type="pct"/>
            <w:tcBorders>
              <w:top w:val="single" w:sz="4" w:space="0" w:color="auto"/>
              <w:left w:val="single" w:sz="4" w:space="0" w:color="auto"/>
              <w:bottom w:val="single" w:sz="4" w:space="0" w:color="auto"/>
              <w:right w:val="single" w:sz="4" w:space="0" w:color="auto"/>
            </w:tcBorders>
            <w:noWrap/>
            <w:vAlign w:val="center"/>
          </w:tcPr>
          <w:p w:rsidR="00B00962" w:rsidRDefault="00EB5CA1">
            <w:pPr>
              <w:pStyle w:val="a7"/>
              <w:outlineLvl w:val="9"/>
              <w:rPr>
                <w:rFonts w:hint="default"/>
              </w:rPr>
            </w:pPr>
            <w:bookmarkStart w:id="421" w:name="_Toc9732"/>
            <w:r>
              <w:t>100</w:t>
            </w:r>
            <w:bookmarkEnd w:id="0"/>
            <w:bookmarkEnd w:id="421"/>
          </w:p>
        </w:tc>
      </w:tr>
    </w:tbl>
    <w:p w:rsidR="00B00962" w:rsidRDefault="00B00962">
      <w:pPr>
        <w:ind w:firstLine="640"/>
      </w:pPr>
    </w:p>
    <w:sectPr w:rsidR="00B009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CA1" w:rsidRDefault="00EB5CA1">
      <w:pPr>
        <w:spacing w:line="240" w:lineRule="auto"/>
        <w:ind w:firstLine="640"/>
      </w:pPr>
      <w:r>
        <w:separator/>
      </w:r>
    </w:p>
  </w:endnote>
  <w:endnote w:type="continuationSeparator" w:id="0">
    <w:p w:rsidR="00EB5CA1" w:rsidRDefault="00EB5CA1">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64C052A1-7A52-4505-B0F0-347115574A9C}"/>
    <w:embedBold r:id="rId2" w:subsetted="1" w:fontKey="{9747A8FB-AF48-4B50-A0CA-E3E68E2635EA}"/>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6B9FF031-35A0-41D8-85CF-9E606D47CC5C}"/>
  </w:font>
  <w:font w:name="黑体">
    <w:altName w:val="SimHei"/>
    <w:panose1 w:val="02010600030101010101"/>
    <w:charset w:val="86"/>
    <w:family w:val="auto"/>
    <w:pitch w:val="variable"/>
    <w:sig w:usb0="800002BF" w:usb1="38CF7CFA" w:usb2="00000016" w:usb3="00000000" w:csb0="00040001" w:csb1="00000000"/>
    <w:embedRegular r:id="rId4" w:subsetted="1" w:fontKey="{1BE95F33-2512-4E77-8843-11646D5D3538}"/>
  </w:font>
  <w:font w:name="楷体_GB2312">
    <w:altName w:val="楷体"/>
    <w:panose1 w:val="02010609030101010101"/>
    <w:charset w:val="86"/>
    <w:family w:val="modern"/>
    <w:pitch w:val="fixed"/>
    <w:sig w:usb0="00000001" w:usb1="080E0000" w:usb2="00000010" w:usb3="00000000" w:csb0="00040000" w:csb1="00000000"/>
    <w:embedBold r:id="rId5" w:subsetted="1" w:fontKey="{EE92B205-B993-4FB9-B844-6CBAF0A251A4}"/>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962" w:rsidRDefault="00EB5CA1">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00962" w:rsidRDefault="00EB5CA1">
                          <w:pPr>
                            <w:pStyle w:val="a3"/>
                            <w:ind w:firstLine="360"/>
                          </w:pPr>
                          <w:r>
                            <w:rPr>
                              <w:rFonts w:hint="eastAsia"/>
                            </w:rPr>
                            <w:fldChar w:fldCharType="begin"/>
                          </w:r>
                          <w:r>
                            <w:rPr>
                              <w:rFonts w:hint="eastAsia"/>
                            </w:rPr>
                            <w:instrText xml:space="preserve"> PAGE  \* MERGEFORMAT </w:instrText>
                          </w:r>
                          <w:r>
                            <w:rPr>
                              <w:rFonts w:hint="eastAsia"/>
                            </w:rPr>
                            <w:fldChar w:fldCharType="separate"/>
                          </w:r>
                          <w:r w:rsidR="00923719">
                            <w:rPr>
                              <w:noProof/>
                            </w:rPr>
                            <w:t>13</w:t>
                          </w:r>
                          <w:r>
                            <w:rPr>
                              <w:rFonts w:hint="eastAsi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B00962" w:rsidRDefault="00EB5CA1">
                    <w:pPr>
                      <w:pStyle w:val="a3"/>
                      <w:ind w:firstLine="360"/>
                    </w:pPr>
                    <w:r>
                      <w:rPr>
                        <w:rFonts w:hint="eastAsia"/>
                      </w:rPr>
                      <w:fldChar w:fldCharType="begin"/>
                    </w:r>
                    <w:r>
                      <w:rPr>
                        <w:rFonts w:hint="eastAsia"/>
                      </w:rPr>
                      <w:instrText xml:space="preserve"> PAGE  \* MERGEFORMAT </w:instrText>
                    </w:r>
                    <w:r>
                      <w:rPr>
                        <w:rFonts w:hint="eastAsia"/>
                      </w:rPr>
                      <w:fldChar w:fldCharType="separate"/>
                    </w:r>
                    <w:r w:rsidR="00923719">
                      <w:rPr>
                        <w:noProof/>
                      </w:rPr>
                      <w:t>13</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CA1" w:rsidRDefault="00EB5CA1">
      <w:pPr>
        <w:spacing w:line="240" w:lineRule="auto"/>
        <w:ind w:firstLine="640"/>
      </w:pPr>
      <w:r>
        <w:separator/>
      </w:r>
    </w:p>
  </w:footnote>
  <w:footnote w:type="continuationSeparator" w:id="0">
    <w:p w:rsidR="00EB5CA1" w:rsidRDefault="00EB5CA1">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D070F"/>
    <w:multiLevelType w:val="multilevel"/>
    <w:tmpl w:val="EBACE7C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nsid w:val="08140ACC"/>
    <w:multiLevelType w:val="singleLevel"/>
    <w:tmpl w:val="BFC2F65A"/>
    <w:lvl w:ilvl="0">
      <w:start w:val="2"/>
      <w:numFmt w:val="decimal"/>
      <w:lvlText w:val="%1."/>
      <w:lvlJc w:val="left"/>
      <w:pPr>
        <w:tabs>
          <w:tab w:val="left" w:pos="312"/>
        </w:tabs>
      </w:pPr>
    </w:lvl>
  </w:abstractNum>
  <w:abstractNum w:abstractNumId="2">
    <w:nsid w:val="226A0498"/>
    <w:multiLevelType w:val="multilevel"/>
    <w:tmpl w:val="CD1EAB0A"/>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B00962"/>
    <w:rsid w:val="00923719"/>
    <w:rsid w:val="00B00962"/>
    <w:rsid w:val="00EB5CA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B10E54-6DD1-4DC0-BDC2-ADF2F0ACC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paragraph" w:customStyle="1" w:styleId="WPSOffice1">
    <w:name w:val="WPSOffice手动目录 1"/>
    <w:qFormat/>
  </w:style>
  <w:style w:type="paragraph" w:customStyle="1" w:styleId="WPSOffice2">
    <w:name w:val="WPSOffice手动目录 2"/>
    <w:qFormat/>
    <w:pPr>
      <w:ind w:leftChars="200" w:left="200"/>
    </w:p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7A0FBA-E270-44ED-BE92-444DCCDF9770}">
  <ds:schemaRefs>
    <ds:schemaRef ds:uri="http://schemas.openxmlformats.org/officeDocument/2006/custom-properties"/>
    <ds:schemaRef ds:uri="http://schemas.openxmlformats.org/officeDocument/2006/docPropsVTypes"/>
  </ds:schemaRefs>
</ds:datastoreItem>
</file>

<file path=customXml/itemProps3.xml><?xml version="1.0" encoding="utf-8"?>
<ds:datastoreItem xmlns:ds="http://schemas.openxmlformats.org/officeDocument/2006/customXml" ds:itemID="{CA0D1FF8-9A04-4729-9C03-000647F92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25</Pages>
  <Words>2009</Words>
  <Characters>11455</Characters>
  <Application>Microsoft Office Word</Application>
  <DocSecurity>0</DocSecurity>
  <Lines>95</Lines>
  <Paragraphs>26</Paragraphs>
  <ScaleCrop>false</ScaleCrop>
  <Company>Microsoft</Company>
  <LinksUpToDate>false</LinksUpToDate>
  <CharactersWithSpaces>13438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61</cp:revision>
  <dcterms:created xsi:type="dcterms:W3CDTF">2020-05-25T09:48:00Z</dcterms:created>
  <dcterms:modified xsi:type="dcterms:W3CDTF">2025-09-16T04:15:00Z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