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ind w:firstLine="640"/>
        <w:rPr>
          <w:color w:val="auto"/>
          <w:highlight w:val="none"/>
        </w:rPr>
      </w:pPr>
      <w:bookmarkStart w:id="0" w:name="OLE_LINK3"/>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bidi w:val="0"/>
        <w:ind w:firstLine="1760" w:firstLineChars="400"/>
        <w:rPr>
          <w:b/>
          <w:bCs/>
          <w:color w:val="auto"/>
          <w:sz w:val="44"/>
          <w:szCs w:val="44"/>
          <w:highlight w:val="none"/>
        </w:rPr>
      </w:pPr>
      <w:r>
        <w:rPr>
          <w:b/>
          <w:bCs/>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bidi w:val="0"/>
        <w:ind w:firstLine="2880" w:firstLineChars="900"/>
        <w:rPr>
          <w:rFonts w:hint="default"/>
          <w:color w:val="auto"/>
          <w:highlight w:val="none"/>
        </w:rPr>
      </w:pPr>
      <w:r>
        <w:rPr>
          <w:color w:val="auto"/>
          <w:highlight w:val="none"/>
        </w:rPr>
        <w:t xml:space="preserve">（2024年度）</w:t>
      </w: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rFonts w:ascii="仿宋_GB2312" w:hAnsi="仿宋_GB2312" w:cs="仿宋_GB2312" w:hint="eastAsia"/>
          <w:color w:val="auto"/>
          <w:highlight w:val="none"/>
        </w:rPr>
      </w:pPr>
      <w:r>
        <w:rPr>
          <w:color w:val="auto"/>
          <w:highlight w:val="none"/>
        </w:rPr>
        <w:t xml:space="preserve">项目名称：</w:t>
      </w:r>
      <w:r>
        <w:rPr>
          <w:rFonts w:ascii="仿宋_GB2312" w:hAnsi="微软雅黑" w:cs="微软雅黑" w:hint="eastAsia"/>
          <w:color w:val="auto"/>
          <w:highlight w:val="none"/>
        </w:rPr>
        <w:t xml:space="preserve">古勒巴</w:t>
      </w:r>
      <w:r>
        <w:rPr>
          <w:rFonts w:ascii="仿宋_GB2312" w:hAnsi="___WRD_EMBED_SUB_44" w:cs="___WRD_EMBED_SUB_44" w:hint="eastAsia"/>
          <w:color w:val="auto"/>
          <w:highlight w:val="none"/>
        </w:rPr>
        <w:t xml:space="preserve">格</w:t>
      </w:r>
      <w:r>
        <w:rPr>
          <w:rFonts w:ascii="仿宋_GB2312" w:hAnsi="微软雅黑" w:cs="微软雅黑" w:hint="eastAsia"/>
          <w:color w:val="auto"/>
          <w:highlight w:val="none"/>
        </w:rPr>
        <w:t xml:space="preserve">乡奥曼库勒村扶</w:t>
      </w:r>
      <w:r>
        <w:rPr>
          <w:rFonts w:ascii="仿宋_GB2312" w:hAnsi="___WRD_EMBED_SUB_44" w:cs="___WRD_EMBED_SUB_44" w:hint="eastAsia"/>
          <w:color w:val="auto"/>
          <w:highlight w:val="none"/>
        </w:rPr>
        <w:t xml:space="preserve">持</w:t>
      </w:r>
      <w:r>
        <w:rPr>
          <w:rFonts w:ascii="仿宋_GB2312" w:hAnsi="微软雅黑" w:cs="微软雅黑" w:hint="eastAsia"/>
          <w:color w:val="auto"/>
          <w:highlight w:val="none"/>
        </w:rPr>
        <w:t xml:space="preserve">壮</w:t>
      </w:r>
      <w:r>
        <w:rPr>
          <w:rFonts w:ascii="仿宋_GB2312" w:hAnsi="___WRD_EMBED_SUB_44" w:cs="___WRD_EMBED_SUB_44" w:hint="eastAsia"/>
          <w:color w:val="auto"/>
          <w:highlight w:val="none"/>
        </w:rPr>
        <w:t xml:space="preserve">大</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集体经济</w:t>
      </w:r>
    </w:p>
    <w:p>
      <w:pPr>
        <w:ind w:firstLine="640"/>
        <w:rPr>
          <w:color w:val="auto"/>
          <w:highlight w:val="none"/>
        </w:rPr>
      </w:pPr>
      <w:r>
        <w:rPr>
          <w:color w:val="auto"/>
          <w:highlight w:val="none"/>
        </w:rPr>
        <w:t xml:space="preserve">实施单位（公章）：</w:t>
      </w:r>
      <w:r>
        <w:rPr>
          <w:rFonts w:ascii="仿宋_GB2312" w:hAnsi="仿宋_GB2312" w:cs="仿宋_GB2312" w:hint="eastAsia"/>
          <w:color w:val="auto"/>
          <w:highlight w:val="none"/>
        </w:rPr>
        <w:t xml:space="preserve">尉犁县古勒巴格乡人民政府</w:t>
      </w:r>
    </w:p>
    <w:p>
      <w:pPr>
        <w:ind w:firstLine="640"/>
        <w:rPr>
          <w:color w:val="auto"/>
          <w:highlight w:val="none"/>
        </w:rPr>
      </w:pPr>
      <w:r>
        <w:rPr>
          <w:color w:val="auto"/>
          <w:highlight w:val="none"/>
        </w:rPr>
        <w:t xml:space="preserve">主管部门（公章）：</w:t>
      </w:r>
      <w:r>
        <w:rPr>
          <w:rFonts w:ascii="仿宋_GB2312" w:hAnsi="仿宋_GB2312" w:cs="仿宋_GB2312" w:hint="eastAsia"/>
          <w:color w:val="auto"/>
          <w:highlight w:val="none"/>
        </w:rPr>
        <w:t xml:space="preserve">尉犁县古勒巴格乡人民政府</w:t>
      </w:r>
    </w:p>
    <w:p>
      <w:pPr>
        <w:ind w:firstLine="640"/>
        <w:rPr>
          <w:color w:val="auto"/>
          <w:highlight w:val="none"/>
        </w:rPr>
      </w:pPr>
      <w:r>
        <w:rPr>
          <w:color w:val="auto"/>
          <w:highlight w:val="none"/>
        </w:rPr>
        <w:t xml:space="preserve">项目负责人（签章）：</w:t>
      </w:r>
      <w:r>
        <w:rPr>
          <w:rFonts w:ascii="仿宋_GB2312" w:hAnsi="仿宋_GB2312" w:cs="仿宋_GB2312" w:hint="eastAsia"/>
          <w:color w:val="auto"/>
          <w:highlight w:val="none"/>
        </w:rPr>
        <w:t xml:space="preserve">阿里木·吐尼亚孜</w:t>
      </w:r>
      <w:r>
        <w:rPr>
          <w:color w:val="auto"/>
          <w:highlight w:val="none"/>
        </w:rPr>
        <w:t xml:space="preserve"> </w:t>
      </w:r>
    </w:p>
    <w:p>
      <w:pPr>
        <w:ind w:firstLine="640"/>
        <w:rPr>
          <w:color w:val="auto"/>
          <w:highlight w:val="none"/>
        </w:rPr>
      </w:pPr>
      <w:r>
        <w:rPr>
          <w:color w:val="auto"/>
          <w:highlight w:val="none"/>
        </w:rPr>
        <w:t xml:space="preserve">填报时间：</w:t>
      </w:r>
      <w:r>
        <w:rPr>
          <w:rFonts w:ascii="仿宋_GB2312" w:hAnsi="仿宋_GB2312" w:cs="仿宋_GB2312" w:hint="eastAsia"/>
          <w:color w:val="auto"/>
          <w:highlight w:val="none"/>
        </w:rPr>
        <w:t xml:space="preserve">2025年3月31日</w:t>
      </w:r>
    </w:p>
    <w:p>
      <w:pPr>
        <w:ind w:firstLine="620"/>
        <w:rPr>
          <w:rFonts w:eastAsia="方正仿宋_GBK"/>
          <w:color w:val="auto"/>
          <w:sz w:val="31"/>
          <w:szCs w:val="31"/>
          <w:highlight w:val="none"/>
        </w:rPr>
      </w:pPr>
      <w:r>
        <w:br w:type="page"/>
      </w:r>
    </w:p>
    <w:p>
      <w:pPr>
        <w:ind w:firstLine="883"/>
        <w:jc w:val="center"/>
        <w:rPr>
          <w:b/>
          <w:bCs/>
          <w:color w:val="auto"/>
          <w:sz w:val="44"/>
          <w:szCs w:val="44"/>
          <w:highlight w:val="none"/>
        </w:rPr>
      </w:pPr>
      <w:r>
        <w:rPr>
          <w:b/>
          <w:bCs/>
          <w:color w:val="auto"/>
          <w:sz w:val="44"/>
          <w:szCs w:val="44"/>
          <w:highlight w:val="none"/>
        </w:rPr>
        <w:t xml:space="preserve">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color w:val="auto"/>
            <w:highlight w:val="none"/>
          </w:rPr>
          <w:t xml:space="preserve">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 xml:space="preserve">1</w:t>
        </w:r>
        <w:r>
          <w:rPr>
            <w:color w:val="auto"/>
            <w:highlight w:val="none"/>
          </w:rPr>
          <w:fldChar w:fldCharType="end"/>
        </w:r>
      </w:hyperlink>
    </w:p>
    <w:p>
      <w:pPr>
        <w:tabs>
          <w:tab w:val="right" w:leader="dot" w:pos="8306"/>
        </w:tabs>
        <w:ind w:left="640" w:firstLine="640"/>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tabs>
          <w:tab w:val="right" w:leader="dot" w:pos="8306"/>
        </w:tabs>
        <w:ind w:left="640" w:firstLine="640"/>
        <w:rPr>
          <w:color w:val="auto"/>
          <w:highlight w:val="none"/>
        </w:rPr>
      </w:pPr>
      <w:hyperlink w:anchor="_Toc25187" w:history="1">
        <w:r>
          <w:rPr>
            <w:color w:val="auto"/>
            <w:highlight w:val="none"/>
          </w:rPr>
          <w:t xml:space="preserve">（二）项目绩效目标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 xml:space="preserve">3</w:t>
        </w:r>
        <w:r>
          <w:rPr>
            <w:color w:val="auto"/>
            <w:highlight w:val="none"/>
          </w:rPr>
          <w:fldChar w:fldCharType="end"/>
        </w:r>
      </w:hyperlink>
    </w:p>
    <w:p>
      <w:pPr>
        <w:tabs>
          <w:tab w:val="right" w:leader="dot" w:pos="8306"/>
        </w:tabs>
        <w:ind w:firstLine="640"/>
        <w:rPr>
          <w:color w:val="auto"/>
          <w:highlight w:val="none"/>
        </w:rPr>
      </w:pPr>
      <w:hyperlink w:anchor="_Toc28824" w:history="1">
        <w:r>
          <w:rPr>
            <w:rFonts w:hint="eastAsia"/>
            <w:color w:val="auto"/>
            <w:highlight w:val="none"/>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 xml:space="preserve">3</w:t>
        </w:r>
        <w:r>
          <w:rPr>
            <w:color w:val="auto"/>
            <w:highlight w:val="none"/>
          </w:rPr>
          <w:fldChar w:fldCharType="end"/>
        </w:r>
      </w:hyperlink>
    </w:p>
    <w:p>
      <w:pPr>
        <w:tabs>
          <w:tab w:val="right" w:leader="dot" w:pos="8306"/>
        </w:tabs>
        <w:ind w:left="640" w:firstLine="640"/>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 xml:space="preserve">3</w:t>
        </w:r>
        <w:r>
          <w:rPr>
            <w:color w:val="auto"/>
            <w:highlight w:val="none"/>
          </w:rPr>
          <w:fldChar w:fldCharType="end"/>
        </w:r>
      </w:hyperlink>
    </w:p>
    <w:p>
      <w:pPr>
        <w:tabs>
          <w:tab w:val="right" w:leader="dot" w:pos="8306"/>
        </w:tabs>
        <w:ind w:left="640" w:firstLine="640"/>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 xml:space="preserve">5</w:t>
        </w:r>
        <w:r>
          <w:rPr>
            <w:color w:val="auto"/>
            <w:highlight w:val="none"/>
          </w:rPr>
          <w:fldChar w:fldCharType="end"/>
        </w:r>
      </w:hyperlink>
    </w:p>
    <w:p>
      <w:pPr>
        <w:tabs>
          <w:tab w:val="right" w:leader="dot" w:pos="8306"/>
        </w:tabs>
        <w:ind w:left="640" w:firstLine="640"/>
        <w:rPr>
          <w:color w:val="auto"/>
          <w:highlight w:val="none"/>
        </w:rPr>
      </w:pPr>
      <w:hyperlink w:anchor="_Toc23796" w:history="1">
        <w:r>
          <w:rPr>
            <w:rFonts w:hint="eastAsia"/>
            <w:color w:val="auto"/>
            <w:highlight w:val="none"/>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 xml:space="preserve">8</w:t>
        </w:r>
        <w:r>
          <w:rPr>
            <w:color w:val="auto"/>
            <w:highlight w:val="none"/>
          </w:rPr>
          <w:fldChar w:fldCharType="end"/>
        </w:r>
      </w:hyperlink>
    </w:p>
    <w:p>
      <w:pPr>
        <w:tabs>
          <w:tab w:val="right" w:leader="dot" w:pos="8306"/>
        </w:tabs>
        <w:ind w:firstLine="640"/>
        <w:rPr>
          <w:color w:val="auto"/>
          <w:highlight w:val="none"/>
        </w:rPr>
      </w:pPr>
      <w:hyperlink w:anchor="_Toc20784" w:history="1">
        <w:r>
          <w:rPr>
            <w:rFonts w:hint="eastAsia"/>
            <w:color w:val="auto"/>
            <w:highlight w:val="none"/>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 xml:space="preserve">10</w:t>
        </w:r>
        <w:r>
          <w:rPr>
            <w:color w:val="auto"/>
            <w:highlight w:val="none"/>
          </w:rPr>
          <w:fldChar w:fldCharType="end"/>
        </w:r>
      </w:hyperlink>
    </w:p>
    <w:p>
      <w:pPr>
        <w:tabs>
          <w:tab w:val="right" w:leader="dot" w:pos="8306"/>
        </w:tabs>
        <w:ind w:firstLine="640"/>
        <w:rPr>
          <w:color w:val="auto"/>
          <w:highlight w:val="none"/>
        </w:rPr>
      </w:pPr>
      <w:hyperlink w:anchor="_Toc8960" w:history="1">
        <w:r>
          <w:rPr>
            <w:rFonts w:hint="eastAsia"/>
            <w:color w:val="auto"/>
            <w:highlight w:val="none"/>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 xml:space="preserve">11</w:t>
        </w:r>
        <w:r>
          <w:rPr>
            <w:color w:val="auto"/>
            <w:highlight w:val="none"/>
          </w:rPr>
          <w:fldChar w:fldCharType="end"/>
        </w:r>
      </w:hyperlink>
    </w:p>
    <w:p>
      <w:pPr>
        <w:tabs>
          <w:tab w:val="right" w:leader="dot" w:pos="8306"/>
        </w:tabs>
        <w:ind w:left="640" w:firstLine="640"/>
        <w:rPr>
          <w:color w:val="auto"/>
          <w:highlight w:val="none"/>
        </w:rPr>
      </w:pPr>
      <w:hyperlink w:anchor="_Toc3445" w:history="1">
        <w:r>
          <w:rPr>
            <w:rFonts w:hint="eastAsia"/>
            <w:color w:val="auto"/>
            <w:highlight w:val="none"/>
          </w:rPr>
          <w:t xml:space="preserve">（一）项目决策情况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 xml:space="preserve">11</w:t>
        </w:r>
        <w:r>
          <w:rPr>
            <w:color w:val="auto"/>
            <w:highlight w:val="none"/>
          </w:rPr>
          <w:fldChar w:fldCharType="end"/>
        </w:r>
      </w:hyperlink>
    </w:p>
    <w:p>
      <w:pPr>
        <w:tabs>
          <w:tab w:val="right" w:leader="dot" w:pos="8306"/>
        </w:tabs>
        <w:ind w:left="640" w:firstLine="640"/>
        <w:rPr>
          <w:color w:val="auto"/>
          <w:highlight w:val="none"/>
        </w:rPr>
      </w:pPr>
      <w:hyperlink w:anchor="_Toc11290" w:history="1">
        <w:r>
          <w:rPr>
            <w:rFonts w:hint="eastAsia"/>
            <w:color w:val="auto"/>
            <w:highlight w:val="none"/>
          </w:rPr>
          <w:t xml:space="preserve">（二）项目过程情况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 xml:space="preserve">13</w:t>
        </w:r>
        <w:r>
          <w:rPr>
            <w:color w:val="auto"/>
            <w:highlight w:val="none"/>
          </w:rPr>
          <w:fldChar w:fldCharType="end"/>
        </w:r>
      </w:hyperlink>
    </w:p>
    <w:p>
      <w:pPr>
        <w:tabs>
          <w:tab w:val="right" w:leader="dot" w:pos="8306"/>
        </w:tabs>
        <w:ind w:left="640" w:firstLine="640"/>
        <w:rPr>
          <w:color w:val="auto"/>
          <w:highlight w:val="none"/>
        </w:rPr>
      </w:pPr>
      <w:hyperlink w:anchor="_Toc32013" w:history="1">
        <w:r>
          <w:rPr>
            <w:rFonts w:hint="eastAsia"/>
            <w:color w:val="auto"/>
            <w:highlight w:val="none"/>
          </w:rPr>
          <w:t xml:space="preserve">（三）项目产出情况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 xml:space="preserve">15</w:t>
        </w:r>
        <w:r>
          <w:rPr>
            <w:color w:val="auto"/>
            <w:highlight w:val="none"/>
          </w:rPr>
          <w:fldChar w:fldCharType="end"/>
        </w:r>
      </w:hyperlink>
    </w:p>
    <w:p>
      <w:pPr>
        <w:tabs>
          <w:tab w:val="right" w:leader="dot" w:pos="8306"/>
        </w:tabs>
        <w:ind w:left="640" w:firstLine="640"/>
        <w:rPr>
          <w:color w:val="auto"/>
          <w:highlight w:val="none"/>
        </w:rPr>
      </w:pPr>
      <w:hyperlink w:anchor="_Toc28354" w:history="1">
        <w:r>
          <w:rPr>
            <w:rFonts w:hint="eastAsia"/>
            <w:color w:val="auto"/>
            <w:highlight w:val="none"/>
          </w:rPr>
          <w:t xml:space="preserve">（四）项目效益情况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 xml:space="preserve">16</w:t>
        </w:r>
        <w:r>
          <w:rPr>
            <w:color w:val="auto"/>
            <w:highlight w:val="none"/>
          </w:rPr>
          <w:fldChar w:fldCharType="end"/>
        </w:r>
      </w:hyperlink>
    </w:p>
    <w:p>
      <w:pPr>
        <w:tabs>
          <w:tab w:val="right" w:leader="dot" w:pos="8306"/>
        </w:tabs>
        <w:ind w:firstLine="640"/>
        <w:rPr>
          <w:color w:val="auto"/>
          <w:highlight w:val="none"/>
        </w:rPr>
      </w:pPr>
      <w:hyperlink w:anchor="_Toc27244" w:history="1">
        <w:r>
          <w:rPr>
            <w:rFonts w:hint="eastAsia"/>
            <w:color w:val="auto"/>
            <w:highlight w:val="none"/>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 xml:space="preserve">16</w:t>
        </w:r>
        <w:r>
          <w:rPr>
            <w:color w:val="auto"/>
            <w:highlight w:val="none"/>
          </w:rPr>
          <w:fldChar w:fldCharType="end"/>
        </w:r>
      </w:hyperlink>
    </w:p>
    <w:p>
      <w:pPr>
        <w:tabs>
          <w:tab w:val="right" w:leader="dot" w:pos="8306"/>
        </w:tabs>
        <w:ind w:left="640" w:firstLine="640"/>
        <w:rPr>
          <w:color w:val="auto"/>
          <w:highlight w:val="none"/>
        </w:rPr>
      </w:pPr>
      <w:hyperlink w:anchor="_Toc18880" w:history="1">
        <w:r>
          <w:rPr>
            <w:rFonts w:hint="eastAsia"/>
            <w:color w:val="auto"/>
            <w:highlight w:val="none"/>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 xml:space="preserve">16</w:t>
        </w:r>
        <w:r>
          <w:rPr>
            <w:color w:val="auto"/>
            <w:highlight w:val="none"/>
          </w:rPr>
          <w:fldChar w:fldCharType="end"/>
        </w:r>
      </w:hyperlink>
    </w:p>
    <w:p>
      <w:pPr>
        <w:tabs>
          <w:tab w:val="right" w:leader="dot" w:pos="8306"/>
        </w:tabs>
        <w:ind w:left="640" w:firstLine="640"/>
        <w:rPr>
          <w:color w:val="auto"/>
          <w:highlight w:val="none"/>
        </w:rPr>
      </w:pPr>
      <w:hyperlink w:anchor="_Toc9914" w:history="1">
        <w:r>
          <w:rPr>
            <w:rFonts w:hint="eastAsia"/>
            <w:color w:val="auto"/>
            <w:highlight w:val="none"/>
          </w:rPr>
          <w:t xml:space="preserve">（二）存在问题及原因分析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 xml:space="preserve">16</w:t>
        </w:r>
        <w:r>
          <w:rPr>
            <w:color w:val="auto"/>
            <w:highlight w:val="none"/>
          </w:rPr>
          <w:fldChar w:fldCharType="end"/>
        </w:r>
      </w:hyperlink>
    </w:p>
    <w:p>
      <w:pPr>
        <w:tabs>
          <w:tab w:val="right" w:leader="dot" w:pos="8306"/>
        </w:tabs>
        <w:ind w:firstLine="640"/>
        <w:rPr>
          <w:color w:val="auto"/>
          <w:highlight w:val="none"/>
        </w:rPr>
      </w:pPr>
      <w:hyperlink w:anchor="_Toc2334" w:history="1">
        <w:r>
          <w:rPr>
            <w:rFonts w:hint="eastAsia"/>
            <w:color w:val="auto"/>
            <w:highlight w:val="none"/>
          </w:rPr>
          <w:t xml:space="preserve">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 xml:space="preserve">18</w:t>
        </w:r>
        <w:r>
          <w:rPr>
            <w:color w:val="auto"/>
            <w:highlight w:val="none"/>
          </w:rPr>
          <w:fldChar w:fldCharType="end"/>
        </w:r>
      </w:hyperlink>
    </w:p>
    <w:p>
      <w:pPr>
        <w:tabs>
          <w:tab w:val="right" w:leader="dot" w:pos="8306"/>
        </w:tabs>
        <w:ind w:firstLine="640"/>
        <w:rPr>
          <w:color w:val="auto"/>
          <w:highlight w:val="none"/>
        </w:rPr>
      </w:pPr>
      <w:hyperlink w:anchor="_Toc30571" w:history="1">
        <w:r>
          <w:rPr>
            <w:rFonts w:hint="eastAsia"/>
            <w:color w:val="auto"/>
            <w:highlight w:val="none"/>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 xml:space="preserve">18</w:t>
        </w:r>
        <w:r>
          <w:rPr>
            <w:color w:val="auto"/>
            <w:highlight w:val="none"/>
          </w:rPr>
          <w:fldChar w:fldCharType="end"/>
        </w:r>
      </w:hyperlink>
    </w:p>
    <w:p>
      <w:pPr>
        <w:tabs>
          <w:tab w:val="right" w:leader="dot" w:pos="8306"/>
        </w:tabs>
        <w:ind w:firstLine="640"/>
        <w:rPr>
          <w:color w:val="auto"/>
          <w:highlight w:val="none"/>
        </w:rPr>
      </w:pPr>
      <w:hyperlink w:anchor="_Toc10180" w:history="1">
        <w:r>
          <w:rPr>
            <w:rFonts w:hint="eastAsia"/>
            <w:color w:val="auto"/>
            <w:highlight w:val="none"/>
          </w:rPr>
          <w:t xml:space="preserve">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Heading2"/>
        <w:ind w:firstLine="640"/>
        <w:rPr>
          <w:color w:val="auto"/>
          <w:szCs w:val="44"/>
          <w:highlight w:val="none"/>
        </w:rPr>
        <w:sectPr>
          <w:headerReference w:type="even" r:id="rId4"/>
          <w:headerReference w:type="default" r:id="rId5"/>
          <w:headerReference w:type="first" r:id="rId6"/>
          <w:footerReference w:type="even" r:id="rId7"/>
          <w:footerReference w:type="default" r:id="rId8"/>
          <w:footerReference w:type="first" r:id="rId9"/>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ind w:firstLine="640"/>
        <w:rPr>
          <w:color w:val="auto"/>
          <w:highlight w:val="none"/>
        </w:rPr>
      </w:pPr>
      <w:r>
        <w:rPr>
          <w:color w:val="auto"/>
          <w:szCs w:val="44"/>
          <w:highlight w:val="none"/>
        </w:rPr>
        <w:fldChar w:fldCharType="end"/>
      </w:r>
      <w:bookmarkStart w:id="1" w:name="_Toc25620"/>
      <w:r>
        <w:rPr>
          <w:color w:val="auto"/>
          <w:highlight w:val="none"/>
        </w:rPr>
        <w:t xml:space="preserve">一、基本情况</w:t>
      </w:r>
      <w:bookmarkEnd w:id="1"/>
    </w:p>
    <w:p>
      <w:pPr>
        <w:pStyle w:val="Heading3"/>
        <w:ind w:firstLine="643"/>
        <w:rPr>
          <w:color w:val="auto"/>
          <w:highlight w:val="none"/>
        </w:rPr>
      </w:pPr>
      <w:bookmarkStart w:id="2" w:name="_Toc8971"/>
      <w:r>
        <w:rPr>
          <w:color w:val="auto"/>
          <w:highlight w:val="none"/>
        </w:rPr>
        <w:t xml:space="preserve">（一）项目概况</w:t>
      </w:r>
      <w:bookmarkEnd w:id="2"/>
    </w:p>
    <w:p>
      <w:pPr>
        <w:ind w:firstLine="643"/>
        <w:rPr>
          <w:b/>
          <w:bCs/>
          <w:color w:val="auto"/>
          <w:highlight w:val="none"/>
        </w:rPr>
      </w:pPr>
      <w:r>
        <w:rPr>
          <w:b/>
          <w:bCs/>
          <w:color w:val="auto"/>
          <w:highlight w:val="none"/>
        </w:rPr>
        <w:t xml:space="preserve">1、项目背景</w:t>
      </w:r>
    </w:p>
    <w:p>
      <w:pPr>
        <w:ind w:firstLine="640"/>
        <w:rPr>
          <w:rFonts w:ascii="仿宋_GB2312"/>
          <w:color w:val="auto"/>
          <w:highlight w:val="none"/>
        </w:rPr>
      </w:pPr>
      <w:r>
        <w:rPr>
          <w:rFonts w:ascii="仿宋_GB2312" w:hint="eastAsia"/>
          <w:color w:val="auto"/>
          <w:highlight w:val="none"/>
        </w:rPr>
        <w:t xml:space="preserve">在国家大力推进</w:t>
      </w:r>
      <w:r>
        <w:rPr>
          <w:rFonts w:ascii="仿宋_GB2312" w:hAnsi="微软雅黑" w:cs="微软雅黑" w:hint="eastAsia"/>
          <w:color w:val="auto"/>
          <w:highlight w:val="none"/>
        </w:rPr>
        <w:t xml:space="preserve">乡村振兴战略</w:t>
      </w:r>
      <w:r>
        <w:rPr>
          <w:rFonts w:ascii="仿宋_GB2312" w:hAnsi="___WRD_EMBED_SUB_44" w:cs="___WRD_EMBED_SUB_44" w:hint="eastAsia"/>
          <w:color w:val="auto"/>
          <w:highlight w:val="none"/>
        </w:rPr>
        <w:t xml:space="preserve">的大</w:t>
      </w:r>
      <w:r>
        <w:rPr>
          <w:rFonts w:ascii="仿宋_GB2312" w:hAnsi="微软雅黑" w:cs="微软雅黑" w:hint="eastAsia"/>
          <w:color w:val="auto"/>
          <w:highlight w:val="none"/>
        </w:rPr>
        <w:t xml:space="preserve">背景</w:t>
      </w:r>
      <w:r>
        <w:rPr>
          <w:rFonts w:ascii="仿宋_GB2312" w:hAnsi="___WRD_EMBED_SUB_44" w:cs="___WRD_EMBED_SUB_44" w:hint="eastAsia"/>
          <w:color w:val="auto"/>
          <w:highlight w:val="none"/>
        </w:rPr>
        <w:t xml:space="preserve">下，发展</w:t>
      </w:r>
      <w:r>
        <w:rPr>
          <w:rFonts w:ascii="仿宋_GB2312" w:hAnsi="微软雅黑" w:cs="微软雅黑" w:hint="eastAsia"/>
          <w:color w:val="auto"/>
          <w:highlight w:val="none"/>
        </w:rPr>
        <w:t xml:space="preserve">壮</w:t>
      </w:r>
      <w:r>
        <w:rPr>
          <w:rFonts w:ascii="仿宋_GB2312" w:hAnsi="___WRD_EMBED_SUB_44" w:cs="___WRD_EMBED_SUB_44" w:hint="eastAsia"/>
          <w:color w:val="auto"/>
          <w:highlight w:val="none"/>
        </w:rPr>
        <w:t xml:space="preserve">大</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集体经济，成为实现</w:t>
      </w:r>
      <w:r>
        <w:rPr>
          <w:rFonts w:ascii="仿宋_GB2312" w:hAnsi="微软雅黑" w:cs="微软雅黑" w:hint="eastAsia"/>
          <w:color w:val="auto"/>
          <w:highlight w:val="none"/>
        </w:rPr>
        <w:t xml:space="preserve">乡村振兴</w:t>
      </w:r>
      <w:r>
        <w:rPr>
          <w:rFonts w:ascii="仿宋_GB2312" w:hAnsi="___WRD_EMBED_SUB_44" w:cs="___WRD_EMBED_SUB_44" w:hint="eastAsia"/>
          <w:color w:val="auto"/>
          <w:highlight w:val="none"/>
        </w:rPr>
        <w:t xml:space="preserve">的关</w:t>
      </w:r>
      <w:r>
        <w:rPr>
          <w:rFonts w:ascii="仿宋_GB2312" w:hAnsi="微软雅黑" w:cs="微软雅黑" w:hint="eastAsia"/>
          <w:color w:val="auto"/>
          <w:highlight w:val="none"/>
        </w:rPr>
        <w:t xml:space="preserve">键</w:t>
      </w:r>
      <w:r>
        <w:rPr>
          <w:rFonts w:ascii="仿宋_GB2312" w:hAnsi="___WRD_EMBED_SUB_44" w:cs="___WRD_EMBED_SUB_44" w:hint="eastAsia"/>
          <w:color w:val="auto"/>
          <w:highlight w:val="none"/>
        </w:rPr>
        <w:t xml:space="preserve">一环。作为</w:t>
      </w:r>
      <w:r>
        <w:rPr>
          <w:rFonts w:ascii="仿宋_GB2312" w:hAnsi="微软雅黑" w:cs="微软雅黑" w:hint="eastAsia"/>
          <w:color w:val="auto"/>
          <w:highlight w:val="none"/>
        </w:rPr>
        <w:t xml:space="preserve">乡村振兴</w:t>
      </w:r>
      <w:r>
        <w:rPr>
          <w:rFonts w:ascii="仿宋_GB2312" w:hAnsi="___WRD_EMBED_SUB_44" w:cs="___WRD_EMBED_SUB_44" w:hint="eastAsia"/>
          <w:color w:val="auto"/>
          <w:highlight w:val="none"/>
        </w:rPr>
        <w:t xml:space="preserve">的重要组成部分，</w:t>
      </w:r>
      <w:r>
        <w:rPr>
          <w:rFonts w:ascii="仿宋_GB2312" w:hAnsi="微软雅黑" w:cs="微软雅黑" w:hint="eastAsia"/>
          <w:color w:val="auto"/>
          <w:highlight w:val="none"/>
        </w:rPr>
        <w:t xml:space="preserve">壮</w:t>
      </w:r>
      <w:r>
        <w:rPr>
          <w:rFonts w:ascii="仿宋_GB2312" w:hAnsi="___WRD_EMBED_SUB_44" w:cs="___WRD_EMBED_SUB_44" w:hint="eastAsia"/>
          <w:color w:val="auto"/>
          <w:highlight w:val="none"/>
        </w:rPr>
        <w:t xml:space="preserve">大</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集体经济不</w:t>
      </w:r>
      <w:r>
        <w:rPr>
          <w:rFonts w:ascii="仿宋_GB2312" w:hAnsi="微软雅黑" w:cs="微软雅黑" w:hint="eastAsia"/>
          <w:color w:val="auto"/>
          <w:highlight w:val="none"/>
        </w:rPr>
        <w:t xml:space="preserve">仅能</w:t>
      </w:r>
      <w:r>
        <w:rPr>
          <w:rFonts w:ascii="仿宋_GB2312" w:hAnsi="___WRD_EMBED_SUB_44" w:cs="___WRD_EMBED_SUB_44" w:hint="eastAsia"/>
          <w:color w:val="auto"/>
          <w:highlight w:val="none"/>
        </w:rPr>
        <w:t xml:space="preserve">为</w:t>
      </w:r>
      <w:r>
        <w:rPr>
          <w:rFonts w:ascii="仿宋_GB2312" w:hAnsi="微软雅黑" w:cs="微软雅黑" w:hint="eastAsia"/>
          <w:color w:val="auto"/>
          <w:highlight w:val="none"/>
        </w:rPr>
        <w:t xml:space="preserve">乡村</w:t>
      </w:r>
      <w:r>
        <w:rPr>
          <w:rFonts w:ascii="仿宋_GB2312" w:hAnsi="___WRD_EMBED_SUB_44" w:cs="___WRD_EMBED_SUB_44" w:hint="eastAsia"/>
          <w:color w:val="auto"/>
          <w:highlight w:val="none"/>
        </w:rPr>
        <w:t xml:space="preserve">发展提供</w:t>
      </w:r>
      <w:r>
        <w:rPr>
          <w:rFonts w:ascii="仿宋_GB2312" w:hAnsi="微软雅黑" w:cs="微软雅黑" w:hint="eastAsia"/>
          <w:color w:val="auto"/>
          <w:highlight w:val="none"/>
        </w:rPr>
        <w:t xml:space="preserve">稳</w:t>
      </w:r>
      <w:r>
        <w:rPr>
          <w:rFonts w:ascii="仿宋_GB2312" w:hAnsi="___WRD_EMBED_SUB_44" w:cs="___WRD_EMBED_SUB_44" w:hint="eastAsia"/>
          <w:color w:val="auto"/>
          <w:highlight w:val="none"/>
        </w:rPr>
        <w:t xml:space="preserve">定的资金来源，</w:t>
      </w:r>
      <w:r>
        <w:rPr>
          <w:rFonts w:ascii="仿宋_GB2312" w:hAnsi="微软雅黑" w:cs="微软雅黑" w:hint="eastAsia"/>
          <w:color w:val="auto"/>
          <w:highlight w:val="none"/>
        </w:rPr>
        <w:t xml:space="preserve">还能增</w:t>
      </w:r>
      <w:r>
        <w:rPr>
          <w:rFonts w:ascii="仿宋_GB2312" w:hAnsi="___WRD_EMBED_SUB_44" w:cs="___WRD_EMBED_SUB_44" w:hint="eastAsia"/>
          <w:color w:val="auto"/>
          <w:highlight w:val="none"/>
        </w:rPr>
        <w:t xml:space="preserve">强</w:t>
      </w:r>
      <w:r>
        <w:rPr>
          <w:rFonts w:ascii="仿宋_GB2312" w:hAnsi="微软雅黑" w:cs="微软雅黑" w:hint="eastAsia"/>
          <w:color w:val="auto"/>
          <w:highlight w:val="none"/>
        </w:rPr>
        <w:t xml:space="preserve">乡村</w:t>
      </w:r>
      <w:r>
        <w:rPr>
          <w:rFonts w:ascii="仿宋_GB2312" w:hAnsi="___WRD_EMBED_SUB_44" w:cs="___WRD_EMBED_SUB_44" w:hint="eastAsia"/>
          <w:color w:val="auto"/>
          <w:highlight w:val="none"/>
        </w:rPr>
        <w:t xml:space="preserve">的自</w:t>
      </w:r>
      <w:r>
        <w:rPr>
          <w:rFonts w:ascii="仿宋_GB2312" w:hAnsi="微软雅黑" w:cs="微软雅黑" w:hint="eastAsia"/>
          <w:color w:val="auto"/>
          <w:highlight w:val="none"/>
        </w:rPr>
        <w:t xml:space="preserve">我</w:t>
      </w:r>
      <w:r>
        <w:rPr>
          <w:rFonts w:ascii="仿宋_GB2312" w:hAnsi="___WRD_EMBED_SUB_44" w:cs="___WRD_EMBED_SUB_44" w:hint="eastAsia"/>
          <w:color w:val="auto"/>
          <w:highlight w:val="none"/>
        </w:rPr>
        <w:t xml:space="preserve">发展</w:t>
      </w:r>
      <w:r>
        <w:rPr>
          <w:rFonts w:ascii="仿宋_GB2312" w:hAnsi="微软雅黑" w:cs="微软雅黑" w:hint="eastAsia"/>
          <w:color w:val="auto"/>
          <w:highlight w:val="none"/>
        </w:rPr>
        <w:t xml:space="preserve">能</w:t>
      </w:r>
      <w:r>
        <w:rPr>
          <w:rFonts w:ascii="仿宋_GB2312" w:hAnsi="___WRD_EMBED_SUB_44" w:cs="___WRD_EMBED_SUB_44" w:hint="eastAsia"/>
          <w:color w:val="auto"/>
          <w:highlight w:val="none"/>
        </w:rPr>
        <w:t xml:space="preserve">力，提</w:t>
      </w:r>
      <w:r>
        <w:rPr>
          <w:rFonts w:ascii="仿宋_GB2312" w:hAnsi="微软雅黑" w:cs="微软雅黑" w:hint="eastAsia"/>
          <w:color w:val="auto"/>
          <w:highlight w:val="none"/>
        </w:rPr>
        <w:t xml:space="preserve">升村</w:t>
      </w:r>
      <w:r>
        <w:rPr>
          <w:rFonts w:ascii="仿宋_GB2312" w:hAnsi="___WRD_EMBED_SUB_44" w:cs="___WRD_EMBED_SUB_44" w:hint="eastAsia"/>
          <w:color w:val="auto"/>
          <w:highlight w:val="none"/>
        </w:rPr>
        <w:t xml:space="preserve">民的生</w:t>
      </w:r>
      <w:r>
        <w:rPr>
          <w:rFonts w:ascii="仿宋_GB2312" w:hAnsi="微软雅黑" w:cs="微软雅黑" w:hint="eastAsia"/>
          <w:color w:val="auto"/>
          <w:highlight w:val="none"/>
        </w:rPr>
        <w:t xml:space="preserve">活</w:t>
      </w:r>
      <w:r>
        <w:rPr>
          <w:rFonts w:ascii="仿宋_GB2312" w:hAnsi="___WRD_EMBED_SUB_44" w:cs="___WRD_EMBED_SUB_44" w:hint="eastAsia"/>
          <w:color w:val="auto"/>
          <w:highlight w:val="none"/>
        </w:rPr>
        <w:t xml:space="preserve">质量。</w:t>
      </w:r>
      <w:r>
        <w:rPr>
          <w:rFonts w:ascii="仿宋_GB2312" w:hAnsi="微软雅黑" w:cs="微软雅黑" w:hint="eastAsia"/>
          <w:color w:val="auto"/>
          <w:highlight w:val="none"/>
        </w:rPr>
        <w:t xml:space="preserve">古勒巴</w:t>
      </w:r>
      <w:r>
        <w:rPr>
          <w:rFonts w:ascii="仿宋_GB2312" w:hAnsi="___WRD_EMBED_SUB_44" w:cs="___WRD_EMBED_SUB_44" w:hint="eastAsia"/>
          <w:color w:val="auto"/>
          <w:highlight w:val="none"/>
        </w:rPr>
        <w:t xml:space="preserve">格</w:t>
      </w:r>
      <w:r>
        <w:rPr>
          <w:rFonts w:ascii="仿宋_GB2312" w:hAnsi="微软雅黑" w:cs="微软雅黑" w:hint="eastAsia"/>
          <w:color w:val="auto"/>
          <w:highlight w:val="none"/>
        </w:rPr>
        <w:t xml:space="preserve">乡奥曼库勒村积极</w:t>
      </w:r>
      <w:r>
        <w:rPr>
          <w:rFonts w:ascii="仿宋_GB2312" w:hAnsi="___WRD_EMBED_SUB_44" w:cs="___WRD_EMBED_SUB_44" w:hint="eastAsia"/>
          <w:color w:val="auto"/>
          <w:highlight w:val="none"/>
        </w:rPr>
        <w:t xml:space="preserve">响应国家号</w:t>
      </w:r>
      <w:r>
        <w:rPr>
          <w:rFonts w:ascii="仿宋_GB2312" w:hAnsi="微软雅黑" w:cs="微软雅黑" w:hint="eastAsia"/>
          <w:color w:val="auto"/>
          <w:highlight w:val="none"/>
        </w:rPr>
        <w:t xml:space="preserve">召</w:t>
      </w:r>
      <w:r>
        <w:rPr>
          <w:rFonts w:ascii="仿宋_GB2312" w:hAnsi="___WRD_EMBED_SUB_44" w:cs="___WRD_EMBED_SUB_44" w:hint="eastAsia"/>
          <w:color w:val="auto"/>
          <w:highlight w:val="none"/>
        </w:rPr>
        <w:t xml:space="preserve">，</w:t>
      </w:r>
      <w:r>
        <w:rPr>
          <w:rFonts w:ascii="仿宋_GB2312" w:hAnsi="微软雅黑" w:cs="微软雅黑" w:hint="eastAsia"/>
          <w:color w:val="auto"/>
          <w:highlight w:val="none"/>
        </w:rPr>
        <w:t xml:space="preserve">探索</w:t>
      </w:r>
      <w:r>
        <w:rPr>
          <w:rFonts w:ascii="仿宋_GB2312" w:hAnsi="___WRD_EMBED_SUB_44" w:cs="___WRD_EMBED_SUB_44" w:hint="eastAsia"/>
          <w:color w:val="auto"/>
          <w:highlight w:val="none"/>
        </w:rPr>
        <w:t xml:space="preserve">符合本</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实际的集体经济发展</w:t>
      </w:r>
      <w:r>
        <w:rPr>
          <w:rFonts w:ascii="仿宋_GB2312" w:hAnsi="微软雅黑" w:cs="微软雅黑" w:hint="eastAsia"/>
          <w:color w:val="auto"/>
          <w:highlight w:val="none"/>
        </w:rPr>
        <w:t xml:space="preserve">道路</w:t>
      </w:r>
      <w:r>
        <w:rPr>
          <w:rFonts w:ascii="仿宋_GB2312" w:hAnsi="___WRD_EMBED_SUB_44" w:cs="___WRD_EMBED_SUB_44" w:hint="eastAsia"/>
          <w:color w:val="auto"/>
          <w:highlight w:val="none"/>
        </w:rPr>
        <w:t xml:space="preserve">。</w:t>
      </w:r>
    </w:p>
    <w:p>
      <w:pPr>
        <w:ind w:firstLine="640"/>
        <w:rPr>
          <w:rFonts w:ascii="仿宋_GB2312" w:hAnsi="___WRD_EMBED_SUB_44" w:cs="___WRD_EMBED_SUB_44" w:hint="eastAsia"/>
          <w:color w:val="auto"/>
          <w:highlight w:val="none"/>
        </w:rPr>
      </w:pPr>
      <w:r>
        <w:rPr>
          <w:rFonts w:ascii="仿宋_GB2312" w:hAnsi="微软雅黑" w:cs="微软雅黑" w:hint="eastAsia"/>
          <w:color w:val="auto"/>
          <w:highlight w:val="none"/>
        </w:rPr>
        <w:t xml:space="preserve">奥曼库勒村拥</w:t>
      </w:r>
      <w:r>
        <w:rPr>
          <w:rFonts w:ascii="仿宋_GB2312" w:hAnsi="___WRD_EMBED_SUB_44" w:cs="___WRD_EMBED_SUB_44" w:hint="eastAsia"/>
          <w:color w:val="auto"/>
          <w:highlight w:val="none"/>
        </w:rPr>
        <w:t xml:space="preserve">有</w:t>
      </w:r>
      <w:r>
        <w:rPr>
          <w:rFonts w:ascii="仿宋_GB2312" w:hAnsi="微软雅黑" w:cs="微软雅黑" w:hint="eastAsia"/>
          <w:color w:val="auto"/>
          <w:highlight w:val="none"/>
        </w:rPr>
        <w:t xml:space="preserve">丰富</w:t>
      </w:r>
      <w:r>
        <w:rPr>
          <w:rFonts w:ascii="仿宋_GB2312" w:hAnsi="___WRD_EMBED_SUB_44" w:cs="___WRD_EMBED_SUB_44" w:hint="eastAsia"/>
          <w:color w:val="auto"/>
          <w:highlight w:val="none"/>
        </w:rPr>
        <w:t xml:space="preserve">的</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地资源，</w:t>
      </w:r>
      <w:r>
        <w:rPr>
          <w:rFonts w:ascii="仿宋_GB2312" w:hAnsi="微软雅黑" w:cs="微软雅黑" w:hint="eastAsia"/>
          <w:color w:val="auto"/>
          <w:highlight w:val="none"/>
        </w:rPr>
        <w:t xml:space="preserve">然</w:t>
      </w:r>
      <w:r>
        <w:rPr>
          <w:rFonts w:ascii="仿宋_GB2312" w:hAnsi="___WRD_EMBED_SUB_44" w:cs="___WRD_EMBED_SUB_44" w:hint="eastAsia"/>
          <w:color w:val="auto"/>
          <w:highlight w:val="none"/>
        </w:rPr>
        <w:t xml:space="preserve">而，部分</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地由于地</w:t>
      </w:r>
      <w:r>
        <w:rPr>
          <w:rFonts w:ascii="仿宋_GB2312" w:hAnsi="微软雅黑" w:cs="微软雅黑" w:hint="eastAsia"/>
          <w:color w:val="auto"/>
          <w:highlight w:val="none"/>
        </w:rPr>
        <w:t xml:space="preserve">势起伏</w:t>
      </w:r>
      <w:r>
        <w:rPr>
          <w:rFonts w:ascii="仿宋_GB2312" w:hAnsi="___WRD_EMBED_SUB_44" w:cs="___WRD_EMBED_SUB_44" w:hint="eastAsia"/>
          <w:color w:val="auto"/>
          <w:highlight w:val="none"/>
        </w:rPr>
        <w:t xml:space="preserve">、分</w:t>
      </w:r>
      <w:r>
        <w:rPr>
          <w:rFonts w:ascii="仿宋_GB2312" w:hAnsi="微软雅黑" w:cs="微软雅黑" w:hint="eastAsia"/>
          <w:color w:val="auto"/>
          <w:highlight w:val="none"/>
        </w:rPr>
        <w:t xml:space="preserve">布零散</w:t>
      </w:r>
      <w:r>
        <w:rPr>
          <w:rFonts w:ascii="仿宋_GB2312" w:hAnsi="___WRD_EMBED_SUB_44" w:cs="___WRD_EMBED_SUB_44" w:hint="eastAsia"/>
          <w:color w:val="auto"/>
          <w:highlight w:val="none"/>
        </w:rPr>
        <w:t xml:space="preserve">，</w:t>
      </w:r>
      <w:r>
        <w:rPr>
          <w:rFonts w:ascii="仿宋_GB2312" w:hAnsi="微软雅黑" w:cs="微软雅黑" w:hint="eastAsia"/>
          <w:color w:val="auto"/>
          <w:highlight w:val="none"/>
        </w:rPr>
        <w:t xml:space="preserve">且缺乏</w:t>
      </w:r>
      <w:r>
        <w:rPr>
          <w:rFonts w:ascii="仿宋_GB2312" w:hAnsi="___WRD_EMBED_SUB_44" w:cs="___WRD_EMBED_SUB_44" w:hint="eastAsia"/>
          <w:color w:val="auto"/>
          <w:highlight w:val="none"/>
        </w:rPr>
        <w:t xml:space="preserve">统一的规划与整理，长期</w:t>
      </w:r>
      <w:r>
        <w:rPr>
          <w:rFonts w:ascii="仿宋_GB2312" w:hAnsi="微软雅黑" w:cs="微软雅黑" w:hint="eastAsia"/>
          <w:color w:val="auto"/>
          <w:highlight w:val="none"/>
        </w:rPr>
        <w:t xml:space="preserve">处</w:t>
      </w:r>
      <w:r>
        <w:rPr>
          <w:rFonts w:ascii="仿宋_GB2312" w:hAnsi="___WRD_EMBED_SUB_44" w:cs="___WRD_EMBED_SUB_44" w:hint="eastAsia"/>
          <w:color w:val="auto"/>
          <w:highlight w:val="none"/>
        </w:rPr>
        <w:t xml:space="preserve">于</w:t>
      </w:r>
      <w:r>
        <w:rPr>
          <w:rFonts w:ascii="仿宋_GB2312" w:hAnsi="微软雅黑" w:cs="微软雅黑" w:hint="eastAsia"/>
          <w:color w:val="auto"/>
          <w:highlight w:val="none"/>
        </w:rPr>
        <w:t xml:space="preserve">闲</w:t>
      </w:r>
      <w:r>
        <w:rPr>
          <w:rFonts w:ascii="仿宋_GB2312" w:hAnsi="___WRD_EMBED_SUB_44" w:cs="___WRD_EMBED_SUB_44" w:hint="eastAsia"/>
          <w:color w:val="auto"/>
          <w:highlight w:val="none"/>
        </w:rPr>
        <w:t xml:space="preserve">置或低效利用状态。此次规划的</w:t>
      </w:r>
      <w:r>
        <w:rPr>
          <w:rFonts w:ascii="仿宋_GB2312" w:hint="eastAsia"/>
          <w:color w:val="auto"/>
          <w:highlight w:val="none"/>
        </w:rPr>
        <w:t xml:space="preserve">80</w:t>
      </w:r>
      <w:r>
        <w:rPr>
          <w:rFonts w:ascii="仿宋_GB2312" w:hAnsi="微软雅黑" w:cs="微软雅黑" w:hint="eastAsia"/>
          <w:color w:val="auto"/>
          <w:highlight w:val="none"/>
        </w:rPr>
        <w:t xml:space="preserve">亩土</w:t>
      </w:r>
      <w:r>
        <w:rPr>
          <w:rFonts w:ascii="仿宋_GB2312" w:hAnsi="___WRD_EMBED_SUB_44" w:cs="___WRD_EMBED_SUB_44" w:hint="eastAsia"/>
          <w:color w:val="auto"/>
          <w:highlight w:val="none"/>
        </w:rPr>
        <w:t xml:space="preserve">地就存在上</w:t>
      </w:r>
      <w:r>
        <w:rPr>
          <w:rFonts w:ascii="仿宋_GB2312" w:hAnsi="微软雅黑" w:cs="微软雅黑" w:hint="eastAsia"/>
          <w:color w:val="auto"/>
          <w:highlight w:val="none"/>
        </w:rPr>
        <w:t xml:space="preserve">述</w:t>
      </w:r>
      <w:r>
        <w:rPr>
          <w:rFonts w:ascii="仿宋_GB2312" w:hAnsi="___WRD_EMBED_SUB_44" w:cs="___WRD_EMBED_SUB_44" w:hint="eastAsia"/>
          <w:color w:val="auto"/>
          <w:highlight w:val="none"/>
        </w:rPr>
        <w:t xml:space="preserve">问</w:t>
      </w:r>
      <w:r>
        <w:rPr>
          <w:rFonts w:ascii="仿宋_GB2312" w:hAnsi="微软雅黑" w:cs="微软雅黑" w:hint="eastAsia"/>
          <w:color w:val="auto"/>
          <w:highlight w:val="none"/>
        </w:rPr>
        <w:t xml:space="preserve">题</w:t>
      </w:r>
      <w:r>
        <w:rPr>
          <w:rFonts w:ascii="仿宋_GB2312" w:hAnsi="___WRD_EMBED_SUB_44" w:cs="___WRD_EMBED_SUB_44" w:hint="eastAsia"/>
          <w:color w:val="auto"/>
          <w:highlight w:val="none"/>
        </w:rPr>
        <w:t xml:space="preserve">，不</w:t>
      </w:r>
      <w:r>
        <w:rPr>
          <w:rFonts w:ascii="仿宋_GB2312" w:hAnsi="微软雅黑" w:cs="微软雅黑" w:hint="eastAsia"/>
          <w:color w:val="auto"/>
          <w:highlight w:val="none"/>
        </w:rPr>
        <w:t xml:space="preserve">仅难</w:t>
      </w:r>
      <w:r>
        <w:rPr>
          <w:rFonts w:ascii="仿宋_GB2312" w:hAnsi="___WRD_EMBED_SUB_44" w:cs="___WRD_EMBED_SUB_44" w:hint="eastAsia"/>
          <w:color w:val="auto"/>
          <w:highlight w:val="none"/>
        </w:rPr>
        <w:t xml:space="preserve">以开展大规</w:t>
      </w:r>
      <w:r>
        <w:rPr>
          <w:rFonts w:ascii="仿宋_GB2312" w:hAnsi="微软雅黑" w:cs="微软雅黑" w:hint="eastAsia"/>
          <w:color w:val="auto"/>
          <w:highlight w:val="none"/>
        </w:rPr>
        <w:t xml:space="preserve">模</w:t>
      </w:r>
      <w:r>
        <w:rPr>
          <w:rFonts w:ascii="仿宋_GB2312" w:hAnsi="___WRD_EMBED_SUB_44" w:cs="___WRD_EMBED_SUB_44" w:hint="eastAsia"/>
          <w:color w:val="auto"/>
          <w:highlight w:val="none"/>
        </w:rPr>
        <w:t xml:space="preserve">、现</w:t>
      </w:r>
      <w:r>
        <w:rPr>
          <w:rFonts w:ascii="仿宋_GB2312" w:hAnsi="微软雅黑" w:cs="微软雅黑" w:hint="eastAsia"/>
          <w:color w:val="auto"/>
          <w:highlight w:val="none"/>
        </w:rPr>
        <w:t xml:space="preserve">代</w:t>
      </w:r>
      <w:r>
        <w:rPr>
          <w:rFonts w:ascii="仿宋_GB2312" w:hAnsi="___WRD_EMBED_SUB_44" w:cs="___WRD_EMBED_SUB_44" w:hint="eastAsia"/>
          <w:color w:val="auto"/>
          <w:highlight w:val="none"/>
        </w:rPr>
        <w:t xml:space="preserve">化的</w:t>
      </w:r>
      <w:r>
        <w:rPr>
          <w:rFonts w:ascii="仿宋_GB2312" w:hAnsi="微软雅黑" w:cs="微软雅黑" w:hint="eastAsia"/>
          <w:color w:val="auto"/>
          <w:highlight w:val="none"/>
        </w:rPr>
        <w:t xml:space="preserve">农</w:t>
      </w:r>
      <w:r>
        <w:rPr>
          <w:rFonts w:ascii="仿宋_GB2312" w:hAnsi="___WRD_EMBED_SUB_44" w:cs="___WRD_EMBED_SUB_44" w:hint="eastAsia"/>
          <w:color w:val="auto"/>
          <w:highlight w:val="none"/>
        </w:rPr>
        <w:t xml:space="preserve">业生产，</w:t>
      </w:r>
      <w:r>
        <w:rPr>
          <w:rFonts w:ascii="仿宋_GB2312" w:hAnsi="微软雅黑" w:cs="微软雅黑" w:hint="eastAsia"/>
          <w:color w:val="auto"/>
          <w:highlight w:val="none"/>
        </w:rPr>
        <w:t xml:space="preserve">还</w:t>
      </w:r>
      <w:r>
        <w:rPr>
          <w:rFonts w:ascii="仿宋_GB2312" w:hAnsi="___WRD_EMBED_SUB_44" w:cs="___WRD_EMBED_SUB_44" w:hint="eastAsia"/>
          <w:color w:val="auto"/>
          <w:highlight w:val="none"/>
        </w:rPr>
        <w:t xml:space="preserve">无法</w:t>
      </w:r>
      <w:r>
        <w:rPr>
          <w:rFonts w:ascii="仿宋_GB2312" w:hAnsi="微软雅黑" w:cs="微软雅黑" w:hint="eastAsia"/>
          <w:color w:val="auto"/>
          <w:highlight w:val="none"/>
        </w:rPr>
        <w:t xml:space="preserve">吸引企</w:t>
      </w:r>
      <w:r>
        <w:rPr>
          <w:rFonts w:ascii="仿宋_GB2312" w:hAnsi="___WRD_EMBED_SUB_44" w:cs="___WRD_EMBED_SUB_44" w:hint="eastAsia"/>
          <w:color w:val="auto"/>
          <w:highlight w:val="none"/>
        </w:rPr>
        <w:t xml:space="preserve">业投资，导致</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地经济效益低下。</w:t>
      </w:r>
    </w:p>
    <w:p>
      <w:pPr>
        <w:ind w:firstLine="640"/>
        <w:rPr>
          <w:rFonts w:ascii="仿宋_GB2312"/>
          <w:color w:val="auto"/>
          <w:highlight w:val="none"/>
        </w:rPr>
      </w:pPr>
      <w:r>
        <w:rPr>
          <w:rFonts w:ascii="仿宋_GB2312" w:hint="eastAsia"/>
          <w:color w:val="auto"/>
          <w:highlight w:val="none"/>
        </w:rPr>
        <w:t xml:space="preserve">鉴于此，</w:t>
      </w:r>
      <w:r>
        <w:rPr>
          <w:rFonts w:ascii="仿宋_GB2312" w:hAnsi="微软雅黑" w:cs="微软雅黑" w:hint="eastAsia"/>
          <w:color w:val="auto"/>
          <w:highlight w:val="none"/>
        </w:rPr>
        <w:t xml:space="preserve">古勒巴格乡党</w:t>
      </w:r>
      <w:r>
        <w:rPr>
          <w:rFonts w:ascii="仿宋_GB2312" w:hAnsi="___WRD_EMBED_SUB_44" w:cs="___WRD_EMBED_SUB_44" w:hint="eastAsia"/>
          <w:color w:val="auto"/>
          <w:highlight w:val="none"/>
        </w:rPr>
        <w:t xml:space="preserve">委、政府决定将实施</w:t>
      </w:r>
      <w:r>
        <w:rPr>
          <w:rFonts w:ascii="仿宋_GB2312" w:hAnsi="微软雅黑" w:cs="微软雅黑" w:hint="eastAsia"/>
          <w:color w:val="auto"/>
          <w:highlight w:val="none"/>
        </w:rPr>
        <w:t xml:space="preserve">古勒巴格乡奥曼库勒村扶持壮大村集体经济项目，平整80亩土地，增</w:t>
      </w:r>
      <w:r>
        <w:rPr>
          <w:rFonts w:ascii="仿宋_GB2312" w:hAnsi="___WRD_EMBED_SUB_44" w:cs="___WRD_EMBED_SUB_44" w:hint="eastAsia"/>
          <w:color w:val="auto"/>
          <w:highlight w:val="none"/>
        </w:rPr>
        <w:t xml:space="preserve">加</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集体收入。</w:t>
      </w:r>
    </w:p>
    <w:p>
      <w:pPr>
        <w:ind w:firstLine="640"/>
        <w:rPr>
          <w:color w:val="auto"/>
          <w:highlight w:val="none"/>
        </w:rPr>
      </w:pPr>
      <w:r>
        <w:rPr>
          <w:rFonts w:ascii="仿宋_GB2312"/>
          <w:color w:val="auto"/>
          <w:highlight w:val="none"/>
        </w:rPr>
        <w:t xml:space="preserve">以</w:t>
      </w:r>
      <w:r>
        <w:rPr>
          <w:rFonts w:ascii="仿宋_GB2312" w:hint="eastAsia"/>
          <w:color w:val="auto"/>
          <w:highlight w:val="none"/>
        </w:rPr>
        <w:t xml:space="preserve">尉犁县古勒巴格乡人民政府</w:t>
      </w:r>
      <w:r>
        <w:rPr>
          <w:rFonts w:ascii="仿宋_GB2312"/>
          <w:color w:val="auto"/>
          <w:highlight w:val="none"/>
        </w:rPr>
        <w:t xml:space="preserve">的职能配置为背景，结合</w:t>
      </w:r>
      <w:r>
        <w:rPr>
          <w:rFonts w:ascii="仿宋_GB2312" w:hint="eastAsia"/>
          <w:color w:val="auto"/>
          <w:highlight w:val="none"/>
        </w:rPr>
        <w:t xml:space="preserve">乡</w:t>
      </w:r>
      <w:r>
        <w:rPr>
          <w:rFonts w:ascii="仿宋_GB2312"/>
          <w:color w:val="auto"/>
          <w:highlight w:val="none"/>
        </w:rPr>
        <w:t xml:space="preserve">域实际情况，</w:t>
      </w:r>
      <w:r>
        <w:rPr>
          <w:rFonts w:ascii="仿宋_GB2312" w:hint="eastAsia"/>
          <w:color w:val="auto"/>
          <w:highlight w:val="none"/>
        </w:rPr>
        <w:t xml:space="preserve">根据《关于提前下达2022年中央</w:t>
      </w:r>
      <w:r>
        <w:rPr>
          <w:rFonts w:ascii="仿宋_GB2312" w:hAnsi="微软雅黑" w:cs="微软雅黑" w:hint="eastAsia"/>
          <w:color w:val="auto"/>
          <w:highlight w:val="none"/>
        </w:rPr>
        <w:t xml:space="preserve">农村</w:t>
      </w:r>
      <w:r>
        <w:rPr>
          <w:rFonts w:ascii="仿宋_GB2312" w:hAnsi="___WRD_EMBED_SUB_44" w:cs="___WRD_EMBED_SUB_44" w:hint="eastAsia"/>
          <w:color w:val="auto"/>
          <w:highlight w:val="none"/>
        </w:rPr>
        <w:t xml:space="preserve">综合改</w:t>
      </w:r>
      <w:r>
        <w:rPr>
          <w:rFonts w:ascii="仿宋_GB2312" w:hAnsi="微软雅黑" w:cs="微软雅黑" w:hint="eastAsia"/>
          <w:color w:val="auto"/>
          <w:highlight w:val="none"/>
        </w:rPr>
        <w:t xml:space="preserve">革</w:t>
      </w:r>
      <w:r>
        <w:rPr>
          <w:rFonts w:ascii="仿宋_GB2312" w:hAnsi="___WRD_EMBED_SUB_44" w:cs="___WRD_EMBED_SUB_44" w:hint="eastAsia"/>
          <w:color w:val="auto"/>
          <w:highlight w:val="none"/>
        </w:rPr>
        <w:t xml:space="preserve">转</w:t>
      </w:r>
      <w:r>
        <w:rPr>
          <w:rFonts w:ascii="仿宋_GB2312" w:hAnsi="微软雅黑" w:cs="微软雅黑" w:hint="eastAsia"/>
          <w:color w:val="auto"/>
          <w:highlight w:val="none"/>
        </w:rPr>
        <w:t xml:space="preserve">移</w:t>
      </w:r>
      <w:r>
        <w:rPr>
          <w:rFonts w:ascii="仿宋_GB2312" w:hAnsi="___WRD_EMBED_SUB_44" w:cs="___WRD_EMBED_SUB_44" w:hint="eastAsia"/>
          <w:color w:val="auto"/>
          <w:highlight w:val="none"/>
        </w:rPr>
        <w:t xml:space="preserve">支付预算（项目部分）</w:t>
      </w:r>
      <w:r>
        <w:rPr>
          <w:rFonts w:ascii="仿宋_GB2312" w:hint="eastAsia"/>
          <w:color w:val="auto"/>
          <w:highlight w:val="none"/>
        </w:rPr>
        <w:t xml:space="preserve">的通知》（</w:t>
      </w:r>
      <w:r>
        <w:rPr>
          <w:rFonts w:ascii="仿宋_GB2312" w:hAnsi="微软雅黑" w:cs="微软雅黑" w:hint="eastAsia"/>
          <w:color w:val="auto"/>
          <w:highlight w:val="none"/>
        </w:rPr>
        <w:t xml:space="preserve">新</w:t>
      </w:r>
      <w:r>
        <w:rPr>
          <w:rFonts w:ascii="仿宋_GB2312" w:hAnsi="___WRD_EMBED_SUB_44" w:cs="___WRD_EMBED_SUB_44" w:hint="eastAsia"/>
          <w:color w:val="auto"/>
          <w:highlight w:val="none"/>
        </w:rPr>
        <w:t xml:space="preserve">财</w:t>
      </w:r>
      <w:r>
        <w:rPr>
          <w:rFonts w:ascii="仿宋_GB2312" w:hAnsi="微软雅黑" w:cs="微软雅黑" w:hint="eastAsia"/>
          <w:color w:val="auto"/>
          <w:highlight w:val="none"/>
        </w:rPr>
        <w:t xml:space="preserve">农</w:t>
      </w:r>
      <w:r>
        <w:rPr>
          <w:rFonts w:ascii="仿宋_GB2312" w:hint="eastAsia"/>
          <w:color w:val="auto"/>
          <w:highlight w:val="none"/>
        </w:rPr>
        <w:t xml:space="preserve">〔2021〕115号）、《关于提前下达2022年自治区</w:t>
      </w:r>
      <w:r>
        <w:rPr>
          <w:rFonts w:ascii="仿宋_GB2312" w:hAnsi="微软雅黑" w:cs="微软雅黑" w:hint="eastAsia"/>
          <w:color w:val="auto"/>
          <w:highlight w:val="none"/>
        </w:rPr>
        <w:t xml:space="preserve">农村</w:t>
      </w:r>
      <w:r>
        <w:rPr>
          <w:rFonts w:ascii="仿宋_GB2312" w:hAnsi="___WRD_EMBED_SUB_44" w:cs="___WRD_EMBED_SUB_44" w:hint="eastAsia"/>
          <w:color w:val="auto"/>
          <w:highlight w:val="none"/>
        </w:rPr>
        <w:t xml:space="preserve">综合改</w:t>
      </w:r>
      <w:r>
        <w:rPr>
          <w:rFonts w:ascii="仿宋_GB2312" w:hAnsi="微软雅黑" w:cs="微软雅黑" w:hint="eastAsia"/>
          <w:color w:val="auto"/>
          <w:highlight w:val="none"/>
        </w:rPr>
        <w:t xml:space="preserve">革</w:t>
      </w:r>
      <w:r>
        <w:rPr>
          <w:rFonts w:ascii="仿宋_GB2312" w:hAnsi="___WRD_EMBED_SUB_44" w:cs="___WRD_EMBED_SUB_44" w:hint="eastAsia"/>
          <w:color w:val="auto"/>
          <w:highlight w:val="none"/>
        </w:rPr>
        <w:t xml:space="preserve">转</w:t>
      </w:r>
      <w:r>
        <w:rPr>
          <w:rFonts w:ascii="仿宋_GB2312" w:hAnsi="微软雅黑" w:cs="微软雅黑" w:hint="eastAsia"/>
          <w:color w:val="auto"/>
          <w:highlight w:val="none"/>
        </w:rPr>
        <w:t xml:space="preserve">移</w:t>
      </w:r>
      <w:r>
        <w:rPr>
          <w:rFonts w:ascii="仿宋_GB2312" w:hAnsi="___WRD_EMBED_SUB_44" w:cs="___WRD_EMBED_SUB_44" w:hint="eastAsia"/>
          <w:color w:val="auto"/>
          <w:highlight w:val="none"/>
        </w:rPr>
        <w:t xml:space="preserve">支付预算（项目部分）</w:t>
      </w:r>
      <w:r>
        <w:rPr>
          <w:rFonts w:ascii="仿宋_GB2312" w:hint="eastAsia"/>
          <w:color w:val="auto"/>
          <w:highlight w:val="none"/>
        </w:rPr>
        <w:t xml:space="preserve">的通知》</w:t>
      </w:r>
      <w:r>
        <w:rPr>
          <w:rFonts w:ascii="仿宋_GB2312" w:hAnsi="微软雅黑" w:cs="微软雅黑" w:hint="eastAsia"/>
          <w:color w:val="auto"/>
          <w:highlight w:val="none"/>
        </w:rPr>
        <w:t xml:space="preserve">新</w:t>
      </w:r>
      <w:r>
        <w:rPr>
          <w:rFonts w:ascii="仿宋_GB2312" w:hAnsi="___WRD_EMBED_SUB_44" w:cs="___WRD_EMBED_SUB_44" w:hint="eastAsia"/>
          <w:color w:val="auto"/>
          <w:highlight w:val="none"/>
        </w:rPr>
        <w:t xml:space="preserve">财</w:t>
      </w:r>
      <w:r>
        <w:rPr>
          <w:rFonts w:ascii="仿宋_GB2312" w:hAnsi="微软雅黑" w:cs="微软雅黑" w:hint="eastAsia"/>
          <w:color w:val="auto"/>
          <w:highlight w:val="none"/>
        </w:rPr>
        <w:t xml:space="preserve">农</w:t>
      </w:r>
      <w:bookmarkStart w:id="3" w:name="_Hlk195137395"/>
      <w:r>
        <w:rPr>
          <w:rFonts w:ascii="仿宋_GB2312" w:hint="eastAsia"/>
          <w:color w:val="auto"/>
          <w:highlight w:val="none"/>
        </w:rPr>
        <w:t xml:space="preserve">〔</w:t>
      </w:r>
      <w:bookmarkEnd w:id="3"/>
      <w:r>
        <w:rPr>
          <w:rFonts w:ascii="仿宋_GB2312" w:hint="eastAsia"/>
          <w:color w:val="auto"/>
          <w:highlight w:val="none"/>
        </w:rPr>
        <w:t xml:space="preserve">2021</w:t>
      </w:r>
      <w:bookmarkStart w:id="4" w:name="_Hlk195137406"/>
      <w:r>
        <w:rPr>
          <w:rFonts w:ascii="仿宋_GB2312" w:hint="eastAsia"/>
          <w:color w:val="auto"/>
          <w:highlight w:val="none"/>
        </w:rPr>
        <w:t xml:space="preserve">〕</w:t>
      </w:r>
      <w:bookmarkEnd w:id="4"/>
      <w:r>
        <w:rPr>
          <w:rFonts w:ascii="仿宋_GB2312" w:hint="eastAsia"/>
          <w:color w:val="auto"/>
          <w:highlight w:val="none"/>
        </w:rPr>
        <w:t xml:space="preserve">117号，《关于下达古勒巴格乡奥曼库勒村扶持壮大村集体经济项目的通知》尉财预〔2024〕003号安排2024</w:t>
      </w:r>
      <w:r>
        <w:rPr>
          <w:rFonts w:ascii="仿宋_GB2312"/>
          <w:color w:val="auto"/>
          <w:highlight w:val="none"/>
        </w:rPr>
        <w:t xml:space="preserve">年</w:t>
      </w:r>
      <w:r>
        <w:rPr>
          <w:rFonts w:ascii="仿宋_GB2312" w:hint="eastAsia"/>
          <w:color w:val="auto"/>
          <w:highlight w:val="none"/>
        </w:rPr>
        <w:t xml:space="preserve">古勒巴格乡奥曼库勒村扶持壮大村集体经济项目50万元资金，开展壮大村集体相关工作</w:t>
      </w:r>
      <w:r>
        <w:rPr>
          <w:rFonts w:ascii="仿宋_GB2312"/>
          <w:color w:val="auto"/>
          <w:highlight w:val="none"/>
        </w:rPr>
        <w:t xml:space="preserve">。</w:t>
      </w:r>
    </w:p>
    <w:p>
      <w:pPr>
        <w:ind w:firstLine="643"/>
        <w:rPr>
          <w:b/>
          <w:bCs/>
          <w:color w:val="auto"/>
          <w:highlight w:val="none"/>
        </w:rPr>
      </w:pPr>
      <w:r>
        <w:rPr>
          <w:b/>
          <w:bCs/>
          <w:color w:val="auto"/>
          <w:highlight w:val="none"/>
        </w:rPr>
        <w:t xml:space="preserve">2、项目主要内容</w:t>
      </w:r>
    </w:p>
    <w:p>
      <w:pPr>
        <w:pStyle w:val="BodyText"/>
        <w:ind w:firstLine="640"/>
        <w:rPr>
          <w:rFonts w:ascii="仿宋_GB2312"/>
          <w:color w:val="auto"/>
          <w:highlight w:val="none"/>
        </w:rPr>
      </w:pPr>
      <w:r>
        <w:rPr>
          <w:rFonts w:ascii="仿宋_GB2312" w:hAnsi="微软雅黑" w:cs="微软雅黑" w:hint="eastAsia"/>
          <w:color w:val="auto"/>
          <w:highlight w:val="none"/>
        </w:rPr>
        <w:t xml:space="preserve">平整奥曼库勒村80亩土地，盘活土</w:t>
      </w:r>
      <w:r>
        <w:rPr>
          <w:rFonts w:ascii="仿宋_GB2312" w:hAnsi="___WRD_EMBED_SUB_44" w:cs="___WRD_EMBED_SUB_44" w:hint="eastAsia"/>
          <w:color w:val="auto"/>
          <w:highlight w:val="none"/>
        </w:rPr>
        <w:t xml:space="preserve">地资源，优化产业结</w:t>
      </w:r>
      <w:r>
        <w:rPr>
          <w:rFonts w:ascii="仿宋_GB2312" w:hAnsi="微软雅黑" w:cs="微软雅黑" w:hint="eastAsia"/>
          <w:color w:val="auto"/>
          <w:highlight w:val="none"/>
        </w:rPr>
        <w:t xml:space="preserve">构</w:t>
      </w:r>
      <w:r>
        <w:rPr>
          <w:rFonts w:ascii="仿宋_GB2312" w:hAnsi="___WRD_EMBED_SUB_44" w:cs="___WRD_EMBED_SUB_44" w:hint="eastAsia"/>
          <w:color w:val="auto"/>
          <w:highlight w:val="none"/>
        </w:rPr>
        <w:t xml:space="preserve">，</w:t>
      </w:r>
      <w:r>
        <w:rPr>
          <w:rFonts w:ascii="仿宋_GB2312" w:hAnsi="微软雅黑" w:cs="微软雅黑" w:hint="eastAsia"/>
          <w:color w:val="auto"/>
          <w:highlight w:val="none"/>
        </w:rPr>
        <w:t xml:space="preserve">增</w:t>
      </w:r>
      <w:r>
        <w:rPr>
          <w:rFonts w:ascii="仿宋_GB2312" w:hAnsi="___WRD_EMBED_SUB_44" w:cs="___WRD_EMBED_SUB_44" w:hint="eastAsia"/>
          <w:color w:val="auto"/>
          <w:highlight w:val="none"/>
        </w:rPr>
        <w:t xml:space="preserve">加</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集体收入，</w:t>
      </w:r>
      <w:r>
        <w:rPr>
          <w:rFonts w:ascii="仿宋_GB2312" w:hAnsi="微软雅黑" w:cs="微软雅黑" w:hint="eastAsia"/>
          <w:color w:val="auto"/>
          <w:highlight w:val="none"/>
        </w:rPr>
        <w:t xml:space="preserve">还能带动村</w:t>
      </w:r>
      <w:r>
        <w:rPr>
          <w:rFonts w:ascii="仿宋_GB2312" w:hAnsi="___WRD_EMBED_SUB_44" w:cs="___WRD_EMBED_SUB_44" w:hint="eastAsia"/>
          <w:color w:val="auto"/>
          <w:highlight w:val="none"/>
        </w:rPr>
        <w:t xml:space="preserve">民就业，推</w:t>
      </w:r>
      <w:r>
        <w:rPr>
          <w:rFonts w:ascii="仿宋_GB2312" w:hAnsi="微软雅黑" w:cs="微软雅黑" w:hint="eastAsia"/>
          <w:color w:val="auto"/>
          <w:highlight w:val="none"/>
        </w:rPr>
        <w:t xml:space="preserve">动村庄</w:t>
      </w:r>
      <w:r>
        <w:rPr>
          <w:rFonts w:ascii="仿宋_GB2312" w:hAnsi="___WRD_EMBED_SUB_44" w:cs="___WRD_EMBED_SUB_44" w:hint="eastAsia"/>
          <w:color w:val="auto"/>
          <w:highlight w:val="none"/>
        </w:rPr>
        <w:t xml:space="preserve">经济社会持续健</w:t>
      </w:r>
      <w:r>
        <w:rPr>
          <w:rFonts w:ascii="仿宋_GB2312" w:hAnsi="微软雅黑" w:cs="微软雅黑" w:hint="eastAsia"/>
          <w:color w:val="auto"/>
          <w:highlight w:val="none"/>
        </w:rPr>
        <w:t xml:space="preserve">康</w:t>
      </w:r>
      <w:r>
        <w:rPr>
          <w:rFonts w:ascii="仿宋_GB2312" w:hAnsi="___WRD_EMBED_SUB_44" w:cs="___WRD_EMBED_SUB_44" w:hint="eastAsia"/>
          <w:color w:val="auto"/>
          <w:highlight w:val="none"/>
        </w:rPr>
        <w:t xml:space="preserve">发展。</w:t>
      </w:r>
    </w:p>
    <w:p>
      <w:pPr>
        <w:ind w:firstLine="643"/>
        <w:rPr>
          <w:b/>
          <w:bCs/>
          <w:color w:val="auto"/>
          <w:highlight w:val="none"/>
        </w:rPr>
      </w:pPr>
      <w:r>
        <w:rPr>
          <w:rFonts w:hint="eastAsia"/>
          <w:b/>
          <w:bCs/>
          <w:color w:val="auto"/>
          <w:highlight w:val="none"/>
        </w:rPr>
        <w:t xml:space="preserve">3、</w:t>
      </w:r>
      <w:r>
        <w:rPr>
          <w:b/>
          <w:bCs/>
          <w:color w:val="auto"/>
          <w:highlight w:val="none"/>
        </w:rPr>
        <w:t xml:space="preserve">项目实施情况</w:t>
      </w:r>
    </w:p>
    <w:p>
      <w:pPr>
        <w:ind w:firstLine="640"/>
        <w:rPr>
          <w:color w:val="auto"/>
          <w:highlight w:val="none"/>
        </w:rPr>
      </w:pPr>
      <w:r>
        <w:rPr>
          <w:rFonts w:hint="eastAsia"/>
          <w:color w:val="auto"/>
          <w:highlight w:val="none"/>
        </w:rPr>
        <w:t xml:space="preserve">根据尉犁县古勒巴格乡人民政府工作任务计划，适时开展以下工作方案</w:t>
      </w:r>
      <w:r>
        <w:rPr>
          <w:rFonts w:ascii="仿宋_GB2312" w:hint="eastAsia"/>
          <w:color w:val="auto"/>
          <w:highlight w:val="none"/>
        </w:rPr>
        <w:t xml:space="preserve">：</w:t>
      </w:r>
    </w:p>
    <w:p>
      <w:pPr>
        <w:ind w:firstLine="640"/>
        <w:rPr>
          <w:rFonts w:ascii="仿宋_GB2312"/>
          <w:color w:val="auto"/>
          <w:highlight w:val="none"/>
        </w:rPr>
      </w:pPr>
      <w:r>
        <w:rPr>
          <w:rFonts w:ascii="仿宋_GB2312" w:hint="eastAsia"/>
          <w:color w:val="auto"/>
          <w:highlight w:val="none"/>
        </w:rPr>
        <w:t xml:space="preserve">2024年5月完成项目实施方案；</w:t>
      </w:r>
    </w:p>
    <w:p>
      <w:pPr>
        <w:ind w:firstLine="640"/>
        <w:rPr>
          <w:rFonts w:ascii="仿宋_GB2312"/>
          <w:color w:val="auto"/>
          <w:highlight w:val="none"/>
        </w:rPr>
      </w:pPr>
      <w:r>
        <w:rPr>
          <w:rFonts w:ascii="仿宋_GB2312" w:hint="eastAsia"/>
          <w:color w:val="auto"/>
          <w:highlight w:val="none"/>
        </w:rPr>
        <w:t xml:space="preserve">2024年6月</w:t>
      </w:r>
      <w:r>
        <w:rPr>
          <w:rFonts w:ascii="仿宋_GB2312" w:hAnsi="微软雅黑" w:cs="微软雅黑" w:hint="eastAsia"/>
          <w:color w:val="auto"/>
          <w:highlight w:val="none"/>
        </w:rPr>
        <w:t xml:space="preserve">～</w:t>
      </w:r>
      <w:r>
        <w:rPr>
          <w:rFonts w:ascii="仿宋_GB2312" w:hAnsi="Calibri" w:cs="Calibri" w:hint="eastAsia"/>
          <w:color w:val="auto"/>
          <w:highlight w:val="none"/>
        </w:rPr>
        <w:t xml:space="preserve">9</w:t>
      </w:r>
      <w:r>
        <w:rPr>
          <w:rFonts w:ascii="仿宋_GB2312" w:hint="eastAsia"/>
          <w:color w:val="auto"/>
          <w:highlight w:val="none"/>
        </w:rPr>
        <w:t xml:space="preserve">月完成</w:t>
      </w:r>
      <w:r>
        <w:rPr>
          <w:rFonts w:ascii="仿宋_GB2312" w:hint="eastAsia"/>
          <w:color w:val="auto"/>
          <w:highlight w:val="none"/>
          <w:lang w:val="en-US" w:eastAsia="zh-CN"/>
        </w:rPr>
        <w:t xml:space="preserve">200</w:t>
      </w:r>
      <w:r>
        <w:rPr>
          <w:rFonts w:ascii="仿宋_GB2312" w:hint="eastAsia"/>
          <w:color w:val="auto"/>
          <w:highlight w:val="none"/>
        </w:rPr>
        <w:t xml:space="preserve">亩</w:t>
      </w:r>
      <w:r>
        <w:rPr>
          <w:rFonts w:ascii="仿宋_GB2312" w:hAnsi="微软雅黑" w:cs="微软雅黑" w:hint="eastAsia"/>
          <w:color w:val="auto"/>
          <w:highlight w:val="none"/>
        </w:rPr>
        <w:t xml:space="preserve">土地平整</w:t>
      </w:r>
      <w:r>
        <w:rPr>
          <w:rFonts w:ascii="仿宋_GB2312" w:hint="eastAsia"/>
          <w:color w:val="auto"/>
          <w:highlight w:val="none"/>
        </w:rPr>
        <w:t xml:space="preserve">；</w:t>
      </w:r>
    </w:p>
    <w:p>
      <w:pPr>
        <w:ind w:firstLine="640"/>
        <w:rPr>
          <w:rFonts w:ascii="仿宋_GB2312"/>
          <w:color w:val="auto"/>
          <w:highlight w:val="none"/>
        </w:rPr>
      </w:pPr>
      <w:r>
        <w:rPr>
          <w:rFonts w:ascii="仿宋_GB2312" w:hint="eastAsia"/>
          <w:color w:val="auto"/>
          <w:highlight w:val="none"/>
        </w:rPr>
        <w:t xml:space="preserve">2024年</w:t>
      </w:r>
      <w:r>
        <w:rPr>
          <w:rFonts w:ascii="仿宋_GB2312" w:hAnsi="Calibri" w:cs="Calibri" w:hint="eastAsia"/>
          <w:color w:val="auto"/>
          <w:highlight w:val="none"/>
        </w:rPr>
        <w:t xml:space="preserve">12</w:t>
      </w:r>
      <w:r>
        <w:rPr>
          <w:rFonts w:ascii="仿宋_GB2312" w:hint="eastAsia"/>
          <w:color w:val="auto"/>
          <w:highlight w:val="none"/>
        </w:rPr>
        <w:t xml:space="preserve">月1日，</w:t>
      </w:r>
      <w:r>
        <w:rPr>
          <w:rFonts w:ascii="仿宋_GB2312" w:hint="eastAsia"/>
          <w:color w:val="auto"/>
          <w:highlight w:val="none"/>
          <w:lang w:val="en-US" w:eastAsia="zh-CN"/>
        </w:rPr>
        <w:t xml:space="preserve">200</w:t>
      </w:r>
      <w:r>
        <w:rPr>
          <w:rFonts w:ascii="仿宋_GB2312" w:hint="eastAsia"/>
          <w:color w:val="auto"/>
          <w:highlight w:val="none"/>
        </w:rPr>
        <w:t xml:space="preserve">亩土地平整完毕，出租给第三方。</w:t>
      </w:r>
    </w:p>
    <w:p>
      <w:pPr>
        <w:ind w:firstLine="643"/>
        <w:rPr>
          <w:b/>
          <w:bCs/>
          <w:color w:val="auto"/>
          <w:highlight w:val="none"/>
        </w:rPr>
      </w:pPr>
      <w:r>
        <w:rPr>
          <w:rFonts w:hint="eastAsia"/>
          <w:b/>
          <w:bCs/>
          <w:color w:val="auto"/>
          <w:highlight w:val="none"/>
        </w:rPr>
        <w:t xml:space="preserve">4、资金投入情况</w:t>
      </w:r>
    </w:p>
    <w:p>
      <w:pPr>
        <w:ind w:firstLine="640"/>
        <w:rPr>
          <w:rFonts w:ascii="仿宋_GB2312" w:hAnsi="微软雅黑" w:cs="微软雅黑" w:hint="eastAsia"/>
          <w:color w:val="auto"/>
          <w:highlight w:val="none"/>
        </w:rPr>
      </w:pPr>
      <w:r>
        <w:rPr>
          <w:rFonts w:ascii="仿宋_GB2312" w:hint="eastAsia"/>
          <w:color w:val="auto"/>
          <w:highlight w:val="none"/>
        </w:rPr>
        <w:t xml:space="preserve">根据《关于提前下达2022年中央</w:t>
      </w:r>
      <w:r>
        <w:rPr>
          <w:rFonts w:ascii="仿宋_GB2312" w:hAnsi="微软雅黑" w:cs="微软雅黑" w:hint="eastAsia"/>
          <w:color w:val="auto"/>
          <w:highlight w:val="none"/>
        </w:rPr>
        <w:t xml:space="preserve">农村</w:t>
      </w:r>
      <w:r>
        <w:rPr>
          <w:rFonts w:ascii="仿宋_GB2312" w:hAnsi="___WRD_EMBED_SUB_44" w:cs="___WRD_EMBED_SUB_44" w:hint="eastAsia"/>
          <w:color w:val="auto"/>
          <w:highlight w:val="none"/>
        </w:rPr>
        <w:t xml:space="preserve">综合改</w:t>
      </w:r>
      <w:r>
        <w:rPr>
          <w:rFonts w:ascii="仿宋_GB2312" w:hAnsi="微软雅黑" w:cs="微软雅黑" w:hint="eastAsia"/>
          <w:color w:val="auto"/>
          <w:highlight w:val="none"/>
        </w:rPr>
        <w:t xml:space="preserve">革</w:t>
      </w:r>
      <w:r>
        <w:rPr>
          <w:rFonts w:ascii="仿宋_GB2312" w:hAnsi="___WRD_EMBED_SUB_44" w:cs="___WRD_EMBED_SUB_44" w:hint="eastAsia"/>
          <w:color w:val="auto"/>
          <w:highlight w:val="none"/>
        </w:rPr>
        <w:t xml:space="preserve">转</w:t>
      </w:r>
      <w:r>
        <w:rPr>
          <w:rFonts w:ascii="仿宋_GB2312" w:hAnsi="微软雅黑" w:cs="微软雅黑" w:hint="eastAsia"/>
          <w:color w:val="auto"/>
          <w:highlight w:val="none"/>
        </w:rPr>
        <w:t xml:space="preserve">移</w:t>
      </w:r>
      <w:r>
        <w:rPr>
          <w:rFonts w:ascii="仿宋_GB2312" w:hAnsi="___WRD_EMBED_SUB_44" w:cs="___WRD_EMBED_SUB_44" w:hint="eastAsia"/>
          <w:color w:val="auto"/>
          <w:highlight w:val="none"/>
        </w:rPr>
        <w:t xml:space="preserve">支付预算（项目部分）</w:t>
      </w:r>
      <w:r>
        <w:rPr>
          <w:rFonts w:ascii="仿宋_GB2312" w:hint="eastAsia"/>
          <w:color w:val="auto"/>
          <w:highlight w:val="none"/>
        </w:rPr>
        <w:t xml:space="preserve">的通知》（</w:t>
      </w:r>
      <w:r>
        <w:rPr>
          <w:rFonts w:ascii="仿宋_GB2312" w:hAnsi="微软雅黑" w:cs="微软雅黑" w:hint="eastAsia"/>
          <w:color w:val="auto"/>
          <w:highlight w:val="none"/>
        </w:rPr>
        <w:t xml:space="preserve">新</w:t>
      </w:r>
      <w:r>
        <w:rPr>
          <w:rFonts w:ascii="仿宋_GB2312" w:hAnsi="___WRD_EMBED_SUB_44" w:cs="___WRD_EMBED_SUB_44" w:hint="eastAsia"/>
          <w:color w:val="auto"/>
          <w:highlight w:val="none"/>
        </w:rPr>
        <w:t xml:space="preserve">财</w:t>
      </w:r>
      <w:r>
        <w:rPr>
          <w:rFonts w:ascii="仿宋_GB2312" w:hAnsi="微软雅黑" w:cs="微软雅黑" w:hint="eastAsia"/>
          <w:color w:val="auto"/>
          <w:highlight w:val="none"/>
        </w:rPr>
        <w:t xml:space="preserve">农</w:t>
      </w:r>
      <w:r>
        <w:rPr>
          <w:rFonts w:ascii="仿宋_GB2312" w:hint="eastAsia"/>
          <w:color w:val="auto"/>
          <w:highlight w:val="none"/>
        </w:rPr>
        <w:t xml:space="preserve">〔2021〕115号）、《关于提前下达2022年自治区</w:t>
      </w:r>
      <w:r>
        <w:rPr>
          <w:rFonts w:ascii="仿宋_GB2312" w:hAnsi="微软雅黑" w:cs="微软雅黑" w:hint="eastAsia"/>
          <w:color w:val="auto"/>
          <w:highlight w:val="none"/>
        </w:rPr>
        <w:t xml:space="preserve">农村</w:t>
      </w:r>
      <w:r>
        <w:rPr>
          <w:rFonts w:ascii="仿宋_GB2312" w:hAnsi="___WRD_EMBED_SUB_44" w:cs="___WRD_EMBED_SUB_44" w:hint="eastAsia"/>
          <w:color w:val="auto"/>
          <w:highlight w:val="none"/>
        </w:rPr>
        <w:t xml:space="preserve">综合改</w:t>
      </w:r>
      <w:r>
        <w:rPr>
          <w:rFonts w:ascii="仿宋_GB2312" w:hAnsi="微软雅黑" w:cs="微软雅黑" w:hint="eastAsia"/>
          <w:color w:val="auto"/>
          <w:highlight w:val="none"/>
        </w:rPr>
        <w:t xml:space="preserve">革</w:t>
      </w:r>
      <w:r>
        <w:rPr>
          <w:rFonts w:ascii="仿宋_GB2312" w:hAnsi="___WRD_EMBED_SUB_44" w:cs="___WRD_EMBED_SUB_44" w:hint="eastAsia"/>
          <w:color w:val="auto"/>
          <w:highlight w:val="none"/>
        </w:rPr>
        <w:t xml:space="preserve">转</w:t>
      </w:r>
      <w:r>
        <w:rPr>
          <w:rFonts w:ascii="仿宋_GB2312" w:hAnsi="微软雅黑" w:cs="微软雅黑" w:hint="eastAsia"/>
          <w:color w:val="auto"/>
          <w:highlight w:val="none"/>
        </w:rPr>
        <w:t xml:space="preserve">移</w:t>
      </w:r>
      <w:r>
        <w:rPr>
          <w:rFonts w:ascii="仿宋_GB2312" w:hAnsi="___WRD_EMBED_SUB_44" w:cs="___WRD_EMBED_SUB_44" w:hint="eastAsia"/>
          <w:color w:val="auto"/>
          <w:highlight w:val="none"/>
        </w:rPr>
        <w:t xml:space="preserve">支付预算（项目部分）</w:t>
      </w:r>
      <w:r>
        <w:rPr>
          <w:rFonts w:ascii="仿宋_GB2312" w:hint="eastAsia"/>
          <w:color w:val="auto"/>
          <w:highlight w:val="none"/>
        </w:rPr>
        <w:t xml:space="preserve">的通知》（</w:t>
      </w:r>
      <w:r>
        <w:rPr>
          <w:rFonts w:ascii="仿宋_GB2312" w:hAnsi="微软雅黑" w:cs="微软雅黑" w:hint="eastAsia"/>
          <w:color w:val="auto"/>
          <w:highlight w:val="none"/>
        </w:rPr>
        <w:t xml:space="preserve">新</w:t>
      </w:r>
      <w:r>
        <w:rPr>
          <w:rFonts w:ascii="仿宋_GB2312" w:hAnsi="___WRD_EMBED_SUB_44" w:cs="___WRD_EMBED_SUB_44" w:hint="eastAsia"/>
          <w:color w:val="auto"/>
          <w:highlight w:val="none"/>
        </w:rPr>
        <w:t xml:space="preserve">财</w:t>
      </w:r>
      <w:r>
        <w:rPr>
          <w:rFonts w:ascii="仿宋_GB2312" w:hAnsi="微软雅黑" w:cs="微软雅黑" w:hint="eastAsia"/>
          <w:color w:val="auto"/>
          <w:highlight w:val="none"/>
        </w:rPr>
        <w:t xml:space="preserve">农</w:t>
      </w:r>
      <w:r>
        <w:rPr>
          <w:rFonts w:ascii="仿宋_GB2312" w:hint="eastAsia"/>
          <w:color w:val="auto"/>
          <w:highlight w:val="none"/>
        </w:rPr>
        <w:t xml:space="preserve">〔2021〕117号），《关于下达古勒巴格乡奥曼库勒村扶持壮大村集体经济项目的通知》（尉财预〔2024〕003号）下达</w:t>
      </w:r>
      <w:r>
        <w:rPr>
          <w:rFonts w:ascii="仿宋_GB2312" w:hAnsi="微软雅黑" w:cs="微软雅黑" w:hint="eastAsia"/>
          <w:color w:val="auto"/>
          <w:highlight w:val="none"/>
        </w:rPr>
        <w:t xml:space="preserve">古勒巴格乡奥曼库勒村扶持壮大村集体经济项目资金50万元。</w:t>
      </w:r>
    </w:p>
    <w:p>
      <w:pPr>
        <w:ind w:firstLine="640"/>
        <w:rPr>
          <w:rFonts w:ascii="仿宋_GB2312"/>
          <w:color w:val="auto"/>
          <w:highlight w:val="none"/>
        </w:rPr>
      </w:pPr>
      <w:r>
        <w:rPr>
          <w:rFonts w:ascii="仿宋_GB2312" w:hint="eastAsia"/>
          <w:color w:val="auto"/>
          <w:highlight w:val="none"/>
        </w:rPr>
        <w:t xml:space="preserve">实施</w:t>
      </w:r>
      <w:r>
        <w:rPr>
          <w:rFonts w:ascii="仿宋_GB2312" w:hAnsi="微软雅黑" w:cs="微软雅黑" w:hint="eastAsia"/>
          <w:color w:val="auto"/>
          <w:highlight w:val="none"/>
        </w:rPr>
        <w:t xml:space="preserve">古勒巴格乡奥曼库勒村扶持壮大村集体经济项目</w:t>
      </w:r>
      <w:r>
        <w:rPr>
          <w:rFonts w:ascii="仿宋_GB2312" w:hint="eastAsia"/>
          <w:color w:val="auto"/>
          <w:highlight w:val="none"/>
        </w:rPr>
        <w:t xml:space="preserve">投入50万元，其中县级资金50万元。</w:t>
      </w:r>
    </w:p>
    <w:p>
      <w:pPr>
        <w:ind w:firstLine="643"/>
        <w:rPr>
          <w:b/>
          <w:bCs/>
          <w:color w:val="auto"/>
          <w:highlight w:val="none"/>
        </w:rPr>
      </w:pPr>
      <w:r>
        <w:rPr>
          <w:rFonts w:hint="eastAsia"/>
          <w:b/>
          <w:bCs/>
          <w:color w:val="auto"/>
          <w:highlight w:val="none"/>
        </w:rPr>
        <w:t xml:space="preserve">5、资金使用情况</w:t>
      </w:r>
    </w:p>
    <w:p>
      <w:pPr>
        <w:ind w:firstLine="640"/>
        <w:rPr>
          <w:rFonts w:ascii="仿宋_GB2312"/>
          <w:color w:val="auto"/>
          <w:highlight w:val="none"/>
        </w:rPr>
      </w:pPr>
      <w:bookmarkStart w:id="5" w:name="_Toc25187"/>
      <w:r>
        <w:rPr>
          <w:rFonts w:ascii="仿宋_GB2312" w:hint="eastAsia"/>
          <w:color w:val="auto"/>
          <w:highlight w:val="none"/>
        </w:rPr>
        <w:t xml:space="preserve">2024年初预算数50万元，实际到位资金50万元。截</w:t>
      </w:r>
      <w:r>
        <w:rPr>
          <w:rFonts w:ascii="仿宋_GB2312" w:hint="eastAsia"/>
          <w:color w:val="auto"/>
          <w:highlight w:val="none"/>
          <w:lang w:val="en-US" w:eastAsia="zh-CN"/>
        </w:rPr>
        <w:t xml:space="preserve">至</w:t>
      </w:r>
      <w:r>
        <w:rPr>
          <w:rFonts w:ascii="仿宋_GB2312" w:hint="eastAsia"/>
          <w:color w:val="auto"/>
          <w:highlight w:val="none"/>
        </w:rPr>
        <w:t xml:space="preserve">2024年12月31日，项目实际使用资金50万元，资金使用率达到了100%。具体资金支付情况</w:t>
      </w:r>
      <w:r>
        <w:rPr>
          <w:rFonts w:ascii="仿宋_GB2312" w:hint="eastAsia"/>
          <w:color w:val="auto"/>
          <w:highlight w:val="none"/>
          <w:lang w:val="en-US" w:eastAsia="zh-CN"/>
        </w:rPr>
        <w:t xml:space="preserve">如下</w:t>
      </w:r>
      <w:r>
        <w:rPr>
          <w:rFonts w:ascii="仿宋_GB2312" w:hint="eastAsia"/>
          <w:color w:val="auto"/>
          <w:highlight w:val="none"/>
        </w:rPr>
        <w:t xml:space="preserve">：</w:t>
      </w:r>
    </w:p>
    <w:p>
      <w:pPr>
        <w:ind w:firstLine="640"/>
        <w:rPr>
          <w:rFonts w:ascii="仿宋_GB2312"/>
          <w:color w:val="auto"/>
          <w:highlight w:val="none"/>
        </w:rPr>
      </w:pPr>
      <w:r>
        <w:rPr>
          <w:rFonts w:ascii="仿宋_GB2312" w:hint="eastAsia"/>
          <w:color w:val="auto"/>
          <w:highlight w:val="none"/>
        </w:rPr>
        <w:t xml:space="preserve">2024年</w:t>
      </w:r>
      <w:r>
        <w:rPr>
          <w:rFonts w:ascii="仿宋_GB2312" w:hAnsi="Calibri" w:cs="Calibri" w:hint="eastAsia"/>
          <w:color w:val="auto"/>
          <w:highlight w:val="none"/>
        </w:rPr>
        <w:t xml:space="preserve">7</w:t>
      </w:r>
      <w:r>
        <w:rPr>
          <w:rFonts w:ascii="仿宋_GB2312" w:hint="eastAsia"/>
          <w:color w:val="auto"/>
          <w:highlight w:val="none"/>
        </w:rPr>
        <w:t xml:space="preserve">月</w:t>
      </w:r>
      <w:r>
        <w:rPr>
          <w:rFonts w:ascii="仿宋_GB2312" w:hAnsi="Calibri" w:cs="Calibri" w:hint="eastAsia"/>
          <w:color w:val="auto"/>
          <w:highlight w:val="none"/>
        </w:rPr>
        <w:t xml:space="preserve">12</w:t>
      </w:r>
      <w:r>
        <w:rPr>
          <w:rFonts w:ascii="仿宋_GB2312" w:hint="eastAsia"/>
          <w:color w:val="auto"/>
          <w:highlight w:val="none"/>
        </w:rPr>
        <w:t xml:space="preserve">日，支付给巴州利峰机械租赁有限公司4</w:t>
      </w:r>
      <w:r>
        <w:rPr>
          <w:rFonts w:ascii="仿宋_GB2312" w:hAnsi="Calibri" w:cs="Calibri" w:hint="eastAsia"/>
          <w:color w:val="auto"/>
          <w:highlight w:val="none"/>
        </w:rPr>
        <w:t xml:space="preserve">7.5</w:t>
      </w:r>
      <w:r>
        <w:rPr>
          <w:rFonts w:ascii="仿宋_GB2312" w:hint="eastAsia"/>
          <w:color w:val="auto"/>
          <w:highlight w:val="none"/>
        </w:rPr>
        <w:t xml:space="preserve">万元。</w:t>
      </w:r>
    </w:p>
    <w:p>
      <w:pPr>
        <w:ind w:firstLine="640"/>
        <w:rPr>
          <w:rFonts w:ascii="仿宋_GB2312"/>
          <w:color w:val="auto"/>
          <w:highlight w:val="none"/>
        </w:rPr>
      </w:pPr>
      <w:r>
        <w:rPr>
          <w:rFonts w:ascii="仿宋_GB2312" w:hint="eastAsia"/>
          <w:color w:val="auto"/>
          <w:highlight w:val="none"/>
        </w:rPr>
        <w:t xml:space="preserve">2024年</w:t>
      </w:r>
      <w:r>
        <w:rPr>
          <w:rFonts w:ascii="仿宋_GB2312" w:hAnsi="Calibri" w:cs="Calibri" w:hint="eastAsia"/>
          <w:color w:val="auto"/>
          <w:highlight w:val="none"/>
        </w:rPr>
        <w:t xml:space="preserve">9</w:t>
      </w:r>
      <w:r>
        <w:rPr>
          <w:rFonts w:ascii="仿宋_GB2312" w:hint="eastAsia"/>
          <w:color w:val="auto"/>
          <w:highlight w:val="none"/>
        </w:rPr>
        <w:t xml:space="preserve">月</w:t>
      </w:r>
      <w:r>
        <w:rPr>
          <w:rFonts w:ascii="仿宋_GB2312" w:hAnsi="Calibri" w:cs="Calibri" w:hint="eastAsia"/>
          <w:color w:val="auto"/>
          <w:highlight w:val="none"/>
        </w:rPr>
        <w:t xml:space="preserve">11</w:t>
      </w:r>
      <w:r>
        <w:rPr>
          <w:rFonts w:ascii="仿宋_GB2312" w:hint="eastAsia"/>
          <w:color w:val="auto"/>
          <w:highlight w:val="none"/>
        </w:rPr>
        <w:t xml:space="preserve">日，支付给巴州利峰机械租赁有限公司2</w:t>
      </w:r>
      <w:r>
        <w:rPr>
          <w:rFonts w:ascii="仿宋_GB2312" w:hAnsi="Calibri" w:cs="Calibri" w:hint="eastAsia"/>
          <w:color w:val="auto"/>
          <w:highlight w:val="none"/>
        </w:rPr>
        <w:t xml:space="preserve">.5</w:t>
      </w:r>
      <w:r>
        <w:rPr>
          <w:rFonts w:ascii="仿宋_GB2312" w:hint="eastAsia"/>
          <w:color w:val="auto"/>
          <w:highlight w:val="none"/>
        </w:rPr>
        <w:t xml:space="preserve">万元。</w:t>
      </w:r>
    </w:p>
    <w:p>
      <w:pPr>
        <w:pStyle w:val="Heading3"/>
        <w:ind w:firstLine="643"/>
        <w:rPr>
          <w:color w:val="auto"/>
          <w:highlight w:val="none"/>
        </w:rPr>
      </w:pPr>
      <w:r>
        <w:rPr>
          <w:color w:val="auto"/>
          <w:highlight w:val="none"/>
        </w:rPr>
        <w:t xml:space="preserve">（二）项目绩效目标</w:t>
      </w:r>
      <w:bookmarkEnd w:id="5"/>
    </w:p>
    <w:p>
      <w:pPr>
        <w:ind w:firstLine="643"/>
        <w:rPr>
          <w:b/>
          <w:bCs/>
          <w:color w:val="auto"/>
          <w:highlight w:val="none"/>
        </w:rPr>
      </w:pPr>
      <w:r>
        <w:rPr>
          <w:rFonts w:hint="eastAsia"/>
          <w:b/>
          <w:bCs/>
          <w:color w:val="auto"/>
          <w:highlight w:val="none"/>
        </w:rPr>
        <w:t xml:space="preserve">1、总体目标</w:t>
      </w:r>
    </w:p>
    <w:p>
      <w:pPr>
        <w:pStyle w:val="BodyText"/>
        <w:ind w:firstLine="640"/>
        <w:rPr>
          <w:rFonts w:ascii="仿宋_GB2312"/>
          <w:color w:val="auto"/>
          <w:highlight w:val="none"/>
        </w:rPr>
      </w:pPr>
      <w:r>
        <w:rPr>
          <w:rFonts w:ascii="仿宋_GB2312" w:hAnsi="微软雅黑" w:cs="微软雅黑" w:hint="eastAsia"/>
          <w:color w:val="auto"/>
          <w:highlight w:val="none"/>
        </w:rPr>
        <w:t xml:space="preserve">土地平整80亩，扶持壮大村集体经济收入。</w:t>
      </w:r>
    </w:p>
    <w:p>
      <w:pPr>
        <w:ind w:firstLine="643"/>
        <w:rPr>
          <w:b/>
          <w:bCs/>
          <w:color w:val="auto"/>
          <w:highlight w:val="none"/>
        </w:rPr>
      </w:pPr>
      <w:r>
        <w:rPr>
          <w:rFonts w:hint="eastAsia"/>
          <w:b/>
          <w:bCs/>
          <w:color w:val="auto"/>
          <w:highlight w:val="none"/>
        </w:rPr>
        <w:t xml:space="preserve">2、阶段性目标</w:t>
      </w:r>
    </w:p>
    <w:p>
      <w:pPr>
        <w:pStyle w:val="BodyText"/>
        <w:ind w:firstLine="640"/>
        <w:rPr>
          <w:rFonts w:ascii="仿宋_GB2312"/>
          <w:color w:val="auto"/>
          <w:highlight w:val="none"/>
        </w:rPr>
      </w:pPr>
      <w:bookmarkStart w:id="6" w:name="_Toc28824"/>
      <w:r>
        <w:rPr>
          <w:rFonts w:ascii="仿宋_GB2312" w:hAnsi="微软雅黑" w:cs="微软雅黑" w:hint="eastAsia"/>
          <w:color w:val="auto"/>
          <w:highlight w:val="none"/>
        </w:rPr>
        <w:t xml:space="preserve">壮大村集体经济实现乡村振兴的重要支撑，奥曼库勒村村集体经济薄弱，通过实施该项目合理规划利用土地，将</w:t>
      </w:r>
      <w:r>
        <w:rPr>
          <w:rFonts w:ascii="仿宋_GB2312" w:hAnsi="微软雅黑" w:cs="微软雅黑" w:hint="eastAsia"/>
          <w:color w:val="auto"/>
          <w:highlight w:val="none"/>
          <w:lang w:val="en-US" w:eastAsia="zh-CN"/>
        </w:rPr>
        <w:t xml:space="preserve">200</w:t>
      </w:r>
      <w:r>
        <w:rPr>
          <w:rFonts w:ascii="仿宋_GB2312" w:hAnsi="微软雅黑" w:cs="微软雅黑" w:hint="eastAsia"/>
          <w:color w:val="auto"/>
          <w:highlight w:val="none"/>
        </w:rPr>
        <w:t xml:space="preserve">亩土地进行平整，每平米土地平整价格</w:t>
      </w:r>
      <w:r>
        <w:rPr>
          <w:rFonts w:ascii="仿宋_GB2312" w:hAnsi="微软雅黑" w:cs="微软雅黑" w:hint="eastAsia"/>
          <w:color w:val="auto"/>
          <w:highlight w:val="none"/>
          <w:lang w:val="en-US" w:eastAsia="zh-CN"/>
        </w:rPr>
        <w:t xml:space="preserve">2500</w:t>
      </w:r>
      <w:r>
        <w:rPr>
          <w:rFonts w:ascii="仿宋_GB2312" w:hAnsi="微软雅黑" w:cs="微软雅黑" w:hint="eastAsia"/>
          <w:color w:val="auto"/>
          <w:highlight w:val="none"/>
        </w:rPr>
        <w:t xml:space="preserve">元，平整完毕后出租给第三方，增加土地租赁，流转收入，从而增加村集体收入，提高群众满意度。</w:t>
      </w:r>
    </w:p>
    <w:p>
      <w:pPr>
        <w:pStyle w:val="Heading2"/>
        <w:ind w:firstLine="640"/>
        <w:rPr>
          <w:color w:val="auto"/>
          <w:highlight w:val="none"/>
        </w:rPr>
      </w:pPr>
      <w:r>
        <w:rPr>
          <w:rFonts w:hint="eastAsia"/>
          <w:color w:val="auto"/>
          <w:highlight w:val="none"/>
        </w:rPr>
        <w:t xml:space="preserve">二、绩效评价工作开展情况</w:t>
      </w:r>
      <w:bookmarkEnd w:id="6"/>
    </w:p>
    <w:p>
      <w:pPr>
        <w:pStyle w:val="Heading3"/>
        <w:ind w:firstLine="643"/>
        <w:rPr>
          <w:color w:val="auto"/>
          <w:highlight w:val="none"/>
        </w:rPr>
      </w:pPr>
      <w:bookmarkStart w:id="7" w:name="_Toc24175"/>
      <w:r>
        <w:rPr>
          <w:rFonts w:hint="eastAsia"/>
          <w:color w:val="auto"/>
          <w:highlight w:val="none"/>
        </w:rPr>
        <w:t xml:space="preserve">（一）绩效评价目的、对象和范围</w:t>
      </w:r>
      <w:bookmarkEnd w:id="7"/>
    </w:p>
    <w:p>
      <w:pPr>
        <w:ind w:firstLine="643"/>
        <w:rPr>
          <w:b/>
          <w:bCs/>
          <w:color w:val="auto"/>
          <w:highlight w:val="none"/>
        </w:rPr>
      </w:pPr>
      <w:r>
        <w:rPr>
          <w:b/>
          <w:bCs/>
          <w:color w:val="auto"/>
          <w:highlight w:val="none"/>
        </w:rPr>
        <w:t xml:space="preserve">1</w:t>
      </w:r>
      <w:r>
        <w:rPr>
          <w:rFonts w:hint="eastAsia"/>
          <w:b/>
          <w:bCs/>
          <w:color w:val="auto"/>
          <w:highlight w:val="none"/>
        </w:rPr>
        <w:t xml:space="preserve">、</w:t>
      </w:r>
      <w:r>
        <w:rPr>
          <w:b/>
          <w:bCs/>
          <w:color w:val="auto"/>
          <w:highlight w:val="none"/>
        </w:rPr>
        <w:t xml:space="preserve">绩效评价的目的</w:t>
      </w:r>
    </w:p>
    <w:p>
      <w:pPr>
        <w:bidi w:val="0"/>
        <w:jc w:val="both"/>
        <w:rPr>
          <w:color w:val="auto"/>
          <w:highlight w:val="none"/>
        </w:rPr>
      </w:pPr>
      <w:r>
        <w:rPr>
          <w:color w:val="auto"/>
          <w:highlight w:val="none"/>
        </w:rPr>
        <w:t xml:space="preserve">本次绩效评价遵循财政部《关于印发&lt;项目支出绩效评价管理办法&gt;的通知》（财预〔2020〕10号）文件精神，对</w:t>
      </w:r>
      <w:r>
        <w:rPr>
          <w:rFonts w:hint="eastAsia"/>
          <w:color w:val="auto"/>
          <w:highlight w:val="none"/>
        </w:rPr>
        <w:t xml:space="preserve">古勒巴格乡奥曼库勒村扶持壮大村集体经济项目</w:t>
      </w:r>
      <w:r>
        <w:rPr>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8" w:name="OLE_LINK7"/>
      <w:bookmarkStart w:id="9"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8"/>
      <w:bookmarkEnd w:id="9"/>
    </w:p>
    <w:p>
      <w:pPr>
        <w:ind w:firstLine="643"/>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绩效评价的对象和范围</w:t>
      </w:r>
    </w:p>
    <w:p>
      <w:pPr>
        <w:ind w:firstLine="640"/>
        <w:rPr>
          <w:color w:val="auto"/>
          <w:highlight w:val="none"/>
        </w:rPr>
      </w:pPr>
      <w:r>
        <w:rPr>
          <w:color w:val="auto"/>
          <w:highlight w:val="none"/>
        </w:rPr>
        <w:t xml:space="preserve">根据《财政支出绩效评价管理办法》（财预〔2020〕10号）文件要求，对</w:t>
      </w:r>
      <w:r>
        <w:rPr>
          <w:rFonts w:hint="eastAsia"/>
          <w:color w:val="auto"/>
          <w:highlight w:val="none"/>
        </w:rPr>
        <w:t xml:space="preserve">古勒巴格乡奥曼库勒村扶持壮大村集体经济项目项目</w:t>
      </w:r>
      <w:r>
        <w:rPr>
          <w:color w:val="auto"/>
          <w:highlight w:val="none"/>
        </w:rPr>
        <w:t xml:space="preserve">开展绩效评价，本次绩效评价范围主要围绕项目决策（包括项目</w:t>
      </w:r>
      <w:r>
        <w:rPr>
          <w:rFonts w:hint="eastAsia"/>
          <w:color w:val="auto"/>
          <w:highlight w:val="none"/>
        </w:rPr>
        <w:t xml:space="preserve">实施</w:t>
      </w:r>
      <w:r>
        <w:rPr>
          <w:color w:val="auto"/>
          <w:highlight w:val="none"/>
        </w:rPr>
        <w:t xml:space="preserve">、绩效目标、资金投入）、项目过程（包括资金管理、组织实施）、项目产出（包括产出数量、质量、时效、成本）和项目效益等进行评价。</w:t>
      </w:r>
    </w:p>
    <w:p>
      <w:pPr>
        <w:pStyle w:val="Heading3"/>
        <w:ind w:firstLine="643"/>
        <w:rPr>
          <w:color w:val="auto"/>
          <w:highlight w:val="none"/>
        </w:rPr>
      </w:pPr>
      <w:bookmarkStart w:id="10" w:name="_Toc5109"/>
      <w:r>
        <w:rPr>
          <w:rFonts w:hint="eastAsia"/>
          <w:color w:val="auto"/>
          <w:highlight w:val="none"/>
        </w:rPr>
        <w:t xml:space="preserve">（二）绩效评价原则、评价指标体系、评价方法、评价标准</w:t>
      </w:r>
      <w:bookmarkEnd w:id="10"/>
    </w:p>
    <w:p>
      <w:pPr>
        <w:ind w:firstLine="643"/>
        <w:rPr>
          <w:b/>
          <w:bCs/>
          <w:color w:val="auto"/>
          <w:highlight w:val="none"/>
        </w:rPr>
      </w:pPr>
      <w:r>
        <w:rPr>
          <w:b/>
          <w:bCs/>
          <w:color w:val="auto"/>
          <w:highlight w:val="none"/>
        </w:rPr>
        <w:t xml:space="preserve">1、绩效评价原则</w:t>
      </w:r>
    </w:p>
    <w:p>
      <w:pPr>
        <w:ind w:firstLine="560"/>
        <w:rPr>
          <w:color w:val="auto"/>
          <w:highlight w:val="none"/>
        </w:rPr>
      </w:pPr>
      <w:bookmarkStart w:id="11" w:name="OLE_LINK8"/>
      <w:bookmarkStart w:id="12"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1"/>
      <w:bookmarkEnd w:id="12"/>
    </w:p>
    <w:p>
      <w:pPr>
        <w:ind w:firstLine="640"/>
        <w:rPr>
          <w:color w:val="auto"/>
          <w:highlight w:val="none"/>
        </w:rPr>
      </w:pPr>
      <w:r>
        <w:rPr>
          <w:color w:val="auto"/>
          <w:highlight w:val="none"/>
        </w:rPr>
        <w:t xml:space="preserve">（1）科学公正。绩效评价应当运用科学合理的方法，按照规范的程序，对项目绩效进行客观、公正</w:t>
      </w:r>
      <w:r>
        <w:rPr>
          <w:rFonts w:hint="eastAsia"/>
          <w:color w:val="auto"/>
          <w:highlight w:val="none"/>
        </w:rPr>
        <w:t xml:space="preserve">地</w:t>
      </w:r>
      <w:r>
        <w:rPr>
          <w:color w:val="auto"/>
          <w:highlight w:val="none"/>
        </w:rPr>
        <w:t xml:space="preserve">反映。</w:t>
      </w:r>
    </w:p>
    <w:p>
      <w:pPr>
        <w:ind w:firstLine="640"/>
        <w:rPr>
          <w:color w:val="auto"/>
          <w:highlight w:val="none"/>
        </w:rPr>
      </w:pPr>
      <w:r>
        <w:rPr>
          <w:color w:val="auto"/>
          <w:highlight w:val="none"/>
        </w:rPr>
        <w:t xml:space="preserve">（2）统筹兼顾。单位自评应由项目单位自主实施，即</w:t>
      </w:r>
      <w:r>
        <w:rPr>
          <w:rFonts w:hint="eastAsia"/>
          <w:color w:val="auto"/>
          <w:highlight w:val="none"/>
        </w:rPr>
        <w:t xml:space="preserve">“</w:t>
      </w:r>
      <w:r>
        <w:rPr>
          <w:color w:val="auto"/>
          <w:highlight w:val="none"/>
        </w:rPr>
        <w:t xml:space="preserve">谁支出、谁自评</w:t>
      </w:r>
      <w:r>
        <w:rPr>
          <w:rFonts w:hint="eastAsia"/>
          <w:color w:val="auto"/>
          <w:highlight w:val="none"/>
        </w:rPr>
        <w:t xml:space="preserve">”</w:t>
      </w:r>
      <w:r>
        <w:rPr>
          <w:color w:val="auto"/>
          <w:highlight w:val="none"/>
        </w:rPr>
        <w:t xml:space="preserve">。</w:t>
      </w:r>
    </w:p>
    <w:p>
      <w:pPr>
        <w:ind w:firstLine="640"/>
        <w:rPr>
          <w:color w:val="auto"/>
          <w:highlight w:val="none"/>
        </w:rPr>
      </w:pPr>
      <w:r>
        <w:rPr>
          <w:color w:val="auto"/>
          <w:highlight w:val="none"/>
        </w:rPr>
        <w:t xml:space="preserve">（3）激励约束。绩效评价结果应与预算安排、政策调整、改进管理实质性挂钩，体现奖优罚劣和激励相容导向，有效要安排、低效要压减、无效要问责。</w:t>
      </w:r>
    </w:p>
    <w:p>
      <w:pPr>
        <w:ind w:firstLine="640"/>
        <w:rPr>
          <w:rFonts w:hint="eastAsia"/>
          <w:color w:val="auto"/>
          <w:highlight w:val="none"/>
        </w:rPr>
      </w:pPr>
      <w:r>
        <w:rPr>
          <w:color w:val="auto"/>
          <w:highlight w:val="none"/>
        </w:rPr>
        <w:t xml:space="preserve">（4）公开透明。</w:t>
      </w:r>
      <w:bookmarkStart w:id="13" w:name="_Toc23112"/>
      <w:bookmarkStart w:id="14" w:name="_Toc30993"/>
      <w:r>
        <w:rPr>
          <w:rFonts w:hint="eastAsia"/>
          <w:color w:val="auto"/>
          <w:highlight w:val="none"/>
        </w:rPr>
        <w:t xml:space="preserve">本次项目支出绩效评价结果已依法依规在尉犁县人民政府网站上公开，并自觉接受社会监督。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15" w:name="OLE_LINK9"/>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ind w:firstLine="643"/>
        <w:rPr>
          <w:rFonts w:hint="eastAsia"/>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15"/>
    </w:p>
    <w:p>
      <w:pPr>
        <w:ind w:firstLine="643"/>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评价指标体系</w:t>
      </w:r>
      <w:bookmarkEnd w:id="13"/>
      <w:bookmarkEnd w:id="14"/>
    </w:p>
    <w:p>
      <w:pPr>
        <w:ind w:firstLine="640"/>
        <w:rPr>
          <w:color w:val="auto"/>
          <w:highlight w:val="none"/>
        </w:rPr>
      </w:pPr>
      <w:r>
        <w:rPr>
          <w:rFonts w:hint="eastAsia"/>
          <w:color w:val="auto"/>
          <w:highlight w:val="none"/>
        </w:rPr>
        <w:t xml:space="preserve">古勒巴格乡奥曼库勒村扶持壮大村集体经济项目</w:t>
      </w:r>
      <w:r>
        <w:rPr>
          <w:color w:val="auto"/>
          <w:highlight w:val="none"/>
        </w:rPr>
        <w:t xml:space="preserve">绩效评价（部门自评）指标体系的设计，是在充分掌握项目状况的基础上，形成了</w:t>
      </w:r>
      <w:r>
        <w:rPr>
          <w:rFonts w:hint="eastAsia"/>
          <w:color w:val="auto"/>
          <w:highlight w:val="none"/>
        </w:rPr>
        <w:t xml:space="preserve">古勒巴格乡奥曼库勒村扶持壮大村集体经济项目</w:t>
      </w:r>
      <w:r>
        <w:rPr>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ind w:firstLine="640"/>
        <w:rPr>
          <w:rFonts w:eastAsia="仿宋_GB2312" w:hint="eastAsia"/>
          <w:color w:val="auto"/>
          <w:highlight w:val="none"/>
          <w:lang w:eastAsia="zh-CN"/>
        </w:rPr>
      </w:pPr>
      <w:r>
        <w:rPr>
          <w:color w:val="auto"/>
          <w:highlight w:val="none"/>
        </w:rPr>
        <w:t xml:space="preserve">按照财预〔2020〕10号文件关于</w:t>
      </w:r>
      <w:r>
        <w:rPr>
          <w:rFonts w:hint="eastAsia"/>
          <w:color w:val="auto"/>
          <w:highlight w:val="none"/>
        </w:rPr>
        <w:t xml:space="preserve">“</w:t>
      </w:r>
      <w:r>
        <w:rPr>
          <w:color w:val="auto"/>
          <w:highlight w:val="none"/>
        </w:rPr>
        <w:t xml:space="preserve">原则上产出、效益指标权重不低于60%</w:t>
      </w:r>
      <w:r>
        <w:rPr>
          <w:rFonts w:hint="eastAsia"/>
          <w:color w:val="auto"/>
          <w:highlight w:val="none"/>
        </w:rPr>
        <w:t xml:space="preserve">”</w:t>
      </w:r>
      <w:r>
        <w:rPr>
          <w:color w:val="auto"/>
          <w:highlight w:val="none"/>
        </w:rPr>
        <w:t xml:space="preserve">的要求，本项目产出、效益指标权重60%（即60分）。</w:t>
      </w:r>
      <w:bookmarkStart w:id="16" w:name="_Toc4156"/>
      <w:bookmarkStart w:id="17" w:name="_Toc15680"/>
      <w:r>
        <w:rPr>
          <w:rFonts w:hint="eastAsia"/>
          <w:color w:val="auto"/>
          <w:highlight w:val="none"/>
          <w:lang w:eastAsia="zh-CN"/>
        </w:rPr>
        <w:t xml:space="preserve">（</w:t>
      </w:r>
      <w:r>
        <w:rPr>
          <w:rFonts w:hint="eastAsia"/>
          <w:color w:val="auto"/>
          <w:highlight w:val="none"/>
          <w:lang w:val="en-US" w:eastAsia="zh-CN"/>
        </w:rPr>
        <w:t xml:space="preserve">详见：附表2</w:t>
      </w:r>
      <w:r>
        <w:rPr>
          <w:rFonts w:hint="eastAsia"/>
          <w:color w:val="auto"/>
          <w:highlight w:val="none"/>
          <w:lang w:eastAsia="zh-CN"/>
        </w:rPr>
        <w:t xml:space="preserve">）</w:t>
      </w:r>
    </w:p>
    <w:p>
      <w:pPr>
        <w:numPr>
          <w:ilvl w:val="0"/>
          <w:numId w:val="0"/>
        </w:numPr>
        <w:ind w:left="0" w:firstLine="320" w:leftChars="0" w:firstLineChars="100"/>
        <w:rPr>
          <w:rFonts w:hint="eastAsia"/>
          <w:color w:val="auto"/>
          <w:highlight w:val="none"/>
        </w:rPr>
      </w:pPr>
      <w:r>
        <w:rPr>
          <w:rFonts w:cs="Arial" w:cstheme="minorBidi" w:hint="eastAsia"/>
          <w:color w:val="auto"/>
          <w:kern w:val="2"/>
          <w:sz w:val="32"/>
          <w:szCs w:val="22"/>
          <w:highlight w:val="none"/>
          <w:lang w:val="en-US" w:eastAsia="zh-CN" w:bidi="ar-SA"/>
        </w:rPr>
        <w:t xml:space="preserve">3</w:t>
      </w:r>
      <w:r>
        <w:rPr>
          <w:rFonts w:ascii="Times New Roman" w:eastAsia="仿宋_GB2312" w:hAnsi="Times New Roman" w:cs="Arial" w:cstheme="minorBidi" w:hint="eastAsia"/>
          <w:color w:val="auto"/>
          <w:kern w:val="2"/>
          <w:sz w:val="32"/>
          <w:szCs w:val="22"/>
          <w:highlight w:val="none"/>
          <w:lang w:val="en-US" w:eastAsia="zh-CN" w:bidi="ar-SA"/>
        </w:rPr>
        <w:t xml:space="preserve">、</w:t>
      </w:r>
      <w:r>
        <w:rPr>
          <w:rFonts w:hint="eastAsia"/>
          <w:color w:val="auto"/>
          <w:highlight w:val="none"/>
        </w:rPr>
        <w:t xml:space="preserve">绩效评价方法</w:t>
      </w:r>
      <w:bookmarkEnd w:id="16"/>
      <w:bookmarkEnd w:id="17"/>
    </w:p>
    <w:p>
      <w:pPr>
        <w:keepNext w:val="0"/>
        <w:keepLines w:val="0"/>
        <w:widowControl/>
        <w:suppressLineNumbers w:val="0"/>
        <w:jc w:val="left"/>
        <w:rPr>
          <w:color w:val="auto"/>
          <w:sz w:val="32"/>
          <w:szCs w:val="32"/>
          <w:highlight w:val="none"/>
        </w:rPr>
      </w:pPr>
      <w:bookmarkStart w:id="18"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18"/>
    </w:p>
    <w:p>
      <w:pPr>
        <w:ind w:firstLine="640"/>
        <w:rPr>
          <w:color w:val="auto"/>
          <w:highlight w:val="none"/>
        </w:rPr>
      </w:pPr>
      <w:r>
        <w:rPr>
          <w:rFonts w:hint="eastAsia"/>
          <w:color w:val="auto"/>
          <w:highlight w:val="none"/>
        </w:rPr>
        <w:t xml:space="preserve">结合</w:t>
      </w:r>
      <w:r>
        <w:rPr>
          <w:rFonts w:ascii="仿宋_GB2312" w:hint="eastAsia"/>
          <w:color w:val="auto"/>
          <w:highlight w:val="none"/>
        </w:rPr>
        <w:t xml:space="preserve">尉犁县</w:t>
      </w:r>
      <w:r>
        <w:rPr>
          <w:rFonts w:ascii="仿宋_GB2312" w:hAnsi="微软雅黑" w:cs="微软雅黑" w:hint="eastAsia"/>
          <w:color w:val="auto"/>
          <w:highlight w:val="none"/>
        </w:rPr>
        <w:t xml:space="preserve">古勒巴</w:t>
      </w:r>
      <w:r>
        <w:rPr>
          <w:rFonts w:ascii="仿宋_GB2312" w:hAnsi="___WRD_EMBED_SUB_44" w:cs="___WRD_EMBED_SUB_44" w:hint="eastAsia"/>
          <w:color w:val="auto"/>
          <w:highlight w:val="none"/>
        </w:rPr>
        <w:t xml:space="preserve">格</w:t>
      </w:r>
      <w:r>
        <w:rPr>
          <w:rFonts w:ascii="仿宋_GB2312" w:hAnsi="微软雅黑" w:cs="微软雅黑" w:hint="eastAsia"/>
          <w:color w:val="auto"/>
          <w:highlight w:val="none"/>
        </w:rPr>
        <w:t xml:space="preserve">乡奥曼库勒村扶</w:t>
      </w:r>
      <w:r>
        <w:rPr>
          <w:rFonts w:ascii="仿宋_GB2312" w:hAnsi="___WRD_EMBED_SUB_44" w:cs="___WRD_EMBED_SUB_44" w:hint="eastAsia"/>
          <w:color w:val="auto"/>
          <w:highlight w:val="none"/>
        </w:rPr>
        <w:t xml:space="preserve">持</w:t>
      </w:r>
      <w:r>
        <w:rPr>
          <w:rFonts w:ascii="仿宋_GB2312" w:hAnsi="微软雅黑" w:cs="微软雅黑" w:hint="eastAsia"/>
          <w:color w:val="auto"/>
          <w:highlight w:val="none"/>
        </w:rPr>
        <w:t xml:space="preserve">壮</w:t>
      </w:r>
      <w:r>
        <w:rPr>
          <w:rFonts w:ascii="仿宋_GB2312" w:hAnsi="___WRD_EMBED_SUB_44" w:cs="___WRD_EMBED_SUB_44" w:hint="eastAsia"/>
          <w:color w:val="auto"/>
          <w:highlight w:val="none"/>
        </w:rPr>
        <w:t xml:space="preserve">大</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集体经济项目经费</w:t>
      </w:r>
      <w:r>
        <w:rPr>
          <w:rFonts w:hint="eastAsia"/>
          <w:color w:val="auto"/>
          <w:highlight w:val="none"/>
        </w:rPr>
        <w:t xml:space="preserve">的特点，本次评价主要运用比较法、公众评判法，原因是：</w:t>
      </w:r>
    </w:p>
    <w:p>
      <w:pPr>
        <w:ind w:firstLine="640"/>
        <w:rPr>
          <w:color w:val="auto"/>
          <w:highlight w:val="none"/>
        </w:rPr>
      </w:pPr>
      <w:r>
        <w:rPr>
          <w:color w:val="auto"/>
          <w:highlight w:val="none"/>
        </w:rPr>
        <w:t xml:space="preserve">比较法</w:t>
      </w:r>
      <w:r>
        <w:rPr>
          <w:rFonts w:hint="eastAsia"/>
          <w:color w:val="auto"/>
          <w:highlight w:val="none"/>
        </w:rPr>
        <w:t xml:space="preserve">：本项目绩效评价将项目实施情况即实际完成的</w:t>
      </w:r>
      <w:r>
        <w:rPr>
          <w:rFonts w:ascii="仿宋_GB2312" w:hAnsi="微软雅黑" w:cs="微软雅黑" w:hint="eastAsia"/>
          <w:color w:val="auto"/>
          <w:highlight w:val="none"/>
        </w:rPr>
        <w:t xml:space="preserve">土地平整亩数</w:t>
      </w:r>
      <w:r>
        <w:rPr>
          <w:rFonts w:ascii="仿宋_GB2312" w:hint="eastAsia"/>
          <w:color w:val="auto"/>
          <w:highlight w:val="none"/>
        </w:rPr>
        <w:t xml:space="preserve">、验收合格率、资金支付及时率、受益居民满意度等指标与年初设定的目标值进行比较。</w:t>
      </w:r>
      <w:r>
        <w:rPr>
          <w:rFonts w:hint="eastAsia"/>
          <w:color w:val="auto"/>
          <w:highlight w:val="none"/>
        </w:rPr>
        <w:t xml:space="preserve">与年初设定的目标进行比较。</w:t>
      </w:r>
    </w:p>
    <w:p>
      <w:pPr>
        <w:ind w:firstLine="640"/>
        <w:rPr>
          <w:rFonts w:hint="eastAsia"/>
          <w:color w:val="auto"/>
          <w:highlight w:val="none"/>
        </w:rPr>
      </w:pPr>
      <w:r>
        <w:rPr>
          <w:rFonts w:hint="eastAsia"/>
          <w:color w:val="auto"/>
          <w:highlight w:val="none"/>
        </w:rPr>
        <w:t xml:space="preserve">公众评判法：通过对尉犁县古勒巴格乡奥曼库勒村扶持壮大村集体经济项目进行问卷及抽样调查等对财政资金效果进行评判，评价绩效目标实现程度。</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w:t>
      </w:r>
      <w:r>
        <w:rPr>
          <w:rFonts w:hint="eastAsia"/>
          <w:color w:val="auto"/>
          <w:highlight w:val="none"/>
          <w:lang w:eastAsia="zh-CN"/>
        </w:rPr>
        <w:t xml:space="preserve">古勒巴格乡奥曼库勒村扶持壮大村集体经济</w:t>
      </w:r>
      <w:r>
        <w:rPr>
          <w:rFonts w:hint="eastAsia"/>
          <w:color w:val="auto"/>
          <w:highlight w:val="none"/>
        </w:rPr>
        <w:t xml:space="preserve">的特点，本次项目支出绩效自评采用了</w:t>
      </w:r>
      <w:r>
        <w:rPr>
          <w:rFonts w:hint="eastAsia"/>
          <w:color w:val="auto"/>
          <w:highlight w:val="none"/>
          <w:lang w:val="en-US" w:eastAsia="zh-CN"/>
        </w:rPr>
        <w:t xml:space="preserve">以下标准：</w:t>
      </w:r>
    </w:p>
    <w:p>
      <w:pPr>
        <w:ind w:firstLine="640"/>
        <w:rPr>
          <w:color w:val="auto"/>
          <w:highlight w:val="none"/>
        </w:rPr>
      </w:pPr>
      <w:r>
        <w:rPr>
          <w:rFonts w:hint="eastAsia"/>
          <w:color w:val="auto"/>
          <w:highlight w:val="none"/>
        </w:rPr>
        <w:t xml:space="preserve">（</w:t>
      </w:r>
      <w:r>
        <w:rPr>
          <w:rFonts w:hint="eastAsia"/>
          <w:color w:val="auto"/>
          <w:highlight w:val="none"/>
          <w:lang w:val="en-US" w:eastAsia="zh-CN"/>
        </w:rPr>
        <w:t xml:space="preserve">1</w:t>
      </w:r>
      <w:r>
        <w:rPr>
          <w:rFonts w:hint="eastAsia"/>
          <w:color w:val="auto"/>
          <w:highlight w:val="none"/>
        </w:rPr>
        <w:t xml:space="preserve">）行业标准，原因是：</w:t>
      </w:r>
      <w:r>
        <w:rPr>
          <w:color w:val="auto"/>
          <w:highlight w:val="none"/>
        </w:rPr>
        <w:t xml:space="preserve">同时参照有关</w:t>
      </w:r>
      <w:r>
        <w:rPr>
          <w:rFonts w:hint="eastAsia"/>
          <w:color w:val="auto"/>
          <w:highlight w:val="none"/>
        </w:rPr>
        <w:t xml:space="preserve">土地平整</w:t>
      </w:r>
      <w:r>
        <w:rPr>
          <w:color w:val="auto"/>
          <w:highlight w:val="none"/>
        </w:rPr>
        <w:t xml:space="preserve">同类项目建设的行业标准来制定评价标准。</w:t>
      </w:r>
    </w:p>
    <w:p>
      <w:pPr>
        <w:ind w:firstLine="64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2</w:t>
      </w:r>
      <w:r>
        <w:rPr>
          <w:rFonts w:hint="eastAsia"/>
          <w:color w:val="auto"/>
          <w:highlight w:val="none"/>
        </w:rPr>
        <w:t xml:space="preserve">）历史标准，原因是：参照本单位同类项目绩效评价指标的历史数据作为样本，运用一定的统计学方法计算出各类指标的平均历史水平作为评价标准。</w:t>
      </w:r>
    </w:p>
    <w:p>
      <w:pPr>
        <w:pStyle w:val="Heading3"/>
        <w:ind w:firstLine="643"/>
        <w:rPr>
          <w:color w:val="auto"/>
          <w:highlight w:val="none"/>
        </w:rPr>
      </w:pPr>
      <w:bookmarkStart w:id="19" w:name="_Toc23796"/>
      <w:r>
        <w:rPr>
          <w:rFonts w:hint="eastAsia"/>
          <w:color w:val="auto"/>
          <w:highlight w:val="none"/>
        </w:rPr>
        <w:t xml:space="preserve">（三）绩效评价工作过程</w:t>
      </w:r>
      <w:bookmarkEnd w:id="19"/>
      <w:bookmarkStart w:id="20" w:name="_Toc30911"/>
      <w:bookmarkStart w:id="21" w:name="_Toc17595"/>
      <w:bookmarkStart w:id="22" w:name="_Toc22987"/>
      <w:bookmarkStart w:id="23" w:name="_Toc27442"/>
    </w:p>
    <w:p>
      <w:pPr>
        <w:ind w:firstLine="643"/>
        <w:rPr>
          <w:b/>
          <w:bCs/>
          <w:color w:val="auto"/>
          <w:highlight w:val="none"/>
        </w:rPr>
      </w:pPr>
      <w:r>
        <w:rPr>
          <w:rFonts w:hint="eastAsia"/>
          <w:b/>
          <w:bCs/>
          <w:color w:val="auto"/>
          <w:highlight w:val="none"/>
        </w:rPr>
        <w:t xml:space="preserve">1、前期准备</w:t>
      </w:r>
      <w:r>
        <w:rPr>
          <w:rFonts w:hint="eastAsia"/>
          <w:b/>
          <w:color w:val="auto"/>
          <w:szCs w:val="32"/>
          <w:highlight w:val="none"/>
        </w:rPr>
        <w:t xml:space="preserve">（2025年2月10日-2025年2月28日）</w:t>
      </w:r>
    </w:p>
    <w:p>
      <w:pPr>
        <w:spacing w:line="600" w:lineRule="exact"/>
        <w:ind w:firstLine="640"/>
        <w:rPr>
          <w:bCs/>
          <w:color w:val="auto"/>
          <w:szCs w:val="32"/>
          <w:highlight w:val="none"/>
        </w:rPr>
      </w:pPr>
      <w:r>
        <w:rPr>
          <w:rFonts w:hint="eastAsia"/>
          <w:bCs/>
          <w:color w:val="auto"/>
          <w:szCs w:val="32"/>
          <w:highlight w:val="none"/>
        </w:rPr>
        <w:t xml:space="preserve">按照《项目支出绩效评价管理办法》（财预〔2020〕10号）文件要求，</w:t>
      </w:r>
      <w:r>
        <w:rPr>
          <w:rFonts w:hint="eastAsia"/>
          <w:color w:val="auto"/>
          <w:highlight w:val="none"/>
        </w:rPr>
        <w:t xml:space="preserve">尉犁县古勒巴格乡人民政府</w:t>
      </w:r>
      <w:r>
        <w:rPr>
          <w:rFonts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ind w:firstLine="640"/>
        <w:rPr>
          <w:bCs/>
          <w:color w:val="auto"/>
          <w:szCs w:val="32"/>
          <w:highlight w:val="none"/>
        </w:rPr>
      </w:pPr>
      <w:r>
        <w:rPr>
          <w:rFonts w:hint="eastAsia"/>
          <w:bCs/>
          <w:color w:val="auto"/>
          <w:szCs w:val="32"/>
          <w:highlight w:val="none"/>
        </w:rPr>
        <w:t xml:space="preserve">评价小组组长：阿里木·吐尼亚孜，主要负责协调相关科室、部门对项目整体运行情况进行验收、评估。</w:t>
      </w:r>
    </w:p>
    <w:p>
      <w:pPr>
        <w:ind w:firstLine="640"/>
        <w:rPr>
          <w:bCs/>
          <w:color w:val="auto"/>
          <w:szCs w:val="32"/>
          <w:highlight w:val="none"/>
        </w:rPr>
      </w:pPr>
      <w:r>
        <w:rPr>
          <w:rFonts w:hint="eastAsia"/>
          <w:bCs/>
          <w:color w:val="auto"/>
          <w:szCs w:val="32"/>
          <w:highlight w:val="none"/>
        </w:rPr>
        <w:t xml:space="preserve">评价小组组员：加帕尔，主要负责制定评价指标体系及评价标准。</w:t>
      </w:r>
    </w:p>
    <w:p>
      <w:pPr>
        <w:ind w:firstLine="640"/>
        <w:rPr>
          <w:bCs/>
          <w:color w:val="auto"/>
          <w:szCs w:val="32"/>
          <w:highlight w:val="none"/>
        </w:rPr>
      </w:pPr>
      <w:r>
        <w:rPr>
          <w:rFonts w:hint="eastAsia"/>
          <w:bCs/>
          <w:color w:val="auto"/>
          <w:szCs w:val="32"/>
          <w:highlight w:val="none"/>
        </w:rPr>
        <w:t xml:space="preserve">评价小组组员：于珍珍，主要负责壮大村集体项目实施、监督、评估工作。</w:t>
      </w:r>
    </w:p>
    <w:p>
      <w:pPr>
        <w:ind w:firstLine="643"/>
        <w:rPr>
          <w:b/>
          <w:bCs/>
          <w:color w:val="auto"/>
          <w:highlight w:val="none"/>
        </w:rPr>
      </w:pPr>
      <w:r>
        <w:rPr>
          <w:rFonts w:hint="eastAsia"/>
          <w:b/>
          <w:bCs/>
          <w:color w:val="auto"/>
          <w:highlight w:val="none"/>
        </w:rPr>
        <w:t xml:space="preserve">2、组织实施</w:t>
      </w:r>
      <w:r>
        <w:rPr>
          <w:rFonts w:hint="eastAsia"/>
          <w:b/>
          <w:color w:val="auto"/>
          <w:szCs w:val="32"/>
          <w:highlight w:val="none"/>
        </w:rPr>
        <w:t xml:space="preserve">（2025年3月1日-2025年3月10日）</w:t>
      </w:r>
    </w:p>
    <w:p>
      <w:pPr>
        <w:ind w:firstLine="640"/>
        <w:rPr>
          <w:rFonts w:cs="Times New Roman"/>
          <w:color w:val="auto"/>
          <w:highlight w:val="none"/>
        </w:rPr>
      </w:pPr>
      <w:r>
        <w:rPr>
          <w:rFonts w:cs="Times New Roman"/>
          <w:color w:val="auto"/>
          <w:highlight w:val="none"/>
        </w:rPr>
        <w:t xml:space="preserve">评价的具体实施根据评价指标及评价工作要求，对具体评价内容和不同环节，采用以下取得的资料与评价方式。</w:t>
      </w:r>
    </w:p>
    <w:p>
      <w:pPr>
        <w:ind w:firstLine="640"/>
        <w:rPr>
          <w:color w:val="auto"/>
          <w:highlight w:val="none"/>
        </w:rPr>
      </w:pPr>
      <w:r>
        <w:rPr>
          <w:rFonts w:hint="eastAsia"/>
          <w:color w:val="auto"/>
          <w:highlight w:val="none"/>
        </w:rPr>
        <w:t xml:space="preserve">（1）根据绩效管理的要求，本单位成立项目评价小组，全过程跟踪监管项目实施过程，包括项目资金到位时绩效工作的安排、年中2次绩效监控工作的监督，项目实施完成之后收集资料开展项目绩效评价。</w:t>
      </w:r>
    </w:p>
    <w:p>
      <w:pPr>
        <w:ind w:firstLine="640"/>
        <w:rPr>
          <w:rFonts w:cs="Times New Roman"/>
          <w:color w:val="auto"/>
          <w:highlight w:val="none"/>
        </w:rPr>
      </w:pPr>
      <w:r>
        <w:rPr>
          <w:rFonts w:cs="Times New Roman"/>
          <w:color w:val="auto"/>
          <w:highlight w:val="none"/>
        </w:rPr>
        <w:t xml:space="preserve">（</w:t>
      </w:r>
      <w:r>
        <w:rPr>
          <w:rFonts w:cs="Times New Roman" w:hint="eastAsia"/>
          <w:color w:val="auto"/>
          <w:highlight w:val="none"/>
        </w:rPr>
        <w:t xml:space="preserve">2</w:t>
      </w:r>
      <w:r>
        <w:rPr>
          <w:rFonts w:cs="Times New Roman"/>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ind w:firstLine="640"/>
        <w:rPr>
          <w:rFonts w:cs="Times New Roman"/>
          <w:color w:val="auto"/>
          <w:highlight w:val="none"/>
        </w:rPr>
      </w:pPr>
      <w:r>
        <w:rPr>
          <w:rFonts w:cs="Times New Roman"/>
          <w:color w:val="auto"/>
          <w:highlight w:val="none"/>
        </w:rPr>
        <w:t xml:space="preserve">（</w:t>
      </w:r>
      <w:r>
        <w:rPr>
          <w:rFonts w:cs="Times New Roman" w:hint="eastAsia"/>
          <w:color w:val="auto"/>
          <w:highlight w:val="none"/>
        </w:rPr>
        <w:t xml:space="preserve">3</w:t>
      </w:r>
      <w:r>
        <w:rPr>
          <w:rFonts w:cs="Times New Roman"/>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ind w:firstLine="640"/>
        <w:rPr>
          <w:color w:val="auto"/>
          <w:highlight w:val="none"/>
        </w:rPr>
      </w:pPr>
      <w:r>
        <w:rPr>
          <w:rFonts w:cs="Times New Roman"/>
          <w:color w:val="auto"/>
          <w:highlight w:val="none"/>
        </w:rPr>
        <w:t xml:space="preserve">（</w:t>
      </w:r>
      <w:r>
        <w:rPr>
          <w:rFonts w:cs="Times New Roman" w:hint="eastAsia"/>
          <w:color w:val="auto"/>
          <w:highlight w:val="none"/>
        </w:rPr>
        <w:t xml:space="preserve">4</w:t>
      </w:r>
      <w:r>
        <w:rPr>
          <w:rFonts w:cs="Times New Roman"/>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ind w:firstLine="643"/>
        <w:rPr>
          <w:b/>
          <w:bCs/>
          <w:color w:val="auto"/>
          <w:highlight w:val="none"/>
        </w:rPr>
      </w:pPr>
      <w:r>
        <w:rPr>
          <w:rFonts w:hint="eastAsia"/>
          <w:b/>
          <w:bCs/>
          <w:color w:val="auto"/>
          <w:highlight w:val="none"/>
        </w:rPr>
        <w:t xml:space="preserve">3、数据集中分析</w:t>
      </w:r>
      <w:bookmarkEnd w:id="20"/>
      <w:bookmarkEnd w:id="21"/>
      <w:bookmarkEnd w:id="22"/>
      <w:bookmarkEnd w:id="23"/>
      <w:r>
        <w:rPr>
          <w:rFonts w:hint="eastAsia"/>
          <w:b/>
          <w:color w:val="auto"/>
          <w:szCs w:val="32"/>
          <w:highlight w:val="none"/>
        </w:rPr>
        <w:t xml:space="preserve">（2025年3月11日-2025年3月20日）</w:t>
      </w:r>
    </w:p>
    <w:p>
      <w:pPr>
        <w:ind w:firstLine="640"/>
        <w:rPr>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4" w:name="_Toc20775"/>
    </w:p>
    <w:p>
      <w:pPr>
        <w:ind w:firstLine="643"/>
        <w:rPr>
          <w:b/>
          <w:bCs/>
          <w:color w:val="auto"/>
          <w:highlight w:val="none"/>
        </w:rPr>
      </w:pPr>
      <w:r>
        <w:rPr>
          <w:rFonts w:hint="eastAsia"/>
          <w:b/>
          <w:bCs/>
          <w:color w:val="auto"/>
          <w:highlight w:val="none"/>
        </w:rPr>
        <w:t xml:space="preserve">4、分析总结</w:t>
      </w:r>
      <w:bookmarkEnd w:id="24"/>
      <w:r>
        <w:rPr>
          <w:rFonts w:hint="eastAsia"/>
          <w:b/>
          <w:bCs/>
          <w:color w:val="auto"/>
          <w:highlight w:val="none"/>
        </w:rPr>
        <w:t xml:space="preserve">（</w:t>
      </w:r>
      <w:r>
        <w:rPr>
          <w:rFonts w:hint="eastAsia"/>
          <w:b/>
          <w:bCs/>
          <w:color w:val="auto"/>
          <w:szCs w:val="32"/>
          <w:highlight w:val="none"/>
        </w:rPr>
        <w:t xml:space="preserve">2025年3月21日-2025年3月31日）</w:t>
      </w:r>
    </w:p>
    <w:p>
      <w:pPr>
        <w:ind w:firstLine="640"/>
        <w:rPr>
          <w:color w:val="auto"/>
          <w:highlight w:val="none"/>
        </w:rPr>
      </w:pPr>
      <w:r>
        <w:rPr>
          <w:rFonts w:hint="eastAsia"/>
          <w:color w:val="auto"/>
          <w:highlight w:val="none"/>
        </w:rPr>
        <w:t xml:space="preserve">（1）根据部门自评的意见及考察、考评的结果进行整理、分析，撰写绩效评价报告初稿。</w:t>
      </w:r>
    </w:p>
    <w:p>
      <w:pPr>
        <w:ind w:firstLine="640"/>
        <w:rPr>
          <w:rFonts w:hint="eastAsia"/>
          <w:color w:val="auto"/>
          <w:highlight w:val="none"/>
        </w:rPr>
      </w:pPr>
      <w:r>
        <w:rPr>
          <w:rFonts w:hint="eastAsia"/>
          <w:color w:val="auto"/>
          <w:highlight w:val="none"/>
        </w:rPr>
        <w:t xml:space="preserve">（2）就部门自评报告与部门具体有关科室征求意见，形成最终的绩效评价报告。</w:t>
      </w:r>
    </w:p>
    <w:p>
      <w:pPr>
        <w:rPr>
          <w:b/>
          <w:bCs/>
          <w:color w:val="auto"/>
          <w:highlight w:val="none"/>
        </w:rPr>
      </w:pPr>
      <w:bookmarkStart w:id="25" w:name="OLE_LINK11"/>
      <w:bookmarkStart w:id="26" w:name="OLE_LINK4"/>
      <w:bookmarkStart w:id="27" w:name="_Toc2078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25"/>
      <w:bookmarkEnd w:id="26"/>
    </w:p>
    <w:p>
      <w:pPr>
        <w:pStyle w:val="Heading2"/>
        <w:ind w:firstLine="640"/>
        <w:rPr>
          <w:color w:val="auto"/>
          <w:highlight w:val="none"/>
        </w:rPr>
      </w:pPr>
      <w:r>
        <w:rPr>
          <w:rFonts w:hint="eastAsia"/>
          <w:color w:val="auto"/>
          <w:highlight w:val="none"/>
        </w:rPr>
        <w:t xml:space="preserve">三、综合评价情况及评价结论</w:t>
      </w:r>
      <w:bookmarkEnd w:id="27"/>
    </w:p>
    <w:p>
      <w:pPr>
        <w:ind w:firstLine="640"/>
        <w:rPr>
          <w:color w:val="auto"/>
          <w:highlight w:val="none"/>
        </w:rPr>
      </w:pPr>
      <w:r>
        <w:rPr>
          <w:rFonts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rPr>
                <w:rFonts w:hint="default"/>
                <w:color w:val="auto"/>
                <w:highlight w:val="none"/>
              </w:rPr>
            </w:pPr>
            <w:r>
              <w:rPr>
                <w:color w:val="auto"/>
                <w:highlight w:val="none"/>
              </w:rPr>
              <w:t xml:space="preserve">古勒巴格乡奥曼库勒村扶持壮大村集体经济项目</w:t>
            </w:r>
          </w:p>
          <w:p>
            <w:pPr>
              <w:pStyle w:val="表格标题"/>
              <w:rPr>
                <w:rFonts w:hint="default"/>
                <w:color w:val="auto"/>
                <w:highlight w:val="none"/>
              </w:rPr>
            </w:pPr>
            <w:r>
              <w:rPr>
                <w:color w:val="auto"/>
                <w:highlight w:val="none"/>
              </w:rPr>
              <w:t xml:space="preserve">绩效评价</w:t>
            </w:r>
            <w:r>
              <w:rPr>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r>
              <w:rPr>
                <w:color w:val="auto"/>
                <w:highlight w:val="none"/>
              </w:rPr>
              <w:t xml:space="preserve">100</w:t>
            </w:r>
          </w:p>
        </w:tc>
      </w:tr>
    </w:tbl>
    <w:p>
      <w:pPr>
        <w:ind w:firstLine="640"/>
        <w:rPr>
          <w:color w:val="auto"/>
          <w:highlight w:val="none"/>
        </w:rPr>
      </w:pPr>
    </w:p>
    <w:p>
      <w:pPr>
        <w:pStyle w:val="Heading2"/>
        <w:ind w:firstLine="640"/>
        <w:rPr>
          <w:color w:val="auto"/>
          <w:highlight w:val="none"/>
        </w:rPr>
      </w:pPr>
      <w:bookmarkStart w:id="28" w:name="_Toc8960"/>
      <w:r>
        <w:rPr>
          <w:rFonts w:hint="eastAsia"/>
          <w:color w:val="auto"/>
          <w:highlight w:val="none"/>
        </w:rPr>
        <w:t xml:space="preserve">四、绩效评价指标分析</w:t>
      </w:r>
      <w:bookmarkEnd w:id="28"/>
    </w:p>
    <w:p>
      <w:pPr>
        <w:pStyle w:val="Heading3"/>
        <w:ind w:firstLine="643"/>
        <w:rPr>
          <w:color w:val="auto"/>
          <w:highlight w:val="none"/>
        </w:rPr>
      </w:pPr>
      <w:bookmarkStart w:id="29" w:name="_Toc3445"/>
      <w:r>
        <w:rPr>
          <w:rFonts w:hint="eastAsia"/>
          <w:color w:val="auto"/>
          <w:highlight w:val="none"/>
        </w:rPr>
        <w:t xml:space="preserve">（一）项目决策情况</w:t>
      </w:r>
      <w:bookmarkEnd w:id="29"/>
    </w:p>
    <w:p>
      <w:pPr>
        <w:ind w:firstLine="640"/>
        <w:rPr>
          <w:color w:val="auto"/>
          <w:highlight w:val="none"/>
        </w:rPr>
      </w:pPr>
      <w:r>
        <w:rPr>
          <w:rFonts w:hint="eastAsia"/>
          <w:color w:val="auto"/>
          <w:highlight w:val="none"/>
        </w:rPr>
        <w:t xml:space="preserve">1、实施依据充分性</w:t>
      </w:r>
    </w:p>
    <w:p>
      <w:pPr>
        <w:ind w:firstLine="64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农业农村部</w:t>
      </w:r>
      <w:r>
        <w:rPr>
          <w:rFonts w:hint="eastAsia"/>
          <w:color w:val="auto"/>
          <w:highlight w:val="none"/>
        </w:rPr>
        <w:t xml:space="preserve">颁发的</w:t>
      </w:r>
      <w:r>
        <w:rPr>
          <w:rFonts w:hint="eastAsia"/>
          <w:color w:val="auto"/>
          <w:highlight w:val="none"/>
          <w:lang w:val="en-US" w:eastAsia="zh-CN"/>
        </w:rPr>
        <w:t xml:space="preserve">关于做好</w:t>
      </w:r>
      <w:r>
        <w:rPr>
          <w:rFonts w:hint="eastAsia"/>
          <w:color w:val="auto"/>
          <w:highlight w:val="none"/>
        </w:rPr>
        <w:t xml:space="preserve">《</w:t>
      </w:r>
      <w:r>
        <w:rPr>
          <w:rFonts w:hint="eastAsia"/>
          <w:color w:val="auto"/>
          <w:highlight w:val="none"/>
          <w:lang w:val="en-US" w:eastAsia="zh-CN"/>
        </w:rPr>
        <w:t xml:space="preserve">中华人民共和国农村集体经济组织法</w:t>
      </w:r>
      <w:r>
        <w:rPr>
          <w:rFonts w:hint="eastAsia"/>
          <w:color w:val="auto"/>
          <w:highlight w:val="none"/>
        </w:rPr>
        <w:t xml:space="preserve">》</w:t>
      </w:r>
      <w:r>
        <w:rPr>
          <w:rFonts w:hint="eastAsia"/>
          <w:color w:val="auto"/>
          <w:highlight w:val="none"/>
          <w:lang w:val="en-US" w:eastAsia="zh-CN"/>
        </w:rPr>
        <w:t xml:space="preserve">实施相关工作的通知</w:t>
      </w:r>
      <w:r>
        <w:rPr>
          <w:rFonts w:hint="eastAsia"/>
          <w:color w:val="auto"/>
          <w:highlight w:val="none"/>
        </w:rPr>
        <w:t xml:space="preserve">（</w:t>
      </w:r>
      <w:r>
        <w:rPr>
          <w:rFonts w:hint="eastAsia"/>
          <w:color w:val="auto"/>
          <w:highlight w:val="none"/>
          <w:lang w:val="en-US" w:eastAsia="zh-CN"/>
        </w:rPr>
        <w:t xml:space="preserve">法</w:t>
      </w:r>
      <w:r>
        <w:rPr>
          <w:rFonts w:hint="eastAsia"/>
          <w:color w:val="auto"/>
          <w:highlight w:val="none"/>
        </w:rPr>
        <w:t xml:space="preserve">〔</w:t>
      </w:r>
      <w:r>
        <w:rPr>
          <w:rFonts w:hint="eastAsia"/>
          <w:color w:val="auto"/>
          <w:highlight w:val="none"/>
          <w:lang w:val="en-US" w:eastAsia="zh-CN"/>
        </w:rPr>
        <w:t xml:space="preserve">2025</w:t>
      </w:r>
      <w:r>
        <w:rPr>
          <w:rFonts w:hint="eastAsia"/>
          <w:color w:val="auto"/>
          <w:highlight w:val="none"/>
        </w:rPr>
        <w:t xml:space="preserve">〕</w:t>
      </w:r>
      <w:r>
        <w:rPr>
          <w:rFonts w:hint="eastAsia"/>
          <w:color w:val="auto"/>
          <w:highlight w:val="none"/>
          <w:lang w:val="en-US" w:eastAsia="zh-CN"/>
        </w:rPr>
        <w:t xml:space="preserve">26</w:t>
      </w:r>
      <w:r>
        <w:rPr>
          <w:rFonts w:hint="eastAsia"/>
          <w:color w:val="auto"/>
          <w:highlight w:val="none"/>
        </w:rPr>
        <w:t xml:space="preserve">号）中</w:t>
      </w:r>
      <w:r>
        <w:rPr>
          <w:rFonts w:hint="eastAsia"/>
          <w:color w:val="auto"/>
          <w:highlight w:val="none"/>
        </w:rPr>
        <w:t xml:space="preserve">：“</w:t>
      </w:r>
      <w:r>
        <w:rPr>
          <w:rFonts w:hint="eastAsia"/>
          <w:color w:val="auto"/>
          <w:highlight w:val="none"/>
          <w:lang w:val="en-US" w:eastAsia="zh-CN"/>
        </w:rPr>
        <w:t xml:space="preserve">农村集体经济组织法</w:t>
      </w:r>
      <w:r>
        <w:rPr>
          <w:rFonts w:hint="eastAsia"/>
          <w:color w:val="auto"/>
          <w:highlight w:val="none"/>
        </w:rPr>
        <w:t xml:space="preserve">”</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中华人民共和国</w:t>
      </w:r>
      <w:bookmarkStart w:id="30" w:name="_GoBack"/>
      <w:bookmarkEnd w:id="30"/>
      <w:r>
        <w:rPr>
          <w:rFonts w:hint="eastAsia"/>
          <w:color w:val="auto"/>
          <w:highlight w:val="none"/>
          <w:lang w:val="en-US" w:eastAsia="zh-CN"/>
        </w:rPr>
        <w:t xml:space="preserve">农村集体经济组织法</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规范农村集体经济组织及运行管理</w:t>
      </w:r>
      <w:r>
        <w:rPr>
          <w:rFonts w:hint="eastAsia"/>
          <w:color w:val="auto"/>
          <w:highlight w:val="none"/>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ind w:firstLine="640"/>
        <w:rPr>
          <w:color w:val="auto"/>
          <w:highlight w:val="none"/>
        </w:rPr>
      </w:pPr>
      <w:r>
        <w:rPr>
          <w:rFonts w:hint="eastAsia"/>
          <w:color w:val="auto"/>
          <w:highlight w:val="none"/>
        </w:rPr>
        <w:t xml:space="preserve">（1）本项目申报和审批符合国家法律法规、国民经济发展规划和相关政策；</w:t>
      </w:r>
    </w:p>
    <w:p>
      <w:pPr>
        <w:ind w:firstLine="640"/>
        <w:rPr>
          <w:color w:val="auto"/>
          <w:highlight w:val="none"/>
        </w:rPr>
      </w:pPr>
      <w:r>
        <w:rPr>
          <w:rFonts w:hint="eastAsia"/>
          <w:color w:val="auto"/>
          <w:highlight w:val="none"/>
        </w:rPr>
        <w:t xml:space="preserve">（2）本项目申报和审批符合行业发展规划和政策要求；</w:t>
      </w:r>
    </w:p>
    <w:p>
      <w:pPr>
        <w:ind w:firstLine="640"/>
        <w:rPr>
          <w:color w:val="auto"/>
          <w:highlight w:val="none"/>
        </w:rPr>
      </w:pPr>
      <w:r>
        <w:rPr>
          <w:rFonts w:hint="eastAsia"/>
          <w:color w:val="auto"/>
          <w:highlight w:val="none"/>
        </w:rPr>
        <w:t xml:space="preserve">（3）项目实施与部门职责范围相符，属</w:t>
      </w:r>
      <w:r>
        <w:rPr>
          <w:rFonts w:hint="eastAsia"/>
          <w:color w:val="auto"/>
          <w:highlight w:val="none"/>
        </w:rPr>
        <w:t xml:space="preserve">干部</w:t>
      </w:r>
      <w:r>
        <w:rPr>
          <w:rFonts w:hint="eastAsia"/>
          <w:color w:val="auto"/>
          <w:highlight w:val="none"/>
        </w:rPr>
        <w:t xml:space="preserve">门履职所需；</w:t>
      </w:r>
    </w:p>
    <w:p>
      <w:pPr>
        <w:ind w:firstLine="640"/>
        <w:rPr>
          <w:color w:val="auto"/>
          <w:highlight w:val="none"/>
        </w:rPr>
      </w:pPr>
      <w:r>
        <w:rPr>
          <w:rFonts w:hint="eastAsia"/>
          <w:color w:val="auto"/>
          <w:highlight w:val="none"/>
        </w:rPr>
        <w:t xml:space="preserve">（4）本项目属于公共财政支持范围，符合中央、地方事权支出责任划分原则；</w:t>
      </w:r>
    </w:p>
    <w:p>
      <w:pPr>
        <w:ind w:firstLine="640"/>
        <w:rPr>
          <w:color w:val="auto"/>
          <w:highlight w:val="none"/>
        </w:rPr>
      </w:pPr>
      <w:r>
        <w:rPr>
          <w:rFonts w:hint="eastAsia"/>
          <w:color w:val="auto"/>
          <w:highlight w:val="none"/>
        </w:rPr>
        <w:t xml:space="preserve">（5）本项目与相关部门同类项目或部门内部相关项目不重复。</w:t>
      </w:r>
    </w:p>
    <w:p>
      <w:pPr>
        <w:ind w:firstLine="640"/>
        <w:rPr>
          <w:color w:val="auto"/>
          <w:highlight w:val="none"/>
        </w:rPr>
      </w:pPr>
      <w:r>
        <w:rPr>
          <w:rFonts w:hint="eastAsia"/>
          <w:color w:val="auto"/>
          <w:highlight w:val="none"/>
        </w:rPr>
        <w:t xml:space="preserve">本项满分3分，评估得分3分。</w:t>
      </w:r>
    </w:p>
    <w:p>
      <w:pPr>
        <w:ind w:firstLine="640"/>
        <w:rPr>
          <w:color w:val="auto"/>
          <w:highlight w:val="none"/>
        </w:rPr>
      </w:pPr>
      <w:r>
        <w:rPr>
          <w:rFonts w:hint="eastAsia"/>
          <w:color w:val="auto"/>
          <w:highlight w:val="none"/>
        </w:rPr>
        <w:t xml:space="preserve">2、实施程序规范性</w:t>
      </w:r>
    </w:p>
    <w:p>
      <w:pPr>
        <w:ind w:firstLine="640"/>
        <w:rPr>
          <w:color w:val="auto"/>
          <w:highlight w:val="none"/>
        </w:rPr>
      </w:pPr>
      <w:r>
        <w:rPr>
          <w:rFonts w:ascii="Times New Roman" w:eastAsia="仿宋_GB2312" w:hAnsi="Times New Roman" w:cs="Arial" w:cstheme="minorBidi" w:hint="eastAsia"/>
          <w:bCs w:val="0"/>
          <w:iCs w:val="0"/>
          <w:color w:val="auto"/>
          <w:kern w:val="2"/>
          <w:sz w:val="32"/>
          <w:szCs w:val="22"/>
          <w:highlight w:val="none"/>
          <w:lang w:val="en-US" w:bidi="ar-SA"/>
        </w:rPr>
        <w:t xml:space="preserve">本项目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w:t>
      </w:r>
      <w:r>
        <w:rPr>
          <w:rFonts w:ascii="Times New Roman" w:eastAsia="仿宋_GB2312" w:hAnsi="Times New Roman" w:cs="Arial" w:cstheme="minorBidi" w:hint="eastAsia"/>
          <w:bCs w:val="0"/>
          <w:iCs w:val="0"/>
          <w:color w:val="auto"/>
          <w:kern w:val="2"/>
          <w:sz w:val="32"/>
          <w:szCs w:val="22"/>
          <w:highlight w:val="none"/>
          <w:lang w:val="en-US" w:bidi="ar-SA"/>
        </w:rPr>
        <w:t xml:space="preserve">资料</w:t>
      </w:r>
      <w:r>
        <w:rPr>
          <w:rFonts w:cs="Arial" w:cstheme="minorBidi" w:hint="eastAsia"/>
          <w:bCs w:val="0"/>
          <w:iCs w:val="0"/>
          <w:color w:val="auto"/>
          <w:kern w:val="2"/>
          <w:sz w:val="32"/>
          <w:szCs w:val="22"/>
          <w:highlight w:val="none"/>
          <w:lang w:val="en-US" w:eastAsia="zh-CN" w:bidi="ar-SA"/>
        </w:rPr>
        <w:t xml:space="preserve">齐</w:t>
      </w:r>
      <w:r>
        <w:rPr>
          <w:rFonts w:ascii="Times New Roman" w:eastAsia="仿宋_GB2312" w:hAnsi="Times New Roman" w:cs="Arial" w:cstheme="minorBidi" w:hint="eastAsia"/>
          <w:bCs w:val="0"/>
          <w:iCs w:val="0"/>
          <w:color w:val="auto"/>
          <w:kern w:val="2"/>
          <w:sz w:val="32"/>
          <w:szCs w:val="22"/>
          <w:highlight w:val="none"/>
          <w:lang w:val="en-US" w:bidi="ar-SA"/>
        </w:rPr>
        <w:t xml:space="preserve">全，</w:t>
      </w:r>
      <w:r>
        <w:rPr>
          <w:rFonts w:ascii="Times New Roman" w:eastAsia="仿宋_GB2312" w:hAnsi="Times New Roman" w:cs="Arial" w:cstheme="minorBidi" w:hint="default"/>
          <w:bCs w:val="0"/>
          <w:iCs w:val="0"/>
          <w:color w:val="auto"/>
          <w:kern w:val="2"/>
          <w:sz w:val="32"/>
          <w:szCs w:val="22"/>
          <w:highlight w:val="none"/>
          <w:lang w:val="en-US" w:bidi="ar-SA"/>
        </w:rPr>
        <w:t xml:space="preserve">编制了</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w:t>
      </w:r>
      <w:r>
        <w:rPr>
          <w:rFonts w:cs="Arial" w:cstheme="minorBidi" w:hint="eastAsia"/>
          <w:bCs w:val="0"/>
          <w:iCs w:val="0"/>
          <w:color w:val="auto"/>
          <w:kern w:val="2"/>
          <w:sz w:val="32"/>
          <w:szCs w:val="22"/>
          <w:highlight w:val="none"/>
          <w:lang w:val="en-US" w:eastAsia="zh-CN" w:bidi="ar-SA"/>
        </w:rPr>
        <w:t xml:space="preserve">古勒巴格乡奥曼库勒村壮大村集体项目</w:t>
      </w:r>
      <w:r>
        <w:rPr>
          <w:rFonts w:ascii="Times New Roman" w:eastAsia="仿宋_GB2312" w:hAnsi="Times New Roman" w:cs="Arial" w:cstheme="minorBidi" w:hint="default"/>
          <w:bCs w:val="0"/>
          <w:iCs w:val="0"/>
          <w:color w:val="auto"/>
          <w:kern w:val="2"/>
          <w:sz w:val="32"/>
          <w:szCs w:val="22"/>
          <w:highlight w:val="none"/>
          <w:lang w:val="en-US" w:bidi="ar-SA"/>
        </w:rPr>
        <w:t xml:space="preserve">实施方案</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w:t>
      </w:r>
      <w:r>
        <w:rPr>
          <w:rFonts w:ascii="Times New Roman" w:eastAsia="仿宋_GB2312" w:hAnsi="Times New Roman" w:cs="Arial" w:cstheme="minorBidi" w:hint="default"/>
          <w:bCs w:val="0"/>
          <w:iCs w:val="0"/>
          <w:color w:val="auto"/>
          <w:kern w:val="2"/>
          <w:sz w:val="32"/>
          <w:szCs w:val="22"/>
          <w:highlight w:val="none"/>
          <w:lang w:val="en-US" w:bidi="ar-SA"/>
        </w:rPr>
        <w:t xml:space="preserve">。</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通过</w:t>
      </w:r>
      <w:r>
        <w:rPr>
          <w:rFonts w:cs="Arial" w:cstheme="minorBidi" w:hint="eastAsia"/>
          <w:bCs w:val="0"/>
          <w:iCs w:val="0"/>
          <w:color w:val="auto"/>
          <w:kern w:val="2"/>
          <w:sz w:val="32"/>
          <w:szCs w:val="22"/>
          <w:highlight w:val="none"/>
          <w:lang w:val="en-US" w:eastAsia="zh-CN" w:bidi="ar-SA"/>
        </w:rPr>
        <w:t xml:space="preserve">古勒巴格乡人民政府</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实施该项目。因此，</w:t>
      </w:r>
      <w:r>
        <w:rPr>
          <w:rFonts w:hint="eastAsia"/>
          <w:color w:val="auto"/>
          <w:spacing w:val="-4"/>
          <w:szCs w:val="32"/>
          <w:highlight w:val="none"/>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ind w:firstLine="640"/>
        <w:rPr>
          <w:color w:val="auto"/>
          <w:highlight w:val="none"/>
        </w:rPr>
      </w:pPr>
      <w:r>
        <w:rPr>
          <w:rFonts w:hint="eastAsia"/>
          <w:color w:val="auto"/>
          <w:highlight w:val="none"/>
        </w:rPr>
        <w:t xml:space="preserve">本项满分3分，评估得分3分。</w:t>
      </w:r>
    </w:p>
    <w:p>
      <w:pPr>
        <w:ind w:firstLine="640"/>
        <w:rPr>
          <w:color w:val="auto"/>
          <w:highlight w:val="none"/>
        </w:rPr>
      </w:pPr>
      <w:r>
        <w:rPr>
          <w:rFonts w:hint="eastAsia"/>
          <w:color w:val="auto"/>
          <w:highlight w:val="none"/>
        </w:rPr>
        <w:t xml:space="preserve">3、绩效目标合理性</w:t>
      </w:r>
    </w:p>
    <w:p>
      <w:pPr>
        <w:ind w:firstLine="640"/>
        <w:rPr>
          <w:color w:val="auto"/>
          <w:highlight w:val="none"/>
        </w:rPr>
      </w:pPr>
      <w:r>
        <w:rPr>
          <w:rFonts w:hint="eastAsia"/>
          <w:color w:val="auto"/>
          <w:highlight w:val="none"/>
        </w:rPr>
        <w:t xml:space="preserve">古勒巴格乡奥曼库勒村扶持壮大村集体经济项目设立了项目绩效目标，绩效目标指标设置合理，项目绩效目标与实际工作内容相关性较强；项目预期产出效益和效果符合正常的业绩水平；绩效目标与预算确定的项目投资额相匹配。</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4、绩效指标明确性</w:t>
      </w:r>
    </w:p>
    <w:p>
      <w:pPr>
        <w:ind w:firstLine="640"/>
        <w:rPr>
          <w:color w:val="auto"/>
          <w:highlight w:val="none"/>
        </w:rPr>
      </w:pPr>
      <w:r>
        <w:rPr>
          <w:rFonts w:hint="eastAsia"/>
          <w:color w:val="auto"/>
          <w:highlight w:val="none"/>
        </w:rPr>
        <w:t xml:space="preserve">古勒巴格乡奥曼库勒村扶持壮大村集体经济项目，设置一级指标四条，二级指标六条，三级指标七条，其中量化指标六条，绩效目标指标设定清晰、可衡量性较强，与项目目标任务计划数对应性较强。</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5、预算编制科学性</w:t>
      </w:r>
    </w:p>
    <w:p>
      <w:pPr>
        <w:ind w:firstLine="640"/>
        <w:rPr>
          <w:color w:val="auto"/>
          <w:highlight w:val="none"/>
        </w:rPr>
      </w:pPr>
      <w:r>
        <w:rPr>
          <w:rFonts w:hint="eastAsia"/>
          <w:color w:val="auto"/>
          <w:highlight w:val="none"/>
        </w:rPr>
        <w:t xml:space="preserve">本项目预算资金50万元，来源为县级补助资金 50万元，预算编制较为科学，预算内容与古勒巴格乡奥曼库勒村扶持壮大村集体经济项目内容相匹配，预算额度测算依据充分，预算确定的资金量与工作量相匹配。</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6、资金分配合理性</w:t>
      </w:r>
    </w:p>
    <w:p>
      <w:pPr>
        <w:ind w:firstLine="640"/>
        <w:rPr>
          <w:color w:val="auto"/>
          <w:highlight w:val="none"/>
        </w:rPr>
      </w:pPr>
      <w:r>
        <w:rPr>
          <w:rFonts w:hint="eastAsia"/>
          <w:color w:val="auto"/>
          <w:highlight w:val="none"/>
        </w:rPr>
        <w:t xml:space="preserve">本项目预算资金分配依据充分；资金分配额度合理，与项目单位实际相适应。</w:t>
      </w:r>
    </w:p>
    <w:p>
      <w:pPr>
        <w:ind w:firstLine="640"/>
        <w:rPr>
          <w:color w:val="auto"/>
          <w:highlight w:val="none"/>
        </w:rPr>
      </w:pPr>
      <w:r>
        <w:rPr>
          <w:rFonts w:hint="eastAsia"/>
          <w:color w:val="auto"/>
          <w:highlight w:val="none"/>
        </w:rPr>
        <w:t xml:space="preserve">本项满分4分，评估得分4分。</w:t>
      </w:r>
    </w:p>
    <w:p>
      <w:pPr>
        <w:pStyle w:val="Heading3"/>
        <w:ind w:firstLine="643"/>
        <w:rPr>
          <w:color w:val="auto"/>
          <w:highlight w:val="none"/>
        </w:rPr>
      </w:pPr>
      <w:bookmarkStart w:id="31" w:name="_Toc11290"/>
      <w:r>
        <w:rPr>
          <w:rFonts w:hint="eastAsia"/>
          <w:color w:val="auto"/>
          <w:highlight w:val="none"/>
        </w:rPr>
        <w:t xml:space="preserve">（二）项目过程情况</w:t>
      </w:r>
      <w:bookmarkEnd w:id="31"/>
    </w:p>
    <w:p>
      <w:pPr>
        <w:ind w:firstLine="640"/>
        <w:rPr>
          <w:color w:val="auto"/>
          <w:highlight w:val="none"/>
        </w:rPr>
      </w:pPr>
      <w:r>
        <w:rPr>
          <w:rFonts w:hint="eastAsia"/>
          <w:color w:val="auto"/>
          <w:highlight w:val="none"/>
        </w:rPr>
        <w:t xml:space="preserve">1、资金到位率</w:t>
      </w:r>
    </w:p>
    <w:p>
      <w:pPr>
        <w:ind w:firstLine="640"/>
        <w:rPr>
          <w:color w:val="auto"/>
          <w:highlight w:val="none"/>
        </w:rPr>
      </w:pPr>
      <w:r>
        <w:rPr>
          <w:rFonts w:hint="eastAsia"/>
          <w:color w:val="auto"/>
          <w:highlight w:val="none"/>
        </w:rPr>
        <w:t xml:space="preserve">本项目预算资金50万元，实际到位资金50万元，资金到位率100%。</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2、预算执行率</w:t>
      </w:r>
    </w:p>
    <w:p>
      <w:pPr>
        <w:ind w:firstLine="640"/>
        <w:rPr>
          <w:color w:val="auto"/>
          <w:highlight w:val="none"/>
        </w:rPr>
      </w:pPr>
      <w:r>
        <w:rPr>
          <w:rFonts w:hint="eastAsia"/>
          <w:color w:val="auto"/>
          <w:highlight w:val="none"/>
        </w:rPr>
        <w:t xml:space="preserve">本项目到位资金50万元，实际支付资金50万元，预算执行率为100%。</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3、资金使用合规性</w:t>
      </w:r>
    </w:p>
    <w:p>
      <w:pPr>
        <w:ind w:firstLine="640"/>
        <w:rPr>
          <w:color w:val="auto"/>
          <w:highlight w:val="none"/>
        </w:rPr>
      </w:pPr>
      <w:r>
        <w:rPr>
          <w:rFonts w:hint="eastAsia"/>
          <w:color w:val="auto"/>
          <w:highlight w:val="none"/>
        </w:rPr>
        <w:t xml:space="preserve">本项目资金的使用符合《中华人民共和国预算法》《中华人民共和国会计法》等国家有关财经法规以及预算管理制度；符合《尉犁县古勒巴格乡人民政府专项资金管理办法》要求。资金的审批和拨付按照《尉犁县财政资金审批管理办法》执行，有完整的审批程序和手续；资金使用符合专项资金支持的范围。不存在截留、挤占、挪用、虚列支出等情况。</w:t>
      </w:r>
    </w:p>
    <w:p>
      <w:pPr>
        <w:ind w:firstLine="640"/>
        <w:rPr>
          <w:color w:val="auto"/>
          <w:highlight w:val="none"/>
        </w:rPr>
      </w:pPr>
      <w:r>
        <w:rPr>
          <w:rFonts w:hint="eastAsia"/>
          <w:color w:val="auto"/>
          <w:highlight w:val="none"/>
        </w:rPr>
        <w:t xml:space="preserve">本项满分4分，评估得分4分。</w:t>
      </w:r>
    </w:p>
    <w:p>
      <w:pPr>
        <w:ind w:firstLine="640"/>
        <w:rPr>
          <w:color w:val="auto"/>
          <w:highlight w:val="none"/>
        </w:rPr>
      </w:pPr>
      <w:r>
        <w:rPr>
          <w:rFonts w:hint="eastAsia"/>
          <w:color w:val="auto"/>
          <w:highlight w:val="none"/>
        </w:rPr>
        <w:t xml:space="preserve">4、管理制度健全性</w:t>
      </w:r>
    </w:p>
    <w:p>
      <w:pPr>
        <w:ind w:firstLine="640"/>
        <w:rPr>
          <w:rFonts w:ascii="宋体" w:eastAsia="宋体" w:hAnsi="宋体" w:cs="宋体" w:hint="eastAsia"/>
          <w:b/>
          <w:bCs/>
          <w:color w:val="auto"/>
          <w:szCs w:val="24"/>
          <w:highlight w:val="none"/>
        </w:rPr>
      </w:pPr>
      <w:r>
        <w:rPr>
          <w:rFonts w:hint="eastAsia"/>
          <w:color w:val="auto"/>
          <w:highlight w:val="none"/>
        </w:rPr>
        <w:t xml:space="preserve">尉犁县古勒巴格乡人民政府制定了《尉犁县古勒巴格乡人民政府财务管理办法》和《尉犁县古勒巴格乡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ind w:firstLine="640"/>
        <w:rPr>
          <w:color w:val="auto"/>
          <w:highlight w:val="none"/>
        </w:rPr>
      </w:pPr>
      <w:r>
        <w:rPr>
          <w:rFonts w:hint="eastAsia"/>
          <w:color w:val="auto"/>
          <w:highlight w:val="none"/>
        </w:rPr>
        <w:t xml:space="preserve">本项满分3分，评估得分3分。</w:t>
      </w:r>
    </w:p>
    <w:p>
      <w:pPr>
        <w:ind w:firstLine="640"/>
        <w:rPr>
          <w:color w:val="auto"/>
          <w:highlight w:val="none"/>
        </w:rPr>
      </w:pPr>
      <w:r>
        <w:rPr>
          <w:rFonts w:hint="eastAsia"/>
          <w:color w:val="auto"/>
          <w:highlight w:val="none"/>
        </w:rPr>
        <w:t xml:space="preserve">5、制度执行有效性</w:t>
      </w:r>
    </w:p>
    <w:p>
      <w:pPr>
        <w:ind w:firstLine="640"/>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ind w:firstLine="640"/>
        <w:rPr>
          <w:color w:val="auto"/>
          <w:highlight w:val="none"/>
        </w:rPr>
      </w:pPr>
      <w:r>
        <w:rPr>
          <w:rFonts w:hint="eastAsia"/>
          <w:color w:val="auto"/>
          <w:highlight w:val="none"/>
        </w:rPr>
        <w:t xml:space="preserve">本项满分3分，评估得分3分。</w:t>
      </w:r>
      <w:bookmarkStart w:id="32" w:name="_Toc32013"/>
    </w:p>
    <w:p>
      <w:pPr>
        <w:pStyle w:val="Heading3"/>
        <w:ind w:firstLine="643"/>
        <w:rPr>
          <w:color w:val="auto"/>
          <w:highlight w:val="none"/>
        </w:rPr>
      </w:pPr>
      <w:r>
        <w:rPr>
          <w:rFonts w:hint="eastAsia"/>
          <w:color w:val="auto"/>
          <w:highlight w:val="none"/>
        </w:rPr>
        <w:t xml:space="preserve">（三）项目产出情况</w:t>
      </w:r>
      <w:bookmarkEnd w:id="32"/>
    </w:p>
    <w:p>
      <w:pPr>
        <w:ind w:firstLine="640"/>
        <w:rPr>
          <w:color w:val="auto"/>
          <w:highlight w:val="none"/>
        </w:rPr>
      </w:pPr>
      <w:r>
        <w:rPr>
          <w:rFonts w:hint="eastAsia"/>
          <w:color w:val="auto"/>
          <w:highlight w:val="none"/>
        </w:rPr>
        <w:t xml:space="preserve">1、产出数量</w:t>
      </w:r>
    </w:p>
    <w:p>
      <w:pPr>
        <w:ind w:firstLine="640"/>
        <w:rPr>
          <w:rFonts w:ascii="仿宋_GB2312"/>
          <w:color w:val="auto"/>
          <w:highlight w:val="none"/>
        </w:rPr>
      </w:pPr>
      <w:r>
        <w:rPr>
          <w:rFonts w:ascii="仿宋_GB2312" w:hint="eastAsia"/>
          <w:bCs/>
          <w:color w:val="auto"/>
          <w:szCs w:val="32"/>
          <w:highlight w:val="none"/>
        </w:rPr>
        <w:t xml:space="preserve">指标1：</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地平整</w:t>
      </w:r>
      <w:r>
        <w:rPr>
          <w:rFonts w:ascii="仿宋_GB2312" w:hAnsi="微软雅黑" w:cs="微软雅黑" w:hint="eastAsia"/>
          <w:color w:val="auto"/>
          <w:highlight w:val="none"/>
        </w:rPr>
        <w:t xml:space="preserve">亩</w:t>
      </w:r>
      <w:r>
        <w:rPr>
          <w:rFonts w:ascii="仿宋_GB2312" w:hAnsi="___WRD_EMBED_SUB_44" w:cs="___WRD_EMBED_SUB_44" w:hint="eastAsia"/>
          <w:color w:val="auto"/>
          <w:highlight w:val="none"/>
        </w:rPr>
        <w:t xml:space="preserve">数</w:t>
      </w:r>
      <w:r>
        <w:rPr>
          <w:rFonts w:ascii="仿宋_GB2312" w:hint="eastAsia"/>
          <w:color w:val="auto"/>
          <w:highlight w:val="none"/>
        </w:rPr>
        <w:t xml:space="preserve">，预期指标值等于</w:t>
      </w:r>
      <w:r>
        <w:rPr>
          <w:rFonts w:ascii="仿宋_GB2312" w:hAnsi="Calibri" w:cs="Calibri" w:hint="eastAsia"/>
          <w:color w:val="auto"/>
          <w:highlight w:val="none"/>
        </w:rPr>
        <w:t xml:space="preserve">80</w:t>
      </w:r>
      <w:r>
        <w:rPr>
          <w:rFonts w:ascii="仿宋_GB2312" w:hAnsi="微软雅黑" w:cs="微软雅黑" w:hint="eastAsia"/>
          <w:color w:val="auto"/>
          <w:highlight w:val="none"/>
        </w:rPr>
        <w:t xml:space="preserve">亩</w:t>
      </w:r>
      <w:r>
        <w:rPr>
          <w:rFonts w:ascii="仿宋_GB2312" w:hint="eastAsia"/>
          <w:color w:val="auto"/>
          <w:highlight w:val="none"/>
        </w:rPr>
        <w:t xml:space="preserve">，指标完成值：</w:t>
      </w:r>
      <w:r>
        <w:rPr>
          <w:rFonts w:ascii="仿宋_GB2312" w:hAnsi="Calibri" w:cs="Calibri" w:hint="eastAsia"/>
          <w:color w:val="auto"/>
          <w:highlight w:val="none"/>
          <w:lang w:val="en-US" w:eastAsia="zh-CN"/>
        </w:rPr>
        <w:t xml:space="preserve">250</w:t>
      </w:r>
      <w:r>
        <w:rPr>
          <w:rFonts w:ascii="仿宋_GB2312" w:hAnsi="微软雅黑" w:cs="微软雅黑" w:hint="eastAsia"/>
          <w:color w:val="auto"/>
          <w:highlight w:val="none"/>
        </w:rPr>
        <w:t xml:space="preserve">亩</w:t>
      </w:r>
      <w:r>
        <w:rPr>
          <w:rFonts w:ascii="仿宋_GB2312" w:hint="eastAsia"/>
          <w:color w:val="auto"/>
          <w:highlight w:val="none"/>
        </w:rPr>
        <w:t xml:space="preserve">，完成率：</w:t>
      </w:r>
      <w:r>
        <w:rPr>
          <w:rFonts w:ascii="仿宋_GB2312" w:hint="eastAsia"/>
          <w:color w:val="auto"/>
          <w:highlight w:val="none"/>
          <w:lang w:val="en-US" w:eastAsia="zh-CN"/>
        </w:rPr>
        <w:t xml:space="preserve">250</w:t>
      </w:r>
      <w:r>
        <w:rPr>
          <w:rFonts w:ascii="仿宋_GB2312" w:hint="eastAsia"/>
          <w:color w:val="auto"/>
          <w:highlight w:val="none"/>
        </w:rPr>
        <w:t xml:space="preserve">%；</w:t>
      </w:r>
    </w:p>
    <w:p>
      <w:pPr>
        <w:ind w:firstLine="640"/>
        <w:rPr>
          <w:color w:val="auto"/>
          <w:highlight w:val="none"/>
        </w:rPr>
      </w:pPr>
      <w:r>
        <w:rPr>
          <w:rFonts w:hint="eastAsia"/>
          <w:color w:val="auto"/>
          <w:highlight w:val="none"/>
        </w:rPr>
        <w:t xml:space="preserve">本项满分12分，评估得分12分。</w:t>
      </w:r>
    </w:p>
    <w:p>
      <w:pPr>
        <w:ind w:firstLine="640"/>
        <w:rPr>
          <w:color w:val="auto"/>
          <w:highlight w:val="none"/>
        </w:rPr>
      </w:pPr>
      <w:r>
        <w:rPr>
          <w:rFonts w:hint="eastAsia"/>
          <w:color w:val="auto"/>
          <w:highlight w:val="none"/>
        </w:rPr>
        <w:t xml:space="preserve">2、产出质量</w:t>
      </w:r>
    </w:p>
    <w:p>
      <w:pPr>
        <w:ind w:firstLine="640"/>
        <w:rPr>
          <w:color w:val="auto"/>
          <w:highlight w:val="none"/>
        </w:rPr>
      </w:pPr>
      <w:r>
        <w:rPr>
          <w:color w:val="auto"/>
          <w:highlight w:val="none"/>
        </w:rPr>
        <w:t xml:space="preserve">指标</w:t>
      </w:r>
      <w:r>
        <w:rPr>
          <w:rFonts w:hint="eastAsia"/>
          <w:color w:val="auto"/>
          <w:highlight w:val="none"/>
        </w:rPr>
        <w:t xml:space="preserve">1</w:t>
      </w:r>
      <w:r>
        <w:rPr>
          <w:color w:val="auto"/>
          <w:highlight w:val="none"/>
        </w:rPr>
        <w:t xml:space="preserve">：</w:t>
      </w:r>
      <w:r>
        <w:rPr>
          <w:rFonts w:hint="eastAsia"/>
          <w:color w:val="auto"/>
          <w:highlight w:val="none"/>
        </w:rPr>
        <w:t xml:space="preserve">验收合格率</w:t>
      </w:r>
      <w:r>
        <w:rPr>
          <w:color w:val="auto"/>
          <w:highlight w:val="none"/>
        </w:rPr>
        <w:t xml:space="preserve">，预期指标值</w:t>
      </w:r>
      <w:r>
        <w:rPr>
          <w:rFonts w:hint="eastAsia"/>
          <w:color w:val="auto"/>
          <w:highlight w:val="none"/>
        </w:rPr>
        <w:t xml:space="preserve">等于</w:t>
      </w:r>
      <w:r>
        <w:rPr>
          <w:rFonts w:ascii="Calibri" w:hAnsi="Calibri" w:cs="Calibri" w:hint="eastAsia"/>
          <w:color w:val="auto"/>
          <w:highlight w:val="none"/>
        </w:rPr>
        <w:t xml:space="preserve">100</w:t>
      </w:r>
      <w:r>
        <w:rPr>
          <w:rFonts w:hint="eastAsia"/>
          <w:color w:val="auto"/>
          <w:highlight w:val="none"/>
        </w:rPr>
        <w:t xml:space="preserve">%</w:t>
      </w:r>
      <w:r>
        <w:rPr>
          <w:color w:val="auto"/>
          <w:highlight w:val="none"/>
        </w:rPr>
        <w:t xml:space="preserve">，指标完成值：</w:t>
      </w:r>
      <w:r>
        <w:rPr>
          <w:rFonts w:ascii="Calibri" w:hAnsi="Calibri" w:cs="Calibri" w:hint="eastAsia"/>
          <w:color w:val="auto"/>
          <w:highlight w:val="none"/>
        </w:rPr>
        <w:t xml:space="preserve">100</w:t>
      </w:r>
      <w:r>
        <w:rPr>
          <w:rFonts w:hint="eastAsia"/>
          <w:color w:val="auto"/>
          <w:highlight w:val="none"/>
        </w:rPr>
        <w:t xml:space="preserve">%</w:t>
      </w:r>
      <w:r>
        <w:rPr>
          <w:color w:val="auto"/>
          <w:highlight w:val="none"/>
        </w:rPr>
        <w:t xml:space="preserve">，完成率：</w:t>
      </w:r>
      <w:r>
        <w:rPr>
          <w:rFonts w:hint="eastAsia"/>
          <w:color w:val="auto"/>
          <w:highlight w:val="none"/>
        </w:rPr>
        <w:t xml:space="preserve">100%</w:t>
      </w:r>
      <w:r>
        <w:rPr>
          <w:color w:val="auto"/>
          <w:highlight w:val="none"/>
        </w:rPr>
        <w:t xml:space="preserve">；</w:t>
      </w:r>
    </w:p>
    <w:p>
      <w:pPr>
        <w:ind w:firstLine="640"/>
        <w:rPr>
          <w:color w:val="auto"/>
          <w:highlight w:val="none"/>
        </w:rPr>
      </w:pPr>
      <w:r>
        <w:rPr>
          <w:rFonts w:hint="eastAsia"/>
          <w:color w:val="auto"/>
          <w:highlight w:val="none"/>
        </w:rPr>
        <w:t xml:space="preserve">本项满分12分，评估得分12分。</w:t>
      </w:r>
    </w:p>
    <w:p>
      <w:pPr>
        <w:ind w:firstLine="640"/>
        <w:rPr>
          <w:color w:val="auto"/>
          <w:highlight w:val="none"/>
        </w:rPr>
      </w:pPr>
      <w:r>
        <w:rPr>
          <w:rFonts w:hint="eastAsia"/>
          <w:color w:val="auto"/>
          <w:highlight w:val="none"/>
        </w:rPr>
        <w:t xml:space="preserve">3、产出时效</w:t>
      </w:r>
    </w:p>
    <w:p>
      <w:pPr>
        <w:ind w:firstLine="640"/>
        <w:rPr>
          <w:rFonts w:ascii="仿宋_GB2312"/>
          <w:color w:val="auto"/>
          <w:highlight w:val="none"/>
        </w:rPr>
      </w:pPr>
      <w:r>
        <w:rPr>
          <w:rFonts w:ascii="仿宋_GB2312" w:hint="eastAsia"/>
          <w:bCs/>
          <w:color w:val="auto"/>
          <w:szCs w:val="32"/>
          <w:highlight w:val="none"/>
        </w:rPr>
        <w:t xml:space="preserve">指标1：</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地平整工作完成及时率</w:t>
      </w:r>
      <w:r>
        <w:rPr>
          <w:rFonts w:ascii="仿宋_GB2312" w:hint="eastAsia"/>
          <w:color w:val="auto"/>
          <w:highlight w:val="none"/>
        </w:rPr>
        <w:t xml:space="preserve">，预期指标值等于</w:t>
      </w:r>
      <w:r>
        <w:rPr>
          <w:rFonts w:ascii="仿宋_GB2312" w:hAnsi="Calibri" w:cs="Calibri" w:hint="eastAsia"/>
          <w:color w:val="auto"/>
          <w:highlight w:val="none"/>
        </w:rPr>
        <w:t xml:space="preserve">100</w:t>
      </w:r>
      <w:r>
        <w:rPr>
          <w:rFonts w:ascii="仿宋_GB2312" w:hint="eastAsia"/>
          <w:color w:val="auto"/>
          <w:highlight w:val="none"/>
        </w:rPr>
        <w:t xml:space="preserve">%，指标完成值：</w:t>
      </w:r>
      <w:r>
        <w:rPr>
          <w:rFonts w:ascii="仿宋_GB2312" w:hAnsi="Calibri" w:cs="Calibri" w:hint="eastAsia"/>
          <w:color w:val="auto"/>
          <w:highlight w:val="none"/>
        </w:rPr>
        <w:t xml:space="preserve">100</w:t>
      </w:r>
      <w:r>
        <w:rPr>
          <w:rFonts w:ascii="仿宋_GB2312" w:hint="eastAsia"/>
          <w:color w:val="auto"/>
          <w:highlight w:val="none"/>
        </w:rPr>
        <w:t xml:space="preserve">%，完成率：100%；</w:t>
      </w:r>
    </w:p>
    <w:p>
      <w:pPr>
        <w:ind w:firstLine="640"/>
        <w:rPr>
          <w:rFonts w:ascii="仿宋_GB2312"/>
          <w:color w:val="auto"/>
          <w:highlight w:val="none"/>
        </w:rPr>
      </w:pPr>
      <w:r>
        <w:rPr>
          <w:rFonts w:ascii="仿宋_GB2312" w:hint="eastAsia"/>
          <w:bCs/>
          <w:color w:val="auto"/>
          <w:szCs w:val="32"/>
          <w:highlight w:val="none"/>
        </w:rPr>
        <w:t xml:space="preserve">指标2：</w:t>
      </w:r>
      <w:r>
        <w:rPr>
          <w:rFonts w:ascii="仿宋_GB2312" w:hint="eastAsia"/>
          <w:color w:val="auto"/>
          <w:highlight w:val="none"/>
        </w:rPr>
        <w:t xml:space="preserve">资金支付及时率，预期指标值等于</w:t>
      </w:r>
      <w:r>
        <w:rPr>
          <w:rFonts w:ascii="仿宋_GB2312" w:hAnsi="Calibri" w:cs="Calibri" w:hint="eastAsia"/>
          <w:color w:val="auto"/>
          <w:highlight w:val="none"/>
        </w:rPr>
        <w:t xml:space="preserve">100</w:t>
      </w:r>
      <w:r>
        <w:rPr>
          <w:rFonts w:ascii="仿宋_GB2312" w:hint="eastAsia"/>
          <w:color w:val="auto"/>
          <w:highlight w:val="none"/>
        </w:rPr>
        <w:t xml:space="preserve">%，指标完成值：</w:t>
      </w:r>
      <w:r>
        <w:rPr>
          <w:rFonts w:ascii="仿宋_GB2312" w:hAnsi="Calibri" w:cs="Calibri" w:hint="eastAsia"/>
          <w:color w:val="auto"/>
          <w:highlight w:val="none"/>
        </w:rPr>
        <w:t xml:space="preserve">100</w:t>
      </w:r>
      <w:r>
        <w:rPr>
          <w:rFonts w:ascii="仿宋_GB2312" w:hint="eastAsia"/>
          <w:color w:val="auto"/>
          <w:highlight w:val="none"/>
        </w:rPr>
        <w:t xml:space="preserve">%，完成率：100%；</w:t>
      </w:r>
    </w:p>
    <w:p>
      <w:pPr>
        <w:ind w:firstLine="640"/>
        <w:rPr>
          <w:color w:val="auto"/>
          <w:highlight w:val="none"/>
        </w:rPr>
      </w:pPr>
      <w:r>
        <w:rPr>
          <w:rFonts w:hint="eastAsia"/>
          <w:color w:val="auto"/>
          <w:highlight w:val="none"/>
        </w:rPr>
        <w:t xml:space="preserve">本项满分8分，评估得分8分。</w:t>
      </w:r>
    </w:p>
    <w:p>
      <w:pPr>
        <w:ind w:firstLine="640"/>
        <w:rPr>
          <w:color w:val="auto"/>
          <w:highlight w:val="none"/>
        </w:rPr>
      </w:pPr>
      <w:r>
        <w:rPr>
          <w:rFonts w:hint="eastAsia"/>
          <w:color w:val="auto"/>
          <w:highlight w:val="none"/>
        </w:rPr>
        <w:t xml:space="preserve">4、产出成本</w:t>
      </w:r>
    </w:p>
    <w:p>
      <w:pPr>
        <w:ind w:firstLine="640"/>
        <w:rPr>
          <w:rFonts w:ascii="仿宋_GB2312"/>
          <w:color w:val="auto"/>
          <w:highlight w:val="none"/>
        </w:rPr>
      </w:pPr>
      <w:r>
        <w:rPr>
          <w:rFonts w:ascii="仿宋_GB2312" w:hint="eastAsia"/>
          <w:bCs/>
          <w:color w:val="auto"/>
          <w:szCs w:val="32"/>
          <w:highlight w:val="none"/>
        </w:rPr>
        <w:t xml:space="preserve">指标1：</w:t>
      </w:r>
      <w:r>
        <w:rPr>
          <w:rFonts w:ascii="仿宋_GB2312" w:hint="eastAsia"/>
          <w:color w:val="auto"/>
          <w:highlight w:val="none"/>
        </w:rPr>
        <w:t xml:space="preserve">每</w:t>
      </w:r>
      <w:r>
        <w:rPr>
          <w:rFonts w:ascii="仿宋_GB2312" w:hAnsi="微软雅黑" w:cs="微软雅黑" w:hint="eastAsia"/>
          <w:color w:val="auto"/>
          <w:highlight w:val="none"/>
        </w:rPr>
        <w:t xml:space="preserve">亩</w:t>
      </w:r>
      <w:r>
        <w:rPr>
          <w:rFonts w:ascii="仿宋_GB2312" w:hAnsi="___WRD_EMBED_SUB_44" w:cs="___WRD_EMBED_SUB_44" w:hint="eastAsia"/>
          <w:color w:val="auto"/>
          <w:highlight w:val="none"/>
        </w:rPr>
        <w:t xml:space="preserve">平整</w:t>
      </w:r>
      <w:r>
        <w:rPr>
          <w:rFonts w:ascii="仿宋_GB2312" w:hAnsi="微软雅黑" w:cs="微软雅黑" w:hint="eastAsia"/>
          <w:color w:val="auto"/>
          <w:highlight w:val="none"/>
        </w:rPr>
        <w:t xml:space="preserve">土</w:t>
      </w:r>
      <w:r>
        <w:rPr>
          <w:rFonts w:ascii="仿宋_GB2312" w:hAnsi="___WRD_EMBED_SUB_44" w:cs="___WRD_EMBED_SUB_44" w:hint="eastAsia"/>
          <w:color w:val="auto"/>
          <w:highlight w:val="none"/>
        </w:rPr>
        <w:t xml:space="preserve">地价格</w:t>
      </w:r>
      <w:r>
        <w:rPr>
          <w:rFonts w:ascii="仿宋_GB2312" w:hint="eastAsia"/>
          <w:color w:val="auto"/>
          <w:highlight w:val="none"/>
        </w:rPr>
        <w:t xml:space="preserve">，预期指标小于或等于6250元/</w:t>
      </w:r>
      <w:r>
        <w:rPr>
          <w:rFonts w:ascii="仿宋_GB2312" w:hAnsi="微软雅黑" w:cs="微软雅黑" w:hint="eastAsia"/>
          <w:color w:val="auto"/>
          <w:highlight w:val="none"/>
        </w:rPr>
        <w:t xml:space="preserve">亩</w:t>
      </w:r>
      <w:r>
        <w:rPr>
          <w:rFonts w:ascii="仿宋_GB2312" w:hint="eastAsia"/>
          <w:color w:val="auto"/>
          <w:highlight w:val="none"/>
        </w:rPr>
        <w:t xml:space="preserve">，指标完成值：</w:t>
      </w:r>
      <w:r>
        <w:rPr>
          <w:rFonts w:ascii="仿宋_GB2312" w:hint="eastAsia"/>
          <w:color w:val="auto"/>
          <w:highlight w:val="none"/>
          <w:lang w:val="en-US" w:eastAsia="zh-CN"/>
        </w:rPr>
        <w:t xml:space="preserve">2500</w:t>
      </w:r>
      <w:r>
        <w:rPr>
          <w:rFonts w:ascii="仿宋_GB2312" w:hint="eastAsia"/>
          <w:color w:val="auto"/>
          <w:highlight w:val="none"/>
        </w:rPr>
        <w:t xml:space="preserve">元/</w:t>
      </w:r>
      <w:r>
        <w:rPr>
          <w:rFonts w:ascii="仿宋_GB2312" w:hAnsi="微软雅黑" w:cs="微软雅黑" w:hint="eastAsia"/>
          <w:color w:val="auto"/>
          <w:highlight w:val="none"/>
        </w:rPr>
        <w:t xml:space="preserve">亩</w:t>
      </w:r>
      <w:r>
        <w:rPr>
          <w:rFonts w:ascii="仿宋_GB2312" w:hint="eastAsia"/>
          <w:color w:val="auto"/>
          <w:highlight w:val="none"/>
        </w:rPr>
        <w:t xml:space="preserve">，完成率：100%；</w:t>
      </w:r>
    </w:p>
    <w:p>
      <w:pPr>
        <w:ind w:firstLine="640"/>
        <w:rPr>
          <w:color w:val="auto"/>
          <w:highlight w:val="none"/>
        </w:rPr>
      </w:pPr>
      <w:r>
        <w:rPr>
          <w:rFonts w:hint="eastAsia"/>
          <w:color w:val="auto"/>
          <w:highlight w:val="none"/>
        </w:rPr>
        <w:t xml:space="preserve">本项满分8分，评估得分8分。</w:t>
      </w:r>
    </w:p>
    <w:p>
      <w:pPr>
        <w:pStyle w:val="Heading3"/>
        <w:ind w:firstLine="643"/>
        <w:rPr>
          <w:color w:val="auto"/>
          <w:highlight w:val="none"/>
        </w:rPr>
      </w:pPr>
      <w:bookmarkStart w:id="33" w:name="_Toc28354"/>
      <w:r>
        <w:rPr>
          <w:rFonts w:hint="eastAsia"/>
          <w:color w:val="auto"/>
          <w:highlight w:val="none"/>
        </w:rPr>
        <w:t xml:space="preserve">（四）项目效益情况</w:t>
      </w:r>
      <w:bookmarkEnd w:id="33"/>
    </w:p>
    <w:p>
      <w:pPr>
        <w:ind w:firstLine="640"/>
        <w:rPr>
          <w:color w:val="auto"/>
          <w:highlight w:val="none"/>
        </w:rPr>
      </w:pPr>
      <w:r>
        <w:rPr>
          <w:rFonts w:hint="eastAsia"/>
          <w:color w:val="auto"/>
          <w:highlight w:val="none"/>
        </w:rPr>
        <w:t xml:space="preserve">1、实际效益</w:t>
      </w:r>
    </w:p>
    <w:p>
      <w:pPr>
        <w:pStyle w:val="BodyText"/>
        <w:ind w:firstLine="640"/>
        <w:rPr>
          <w:rFonts w:ascii="仿宋_GB2312"/>
          <w:color w:val="auto"/>
          <w:highlight w:val="none"/>
        </w:rPr>
      </w:pPr>
      <w:r>
        <w:rPr>
          <w:rFonts w:ascii="仿宋_GB2312" w:hint="eastAsia"/>
          <w:color w:val="auto"/>
          <w:highlight w:val="none"/>
        </w:rPr>
        <w:t xml:space="preserve">指标1：进一步</w:t>
      </w:r>
      <w:r>
        <w:rPr>
          <w:rFonts w:ascii="仿宋_GB2312" w:hAnsi="微软雅黑" w:cs="微软雅黑" w:hint="eastAsia"/>
          <w:color w:val="auto"/>
          <w:highlight w:val="none"/>
        </w:rPr>
        <w:t xml:space="preserve">壮</w:t>
      </w:r>
      <w:r>
        <w:rPr>
          <w:rFonts w:ascii="仿宋_GB2312" w:hAnsi="___WRD_EMBED_SUB_44" w:cs="___WRD_EMBED_SUB_44" w:hint="eastAsia"/>
          <w:color w:val="auto"/>
          <w:highlight w:val="none"/>
        </w:rPr>
        <w:t xml:space="preserve">大入</w:t>
      </w:r>
      <w:r>
        <w:rPr>
          <w:rFonts w:ascii="仿宋_GB2312" w:hAnsi="微软雅黑" w:cs="微软雅黑" w:hint="eastAsia"/>
          <w:color w:val="auto"/>
          <w:highlight w:val="none"/>
        </w:rPr>
        <w:t xml:space="preserve">村</w:t>
      </w:r>
      <w:r>
        <w:rPr>
          <w:rFonts w:ascii="仿宋_GB2312" w:hAnsi="___WRD_EMBED_SUB_44" w:cs="___WRD_EMBED_SUB_44" w:hint="eastAsia"/>
          <w:color w:val="auto"/>
          <w:highlight w:val="none"/>
        </w:rPr>
        <w:t xml:space="preserve">集体经济</w:t>
      </w:r>
      <w:r>
        <w:rPr>
          <w:rFonts w:ascii="仿宋_GB2312" w:hint="eastAsia"/>
          <w:color w:val="auto"/>
          <w:highlight w:val="none"/>
        </w:rPr>
        <w:t xml:space="preserve">，预期指标值明显增加，指标完成值：达成目标，完成率：100%；</w:t>
      </w:r>
    </w:p>
    <w:p>
      <w:pPr>
        <w:ind w:firstLine="640"/>
        <w:rPr>
          <w:color w:val="auto"/>
          <w:highlight w:val="none"/>
        </w:rPr>
      </w:pPr>
      <w:r>
        <w:rPr>
          <w:rFonts w:hint="eastAsia"/>
          <w:color w:val="auto"/>
          <w:highlight w:val="none"/>
        </w:rPr>
        <w:t xml:space="preserve">本项满分10分，评估得分10分。</w:t>
      </w:r>
    </w:p>
    <w:p>
      <w:pPr>
        <w:ind w:firstLine="640"/>
        <w:rPr>
          <w:color w:val="auto"/>
          <w:highlight w:val="none"/>
        </w:rPr>
      </w:pPr>
      <w:r>
        <w:rPr>
          <w:rFonts w:hint="eastAsia"/>
          <w:color w:val="auto"/>
          <w:highlight w:val="none"/>
        </w:rPr>
        <w:t xml:space="preserve">2、满意度</w:t>
      </w:r>
    </w:p>
    <w:p>
      <w:pPr>
        <w:ind w:firstLine="640"/>
        <w:rPr>
          <w:color w:val="auto"/>
          <w:highlight w:val="none"/>
        </w:rPr>
      </w:pPr>
      <w:r>
        <w:rPr>
          <w:color w:val="auto"/>
          <w:highlight w:val="none"/>
        </w:rPr>
        <w:t xml:space="preserve">本项目服务对象和受益群众主要是</w:t>
      </w:r>
      <w:r>
        <w:rPr>
          <w:rFonts w:hint="eastAsia"/>
          <w:color w:val="auto"/>
          <w:highlight w:val="none"/>
        </w:rPr>
        <w:t xml:space="preserve">辖区居住群众</w:t>
      </w:r>
      <w:r>
        <w:rPr>
          <w:color w:val="auto"/>
          <w:highlight w:val="none"/>
        </w:rPr>
        <w:t xml:space="preserve">，通过问卷调查方式收集服务对象和受益群众对本项目实施的满</w:t>
      </w:r>
      <w:r>
        <w:rPr>
          <w:rFonts w:ascii="仿宋_GB2312" w:hint="eastAsia"/>
          <w:color w:val="auto"/>
          <w:highlight w:val="none"/>
        </w:rPr>
        <w:t xml:space="preserve">意度。调查人群都表示很满意，都认为本项目实施后，提高了</w:t>
      </w:r>
      <w:r>
        <w:rPr>
          <w:rFonts w:ascii="仿宋_GB2312" w:hAnsi="微软雅黑" w:cs="微软雅黑" w:hint="eastAsia"/>
          <w:color w:val="auto"/>
          <w:highlight w:val="none"/>
        </w:rPr>
        <w:t xml:space="preserve">村民收入</w:t>
      </w:r>
      <w:r>
        <w:rPr>
          <w:rFonts w:ascii="仿宋_GB2312" w:hint="eastAsia"/>
          <w:color w:val="auto"/>
          <w:highlight w:val="none"/>
        </w:rPr>
        <w:t xml:space="preserve">。</w:t>
      </w:r>
    </w:p>
    <w:p>
      <w:pPr>
        <w:ind w:firstLine="640"/>
        <w:rPr>
          <w:color w:val="auto"/>
          <w:highlight w:val="none"/>
        </w:rPr>
      </w:pPr>
      <w:r>
        <w:rPr>
          <w:rFonts w:hint="eastAsia"/>
          <w:color w:val="auto"/>
          <w:highlight w:val="none"/>
        </w:rPr>
        <w:t xml:space="preserve">本项满分10分，评估得分10分。</w:t>
      </w:r>
    </w:p>
    <w:p>
      <w:pPr>
        <w:pStyle w:val="Heading2"/>
        <w:ind w:firstLine="640"/>
        <w:rPr>
          <w:color w:val="auto"/>
          <w:highlight w:val="none"/>
        </w:rPr>
      </w:pPr>
      <w:bookmarkStart w:id="34" w:name="_Toc27244"/>
      <w:r>
        <w:rPr>
          <w:rFonts w:hint="eastAsia"/>
          <w:color w:val="auto"/>
          <w:highlight w:val="none"/>
        </w:rPr>
        <w:t xml:space="preserve">五、主要经验及做法、存在的问题及原因分析</w:t>
      </w:r>
      <w:bookmarkEnd w:id="34"/>
    </w:p>
    <w:p>
      <w:pPr>
        <w:pStyle w:val="Heading3"/>
        <w:ind w:firstLine="643"/>
        <w:rPr>
          <w:color w:val="auto"/>
          <w:highlight w:val="none"/>
        </w:rPr>
      </w:pPr>
      <w:bookmarkStart w:id="35" w:name="_Toc18880"/>
      <w:r>
        <w:rPr>
          <w:rFonts w:hint="eastAsia"/>
          <w:color w:val="auto"/>
          <w:highlight w:val="none"/>
        </w:rPr>
        <w:t xml:space="preserve">（一）主要经验及做法</w:t>
      </w:r>
      <w:bookmarkEnd w:id="35"/>
    </w:p>
    <w:p>
      <w:pPr>
        <w:ind w:firstLine="640"/>
        <w:rPr>
          <w:color w:val="auto"/>
          <w:highlight w:val="none"/>
        </w:rPr>
      </w:pPr>
      <w:bookmarkStart w:id="36" w:name="_Toc9914"/>
      <w:r>
        <w:rPr>
          <w:rFonts w:hint="eastAsia"/>
          <w:color w:val="auto"/>
          <w:highlight w:val="none"/>
        </w:rPr>
        <w:t xml:space="preserve">尉犁县古勒巴格乡人民政府</w:t>
      </w:r>
      <w:r>
        <w:rPr>
          <w:color w:val="auto"/>
          <w:highlight w:val="none"/>
        </w:rPr>
        <w:t xml:space="preserve">在</w:t>
      </w:r>
      <w:r>
        <w:rPr>
          <w:rFonts w:hint="eastAsia"/>
          <w:color w:val="auto"/>
          <w:highlight w:val="none"/>
        </w:rPr>
        <w:t xml:space="preserve">尉犁</w:t>
      </w:r>
      <w:r>
        <w:rPr>
          <w:color w:val="auto"/>
          <w:highlight w:val="none"/>
        </w:rPr>
        <w:t xml:space="preserve">县委、县政府的支持下，在相关部门的配合下，全面顺利完成，绩效评价“优”，主要经验及做法如下：</w:t>
      </w:r>
    </w:p>
    <w:p>
      <w:pPr>
        <w:ind w:firstLine="640"/>
        <w:rPr>
          <w:color w:val="auto"/>
          <w:highlight w:val="none"/>
        </w:rPr>
      </w:pPr>
      <w:r>
        <w:rPr>
          <w:color w:val="auto"/>
          <w:highlight w:val="none"/>
        </w:rPr>
        <w:t xml:space="preserve">1.</w:t>
      </w:r>
      <w:r>
        <w:rPr>
          <w:rFonts w:hint="eastAsia"/>
          <w:color w:val="auto"/>
          <w:highlight w:val="none"/>
        </w:rPr>
        <w:t xml:space="preserve">土地资源整合与规划：组织专业人员对村内土地资源进行全面清查与评估，明确可流转土地的位置、面积、土壤质量等信息。将分散的小块土地通过合理的协调与沟通，集中连片，此次共完成</w:t>
      </w:r>
      <w:r>
        <w:rPr>
          <w:color w:val="auto"/>
          <w:highlight w:val="none"/>
        </w:rPr>
        <w:t xml:space="preserve">80</w:t>
      </w:r>
      <w:r>
        <w:rPr>
          <w:rFonts w:hint="eastAsia"/>
          <w:color w:val="auto"/>
          <w:highlight w:val="none"/>
        </w:rPr>
        <w:t xml:space="preserve">亩土地的平整整合，为规模化、集约化经营奠定基础。例如，通过与农户协商，对原先因田埂、沟渠分割的零碎土地进行重新规划，提高了土地利用率。</w:t>
      </w:r>
    </w:p>
    <w:p>
      <w:pPr>
        <w:ind w:firstLine="640"/>
        <w:rPr>
          <w:color w:val="auto"/>
          <w:highlight w:val="none"/>
        </w:rPr>
      </w:pPr>
      <w:r>
        <w:rPr>
          <w:color w:val="auto"/>
          <w:highlight w:val="none"/>
        </w:rPr>
        <w:t xml:space="preserve"> 2.</w:t>
      </w:r>
      <w:r>
        <w:rPr>
          <w:rFonts w:hint="eastAsia"/>
          <w:color w:val="auto"/>
          <w:highlight w:val="none"/>
        </w:rPr>
        <w:t xml:space="preserve">规范出租流程：严格遵循相关法律法规，在出租前，召开村民大会或村民代表大会，就土地出租事宜进行充分讨论和表决，确保三分之二以上成员或者三分之二以上村民代表同意</w:t>
      </w:r>
      <w:r>
        <w:rPr>
          <w:color w:val="auto"/>
          <w:highlight w:val="none"/>
        </w:rPr>
        <w:t xml:space="preserve"> </w:t>
      </w:r>
      <w:r>
        <w:rPr>
          <w:rFonts w:hint="eastAsia"/>
          <w:color w:val="auto"/>
          <w:highlight w:val="none"/>
        </w:rPr>
        <w:t xml:space="preserve">，充分保障村民的知情权、参与权和决策权。同时，对有意向的第三方进行资信情况和经营能力审查，确保其具备良好的财务状况和农业经营能力，避免出现租金拖欠或土地经营不善的情况。</w:t>
      </w:r>
    </w:p>
    <w:p>
      <w:pPr>
        <w:ind w:firstLine="640"/>
        <w:rPr>
          <w:color w:val="auto"/>
          <w:highlight w:val="none"/>
        </w:rPr>
      </w:pPr>
      <w:r>
        <w:rPr>
          <w:color w:val="auto"/>
          <w:highlight w:val="none"/>
        </w:rPr>
        <w:t xml:space="preserve"> 3.</w:t>
      </w:r>
      <w:r>
        <w:rPr>
          <w:rFonts w:hint="eastAsia"/>
          <w:color w:val="auto"/>
          <w:highlight w:val="none"/>
        </w:rPr>
        <w:t xml:space="preserve">完善合同条款：在签订土地出租合同前，咨询专业法律人士，明确双方的权利和义务。合同中详细规定租赁期限、租金金额及支付方式、土地用途、违约责任、土地复垦要求等关键内容。例如，约定租金每年支付一次，在每年年初支付；规定土地只能用于农业种植，不得擅自改变用途；若一方违约，需承担相应的经济赔偿责任。</w:t>
      </w:r>
    </w:p>
    <w:p>
      <w:pPr>
        <w:pStyle w:val="Heading3"/>
        <w:ind w:firstLine="643"/>
        <w:rPr>
          <w:color w:val="auto"/>
          <w:highlight w:val="none"/>
        </w:rPr>
      </w:pPr>
      <w:r>
        <w:rPr>
          <w:rFonts w:hint="eastAsia"/>
          <w:color w:val="auto"/>
          <w:highlight w:val="none"/>
        </w:rPr>
        <w:t xml:space="preserve">（二）存在问题及原因分析</w:t>
      </w:r>
      <w:bookmarkEnd w:id="36"/>
    </w:p>
    <w:p>
      <w:pPr>
        <w:ind w:firstLine="640"/>
        <w:rPr>
          <w:color w:val="auto"/>
          <w:highlight w:val="none"/>
        </w:rPr>
      </w:pPr>
      <w:r>
        <w:rPr>
          <w:rFonts w:hint="eastAsia"/>
          <w:color w:val="auto"/>
          <w:highlight w:val="none"/>
        </w:rPr>
        <w:t xml:space="preserve">1、项目决策方面：可能存在对市场调研不充分，导致项目选择与市场需求脱节，如发展的产业项目因市场饱和或需求变化而收益不佳。同时，村民参与度低，决策过程中未能充分听取村民意见，使得部分项目实施时遇到村民不配合等情况。</w:t>
      </w:r>
    </w:p>
    <w:p>
      <w:pPr>
        <w:ind w:firstLine="640"/>
        <w:rPr>
          <w:color w:val="auto"/>
          <w:highlight w:val="none"/>
        </w:rPr>
      </w:pPr>
      <w:r>
        <w:rPr>
          <w:rFonts w:hint="eastAsia"/>
          <w:color w:val="auto"/>
          <w:highlight w:val="none"/>
        </w:rPr>
        <w:t xml:space="preserve">2、流转价格确定方面：缺乏科学依据，目前土地出租价格主要通过双方协商确定，缺乏科学的土地价值评估机制。这导致价格可能无法真实反映土地的实际价值和潜在收益，一方面，可能使村集体租金收益受损；另一方面，若价格过高，也会影响第三方的承租积极性。原因在于缺乏专业的土地评估机构和专业人才，对土地的肥力、地理位置优势、市场农业收益预期等因素难以进行全面、精准的量化评估。</w:t>
      </w:r>
    </w:p>
    <w:p>
      <w:pPr>
        <w:pStyle w:val="Heading2"/>
        <w:ind w:firstLine="640"/>
        <w:rPr>
          <w:color w:val="auto"/>
          <w:highlight w:val="none"/>
        </w:rPr>
      </w:pPr>
      <w:bookmarkStart w:id="37" w:name="_Toc2334"/>
      <w:r>
        <w:rPr>
          <w:rFonts w:hint="eastAsia"/>
          <w:color w:val="auto"/>
          <w:highlight w:val="none"/>
        </w:rPr>
        <w:t xml:space="preserve">六、有关建议</w:t>
      </w:r>
      <w:bookmarkEnd w:id="37"/>
      <w:bookmarkStart w:id="38" w:name="_Toc30571"/>
    </w:p>
    <w:p>
      <w:pPr>
        <w:ind w:firstLine="640"/>
        <w:rPr>
          <w:color w:val="auto"/>
          <w:highlight w:val="none"/>
        </w:rPr>
      </w:pPr>
      <w:r>
        <w:rPr>
          <w:rFonts w:hint="eastAsia"/>
          <w:color w:val="auto"/>
          <w:highlight w:val="none"/>
        </w:rPr>
        <w:t xml:space="preserve">1、强化市场调研：建立长期市场调研机制，安排专人跟踪行业动态、收集市场信息，借助大数据分析，深入了解市场需求与价格波动，确保项目选择的科学性，避免盲目跟风。民主决策流程：重大项目决策前，组织村民代表大会充分讨论，邀请专家评估论证，广泛听取意见，保障决策充分体现村民意愿，降低决策风险。</w:t>
      </w:r>
    </w:p>
    <w:p>
      <w:pPr>
        <w:ind w:firstLine="640"/>
        <w:rPr>
          <w:color w:val="auto"/>
          <w:highlight w:val="none"/>
        </w:rPr>
      </w:pPr>
      <w:r>
        <w:rPr>
          <w:rFonts w:hint="eastAsia"/>
          <w:color w:val="auto"/>
          <w:highlight w:val="none"/>
        </w:rPr>
        <w:t xml:space="preserve">2、建立科学的土地流转价格评估体系：引入专业的土地评估机构，定期对村内土地进行价值评估。评估过程中综合考虑土地的自然条件（如土壤肥力、灌溉条件等）、地理位置（交通便利性、周边市场距离等）、市场农业收益趋势等因素，为土地出租价格提供科学参考依据，确保村集体和承租方双方的利益都能得到合理保障。</w:t>
      </w:r>
    </w:p>
    <w:p>
      <w:pPr>
        <w:pStyle w:val="Heading2"/>
        <w:ind w:firstLine="640"/>
        <w:rPr>
          <w:color w:val="auto"/>
          <w:highlight w:val="none"/>
        </w:rPr>
      </w:pPr>
      <w:r>
        <w:rPr>
          <w:rFonts w:hint="eastAsia"/>
          <w:color w:val="auto"/>
          <w:highlight w:val="none"/>
        </w:rPr>
        <w:t xml:space="preserve">七、其他需要说明的问题</w:t>
      </w:r>
      <w:bookmarkEnd w:id="38"/>
    </w:p>
    <w:p>
      <w:pPr>
        <w:bidi w:val="0"/>
        <w:jc w:val="both"/>
        <w:rPr>
          <w:rFonts w:ascii="Times New Roman" w:eastAsia="仿宋_GB2312" w:hAnsi="Times New Roman" w:cs="Times New Roman" w:hint="default"/>
          <w:color w:val="auto"/>
          <w:highlight w:val="none"/>
        </w:rPr>
      </w:pPr>
      <w:bookmarkStart w:id="39" w:name="OLE_LINK6"/>
      <w:bookmarkStart w:id="40" w:name="OLE_LINK5"/>
      <w:bookmarkStart w:id="41"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39"/>
      <w:bookmarkEnd w:id="40"/>
    </w:p>
    <w:p>
      <w:pPr>
        <w:pStyle w:val="Heading2"/>
        <w:ind w:firstLine="640"/>
        <w:rPr>
          <w:color w:val="auto"/>
          <w:highlight w:val="none"/>
        </w:rPr>
      </w:pPr>
      <w:r>
        <w:rPr>
          <w:rFonts w:hint="eastAsia"/>
          <w:color w:val="auto"/>
          <w:highlight w:val="none"/>
        </w:rPr>
        <w:t xml:space="preserve">八、相关附件</w:t>
      </w:r>
      <w:bookmarkEnd w:id="41"/>
    </w:p>
    <w:p>
      <w:pPr>
        <w:ind w:firstLine="640"/>
        <w:rPr>
          <w:color w:val="auto"/>
          <w:highlight w:val="none"/>
        </w:rPr>
      </w:pPr>
      <w:r>
        <w:rPr>
          <w:rFonts w:hint="eastAsia"/>
          <w:color w:val="auto"/>
          <w:highlight w:val="none"/>
        </w:rPr>
        <w:t xml:space="preserve">1、项目支出绩效自评表</w:t>
      </w:r>
    </w:p>
    <w:p>
      <w:pPr>
        <w:ind w:firstLine="640"/>
        <w:rPr>
          <w:rFonts w:hint="eastAsia"/>
          <w:color w:val="auto"/>
          <w:highlight w:val="none"/>
        </w:rPr>
        <w:sectPr>
          <w:footerReference w:type="default" r:id="rId10"/>
          <w:pgSz w:w="11906" w:h="16838" w:orient="portrait"/>
          <w:pgMar w:top="1440" w:right="1800" w:bottom="1440" w:left="1800" w:header="851" w:footer="992" w:gutter="0"/>
          <w:pgBorders/>
          <w:pgNumType w:start="1"/>
          <w:cols w:num="1" w:space="425">
            <w:col w:w="8306" w:space="425"/>
          </w:cols>
          <w:docGrid w:type="lines" w:linePitch="312" w:charSpace="0"/>
        </w:sectPr>
      </w:pPr>
      <w:r>
        <w:rPr>
          <w:rFonts w:hint="eastAsia"/>
          <w:color w:val="auto"/>
          <w:highlight w:val="none"/>
        </w:rPr>
        <w:t xml:space="preserve">2、评价指标体系及得分表</w:t>
      </w:r>
    </w:p>
    <w:p>
      <w:pPr>
        <w:bidi w:val="0"/>
        <w:rPr>
          <w:color w:val="auto"/>
          <w:highlight w:val="none"/>
        </w:rPr>
      </w:pPr>
      <w:bookmarkStart w:id="42" w:name="_Toc6652"/>
      <w:bookmarkStart w:id="43" w:name="_Toc12781"/>
      <w:bookmarkStart w:id="44" w:name="_Toc18004"/>
      <w:r>
        <w:rPr>
          <w:color w:val="auto"/>
          <w:highlight w:val="none"/>
        </w:rPr>
        <w:t xml:space="preserve">附件1：项目支出绩效自评表</w:t>
      </w:r>
      <w:bookmarkEnd w:id="42"/>
      <w:bookmarkEnd w:id="43"/>
      <w:bookmarkEnd w:id="44"/>
    </w:p>
    <w:p>
      <w:pPr>
        <w:ind w:firstLine="600"/>
        <w:rPr>
          <w:color w:val="auto"/>
          <w:sz w:val="30"/>
          <w:szCs w:val="30"/>
          <w:highlight w:val="none"/>
        </w:rPr>
      </w:pPr>
      <w:bookmarkStart w:id="45" w:name="_Toc5134"/>
      <w:bookmarkStart w:id="46" w:name="_Toc1641"/>
      <w:bookmarkStart w:id="47" w:name="_Toc28099"/>
    </w:p>
    <w:tbl>
      <w:tblPr>
        <w:tblStyle w:val="NormalTable"/>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1168"/>
        <w:gridCol w:w="777"/>
        <w:gridCol w:w="864"/>
        <w:gridCol w:w="1303"/>
        <w:gridCol w:w="1151"/>
        <w:gridCol w:w="952"/>
        <w:gridCol w:w="777"/>
        <w:gridCol w:w="878"/>
        <w:gridCol w:w="1040"/>
        <w:gridCol w:w="689"/>
        <w:gridCol w:w="1214"/>
        <w:gridCol w:w="792"/>
        <w:gridCol w:w="968"/>
        <w:gridCol w:w="1488"/>
      </w:tblGrid>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20"/>
        </w:trPr>
        <w:tc>
          <w:tcPr>
            <w:tcW w:w="0" w:type="auto"/>
            <w:gridSpan w:val="14"/>
            <w:shd w:val="clear" w:color="auto" w:fill="auto"/>
            <w:vAlign w:val="center"/>
          </w:tcPr>
          <w:p>
            <w:pPr>
              <w:widowControl/>
              <w:spacing w:line="240" w:lineRule="auto"/>
              <w:ind w:firstLine="0" w:firstLineChars="0"/>
              <w:jc w:val="center"/>
              <w:rPr>
                <w:rFonts w:ascii="仿宋_GB2312" w:hAnsi="华文中宋" w:cs="宋体" w:hint="eastAsia"/>
                <w:b/>
                <w:bCs/>
                <w:color w:val="auto"/>
                <w:kern w:val="0"/>
                <w:sz w:val="40"/>
                <w:szCs w:val="40"/>
                <w:highlight w:val="none"/>
              </w:rPr>
            </w:pPr>
            <w:bookmarkStart w:id="48" w:name="RANGE!A1:N25"/>
            <w:r>
              <w:rPr>
                <w:rFonts w:ascii="仿宋_GB2312" w:hAnsi="华文中宋" w:cs="宋体" w:hint="eastAsia"/>
                <w:b/>
                <w:bCs/>
                <w:color w:val="auto"/>
                <w:kern w:val="0"/>
                <w:sz w:val="40"/>
                <w:szCs w:val="40"/>
                <w:highlight w:val="none"/>
              </w:rPr>
              <w:t xml:space="preserve">项目支出绩效自评表</w:t>
            </w:r>
            <w:bookmarkEnd w:id="48"/>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4"/>
        </w:trPr>
        <w:tc>
          <w:tcPr>
            <w:tcW w:w="0" w:type="auto"/>
            <w:gridSpan w:val="14"/>
            <w:shd w:val="clear" w:color="auto" w:fill="auto"/>
            <w:vAlign w:val="center"/>
          </w:tcPr>
          <w:p>
            <w:pPr>
              <w:widowControl/>
              <w:spacing w:line="240" w:lineRule="exact"/>
              <w:ind w:firstLine="0" w:firstLineChars="0"/>
              <w:jc w:val="center"/>
              <w:rPr>
                <w:rFonts w:ascii="仿宋_GB2312" w:hAnsi="宋体" w:cs="宋体" w:hint="eastAsia"/>
                <w:b/>
                <w:bCs/>
                <w:color w:val="auto"/>
                <w:kern w:val="0"/>
                <w:sz w:val="21"/>
                <w:szCs w:val="21"/>
                <w:highlight w:val="none"/>
              </w:rPr>
            </w:pPr>
            <w:r>
              <w:rPr>
                <w:rFonts w:ascii="仿宋_GB2312" w:hAnsi="宋体" w:cs="宋体" w:hint="eastAsia"/>
                <w:b/>
                <w:bCs/>
                <w:color w:val="auto"/>
                <w:kern w:val="0"/>
                <w:sz w:val="21"/>
                <w:szCs w:val="21"/>
                <w:highlight w:val="none"/>
              </w:rPr>
              <w:t xml:space="preserve">(2024年度)</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70"/>
        </w:trPr>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项目名称</w:t>
            </w:r>
          </w:p>
        </w:tc>
        <w:tc>
          <w:tcPr>
            <w:tcW w:w="0" w:type="auto"/>
            <w:gridSpan w:val="1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古勒巴格乡奥曼库勒村扶持壮大村集体经济项目</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主管部门</w:t>
            </w:r>
          </w:p>
        </w:tc>
        <w:tc>
          <w:tcPr>
            <w:tcW w:w="0" w:type="auto"/>
            <w:gridSpan w:val="5"/>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尉犁县古勒巴格乡人民政府</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实施单位</w:t>
            </w:r>
          </w:p>
        </w:tc>
        <w:tc>
          <w:tcPr>
            <w:tcW w:w="0" w:type="auto"/>
            <w:gridSpan w:val="5"/>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尉犁县古勒巴格乡人民政府</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restart"/>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项目资金</w:t>
            </w:r>
            <w:r>
              <w:rPr>
                <w:rFonts w:ascii="仿宋_GB2312" w:hAnsi="宋体" w:cs="宋体" w:hint="eastAsia"/>
                <w:color w:val="auto"/>
                <w:kern w:val="0"/>
                <w:sz w:val="21"/>
                <w:szCs w:val="21"/>
                <w:highlight w:val="none"/>
              </w:rPr>
              <w:br/>
            </w:r>
            <w:r>
              <w:rPr>
                <w:rFonts w:ascii="仿宋_GB2312" w:hAnsi="宋体" w:cs="宋体" w:hint="eastAsia"/>
                <w:color w:val="auto"/>
                <w:kern w:val="0"/>
                <w:sz w:val="21"/>
                <w:szCs w:val="21"/>
                <w:highlight w:val="none"/>
              </w:rPr>
              <w:t xml:space="preserve">（万元）</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资金来源</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年初预算数</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全年预算数</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全年执行数</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分值权重</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执行率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得分</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年度资金总额</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50.00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50.00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50.00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10.00分</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其中：当年财政拨款</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50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其他资金</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0</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0　</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c>
          <w:tcPr>
            <w:tcW w:w="0" w:type="auto"/>
            <w:gridSpan w:val="2"/>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restart"/>
            <w:shd w:val="clear" w:color="auto" w:fill="auto"/>
            <w:vAlign w:val="center"/>
          </w:tcPr>
          <w:p>
            <w:pPr>
              <w:widowControl/>
              <w:spacing w:line="240" w:lineRule="exact"/>
              <w:ind w:firstLine="0" w:firstLineChars="0"/>
              <w:jc w:val="center"/>
              <w:rPr>
                <w:rFonts w:ascii="仿宋_GB2312" w:hAnsi="宋体" w:cs="宋体" w:hint="eastAsia"/>
                <w:color w:val="auto"/>
                <w:kern w:val="0"/>
                <w:sz w:val="18"/>
                <w:szCs w:val="18"/>
                <w:highlight w:val="none"/>
              </w:rPr>
            </w:pPr>
            <w:r>
              <w:rPr>
                <w:rFonts w:ascii="仿宋_GB2312" w:hAnsi="宋体" w:cs="宋体" w:hint="eastAsia"/>
                <w:color w:val="auto"/>
                <w:kern w:val="0"/>
                <w:sz w:val="18"/>
                <w:szCs w:val="18"/>
                <w:highlight w:val="none"/>
              </w:rPr>
              <w:t xml:space="preserve">年度总体目标</w:t>
            </w:r>
          </w:p>
        </w:tc>
        <w:tc>
          <w:tcPr>
            <w:tcW w:w="0" w:type="auto"/>
            <w:gridSpan w:val="8"/>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总体目标</w:t>
            </w:r>
          </w:p>
        </w:tc>
        <w:tc>
          <w:tcPr>
            <w:tcW w:w="0" w:type="auto"/>
            <w:gridSpan w:val="5"/>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总体目标完成情况</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18"/>
                <w:szCs w:val="18"/>
                <w:highlight w:val="none"/>
              </w:rPr>
            </w:pPr>
          </w:p>
        </w:tc>
        <w:tc>
          <w:tcPr>
            <w:tcW w:w="0" w:type="auto"/>
            <w:gridSpan w:val="8"/>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土地平整80亩，扶持壮大村集体经济收入。</w:t>
            </w:r>
          </w:p>
        </w:tc>
        <w:tc>
          <w:tcPr>
            <w:tcW w:w="0" w:type="auto"/>
            <w:gridSpan w:val="5"/>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总体目标达成，土地平整</w:t>
            </w:r>
            <w:r>
              <w:rPr>
                <w:rFonts w:ascii="仿宋_GB2312" w:hAnsi="宋体" w:cs="宋体" w:hint="eastAsia"/>
                <w:color w:val="auto"/>
                <w:kern w:val="0"/>
                <w:sz w:val="21"/>
                <w:szCs w:val="21"/>
                <w:highlight w:val="none"/>
                <w:lang w:val="en-US" w:eastAsia="zh-CN"/>
              </w:rPr>
              <w:t xml:space="preserve">200</w:t>
            </w:r>
            <w:r>
              <w:rPr>
                <w:rFonts w:ascii="仿宋_GB2312" w:hAnsi="宋体" w:cs="宋体" w:hint="eastAsia"/>
                <w:color w:val="auto"/>
                <w:kern w:val="0"/>
                <w:sz w:val="21"/>
                <w:szCs w:val="21"/>
                <w:highlight w:val="none"/>
              </w:rPr>
              <w:t xml:space="preserve">亩，扶持壮大村集体经济收入。</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86"/>
        </w:trPr>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18"/>
                <w:szCs w:val="18"/>
                <w:highlight w:val="none"/>
              </w:rPr>
            </w:pPr>
            <w:r>
              <w:rPr>
                <w:rFonts w:ascii="仿宋_GB2312" w:hAnsi="宋体" w:cs="宋体" w:hint="eastAsia"/>
                <w:color w:val="auto"/>
                <w:kern w:val="0"/>
                <w:sz w:val="18"/>
                <w:szCs w:val="18"/>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一级指标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二级指标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三级指标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指标值</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指标值设置依据</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上年完成值</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指标分值权重</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指标赋分规则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佐证资料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指标实际完成值</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完成率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指标得分</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偏差原因分析及改进措施</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restart"/>
            <w:shd w:val="clear" w:color="auto" w:fill="auto"/>
            <w:vAlign w:val="center"/>
          </w:tcPr>
          <w:p>
            <w:pPr>
              <w:widowControl/>
              <w:spacing w:line="240" w:lineRule="exact"/>
              <w:ind w:firstLine="0" w:firstLineChars="0"/>
              <w:jc w:val="center"/>
              <w:rPr>
                <w:rFonts w:ascii="仿宋_GB2312" w:hAnsi="宋体" w:cs="宋体" w:hint="eastAsia"/>
                <w:color w:val="auto"/>
                <w:kern w:val="0"/>
                <w:sz w:val="20"/>
                <w:szCs w:val="20"/>
                <w:highlight w:val="none"/>
              </w:rPr>
            </w:pPr>
            <w:r>
              <w:rPr>
                <w:rFonts w:ascii="仿宋_GB2312" w:hAnsi="宋体" w:cs="宋体" w:hint="eastAsia"/>
                <w:color w:val="auto"/>
                <w:kern w:val="0"/>
                <w:sz w:val="20"/>
                <w:szCs w:val="20"/>
                <w:highlight w:val="none"/>
              </w:rPr>
              <w:t xml:space="preserve">年度绩效指标完成情况</w:t>
            </w:r>
          </w:p>
        </w:tc>
        <w:tc>
          <w:tcPr>
            <w:tcW w:w="0" w:type="auto"/>
            <w:vMerge w:val="restart"/>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产出指标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数量指标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土地平整亩数</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=80亩</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按照完成比例赋分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r>
              <w:rPr>
                <w:rFonts w:ascii="仿宋_GB2312" w:hAnsi="宋体" w:cs="宋体" w:hint="eastAsia"/>
                <w:color w:val="auto"/>
                <w:kern w:val="0"/>
                <w:sz w:val="21"/>
                <w:szCs w:val="21"/>
                <w:highlight w:val="none"/>
                <w:lang w:val="en-US" w:eastAsia="zh-CN"/>
              </w:rPr>
              <w:t xml:space="preserve">200</w:t>
            </w:r>
            <w:r>
              <w:rPr>
                <w:rFonts w:ascii="仿宋_GB2312" w:hAnsi="宋体" w:cs="宋体" w:hint="eastAsia"/>
                <w:color w:val="auto"/>
                <w:kern w:val="0"/>
                <w:sz w:val="21"/>
                <w:szCs w:val="21"/>
                <w:highlight w:val="none"/>
              </w:rPr>
              <w:t xml:space="preserve">亩</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质量指标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验收合格率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按照完成比例赋分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时效指标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土地平整工作完成及时率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按照完成比例赋分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vMerge/>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时效指标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资金支付及时率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按照完成比例赋分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成本指标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经济成本指标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每亩平整土地价格</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&lt;=6250元/亩</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20</w:t>
            </w:r>
          </w:p>
        </w:tc>
        <w:tc>
          <w:tcPr>
            <w:tcW w:w="0" w:type="auto"/>
            <w:shd w:val="clear" w:color="auto" w:fill="auto"/>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按照完成比例赋分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原始凭证</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w:t>
            </w:r>
            <w:r>
              <w:rPr>
                <w:rFonts w:ascii="仿宋_GB2312" w:hAnsi="宋体" w:cs="宋体" w:hint="eastAsia"/>
                <w:color w:val="auto"/>
                <w:kern w:val="0"/>
                <w:sz w:val="21"/>
                <w:szCs w:val="21"/>
                <w:highlight w:val="none"/>
                <w:lang w:val="en-US" w:eastAsia="zh-CN"/>
              </w:rPr>
              <w:t xml:space="preserve">2500</w:t>
            </w:r>
            <w:r>
              <w:rPr>
                <w:rFonts w:ascii="仿宋_GB2312" w:hAnsi="宋体" w:cs="宋体" w:hint="eastAsia"/>
                <w:color w:val="auto"/>
                <w:kern w:val="0"/>
                <w:sz w:val="21"/>
                <w:szCs w:val="21"/>
                <w:highlight w:val="none"/>
              </w:rPr>
              <w:t xml:space="preserve">元/亩</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20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效益指标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社会效益指标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进一步壮大入村集体经济</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明显增加</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20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按评判等级赋分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达成目标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20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spacing w:line="240" w:lineRule="exact"/>
              <w:ind w:firstLine="0" w:firstLineChars="0"/>
              <w:jc w:val="left"/>
              <w:rPr>
                <w:rFonts w:ascii="仿宋_GB2312" w:hAnsi="宋体" w:cs="宋体" w:hint="eastAsia"/>
                <w:color w:val="auto"/>
                <w:kern w:val="0"/>
                <w:sz w:val="20"/>
                <w:szCs w:val="20"/>
                <w:highlight w:val="none"/>
              </w:rPr>
            </w:pP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满意度指标</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满意度指标</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受益村民满意度</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计划标准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满意度赋分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工作资料</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01"/>
        </w:trPr>
        <w:tc>
          <w:tcPr>
            <w:tcW w:w="0" w:type="auto"/>
            <w:gridSpan w:val="4"/>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总分</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left"/>
              <w:rPr>
                <w:rFonts w:ascii="仿宋_GB2312" w:hAnsi="宋体" w:cs="宋体" w:hint="eastAsia"/>
                <w:b/>
                <w:bCs/>
                <w:color w:val="auto"/>
                <w:kern w:val="0"/>
                <w:sz w:val="21"/>
                <w:szCs w:val="21"/>
                <w:highlight w:val="none"/>
              </w:rPr>
            </w:pPr>
            <w:r>
              <w:rPr>
                <w:rFonts w:ascii="仿宋_GB2312" w:hAnsi="宋体" w:cs="宋体" w:hint="eastAsia"/>
                <w:b/>
                <w:bCs/>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c>
          <w:tcPr>
            <w:tcW w:w="0" w:type="auto"/>
            <w:shd w:val="clear" w:color="auto" w:fill="auto"/>
            <w:vAlign w:val="center"/>
          </w:tcPr>
          <w:p>
            <w:pPr>
              <w:widowControl/>
              <w:spacing w:line="240" w:lineRule="exact"/>
              <w:ind w:firstLine="0" w:firstLineChars="0"/>
              <w:jc w:val="center"/>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100.00分</w:t>
            </w:r>
          </w:p>
        </w:tc>
        <w:tc>
          <w:tcPr>
            <w:tcW w:w="0" w:type="auto"/>
            <w:shd w:val="clear" w:color="auto" w:fill="auto"/>
            <w:vAlign w:val="center"/>
          </w:tcPr>
          <w:p>
            <w:pPr>
              <w:widowControl/>
              <w:spacing w:line="240" w:lineRule="exact"/>
              <w:ind w:firstLine="0" w:firstLineChars="0"/>
              <w:jc w:val="left"/>
              <w:rPr>
                <w:rFonts w:ascii="仿宋_GB2312" w:hAnsi="宋体" w:cs="宋体" w:hint="eastAsia"/>
                <w:color w:val="auto"/>
                <w:kern w:val="0"/>
                <w:sz w:val="21"/>
                <w:szCs w:val="21"/>
                <w:highlight w:val="none"/>
              </w:rPr>
            </w:pPr>
            <w:r>
              <w:rPr>
                <w:rFonts w:ascii="仿宋_GB2312" w:hAnsi="宋体" w:cs="宋体" w:hint="eastAsia"/>
                <w:color w:val="auto"/>
                <w:kern w:val="0"/>
                <w:sz w:val="21"/>
                <w:szCs w:val="21"/>
                <w:highlight w:val="none"/>
              </w:rPr>
              <w:t xml:space="preserve">　</w:t>
            </w:r>
          </w:p>
        </w:tc>
      </w:tr>
    </w:tbl>
    <w:p>
      <w:pPr>
        <w:ind w:firstLine="600"/>
        <w:rPr>
          <w:color w:val="auto"/>
          <w:sz w:val="30"/>
          <w:szCs w:val="30"/>
          <w:highlight w:val="none"/>
        </w:rPr>
        <w:sectPr>
          <w:pgSz w:w="16838" w:h="11906" w:orient="landscape"/>
          <w:pgMar w:top="1800" w:right="1440" w:bottom="1800" w:left="1440" w:header="851" w:footer="992" w:gutter="0"/>
          <w:pgBorders/>
          <w:cols w:num="1" w:space="425">
            <w:col w:w="13958" w:space="425"/>
          </w:cols>
          <w:docGrid w:type="lines" w:linePitch="435" w:charSpace="0"/>
        </w:sectPr>
      </w:pPr>
    </w:p>
    <w:p>
      <w:pPr>
        <w:ind w:firstLine="600"/>
        <w:rPr>
          <w:color w:val="auto"/>
          <w:sz w:val="30"/>
          <w:szCs w:val="30"/>
          <w:highlight w:val="none"/>
        </w:rPr>
      </w:pPr>
    </w:p>
    <w:p>
      <w:pPr>
        <w:bidi w:val="0"/>
        <w:ind w:left="0" w:firstLine="0" w:leftChars="0" w:firstLineChars="0"/>
        <w:rPr>
          <w:color w:val="auto"/>
          <w:highlight w:val="none"/>
        </w:rPr>
      </w:pPr>
      <w:bookmarkStart w:id="49" w:name="_Toc23301"/>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bookmarkEnd w:id="45"/>
      <w:bookmarkEnd w:id="46"/>
      <w:bookmarkEnd w:id="47"/>
      <w:bookmarkEnd w:id="49"/>
    </w:p>
    <w:p>
      <w:pPr>
        <w:bidi w:val="0"/>
        <w:ind w:firstLine="1280" w:firstLineChars="400"/>
        <w:rPr>
          <w:rFonts w:hint="default"/>
          <w:b/>
          <w:bCs/>
          <w:color w:val="auto"/>
          <w:highlight w:val="none"/>
        </w:rPr>
      </w:pPr>
      <w:r>
        <w:rPr>
          <w:b/>
          <w:bCs/>
          <w:color w:val="auto"/>
          <w:highlight w:val="none"/>
        </w:rPr>
        <w:t xml:space="preserve">项目支出绩效评价指标体系及评分</w:t>
      </w:r>
    </w:p>
    <w:tbl>
      <w:tblPr>
        <w:tblStyle w:val="NormalTable"/>
        <w:tblpPr w:leftFromText="180" w:rightFromText="180" w:vertAnchor="text" w:horzAnchor="page" w:tblpX="1613" w:tblpY="180"/>
        <w:tblOverlap w:val="never"/>
        <w:tblW w:w="5000" w:type="pct"/>
        <w:tblInd w:w="0" w:type="dxa"/>
        <w:tblCellMar>
          <w:top w:w="0" w:type="dxa"/>
          <w:left w:w="108" w:type="dxa"/>
          <w:bottom w:w="0" w:type="dxa"/>
          <w:right w:w="108" w:type="dxa"/>
        </w:tblCellMar>
        <w:tblLook w:firstRow="0" w:lastRow="0" w:firstColumn="0" w:lastColumn="0" w:noHBand="1" w:noVBand="1"/>
      </w:tblPr>
      <w:tblGrid>
        <w:gridCol w:w="760"/>
        <w:gridCol w:w="758"/>
        <w:gridCol w:w="903"/>
        <w:gridCol w:w="1661"/>
        <w:gridCol w:w="3376"/>
        <w:gridCol w:w="532"/>
        <w:gridCol w:w="532"/>
      </w:tblGrid>
      <w:tr>
        <w:tblPrEx>
          <w:tblW w:w="5000" w:type="pct"/>
          <w:tblInd w:w="0" w:type="dxa"/>
          <w:tblCellMar>
            <w:top w:w="0" w:type="dxa"/>
            <w:left w:w="108" w:type="dxa"/>
            <w:bottom w:w="0" w:type="dxa"/>
            <w:right w:w="108" w:type="dxa"/>
          </w:tblCellMar>
        </w:tblPrEx>
        <w:trPr>
          <w:trHeight w:val="460"/>
        </w:trPr>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一级指标</w:t>
            </w:r>
          </w:p>
        </w:tc>
        <w:tc>
          <w:tcPr>
            <w:tcW w:w="44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二级指标</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三级指标</w:t>
            </w:r>
          </w:p>
        </w:tc>
        <w:tc>
          <w:tcPr>
            <w:tcW w:w="976" w:type="pc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指标解释</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指标说明</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分值</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得分</w:t>
            </w:r>
          </w:p>
        </w:tc>
      </w:tr>
      <w:tr>
        <w:tblPrEx>
          <w:tblW w:w="5000" w:type="pct"/>
          <w:tblInd w:w="0" w:type="dxa"/>
          <w:tblCellMar>
            <w:top w:w="0" w:type="dxa"/>
            <w:left w:w="108" w:type="dxa"/>
            <w:bottom w:w="0" w:type="dxa"/>
            <w:right w:w="108" w:type="dxa"/>
          </w:tblCellMar>
        </w:tblPrEx>
        <w:trPr>
          <w:trHeight w:val="46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决策</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项目实施</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实施依据充分性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项目实施是否符合法律法规、相关政策、发展规划以及部门职责，用以反映和考核项目实施依据情况。</w:t>
            </w: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①项目实施是否符合国家法律法规、国民经济发展规划和相关政策；</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②项目实施是否符合行业发展规划和政策要求；</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③项目实施是否与部门职责范围相符，属于部门履职所需；</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④项目是否属于公共财政支持范围，是否符合中央、地方事权支出责任划分原则；</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⑤项目是否与相关部门同类项目或部门内部相关项目重复。</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实施程序规范性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项目申请、设立过程是否符合相关要求，用以反映和考核项目实施的规范情况。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①项目是否按照规定的程序申请设立；</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②审批文件、材料是否符合相关要求；</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绩效目标</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绩效目标合理性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①项目是否有绩效目标；</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②项目绩效目标与实际工作内容是否具有相关性；</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③项目预期产出效益和效果是否符合正常的业绩水平；</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④是否与预算确定的项目投资额或资金量相匹配。</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绩效指标明确性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依据绩效目标设定的绩效指标是否清晰、细化、可衡量等，用以反映和考核项目绩效目标的明细化情况。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①是否将项目绩效目标细化分解为具体的绩效指标；</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②是否通过清晰、可衡量的指标值予以体现；</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③是否与项目目标任务数或计划数相对应。</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资金投入</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预算编制科学性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①预算编制是否经过科学论证；</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②预算内容与项目内容是否匹配；</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③预算额度测算依据是否充分，是否按照标准编制；</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④预算确定的项目投资额或资金量是否与工作任务相匹配。</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资金分配合理性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①预算资金分配依据是否充分；</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②资金分配额度是否合理，与补助项目单位或地方实际是否相适应。</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过程</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资金管理</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资金到位率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实际到位资金与预算资金的比率，用以反映和考核资金落实情况对项目实施的总体保障程度。</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资金到位率=（实际到位资金/预算资金）×100%。</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实际到位资金：一定时期（本年度或项目期）内落实到具体项目的资金。</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预算资金：一定时期（本年度或项目期）内预算安排到具体项目的资金。</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预算执行率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项目预算资金是否按照计划执行，用以反映或考核项目预算执行情况。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预算执行率=（实际支出资金/实际到位资金）×100%。</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实际支出资金：一定时期（本年度或项目期）内项目实际拨付的资金。</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资金使用合规性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项目资金使用是否符合相关的财务管理制度规定，用以反映和考核项目资金的规范运行情况。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4</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①是否符合国家财经法规和财务管理制度以及有关专项资金管理办法的规定；</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②资金的拨付是否有完整的审批程序和手续；</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③是否符合项目预算批复或合同规定的用途；</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④是否存在截留、挤占、挪用、虚列支出等情况。</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组织实施</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管理制度健全性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①是否已制定或具有相应的财务和业务管理制度；</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②财务和业务管理制度是否合法、合规、完整。</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制度执行有效性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项目实施是否符合相关管理规定，用以反映和考核相关管理制度的有效执行情况。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评价要点：</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3</w:t>
            </w: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①是否遵守相关法律法规和相关管理规定；</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②项目调整及支出调整手续是否完备；</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val="restart"/>
            <w:tcBorders>
              <w:top w:val="single" w:sz="4" w:space="0" w:color="auto"/>
              <w:left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产出</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产出数量</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实际完成率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项目实施的实际产出数与计划产出数的比率，用以反映和考核项目产出数量目标的实现程度。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实际完成率=（实际产出数/计划产出数）×100%。</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12</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12</w:t>
            </w:r>
          </w:p>
        </w:tc>
      </w:tr>
      <w:tr>
        <w:tblPrEx>
          <w:tblW w:w="5000" w:type="pct"/>
          <w:tblInd w:w="0" w:type="dxa"/>
          <w:tblCellMar>
            <w:top w:w="0" w:type="dxa"/>
            <w:left w:w="108" w:type="dxa"/>
            <w:bottom w:w="0" w:type="dxa"/>
            <w:right w:w="108" w:type="dxa"/>
          </w:tblCellMar>
        </w:tblPrEx>
        <w:trPr>
          <w:trHeight w:val="46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实际产出数：一定时期（本年度或项目期）内项目实际产出的产品或提供的服务数量。</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计划产出数：项目绩效目标确定的在一定时期（本年度或项目期）内计划产出的产品或提供的服务数量。</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78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产出质量</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质量达标率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项目完成的质量达标产出数与实际产出数的比率，用以反映和考核项目产出质量目标的实现程度。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质量达标率=（质量达标产出数/实际产出数）×100%。</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12</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12</w:t>
            </w:r>
          </w:p>
        </w:tc>
      </w:tr>
      <w:tr>
        <w:tblPrEx>
          <w:tblW w:w="5000" w:type="pct"/>
          <w:tblInd w:w="0" w:type="dxa"/>
          <w:tblCellMar>
            <w:top w:w="0" w:type="dxa"/>
            <w:left w:w="108" w:type="dxa"/>
            <w:bottom w:w="0" w:type="dxa"/>
            <w:right w:w="108" w:type="dxa"/>
          </w:tblCellMar>
        </w:tblPrEx>
        <w:trPr>
          <w:trHeight w:val="88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产出时效</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完成及时性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项目实际完成时间与计划完成时间的比较，用以反映和考核项目产出时效目标的实现程度。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实际完成时间：项目实施单位完成该项目实际所耗用的时间。</w:t>
            </w:r>
          </w:p>
        </w:tc>
        <w:tc>
          <w:tcPr>
            <w:tcW w:w="309"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8</w:t>
            </w:r>
          </w:p>
        </w:tc>
        <w:tc>
          <w:tcPr>
            <w:tcW w:w="309" w:type="pct"/>
            <w:vMerge w:val="restart"/>
            <w:tcBorders>
              <w:top w:val="single" w:sz="4" w:space="0" w:color="auto"/>
              <w:left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8</w:t>
            </w:r>
          </w:p>
        </w:tc>
      </w:tr>
      <w:tr>
        <w:tblPrEx>
          <w:tblW w:w="5000" w:type="pct"/>
          <w:tblInd w:w="0" w:type="dxa"/>
          <w:tblCellMar>
            <w:top w:w="0" w:type="dxa"/>
            <w:left w:w="108" w:type="dxa"/>
            <w:bottom w:w="0" w:type="dxa"/>
            <w:right w:w="108" w:type="dxa"/>
          </w:tblCellMar>
        </w:tblPrEx>
        <w:trPr>
          <w:trHeight w:val="460"/>
        </w:trPr>
        <w:tc>
          <w:tcPr>
            <w:tcW w:w="447" w:type="pct"/>
            <w:vMerge/>
            <w:tcBorders>
              <w:left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p>
        </w:tc>
        <w:tc>
          <w:tcPr>
            <w:tcW w:w="1982" w:type="pct"/>
            <w:tcBorders>
              <w:top w:val="nil"/>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计划完成时间：按照项目实施计划或相关规定完成该项目所需的时间。</w:t>
            </w:r>
          </w:p>
        </w:tc>
        <w:tc>
          <w:tcPr>
            <w:tcW w:w="309" w:type="pct"/>
            <w:vMerge/>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c>
          <w:tcPr>
            <w:tcW w:w="309" w:type="pct"/>
            <w:vMerge/>
            <w:tcBorders>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p>
        </w:tc>
      </w:tr>
      <w:tr>
        <w:tblPrEx>
          <w:tblW w:w="5000" w:type="pct"/>
          <w:tblInd w:w="0" w:type="dxa"/>
          <w:tblCellMar>
            <w:top w:w="0" w:type="dxa"/>
            <w:left w:w="108" w:type="dxa"/>
            <w:bottom w:w="0" w:type="dxa"/>
            <w:right w:w="108" w:type="dxa"/>
          </w:tblCellMar>
        </w:tblPrEx>
        <w:trPr>
          <w:trHeight w:val="457"/>
        </w:trPr>
        <w:tc>
          <w:tcPr>
            <w:tcW w:w="447" w:type="pct"/>
            <w:vMerge/>
            <w:tcBorders>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spacing w:line="240" w:lineRule="exact"/>
              <w:rPr>
                <w:rFonts w:cs="Times New Roman" w:hint="default"/>
                <w:color w:val="auto"/>
                <w:sz w:val="18"/>
                <w:szCs w:val="18"/>
                <w:highlight w:val="none"/>
              </w:rPr>
            </w:pPr>
            <w:r>
              <w:rPr>
                <w:rFonts w:cs="Times New Roman" w:hint="default"/>
                <w:color w:val="auto"/>
                <w:sz w:val="18"/>
                <w:szCs w:val="18"/>
                <w:highlight w:val="none"/>
              </w:rPr>
              <w:t xml:space="preserve">产出成本</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spacing w:line="240" w:lineRule="exact"/>
              <w:rPr>
                <w:rFonts w:cs="Times New Roman" w:hint="default"/>
                <w:color w:val="auto"/>
                <w:sz w:val="18"/>
                <w:szCs w:val="18"/>
                <w:highlight w:val="none"/>
              </w:rPr>
            </w:pPr>
            <w:r>
              <w:rPr>
                <w:rFonts w:cs="Times New Roman" w:hint="default"/>
                <w:color w:val="auto"/>
                <w:sz w:val="18"/>
                <w:szCs w:val="18"/>
                <w:highlight w:val="none"/>
              </w:rPr>
              <w:t xml:space="preserve">成本节约率</w:t>
            </w:r>
          </w:p>
        </w:tc>
        <w:tc>
          <w:tcPr>
            <w:tcW w:w="97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spacing w:line="240" w:lineRule="exact"/>
              <w:jc w:val="both"/>
              <w:rPr>
                <w:rFonts w:cs="Times New Roman" w:hint="default"/>
                <w:color w:val="auto"/>
                <w:sz w:val="18"/>
                <w:szCs w:val="18"/>
                <w:highlight w:val="none"/>
              </w:rPr>
            </w:pPr>
            <w:r>
              <w:rPr>
                <w:rFonts w:cs="Times New Roman" w:hint="default"/>
                <w:color w:val="auto"/>
                <w:sz w:val="18"/>
                <w:szCs w:val="18"/>
                <w:highlight w:val="none"/>
              </w:rPr>
              <w:t xml:space="preserve">完成项目计划工作目标的实际节约成本与计划成本的比率，用以反映和考核项目的成本节约程度。</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spacing w:line="240" w:lineRule="exact"/>
              <w:jc w:val="both"/>
              <w:rPr>
                <w:rFonts w:cs="Times New Roman" w:hint="default"/>
                <w:color w:val="auto"/>
                <w:sz w:val="18"/>
                <w:szCs w:val="18"/>
                <w:highlight w:val="none"/>
              </w:rPr>
            </w:pPr>
            <w:r>
              <w:rPr>
                <w:rFonts w:cs="Times New Roman" w:hint="default"/>
                <w:color w:val="auto"/>
                <w:sz w:val="18"/>
                <w:szCs w:val="18"/>
                <w:highlight w:val="none"/>
              </w:rPr>
              <w:t xml:space="preserve">成本节约率=〔（计划成本－实际成本）/计划成本〕×100%。</w:t>
            </w:r>
          </w:p>
          <w:p>
            <w:pPr>
              <w:pStyle w:val="表格内容"/>
              <w:keepNext w:val="0"/>
              <w:spacing w:line="240" w:lineRule="exact"/>
              <w:jc w:val="both"/>
              <w:rPr>
                <w:rFonts w:cs="Times New Roman" w:hint="default"/>
                <w:color w:val="auto"/>
                <w:sz w:val="18"/>
                <w:szCs w:val="18"/>
                <w:highlight w:val="none"/>
              </w:rPr>
            </w:pPr>
            <w:r>
              <w:rPr>
                <w:rFonts w:cs="Times New Roman" w:hint="default"/>
                <w:color w:val="auto"/>
                <w:sz w:val="18"/>
                <w:szCs w:val="18"/>
                <w:highlight w:val="none"/>
              </w:rPr>
              <w:t xml:space="preserve">实际成本：项目实施单位如期、保质、保量完成既定工作目标实际所耗费的支出。</w:t>
            </w:r>
          </w:p>
          <w:p>
            <w:pPr>
              <w:pStyle w:val="表格内容"/>
              <w:keepNext w:val="0"/>
              <w:spacing w:line="240" w:lineRule="exact"/>
              <w:jc w:val="both"/>
              <w:rPr>
                <w:rFonts w:cs="Times New Roman" w:hint="default"/>
                <w:color w:val="auto"/>
                <w:sz w:val="18"/>
                <w:szCs w:val="18"/>
                <w:highlight w:val="none"/>
              </w:rPr>
            </w:pPr>
            <w:r>
              <w:rPr>
                <w:rFonts w:cs="Times New Roman" w:hint="default"/>
                <w:color w:val="auto"/>
                <w:sz w:val="18"/>
                <w:szCs w:val="18"/>
                <w:highlight w:val="none"/>
              </w:rPr>
              <w:t xml:space="preserve">计划成本：项目实施单位为完成工作目标计划安排的支出，一般以项目预算为参考。</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cs="Times New Roman" w:hint="default"/>
                <w:color w:val="auto"/>
                <w:sz w:val="18"/>
                <w:szCs w:val="18"/>
                <w:highlight w:val="none"/>
              </w:rPr>
            </w:pPr>
            <w:r>
              <w:rPr>
                <w:color w:val="auto"/>
                <w:highlight w:val="none"/>
              </w:rPr>
              <w:t xml:space="preserve">8</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8</w:t>
            </w:r>
          </w:p>
        </w:tc>
      </w:tr>
      <w:tr>
        <w:tblPrEx>
          <w:tblW w:w="5000" w:type="pct"/>
          <w:tblInd w:w="0" w:type="dxa"/>
          <w:tblCellMar>
            <w:top w:w="0" w:type="dxa"/>
            <w:left w:w="108" w:type="dxa"/>
            <w:bottom w:w="0" w:type="dxa"/>
            <w:right w:w="108" w:type="dxa"/>
          </w:tblCellMar>
        </w:tblPrEx>
        <w:trPr>
          <w:trHeight w:val="78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效益</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项目效益</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实施效益</w:t>
            </w:r>
          </w:p>
        </w:tc>
        <w:tc>
          <w:tcPr>
            <w:tcW w:w="976" w:type="pc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项目实施所产生的效益。</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项目实施所产生的社会效益、经济效益、生态效益、可持续影响等。可根据项目实际情况有选择地设置和细化。</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w:t>
            </w:r>
          </w:p>
        </w:tc>
      </w:tr>
      <w:tr>
        <w:tblPrEx>
          <w:tblW w:w="5000" w:type="pct"/>
          <w:tblInd w:w="0" w:type="dxa"/>
          <w:tblCellMar>
            <w:top w:w="0" w:type="dxa"/>
            <w:left w:w="108" w:type="dxa"/>
            <w:bottom w:w="0" w:type="dxa"/>
            <w:right w:w="108" w:type="dxa"/>
          </w:tblCellMar>
        </w:tblPrEx>
        <w:trPr>
          <w:trHeight w:val="8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满意度</w:t>
            </w:r>
          </w:p>
        </w:tc>
        <w:tc>
          <w:tcPr>
            <w:tcW w:w="976" w:type="pct"/>
            <w:tcBorders>
              <w:top w:val="single" w:sz="4" w:space="0" w:color="auto"/>
              <w:left w:val="single" w:sz="4" w:space="0" w:color="auto"/>
              <w:bottom w:val="single" w:sz="4" w:space="0" w:color="auto"/>
              <w:right w:val="nil"/>
            </w:tcBorders>
            <w:shd w:val="clear" w:color="auto" w:fill="FFFFFF"/>
            <w:vAlign w:val="center"/>
          </w:tcPr>
          <w:p>
            <w:pPr>
              <w:pStyle w:val="表格内容"/>
              <w:rPr>
                <w:rFonts w:hint="default"/>
                <w:color w:val="auto"/>
                <w:highlight w:val="none"/>
              </w:rPr>
            </w:pPr>
            <w:r>
              <w:rPr>
                <w:color w:val="auto"/>
                <w:highlight w:val="none"/>
              </w:rPr>
              <w:t xml:space="preserve">社会公众或服务对象对项目实施效果的满意程度。</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rPr>
                <w:rFonts w:hint="default"/>
                <w:color w:val="auto"/>
                <w:highlight w:val="none"/>
              </w:rPr>
            </w:pPr>
            <w:r>
              <w:rPr>
                <w:color w:val="auto"/>
                <w:highlight w:val="none"/>
              </w:rPr>
              <w:t xml:space="preserve">社会公众或服务对象是指因该项目实施而受到影响的部门（单位）、群体或个人。一般采取社会调查的方式。</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w:t>
            </w:r>
          </w:p>
        </w:tc>
      </w:tr>
      <w:tr>
        <w:tblPrEx>
          <w:tblW w:w="5000" w:type="pct"/>
          <w:tblInd w:w="0" w:type="dxa"/>
          <w:tblCellMar>
            <w:top w:w="0" w:type="dxa"/>
            <w:left w:w="108" w:type="dxa"/>
            <w:bottom w:w="0" w:type="dxa"/>
            <w:right w:w="108" w:type="dxa"/>
          </w:tblCellMar>
        </w:tblPrEx>
        <w:trPr>
          <w:trHeight w:val="460"/>
        </w:trPr>
        <w:tc>
          <w:tcPr>
            <w:tcW w:w="4381"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合计</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100</w:t>
            </w:r>
          </w:p>
        </w:tc>
        <w:tc>
          <w:tcPr>
            <w:tcW w:w="309" w:type="pct"/>
            <w:tcBorders>
              <w:top w:val="single" w:sz="4" w:space="0" w:color="auto"/>
              <w:left w:val="single" w:sz="4" w:space="0" w:color="auto"/>
              <w:bottom w:val="single" w:sz="4" w:space="0" w:color="auto"/>
              <w:right w:val="single" w:sz="4" w:space="0" w:color="auto"/>
            </w:tcBorders>
            <w:noWrap w:val="1"/>
            <w:vAlign w:val="center"/>
          </w:tcPr>
          <w:p>
            <w:pPr>
              <w:pStyle w:val="表格内容"/>
              <w:rPr>
                <w:rFonts w:hint="default"/>
                <w:color w:val="auto"/>
                <w:highlight w:val="none"/>
              </w:rPr>
            </w:pPr>
            <w:r>
              <w:rPr>
                <w:color w:val="auto"/>
                <w:highlight w:val="none"/>
              </w:rPr>
              <w:t xml:space="preserve">100</w:t>
            </w:r>
            <w:bookmarkEnd w:id="0"/>
          </w:p>
        </w:tc>
      </w:tr>
    </w:tbl>
    <w:p>
      <w:pPr>
        <w:ind w:firstLine="640"/>
        <w:rPr>
          <w:color w:val="auto"/>
          <w:highlight w:val="none"/>
        </w:rPr>
      </w:pPr>
    </w:p>
    <w:sectPr>
      <w:pgSz w:w="11906" w:h="16838" w:orient="portrait"/>
      <w:pgMar w:top="1440" w:right="1800" w:bottom="1440" w:left="1800" w:header="851" w:footer="992" w:gutter="0"/>
      <w:pgBorders/>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EF8A4F-4FFE-4483-A468-24A3FAF11D0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9F629DE-0B21-422B-B26F-29DEDEAF947A}"/>
  </w:font>
  <w:font w:name="仿宋_GB2312">
    <w:panose1 w:val="02010609030101010101"/>
    <w:charset w:val="86"/>
    <w:family w:val="modern"/>
    <w:pitch w:val="default"/>
    <w:sig w:usb0="00000000" w:usb1="00000000" w:usb2="00000000" w:usb3="00000000" w:csb0="00000000" w:csb1="00000000"/>
    <w:embedRegular r:id="rId3" w:fontKey="{77EFC4F7-AFD0-402A-AC7C-089DAE6C5C72}"/>
  </w:font>
  <w:font w:name="方正小标宋_GBK">
    <w:altName w:val="微软雅黑"/>
    <w:panose1 w:val="02000000000000000000"/>
    <w:charset w:val="86"/>
    <w:family w:val="script"/>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embedRegular r:id="rId4" w:fontKey="{115FB1B7-EA96-42E8-9DCA-678AA34783B0}"/>
  </w:font>
  <w:font w:name="___WRD_EMBED_SUB_44">
    <w:altName w:val="微软雅黑"/>
    <w:panose1 w:val="00000000000000000000"/>
    <w:charset w:val="86"/>
    <w:family w:val="modern"/>
    <w:pitch w:val="default"/>
    <w:sig w:usb0="00000000" w:usb1="00000000" w:usb2="00000010" w:usb3="00000000" w:csb0="00040000" w:csb1="00000000"/>
    <w:embedRegular r:id="rId5" w:fontKey="{022123E9-FD05-4F04-AAB0-62F52D10F694}"/>
  </w:font>
  <w:font w:name="方正仿宋_GBK">
    <w:panose1 w:val="02000000000000000000"/>
    <w:charset w:val="86"/>
    <w:family w:val="script"/>
    <w:pitch w:val="default"/>
    <w:sig w:usb0="00000000" w:usb1="00000000" w:usb2="00000000" w:usb3="00000000" w:csb0="00000000" w:csb1="00000000"/>
    <w:embedRegular r:id="rId6" w:fontKey="{BB73D871-8558-45C2-A44F-D314902D98AA}"/>
  </w:font>
  <w:font w:name="华文中宋">
    <w:panose1 w:val="02010600040101010101"/>
    <w:charset w:val="86"/>
    <w:family w:val="auto"/>
    <w:pitch w:val="default"/>
    <w:sig w:usb0="00000000" w:usb1="00000000" w:usb2="00000000" w:usb3="00000000" w:csb0="00000000" w:csb1="00000000"/>
    <w:embedRegular r:id="rId7" w:fontKey="{0EF7368B-EAB3-4657-93F8-880690368B98}"/>
  </w:font>
  <w:font w:name="Cambria">
    <w:panose1 w:val="00000000000000000000"/>
    <w:charset w:val="00"/>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wrd">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r>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ind w:firstLine="360"/>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ind w:firstLine="360"/>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bordersDoNotSurroundHeader/>
  <w:doNotTrackMoves/>
  <w:defaultTabStop w:val="420"/>
  <w:drawingGridHorizontalSpacing w:val="160"/>
  <w:drawingGridVerticalSpacing w:val="435"/>
  <w:displayHorizontalDrawingGridEvery w:val="2"/>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qFormat="1"/>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BodyText">
    <w:name w:val="Body Text"/>
    <w:basedOn w:val="Normal"/>
    <w:next w:val="BodyText2"/>
    <w:link w:val="正文文本字符"/>
    <w:qFormat/>
    <w:rPr>
      <w:rFonts w:cs="Times New Roman"/>
    </w:rPr>
  </w:style>
  <w:style w:type="paragraph" w:styleId="BodyText2">
    <w:name w:val="Body Text 2"/>
    <w:basedOn w:val="Normal"/>
    <w:link w:val="正文文本2字符"/>
    <w:uiPriority w:val="99"/>
    <w:semiHidden/>
    <w:unhideWhenUsed/>
    <w:qFormat/>
    <w:pPr>
      <w:spacing w:after="120" w:line="480" w:lineRule="auto"/>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CommentReference">
    <w:name w:val="Comment Reference"/>
    <w:basedOn w:val="DefaultParagraphFont"/>
    <w:uiPriority w:val="99"/>
    <w:semiHidden/>
    <w:unhideWhenUsed/>
    <w:qFormat/>
    <w:rPr>
      <w:sz w:val="21"/>
      <w:szCs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character" w:customStyle="1" w:styleId="正文文本字符">
    <w:name w:val="正文文本 字符"/>
    <w:basedOn w:val="DefaultParagraphFont"/>
    <w:link w:val="BodyText"/>
    <w:qFormat/>
    <w:rPr>
      <w:rFonts w:eastAsia="仿宋_GB2312"/>
      <w:kern w:val="2"/>
      <w:sz w:val="32"/>
      <w:szCs w:val="22"/>
    </w:rPr>
  </w:style>
  <w:style w:type="character" w:customStyle="1" w:styleId="正文文本2字符">
    <w:name w:val="正文文本 2 字符"/>
    <w:basedOn w:val="DefaultParagraphFont"/>
    <w:link w:val="BodyText2"/>
    <w:uiPriority w:val="99"/>
    <w:semiHidden/>
    <w:qFormat/>
    <w:rPr>
      <w:rFonts w:eastAsia="仿宋_GB2312" w:cs="Arial" w:cstheme="minorBidi"/>
      <w:kern w:val="2"/>
      <w:sz w:val="32"/>
      <w:szCs w:val="22"/>
    </w:rPr>
  </w:style>
  <w:style w:type="paragraph" w:styleId="ListParagraph">
    <w:name w:val="List Paragraph"/>
    <w:basedOn w:val="Normal"/>
    <w:uiPriority w:val="99"/>
    <w:unhideWhenUsed/>
    <w:qFormat/>
    <w:pPr>
      <w:ind w:firstLine="420"/>
    </w:pPr>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theme" Target="theme/theme1.xml"/><Relationship Id="rId12" Type="http://schemas.openxmlformats.org/officeDocument/2006/relationships/styles" Target="styles.xml"/><Relationship Id="rId13" Type="http://schemas.openxmlformats.org/officeDocument/2006/relationships/webSettings" Target="webSettings.xml"/><Relationship Id="rId14" Type="http://schemas.openxmlformats.org/officeDocument/2006/relationships/fontTable" Target="fontTable.xml"/><Relationship Id="rId15"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 Id="rId6" Type="http://schemas.openxmlformats.org/officeDocument/2006/relationships/font" Target="fonts/font6.odttf"/><Relationship Id="rId7" Type="http://schemas.openxmlformats.org/officeDocument/2006/relationships/font" Target="fonts/font7.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Template>
  <TotalTime>9</TotalTime>
  <Pages>27</Pages>
  <Words>6667</Words>
  <Characters>6935</Characters>
  <Application>WPS Office_11.8.2.9022_F1E327BC-269C-435d-A152-05C5408002CA</Application>
  <DocSecurity>0</DocSecurity>
  <Lines>1224</Lines>
  <Paragraphs>689</Paragraphs>
  <Company>Microsoft</Company>
  <CharactersWithSpaces>6959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90</cp:revision>
  <dcterms:created xsi:type="dcterms:W3CDTF">2020-05-25T09:48:00Z</dcterms:created>
  <dcterms:modified xsi:type="dcterms:W3CDTF">2025-07-30T10:29:38Z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