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尉犁县园林绿化服务中心2024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(1）负责对城区街道树木、绿地花草的养护。</w:t>
      </w:r>
    </w:p>
    <w:p>
      <w:pPr>
        <w:spacing w:line="580" w:lineRule="exact"/>
        <w:ind w:firstLine="640"/>
        <w:jc w:val="both"/>
      </w:pPr>
      <w:r>
        <w:rPr>
          <w:rFonts w:ascii="仿宋_GB2312" w:hAnsi="仿宋_GB2312" w:eastAsia="仿宋_GB2312"/>
          <w:sz w:val="32"/>
        </w:rPr>
        <w:t>(2）负责对绿化设施修理保证能正常运行，研究制定全县城市绿化规划和园林绿化发展建设、改革措施和中长期规划并指导和监督实施。</w:t>
      </w:r>
    </w:p>
    <w:p>
      <w:pPr>
        <w:spacing w:line="580" w:lineRule="exact"/>
        <w:ind w:firstLine="640"/>
        <w:jc w:val="both"/>
      </w:pPr>
      <w:r>
        <w:rPr>
          <w:rFonts w:ascii="仿宋_GB2312" w:hAnsi="仿宋_GB2312" w:eastAsia="仿宋_GB2312"/>
          <w:sz w:val="32"/>
        </w:rPr>
        <w:t>(3）贯彻执行国家制定的绿化行业技术标准。</w:t>
      </w:r>
    </w:p>
    <w:p>
      <w:pPr>
        <w:spacing w:line="580" w:lineRule="exact"/>
        <w:ind w:firstLine="640"/>
        <w:jc w:val="both"/>
      </w:pPr>
      <w:r>
        <w:rPr>
          <w:rFonts w:ascii="仿宋_GB2312" w:hAnsi="仿宋_GB2312" w:eastAsia="仿宋_GB2312"/>
          <w:sz w:val="32"/>
        </w:rPr>
        <w:t>(4）负责对重点风景名胜区及其绿化规划的审查报批和保护监督工作。</w:t>
      </w:r>
    </w:p>
    <w:p>
      <w:pPr>
        <w:spacing w:line="580" w:lineRule="exact"/>
        <w:ind w:firstLine="640"/>
        <w:jc w:val="both"/>
      </w:pPr>
      <w:r>
        <w:rPr>
          <w:rFonts w:ascii="仿宋_GB2312" w:hAnsi="仿宋_GB2312" w:eastAsia="仿宋_GB2312"/>
          <w:sz w:val="32"/>
        </w:rPr>
        <w:t>(5）负责指导城市绿化建设工作。</w:t>
      </w:r>
    </w:p>
    <w:p>
      <w:pPr>
        <w:spacing w:line="580" w:lineRule="exact"/>
        <w:ind w:firstLine="640"/>
        <w:jc w:val="both"/>
      </w:pPr>
      <w:r>
        <w:rPr>
          <w:rFonts w:ascii="仿宋_GB2312" w:hAnsi="仿宋_GB2312" w:eastAsia="仿宋_GB2312"/>
          <w:sz w:val="32"/>
        </w:rPr>
        <w:t>(6）完成上级交办的其他工作。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尉犁县园林绿化服务中心2024年度，实有人数26人，其中：在职人员16人，减少1人；离休人员0人，增加0人；退休人员10人,增加0人。</w:t>
      </w:r>
    </w:p>
    <w:p>
      <w:pPr>
        <w:spacing w:line="580" w:lineRule="exact"/>
        <w:ind w:firstLine="640"/>
        <w:jc w:val="both"/>
      </w:pPr>
      <w:r>
        <w:rPr>
          <w:rFonts w:ascii="仿宋_GB2312" w:hAnsi="仿宋_GB2312" w:eastAsia="仿宋_GB2312"/>
          <w:sz w:val="32"/>
        </w:rPr>
        <w:t>尉犁县园林绿化服务中心无下属预算单位，下设4个科室，分别是：行政办、财务室、园林绿化办、苗圃。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2024年度收入总计819.62万元，</w:t>
      </w:r>
      <w:r>
        <w:rPr>
          <w:rFonts w:ascii="仿宋_GB2312" w:hAnsi="仿宋_GB2312" w:eastAsia="仿宋_GB2312"/>
          <w:b w:val="0"/>
          <w:sz w:val="32"/>
        </w:rPr>
        <w:t>其中：本年收入合计819.62万元，使用非财政拨款结余（含专用结余）0.00万元，年初结转和结余0.00万元。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2024年度支出总计819.62万元，</w:t>
      </w:r>
      <w:r>
        <w:rPr>
          <w:rFonts w:ascii="仿宋_GB2312" w:hAnsi="仿宋_GB2312" w:eastAsia="仿宋_GB2312"/>
          <w:b w:val="0"/>
          <w:sz w:val="32"/>
        </w:rPr>
        <w:t>其中：本年支出合计819.62万元，结余分配0.00万元，年末结转和结余0.00万元。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减少720.92万元，下降46.80%，主要原因是：本年减少财政存量资金安排的园林绿化高洁服务费资金经费，导致其他收入较上年减少。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本年收入819.62万元，</w:t>
      </w:r>
      <w:r>
        <w:rPr>
          <w:rFonts w:ascii="仿宋_GB2312" w:hAnsi="仿宋_GB2312" w:eastAsia="仿宋_GB2312"/>
          <w:b w:val="0"/>
          <w:sz w:val="32"/>
        </w:rPr>
        <w:t>其中：财政拨款收入662.73万元，占80.86%；上级补助收入0.00万元，占0.00%；事业收入0.00万元，占0.00%；经营收入0.00万元，占0.00%；附属单位上缴收入0.00万元，占0.00%；其他收入156.90万元，占19.14%。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本年支出819.62万元，</w:t>
      </w:r>
      <w:r>
        <w:rPr>
          <w:rFonts w:ascii="仿宋_GB2312" w:hAnsi="仿宋_GB2312" w:eastAsia="仿宋_GB2312"/>
          <w:b w:val="0"/>
          <w:sz w:val="32"/>
        </w:rPr>
        <w:t>其中：基本支出251.15万元，占30.64%；项目支出568.47万元，占69.36%；上缴上级支出0.00万元，占0.00%；经营支出0.00万元，占0.00%；对附属单位补助支出0.00万元，占0.00%。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2024年度财政拨款收入总计662.73万元，</w:t>
      </w:r>
      <w:r>
        <w:rPr>
          <w:rFonts w:ascii="仿宋_GB2312" w:hAnsi="仿宋_GB2312" w:eastAsia="仿宋_GB2312"/>
          <w:b w:val="0"/>
          <w:sz w:val="32"/>
        </w:rPr>
        <w:t>其中：年初财政拨款结转和结余0.00万元，本年财政拨款收入662.73万元。</w:t>
      </w:r>
      <w:r>
        <w:rPr>
          <w:rFonts w:ascii="仿宋_GB2312" w:hAnsi="仿宋_GB2312" w:eastAsia="仿宋_GB2312"/>
          <w:b/>
          <w:sz w:val="32"/>
        </w:rPr>
        <w:t>财政拨款支出总计662.73万元，</w:t>
      </w:r>
      <w:r>
        <w:rPr>
          <w:rFonts w:ascii="仿宋_GB2312" w:hAnsi="仿宋_GB2312" w:eastAsia="仿宋_GB2312"/>
          <w:b w:val="0"/>
          <w:sz w:val="32"/>
        </w:rPr>
        <w:t>其中：年末财政拨款结转和结余0.00万元，本年财政拨款支出662.73万元。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增加394.69万元，增长147.25%，主要原因是：本年财政拨款收支总体较上年相比增加园林绿化新增绿地面积高洁服务费项目资金。</w:t>
      </w:r>
      <w:r>
        <w:rPr>
          <w:rFonts w:ascii="仿宋_GB2312" w:hAnsi="仿宋_GB2312" w:eastAsia="仿宋_GB2312"/>
          <w:b/>
          <w:sz w:val="32"/>
        </w:rPr>
        <w:t>与年初预算相比，</w:t>
      </w:r>
      <w:r>
        <w:rPr>
          <w:rFonts w:ascii="仿宋_GB2312" w:hAnsi="仿宋_GB2312" w:eastAsia="仿宋_GB2312"/>
          <w:b w:val="0"/>
          <w:sz w:val="32"/>
        </w:rPr>
        <w:t>年初预算数265.86万元，决算数662.73万元，预决算差异率149.28%，主要原因是：年中追加园林绿化新增绿地面积高洁服务费项目资金。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2024年度一般公共预算财政拨款支出653.95万元，</w:t>
      </w:r>
      <w:r>
        <w:rPr>
          <w:rFonts w:ascii="仿宋_GB2312" w:hAnsi="仿宋_GB2312" w:eastAsia="仿宋_GB2312"/>
          <w:b w:val="0"/>
          <w:sz w:val="32"/>
        </w:rPr>
        <w:t>占本年支出合计的79.79%。</w:t>
      </w:r>
      <w:r>
        <w:rPr>
          <w:rFonts w:ascii="仿宋_GB2312" w:hAnsi="仿宋_GB2312" w:eastAsia="仿宋_GB2312"/>
          <w:b/>
          <w:sz w:val="32"/>
        </w:rPr>
        <w:t>与上年相比，</w:t>
      </w:r>
      <w:r>
        <w:rPr>
          <w:rFonts w:ascii="仿宋_GB2312" w:hAnsi="仿宋_GB2312" w:eastAsia="仿宋_GB2312"/>
          <w:b w:val="0"/>
          <w:sz w:val="32"/>
        </w:rPr>
        <w:t>增加385.91万元，增长143.97%，主要原因是：本年增加园林绿化新增绿地面积高洁服务费项目支出资金。</w:t>
      </w:r>
      <w:r>
        <w:rPr>
          <w:rFonts w:ascii="仿宋_GB2312" w:hAnsi="仿宋_GB2312" w:eastAsia="仿宋_GB2312"/>
          <w:b/>
          <w:sz w:val="32"/>
        </w:rPr>
        <w:t>与年初预算相比,</w:t>
      </w:r>
      <w:r>
        <w:rPr>
          <w:rFonts w:ascii="仿宋_GB2312" w:hAnsi="仿宋_GB2312" w:eastAsia="仿宋_GB2312"/>
          <w:b w:val="0"/>
          <w:sz w:val="32"/>
        </w:rPr>
        <w:t>年初预算数265.86万元，决算数653.95万元，预决算差异率145.98%，主要原因是：年中追加园林绿化新增绿地面积高洁服务费项目资金。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1.一般公共服务支出(类)0.06万元,占0.009%。</w:t>
      </w:r>
    </w:p>
    <w:p>
      <w:pPr>
        <w:spacing w:line="580" w:lineRule="exact"/>
        <w:ind w:firstLine="640"/>
        <w:jc w:val="both"/>
      </w:pPr>
      <w:r>
        <w:rPr>
          <w:rFonts w:ascii="仿宋_GB2312" w:hAnsi="仿宋_GB2312" w:eastAsia="仿宋_GB2312"/>
          <w:b w:val="0"/>
          <w:sz w:val="32"/>
        </w:rPr>
        <w:t>2.教育支出(类)400.07万元,占61.18%。</w:t>
      </w:r>
    </w:p>
    <w:p>
      <w:pPr>
        <w:spacing w:line="580" w:lineRule="exact"/>
        <w:ind w:firstLine="640"/>
        <w:jc w:val="both"/>
      </w:pPr>
      <w:r>
        <w:rPr>
          <w:rFonts w:ascii="仿宋_GB2312" w:hAnsi="仿宋_GB2312" w:eastAsia="仿宋_GB2312"/>
          <w:b w:val="0"/>
          <w:sz w:val="32"/>
        </w:rPr>
        <w:t>3.科学技术支出(类)2.08万元,占0.32%。</w:t>
      </w:r>
    </w:p>
    <w:p>
      <w:pPr>
        <w:spacing w:line="580" w:lineRule="exact"/>
        <w:ind w:firstLine="640"/>
        <w:jc w:val="both"/>
      </w:pPr>
      <w:r>
        <w:rPr>
          <w:rFonts w:ascii="仿宋_GB2312" w:hAnsi="仿宋_GB2312" w:eastAsia="仿宋_GB2312"/>
          <w:b w:val="0"/>
          <w:sz w:val="32"/>
        </w:rPr>
        <w:t>4.社会保障和就业支出(类)32.12万元,占4.91%。</w:t>
      </w:r>
    </w:p>
    <w:p>
      <w:pPr>
        <w:spacing w:line="580" w:lineRule="exact"/>
        <w:ind w:firstLine="640"/>
        <w:jc w:val="both"/>
      </w:pPr>
      <w:r>
        <w:rPr>
          <w:rFonts w:ascii="仿宋_GB2312" w:hAnsi="仿宋_GB2312" w:eastAsia="仿宋_GB2312"/>
          <w:b w:val="0"/>
          <w:sz w:val="32"/>
        </w:rPr>
        <w:t>5.卫生健康支出(类)12.88万元,占1.97%。</w:t>
      </w:r>
    </w:p>
    <w:p>
      <w:pPr>
        <w:spacing w:line="580" w:lineRule="exact"/>
        <w:ind w:firstLine="640"/>
        <w:jc w:val="both"/>
      </w:pPr>
      <w:r>
        <w:rPr>
          <w:rFonts w:ascii="仿宋_GB2312" w:hAnsi="仿宋_GB2312" w:eastAsia="仿宋_GB2312"/>
          <w:b w:val="0"/>
          <w:sz w:val="32"/>
        </w:rPr>
        <w:t>6.城乡社区支出(类)186.27万元,占28.48%。</w:t>
      </w:r>
    </w:p>
    <w:p>
      <w:pPr>
        <w:spacing w:line="580" w:lineRule="exact"/>
        <w:ind w:firstLine="640"/>
        <w:jc w:val="both"/>
      </w:pPr>
      <w:r>
        <w:rPr>
          <w:rFonts w:ascii="仿宋_GB2312" w:hAnsi="仿宋_GB2312" w:eastAsia="仿宋_GB2312"/>
          <w:b w:val="0"/>
          <w:sz w:val="32"/>
        </w:rPr>
        <w:t>7.住房保障支出(类)20.47万元,占3.13%。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1.一般公共服务支出(类)组织事务(款)其他组织事务支出(项):支出决算数为0.06万元，比上年决算增加0.06万元，增长100.00%,主要原因是：本年增加退休干部慰问支出。</w:t>
      </w:r>
    </w:p>
    <w:p>
      <w:pPr>
        <w:spacing w:line="580" w:lineRule="exact"/>
        <w:ind w:firstLine="640"/>
        <w:jc w:val="both"/>
      </w:pPr>
      <w:r>
        <w:rPr>
          <w:rFonts w:ascii="仿宋_GB2312" w:hAnsi="仿宋_GB2312" w:eastAsia="仿宋_GB2312"/>
          <w:b w:val="0"/>
          <w:sz w:val="32"/>
        </w:rPr>
        <w:t>2.教育支出(类)进修及培训(款)培训支出(项):支出决算数为0.07万元，比上年决算减少0.13万元，下降65.00%,主要原因是：本年单位职工外出培训减少，培训费下降。</w:t>
      </w:r>
    </w:p>
    <w:p>
      <w:pPr>
        <w:spacing w:line="580" w:lineRule="exact"/>
        <w:ind w:firstLine="640"/>
        <w:jc w:val="both"/>
      </w:pPr>
      <w:r>
        <w:rPr>
          <w:rFonts w:ascii="仿宋_GB2312" w:hAnsi="仿宋_GB2312" w:eastAsia="仿宋_GB2312"/>
          <w:b w:val="0"/>
          <w:sz w:val="32"/>
        </w:rPr>
        <w:t>3.教育支出(类)其他教育支出(款)其他教育支出(项):支出决算数为400.00万元，比上年决算增加400.00万元，增长100.00%,主要原因是：本年增加园林绿化新增绿地面积高洁服务费项目支出。</w:t>
      </w:r>
    </w:p>
    <w:p>
      <w:pPr>
        <w:spacing w:line="580" w:lineRule="exact"/>
        <w:ind w:firstLine="640"/>
        <w:jc w:val="both"/>
      </w:pPr>
      <w:r>
        <w:rPr>
          <w:rFonts w:ascii="仿宋_GB2312" w:hAnsi="仿宋_GB2312" w:eastAsia="仿宋_GB2312"/>
          <w:b w:val="0"/>
          <w:sz w:val="32"/>
        </w:rPr>
        <w:t>4.科学技术支出(类)技术研究与开发(款)科技成果转化与扩散(项):支出决算数为2.08万元，比上年决算增加2.08万元，增长100.00%,主要原因是：本年增加园林绿化用水机电井安装计量设施费支出。</w:t>
      </w:r>
    </w:p>
    <w:p>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5.社会保障和就业支出(类)行政事业单位养老支出(款)事业单位离退休(项):支出决算数为7.10万元，比上年决算增加1.50万元，增长26.79%,主要原因是：本年增加退休人员基础绩效奖，退休费支出增加。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25.03万元，比上年决算增加0.82万元，增长3.39%,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6.57万元，下降100.00%,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8.卫生健康支出(类)行政事业单位医疗(款)事业单位医疗(项):支出决算数为12.88万元，比上年决算增加1.30万元，增长11.23%,主要原因是：本年在职人员工资基数调增，医疗缴费基数上涨，相应支出增加。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9.城乡社区支出(类)城乡社区环境卫生(款)城乡社区环境卫生(项):支出决算数为186.27万元，比上年决算减少15.36万元，下降7.62%,主要原因是：本年较上年减少园林绿化高洁服务费项目支出。</w:t>
      </w:r>
    </w:p>
    <w:p>
      <w:pPr>
        <w:spacing w:line="580" w:lineRule="exact"/>
        <w:ind w:firstLine="640"/>
        <w:jc w:val="both"/>
      </w:pPr>
      <w:r>
        <w:rPr>
          <w:rFonts w:ascii="仿宋_GB2312" w:hAnsi="仿宋_GB2312" w:eastAsia="仿宋_GB2312"/>
          <w:b w:val="0"/>
          <w:sz w:val="32"/>
        </w:rPr>
        <w:t>10.住房保障支出(类)住房改革支出(款)住房公积金(项):支出决算数为20.47万元，比上年决算增加2.22万元，增长12.16%,主要原因是：本年在职人员工资基数调增，公积金缴费基数上涨，相应支出增加。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2024年度一般公共预算财政拨款基本支出251.15万元，其中：</w:t>
      </w:r>
      <w:r>
        <w:rPr>
          <w:rFonts w:ascii="仿宋_GB2312" w:hAnsi="仿宋_GB2312" w:eastAsia="仿宋_GB2312"/>
          <w:b/>
          <w:sz w:val="32"/>
        </w:rPr>
        <w:t>人员经费244.16万元，</w:t>
      </w:r>
      <w:r>
        <w:rPr>
          <w:rFonts w:ascii="仿宋_GB2312" w:hAnsi="仿宋_GB2312" w:eastAsia="仿宋_GB2312"/>
          <w:b w:val="0"/>
          <w:sz w:val="32"/>
        </w:rPr>
        <w:t>包括：基本工资、津贴补贴、奖金、机关事业单位基本养老保险缴费、职工基本医疗保险缴费、其他社会保障缴费、住房公积金、医疗费、退休费、奖励金。</w:t>
      </w:r>
    </w:p>
    <w:p>
      <w:pPr>
        <w:spacing w:line="580" w:lineRule="exact"/>
        <w:ind w:firstLine="640"/>
        <w:jc w:val="both"/>
      </w:pPr>
      <w:r>
        <w:rPr>
          <w:rFonts w:ascii="仿宋_GB2312" w:hAnsi="仿宋_GB2312" w:eastAsia="仿宋_GB2312"/>
          <w:b/>
          <w:sz w:val="32"/>
        </w:rPr>
        <w:t>公用经费6.99万元，</w:t>
      </w:r>
      <w:r>
        <w:rPr>
          <w:rFonts w:ascii="仿宋_GB2312" w:hAnsi="仿宋_GB2312" w:eastAsia="仿宋_GB2312"/>
          <w:b w:val="0"/>
          <w:sz w:val="32"/>
        </w:rPr>
        <w:t>包括：办公费、邮电费、培训费、工会经费、福利费、公务用车运行维护费、其他商品和服务支出。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2024年度政府性基金预算财政拨款收入总计8.78万元，</w:t>
      </w:r>
      <w:r>
        <w:rPr>
          <w:rFonts w:ascii="仿宋_GB2312" w:hAnsi="仿宋_GB2312" w:eastAsia="仿宋_GB2312"/>
          <w:b w:val="0"/>
          <w:sz w:val="32"/>
        </w:rPr>
        <w:t>其中：年初结转和结余0.00万元，本年收入8.78万元。</w:t>
      </w:r>
      <w:r>
        <w:rPr>
          <w:rFonts w:ascii="仿宋_GB2312" w:hAnsi="仿宋_GB2312" w:eastAsia="仿宋_GB2312"/>
          <w:b/>
          <w:sz w:val="32"/>
        </w:rPr>
        <w:t>政府性基金预算财政拨款支出总计8.78万元，</w:t>
      </w:r>
      <w:r>
        <w:rPr>
          <w:rFonts w:ascii="仿宋_GB2312" w:hAnsi="仿宋_GB2312" w:eastAsia="仿宋_GB2312"/>
          <w:b w:val="0"/>
          <w:sz w:val="32"/>
        </w:rPr>
        <w:t>其中：年末结转和结余0.00万元，本年支出8.78万元。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增加8.78万元，增长100.00%，主要原因是：本年增加兴平风景带项目前期费支出。</w:t>
      </w:r>
      <w:r>
        <w:rPr>
          <w:rFonts w:ascii="仿宋_GB2312" w:hAnsi="仿宋_GB2312" w:eastAsia="仿宋_GB2312"/>
          <w:b/>
          <w:sz w:val="32"/>
        </w:rPr>
        <w:t>与年初预算相比，</w:t>
      </w:r>
      <w:r>
        <w:rPr>
          <w:rFonts w:ascii="仿宋_GB2312" w:hAnsi="仿宋_GB2312" w:eastAsia="仿宋_GB2312"/>
          <w:b w:val="0"/>
          <w:sz w:val="32"/>
        </w:rPr>
        <w:t>年初预算数0.00万元，决算数8.78万元，预决算差异率100.00%，主要原因是：年中追加兴平风景带项目前期费支出。</w:t>
      </w:r>
    </w:p>
    <w:p>
      <w:pPr>
        <w:spacing w:line="580" w:lineRule="exact"/>
        <w:ind w:firstLine="640"/>
        <w:jc w:val="both"/>
      </w:pPr>
      <w:r>
        <w:rPr>
          <w:rFonts w:ascii="仿宋_GB2312" w:hAnsi="仿宋_GB2312" w:eastAsia="仿宋_GB2312"/>
          <w:b w:val="0"/>
          <w:sz w:val="32"/>
        </w:rPr>
        <w:t>政府性基金预算财政拨款支出8.78万元。</w:t>
      </w:r>
    </w:p>
    <w:p>
      <w:pPr>
        <w:spacing w:line="580" w:lineRule="exact"/>
        <w:ind w:firstLine="640"/>
        <w:jc w:val="both"/>
      </w:pPr>
      <w:r>
        <w:rPr>
          <w:rFonts w:ascii="仿宋_GB2312" w:hAnsi="仿宋_GB2312" w:eastAsia="仿宋_GB2312"/>
          <w:b w:val="0"/>
          <w:sz w:val="32"/>
        </w:rPr>
        <w:t>1.城乡社区支出(类)国有土地使用权出让收入安排的支出(款)农业农村生态环境支出(项):支出决算数为8.78万元，比上年决算增加8.78万元，增长100.00%,主要原因是：本年增加兴平风景带项目前期费支出。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2024年度财政拨款“三公”经费支出0.59万元，</w:t>
      </w:r>
      <w:r>
        <w:rPr>
          <w:rFonts w:ascii="仿宋_GB2312" w:hAnsi="仿宋_GB2312" w:eastAsia="仿宋_GB2312"/>
          <w:b w:val="0"/>
          <w:sz w:val="32"/>
        </w:rPr>
        <w:t>比上年减少0.09万元，下降13.24%，主要原因是：严格落实中央八项规定精神，厉行节约，减少公务用车运行维护费。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公务用车购置及运行维护费支出0.59万元，占100.00%，比上年减少0.09万元，下降13.24%，主要原因是：严格落实中央八项规定精神，厉行节约，减少公务用车运行维护费。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0.59万元，其中：公务用车购置费0.00万元，公务用车运行维护费0.59万元。公务用车运行维护费开支内容包括车辆燃油费、车辆保险费、车辆审验费、车辆维修费。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0.59万元，预决算差异率-26.25%，主要原因是：严格落实中央八项规定精神，厉行节约，减少公务用车运行维护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0.80万元，决算数0.59万元，预决算差异率-26.25%，主要原因是：严格落实中央八项规定精神，厉行节约，减少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2024年度尉犁县园林绿化服务中心（事业单位）公用经费支出6.99万元，比上年减少0.93万元，下降11.74%，主要原因是：本年调出1人公用经费减少，同时严格执行八项规定，厉行节约，压减经费。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2024年度政府采购支出总额0.67万元，其中：政府采购货物支出0.29万元、政府采购工程支出0.00万元、政府采购服务支出0.38万元。</w:t>
      </w:r>
    </w:p>
    <w:p>
      <w:pPr>
        <w:spacing w:line="580" w:lineRule="exact"/>
        <w:ind w:firstLine="640"/>
        <w:jc w:val="both"/>
      </w:pPr>
      <w:r>
        <w:rPr>
          <w:rFonts w:ascii="仿宋_GB2312" w:hAnsi="仿宋_GB2312" w:eastAsia="仿宋_GB2312"/>
          <w:b w:val="0"/>
          <w:sz w:val="32"/>
        </w:rPr>
        <w:t>授予中小企业合同金额0.67万元，占政府采购支出总额的100.00%，其中：授予小微企业合同金额0.67万元，占政府采购支出总额的100.00%。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217.80平方米，价值82.65万元。车辆4辆，价值92.47万元，其中：副部（省）级及以上领导用车0辆、主要负责人用车0辆、机要通信用车0辆、应急保障用车0辆、执法执勤用车0辆、特种专业技术用车3辆、离退休干部服务用车0辆、其他用车1辆，其他用车主要是：外出作业皮卡车1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3个，全年预算数568.47万元，全年执行数568.47万元。预算绩效管理取得的成效：一是严格质量监管，筑牢工程根基：通过招投标选定监理队伍，并严格检查监理人员到岗情况，严禁无资质或不符合招投标规定的监理人员进入施工现场。县领导以及财政、发改等部门领导多次赴项目现场指导工作。项目单位选派责任心强、业务精通的人员作为监管负责人，做好施工监督，严格把控质量验收关。二是规范资金管理，发挥最大效益：严格执行资金审批流程，明确资金使用范围，确保项目资金专款专用。坚持按工程进度拨付工程款，资金审批后直接支付给施工单位，有效防止截留、挪用、滞留和浪费资金等问题，保障资金使用安全，实现资金效益最大化。发现的问题及原因：一是工程质量监管的深度与广度欠缺虽然已对监理队伍和施工现场进行监管，但质量监管仍存在漏洞。部分监理人员专业能力不足，对施工过程中的一些技术问题未能及时发现并纠正。监管多集中在施工现场的表面检查，对隐蔽工程、原材料质量等关键环节的检查频次不够，监管深度有待提升。此外，监管方式较为传统，缺乏对新技术、新方法的运用，难以满足现代工程建设质量监管的要求。二是经费细化管理工作不足。基本支出和项目支出中包含的各类费用名目较多，主要是突发性的，在执行过程中，并不能把握到位，造成各项明细费用支出和年初预算不能完全一致。2024年尉犁县改善农村人居环境PPP建设项目服务费，第四季度考核评估期未满，该项目按效支付，因此第四季度资金未付清。资金分配缺乏灵活性，未能根据项目动态调整预算资金，导致部分预算资金闲置。三是预算绩效管理水平仍有欠缺。部门指标值设置偏低，实际完成情况容易超过目标值，简单参照过往完成值设定目标，未考虑后期潜力提升或业务需要会导致实际完成情况增长。由于绩效管理工作系统性较强，涉及面广，对财务人员和项目管理人员整体业务水平要求较高，绩效管理业务不够深入和全面，绩效管理水平须进一步加强。下一步改进措施：一是提升工程质量监管效能强化监理队伍管理：定期对监理人员开展专业培训，提升其业务能力与责任意识。建立监理人员考核评价机制，对考核不达标或履职不力的人员，限制其进入本地建筑市场，以此倒逼监理人员提升服务质量。创新质量监管方式：引入BIM、无人机巡查等新技术，对工程质量进行全方位、全过程监管。利用BIM技术提前模拟施工过程，发现潜在质量问题；借助无人机对施工现场进行高空巡查，拓宽监管范围，及时发现隐蔽工程和施工现场的质量隐患。二是由于目前的预算管理在编制和实施中还存在编制不细、预算调整、追加预算等现象，因此预算执行的准确性还有待加强。建议从源头上强化和细化资金预算管理。结合单位实际，按轻重缓急统筹安排编制预算，提高预算编制科学性和合理性，优化资金结构。同时，按时间进度分解资金使用计划，特别是专项资金的使用，要事前做计划，事中进行控制，事后总结提高，充分体现资金投向的目标和效益。优化预算编制与执行机制，精准化预算采用“零基预算+滚动预算”结合模式，依据项目优先级和进度分阶段拨款。双重考核将预算执行率与项目完成质量同步纳入部门绩效考核，权重各占50%。三是加强绩效管理业务学习。增强绩效管理理念，强化业务学习，夯实绩效管理基础工作，建章建制，建立统一的管理制度和控制执行标准，确保资金使用安全、规范，项目实施效果明显。引入“基线法”（基于历史数据）和“标杆法”（对照行业先进值）综合设定目标，根据季度/半年度完成情况，对明显偏低的目标值及时修正，将“目标设置合理性”纳入管理者绩效考核，有效提升指标设置时重视程度。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园林绿化高洁服务费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尉犁县园林绿化管理中心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尉犁县园林绿化服务中心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加强对尉犁县城市绿化植物的养护管理，园林作业绿化面积4380.16亩绿化成活和保存率达95%以上。促进城市绿化事业的发展，改善生态环境、人居环境、美化生活环境。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尉犁县城市绿化植物的养护管理，实施精细化、规范化、专业化、机械化的管理模式，绿化养护及时率达95%，提高尉犁县城市公共绿地养护整体质量水平，完成养护绿地面积4380.16亩。</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&gt;=4380.16亩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=4380.16亩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园林绿化养护覆盖率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绿化养护及时率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高洁服务费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&lt;=542.59万元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=542.59万元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提高全县绿化率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城市生态坏境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城镇居民满意度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园林绿化项目前期费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尉犁县园林绿化管理中心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尉犁县园林绿化服务中心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完成兴平干渠风景带四期绿化工程建设工程项目等3个项目设计、审计等一系列前期工作，按时保质保量完成项目前期手续，对项目顺利实施提供重要保障。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完成了兴平干渠风景带四期绿化工程建设工程项目等3个项目设计、审计等一系列前期工作，确保了按时保质保量完成项目前期手续，对项目顺利实施提供重要保障。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完成前期工作项目个数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支付项目前期费类型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前期工作成果合格率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项目前期费支付及时率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项目设计编制费用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项目审计费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促进城市生态环境提升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园林绿化用水机电井安装计量设备费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尉犁县园林绿化管理中心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尉犁县园林绿化服务中心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为了进一步做好县城园林绿化用水工作，按照《尉犁县机电井计量设备整治工作文件》要求，采购计量机3种6台，合同价2.08万元， 其中管段式超生波水表DN150-3500元，管段式超生波水表DN125-3450元，管段式超生波水表DN100-3410元。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按照《尉犁县机电井计量设备整治工作文件》要求，已完成采购计量机3种6台，合同价2.08万元， 其中管段式超生波水表DN150-3500元，管段式超生波水表DN125-3450元，管段式超生波水表DN100-3410元。保障县城园林绿化用水工作。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采购计量设施数量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采购计量设施类型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计量设备安装及时率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管段式超声波水表DN150成本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管段式超声波水表DN125成本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管段式超声波水表DN100成本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提高水资源利用效率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用户满意度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