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57A" w:rsidRDefault="00D2657A">
      <w:pPr>
        <w:rPr>
          <w:rFonts w:ascii="黑体" w:eastAsia="黑体" w:hAnsi="黑体"/>
          <w:szCs w:val="32"/>
        </w:rPr>
      </w:pPr>
    </w:p>
    <w:p w:rsidR="00D2657A" w:rsidRDefault="00D2657A">
      <w:pPr>
        <w:jc w:val="center"/>
        <w:rPr>
          <w:rFonts w:ascii="方正小标宋_GBK" w:eastAsia="方正小标宋_GBK" w:hAnsi="宋体"/>
          <w:sz w:val="44"/>
          <w:szCs w:val="44"/>
        </w:rPr>
      </w:pPr>
    </w:p>
    <w:p w:rsidR="00D2657A" w:rsidRDefault="00D2657A">
      <w:pPr>
        <w:jc w:val="center"/>
        <w:rPr>
          <w:rFonts w:ascii="方正小标宋_GBK" w:eastAsia="方正小标宋_GBK" w:hAnsi="宋体"/>
          <w:sz w:val="44"/>
          <w:szCs w:val="44"/>
        </w:rPr>
      </w:pPr>
    </w:p>
    <w:p w:rsidR="00D2657A" w:rsidRDefault="00D2657A">
      <w:pPr>
        <w:jc w:val="center"/>
        <w:rPr>
          <w:rFonts w:ascii="方正小标宋_GBK" w:eastAsia="方正小标宋_GBK" w:hAnsi="宋体"/>
          <w:sz w:val="44"/>
          <w:szCs w:val="44"/>
        </w:rPr>
      </w:pPr>
    </w:p>
    <w:p w:rsidR="00D2657A" w:rsidRDefault="00D2657A">
      <w:pPr>
        <w:jc w:val="center"/>
        <w:rPr>
          <w:rFonts w:ascii="方正小标宋_GBK" w:eastAsia="方正小标宋_GBK" w:hAnsi="宋体"/>
          <w:sz w:val="44"/>
          <w:szCs w:val="44"/>
        </w:rPr>
      </w:pPr>
    </w:p>
    <w:p w:rsidR="00D2657A" w:rsidRDefault="00BA6FA1">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尉犁县园林绿化服务中心</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D2657A" w:rsidRDefault="00BA6FA1">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D2657A" w:rsidRDefault="00BA6FA1">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D2657A" w:rsidRDefault="00BA6FA1">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D2657A" w:rsidRDefault="00BA6FA1">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D2657A" w:rsidRDefault="00BA6FA1">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D2657A" w:rsidRDefault="00BA6FA1">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D2657A" w:rsidRDefault="00BA6FA1">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D2657A" w:rsidRDefault="00BA6FA1">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D2657A" w:rsidRDefault="00BA6FA1">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D2657A" w:rsidRDefault="00BA6FA1">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D2657A" w:rsidRDefault="00BA6FA1">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D2657A" w:rsidRDefault="00BA6FA1">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D2657A" w:rsidRDefault="00BA6FA1">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D2657A" w:rsidRDefault="00BA6FA1">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D2657A" w:rsidRDefault="00BA6FA1">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D2657A" w:rsidRDefault="00BA6FA1">
      <w:r>
        <w:br w:type="page"/>
      </w:r>
    </w:p>
    <w:p w:rsidR="00D2657A" w:rsidRDefault="00BA6FA1">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D2657A" w:rsidRDefault="00BA6FA1">
      <w:pPr>
        <w:spacing w:line="640" w:lineRule="exact"/>
        <w:ind w:firstLine="640"/>
        <w:outlineLvl w:val="2"/>
      </w:pPr>
      <w:r>
        <w:rPr>
          <w:rFonts w:ascii="黑体" w:eastAsia="黑体" w:hAnsi="黑体"/>
        </w:rPr>
        <w:t>一、主要职能</w:t>
      </w:r>
    </w:p>
    <w:p w:rsidR="00D2657A" w:rsidRDefault="00BA6FA1">
      <w:pPr>
        <w:spacing w:line="580" w:lineRule="exact"/>
        <w:ind w:firstLine="640"/>
      </w:pPr>
      <w:r>
        <w:rPr>
          <w:rFonts w:ascii="仿宋_GB2312" w:eastAsia="仿宋_GB2312" w:hAnsi="仿宋_GB2312"/>
        </w:rPr>
        <w:t>(1</w:t>
      </w:r>
      <w:r>
        <w:rPr>
          <w:rFonts w:ascii="仿宋_GB2312" w:eastAsia="仿宋_GB2312" w:hAnsi="仿宋_GB2312"/>
        </w:rPr>
        <w:t>）负责对城区街道树木、绿地花草的养护。</w:t>
      </w:r>
    </w:p>
    <w:p w:rsidR="00D2657A" w:rsidRDefault="00BA6FA1">
      <w:pPr>
        <w:spacing w:line="580" w:lineRule="exact"/>
        <w:ind w:firstLine="640"/>
      </w:pPr>
      <w:r>
        <w:rPr>
          <w:rFonts w:ascii="仿宋_GB2312" w:eastAsia="仿宋_GB2312" w:hAnsi="仿宋_GB2312"/>
        </w:rPr>
        <w:t>(2</w:t>
      </w:r>
      <w:r>
        <w:rPr>
          <w:rFonts w:ascii="仿宋_GB2312" w:eastAsia="仿宋_GB2312" w:hAnsi="仿宋_GB2312"/>
        </w:rPr>
        <w:t>）负责对绿化设施修理保证能正常运行，研究制定全县城市绿化规划和园林绿化发展建设、改革措施和中长期规划并指导和监督实施。</w:t>
      </w:r>
    </w:p>
    <w:p w:rsidR="00D2657A" w:rsidRDefault="00BA6FA1">
      <w:pPr>
        <w:spacing w:line="580" w:lineRule="exact"/>
        <w:ind w:firstLine="640"/>
      </w:pPr>
      <w:r>
        <w:rPr>
          <w:rFonts w:ascii="仿宋_GB2312" w:eastAsia="仿宋_GB2312" w:hAnsi="仿宋_GB2312"/>
        </w:rPr>
        <w:t>(3</w:t>
      </w:r>
      <w:r>
        <w:rPr>
          <w:rFonts w:ascii="仿宋_GB2312" w:eastAsia="仿宋_GB2312" w:hAnsi="仿宋_GB2312"/>
        </w:rPr>
        <w:t>）贯彻执行国家制定的绿化行业技术标准。</w:t>
      </w:r>
    </w:p>
    <w:p w:rsidR="00D2657A" w:rsidRDefault="00BA6FA1">
      <w:pPr>
        <w:spacing w:line="580" w:lineRule="exact"/>
        <w:ind w:firstLine="640"/>
      </w:pPr>
      <w:r>
        <w:rPr>
          <w:rFonts w:ascii="仿宋_GB2312" w:eastAsia="仿宋_GB2312" w:hAnsi="仿宋_GB2312"/>
        </w:rPr>
        <w:t>(4</w:t>
      </w:r>
      <w:r>
        <w:rPr>
          <w:rFonts w:ascii="仿宋_GB2312" w:eastAsia="仿宋_GB2312" w:hAnsi="仿宋_GB2312"/>
        </w:rPr>
        <w:t>）负责对重点风景名胜区及其绿化规划的审查报批和保护监督工作。</w:t>
      </w:r>
    </w:p>
    <w:p w:rsidR="00D2657A" w:rsidRDefault="00BA6FA1">
      <w:pPr>
        <w:spacing w:line="580" w:lineRule="exact"/>
        <w:ind w:firstLine="640"/>
      </w:pPr>
      <w:r>
        <w:rPr>
          <w:rFonts w:ascii="仿宋_GB2312" w:eastAsia="仿宋_GB2312" w:hAnsi="仿宋_GB2312"/>
        </w:rPr>
        <w:t>(5</w:t>
      </w:r>
      <w:r>
        <w:rPr>
          <w:rFonts w:ascii="仿宋_GB2312" w:eastAsia="仿宋_GB2312" w:hAnsi="仿宋_GB2312"/>
        </w:rPr>
        <w:t>）负责指导城市绿化建设工作。</w:t>
      </w:r>
    </w:p>
    <w:p w:rsidR="00D2657A" w:rsidRDefault="00BA6FA1">
      <w:pPr>
        <w:spacing w:line="580" w:lineRule="exact"/>
        <w:ind w:firstLine="640"/>
      </w:pPr>
      <w:r>
        <w:rPr>
          <w:rFonts w:ascii="仿宋_GB2312" w:eastAsia="仿宋_GB2312" w:hAnsi="仿宋_GB2312"/>
        </w:rPr>
        <w:t>(6</w:t>
      </w:r>
      <w:r>
        <w:rPr>
          <w:rFonts w:ascii="仿宋_GB2312" w:eastAsia="仿宋_GB2312" w:hAnsi="仿宋_GB2312"/>
        </w:rPr>
        <w:t>）完成上级交办的其他工作。</w:t>
      </w:r>
    </w:p>
    <w:p w:rsidR="00D2657A" w:rsidRDefault="00BA6FA1">
      <w:pPr>
        <w:spacing w:line="640" w:lineRule="exact"/>
        <w:ind w:firstLine="640"/>
        <w:outlineLvl w:val="2"/>
      </w:pPr>
      <w:r>
        <w:rPr>
          <w:rFonts w:ascii="黑体" w:eastAsia="黑体" w:hAnsi="黑体"/>
        </w:rPr>
        <w:t>二、机构设置及人员情况</w:t>
      </w:r>
    </w:p>
    <w:p w:rsidR="00D2657A" w:rsidRDefault="00BA6FA1">
      <w:pPr>
        <w:spacing w:line="580" w:lineRule="exact"/>
        <w:ind w:firstLine="640"/>
      </w:pPr>
      <w:r>
        <w:rPr>
          <w:rFonts w:ascii="仿宋_GB2312" w:eastAsia="仿宋_GB2312" w:hAnsi="仿宋_GB2312"/>
        </w:rPr>
        <w:t>尉犁县园林绿化服务中心</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26</w:t>
      </w:r>
      <w:r>
        <w:rPr>
          <w:rFonts w:ascii="仿宋_GB2312" w:eastAsia="仿宋_GB2312" w:hAnsi="仿宋_GB2312"/>
        </w:rPr>
        <w:t>人，其中：在职人员</w:t>
      </w:r>
      <w:r>
        <w:rPr>
          <w:rFonts w:ascii="仿宋_GB2312" w:eastAsia="仿宋_GB2312" w:hAnsi="仿宋_GB2312"/>
        </w:rPr>
        <w:t>16</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D2657A" w:rsidRDefault="00BA6FA1">
      <w:pPr>
        <w:spacing w:line="580" w:lineRule="exact"/>
        <w:ind w:firstLine="640"/>
      </w:pPr>
      <w:r>
        <w:rPr>
          <w:rFonts w:ascii="仿宋_GB2312" w:eastAsia="仿宋_GB2312" w:hAnsi="仿宋_GB2312"/>
        </w:rPr>
        <w:t>尉犁县园林绿化服务中心无下属预算单位，下设</w:t>
      </w:r>
      <w:r>
        <w:rPr>
          <w:rFonts w:ascii="仿宋_GB2312" w:eastAsia="仿宋_GB2312" w:hAnsi="仿宋_GB2312"/>
        </w:rPr>
        <w:t>4</w:t>
      </w:r>
      <w:r>
        <w:rPr>
          <w:rFonts w:ascii="仿宋_GB2312" w:eastAsia="仿宋_GB2312" w:hAnsi="仿宋_GB2312"/>
        </w:rPr>
        <w:t>个科室，</w:t>
      </w:r>
      <w:r>
        <w:rPr>
          <w:rFonts w:ascii="仿宋_GB2312" w:eastAsia="仿宋_GB2312" w:hAnsi="仿宋_GB2312"/>
        </w:rPr>
        <w:t>分别是：行政办、财务室、园林绿化办、苗圃。</w:t>
      </w:r>
    </w:p>
    <w:p w:rsidR="00D2657A" w:rsidRDefault="00BA6FA1">
      <w:r>
        <w:br w:type="page"/>
      </w:r>
    </w:p>
    <w:p w:rsidR="00D2657A" w:rsidRDefault="00BA6FA1">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D2657A" w:rsidRDefault="00BA6FA1">
      <w:pPr>
        <w:spacing w:line="640" w:lineRule="exact"/>
        <w:ind w:firstLine="640"/>
        <w:outlineLvl w:val="2"/>
      </w:pPr>
      <w:r>
        <w:rPr>
          <w:rFonts w:ascii="黑体" w:eastAsia="黑体" w:hAnsi="黑体"/>
        </w:rPr>
        <w:t>一、收入支出决算总体情况说明</w:t>
      </w:r>
    </w:p>
    <w:p w:rsidR="00D2657A" w:rsidRDefault="00BA6FA1">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819.62</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819.62</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D2657A" w:rsidRDefault="00BA6FA1">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819.62</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819.62</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D2657A" w:rsidRDefault="00BA6FA1">
      <w:pPr>
        <w:spacing w:line="580" w:lineRule="exact"/>
        <w:ind w:firstLine="640"/>
      </w:pPr>
      <w:r>
        <w:rPr>
          <w:rFonts w:ascii="仿宋_GB2312" w:eastAsia="仿宋_GB2312" w:hAnsi="仿宋_GB2312"/>
        </w:rPr>
        <w:t>收入支出总体与上年相比，</w:t>
      </w:r>
      <w:r>
        <w:rPr>
          <w:rFonts w:ascii="仿宋_GB2312" w:eastAsia="仿宋_GB2312" w:hAnsi="仿宋_GB2312"/>
        </w:rPr>
        <w:t>减少</w:t>
      </w:r>
      <w:r>
        <w:rPr>
          <w:rFonts w:ascii="仿宋_GB2312" w:eastAsia="仿宋_GB2312" w:hAnsi="仿宋_GB2312"/>
        </w:rPr>
        <w:t>720.92</w:t>
      </w:r>
      <w:r>
        <w:rPr>
          <w:rFonts w:ascii="仿宋_GB2312" w:eastAsia="仿宋_GB2312" w:hAnsi="仿宋_GB2312"/>
        </w:rPr>
        <w:t>万元，下降</w:t>
      </w:r>
      <w:r>
        <w:rPr>
          <w:rFonts w:ascii="仿宋_GB2312" w:eastAsia="仿宋_GB2312" w:hAnsi="仿宋_GB2312"/>
        </w:rPr>
        <w:t>46.80%</w:t>
      </w:r>
      <w:r>
        <w:rPr>
          <w:rFonts w:ascii="仿宋_GB2312" w:eastAsia="仿宋_GB2312" w:hAnsi="仿宋_GB2312"/>
        </w:rPr>
        <w:t>，主要原因是：本年减少财政存量资金安排的园林绿化高洁服务费资金经费，导致其他收入较上年减少。</w:t>
      </w:r>
    </w:p>
    <w:p w:rsidR="00D2657A" w:rsidRDefault="00BA6FA1">
      <w:pPr>
        <w:spacing w:line="640" w:lineRule="exact"/>
        <w:ind w:firstLine="640"/>
        <w:outlineLvl w:val="2"/>
      </w:pPr>
      <w:r>
        <w:rPr>
          <w:rFonts w:ascii="黑体" w:eastAsia="黑体" w:hAnsi="黑体"/>
        </w:rPr>
        <w:t>二、收入决算情况说明</w:t>
      </w:r>
    </w:p>
    <w:p w:rsidR="00D2657A" w:rsidRDefault="00BA6FA1">
      <w:pPr>
        <w:spacing w:line="580" w:lineRule="exact"/>
        <w:ind w:firstLine="640"/>
      </w:pPr>
      <w:r>
        <w:rPr>
          <w:rFonts w:ascii="仿宋_GB2312" w:eastAsia="仿宋_GB2312" w:hAnsi="仿宋_GB2312"/>
          <w:b/>
        </w:rPr>
        <w:t>本年收入</w:t>
      </w:r>
      <w:r>
        <w:rPr>
          <w:rFonts w:ascii="仿宋_GB2312" w:eastAsia="仿宋_GB2312" w:hAnsi="仿宋_GB2312"/>
          <w:b/>
        </w:rPr>
        <w:t>819.62</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662.73</w:t>
      </w:r>
      <w:r>
        <w:rPr>
          <w:rFonts w:ascii="仿宋_GB2312" w:eastAsia="仿宋_GB2312" w:hAnsi="仿宋_GB2312"/>
        </w:rPr>
        <w:t>万元，占</w:t>
      </w:r>
      <w:r>
        <w:rPr>
          <w:rFonts w:ascii="仿宋_GB2312" w:eastAsia="仿宋_GB2312" w:hAnsi="仿宋_GB2312"/>
        </w:rPr>
        <w:t>80.86%</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156.90</w:t>
      </w:r>
      <w:r>
        <w:rPr>
          <w:rFonts w:ascii="仿宋_GB2312" w:eastAsia="仿宋_GB2312" w:hAnsi="仿宋_GB2312"/>
        </w:rPr>
        <w:t>万元，占</w:t>
      </w:r>
      <w:r>
        <w:rPr>
          <w:rFonts w:ascii="仿宋_GB2312" w:eastAsia="仿宋_GB2312" w:hAnsi="仿宋_GB2312"/>
        </w:rPr>
        <w:t>19.14%</w:t>
      </w:r>
      <w:r>
        <w:rPr>
          <w:rFonts w:ascii="仿宋_GB2312" w:eastAsia="仿宋_GB2312" w:hAnsi="仿宋_GB2312"/>
        </w:rPr>
        <w:t>。</w:t>
      </w:r>
    </w:p>
    <w:p w:rsidR="00D2657A" w:rsidRDefault="00BA6FA1">
      <w:pPr>
        <w:spacing w:line="640" w:lineRule="exact"/>
        <w:ind w:firstLine="640"/>
        <w:outlineLvl w:val="2"/>
      </w:pPr>
      <w:r>
        <w:rPr>
          <w:rFonts w:ascii="黑体" w:eastAsia="黑体" w:hAnsi="黑体"/>
        </w:rPr>
        <w:t>三、支出决算情况说明</w:t>
      </w:r>
    </w:p>
    <w:p w:rsidR="00D2657A" w:rsidRDefault="00BA6FA1">
      <w:pPr>
        <w:spacing w:line="580" w:lineRule="exact"/>
        <w:ind w:firstLine="640"/>
      </w:pPr>
      <w:r>
        <w:rPr>
          <w:rFonts w:ascii="仿宋_GB2312" w:eastAsia="仿宋_GB2312" w:hAnsi="仿宋_GB2312"/>
          <w:b/>
        </w:rPr>
        <w:t>本年支出</w:t>
      </w:r>
      <w:r>
        <w:rPr>
          <w:rFonts w:ascii="仿宋_GB2312" w:eastAsia="仿宋_GB2312" w:hAnsi="仿宋_GB2312"/>
          <w:b/>
        </w:rPr>
        <w:t>819.62</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251.15</w:t>
      </w:r>
      <w:r>
        <w:rPr>
          <w:rFonts w:ascii="仿宋_GB2312" w:eastAsia="仿宋_GB2312" w:hAnsi="仿宋_GB2312"/>
        </w:rPr>
        <w:t>万元，</w:t>
      </w:r>
      <w:r>
        <w:rPr>
          <w:rFonts w:ascii="仿宋_GB2312" w:eastAsia="仿宋_GB2312" w:hAnsi="仿宋_GB2312"/>
        </w:rPr>
        <w:t>占</w:t>
      </w:r>
      <w:r>
        <w:rPr>
          <w:rFonts w:ascii="仿宋_GB2312" w:eastAsia="仿宋_GB2312" w:hAnsi="仿宋_GB2312"/>
        </w:rPr>
        <w:t>30.64%</w:t>
      </w:r>
      <w:r>
        <w:rPr>
          <w:rFonts w:ascii="仿宋_GB2312" w:eastAsia="仿宋_GB2312" w:hAnsi="仿宋_GB2312"/>
        </w:rPr>
        <w:t>；项目支出</w:t>
      </w:r>
      <w:r>
        <w:rPr>
          <w:rFonts w:ascii="仿宋_GB2312" w:eastAsia="仿宋_GB2312" w:hAnsi="仿宋_GB2312"/>
        </w:rPr>
        <w:t>568.47</w:t>
      </w:r>
      <w:r>
        <w:rPr>
          <w:rFonts w:ascii="仿宋_GB2312" w:eastAsia="仿宋_GB2312" w:hAnsi="仿宋_GB2312"/>
        </w:rPr>
        <w:t>万元，占</w:t>
      </w:r>
      <w:r>
        <w:rPr>
          <w:rFonts w:ascii="仿宋_GB2312" w:eastAsia="仿宋_GB2312" w:hAnsi="仿宋_GB2312"/>
        </w:rPr>
        <w:t>69.36%</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D2657A" w:rsidRDefault="00BA6FA1">
      <w:pPr>
        <w:spacing w:line="640" w:lineRule="exact"/>
        <w:ind w:firstLine="640"/>
        <w:outlineLvl w:val="2"/>
      </w:pPr>
      <w:r>
        <w:rPr>
          <w:rFonts w:ascii="黑体" w:eastAsia="黑体" w:hAnsi="黑体"/>
        </w:rPr>
        <w:t>四、财政拨款收入支出决算总体情况说明</w:t>
      </w:r>
    </w:p>
    <w:p w:rsidR="00D2657A" w:rsidRDefault="00BA6FA1">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662.73</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662.73</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662.73</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662.73</w:t>
      </w:r>
      <w:r>
        <w:rPr>
          <w:rFonts w:ascii="仿宋_GB2312" w:eastAsia="仿宋_GB2312" w:hAnsi="仿宋_GB2312"/>
        </w:rPr>
        <w:t>万元。</w:t>
      </w:r>
    </w:p>
    <w:p w:rsidR="00D2657A" w:rsidRDefault="00BA6FA1">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394.69</w:t>
      </w:r>
      <w:r>
        <w:rPr>
          <w:rFonts w:ascii="仿宋_GB2312" w:eastAsia="仿宋_GB2312" w:hAnsi="仿宋_GB2312"/>
        </w:rPr>
        <w:t>万元，增长</w:t>
      </w:r>
      <w:r>
        <w:rPr>
          <w:rFonts w:ascii="仿宋_GB2312" w:eastAsia="仿宋_GB2312" w:hAnsi="仿宋_GB2312"/>
        </w:rPr>
        <w:t>147.25%</w:t>
      </w:r>
      <w:r>
        <w:rPr>
          <w:rFonts w:ascii="仿宋_GB2312" w:eastAsia="仿宋_GB2312" w:hAnsi="仿宋_GB2312"/>
        </w:rPr>
        <w:t>，主要原因是：本年财政拨款收支总体较上年相比增加园林绿化新增绿地面积高洁服务费项目资金。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265.86</w:t>
      </w:r>
      <w:r>
        <w:rPr>
          <w:rFonts w:ascii="仿宋_GB2312" w:eastAsia="仿宋_GB2312" w:hAnsi="仿宋_GB2312"/>
        </w:rPr>
        <w:t>万元，决算数</w:t>
      </w:r>
      <w:r>
        <w:rPr>
          <w:rFonts w:ascii="仿宋_GB2312" w:eastAsia="仿宋_GB2312" w:hAnsi="仿宋_GB2312"/>
        </w:rPr>
        <w:t>662.73</w:t>
      </w:r>
      <w:r>
        <w:rPr>
          <w:rFonts w:ascii="仿宋_GB2312" w:eastAsia="仿宋_GB2312" w:hAnsi="仿宋_GB2312"/>
        </w:rPr>
        <w:t>万元，预决算差异率</w:t>
      </w:r>
      <w:r>
        <w:rPr>
          <w:rFonts w:ascii="仿宋_GB2312" w:eastAsia="仿宋_GB2312" w:hAnsi="仿宋_GB2312"/>
        </w:rPr>
        <w:t>149.28%</w:t>
      </w:r>
      <w:r>
        <w:rPr>
          <w:rFonts w:ascii="仿宋_GB2312" w:eastAsia="仿宋_GB2312" w:hAnsi="仿宋_GB2312"/>
        </w:rPr>
        <w:t>，主要原因是：年中追加园林绿化新增绿地面积高洁服务费项目资金。</w:t>
      </w:r>
    </w:p>
    <w:p w:rsidR="00D2657A" w:rsidRDefault="00BA6FA1">
      <w:pPr>
        <w:spacing w:line="640" w:lineRule="exact"/>
        <w:ind w:firstLine="640"/>
        <w:outlineLvl w:val="2"/>
      </w:pPr>
      <w:r>
        <w:rPr>
          <w:rFonts w:ascii="黑体" w:eastAsia="黑体" w:hAnsi="黑体"/>
        </w:rPr>
        <w:t>五、一般公共预算财政拨款支出决算情况说明</w:t>
      </w:r>
    </w:p>
    <w:p w:rsidR="00D2657A" w:rsidRDefault="00BA6FA1">
      <w:pPr>
        <w:spacing w:line="640" w:lineRule="exact"/>
        <w:ind w:firstLine="640"/>
        <w:outlineLvl w:val="3"/>
      </w:pPr>
      <w:r>
        <w:rPr>
          <w:rFonts w:ascii="楷体_GB2312" w:eastAsia="楷体_GB2312" w:hAnsi="楷体_GB2312"/>
          <w:b/>
        </w:rPr>
        <w:t>（一）一般公共预算财政拨款支出决算总体情况</w:t>
      </w:r>
    </w:p>
    <w:p w:rsidR="00D2657A" w:rsidRDefault="00BA6FA1">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653.95</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79.79%</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385.91</w:t>
      </w:r>
      <w:r>
        <w:rPr>
          <w:rFonts w:ascii="仿宋_GB2312" w:eastAsia="仿宋_GB2312" w:hAnsi="仿宋_GB2312"/>
        </w:rPr>
        <w:t>万元，增长</w:t>
      </w:r>
      <w:r>
        <w:rPr>
          <w:rFonts w:ascii="仿宋_GB2312" w:eastAsia="仿宋_GB2312" w:hAnsi="仿宋_GB2312"/>
        </w:rPr>
        <w:t>143.97%</w:t>
      </w:r>
      <w:r>
        <w:rPr>
          <w:rFonts w:ascii="仿宋_GB2312" w:eastAsia="仿宋_GB2312" w:hAnsi="仿宋_GB2312"/>
        </w:rPr>
        <w:t>，主要原因是：本年增加园林绿化</w:t>
      </w:r>
      <w:r>
        <w:rPr>
          <w:rFonts w:ascii="仿宋_GB2312" w:eastAsia="仿宋_GB2312" w:hAnsi="仿宋_GB2312"/>
        </w:rPr>
        <w:t>新增绿地面积高洁服务费项目支出资金。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265.86</w:t>
      </w:r>
      <w:r>
        <w:rPr>
          <w:rFonts w:ascii="仿宋_GB2312" w:eastAsia="仿宋_GB2312" w:hAnsi="仿宋_GB2312"/>
        </w:rPr>
        <w:t>万元，决算数</w:t>
      </w:r>
      <w:r>
        <w:rPr>
          <w:rFonts w:ascii="仿宋_GB2312" w:eastAsia="仿宋_GB2312" w:hAnsi="仿宋_GB2312"/>
        </w:rPr>
        <w:t>653.95</w:t>
      </w:r>
      <w:r>
        <w:rPr>
          <w:rFonts w:ascii="仿宋_GB2312" w:eastAsia="仿宋_GB2312" w:hAnsi="仿宋_GB2312"/>
        </w:rPr>
        <w:t>万元，预决算差异率</w:t>
      </w:r>
      <w:r>
        <w:rPr>
          <w:rFonts w:ascii="仿宋_GB2312" w:eastAsia="仿宋_GB2312" w:hAnsi="仿宋_GB2312"/>
        </w:rPr>
        <w:t>145.98%</w:t>
      </w:r>
      <w:r>
        <w:rPr>
          <w:rFonts w:ascii="仿宋_GB2312" w:eastAsia="仿宋_GB2312" w:hAnsi="仿宋_GB2312"/>
        </w:rPr>
        <w:t>，主要原因是：年中追加园林绿化新增绿地面积高洁服务费项目资金。</w:t>
      </w:r>
    </w:p>
    <w:p w:rsidR="00D2657A" w:rsidRDefault="00BA6FA1">
      <w:pPr>
        <w:spacing w:line="640" w:lineRule="exact"/>
        <w:ind w:firstLine="640"/>
        <w:outlineLvl w:val="3"/>
      </w:pPr>
      <w:r>
        <w:rPr>
          <w:rFonts w:ascii="楷体_GB2312" w:eastAsia="楷体_GB2312" w:hAnsi="楷体_GB2312"/>
          <w:b/>
        </w:rPr>
        <w:t>（二）一般公共预算财政拨款支出决算结构情况</w:t>
      </w:r>
    </w:p>
    <w:p w:rsidR="00D2657A" w:rsidRDefault="00BA6FA1">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)0.06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0.009%</w:t>
      </w:r>
      <w:r>
        <w:rPr>
          <w:rFonts w:ascii="仿宋_GB2312" w:eastAsia="仿宋_GB2312" w:hAnsi="仿宋_GB2312"/>
        </w:rPr>
        <w:t>。</w:t>
      </w:r>
    </w:p>
    <w:p w:rsidR="00D2657A" w:rsidRDefault="00BA6FA1">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)400.07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61.18%</w:t>
      </w:r>
      <w:r>
        <w:rPr>
          <w:rFonts w:ascii="仿宋_GB2312" w:eastAsia="仿宋_GB2312" w:hAnsi="仿宋_GB2312"/>
        </w:rPr>
        <w:t>。</w:t>
      </w:r>
    </w:p>
    <w:p w:rsidR="00D2657A" w:rsidRDefault="00BA6FA1">
      <w:pPr>
        <w:spacing w:line="580" w:lineRule="exact"/>
        <w:ind w:firstLine="640"/>
      </w:pPr>
      <w:r>
        <w:rPr>
          <w:rFonts w:ascii="仿宋_GB2312" w:eastAsia="仿宋_GB2312" w:hAnsi="仿宋_GB2312"/>
        </w:rPr>
        <w:lastRenderedPageBreak/>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0.32%</w:t>
      </w:r>
      <w:r>
        <w:rPr>
          <w:rFonts w:ascii="仿宋_GB2312" w:eastAsia="仿宋_GB2312" w:hAnsi="仿宋_GB2312"/>
        </w:rPr>
        <w:t>。</w:t>
      </w:r>
    </w:p>
    <w:p w:rsidR="00D2657A" w:rsidRDefault="00BA6FA1">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)32.12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4.91%</w:t>
      </w:r>
      <w:r>
        <w:rPr>
          <w:rFonts w:ascii="仿宋_GB2312" w:eastAsia="仿宋_GB2312" w:hAnsi="仿宋_GB2312"/>
        </w:rPr>
        <w:t>。</w:t>
      </w:r>
    </w:p>
    <w:p w:rsidR="00D2657A" w:rsidRDefault="00BA6FA1">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)12.88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1.97%</w:t>
      </w:r>
      <w:r>
        <w:rPr>
          <w:rFonts w:ascii="仿宋_GB2312" w:eastAsia="仿宋_GB2312" w:hAnsi="仿宋_GB2312"/>
        </w:rPr>
        <w:t>。</w:t>
      </w:r>
    </w:p>
    <w:p w:rsidR="00D2657A" w:rsidRDefault="00BA6FA1">
      <w:pPr>
        <w:spacing w:line="580" w:lineRule="exact"/>
        <w:ind w:firstLine="640"/>
      </w:pPr>
      <w:r>
        <w:rPr>
          <w:rFonts w:ascii="仿宋_GB2312" w:eastAsia="仿宋_GB2312" w:hAnsi="仿宋_GB2312"/>
        </w:rPr>
        <w:t>6.</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)186.27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28.48%</w:t>
      </w:r>
      <w:r>
        <w:rPr>
          <w:rFonts w:ascii="仿宋_GB2312" w:eastAsia="仿宋_GB2312" w:hAnsi="仿宋_GB2312"/>
        </w:rPr>
        <w:t>。</w:t>
      </w:r>
    </w:p>
    <w:p w:rsidR="00D2657A" w:rsidRDefault="00BA6FA1">
      <w:pPr>
        <w:spacing w:line="580" w:lineRule="exact"/>
        <w:ind w:firstLine="640"/>
      </w:pPr>
      <w:r>
        <w:rPr>
          <w:rFonts w:ascii="仿宋_GB2312" w:eastAsia="仿宋_GB2312" w:hAnsi="仿宋_GB2312"/>
        </w:rPr>
        <w:t>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)20.47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3.13%</w:t>
      </w:r>
      <w:r>
        <w:rPr>
          <w:rFonts w:ascii="仿宋_GB2312" w:eastAsia="仿宋_GB2312" w:hAnsi="仿宋_GB2312"/>
        </w:rPr>
        <w:t>。</w:t>
      </w:r>
    </w:p>
    <w:p w:rsidR="00D2657A" w:rsidRDefault="00BA6FA1">
      <w:pPr>
        <w:spacing w:line="640" w:lineRule="exact"/>
        <w:ind w:firstLine="640"/>
        <w:outlineLvl w:val="3"/>
      </w:pPr>
      <w:r>
        <w:rPr>
          <w:rFonts w:ascii="楷体_GB2312" w:eastAsia="楷体_GB2312" w:hAnsi="楷体_GB2312"/>
          <w:b/>
        </w:rPr>
        <w:t>（三）一般公共预算财政拨款支出决算具体情况</w:t>
      </w:r>
    </w:p>
    <w:p w:rsidR="00D2657A" w:rsidRDefault="00BA6FA1">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0.06</w:t>
      </w:r>
      <w:r>
        <w:rPr>
          <w:rFonts w:ascii="仿宋_GB2312" w:eastAsia="仿宋_GB2312" w:hAnsi="仿宋_GB2312"/>
        </w:rPr>
        <w:t>万元，比上年决算增加</w:t>
      </w:r>
      <w:r>
        <w:rPr>
          <w:rFonts w:ascii="仿宋_GB2312" w:eastAsia="仿宋_GB2312" w:hAnsi="仿宋_GB2312"/>
        </w:rPr>
        <w:t>0.06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主要原因是：本年增加退休干部慰问支出。</w:t>
      </w:r>
    </w:p>
    <w:p w:rsidR="00D2657A" w:rsidRDefault="00BA6FA1">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0.07</w:t>
      </w:r>
      <w:r>
        <w:rPr>
          <w:rFonts w:ascii="仿宋_GB2312" w:eastAsia="仿宋_GB2312" w:hAnsi="仿宋_GB2312"/>
        </w:rPr>
        <w:t>万元，比上年决算减少</w:t>
      </w:r>
      <w:r>
        <w:rPr>
          <w:rFonts w:ascii="仿宋_GB2312" w:eastAsia="仿宋_GB2312" w:hAnsi="仿宋_GB2312"/>
        </w:rPr>
        <w:t>0.13</w:t>
      </w:r>
      <w:r>
        <w:rPr>
          <w:rFonts w:ascii="仿宋_GB2312" w:eastAsia="仿宋_GB2312" w:hAnsi="仿宋_GB2312"/>
        </w:rPr>
        <w:t>万元，下降</w:t>
      </w:r>
      <w:r>
        <w:rPr>
          <w:rFonts w:ascii="仿宋_GB2312" w:eastAsia="仿宋_GB2312" w:hAnsi="仿宋_GB2312"/>
        </w:rPr>
        <w:t>65.00%,</w:t>
      </w:r>
      <w:r>
        <w:rPr>
          <w:rFonts w:ascii="仿宋_GB2312" w:eastAsia="仿宋_GB2312" w:hAnsi="仿宋_GB2312"/>
        </w:rPr>
        <w:t>主</w:t>
      </w:r>
      <w:r>
        <w:rPr>
          <w:rFonts w:ascii="仿宋_GB2312" w:eastAsia="仿宋_GB2312" w:hAnsi="仿宋_GB2312"/>
        </w:rPr>
        <w:t>要原因是：本年单位职工外出培训减少，培训费下降。</w:t>
      </w:r>
    </w:p>
    <w:p w:rsidR="00D2657A" w:rsidRDefault="00BA6FA1">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400.00</w:t>
      </w:r>
      <w:r>
        <w:rPr>
          <w:rFonts w:ascii="仿宋_GB2312" w:eastAsia="仿宋_GB2312" w:hAnsi="仿宋_GB2312"/>
        </w:rPr>
        <w:t>万元，比上年决算增加</w:t>
      </w:r>
      <w:r>
        <w:rPr>
          <w:rFonts w:ascii="仿宋_GB2312" w:eastAsia="仿宋_GB2312" w:hAnsi="仿宋_GB2312"/>
        </w:rPr>
        <w:t>400.00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主要原因是：本年增加园林绿化新增绿地面积高洁服务费项目支出。</w:t>
      </w:r>
    </w:p>
    <w:p w:rsidR="00D2657A" w:rsidRDefault="00BA6FA1">
      <w:pPr>
        <w:spacing w:line="580" w:lineRule="exact"/>
        <w:ind w:firstLine="640"/>
      </w:pPr>
      <w:r>
        <w:rPr>
          <w:rFonts w:ascii="仿宋_GB2312" w:eastAsia="仿宋_GB2312" w:hAnsi="仿宋_GB2312"/>
        </w:rPr>
        <w:t>4.</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2.08</w:t>
      </w:r>
      <w:r>
        <w:rPr>
          <w:rFonts w:ascii="仿宋_GB2312" w:eastAsia="仿宋_GB2312" w:hAnsi="仿宋_GB2312"/>
        </w:rPr>
        <w:t>万元，比上年决算增加</w:t>
      </w:r>
      <w:r>
        <w:rPr>
          <w:rFonts w:ascii="仿宋_GB2312" w:eastAsia="仿宋_GB2312" w:hAnsi="仿宋_GB2312"/>
        </w:rPr>
        <w:t>2.08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主要原因是：本年增加园林绿化用水机电井安装计量设施费支出。</w:t>
      </w:r>
    </w:p>
    <w:p w:rsidR="00D2657A" w:rsidRDefault="00BA6FA1">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w:t>
      </w:r>
      <w:r>
        <w:rPr>
          <w:rFonts w:ascii="仿宋_GB2312" w:eastAsia="仿宋_GB2312" w:hAnsi="仿宋_GB2312"/>
        </w:rPr>
        <w:lastRenderedPageBreak/>
        <w:t>单</w:t>
      </w:r>
      <w:r>
        <w:rPr>
          <w:rFonts w:ascii="仿宋_GB2312" w:eastAsia="仿宋_GB2312" w:hAnsi="仿宋_GB2312"/>
        </w:rPr>
        <w:t>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7.10</w:t>
      </w:r>
      <w:r>
        <w:rPr>
          <w:rFonts w:ascii="仿宋_GB2312" w:eastAsia="仿宋_GB2312" w:hAnsi="仿宋_GB2312"/>
        </w:rPr>
        <w:t>万元，比上年决算增加</w:t>
      </w:r>
      <w:r>
        <w:rPr>
          <w:rFonts w:ascii="仿宋_GB2312" w:eastAsia="仿宋_GB2312" w:hAnsi="仿宋_GB2312"/>
        </w:rPr>
        <w:t>1.50</w:t>
      </w:r>
      <w:r>
        <w:rPr>
          <w:rFonts w:ascii="仿宋_GB2312" w:eastAsia="仿宋_GB2312" w:hAnsi="仿宋_GB2312"/>
        </w:rPr>
        <w:t>万元，增长</w:t>
      </w:r>
      <w:r>
        <w:rPr>
          <w:rFonts w:ascii="仿宋_GB2312" w:eastAsia="仿宋_GB2312" w:hAnsi="仿宋_GB2312"/>
        </w:rPr>
        <w:t>26.79%,</w:t>
      </w:r>
      <w:r>
        <w:rPr>
          <w:rFonts w:ascii="仿宋_GB2312" w:eastAsia="仿宋_GB2312" w:hAnsi="仿宋_GB2312"/>
        </w:rPr>
        <w:t>主要原因是：本年增加退休人员基础绩效奖，退休费支出增加。</w:t>
      </w:r>
    </w:p>
    <w:p w:rsidR="00D2657A" w:rsidRDefault="00BA6FA1">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25.03</w:t>
      </w:r>
      <w:r>
        <w:rPr>
          <w:rFonts w:ascii="仿宋_GB2312" w:eastAsia="仿宋_GB2312" w:hAnsi="仿宋_GB2312"/>
        </w:rPr>
        <w:t>万元，比上年决算增加</w:t>
      </w:r>
      <w:r>
        <w:rPr>
          <w:rFonts w:ascii="仿宋_GB2312" w:eastAsia="仿宋_GB2312" w:hAnsi="仿宋_GB2312"/>
        </w:rPr>
        <w:t>0.82</w:t>
      </w:r>
      <w:r>
        <w:rPr>
          <w:rFonts w:ascii="仿宋_GB2312" w:eastAsia="仿宋_GB2312" w:hAnsi="仿宋_GB2312"/>
        </w:rPr>
        <w:t>万元，增长</w:t>
      </w:r>
      <w:r>
        <w:rPr>
          <w:rFonts w:ascii="仿宋_GB2312" w:eastAsia="仿宋_GB2312" w:hAnsi="仿宋_GB2312"/>
        </w:rPr>
        <w:t>3.39%,</w:t>
      </w:r>
      <w:r>
        <w:rPr>
          <w:rFonts w:ascii="仿宋_GB2312" w:eastAsia="仿宋_GB2312" w:hAnsi="仿宋_GB2312"/>
        </w:rPr>
        <w:t>主要原因是：本年在职人员工资基数调增，养老缴费基数上涨，相应支出增加。</w:t>
      </w:r>
    </w:p>
    <w:p w:rsidR="00D2657A" w:rsidRDefault="00BA6FA1">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w:t>
      </w:r>
      <w:r>
        <w:rPr>
          <w:rFonts w:ascii="仿宋_GB2312" w:eastAsia="仿宋_GB2312" w:hAnsi="仿宋_GB2312"/>
        </w:rPr>
        <w:t>少</w:t>
      </w:r>
      <w:r>
        <w:rPr>
          <w:rFonts w:ascii="仿宋_GB2312" w:eastAsia="仿宋_GB2312" w:hAnsi="仿宋_GB2312"/>
        </w:rPr>
        <w:t>6.57</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主要原因是：本年新增退休人员较上年减少，职业年金缴费较上年减少。</w:t>
      </w:r>
    </w:p>
    <w:p w:rsidR="00D2657A" w:rsidRDefault="00BA6FA1">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12.88</w:t>
      </w:r>
      <w:r>
        <w:rPr>
          <w:rFonts w:ascii="仿宋_GB2312" w:eastAsia="仿宋_GB2312" w:hAnsi="仿宋_GB2312"/>
        </w:rPr>
        <w:t>万元，比上年决算增加</w:t>
      </w:r>
      <w:r>
        <w:rPr>
          <w:rFonts w:ascii="仿宋_GB2312" w:eastAsia="仿宋_GB2312" w:hAnsi="仿宋_GB2312"/>
        </w:rPr>
        <w:t>1.30</w:t>
      </w:r>
      <w:r>
        <w:rPr>
          <w:rFonts w:ascii="仿宋_GB2312" w:eastAsia="仿宋_GB2312" w:hAnsi="仿宋_GB2312"/>
        </w:rPr>
        <w:t>万元，增长</w:t>
      </w:r>
      <w:r>
        <w:rPr>
          <w:rFonts w:ascii="仿宋_GB2312" w:eastAsia="仿宋_GB2312" w:hAnsi="仿宋_GB2312"/>
        </w:rPr>
        <w:t>11.23%,</w:t>
      </w:r>
      <w:r>
        <w:rPr>
          <w:rFonts w:ascii="仿宋_GB2312" w:eastAsia="仿宋_GB2312" w:hAnsi="仿宋_GB2312"/>
        </w:rPr>
        <w:t>主要原因是：本年在职人员工资基数调增，医疗缴费基数上涨，相应支出增加。</w:t>
      </w:r>
    </w:p>
    <w:p w:rsidR="00D2657A" w:rsidRDefault="00BA6FA1">
      <w:pPr>
        <w:spacing w:line="580" w:lineRule="exact"/>
        <w:ind w:firstLine="640"/>
      </w:pPr>
      <w:r>
        <w:rPr>
          <w:rFonts w:ascii="仿宋_GB2312" w:eastAsia="仿宋_GB2312" w:hAnsi="仿宋_GB2312"/>
        </w:rPr>
        <w:t>9.</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城乡社区环境卫生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城乡社区环境卫生</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186.27</w:t>
      </w:r>
      <w:r>
        <w:rPr>
          <w:rFonts w:ascii="仿宋_GB2312" w:eastAsia="仿宋_GB2312" w:hAnsi="仿宋_GB2312"/>
        </w:rPr>
        <w:t>万元，比上年决算减少</w:t>
      </w:r>
      <w:r>
        <w:rPr>
          <w:rFonts w:ascii="仿宋_GB2312" w:eastAsia="仿宋_GB2312" w:hAnsi="仿宋_GB2312"/>
        </w:rPr>
        <w:t>15.36</w:t>
      </w:r>
      <w:r>
        <w:rPr>
          <w:rFonts w:ascii="仿宋_GB2312" w:eastAsia="仿宋_GB2312" w:hAnsi="仿宋_GB2312"/>
        </w:rPr>
        <w:t>万元，下降</w:t>
      </w:r>
      <w:r>
        <w:rPr>
          <w:rFonts w:ascii="仿宋_GB2312" w:eastAsia="仿宋_GB2312" w:hAnsi="仿宋_GB2312"/>
        </w:rPr>
        <w:t>7.62%,</w:t>
      </w:r>
      <w:r>
        <w:rPr>
          <w:rFonts w:ascii="仿宋_GB2312" w:eastAsia="仿宋_GB2312" w:hAnsi="仿宋_GB2312"/>
        </w:rPr>
        <w:t>主要原因是：本年较上年减少园林绿化高洁服务费项目支出。</w:t>
      </w:r>
    </w:p>
    <w:p w:rsidR="00D2657A" w:rsidRDefault="00BA6FA1">
      <w:pPr>
        <w:spacing w:line="580" w:lineRule="exact"/>
        <w:ind w:firstLine="640"/>
      </w:pPr>
      <w:r>
        <w:rPr>
          <w:rFonts w:ascii="仿宋_GB2312" w:eastAsia="仿宋_GB2312" w:hAnsi="仿宋_GB2312"/>
        </w:rPr>
        <w:t>10.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20.47</w:t>
      </w:r>
      <w:r>
        <w:rPr>
          <w:rFonts w:ascii="仿宋_GB2312" w:eastAsia="仿宋_GB2312" w:hAnsi="仿宋_GB2312"/>
        </w:rPr>
        <w:t>万元，比上年决算增加</w:t>
      </w:r>
      <w:r>
        <w:rPr>
          <w:rFonts w:ascii="仿宋_GB2312" w:eastAsia="仿宋_GB2312" w:hAnsi="仿宋_GB2312"/>
        </w:rPr>
        <w:t>2.22</w:t>
      </w:r>
      <w:r>
        <w:rPr>
          <w:rFonts w:ascii="仿宋_GB2312" w:eastAsia="仿宋_GB2312" w:hAnsi="仿宋_GB2312"/>
        </w:rPr>
        <w:t>万元，增长</w:t>
      </w:r>
      <w:r>
        <w:rPr>
          <w:rFonts w:ascii="仿宋_GB2312" w:eastAsia="仿宋_GB2312" w:hAnsi="仿宋_GB2312"/>
        </w:rPr>
        <w:t>12.16%,</w:t>
      </w:r>
      <w:r>
        <w:rPr>
          <w:rFonts w:ascii="仿宋_GB2312" w:eastAsia="仿宋_GB2312" w:hAnsi="仿宋_GB2312"/>
        </w:rPr>
        <w:lastRenderedPageBreak/>
        <w:t>主要原因是：本年在职人员工资基数调增，公积金缴费基数上涨，相应支出增加。</w:t>
      </w:r>
    </w:p>
    <w:p w:rsidR="00D2657A" w:rsidRDefault="00BA6FA1">
      <w:pPr>
        <w:spacing w:line="640" w:lineRule="exact"/>
        <w:ind w:firstLine="640"/>
        <w:outlineLvl w:val="2"/>
      </w:pPr>
      <w:r>
        <w:rPr>
          <w:rFonts w:ascii="黑体" w:eastAsia="黑体" w:hAnsi="黑体"/>
        </w:rPr>
        <w:t>六、一般公共预算财政拨款基本支出决算情况说明</w:t>
      </w:r>
    </w:p>
    <w:p w:rsidR="00D2657A" w:rsidRDefault="00BA6FA1">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251.15</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244.16</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包括：基本工资、津贴补贴、奖金、机关事业单位基本养老保险缴费、职工基本医疗保险缴费、其他社会保障缴费、住房公积金、医疗费、退休费、奖励金。</w:t>
      </w:r>
    </w:p>
    <w:p w:rsidR="00D2657A" w:rsidRDefault="00BA6FA1">
      <w:pPr>
        <w:spacing w:line="580" w:lineRule="exact"/>
        <w:ind w:firstLine="640"/>
      </w:pPr>
      <w:r>
        <w:rPr>
          <w:rFonts w:ascii="仿宋_GB2312" w:eastAsia="仿宋_GB2312" w:hAnsi="仿宋_GB2312"/>
          <w:b/>
        </w:rPr>
        <w:t>公用经费</w:t>
      </w:r>
      <w:r>
        <w:rPr>
          <w:rFonts w:ascii="仿宋_GB2312" w:eastAsia="仿宋_GB2312" w:hAnsi="仿宋_GB2312"/>
          <w:b/>
        </w:rPr>
        <w:t>6.99</w:t>
      </w:r>
      <w:r>
        <w:rPr>
          <w:rFonts w:ascii="仿宋_GB2312" w:eastAsia="仿宋_GB2312" w:hAnsi="仿宋_GB2312"/>
          <w:b/>
        </w:rPr>
        <w:t>万元，</w:t>
      </w:r>
      <w:r>
        <w:rPr>
          <w:rFonts w:ascii="仿宋_GB2312" w:eastAsia="仿宋_GB2312" w:hAnsi="仿宋_GB2312"/>
        </w:rPr>
        <w:t>包括：办公费、邮电费、培训费、工会经费、福利费、公务用车运行维护费、其他商品和服务支出。</w:t>
      </w:r>
    </w:p>
    <w:p w:rsidR="00D2657A" w:rsidRDefault="00BA6FA1">
      <w:pPr>
        <w:spacing w:line="640" w:lineRule="exact"/>
        <w:ind w:firstLine="640"/>
        <w:outlineLvl w:val="2"/>
      </w:pPr>
      <w:r>
        <w:rPr>
          <w:rFonts w:ascii="黑体" w:eastAsia="黑体" w:hAnsi="黑体"/>
        </w:rPr>
        <w:t>七、政府性基金预算财政拨款收入支出决算情况说明</w:t>
      </w:r>
    </w:p>
    <w:p w:rsidR="00D2657A" w:rsidRDefault="00BA6FA1">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8.78</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8.78</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8.78</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8.78</w:t>
      </w:r>
      <w:r>
        <w:rPr>
          <w:rFonts w:ascii="仿宋_GB2312" w:eastAsia="仿宋_GB2312" w:hAnsi="仿宋_GB2312"/>
        </w:rPr>
        <w:t>万元。</w:t>
      </w:r>
    </w:p>
    <w:p w:rsidR="00D2657A" w:rsidRDefault="00BA6FA1">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8.78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，主要原因是：本年增加兴平风景带项目前期费支出。</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万元，决算数</w:t>
      </w:r>
      <w:r>
        <w:rPr>
          <w:rFonts w:ascii="仿宋_GB2312" w:eastAsia="仿宋_GB2312" w:hAnsi="仿宋_GB2312"/>
        </w:rPr>
        <w:t>8.78</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，主要原因是：年中追加兴平风景带项目前期费支出。</w:t>
      </w:r>
    </w:p>
    <w:p w:rsidR="00D2657A" w:rsidRDefault="00BA6FA1">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8.78</w:t>
      </w:r>
      <w:r>
        <w:rPr>
          <w:rFonts w:ascii="仿宋_GB2312" w:eastAsia="仿宋_GB2312" w:hAnsi="仿宋_GB2312"/>
        </w:rPr>
        <w:t>万元。</w:t>
      </w:r>
    </w:p>
    <w:p w:rsidR="00D2657A" w:rsidRDefault="00BA6FA1">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lastRenderedPageBreak/>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农业农村生态环境支出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8.78</w:t>
      </w:r>
      <w:r>
        <w:rPr>
          <w:rFonts w:ascii="仿宋_GB2312" w:eastAsia="仿宋_GB2312" w:hAnsi="仿宋_GB2312"/>
        </w:rPr>
        <w:t>万元，比上年决算增加</w:t>
      </w:r>
      <w:r>
        <w:rPr>
          <w:rFonts w:ascii="仿宋_GB2312" w:eastAsia="仿宋_GB2312" w:hAnsi="仿宋_GB2312"/>
        </w:rPr>
        <w:t>8.78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主要原因是：本年增加兴平风景带项目前期费支出。</w:t>
      </w:r>
    </w:p>
    <w:p w:rsidR="00D2657A" w:rsidRDefault="00BA6FA1">
      <w:pPr>
        <w:spacing w:line="640" w:lineRule="exact"/>
        <w:ind w:firstLine="640"/>
        <w:outlineLvl w:val="2"/>
      </w:pPr>
      <w:r>
        <w:rPr>
          <w:rFonts w:ascii="黑体" w:eastAsia="黑体" w:hAnsi="黑体"/>
        </w:rPr>
        <w:t>八、国有资本经营预算财政拨款收入支出决算情况说明</w:t>
      </w:r>
    </w:p>
    <w:p w:rsidR="00D2657A" w:rsidRDefault="00BA6FA1">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D2657A" w:rsidRDefault="00BA6FA1">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D2657A" w:rsidRDefault="00BA6FA1">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0.59</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0.09</w:t>
      </w:r>
      <w:r>
        <w:rPr>
          <w:rFonts w:ascii="仿宋_GB2312" w:eastAsia="仿宋_GB2312" w:hAnsi="仿宋_GB2312"/>
        </w:rPr>
        <w:t>万元，下降</w:t>
      </w:r>
      <w:r>
        <w:rPr>
          <w:rFonts w:ascii="仿宋_GB2312" w:eastAsia="仿宋_GB2312" w:hAnsi="仿宋_GB2312"/>
        </w:rPr>
        <w:t>13.24%</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0.59</w:t>
      </w:r>
      <w:r>
        <w:rPr>
          <w:rFonts w:ascii="仿宋_GB2312" w:eastAsia="仿宋_GB2312" w:hAnsi="仿宋_GB2312"/>
        </w:rPr>
        <w:t>万</w:t>
      </w:r>
      <w:r>
        <w:rPr>
          <w:rFonts w:ascii="仿宋_GB2312" w:eastAsia="仿宋_GB2312" w:hAnsi="仿宋_GB2312"/>
        </w:rPr>
        <w:t>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0.09</w:t>
      </w:r>
      <w:r>
        <w:rPr>
          <w:rFonts w:ascii="仿宋_GB2312" w:eastAsia="仿宋_GB2312" w:hAnsi="仿宋_GB2312"/>
        </w:rPr>
        <w:t>万元，下降</w:t>
      </w:r>
      <w:r>
        <w:rPr>
          <w:rFonts w:ascii="仿宋_GB2312" w:eastAsia="仿宋_GB2312" w:hAnsi="仿宋_GB2312"/>
        </w:rPr>
        <w:t>13.24%</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D2657A" w:rsidRDefault="00BA6FA1">
      <w:pPr>
        <w:spacing w:line="580" w:lineRule="exact"/>
        <w:ind w:firstLine="640"/>
      </w:pPr>
      <w:r>
        <w:rPr>
          <w:rFonts w:ascii="仿宋_GB2312" w:eastAsia="仿宋_GB2312" w:hAnsi="仿宋_GB2312"/>
          <w:b/>
        </w:rPr>
        <w:t>具体情况如下：</w:t>
      </w:r>
    </w:p>
    <w:p w:rsidR="00D2657A" w:rsidRDefault="00BA6FA1">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D2657A" w:rsidRDefault="00BA6FA1">
      <w:pPr>
        <w:spacing w:line="580" w:lineRule="exact"/>
        <w:ind w:firstLine="640"/>
      </w:pPr>
      <w:r>
        <w:rPr>
          <w:rFonts w:ascii="仿宋_GB2312" w:eastAsia="仿宋_GB2312" w:hAnsi="仿宋_GB2312"/>
        </w:rPr>
        <w:lastRenderedPageBreak/>
        <w:t>公务用车购置及运行维护费</w:t>
      </w:r>
      <w:r>
        <w:rPr>
          <w:rFonts w:ascii="仿宋_GB2312" w:eastAsia="仿宋_GB2312" w:hAnsi="仿宋_GB2312"/>
        </w:rPr>
        <w:t>0.59</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w:t>
      </w:r>
      <w:r>
        <w:rPr>
          <w:rFonts w:ascii="仿宋_GB2312" w:eastAsia="仿宋_GB2312" w:hAnsi="仿宋_GB2312"/>
        </w:rPr>
        <w:t>维护费</w:t>
      </w:r>
      <w:r>
        <w:rPr>
          <w:rFonts w:ascii="仿宋_GB2312" w:eastAsia="仿宋_GB2312" w:hAnsi="仿宋_GB2312"/>
        </w:rPr>
        <w:t>0.59</w:t>
      </w:r>
      <w:r>
        <w:rPr>
          <w:rFonts w:ascii="仿宋_GB2312" w:eastAsia="仿宋_GB2312" w:hAnsi="仿宋_GB2312"/>
        </w:rPr>
        <w:t>万元。公务用车运行维护费开支内容包括车辆燃油费、车辆保险费、车辆审验费、车辆维修费。公务用车购置数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4</w:t>
      </w:r>
      <w:r>
        <w:rPr>
          <w:rFonts w:ascii="仿宋_GB2312" w:eastAsia="仿宋_GB2312" w:hAnsi="仿宋_GB2312"/>
        </w:rPr>
        <w:t>辆。国有资产占用情况中固定资产车辆</w:t>
      </w:r>
      <w:r>
        <w:rPr>
          <w:rFonts w:ascii="仿宋_GB2312" w:eastAsia="仿宋_GB2312" w:hAnsi="仿宋_GB2312"/>
        </w:rPr>
        <w:t>4</w:t>
      </w:r>
      <w:r>
        <w:rPr>
          <w:rFonts w:ascii="仿宋_GB2312" w:eastAsia="仿宋_GB2312" w:hAnsi="仿宋_GB2312"/>
        </w:rPr>
        <w:t>辆，与公务用车保有量差异原因是：本单位固定资产车辆与公务用车保有量一致无差异。</w:t>
      </w:r>
    </w:p>
    <w:p w:rsidR="00D2657A" w:rsidRDefault="00BA6FA1">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D2657A" w:rsidRDefault="00BA6FA1">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0.80</w:t>
      </w:r>
      <w:r>
        <w:rPr>
          <w:rFonts w:ascii="仿宋_GB2312" w:eastAsia="仿宋_GB2312" w:hAnsi="仿宋_GB2312"/>
        </w:rPr>
        <w:t>万元，决算数</w:t>
      </w:r>
      <w:r>
        <w:rPr>
          <w:rFonts w:ascii="仿宋_GB2312" w:eastAsia="仿宋_GB2312" w:hAnsi="仿宋_GB2312"/>
        </w:rPr>
        <w:t>0.59</w:t>
      </w:r>
      <w:r>
        <w:rPr>
          <w:rFonts w:ascii="仿宋_GB2312" w:eastAsia="仿宋_GB2312" w:hAnsi="仿宋_GB2312"/>
        </w:rPr>
        <w:t>万元，预决算差异率</w:t>
      </w:r>
      <w:r>
        <w:rPr>
          <w:rFonts w:ascii="仿宋_GB2312" w:eastAsia="仿宋_GB2312" w:hAnsi="仿宋_GB2312"/>
        </w:rPr>
        <w:t>-26.25%</w:t>
      </w:r>
      <w:r>
        <w:rPr>
          <w:rFonts w:ascii="仿宋_GB2312" w:eastAsia="仿宋_GB2312" w:hAnsi="仿宋_GB2312"/>
        </w:rPr>
        <w:t>，主要原因是：严格落实中央八项规定精神，厉行节约，减</w:t>
      </w:r>
      <w:r>
        <w:rPr>
          <w:rFonts w:ascii="仿宋_GB2312" w:eastAsia="仿宋_GB2312" w:hAnsi="仿宋_GB2312"/>
        </w:rPr>
        <w:t>少公务用车运行维护费。其中：因公出国（境）费全年预算数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0.80</w:t>
      </w:r>
      <w:r>
        <w:rPr>
          <w:rFonts w:ascii="仿宋_GB2312" w:eastAsia="仿宋_GB2312" w:hAnsi="仿宋_GB2312"/>
        </w:rPr>
        <w:t>万元，决算数</w:t>
      </w:r>
      <w:r>
        <w:rPr>
          <w:rFonts w:ascii="仿宋_GB2312" w:eastAsia="仿宋_GB2312" w:hAnsi="仿宋_GB2312"/>
        </w:rPr>
        <w:t>0.59</w:t>
      </w:r>
      <w:r>
        <w:rPr>
          <w:rFonts w:ascii="仿宋_GB2312" w:eastAsia="仿宋_GB2312" w:hAnsi="仿宋_GB2312"/>
        </w:rPr>
        <w:t>万元，预决算差异率</w:t>
      </w:r>
      <w:r>
        <w:rPr>
          <w:rFonts w:ascii="仿宋_GB2312" w:eastAsia="仿宋_GB2312" w:hAnsi="仿宋_GB2312"/>
        </w:rPr>
        <w:t>-26.25%</w:t>
      </w:r>
      <w:r>
        <w:rPr>
          <w:rFonts w:ascii="仿宋_GB2312" w:eastAsia="仿宋_GB2312" w:hAnsi="仿宋_GB2312"/>
        </w:rPr>
        <w:t>，主要原因是：严格落实中央八项规定精神，厉行节约，减少公务用车运行维护费。公务接待费全年预算数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w:t>
      </w:r>
      <w:r>
        <w:rPr>
          <w:rFonts w:ascii="仿宋_GB2312" w:eastAsia="仿宋_GB2312" w:hAnsi="仿宋_GB2312"/>
        </w:rPr>
        <w:t>原因是：本单位无公务接待费。</w:t>
      </w:r>
    </w:p>
    <w:p w:rsidR="00D2657A" w:rsidRDefault="00BA6FA1">
      <w:pPr>
        <w:spacing w:line="640" w:lineRule="exact"/>
        <w:ind w:firstLine="640"/>
        <w:outlineLvl w:val="2"/>
      </w:pPr>
      <w:r>
        <w:rPr>
          <w:rFonts w:ascii="黑体" w:eastAsia="黑体" w:hAnsi="黑体"/>
        </w:rPr>
        <w:t>十、其他重要事项的情况说明</w:t>
      </w:r>
    </w:p>
    <w:p w:rsidR="00D2657A" w:rsidRDefault="00BA6FA1">
      <w:pPr>
        <w:spacing w:line="640" w:lineRule="exact"/>
        <w:ind w:firstLine="640"/>
        <w:outlineLvl w:val="3"/>
      </w:pPr>
      <w:r>
        <w:rPr>
          <w:rFonts w:ascii="楷体_GB2312" w:eastAsia="楷体_GB2312" w:hAnsi="楷体_GB2312"/>
          <w:b/>
        </w:rPr>
        <w:lastRenderedPageBreak/>
        <w:t>（一）机关运行经费及公用经费支出情况</w:t>
      </w:r>
    </w:p>
    <w:p w:rsidR="00D2657A" w:rsidRDefault="00BA6FA1">
      <w:pPr>
        <w:spacing w:line="580" w:lineRule="exact"/>
        <w:ind w:firstLine="640"/>
      </w:pPr>
      <w:r>
        <w:rPr>
          <w:rFonts w:ascii="仿宋_GB2312" w:eastAsia="仿宋_GB2312" w:hAnsi="仿宋_GB2312"/>
        </w:rPr>
        <w:t>2024</w:t>
      </w:r>
      <w:r>
        <w:rPr>
          <w:rFonts w:ascii="仿宋_GB2312" w:eastAsia="仿宋_GB2312" w:hAnsi="仿宋_GB2312"/>
        </w:rPr>
        <w:t>年度尉犁县园林绿化服务中心（事业单位）公用经费支出</w:t>
      </w:r>
      <w:r>
        <w:rPr>
          <w:rFonts w:ascii="仿宋_GB2312" w:eastAsia="仿宋_GB2312" w:hAnsi="仿宋_GB2312"/>
        </w:rPr>
        <w:t>6.99</w:t>
      </w:r>
      <w:r>
        <w:rPr>
          <w:rFonts w:ascii="仿宋_GB2312" w:eastAsia="仿宋_GB2312" w:hAnsi="仿宋_GB2312"/>
        </w:rPr>
        <w:t>万元，比上年减少</w:t>
      </w:r>
      <w:r>
        <w:rPr>
          <w:rFonts w:ascii="仿宋_GB2312" w:eastAsia="仿宋_GB2312" w:hAnsi="仿宋_GB2312"/>
        </w:rPr>
        <w:t>0.93</w:t>
      </w:r>
      <w:r>
        <w:rPr>
          <w:rFonts w:ascii="仿宋_GB2312" w:eastAsia="仿宋_GB2312" w:hAnsi="仿宋_GB2312"/>
        </w:rPr>
        <w:t>万元，下降</w:t>
      </w:r>
      <w:r>
        <w:rPr>
          <w:rFonts w:ascii="仿宋_GB2312" w:eastAsia="仿宋_GB2312" w:hAnsi="仿宋_GB2312"/>
        </w:rPr>
        <w:t>11.74%</w:t>
      </w:r>
      <w:r>
        <w:rPr>
          <w:rFonts w:ascii="仿宋_GB2312" w:eastAsia="仿宋_GB2312" w:hAnsi="仿宋_GB2312"/>
        </w:rPr>
        <w:t>，主要原因是：本年调出</w:t>
      </w:r>
      <w:r>
        <w:rPr>
          <w:rFonts w:ascii="仿宋_GB2312" w:eastAsia="仿宋_GB2312" w:hAnsi="仿宋_GB2312"/>
        </w:rPr>
        <w:t>1</w:t>
      </w:r>
      <w:r>
        <w:rPr>
          <w:rFonts w:ascii="仿宋_GB2312" w:eastAsia="仿宋_GB2312" w:hAnsi="仿宋_GB2312"/>
        </w:rPr>
        <w:t>人公用经费减少，同时严格执行</w:t>
      </w:r>
      <w:r w:rsidR="005D6C27">
        <w:rPr>
          <w:rFonts w:ascii="仿宋_GB2312" w:eastAsia="仿宋_GB2312" w:hAnsi="仿宋_GB2312"/>
        </w:rPr>
        <w:t>中央</w:t>
      </w:r>
      <w:r>
        <w:rPr>
          <w:rFonts w:ascii="仿宋_GB2312" w:eastAsia="仿宋_GB2312" w:hAnsi="仿宋_GB2312"/>
        </w:rPr>
        <w:t>八项规定，厉行节约，压减经费。</w:t>
      </w:r>
    </w:p>
    <w:p w:rsidR="00D2657A" w:rsidRDefault="00BA6FA1">
      <w:pPr>
        <w:spacing w:line="640" w:lineRule="exact"/>
        <w:ind w:firstLine="640"/>
        <w:outlineLvl w:val="3"/>
      </w:pPr>
      <w:r>
        <w:rPr>
          <w:rFonts w:ascii="楷体_GB2312" w:eastAsia="楷体_GB2312" w:hAnsi="楷体_GB2312"/>
          <w:b/>
        </w:rPr>
        <w:t>（二）政府采购情况</w:t>
      </w:r>
    </w:p>
    <w:p w:rsidR="00D2657A" w:rsidRDefault="00BA6FA1">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0.67</w:t>
      </w:r>
      <w:r>
        <w:rPr>
          <w:rFonts w:ascii="仿宋_GB2312" w:eastAsia="仿宋_GB2312" w:hAnsi="仿宋_GB2312"/>
        </w:rPr>
        <w:t>万元，其中：政府采购货物支出</w:t>
      </w:r>
      <w:r>
        <w:rPr>
          <w:rFonts w:ascii="仿宋_GB2312" w:eastAsia="仿宋_GB2312" w:hAnsi="仿宋_GB2312"/>
        </w:rPr>
        <w:t>0.29</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0.38</w:t>
      </w:r>
      <w:r>
        <w:rPr>
          <w:rFonts w:ascii="仿宋_GB2312" w:eastAsia="仿宋_GB2312" w:hAnsi="仿宋_GB2312"/>
        </w:rPr>
        <w:t>万元。</w:t>
      </w:r>
    </w:p>
    <w:p w:rsidR="00D2657A" w:rsidRDefault="00BA6FA1">
      <w:pPr>
        <w:spacing w:line="580" w:lineRule="exact"/>
        <w:ind w:firstLine="640"/>
      </w:pPr>
      <w:r>
        <w:rPr>
          <w:rFonts w:ascii="仿宋_GB2312" w:eastAsia="仿宋_GB2312" w:hAnsi="仿宋_GB2312"/>
        </w:rPr>
        <w:t>授予中小企业合同金额</w:t>
      </w:r>
      <w:r>
        <w:rPr>
          <w:rFonts w:ascii="仿宋_GB2312" w:eastAsia="仿宋_GB2312" w:hAnsi="仿宋_GB2312"/>
        </w:rPr>
        <w:t>0.67</w:t>
      </w:r>
      <w:r>
        <w:rPr>
          <w:rFonts w:ascii="仿宋_GB2312" w:eastAsia="仿宋_GB2312" w:hAnsi="仿宋_GB2312"/>
        </w:rPr>
        <w:t>万元，占政府采购支出总额的</w:t>
      </w:r>
      <w:r>
        <w:rPr>
          <w:rFonts w:ascii="仿宋_GB2312" w:eastAsia="仿宋_GB2312" w:hAnsi="仿宋_GB2312"/>
        </w:rPr>
        <w:t>100</w:t>
      </w:r>
      <w:r>
        <w:rPr>
          <w:rFonts w:ascii="仿宋_GB2312" w:eastAsia="仿宋_GB2312" w:hAnsi="仿宋_GB2312"/>
        </w:rPr>
        <w:t>.00%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0.67</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D2657A" w:rsidRDefault="00BA6FA1">
      <w:pPr>
        <w:spacing w:line="640" w:lineRule="exact"/>
        <w:ind w:firstLine="640"/>
        <w:outlineLvl w:val="3"/>
      </w:pPr>
      <w:r>
        <w:rPr>
          <w:rFonts w:ascii="楷体_GB2312" w:eastAsia="楷体_GB2312" w:hAnsi="楷体_GB2312"/>
          <w:b/>
        </w:rPr>
        <w:t>（三）国有资产占用情况说明</w:t>
      </w:r>
    </w:p>
    <w:p w:rsidR="00D2657A" w:rsidRDefault="00BA6FA1">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217.80</w:t>
      </w:r>
      <w:r>
        <w:rPr>
          <w:rFonts w:ascii="仿宋_GB2312" w:eastAsia="仿宋_GB2312" w:hAnsi="仿宋_GB2312"/>
        </w:rPr>
        <w:t>平方米，价值</w:t>
      </w:r>
      <w:r>
        <w:rPr>
          <w:rFonts w:ascii="仿宋_GB2312" w:eastAsia="仿宋_GB2312" w:hAnsi="仿宋_GB2312"/>
        </w:rPr>
        <w:t>82.65</w:t>
      </w:r>
      <w:r>
        <w:rPr>
          <w:rFonts w:ascii="仿宋_GB2312" w:eastAsia="仿宋_GB2312" w:hAnsi="仿宋_GB2312"/>
        </w:rPr>
        <w:t>万元。车辆</w:t>
      </w:r>
      <w:r>
        <w:rPr>
          <w:rFonts w:ascii="仿宋_GB2312" w:eastAsia="仿宋_GB2312" w:hAnsi="仿宋_GB2312"/>
        </w:rPr>
        <w:t>4</w:t>
      </w:r>
      <w:r>
        <w:rPr>
          <w:rFonts w:ascii="仿宋_GB2312" w:eastAsia="仿宋_GB2312" w:hAnsi="仿宋_GB2312"/>
        </w:rPr>
        <w:t>辆，价值</w:t>
      </w:r>
      <w:r>
        <w:rPr>
          <w:rFonts w:ascii="仿宋_GB2312" w:eastAsia="仿宋_GB2312" w:hAnsi="仿宋_GB2312"/>
        </w:rPr>
        <w:t>92.47</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3</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辆，其他用车主要是：外出作业皮卡车</w:t>
      </w:r>
      <w:r>
        <w:rPr>
          <w:rFonts w:ascii="仿宋_GB2312" w:eastAsia="仿宋_GB2312" w:hAnsi="仿宋_GB2312"/>
        </w:rPr>
        <w:t>1</w:t>
      </w:r>
      <w:r>
        <w:rPr>
          <w:rFonts w:ascii="仿宋_GB2312" w:eastAsia="仿宋_GB2312" w:hAnsi="仿宋_GB2312"/>
        </w:rPr>
        <w:t>辆。单价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D2657A" w:rsidRDefault="00BA6FA1">
      <w:pPr>
        <w:spacing w:line="640" w:lineRule="exact"/>
        <w:ind w:firstLine="640"/>
        <w:outlineLvl w:val="2"/>
      </w:pPr>
      <w:r>
        <w:rPr>
          <w:rFonts w:ascii="黑体" w:eastAsia="黑体" w:hAnsi="黑体"/>
        </w:rPr>
        <w:t>十一、预算绩效的情况说明</w:t>
      </w:r>
    </w:p>
    <w:p w:rsidR="00D2657A" w:rsidRDefault="00BA6FA1">
      <w:pPr>
        <w:spacing w:line="580" w:lineRule="exact"/>
        <w:ind w:firstLine="640"/>
      </w:pPr>
      <w:r>
        <w:rPr>
          <w:rFonts w:ascii="仿宋_GB2312" w:eastAsia="仿宋_GB2312" w:hAnsi="仿宋_GB2312"/>
        </w:rPr>
        <w:lastRenderedPageBreak/>
        <w:t>根据预</w:t>
      </w:r>
      <w:r>
        <w:rPr>
          <w:rFonts w:ascii="仿宋_GB2312" w:eastAsia="仿宋_GB2312" w:hAnsi="仿宋_GB2312"/>
        </w:rPr>
        <w:t>算绩效管理要求，本单位预算绩效评价项目</w:t>
      </w:r>
      <w:r>
        <w:rPr>
          <w:rFonts w:ascii="仿宋_GB2312" w:eastAsia="仿宋_GB2312" w:hAnsi="仿宋_GB2312"/>
        </w:rPr>
        <w:t>3</w:t>
      </w:r>
      <w:r>
        <w:rPr>
          <w:rFonts w:ascii="仿宋_GB2312" w:eastAsia="仿宋_GB2312" w:hAnsi="仿宋_GB2312"/>
        </w:rPr>
        <w:t>个，全年预算数</w:t>
      </w:r>
      <w:r>
        <w:rPr>
          <w:rFonts w:ascii="仿宋_GB2312" w:eastAsia="仿宋_GB2312" w:hAnsi="仿宋_GB2312"/>
        </w:rPr>
        <w:t>568.47</w:t>
      </w:r>
      <w:r>
        <w:rPr>
          <w:rFonts w:ascii="仿宋_GB2312" w:eastAsia="仿宋_GB2312" w:hAnsi="仿宋_GB2312"/>
        </w:rPr>
        <w:t>万元，全年执行数</w:t>
      </w:r>
      <w:r>
        <w:rPr>
          <w:rFonts w:ascii="仿宋_GB2312" w:eastAsia="仿宋_GB2312" w:hAnsi="仿宋_GB2312"/>
        </w:rPr>
        <w:t>568.47</w:t>
      </w:r>
      <w:r>
        <w:rPr>
          <w:rFonts w:ascii="仿宋_GB2312" w:eastAsia="仿宋_GB2312" w:hAnsi="仿宋_GB2312"/>
        </w:rPr>
        <w:t>万元。预算绩效管理取得的成效：一是严格质量监管，筑牢工程根基：通过招投标选定监理队伍，并严格检查监理人员到岗情况，严禁无资质或不符合招投标规定的监理人员进入施工现场。县领导以及财政、</w:t>
      </w:r>
      <w:proofErr w:type="gramStart"/>
      <w:r>
        <w:rPr>
          <w:rFonts w:ascii="仿宋_GB2312" w:eastAsia="仿宋_GB2312" w:hAnsi="仿宋_GB2312"/>
        </w:rPr>
        <w:t>发改等</w:t>
      </w:r>
      <w:proofErr w:type="gramEnd"/>
      <w:r>
        <w:rPr>
          <w:rFonts w:ascii="仿宋_GB2312" w:eastAsia="仿宋_GB2312" w:hAnsi="仿宋_GB2312"/>
        </w:rPr>
        <w:t>部门领导多次</w:t>
      </w:r>
      <w:proofErr w:type="gramStart"/>
      <w:r>
        <w:rPr>
          <w:rFonts w:ascii="仿宋_GB2312" w:eastAsia="仿宋_GB2312" w:hAnsi="仿宋_GB2312"/>
        </w:rPr>
        <w:t>赴项目</w:t>
      </w:r>
      <w:proofErr w:type="gramEnd"/>
      <w:r>
        <w:rPr>
          <w:rFonts w:ascii="仿宋_GB2312" w:eastAsia="仿宋_GB2312" w:hAnsi="仿宋_GB2312"/>
        </w:rPr>
        <w:t>现场指导工作。项目单位选派责任心强、业务精通的人员作为监管负责人，做好施工监督，严格把</w:t>
      </w:r>
      <w:proofErr w:type="gramStart"/>
      <w:r>
        <w:rPr>
          <w:rFonts w:ascii="仿宋_GB2312" w:eastAsia="仿宋_GB2312" w:hAnsi="仿宋_GB2312"/>
        </w:rPr>
        <w:t>控质量</w:t>
      </w:r>
      <w:proofErr w:type="gramEnd"/>
      <w:r>
        <w:rPr>
          <w:rFonts w:ascii="仿宋_GB2312" w:eastAsia="仿宋_GB2312" w:hAnsi="仿宋_GB2312"/>
        </w:rPr>
        <w:t>验收关。二是规范资金管理，发挥最大效益：严格执行资金审批流程，明确资金使用范围，确保项目资金专款专用。坚持按工程进度拨付</w:t>
      </w:r>
      <w:r>
        <w:rPr>
          <w:rFonts w:ascii="仿宋_GB2312" w:eastAsia="仿宋_GB2312" w:hAnsi="仿宋_GB2312"/>
        </w:rPr>
        <w:t>工程款，资金审批后直接支付给施工单位，有效防止截留、挪用、滞留和浪费资金等问题，保障资金使用安全，实现资金效益最大化。发现的问题及原因：一是工程质量监管的深度与广度欠缺虽然已对监理队伍和施工现场进行监管，但质量监管仍存在漏洞。部分监理人员专业能力不足，对施工过程中的一些技术问题未能及时发现并纠正。监管多集中在施工现场的表面检查，对隐蔽工程、原材料质量等关键环节的检查频次不够，监管深度有待提升。此外，监管方式较为传统，缺乏对新技术、新方法的运用，难以满足现代工程建设质量监管的要求。二是经费细化管理工作不足。基</w:t>
      </w:r>
      <w:r>
        <w:rPr>
          <w:rFonts w:ascii="仿宋_GB2312" w:eastAsia="仿宋_GB2312" w:hAnsi="仿宋_GB2312"/>
        </w:rPr>
        <w:t>本支出和项目支出中包含的各类费用名目较多，主要是突发性的，在执行过程中，并不能把握到位，造成各项明细费用支出和年初预算不能完全一致。</w:t>
      </w:r>
      <w:r>
        <w:rPr>
          <w:rFonts w:ascii="仿宋_GB2312" w:eastAsia="仿宋_GB2312" w:hAnsi="仿宋_GB2312"/>
        </w:rPr>
        <w:t>2024</w:t>
      </w:r>
      <w:r>
        <w:rPr>
          <w:rFonts w:ascii="仿宋_GB2312" w:eastAsia="仿宋_GB2312" w:hAnsi="仿宋_GB2312"/>
        </w:rPr>
        <w:t>年尉犁</w:t>
      </w:r>
      <w:proofErr w:type="gramStart"/>
      <w:r>
        <w:rPr>
          <w:rFonts w:ascii="仿宋_GB2312" w:eastAsia="仿宋_GB2312" w:hAnsi="仿宋_GB2312"/>
        </w:rPr>
        <w:t>县改善</w:t>
      </w:r>
      <w:proofErr w:type="gramEnd"/>
      <w:r>
        <w:rPr>
          <w:rFonts w:ascii="仿宋_GB2312" w:eastAsia="仿宋_GB2312" w:hAnsi="仿宋_GB2312"/>
        </w:rPr>
        <w:t>农村</w:t>
      </w:r>
      <w:r>
        <w:rPr>
          <w:rFonts w:ascii="仿宋_GB2312" w:eastAsia="仿宋_GB2312" w:hAnsi="仿宋_GB2312"/>
        </w:rPr>
        <w:lastRenderedPageBreak/>
        <w:t>人居环境</w:t>
      </w:r>
      <w:r>
        <w:rPr>
          <w:rFonts w:ascii="仿宋_GB2312" w:eastAsia="仿宋_GB2312" w:hAnsi="仿宋_GB2312"/>
        </w:rPr>
        <w:t>PPP</w:t>
      </w:r>
      <w:r>
        <w:rPr>
          <w:rFonts w:ascii="仿宋_GB2312" w:eastAsia="仿宋_GB2312" w:hAnsi="仿宋_GB2312"/>
        </w:rPr>
        <w:t>建设项目服务费，第四季度考核评估期未满，该项目按效支付，因此第四季度资金未付清。资金分配缺乏灵活性，未能根据项目动态调整预算资金，导致部分预算资金闲置。三是预算绩效管理水平仍有欠缺。部门指标值设置偏低，实际完成情况容易超过目标值，简单参照过往完成值设定目标，未考虑后期潜力提升或业务需要会导致实际完成情况增长。由于绩效管理工作系统性较强，涉及</w:t>
      </w:r>
      <w:r>
        <w:rPr>
          <w:rFonts w:ascii="仿宋_GB2312" w:eastAsia="仿宋_GB2312" w:hAnsi="仿宋_GB2312"/>
        </w:rPr>
        <w:t>面广，对财务人员和项目管理人员整体业务水平要求较高，绩效管理业务不够深入和全面，绩效管理水平须进一步加强。下一步改进措施：一是提升工程质量监管效能强化监理队伍管理：定期对监理人员开展专业培训，提升其业务能力与责任意识。建立监理人员考核评价机制，对考核不达标或履职不力的人员，限制其进入本地建筑市场，以此倒逼监理人员提升服务质量。创新质量监管方式：引入</w:t>
      </w:r>
      <w:r>
        <w:rPr>
          <w:rFonts w:ascii="仿宋_GB2312" w:eastAsia="仿宋_GB2312" w:hAnsi="仿宋_GB2312"/>
        </w:rPr>
        <w:t>BIM</w:t>
      </w:r>
      <w:r>
        <w:rPr>
          <w:rFonts w:ascii="仿宋_GB2312" w:eastAsia="仿宋_GB2312" w:hAnsi="仿宋_GB2312"/>
        </w:rPr>
        <w:t>、无人机巡查等新技术，对工程质量进行全方位、全过程监管。利用</w:t>
      </w:r>
      <w:r>
        <w:rPr>
          <w:rFonts w:ascii="仿宋_GB2312" w:eastAsia="仿宋_GB2312" w:hAnsi="仿宋_GB2312"/>
        </w:rPr>
        <w:t>BIM</w:t>
      </w:r>
      <w:r>
        <w:rPr>
          <w:rFonts w:ascii="仿宋_GB2312" w:eastAsia="仿宋_GB2312" w:hAnsi="仿宋_GB2312"/>
        </w:rPr>
        <w:t>技术提前模拟施工过程，发现潜在质量问题；借助无人机对施工现场进行高空巡查，拓宽监管范围，及</w:t>
      </w:r>
      <w:r>
        <w:rPr>
          <w:rFonts w:ascii="仿宋_GB2312" w:eastAsia="仿宋_GB2312" w:hAnsi="仿宋_GB2312"/>
        </w:rPr>
        <w:t>时发现隐蔽工程和施工现场的质量隐患。二是由于目前的预算管理在编制和实施中还存在编制不细、预算调整、追加预算等现象，因此预算执行的准确性还有待加强。建议从源头上强化和细化资金预算管理。结合单位实际，按轻重缓急统筹安排编制预算，提高预算编制科学性和合理性，优化资金结构。同时，按时间进度分解资金使用计划，特别是专项资金</w:t>
      </w:r>
      <w:r>
        <w:rPr>
          <w:rFonts w:ascii="仿宋_GB2312" w:eastAsia="仿宋_GB2312" w:hAnsi="仿宋_GB2312"/>
        </w:rPr>
        <w:lastRenderedPageBreak/>
        <w:t>的使用，要事前做计划，事中进行控制，事后总结提高，充分体现资金投向的目标和效益。优化预算编制与执行机制，精准化预算采用</w:t>
      </w:r>
      <w:r>
        <w:rPr>
          <w:rFonts w:ascii="仿宋_GB2312" w:eastAsia="仿宋_GB2312" w:hAnsi="仿宋_GB2312"/>
        </w:rPr>
        <w:t>“</w:t>
      </w:r>
      <w:r>
        <w:rPr>
          <w:rFonts w:ascii="仿宋_GB2312" w:eastAsia="仿宋_GB2312" w:hAnsi="仿宋_GB2312"/>
        </w:rPr>
        <w:t>零基预算</w:t>
      </w:r>
      <w:r>
        <w:rPr>
          <w:rFonts w:ascii="仿宋_GB2312" w:eastAsia="仿宋_GB2312" w:hAnsi="仿宋_GB2312"/>
        </w:rPr>
        <w:t>+</w:t>
      </w:r>
      <w:r>
        <w:rPr>
          <w:rFonts w:ascii="仿宋_GB2312" w:eastAsia="仿宋_GB2312" w:hAnsi="仿宋_GB2312"/>
        </w:rPr>
        <w:t>滚动预算</w:t>
      </w:r>
      <w:r>
        <w:rPr>
          <w:rFonts w:ascii="仿宋_GB2312" w:eastAsia="仿宋_GB2312" w:hAnsi="仿宋_GB2312"/>
        </w:rPr>
        <w:t>”</w:t>
      </w:r>
      <w:r>
        <w:rPr>
          <w:rFonts w:ascii="仿宋_GB2312" w:eastAsia="仿宋_GB2312" w:hAnsi="仿宋_GB2312"/>
        </w:rPr>
        <w:t>结合模式，依据项目优先级和进度分阶段拨款。双重考核将预算执</w:t>
      </w:r>
      <w:r>
        <w:rPr>
          <w:rFonts w:ascii="仿宋_GB2312" w:eastAsia="仿宋_GB2312" w:hAnsi="仿宋_GB2312"/>
        </w:rPr>
        <w:t>行率与项目完成质量同步纳入部门绩效考核，权重各占</w:t>
      </w:r>
      <w:r>
        <w:rPr>
          <w:rFonts w:ascii="仿宋_GB2312" w:eastAsia="仿宋_GB2312" w:hAnsi="仿宋_GB2312"/>
        </w:rPr>
        <w:t>50%</w:t>
      </w:r>
      <w:r>
        <w:rPr>
          <w:rFonts w:ascii="仿宋_GB2312" w:eastAsia="仿宋_GB2312" w:hAnsi="仿宋_GB2312"/>
        </w:rPr>
        <w:t>。三是加强绩效管理业务学习。增强绩效管理理念，强化业务学习，夯实绩效管理基础工作，建章建制，建立统一的管理制度和控制执行标准，确保资金使用安全、规范，项目实施效果明显。引入</w:t>
      </w:r>
      <w:r>
        <w:rPr>
          <w:rFonts w:ascii="仿宋_GB2312" w:eastAsia="仿宋_GB2312" w:hAnsi="仿宋_GB2312"/>
        </w:rPr>
        <w:t>“</w:t>
      </w:r>
      <w:r>
        <w:rPr>
          <w:rFonts w:ascii="仿宋_GB2312" w:eastAsia="仿宋_GB2312" w:hAnsi="仿宋_GB2312"/>
        </w:rPr>
        <w:t>基线法</w:t>
      </w:r>
      <w:r>
        <w:rPr>
          <w:rFonts w:ascii="仿宋_GB2312" w:eastAsia="仿宋_GB2312" w:hAnsi="仿宋_GB2312"/>
        </w:rPr>
        <w:t>”</w:t>
      </w:r>
      <w:r>
        <w:rPr>
          <w:rFonts w:ascii="仿宋_GB2312" w:eastAsia="仿宋_GB2312" w:hAnsi="仿宋_GB2312"/>
        </w:rPr>
        <w:t>（基于历史数据）和</w:t>
      </w:r>
      <w:r>
        <w:rPr>
          <w:rFonts w:ascii="仿宋_GB2312" w:eastAsia="仿宋_GB2312" w:hAnsi="仿宋_GB2312"/>
        </w:rPr>
        <w:t>“</w:t>
      </w:r>
      <w:r>
        <w:rPr>
          <w:rFonts w:ascii="仿宋_GB2312" w:eastAsia="仿宋_GB2312" w:hAnsi="仿宋_GB2312"/>
        </w:rPr>
        <w:t>标杆法</w:t>
      </w:r>
      <w:r>
        <w:rPr>
          <w:rFonts w:ascii="仿宋_GB2312" w:eastAsia="仿宋_GB2312" w:hAnsi="仿宋_GB2312"/>
        </w:rPr>
        <w:t>”</w:t>
      </w:r>
      <w:r>
        <w:rPr>
          <w:rFonts w:ascii="仿宋_GB2312" w:eastAsia="仿宋_GB2312" w:hAnsi="仿宋_GB2312"/>
        </w:rPr>
        <w:t>（对照行业先进值）综合设定目标，根据季度</w:t>
      </w:r>
      <w:r>
        <w:rPr>
          <w:rFonts w:ascii="仿宋_GB2312" w:eastAsia="仿宋_GB2312" w:hAnsi="仿宋_GB2312"/>
        </w:rPr>
        <w:t>/</w:t>
      </w:r>
      <w:r>
        <w:rPr>
          <w:rFonts w:ascii="仿宋_GB2312" w:eastAsia="仿宋_GB2312" w:hAnsi="仿宋_GB2312"/>
        </w:rPr>
        <w:t>半年度完成情况，对明显偏低的目标值及时修正，将</w:t>
      </w:r>
      <w:r>
        <w:rPr>
          <w:rFonts w:ascii="仿宋_GB2312" w:eastAsia="仿宋_GB2312" w:hAnsi="仿宋_GB2312"/>
        </w:rPr>
        <w:t>“</w:t>
      </w:r>
      <w:r>
        <w:rPr>
          <w:rFonts w:ascii="仿宋_GB2312" w:eastAsia="仿宋_GB2312" w:hAnsi="仿宋_GB2312"/>
        </w:rPr>
        <w:t>目标设置合理性</w:t>
      </w:r>
      <w:r>
        <w:rPr>
          <w:rFonts w:ascii="仿宋_GB2312" w:eastAsia="仿宋_GB2312" w:hAnsi="仿宋_GB2312"/>
        </w:rPr>
        <w:t>”</w:t>
      </w:r>
      <w:r>
        <w:rPr>
          <w:rFonts w:ascii="仿宋_GB2312" w:eastAsia="仿宋_GB2312" w:hAnsi="仿宋_GB2312"/>
        </w:rPr>
        <w:t>纳入管理者绩效考核，有效提升指标设置时重视程度。具体</w:t>
      </w:r>
      <w:proofErr w:type="gramStart"/>
      <w:r>
        <w:rPr>
          <w:rFonts w:ascii="仿宋_GB2312" w:eastAsia="仿宋_GB2312" w:hAnsi="仿宋_GB2312"/>
        </w:rPr>
        <w:t>附项目</w:t>
      </w:r>
      <w:proofErr w:type="gramEnd"/>
      <w:r>
        <w:rPr>
          <w:rFonts w:ascii="仿宋_GB2312" w:eastAsia="仿宋_GB2312" w:hAnsi="仿宋_GB2312"/>
        </w:rPr>
        <w:t>支出绩效自评表和评价报告。</w:t>
      </w:r>
    </w:p>
    <w:p w:rsidR="00D2657A" w:rsidRDefault="00BA6FA1">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D2657A">
        <w:tc>
          <w:tcPr>
            <w:tcW w:w="8848" w:type="dxa"/>
            <w:gridSpan w:val="14"/>
            <w:vAlign w:val="center"/>
          </w:tcPr>
          <w:p w:rsidR="00D2657A" w:rsidRDefault="00BA6FA1">
            <w:pPr>
              <w:jc w:val="center"/>
            </w:pPr>
            <w:r>
              <w:rPr>
                <w:rFonts w:ascii="宋体" w:hAnsi="宋体"/>
                <w:sz w:val="24"/>
              </w:rPr>
              <w:lastRenderedPageBreak/>
              <w:t>项目支出绩效自评表</w:t>
            </w:r>
          </w:p>
        </w:tc>
      </w:tr>
      <w:tr w:rsidR="00D2657A">
        <w:tc>
          <w:tcPr>
            <w:tcW w:w="8848" w:type="dxa"/>
            <w:gridSpan w:val="14"/>
            <w:vAlign w:val="center"/>
          </w:tcPr>
          <w:p w:rsidR="00D2657A" w:rsidRDefault="00BA6FA1">
            <w:pPr>
              <w:jc w:val="center"/>
            </w:pPr>
            <w:r>
              <w:rPr>
                <w:rFonts w:ascii="宋体" w:hAnsi="宋体"/>
                <w:sz w:val="24"/>
              </w:rPr>
              <w:t>(2024</w:t>
            </w:r>
            <w:r>
              <w:rPr>
                <w:rFonts w:ascii="宋体" w:hAnsi="宋体"/>
                <w:sz w:val="24"/>
              </w:rPr>
              <w:t>年度</w:t>
            </w:r>
            <w:r>
              <w:rPr>
                <w:rFonts w:ascii="宋体" w:hAnsi="宋体"/>
                <w:sz w:val="24"/>
              </w:rPr>
              <w:t>)</w:t>
            </w:r>
          </w:p>
        </w:tc>
      </w:tr>
      <w:tr w:rsidR="00D2657A">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园林绿化高洁服务费</w:t>
            </w:r>
          </w:p>
        </w:tc>
      </w:tr>
      <w:tr w:rsidR="00D2657A">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尉犁县园林绿化管理中心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尉犁县园林绿化服务中心</w:t>
            </w:r>
          </w:p>
        </w:tc>
      </w:tr>
      <w:tr w:rsidR="00D2657A">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得分</w:t>
            </w:r>
          </w:p>
        </w:tc>
      </w:tr>
      <w:tr w:rsidR="00D265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10.00</w:t>
            </w: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r>
      <w:tr w:rsidR="00D265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总体目标完成情况</w:t>
            </w: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2657A" w:rsidRDefault="00BA6FA1">
            <w:r>
              <w:rPr>
                <w:rFonts w:ascii="宋体" w:hAnsi="宋体"/>
                <w:sz w:val="16"/>
              </w:rPr>
              <w:t>加强对尉犁县城市绿化植物的养护管理，园林作业绿化面积</w:t>
            </w:r>
            <w:r>
              <w:rPr>
                <w:rFonts w:ascii="宋体" w:hAnsi="宋体"/>
                <w:sz w:val="16"/>
              </w:rPr>
              <w:t>4380.16</w:t>
            </w:r>
            <w:r>
              <w:rPr>
                <w:rFonts w:ascii="宋体" w:hAnsi="宋体"/>
                <w:sz w:val="16"/>
              </w:rPr>
              <w:t>亩绿化成活和保存率达</w:t>
            </w:r>
            <w:r>
              <w:rPr>
                <w:rFonts w:ascii="宋体" w:hAnsi="宋体"/>
                <w:sz w:val="16"/>
              </w:rPr>
              <w:t>95%</w:t>
            </w:r>
            <w:r>
              <w:rPr>
                <w:rFonts w:ascii="宋体" w:hAnsi="宋体"/>
                <w:sz w:val="16"/>
              </w:rPr>
              <w:t>以上。促进城市绿化事业的发展，改善生态环境、人居环境、美化生活环境。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2657A" w:rsidRDefault="00BA6FA1">
            <w:r>
              <w:rPr>
                <w:rFonts w:ascii="宋体" w:hAnsi="宋体"/>
                <w:sz w:val="16"/>
              </w:rPr>
              <w:t>尉犁县城市绿化植物的养护管理，实施精细化、规范化、专业化、机械化的管理模式，绿化养护及时率达</w:t>
            </w:r>
            <w:r>
              <w:rPr>
                <w:rFonts w:ascii="宋体" w:hAnsi="宋体"/>
                <w:sz w:val="16"/>
              </w:rPr>
              <w:t>95%</w:t>
            </w:r>
            <w:r>
              <w:rPr>
                <w:rFonts w:ascii="宋体" w:hAnsi="宋体"/>
                <w:sz w:val="16"/>
              </w:rPr>
              <w:t>，提高尉犁县城市公共绿地养护整体质量水平，完成养护绿地面积</w:t>
            </w:r>
            <w:r>
              <w:rPr>
                <w:rFonts w:ascii="宋体" w:hAnsi="宋体"/>
                <w:sz w:val="16"/>
              </w:rPr>
              <w:t>4380.16</w:t>
            </w:r>
            <w:r>
              <w:rPr>
                <w:rFonts w:ascii="宋体" w:hAnsi="宋体"/>
                <w:sz w:val="16"/>
              </w:rPr>
              <w:t>亩。</w:t>
            </w:r>
          </w:p>
        </w:tc>
      </w:tr>
      <w:tr w:rsidR="00D2657A">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偏差原因分析及改进措施</w:t>
            </w:r>
          </w:p>
        </w:tc>
      </w:tr>
      <w:tr w:rsidR="00D265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园林绿化面积</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&gt;=4380.16</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=4380.16</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园林绿化养护覆盖率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绿化养护及时率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高洁服务费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&lt;=542.59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=542.59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提高全县绿化率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5D6C27">
            <w:pPr>
              <w:jc w:val="center"/>
            </w:pPr>
            <w:r>
              <w:rPr>
                <w:rFonts w:ascii="宋体" w:hAnsi="宋体"/>
                <w:sz w:val="16"/>
              </w:rPr>
              <w:t>城市生态环</w:t>
            </w:r>
            <w:r w:rsidR="00BA6FA1">
              <w:rPr>
                <w:rFonts w:ascii="宋体" w:hAnsi="宋体"/>
                <w:sz w:val="16"/>
              </w:rPr>
              <w:t>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城镇居民满意度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2528" w:type="dxa"/>
            <w:gridSpan w:val="4"/>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2657A" w:rsidRDefault="00D2657A"/>
        </w:tc>
      </w:tr>
    </w:tbl>
    <w:p w:rsidR="00D2657A" w:rsidRDefault="00BA6FA1">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D2657A">
        <w:tc>
          <w:tcPr>
            <w:tcW w:w="8848" w:type="dxa"/>
            <w:gridSpan w:val="14"/>
            <w:vAlign w:val="center"/>
          </w:tcPr>
          <w:p w:rsidR="00D2657A" w:rsidRDefault="00BA6FA1">
            <w:pPr>
              <w:jc w:val="center"/>
            </w:pPr>
            <w:r>
              <w:rPr>
                <w:rFonts w:ascii="宋体" w:hAnsi="宋体"/>
                <w:sz w:val="24"/>
              </w:rPr>
              <w:lastRenderedPageBreak/>
              <w:t>项目支出绩效自评表</w:t>
            </w:r>
          </w:p>
        </w:tc>
      </w:tr>
      <w:tr w:rsidR="00D2657A">
        <w:tc>
          <w:tcPr>
            <w:tcW w:w="8848" w:type="dxa"/>
            <w:gridSpan w:val="14"/>
            <w:vAlign w:val="center"/>
          </w:tcPr>
          <w:p w:rsidR="00D2657A" w:rsidRDefault="00BA6FA1">
            <w:pPr>
              <w:jc w:val="center"/>
            </w:pPr>
            <w:r>
              <w:rPr>
                <w:rFonts w:ascii="宋体" w:hAnsi="宋体"/>
                <w:sz w:val="24"/>
              </w:rPr>
              <w:t>(2024</w:t>
            </w:r>
            <w:r>
              <w:rPr>
                <w:rFonts w:ascii="宋体" w:hAnsi="宋体"/>
                <w:sz w:val="24"/>
              </w:rPr>
              <w:t>年度</w:t>
            </w:r>
            <w:r>
              <w:rPr>
                <w:rFonts w:ascii="宋体" w:hAnsi="宋体"/>
                <w:sz w:val="24"/>
              </w:rPr>
              <w:t>)</w:t>
            </w:r>
          </w:p>
        </w:tc>
      </w:tr>
      <w:tr w:rsidR="00D2657A">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园林绿化项目前期费</w:t>
            </w:r>
          </w:p>
        </w:tc>
      </w:tr>
      <w:tr w:rsidR="00D2657A">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尉犁县园林绿化管理中心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尉犁县园林绿化服务中心</w:t>
            </w:r>
          </w:p>
        </w:tc>
      </w:tr>
      <w:tr w:rsidR="00D2657A">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得分</w:t>
            </w:r>
          </w:p>
        </w:tc>
      </w:tr>
      <w:tr w:rsidR="00D265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10.00</w:t>
            </w: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r>
      <w:tr w:rsidR="00D265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总体目标完成情况</w:t>
            </w: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2657A" w:rsidRDefault="00BA6FA1">
            <w:r>
              <w:rPr>
                <w:rFonts w:ascii="宋体" w:hAnsi="宋体"/>
                <w:sz w:val="16"/>
              </w:rPr>
              <w:t>完成兴平干渠风景带四期绿化工程建设工程项目等</w:t>
            </w:r>
            <w:r>
              <w:rPr>
                <w:rFonts w:ascii="宋体" w:hAnsi="宋体"/>
                <w:sz w:val="16"/>
              </w:rPr>
              <w:t>3</w:t>
            </w:r>
            <w:r>
              <w:rPr>
                <w:rFonts w:ascii="宋体" w:hAnsi="宋体"/>
                <w:sz w:val="16"/>
              </w:rPr>
              <w:t>个项目设计、审计等一系列前期工作，按时保质保量完成项目前期手续，对项目顺利实施提供重要保障。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2657A" w:rsidRDefault="00BA6FA1">
            <w:r>
              <w:rPr>
                <w:rFonts w:ascii="宋体" w:hAnsi="宋体"/>
                <w:sz w:val="16"/>
              </w:rPr>
              <w:t>完成了兴平干渠风景带四期绿化工程建设工程项目等</w:t>
            </w:r>
            <w:r>
              <w:rPr>
                <w:rFonts w:ascii="宋体" w:hAnsi="宋体"/>
                <w:sz w:val="16"/>
              </w:rPr>
              <w:t>3</w:t>
            </w:r>
            <w:r>
              <w:rPr>
                <w:rFonts w:ascii="宋体" w:hAnsi="宋体"/>
                <w:sz w:val="16"/>
              </w:rPr>
              <w:t>个项目设计、审计等一系列前期工作，确保了按时保质保量完成项目前期手续，对项目顺利实施提供重要保障。</w:t>
            </w:r>
          </w:p>
        </w:tc>
      </w:tr>
      <w:tr w:rsidR="00D2657A">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偏差原因分析及改进措施</w:t>
            </w:r>
          </w:p>
        </w:tc>
      </w:tr>
      <w:tr w:rsidR="00D265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&gt;=3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支付项目前期</w:t>
            </w:r>
            <w:proofErr w:type="gramStart"/>
            <w:r>
              <w:rPr>
                <w:rFonts w:ascii="宋体" w:hAnsi="宋体"/>
                <w:sz w:val="16"/>
              </w:rPr>
              <w:t>费类型</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&gt;=2</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项目前期费支付及时率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项目设计编制费用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项目审计费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&lt;=13.80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促进城市生态环境提升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2528" w:type="dxa"/>
            <w:gridSpan w:val="4"/>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2657A" w:rsidRDefault="00D2657A"/>
        </w:tc>
      </w:tr>
    </w:tbl>
    <w:p w:rsidR="00D2657A" w:rsidRDefault="00BA6FA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D2657A">
        <w:tc>
          <w:tcPr>
            <w:tcW w:w="8848" w:type="dxa"/>
            <w:gridSpan w:val="14"/>
            <w:vAlign w:val="center"/>
          </w:tcPr>
          <w:p w:rsidR="00D2657A" w:rsidRDefault="00BA6FA1">
            <w:pPr>
              <w:jc w:val="center"/>
            </w:pPr>
            <w:r>
              <w:rPr>
                <w:rFonts w:ascii="宋体" w:hAnsi="宋体"/>
                <w:sz w:val="24"/>
              </w:rPr>
              <w:lastRenderedPageBreak/>
              <w:t>项目支出绩效自评表</w:t>
            </w:r>
          </w:p>
        </w:tc>
      </w:tr>
      <w:tr w:rsidR="00D2657A">
        <w:tc>
          <w:tcPr>
            <w:tcW w:w="8848" w:type="dxa"/>
            <w:gridSpan w:val="14"/>
            <w:vAlign w:val="center"/>
          </w:tcPr>
          <w:p w:rsidR="00D2657A" w:rsidRDefault="00BA6FA1">
            <w:pPr>
              <w:jc w:val="center"/>
            </w:pPr>
            <w:r>
              <w:rPr>
                <w:rFonts w:ascii="宋体" w:hAnsi="宋体"/>
                <w:sz w:val="24"/>
              </w:rPr>
              <w:t>(2024</w:t>
            </w:r>
            <w:r>
              <w:rPr>
                <w:rFonts w:ascii="宋体" w:hAnsi="宋体"/>
                <w:sz w:val="24"/>
              </w:rPr>
              <w:t>年度</w:t>
            </w:r>
            <w:r>
              <w:rPr>
                <w:rFonts w:ascii="宋体" w:hAnsi="宋体"/>
                <w:sz w:val="24"/>
              </w:rPr>
              <w:t>)</w:t>
            </w:r>
          </w:p>
        </w:tc>
      </w:tr>
      <w:tr w:rsidR="00D2657A">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园林绿化用水机电井安装计量设备费</w:t>
            </w:r>
          </w:p>
        </w:tc>
      </w:tr>
      <w:tr w:rsidR="00D2657A">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尉犁县园林绿化管理中心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尉犁县园林绿化服务中心</w:t>
            </w:r>
          </w:p>
        </w:tc>
      </w:tr>
      <w:tr w:rsidR="00D2657A">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得分</w:t>
            </w:r>
          </w:p>
        </w:tc>
      </w:tr>
      <w:tr w:rsidR="00D265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10.00</w:t>
            </w: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r>
      <w:tr w:rsidR="00D265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总体目标完成情况</w:t>
            </w: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2657A" w:rsidRDefault="00BA6FA1">
            <w:r>
              <w:rPr>
                <w:rFonts w:ascii="宋体" w:hAnsi="宋体"/>
                <w:sz w:val="16"/>
              </w:rPr>
              <w:t>为了进一步做好县城园林绿化用水工作，按照《尉</w:t>
            </w:r>
            <w:bookmarkStart w:id="0" w:name="_GoBack"/>
            <w:bookmarkEnd w:id="0"/>
            <w:r>
              <w:rPr>
                <w:rFonts w:ascii="宋体" w:hAnsi="宋体"/>
                <w:sz w:val="16"/>
              </w:rPr>
              <w:t>犁县机电井计量设备整治工作文件》要求，采购计量机</w:t>
            </w:r>
            <w:r>
              <w:rPr>
                <w:rFonts w:ascii="宋体" w:hAnsi="宋体"/>
                <w:sz w:val="16"/>
              </w:rPr>
              <w:t>3</w:t>
            </w:r>
            <w:r>
              <w:rPr>
                <w:rFonts w:ascii="宋体" w:hAnsi="宋体"/>
                <w:sz w:val="16"/>
              </w:rPr>
              <w:t>种</w:t>
            </w:r>
            <w:r>
              <w:rPr>
                <w:rFonts w:ascii="宋体" w:hAnsi="宋体"/>
                <w:sz w:val="16"/>
              </w:rPr>
              <w:t>6</w:t>
            </w:r>
            <w:r>
              <w:rPr>
                <w:rFonts w:ascii="宋体" w:hAnsi="宋体"/>
                <w:sz w:val="16"/>
              </w:rPr>
              <w:t>台，合同价</w:t>
            </w:r>
            <w:r>
              <w:rPr>
                <w:rFonts w:ascii="宋体" w:hAnsi="宋体"/>
                <w:sz w:val="16"/>
              </w:rPr>
              <w:t>2.08</w:t>
            </w:r>
            <w:r>
              <w:rPr>
                <w:rFonts w:ascii="宋体" w:hAnsi="宋体"/>
                <w:sz w:val="16"/>
              </w:rPr>
              <w:t>万元，</w:t>
            </w:r>
            <w:r>
              <w:rPr>
                <w:rFonts w:ascii="宋体" w:hAnsi="宋体"/>
                <w:sz w:val="16"/>
              </w:rPr>
              <w:t xml:space="preserve"> </w:t>
            </w:r>
            <w:r>
              <w:rPr>
                <w:rFonts w:ascii="宋体" w:hAnsi="宋体"/>
                <w:sz w:val="16"/>
              </w:rPr>
              <w:t>其中管段式超声波</w:t>
            </w:r>
            <w:r>
              <w:rPr>
                <w:rFonts w:ascii="宋体" w:hAnsi="宋体"/>
                <w:sz w:val="16"/>
              </w:rPr>
              <w:t>水表</w:t>
            </w:r>
            <w:r>
              <w:rPr>
                <w:rFonts w:ascii="宋体" w:hAnsi="宋体"/>
                <w:sz w:val="16"/>
              </w:rPr>
              <w:t>DN150-3500</w:t>
            </w:r>
            <w:r>
              <w:rPr>
                <w:rFonts w:ascii="宋体" w:hAnsi="宋体"/>
                <w:sz w:val="16"/>
              </w:rPr>
              <w:t>元，管段式超声波</w:t>
            </w:r>
            <w:r>
              <w:rPr>
                <w:rFonts w:ascii="宋体" w:hAnsi="宋体"/>
                <w:sz w:val="16"/>
              </w:rPr>
              <w:t>水表</w:t>
            </w:r>
            <w:r>
              <w:rPr>
                <w:rFonts w:ascii="宋体" w:hAnsi="宋体"/>
                <w:sz w:val="16"/>
              </w:rPr>
              <w:t>DN125-3450</w:t>
            </w:r>
            <w:r>
              <w:rPr>
                <w:rFonts w:ascii="宋体" w:hAnsi="宋体"/>
                <w:sz w:val="16"/>
              </w:rPr>
              <w:t>元，管段式超声波</w:t>
            </w:r>
            <w:r>
              <w:rPr>
                <w:rFonts w:ascii="宋体" w:hAnsi="宋体"/>
                <w:sz w:val="16"/>
              </w:rPr>
              <w:t>水表</w:t>
            </w:r>
            <w:r>
              <w:rPr>
                <w:rFonts w:ascii="宋体" w:hAnsi="宋体"/>
                <w:sz w:val="16"/>
              </w:rPr>
              <w:t>DN100-3410</w:t>
            </w:r>
            <w:r>
              <w:rPr>
                <w:rFonts w:ascii="宋体" w:hAnsi="宋体"/>
                <w:sz w:val="16"/>
              </w:rPr>
              <w:t>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2657A" w:rsidRDefault="00BA6FA1">
            <w:r>
              <w:rPr>
                <w:rFonts w:ascii="宋体" w:hAnsi="宋体"/>
                <w:sz w:val="16"/>
              </w:rPr>
              <w:t>按照《尉犁县机电井计量设备整治工作文件》要求，已完成采购计量机</w:t>
            </w:r>
            <w:r>
              <w:rPr>
                <w:rFonts w:ascii="宋体" w:hAnsi="宋体"/>
                <w:sz w:val="16"/>
              </w:rPr>
              <w:t>3</w:t>
            </w:r>
            <w:r>
              <w:rPr>
                <w:rFonts w:ascii="宋体" w:hAnsi="宋体"/>
                <w:sz w:val="16"/>
              </w:rPr>
              <w:t>种</w:t>
            </w:r>
            <w:r>
              <w:rPr>
                <w:rFonts w:ascii="宋体" w:hAnsi="宋体"/>
                <w:sz w:val="16"/>
              </w:rPr>
              <w:t>6</w:t>
            </w:r>
            <w:r>
              <w:rPr>
                <w:rFonts w:ascii="宋体" w:hAnsi="宋体"/>
                <w:sz w:val="16"/>
              </w:rPr>
              <w:t>台，合同价</w:t>
            </w:r>
            <w:r>
              <w:rPr>
                <w:rFonts w:ascii="宋体" w:hAnsi="宋体"/>
                <w:sz w:val="16"/>
              </w:rPr>
              <w:t>2.08</w:t>
            </w:r>
            <w:r>
              <w:rPr>
                <w:rFonts w:ascii="宋体" w:hAnsi="宋体"/>
                <w:sz w:val="16"/>
              </w:rPr>
              <w:t>万元，</w:t>
            </w:r>
            <w:r>
              <w:rPr>
                <w:rFonts w:ascii="宋体" w:hAnsi="宋体"/>
                <w:sz w:val="16"/>
              </w:rPr>
              <w:t xml:space="preserve"> </w:t>
            </w:r>
            <w:r>
              <w:rPr>
                <w:rFonts w:ascii="宋体" w:hAnsi="宋体"/>
                <w:sz w:val="16"/>
              </w:rPr>
              <w:t>其中管段式超声波</w:t>
            </w:r>
            <w:r>
              <w:rPr>
                <w:rFonts w:ascii="宋体" w:hAnsi="宋体"/>
                <w:sz w:val="16"/>
              </w:rPr>
              <w:t>水表</w:t>
            </w:r>
            <w:r>
              <w:rPr>
                <w:rFonts w:ascii="宋体" w:hAnsi="宋体"/>
                <w:sz w:val="16"/>
              </w:rPr>
              <w:t>DN150-3500</w:t>
            </w:r>
            <w:r>
              <w:rPr>
                <w:rFonts w:ascii="宋体" w:hAnsi="宋体"/>
                <w:sz w:val="16"/>
              </w:rPr>
              <w:t>元，管段式超声波</w:t>
            </w:r>
            <w:r>
              <w:rPr>
                <w:rFonts w:ascii="宋体" w:hAnsi="宋体"/>
                <w:sz w:val="16"/>
              </w:rPr>
              <w:t>水表</w:t>
            </w:r>
            <w:r>
              <w:rPr>
                <w:rFonts w:ascii="宋体" w:hAnsi="宋体"/>
                <w:sz w:val="16"/>
              </w:rPr>
              <w:t>DN125-3450</w:t>
            </w:r>
            <w:r>
              <w:rPr>
                <w:rFonts w:ascii="宋体" w:hAnsi="宋体"/>
                <w:sz w:val="16"/>
              </w:rPr>
              <w:t>元，管段式超声波</w:t>
            </w:r>
            <w:r>
              <w:rPr>
                <w:rFonts w:ascii="宋体" w:hAnsi="宋体"/>
                <w:sz w:val="16"/>
              </w:rPr>
              <w:t>水表</w:t>
            </w:r>
            <w:r>
              <w:rPr>
                <w:rFonts w:ascii="宋体" w:hAnsi="宋体"/>
                <w:sz w:val="16"/>
              </w:rPr>
              <w:t>DN100-3410</w:t>
            </w:r>
            <w:r>
              <w:rPr>
                <w:rFonts w:ascii="宋体" w:hAnsi="宋体"/>
                <w:sz w:val="16"/>
              </w:rPr>
              <w:t>元。保障县城园林绿化用水工作。</w:t>
            </w:r>
          </w:p>
        </w:tc>
      </w:tr>
      <w:tr w:rsidR="00D2657A">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偏差原因分析及改进措施</w:t>
            </w:r>
          </w:p>
        </w:tc>
      </w:tr>
      <w:tr w:rsidR="00D265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采购计量设施数量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&gt;=6</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=6</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采购计量设施类型</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&gt;=3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计量设备安装</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管段式超声波水表</w:t>
            </w:r>
            <w:r>
              <w:rPr>
                <w:rFonts w:ascii="宋体" w:hAnsi="宋体"/>
                <w:sz w:val="16"/>
              </w:rPr>
              <w:t>DN150</w:t>
            </w:r>
            <w:r>
              <w:rPr>
                <w:rFonts w:ascii="宋体" w:hAnsi="宋体"/>
                <w:sz w:val="16"/>
              </w:rPr>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&lt;=1.05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管段式超声波水表</w:t>
            </w:r>
            <w:r>
              <w:rPr>
                <w:rFonts w:ascii="宋体" w:hAnsi="宋体"/>
                <w:sz w:val="16"/>
              </w:rPr>
              <w:t>DN125</w:t>
            </w:r>
            <w:r>
              <w:rPr>
                <w:rFonts w:ascii="宋体" w:hAnsi="宋体"/>
                <w:sz w:val="16"/>
              </w:rPr>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&lt;=0.35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管段式超声波水表</w:t>
            </w:r>
            <w:r>
              <w:rPr>
                <w:rFonts w:ascii="宋体" w:hAnsi="宋体"/>
                <w:sz w:val="16"/>
              </w:rPr>
              <w:t>DN100</w:t>
            </w:r>
            <w:r>
              <w:rPr>
                <w:rFonts w:ascii="宋体" w:hAnsi="宋体"/>
                <w:sz w:val="16"/>
              </w:rPr>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&lt;=0.68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=0.68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提高水资源利用效率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632" w:type="dxa"/>
            <w:vMerge/>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用户满意度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&gt;</w:t>
            </w: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D2657A">
            <w:pPr>
              <w:jc w:val="center"/>
            </w:pPr>
          </w:p>
        </w:tc>
      </w:tr>
      <w:tr w:rsidR="00D2657A">
        <w:tc>
          <w:tcPr>
            <w:tcW w:w="2528" w:type="dxa"/>
            <w:gridSpan w:val="4"/>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tcPr>
          <w:p w:rsidR="00D2657A" w:rsidRDefault="00D2657A"/>
        </w:tc>
        <w:tc>
          <w:tcPr>
            <w:tcW w:w="632" w:type="dxa"/>
            <w:tcBorders>
              <w:top w:val="single" w:sz="10" w:space="0" w:color="auto"/>
              <w:left w:val="single" w:sz="10" w:space="0" w:color="auto"/>
              <w:bottom w:val="single" w:sz="10" w:space="0" w:color="auto"/>
              <w:right w:val="single" w:sz="10" w:space="0" w:color="auto"/>
            </w:tcBorders>
            <w:vAlign w:val="center"/>
          </w:tcPr>
          <w:p w:rsidR="00D2657A" w:rsidRDefault="00BA6FA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2657A" w:rsidRDefault="00D2657A"/>
        </w:tc>
      </w:tr>
    </w:tbl>
    <w:p w:rsidR="00D2657A" w:rsidRDefault="00BA6FA1">
      <w:r>
        <w:br w:type="page"/>
      </w:r>
    </w:p>
    <w:p w:rsidR="00D2657A" w:rsidRDefault="00BA6FA1">
      <w:pPr>
        <w:spacing w:line="640" w:lineRule="exact"/>
        <w:ind w:firstLine="640"/>
        <w:outlineLvl w:val="2"/>
      </w:pPr>
      <w:r>
        <w:rPr>
          <w:rFonts w:ascii="黑体" w:eastAsia="黑体" w:hAnsi="黑体"/>
        </w:rPr>
        <w:lastRenderedPageBreak/>
        <w:t>十二、其他需说明的事项</w:t>
      </w:r>
    </w:p>
    <w:p w:rsidR="00D2657A" w:rsidRDefault="00BA6FA1">
      <w:pPr>
        <w:spacing w:line="580" w:lineRule="exact"/>
        <w:ind w:firstLine="640"/>
      </w:pPr>
      <w:r>
        <w:rPr>
          <w:rFonts w:ascii="仿宋_GB2312" w:eastAsia="仿宋_GB2312" w:hAnsi="仿宋_GB2312"/>
        </w:rPr>
        <w:t>本年度本单位整体绩效自评表由主管部门编报并公开。</w:t>
      </w:r>
    </w:p>
    <w:p w:rsidR="00D2657A" w:rsidRDefault="00BA6FA1">
      <w:r>
        <w:br w:type="page"/>
      </w:r>
    </w:p>
    <w:p w:rsidR="00D2657A" w:rsidRDefault="00BA6FA1">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D2657A" w:rsidRDefault="00BA6FA1">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D2657A" w:rsidRDefault="00BA6FA1">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D2657A" w:rsidRDefault="00BA6FA1">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D2657A" w:rsidRDefault="00BA6FA1">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D2657A" w:rsidRDefault="00BA6FA1">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D2657A" w:rsidRDefault="00BA6FA1">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D2657A" w:rsidRDefault="00BA6FA1">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D2657A" w:rsidRDefault="00BA6FA1">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w:t>
      </w:r>
      <w:r>
        <w:rPr>
          <w:rFonts w:ascii="仿宋_GB2312" w:eastAsia="仿宋_GB2312" w:hAnsi="仿宋_GB2312"/>
        </w:rPr>
        <w:t>，也包括事业收入、经营收入、其他收入的结转和结余。</w:t>
      </w:r>
    </w:p>
    <w:p w:rsidR="00D2657A" w:rsidRDefault="00BA6FA1">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D2657A" w:rsidRDefault="00BA6FA1">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D2657A" w:rsidRDefault="00BA6FA1">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D2657A" w:rsidRDefault="00BA6FA1">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D2657A" w:rsidRDefault="00BA6FA1">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w:t>
      </w:r>
      <w:r>
        <w:rPr>
          <w:rFonts w:ascii="仿宋_GB2312" w:eastAsia="仿宋_GB2312" w:hAnsi="仿宋_GB2312"/>
        </w:rPr>
        <w:t>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D2657A" w:rsidRDefault="00BA6FA1">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D2657A" w:rsidRDefault="00BA6FA1">
      <w:r>
        <w:br w:type="page"/>
      </w:r>
    </w:p>
    <w:p w:rsidR="00D2657A" w:rsidRDefault="00BA6FA1">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D2657A" w:rsidRDefault="00BA6FA1">
      <w:pPr>
        <w:ind w:firstLine="640"/>
      </w:pPr>
      <w:r>
        <w:rPr>
          <w:rFonts w:ascii="仿宋_GB2312" w:eastAsia="仿宋_GB2312" w:hAnsi="仿宋_GB2312"/>
        </w:rPr>
        <w:t>一、《收入支出决算总表》</w:t>
      </w:r>
    </w:p>
    <w:p w:rsidR="00D2657A" w:rsidRDefault="00BA6FA1">
      <w:pPr>
        <w:ind w:firstLine="640"/>
      </w:pPr>
      <w:r>
        <w:rPr>
          <w:rFonts w:ascii="仿宋_GB2312" w:eastAsia="仿宋_GB2312" w:hAnsi="仿宋_GB2312"/>
        </w:rPr>
        <w:t>二、《收入决算表》</w:t>
      </w:r>
    </w:p>
    <w:p w:rsidR="00D2657A" w:rsidRDefault="00BA6FA1">
      <w:pPr>
        <w:ind w:firstLine="640"/>
      </w:pPr>
      <w:r>
        <w:rPr>
          <w:rFonts w:ascii="仿宋_GB2312" w:eastAsia="仿宋_GB2312" w:hAnsi="仿宋_GB2312"/>
        </w:rPr>
        <w:t>三、《支出决算表》</w:t>
      </w:r>
    </w:p>
    <w:p w:rsidR="00D2657A" w:rsidRDefault="00BA6FA1">
      <w:pPr>
        <w:ind w:firstLine="640"/>
      </w:pPr>
      <w:r>
        <w:rPr>
          <w:rFonts w:ascii="仿宋_GB2312" w:eastAsia="仿宋_GB2312" w:hAnsi="仿宋_GB2312"/>
        </w:rPr>
        <w:t>四、《财政拨款收入支出决算总表》</w:t>
      </w:r>
    </w:p>
    <w:p w:rsidR="00D2657A" w:rsidRDefault="00BA6FA1">
      <w:pPr>
        <w:ind w:firstLine="640"/>
      </w:pPr>
      <w:r>
        <w:rPr>
          <w:rFonts w:ascii="仿宋_GB2312" w:eastAsia="仿宋_GB2312" w:hAnsi="仿宋_GB2312"/>
        </w:rPr>
        <w:t>五、《一般公共预算财政拨款支出决算表》</w:t>
      </w:r>
    </w:p>
    <w:p w:rsidR="00D2657A" w:rsidRDefault="00BA6FA1">
      <w:pPr>
        <w:ind w:firstLine="640"/>
      </w:pPr>
      <w:r>
        <w:rPr>
          <w:rFonts w:ascii="仿宋_GB2312" w:eastAsia="仿宋_GB2312" w:hAnsi="仿宋_GB2312"/>
        </w:rPr>
        <w:t>六、《一般公共预算财政拨款基本支出决算表》</w:t>
      </w:r>
    </w:p>
    <w:p w:rsidR="00D2657A" w:rsidRDefault="00BA6FA1">
      <w:pPr>
        <w:ind w:firstLine="640"/>
      </w:pPr>
      <w:r>
        <w:rPr>
          <w:rFonts w:ascii="仿宋_GB2312" w:eastAsia="仿宋_GB2312" w:hAnsi="仿宋_GB2312"/>
        </w:rPr>
        <w:t>七、《政府性基金预算财政拨款收入支出决算表》</w:t>
      </w:r>
    </w:p>
    <w:p w:rsidR="00D2657A" w:rsidRDefault="00BA6FA1">
      <w:pPr>
        <w:ind w:firstLine="640"/>
      </w:pPr>
      <w:r>
        <w:rPr>
          <w:rFonts w:ascii="仿宋_GB2312" w:eastAsia="仿宋_GB2312" w:hAnsi="仿宋_GB2312"/>
        </w:rPr>
        <w:t>八、《国有资本经营预算财政拨款收入支出决算表》</w:t>
      </w:r>
    </w:p>
    <w:p w:rsidR="00D2657A" w:rsidRDefault="00BA6FA1">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D2657A" w:rsidRDefault="00D2657A">
      <w:pPr>
        <w:ind w:firstLine="640"/>
      </w:pPr>
    </w:p>
    <w:p w:rsidR="00D2657A" w:rsidRDefault="00D2657A">
      <w:pPr>
        <w:ind w:firstLine="640"/>
      </w:pPr>
    </w:p>
    <w:p w:rsidR="00D2657A" w:rsidRDefault="00D2657A">
      <w:pPr>
        <w:ind w:firstLine="640"/>
      </w:pPr>
    </w:p>
    <w:p w:rsidR="00D2657A" w:rsidRDefault="00D2657A">
      <w:pPr>
        <w:ind w:firstLine="640"/>
      </w:pPr>
    </w:p>
    <w:p w:rsidR="00D2657A" w:rsidRDefault="00D2657A">
      <w:pPr>
        <w:ind w:firstLine="640"/>
      </w:pPr>
    </w:p>
    <w:sectPr w:rsidR="00D2657A">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A6FA1">
      <w:r>
        <w:separator/>
      </w:r>
    </w:p>
  </w:endnote>
  <w:endnote w:type="continuationSeparator" w:id="0">
    <w:p w:rsidR="00000000" w:rsidRDefault="00BA6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7A" w:rsidRDefault="00BA6FA1">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2657A" w:rsidRDefault="00BA6FA1">
                          <w:pPr>
                            <w:pStyle w:val="a4"/>
                          </w:pPr>
                          <w:r>
                            <w:rPr>
                              <w:rFonts w:hint="eastAsia"/>
                            </w:rPr>
                            <w:fldChar w:fldCharType="begin"/>
                          </w:r>
                          <w:r>
                            <w:rPr>
                              <w:rFonts w:hint="eastAsia"/>
                            </w:rPr>
                            <w:instrText xml:space="preserve"> PAGE  \* MERGEFORMAT </w:instrText>
                          </w:r>
                          <w:r>
                            <w:rPr>
                              <w:rFonts w:hint="eastAsia"/>
                            </w:rPr>
                            <w:fldChar w:fldCharType="separate"/>
                          </w:r>
                          <w:r>
                            <w:rPr>
                              <w:noProof/>
                            </w:rPr>
                            <w:t>20</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D2657A" w:rsidRDefault="00BA6FA1">
                    <w:pPr>
                      <w:pStyle w:val="a4"/>
                    </w:pPr>
                    <w:r>
                      <w:rPr>
                        <w:rFonts w:hint="eastAsia"/>
                      </w:rPr>
                      <w:fldChar w:fldCharType="begin"/>
                    </w:r>
                    <w:r>
                      <w:rPr>
                        <w:rFonts w:hint="eastAsia"/>
                      </w:rPr>
                      <w:instrText xml:space="preserve"> PAGE  \* MERGEFORMAT </w:instrText>
                    </w:r>
                    <w:r>
                      <w:rPr>
                        <w:rFonts w:hint="eastAsia"/>
                      </w:rPr>
                      <w:fldChar w:fldCharType="separate"/>
                    </w:r>
                    <w:r>
                      <w:rPr>
                        <w:noProof/>
                      </w:rPr>
                      <w:t>20</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A6FA1">
      <w:r>
        <w:separator/>
      </w:r>
    </w:p>
  </w:footnote>
  <w:footnote w:type="continuationSeparator" w:id="0">
    <w:p w:rsidR="00000000" w:rsidRDefault="00BA6F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D2657A"/>
    <w:rsid w:val="005D6C27"/>
    <w:rsid w:val="00BA6FA1"/>
    <w:rsid w:val="00D2657A"/>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B98A38A-D3C4-4C2D-8F35-717216F23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1774</Words>
  <Characters>10116</Characters>
  <Application>Microsoft Office Word</Application>
  <DocSecurity>0</DocSecurity>
  <Lines>84</Lines>
  <Paragraphs>23</Paragraphs>
  <ScaleCrop>false</ScaleCrop>
  <Company>Organization</Company>
  <LinksUpToDate>false</LinksUpToDate>
  <CharactersWithSpaces>11867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