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pStyle w:val="3"/>
        <w:bidi w:val="0"/>
        <w:rPr>
          <w:rFonts w:hint="default" w:ascii="Times New Roman" w:hAnsi="Times New Roman" w:cs="Times New Roman"/>
          <w:color w:val="auto"/>
          <w:sz w:val="44"/>
          <w:szCs w:val="44"/>
          <w:highlight w:val="none"/>
        </w:rPr>
      </w:pPr>
      <w:bookmarkStart w:id="0" w:name="_Toc13858"/>
      <w:bookmarkStart w:id="1" w:name="_Toc24054"/>
      <w:bookmarkStart w:id="2" w:name="_Toc28201"/>
      <w:bookmarkStart w:id="3" w:name="_Toc152"/>
      <w:r>
        <w:rPr>
          <w:rFonts w:hint="default" w:ascii="Times New Roman" w:hAnsi="Times New Roman" w:cs="Times New Roman"/>
          <w:color w:val="auto"/>
          <w:sz w:val="44"/>
          <w:szCs w:val="44"/>
          <w:highlight w:val="none"/>
        </w:rPr>
        <w:t>项目支出绩效评价报告</w:t>
      </w:r>
      <w:bookmarkEnd w:id="0"/>
      <w:bookmarkEnd w:id="1"/>
      <w:bookmarkEnd w:id="2"/>
      <w:bookmarkEnd w:id="3"/>
    </w:p>
    <w:p>
      <w:pPr>
        <w:ind w:firstLine="883"/>
        <w:jc w:val="both"/>
        <w:rPr>
          <w:rFonts w:hint="default" w:ascii="Times New Roman" w:hAnsi="Times New Roman" w:eastAsia="宋体" w:cs="Times New Roman"/>
          <w:b/>
          <w:bCs/>
          <w:color w:val="auto"/>
          <w:sz w:val="44"/>
          <w:szCs w:val="44"/>
          <w:highlight w:val="none"/>
        </w:rPr>
      </w:pPr>
    </w:p>
    <w:p>
      <w:pPr>
        <w:bidi w:val="0"/>
        <w:jc w:val="both"/>
        <w:rPr>
          <w:rFonts w:hint="default" w:ascii="Times New Roman" w:hAnsi="Times New Roman" w:eastAsia="宋体" w:cs="Times New Roman"/>
          <w:color w:val="auto"/>
          <w:highlight w:val="none"/>
        </w:rPr>
      </w:pPr>
    </w:p>
    <w:p>
      <w:pPr>
        <w:bidi w:val="0"/>
        <w:ind w:left="0" w:leftChars="0" w:firstLine="0" w:firstLineChars="0"/>
        <w:jc w:val="center"/>
        <w:rPr>
          <w:rFonts w:hint="default" w:ascii="Times New Roman" w:hAnsi="Times New Roman" w:eastAsia="宋体" w:cs="Times New Roman"/>
          <w:color w:val="auto"/>
          <w:highlight w:val="none"/>
        </w:rPr>
      </w:pPr>
      <w:r>
        <w:rPr>
          <w:rFonts w:ascii="Times New Roman" w:hAnsi="Times New Roman"/>
          <w:color w:val="auto"/>
          <w:sz w:val="28"/>
          <w:szCs w:val="28"/>
          <w:highlight w:val="none"/>
        </w:rPr>
        <w:t>（202</w:t>
      </w:r>
      <w:r>
        <w:rPr>
          <w:rFonts w:hint="eastAsia" w:ascii="Times New Roman" w:hAnsi="Times New Roman"/>
          <w:color w:val="auto"/>
          <w:sz w:val="28"/>
          <w:szCs w:val="28"/>
          <w:highlight w:val="none"/>
          <w:lang w:val="en-US" w:eastAsia="zh-CN"/>
        </w:rPr>
        <w:t>4</w:t>
      </w:r>
      <w:r>
        <w:rPr>
          <w:rFonts w:ascii="Times New Roman" w:hAnsi="Times New Roman"/>
          <w:color w:val="auto"/>
          <w:sz w:val="28"/>
          <w:szCs w:val="28"/>
          <w:highlight w:val="none"/>
        </w:rPr>
        <w:t>年度）</w:t>
      </w: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b/>
          <w:bCs/>
          <w:color w:val="auto"/>
          <w:highlight w:val="none"/>
        </w:rPr>
      </w:pPr>
    </w:p>
    <w:p>
      <w:pPr>
        <w:pStyle w:val="2"/>
        <w:rPr>
          <w:rFonts w:hint="default" w:ascii="Times New Roman" w:hAnsi="Times New Roman" w:eastAsia="宋体" w:cs="Times New Roman"/>
          <w:b/>
          <w:bCs/>
          <w:color w:val="auto"/>
          <w:highlight w:val="none"/>
        </w:rPr>
      </w:pPr>
    </w:p>
    <w:p>
      <w:pPr>
        <w:pStyle w:val="2"/>
        <w:rPr>
          <w:rFonts w:hint="default" w:ascii="Times New Roman" w:hAnsi="Times New Roman"/>
          <w:color w:val="auto"/>
          <w:highlight w:val="none"/>
        </w:rPr>
      </w:pP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项目名称：</w:t>
      </w:r>
      <w:r>
        <w:rPr>
          <w:rFonts w:hint="eastAsia" w:ascii="Times New Roman" w:hAnsi="Times New Roman"/>
          <w:color w:val="auto"/>
          <w:highlight w:val="none"/>
          <w:lang w:val="en-US" w:eastAsia="zh-CN"/>
        </w:rPr>
        <w:t>园林绿化高洁服务费</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实施单位（公章）：</w:t>
      </w:r>
      <w:r>
        <w:rPr>
          <w:rFonts w:hint="eastAsia" w:ascii="Times New Roman" w:hAnsi="Times New Roman"/>
          <w:color w:val="auto"/>
          <w:highlight w:val="none"/>
          <w:lang w:val="en-US" w:eastAsia="zh-CN"/>
        </w:rPr>
        <w:t>尉犁县园林绿化服务中心</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主管部门（公章）：</w:t>
      </w:r>
      <w:r>
        <w:rPr>
          <w:rFonts w:hint="eastAsia" w:ascii="Times New Roman" w:hAnsi="Times New Roman"/>
          <w:color w:val="auto"/>
          <w:highlight w:val="none"/>
          <w:lang w:val="en-US" w:eastAsia="zh-CN"/>
        </w:rPr>
        <w:t>尉犁县住房和城乡建设局</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项目负责人（签章）：</w:t>
      </w:r>
      <w:r>
        <w:rPr>
          <w:rFonts w:hint="eastAsia" w:ascii="Times New Roman" w:hAnsi="Times New Roman"/>
          <w:color w:val="auto"/>
          <w:highlight w:val="none"/>
          <w:lang w:val="en-US" w:eastAsia="zh-CN"/>
        </w:rPr>
        <w:t>买合木提江·哈斯木</w:t>
      </w:r>
    </w:p>
    <w:p>
      <w:pPr>
        <w:bidi w:val="0"/>
        <w:rPr>
          <w:rFonts w:hint="eastAsia" w:ascii="Times New Roman" w:hAnsi="Times New Roman"/>
          <w:color w:val="auto"/>
          <w:highlight w:val="none"/>
        </w:rPr>
      </w:pPr>
      <w:r>
        <w:rPr>
          <w:rFonts w:hint="eastAsia" w:ascii="Times New Roman" w:hAnsi="Times New Roman"/>
          <w:color w:val="auto"/>
          <w:highlight w:val="none"/>
        </w:rPr>
        <w:t>填报时间：</w:t>
      </w:r>
      <w:r>
        <w:rPr>
          <w:rFonts w:hint="eastAsia" w:ascii="Times New Roman" w:hAnsi="Times New Roman"/>
          <w:color w:val="auto"/>
          <w:highlight w:val="none"/>
          <w:lang w:val="en-US" w:eastAsia="zh-CN"/>
        </w:rPr>
        <w:t>2024</w:t>
      </w:r>
      <w:r>
        <w:rPr>
          <w:rFonts w:hint="eastAsia" w:ascii="Times New Roman" w:hAnsi="Times New Roman"/>
          <w:color w:val="auto"/>
          <w:highlight w:val="none"/>
        </w:rPr>
        <w:t>年</w:t>
      </w:r>
      <w:r>
        <w:rPr>
          <w:rFonts w:hint="eastAsia" w:ascii="Times New Roman" w:hAnsi="Times New Roman"/>
          <w:color w:val="auto"/>
          <w:highlight w:val="none"/>
          <w:lang w:val="en-US" w:eastAsia="zh-CN"/>
        </w:rPr>
        <w:t>04</w:t>
      </w:r>
      <w:r>
        <w:rPr>
          <w:rFonts w:hint="eastAsia" w:ascii="Times New Roman" w:hAnsi="Times New Roman"/>
          <w:color w:val="auto"/>
          <w:highlight w:val="none"/>
        </w:rPr>
        <w:t>月</w:t>
      </w:r>
      <w:r>
        <w:rPr>
          <w:rFonts w:hint="eastAsia" w:ascii="Times New Roman" w:hAnsi="Times New Roman"/>
          <w:color w:val="auto"/>
          <w:highlight w:val="none"/>
          <w:lang w:val="en-US" w:eastAsia="zh-CN"/>
        </w:rPr>
        <w:t>02</w:t>
      </w:r>
      <w:r>
        <w:rPr>
          <w:rFonts w:hint="eastAsia" w:ascii="Times New Roman" w:hAnsi="Times New Roman"/>
          <w:color w:val="auto"/>
          <w:highlight w:val="none"/>
        </w:rPr>
        <w:t>日</w:t>
      </w:r>
    </w:p>
    <w:p>
      <w:pPr>
        <w:bidi w:val="0"/>
        <w:rPr>
          <w:rFonts w:hint="default" w:ascii="Times New Roman" w:hAnsi="Times New Roman"/>
          <w:color w:val="auto"/>
          <w:highlight w:val="none"/>
          <w:lang w:val="en-US" w:eastAsia="zh-CN"/>
        </w:rPr>
        <w:sectPr>
          <w:pgSz w:w="11905" w:h="16838"/>
          <w:pgMar w:top="1440" w:right="1800" w:bottom="1440" w:left="1803" w:header="851" w:footer="992" w:gutter="0"/>
          <w:pgNumType w:fmt="decimal"/>
          <w:cols w:space="720" w:num="1"/>
          <w:rtlGutter w:val="0"/>
          <w:docGrid w:type="lines" w:linePitch="436" w:charSpace="0"/>
        </w:sectPr>
      </w:pPr>
      <w:bookmarkStart w:id="4" w:name="_Toc14721"/>
      <w:bookmarkStart w:id="5" w:name="_Toc15542"/>
      <w:bookmarkStart w:id="6" w:name="_Toc5473"/>
      <w:bookmarkStart w:id="7" w:name="_Toc11827"/>
      <w:bookmarkStart w:id="8" w:name="_Toc1891"/>
      <w:bookmarkStart w:id="9" w:name="_Toc18707"/>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640" w:leftChars="200" w:right="0" w:rightChars="0" w:firstLine="0" w:firstLineChars="0"/>
        <w:jc w:val="center"/>
        <w:textAlignment w:val="auto"/>
        <w:rPr>
          <w:rFonts w:ascii="Times New Roman" w:hAnsi="Times New Roman"/>
          <w:b/>
          <w:bCs/>
          <w:sz w:val="32"/>
          <w:szCs w:val="32"/>
        </w:rPr>
      </w:pPr>
      <w:r>
        <w:rPr>
          <w:rFonts w:ascii="Times New Roman" w:hAnsi="Times New Roman" w:eastAsia="宋体"/>
          <w:b/>
          <w:bCs/>
          <w:sz w:val="32"/>
          <w:szCs w:val="32"/>
        </w:rPr>
        <w:t>目</w:t>
      </w:r>
      <w:r>
        <w:rPr>
          <w:rFonts w:hint="eastAsia" w:ascii="Times New Roman" w:hAnsi="Times New Roman" w:eastAsia="宋体"/>
          <w:b/>
          <w:bCs/>
          <w:sz w:val="32"/>
          <w:szCs w:val="32"/>
          <w:lang w:val="en-US" w:eastAsia="zh-CN"/>
        </w:rPr>
        <w:t xml:space="preserve">  </w:t>
      </w:r>
      <w:r>
        <w:rPr>
          <w:rFonts w:ascii="Times New Roman" w:hAnsi="Times New Roman" w:eastAsia="宋体"/>
          <w:b/>
          <w:bCs/>
          <w:sz w:val="32"/>
          <w:szCs w:val="32"/>
        </w:rPr>
        <w:t>录</w:t>
      </w:r>
    </w:p>
    <w:p>
      <w:pPr>
        <w:pStyle w:val="9"/>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rPr>
          <w:rFonts w:ascii="Times New Roman" w:hAnsi="Times New Roman"/>
          <w:color w:val="auto"/>
          <w:highlight w:val="none"/>
        </w:rPr>
        <w:fldChar w:fldCharType="begin"/>
      </w:r>
      <w:r>
        <w:rPr>
          <w:rFonts w:ascii="Times New Roman" w:hAnsi="Times New Roman"/>
          <w:color w:val="auto"/>
          <w:highlight w:val="none"/>
        </w:rPr>
        <w:instrText xml:space="preserve">TOC \o "1-3" \h \u</w:instrText>
      </w:r>
      <w:r>
        <w:rPr>
          <w:rFonts w:ascii="Times New Roman" w:hAnsi="Times New Roman"/>
          <w:color w:val="auto"/>
          <w:highlight w:val="none"/>
        </w:rPr>
        <w:fldChar w:fldCharType="separate"/>
      </w:r>
      <w:r>
        <w:fldChar w:fldCharType="begin"/>
      </w:r>
      <w:r>
        <w:instrText xml:space="preserve"> HYPERLINK \l "_Toc2477" </w:instrText>
      </w:r>
      <w:r>
        <w:fldChar w:fldCharType="separate"/>
      </w:r>
      <w:r>
        <w:rPr>
          <w:rFonts w:hint="default" w:ascii="Times New Roman" w:hAnsi="Times New Roman" w:eastAsia="黑体" w:cs="Times New Roman"/>
          <w:bCs/>
          <w:iCs/>
          <w:kern w:val="2"/>
          <w:szCs w:val="21"/>
          <w:highlight w:val="none"/>
          <w:lang w:val="en-US" w:eastAsia="zh-CN" w:bidi="ar-SA"/>
        </w:rPr>
        <w:t>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_Toc2477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"_Toc12759" </w:instrText>
      </w:r>
      <w:r>
        <w:fldChar w:fldCharType="separate"/>
      </w:r>
      <w:r>
        <w:rPr>
          <w:rFonts w:hint="default" w:ascii="Times New Roman" w:hAnsi="Times New Roman" w:eastAsia="楷体" w:cs="Times New Roman"/>
          <w:highlight w:val="none"/>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_Toc12759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"_Toc20620" </w:instrText>
      </w:r>
      <w:r>
        <w:fldChar w:fldCharType="separate"/>
      </w:r>
      <w:r>
        <w:rPr>
          <w:rFonts w:hint="default" w:ascii="Times New Roman" w:hAnsi="Times New Roman" w:eastAsia="楷体" w:cs="Times New Roman"/>
          <w:highlight w:val="none"/>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_Toc20620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"_Toc19075" </w:instrText>
      </w:r>
      <w:r>
        <w:fldChar w:fldCharType="separate"/>
      </w:r>
      <w:r>
        <w:rPr>
          <w:rFonts w:hint="default" w:ascii="Times New Roman" w:hAnsi="Times New Roman" w:eastAsia="黑体" w:cs="Times New Roman"/>
          <w:highlight w:val="none"/>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_Toc19075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"_Toc18251" </w:instrText>
      </w:r>
      <w:r>
        <w:fldChar w:fldCharType="separate"/>
      </w:r>
      <w:r>
        <w:rPr>
          <w:rFonts w:hint="default" w:ascii="Times New Roman" w:hAnsi="Times New Roman" w:eastAsia="楷体" w:cs="Times New Roman"/>
          <w:highlight w:val="none"/>
        </w:rPr>
        <w:t>（一）绩效评价目的、对象和范围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_Toc18251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"_Toc2589" </w:instrText>
      </w:r>
      <w:r>
        <w:fldChar w:fldCharType="separate"/>
      </w:r>
      <w:r>
        <w:rPr>
          <w:rFonts w:hint="eastAsia" w:ascii="Times New Roman" w:hAnsi="Times New Roman" w:eastAsia="楷体" w:cs="楷体"/>
          <w:highlight w:val="none"/>
        </w:rPr>
        <w:t>（二）绩效评价原则、评价指标体系、评价方法、评价标准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_Toc2589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"_Toc27288" </w:instrText>
      </w:r>
      <w:r>
        <w:fldChar w:fldCharType="separate"/>
      </w:r>
      <w:r>
        <w:rPr>
          <w:rFonts w:hint="eastAsia" w:ascii="Times New Roman" w:hAnsi="Times New Roman" w:eastAsia="楷体" w:cs="楷体"/>
          <w:highlight w:val="none"/>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_Toc27288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"_Toc4355" </w:instrText>
      </w:r>
      <w:r>
        <w:fldChar w:fldCharType="separate"/>
      </w:r>
      <w:r>
        <w:rPr>
          <w:rFonts w:hint="eastAsia" w:ascii="Times New Roman" w:hAnsi="Times New Roman" w:eastAsia="黑体" w:cs="黑体"/>
          <w:highlight w:val="none"/>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_Toc4355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"_Toc12376" </w:instrText>
      </w:r>
      <w:r>
        <w:fldChar w:fldCharType="separate"/>
      </w:r>
      <w:r>
        <w:rPr>
          <w:rFonts w:hint="eastAsia" w:ascii="Times New Roman" w:hAnsi="Times New Roman" w:eastAsia="黑体" w:cs="黑体"/>
          <w:highlight w:val="none"/>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_Toc12376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"_Toc19711" </w:instrText>
      </w:r>
      <w:r>
        <w:fldChar w:fldCharType="separate"/>
      </w:r>
      <w:r>
        <w:rPr>
          <w:rFonts w:hint="eastAsia" w:ascii="Times New Roman" w:hAnsi="Times New Roman" w:eastAsia="楷体" w:cs="楷体"/>
          <w:highlight w:val="none"/>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_Toc19711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"_Toc32441" </w:instrText>
      </w:r>
      <w:r>
        <w:fldChar w:fldCharType="separate"/>
      </w:r>
      <w:r>
        <w:rPr>
          <w:rFonts w:hint="eastAsia" w:ascii="Times New Roman" w:hAnsi="Times New Roman" w:eastAsia="楷体" w:cs="楷体"/>
          <w:highlight w:val="none"/>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_Toc32441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"_Toc14762" </w:instrText>
      </w:r>
      <w:r>
        <w:fldChar w:fldCharType="separate"/>
      </w:r>
      <w:r>
        <w:rPr>
          <w:rFonts w:hint="eastAsia" w:ascii="Times New Roman" w:hAnsi="Times New Roman" w:eastAsia="楷体" w:cs="楷体"/>
          <w:highlight w:val="none"/>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_Toc14762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"_Toc8937" </w:instrText>
      </w:r>
      <w:r>
        <w:fldChar w:fldCharType="separate"/>
      </w:r>
      <w:r>
        <w:rPr>
          <w:rFonts w:hint="eastAsia" w:ascii="Times New Roman" w:hAnsi="Times New Roman" w:eastAsia="楷体" w:cs="楷体"/>
          <w:highlight w:val="none"/>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_Toc8937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"_Toc14763" </w:instrText>
      </w:r>
      <w:r>
        <w:fldChar w:fldCharType="separate"/>
      </w:r>
      <w:r>
        <w:rPr>
          <w:rFonts w:hint="eastAsia" w:ascii="Times New Roman" w:hAnsi="Times New Roman" w:eastAsia="黑体" w:cs="黑体"/>
          <w:highlight w:val="none"/>
        </w:rPr>
        <w:t>五、主要经验及做法、存在的问题及原因分析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_Toc14763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"_Toc23511" </w:instrText>
      </w:r>
      <w:r>
        <w:fldChar w:fldCharType="separate"/>
      </w:r>
      <w:r>
        <w:rPr>
          <w:rFonts w:hint="eastAsia" w:ascii="Times New Roman" w:hAnsi="Times New Roman" w:eastAsia="楷体" w:cs="楷体"/>
          <w:highlight w:val="none"/>
        </w:rPr>
        <w:t>（一）主要经验及做法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_Toc23511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"_Toc26664" </w:instrText>
      </w:r>
      <w:r>
        <w:fldChar w:fldCharType="separate"/>
      </w:r>
      <w:r>
        <w:rPr>
          <w:rFonts w:hint="eastAsia" w:ascii="Times New Roman" w:hAnsi="Times New Roman" w:eastAsia="楷体" w:cs="楷体"/>
          <w:highlight w:val="none"/>
        </w:rPr>
        <w:t>（二）存在的问题及分析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_Toc26664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"_Toc14377" </w:instrText>
      </w:r>
      <w:r>
        <w:fldChar w:fldCharType="separate"/>
      </w:r>
      <w:r>
        <w:rPr>
          <w:rFonts w:hint="eastAsia" w:ascii="Times New Roman" w:hAnsi="Times New Roman" w:eastAsia="黑体" w:cs="黑体"/>
          <w:highlight w:val="none"/>
        </w:rPr>
        <w:t>六、有关建议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_Toc14377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"_Toc16639" </w:instrText>
      </w:r>
      <w:r>
        <w:fldChar w:fldCharType="separate"/>
      </w:r>
      <w:r>
        <w:rPr>
          <w:rFonts w:hint="default" w:ascii="Times New Roman" w:hAnsi="Times New Roman" w:eastAsia="黑体" w:cs="黑体"/>
          <w:bCs/>
          <w:iCs/>
          <w:highlight w:val="none"/>
        </w:rPr>
        <w:t>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_Toc16639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"_Toc29920" </w:instrText>
      </w:r>
      <w:r>
        <w:fldChar w:fldCharType="separate"/>
      </w:r>
      <w:r>
        <w:rPr>
          <w:rFonts w:hint="default" w:ascii="Times New Roman" w:hAnsi="Times New Roman" w:eastAsia="黑体" w:cs="黑体"/>
          <w:bCs/>
          <w:iCs/>
          <w:highlight w:val="none"/>
        </w:rPr>
        <w:t>八、附件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_Toc29920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"_Toc835" </w:instrText>
      </w:r>
      <w:r>
        <w:fldChar w:fldCharType="separate"/>
      </w:r>
      <w:r>
        <w:rPr>
          <w:rFonts w:hint="default" w:ascii="Times New Roman" w:hAnsi="Times New Roman" w:eastAsia="仿宋_GB2312" w:cs="Times New Roman"/>
          <w:bCs/>
          <w:iCs/>
          <w:highlight w:val="none"/>
        </w:rPr>
        <w:t>附件1：</w:t>
      </w:r>
      <w:r>
        <w:rPr>
          <w:rFonts w:hint="default" w:ascii="Times New Roman" w:hAnsi="Times New Roman" w:eastAsia="仿宋_GB2312" w:cs="Times New Roman"/>
          <w:highlight w:val="none"/>
        </w:rPr>
        <w:t>项目支出绩效自评表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_Toc835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9"/>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rPr>
          <w:rFonts w:hint="eastAsia" w:ascii="Times New Roman" w:hAnsi="Times New Roman"/>
          <w:color w:val="auto"/>
          <w:highlight w:val="none"/>
          <w:lang w:val="en-US" w:eastAsia="zh-CN"/>
        </w:rPr>
        <w:t>附件2：</w:t>
      </w:r>
      <w:r>
        <w:fldChar w:fldCharType="begin"/>
      </w:r>
      <w:r>
        <w:instrText xml:space="preserve"> HYPERLINK \l "_Toc23161" </w:instrText>
      </w:r>
      <w:r>
        <w:fldChar w:fldCharType="separate"/>
      </w:r>
      <w:r>
        <w:rPr>
          <w:rFonts w:hint="default" w:ascii="Times New Roman" w:hAnsi="Times New Roman" w:eastAsia="仿宋_GB2312" w:cs="Times New Roman"/>
          <w:highlight w:val="none"/>
        </w:rPr>
        <w:t>项目支出绩效评价指标体系及评分</w:t>
      </w:r>
      <w:r>
        <w:rPr>
          <w:rFonts w:hint="eastAsia" w:ascii="Times New Roman" w:hAnsi="Times New Roman" w:cs="Times New Roman"/>
          <w:highlight w:val="none"/>
          <w:lang w:val="en-US" w:eastAsia="zh-CN"/>
        </w:rPr>
        <w:t>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_Toc23161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color w:val="auto"/>
          <w:highlight w:val="none"/>
        </w:rPr>
      </w:pPr>
      <w:r>
        <w:rPr>
          <w:rFonts w:ascii="Times New Roman" w:hAnsi="Times New Roman"/>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黑体" w:cs="Times New Roman"/>
          <w:bCs/>
          <w:iCs/>
          <w:color w:val="auto"/>
          <w:kern w:val="2"/>
          <w:sz w:val="32"/>
          <w:szCs w:val="21"/>
          <w:highlight w:val="none"/>
          <w:lang w:val="en-US" w:eastAsia="zh-CN" w:bidi="ar-SA"/>
        </w:rPr>
        <w:sectPr>
          <w:pgSz w:w="11905" w:h="16838"/>
          <w:pgMar w:top="1440" w:right="1800" w:bottom="1440" w:left="1803" w:header="851" w:footer="992" w:gutter="0"/>
          <w:pgNumType w:fmt="decimal"/>
          <w:cols w:space="720" w:num="1"/>
          <w:rtlGutter w:val="0"/>
          <w:docGrid w:type="lines" w:linePitch="436"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黑体" w:cs="Times New Roman"/>
          <w:bCs/>
          <w:iCs/>
          <w:color w:val="auto"/>
          <w:kern w:val="2"/>
          <w:sz w:val="32"/>
          <w:szCs w:val="21"/>
          <w:highlight w:val="none"/>
          <w:lang w:val="en-US" w:eastAsia="zh-CN" w:bidi="ar-SA"/>
        </w:rPr>
      </w:pPr>
      <w:bookmarkStart w:id="10" w:name="_Toc23599"/>
      <w:bookmarkStart w:id="11" w:name="_Toc2477"/>
      <w:r>
        <w:rPr>
          <w:rFonts w:hint="default" w:ascii="Times New Roman" w:hAnsi="Times New Roman" w:eastAsia="黑体" w:cs="Times New Roman"/>
          <w:bCs/>
          <w:iCs/>
          <w:color w:val="auto"/>
          <w:kern w:val="2"/>
          <w:sz w:val="32"/>
          <w:szCs w:val="21"/>
          <w:highlight w:val="none"/>
          <w:lang w:val="en-US" w:eastAsia="zh-CN" w:bidi="ar-SA"/>
        </w:rPr>
        <w:t>一、基本情况</w:t>
      </w:r>
      <w:bookmarkEnd w:id="4"/>
      <w:bookmarkEnd w:id="5"/>
      <w:bookmarkEnd w:id="6"/>
      <w:bookmarkEnd w:id="7"/>
      <w:bookmarkEnd w:id="8"/>
      <w:bookmarkEnd w:id="9"/>
      <w:bookmarkEnd w:id="10"/>
      <w:bookmarkEnd w:id="11"/>
      <w:bookmarkStart w:id="12" w:name="_Toc27593"/>
    </w:p>
    <w:p>
      <w:pPr>
        <w:pStyle w:val="4"/>
        <w:bidi w:val="0"/>
        <w:jc w:val="both"/>
        <w:rPr>
          <w:rFonts w:hint="default" w:ascii="Times New Roman" w:hAnsi="Times New Roman" w:eastAsia="楷体" w:cs="Times New Roman"/>
          <w:color w:val="auto"/>
          <w:highlight w:val="none"/>
        </w:rPr>
      </w:pPr>
      <w:bookmarkStart w:id="13" w:name="_Toc26183"/>
      <w:bookmarkStart w:id="14" w:name="_Toc24706"/>
      <w:bookmarkStart w:id="15" w:name="_Toc12759"/>
      <w:bookmarkStart w:id="16" w:name="_Toc9236"/>
      <w:bookmarkStart w:id="17" w:name="_Toc24048"/>
      <w:r>
        <w:rPr>
          <w:rFonts w:hint="default" w:ascii="Times New Roman" w:hAnsi="Times New Roman" w:eastAsia="楷体" w:cs="Times New Roman"/>
          <w:color w:val="auto"/>
          <w:highlight w:val="none"/>
        </w:rPr>
        <w:t>（一）项目概况</w:t>
      </w:r>
      <w:bookmarkEnd w:id="12"/>
      <w:bookmarkEnd w:id="13"/>
      <w:bookmarkEnd w:id="14"/>
      <w:bookmarkEnd w:id="15"/>
      <w:bookmarkEnd w:id="16"/>
      <w:bookmarkEnd w:id="17"/>
    </w:p>
    <w:p>
      <w:pPr>
        <w:bidi w:val="0"/>
        <w:jc w:val="both"/>
        <w:rPr>
          <w:rFonts w:hint="default" w:ascii="Times New Roman" w:hAnsi="Times New Roman" w:eastAsia="仿宋_GB2312" w:cs="Times New Roman"/>
          <w:b/>
          <w:bCs/>
          <w:color w:val="auto"/>
          <w:highlight w:val="none"/>
        </w:rPr>
      </w:pPr>
      <w:bookmarkStart w:id="18" w:name="_Toc11427"/>
      <w:bookmarkStart w:id="19" w:name="_Toc19984"/>
      <w:r>
        <w:rPr>
          <w:rFonts w:hint="default" w:ascii="Times New Roman" w:hAnsi="Times New Roman" w:eastAsia="仿宋_GB2312" w:cs="Times New Roman"/>
          <w:b/>
          <w:bCs/>
          <w:color w:val="auto"/>
          <w:highlight w:val="none"/>
        </w:rPr>
        <w:t>1.项目背景</w:t>
      </w:r>
      <w:bookmarkEnd w:id="18"/>
      <w:bookmarkEnd w:id="19"/>
    </w:p>
    <w:p>
      <w:pPr>
        <w:bidi w:val="0"/>
        <w:jc w:val="both"/>
        <w:rPr>
          <w:rFonts w:hint="eastAsia" w:ascii="Times New Roman" w:hAnsi="Times New Roman" w:cs="Times New Roman"/>
          <w:color w:val="auto"/>
          <w:highlight w:val="none"/>
          <w:lang w:val="en-US" w:eastAsia="zh-CN"/>
        </w:rPr>
      </w:pPr>
      <w:bookmarkStart w:id="20" w:name="_Toc22216"/>
      <w:r>
        <w:rPr>
          <w:rFonts w:hint="eastAsia" w:ascii="Times New Roman" w:hAnsi="Times New Roman" w:cs="Times New Roman"/>
          <w:color w:val="auto"/>
          <w:highlight w:val="none"/>
          <w:lang w:val="en-US" w:eastAsia="zh-CN"/>
        </w:rPr>
        <w:t>《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园林绿化高洁服务费项目，开展绿化环境整治，对县城主、园区次干道绿化带中堆积的建筑垃圾、枯枝余土进行清理，维护优美的绿化环境。</w:t>
      </w:r>
      <w:bookmarkStart w:id="21" w:name="_Toc22079"/>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2.项目主要内容</w:t>
      </w:r>
      <w:bookmarkEnd w:id="20"/>
      <w:bookmarkEnd w:id="21"/>
    </w:p>
    <w:p>
      <w:pPr>
        <w:bidi w:val="0"/>
        <w:jc w:val="both"/>
        <w:rPr>
          <w:rFonts w:hint="eastAsia" w:ascii="Times New Roman" w:hAnsi="Times New Roman" w:cs="Times New Roman"/>
          <w:color w:val="auto"/>
          <w:highlight w:val="none"/>
          <w:lang w:val="en-US" w:eastAsia="zh-CN"/>
        </w:rPr>
      </w:pPr>
      <w:bookmarkStart w:id="22" w:name="_Toc31519"/>
      <w:bookmarkStart w:id="23" w:name="_Toc21529"/>
      <w:r>
        <w:rPr>
          <w:rFonts w:hint="eastAsia" w:ascii="Times New Roman" w:hAnsi="Times New Roman" w:cs="Times New Roman"/>
          <w:color w:val="auto"/>
          <w:highlight w:val="none"/>
          <w:lang w:val="en-US" w:eastAsia="zh-CN"/>
        </w:rPr>
        <w:t>加强对尉犁县城市绿化植物的养护管理，尉犁县县城区内已建成1247.46亩公共绿地;新建成绿化面积3132.7亩(2289144.78 m)的养护，其中一级管护面积:210亩(140000.7㎡)，二级管护面积96.7亩(64466.99㎡)，三级管护面积1514亩(1009338.38㎡)，四级管护面积1613亩(1075338.71m)。</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3.项目实施情况</w:t>
      </w:r>
      <w:bookmarkEnd w:id="22"/>
      <w:bookmarkEnd w:id="23"/>
      <w:bookmarkStart w:id="24" w:name="_Toc20138"/>
    </w:p>
    <w:p>
      <w:pPr>
        <w:bidi w:val="0"/>
        <w:jc w:val="both"/>
        <w:rPr>
          <w:rFonts w:hint="eastAsia" w:ascii="Times New Roman" w:hAnsi="Times New Roman" w:eastAsia="仿宋_GB2312" w:cs="仿宋_GB2312"/>
          <w:color w:val="auto"/>
          <w:sz w:val="32"/>
          <w:szCs w:val="32"/>
          <w:highlight w:val="none"/>
          <w:lang w:val="en-US" w:eastAsia="zh-CN"/>
        </w:rPr>
      </w:pPr>
      <w:bookmarkStart w:id="25" w:name="_Toc1111"/>
      <w:r>
        <w:rPr>
          <w:rFonts w:hint="eastAsia" w:ascii="Times New Roman" w:hAnsi="Times New Roman" w:eastAsia="仿宋_GB2312" w:cs="仿宋_GB2312"/>
          <w:color w:val="auto"/>
          <w:sz w:val="32"/>
          <w:szCs w:val="32"/>
          <w:highlight w:val="none"/>
          <w:lang w:val="en-US" w:eastAsia="zh-CN"/>
        </w:rPr>
        <w:t>根据《尉犁县第十七届人民政府第2次常务会议纪要(摘要)》(尉政纪要(2016)17号)文件精神，依据《尉犁县城市公共服务三位一体市场化改革工作方案》，通过尉犁县政府采购中心采取公开招标方式完成园林绿地养护服务招标采购工作，于2017年2月5日确定中标单位为重庆高洁环境绿化工程有限公司，并送达《中标(成交)通知书》，中标价1860万元/年，其中:园林855.8万元/年，环卫1004.2万元/年。于2017年2月10日，尉犁县园林绿化管理中心与重庆高洁环境绿化工程有限公司签订《尉犁县园林绿化服务合同》，合同养护面积1247.46亩，合同期限10年，合同总价8558万元,每年855.8万元，每月支付金额713166.66元。</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2017年2月4日，重庆市工商行政管理局南岸区分局准予中标方重庆高洁环境绿化工程有限公司企业名称变更为重庆高洁环境绿化工程集团有限公司，并出具《准予变更登记通知书》。对于新增园林绿地面积的养护开展招投标相关工作、具对于新增园林绿地面积的养护开展招投标相关工作，具体如下:</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2021年4月16日，向重庆高洁环境绿化工程集团有限公司送达《中标通知书》，中标金额3633 万元。</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2021年4月20日，尉犁县园林绿化管理中心与重庆高洁环境绿化工程集团有限公司签订《尉犁县新增园林绿地(公园)养护市场化服务项目合同》，新建成绿化面积3433.7亩(2289144.78m2)的养护，合同期限5年，合同总金额为3633 万元。每年服务费726.6万元(费用拨付按月考核结果相应扣减)。</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cs="仿宋_GB2312"/>
          <w:color w:val="auto"/>
          <w:sz w:val="32"/>
          <w:szCs w:val="32"/>
          <w:highlight w:val="none"/>
          <w:lang w:val="en-US" w:eastAsia="zh-CN"/>
        </w:rPr>
        <w:t>2024年，</w:t>
      </w:r>
      <w:r>
        <w:rPr>
          <w:rFonts w:hint="eastAsia" w:ascii="Times New Roman" w:hAnsi="Times New Roman" w:eastAsia="仿宋_GB2312" w:cs="仿宋_GB2312"/>
          <w:color w:val="auto"/>
          <w:sz w:val="32"/>
          <w:szCs w:val="32"/>
          <w:highlight w:val="none"/>
          <w:lang w:val="en-US" w:eastAsia="zh-CN"/>
        </w:rPr>
        <w:t>尉犁县园林绿化服务中心根据《尉犁县新增绿地分级养护规范》《尉犁县园林绿化新增绿地养护管理检查评分标准》每月不定时对园林养护情况进行监管考核。按照每月考核结果，进行付款。</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4.资金投入情况</w:t>
      </w:r>
      <w:bookmarkEnd w:id="24"/>
      <w:bookmarkEnd w:id="25"/>
    </w:p>
    <w:p>
      <w:pPr>
        <w:bidi w:val="0"/>
        <w:jc w:val="both"/>
        <w:rPr>
          <w:rFonts w:hint="default" w:ascii="Times New Roman" w:hAnsi="Times New Roman" w:eastAsia="仿宋_GB2312" w:cs="Times New Roman"/>
          <w:color w:val="auto"/>
          <w:highlight w:val="none"/>
        </w:rPr>
      </w:pPr>
      <w:bookmarkStart w:id="26" w:name="_Toc7324"/>
      <w:r>
        <w:rPr>
          <w:rFonts w:hint="eastAsia" w:ascii="Times New Roman" w:hAnsi="Times New Roman" w:eastAsia="仿宋_GB2312" w:cs="仿宋_GB2312"/>
          <w:color w:val="auto"/>
          <w:sz w:val="32"/>
          <w:szCs w:val="32"/>
          <w:highlight w:val="none"/>
          <w:lang w:val="en-US" w:eastAsia="zh-CN"/>
        </w:rPr>
        <w:t>尉犁县</w:t>
      </w:r>
      <w:r>
        <w:rPr>
          <w:rFonts w:hint="eastAsia" w:ascii="Times New Roman" w:hAnsi="Times New Roman" w:cs="Times New Roman"/>
          <w:color w:val="auto"/>
          <w:highlight w:val="none"/>
          <w:lang w:val="en-US" w:eastAsia="zh-CN"/>
        </w:rPr>
        <w:t>园林绿化中心</w:t>
      </w:r>
      <w:r>
        <w:rPr>
          <w:rFonts w:hint="default" w:ascii="Times New Roman" w:hAnsi="Times New Roman" w:eastAsia="仿宋_GB2312" w:cs="Times New Roman"/>
          <w:color w:val="auto"/>
          <w:highlight w:val="none"/>
        </w:rPr>
        <w:t>以给财经委员会打报告形式</w:t>
      </w:r>
      <w:r>
        <w:rPr>
          <w:rFonts w:hint="eastAsia" w:ascii="Times New Roman" w:hAnsi="Times New Roman" w:cs="Times New Roman"/>
          <w:color w:val="auto"/>
          <w:highlight w:val="none"/>
          <w:lang w:val="en-US" w:eastAsia="zh-CN"/>
        </w:rPr>
        <w:t>申请资金，用于支付</w:t>
      </w: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共计</w:t>
      </w:r>
      <w:r>
        <w:rPr>
          <w:rFonts w:hint="eastAsia" w:ascii="Times New Roman" w:hAnsi="Times New Roman" w:cs="Times New Roman"/>
          <w:color w:val="auto"/>
          <w:highlight w:val="none"/>
          <w:lang w:val="en-US" w:eastAsia="zh-CN"/>
        </w:rPr>
        <w:t>申请拨付</w:t>
      </w: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服务费资金542.59万元</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其中本级财政资金542.59万元。</w:t>
      </w:r>
    </w:p>
    <w:p>
      <w:pPr>
        <w:bidi w:val="0"/>
        <w:jc w:val="both"/>
        <w:rPr>
          <w:rFonts w:hint="default" w:ascii="Times New Roman" w:hAnsi="Times New Roman" w:eastAsia="仿宋_GB2312" w:cs="Times New Roman"/>
          <w:b/>
          <w:bCs/>
          <w:color w:val="auto"/>
          <w:highlight w:val="none"/>
        </w:rPr>
      </w:pPr>
      <w:bookmarkStart w:id="27" w:name="_Toc10837"/>
      <w:r>
        <w:rPr>
          <w:rFonts w:hint="default" w:ascii="Times New Roman" w:hAnsi="Times New Roman" w:eastAsia="仿宋_GB2312" w:cs="Times New Roman"/>
          <w:b/>
          <w:bCs/>
          <w:color w:val="auto"/>
          <w:highlight w:val="none"/>
        </w:rPr>
        <w:t>5.资金使用情况</w:t>
      </w:r>
      <w:bookmarkEnd w:id="26"/>
      <w:bookmarkEnd w:id="2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sz w:val="32"/>
          <w:szCs w:val="32"/>
          <w:highlight w:val="none"/>
          <w:lang w:eastAsia="zh-CN"/>
        </w:rPr>
        <w:t>年初预算数</w:t>
      </w:r>
      <w:r>
        <w:rPr>
          <w:rFonts w:hint="default" w:ascii="Times New Roman" w:hAnsi="Times New Roman" w:eastAsia="仿宋_GB2312" w:cs="Times New Roman"/>
          <w:color w:val="auto"/>
          <w:highlight w:val="none"/>
        </w:rPr>
        <w:t>542.59万元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实际到位资金542.59万元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截止202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年12月31日</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项目实际使用资金542.59万元，资金</w:t>
      </w:r>
      <w:r>
        <w:rPr>
          <w:rFonts w:hint="default" w:ascii="Times New Roman" w:hAnsi="Times New Roman" w:eastAsia="仿宋_GB2312" w:cs="Times New Roman"/>
          <w:color w:val="auto"/>
          <w:highlight w:val="none"/>
          <w:lang w:val="en-US" w:eastAsia="zh-CN"/>
        </w:rPr>
        <w:t>使用</w:t>
      </w:r>
      <w:r>
        <w:rPr>
          <w:rFonts w:hint="default" w:ascii="Times New Roman" w:hAnsi="Times New Roman" w:eastAsia="仿宋_GB2312" w:cs="Times New Roman"/>
          <w:color w:val="auto"/>
          <w:highlight w:val="none"/>
        </w:rPr>
        <w:t>率达到了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%。具体资金支付情况：</w:t>
      </w:r>
    </w:p>
    <w:p>
      <w:pPr>
        <w:bidi w:val="0"/>
        <w:jc w:val="both"/>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2024</w:t>
      </w:r>
      <w:r>
        <w:rPr>
          <w:rFonts w:hint="eastAsia" w:ascii="Times New Roman" w:hAnsi="Times New Roman" w:cs="Times New Roman"/>
          <w:color w:val="auto"/>
          <w:highlight w:val="none"/>
          <w:lang w:val="en-US" w:eastAsia="zh-CN"/>
        </w:rPr>
        <w:t>年1月30日</w:t>
      </w:r>
      <w:r>
        <w:rPr>
          <w:rFonts w:hint="default" w:ascii="Times New Roman" w:hAnsi="Times New Roman" w:eastAsia="仿宋_GB2312" w:cs="Times New Roman"/>
          <w:color w:val="auto"/>
          <w:highlight w:val="none"/>
        </w:rPr>
        <w:t>，支付</w:t>
      </w:r>
      <w:r>
        <w:rPr>
          <w:rFonts w:hint="eastAsia" w:ascii="Times New Roman" w:hAnsi="Times New Roman" w:cs="Times New Roman"/>
          <w:color w:val="auto"/>
          <w:highlight w:val="none"/>
          <w:lang w:val="en-US" w:eastAsia="zh-CN"/>
        </w:rPr>
        <w:t>尉犁高洁环境绿化工程有限公司4000000</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pPr>
        <w:bidi w:val="0"/>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月</w:t>
      </w:r>
      <w:r>
        <w:rPr>
          <w:rFonts w:hint="eastAsia" w:ascii="Times New Roman" w:hAnsi="Times New Roman" w:cs="Times New Roman"/>
          <w:color w:val="auto"/>
          <w:highlight w:val="none"/>
          <w:lang w:val="en-US" w:eastAsia="zh-CN"/>
        </w:rPr>
        <w:t>28</w:t>
      </w:r>
      <w:r>
        <w:rPr>
          <w:rFonts w:hint="default" w:ascii="Times New Roman" w:hAnsi="Times New Roman" w:eastAsia="仿宋_GB2312" w:cs="Times New Roman"/>
          <w:color w:val="auto"/>
          <w:highlight w:val="none"/>
        </w:rPr>
        <w:t>日，支付</w:t>
      </w:r>
      <w:r>
        <w:rPr>
          <w:rFonts w:hint="eastAsia" w:ascii="Times New Roman" w:hAnsi="Times New Roman" w:cs="Times New Roman"/>
          <w:color w:val="auto"/>
          <w:highlight w:val="none"/>
          <w:lang w:val="en-US" w:eastAsia="zh-CN"/>
        </w:rPr>
        <w:t>尉犁高洁环境绿化工程有限公司1425927</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pPr>
        <w:pStyle w:val="4"/>
        <w:bidi w:val="0"/>
        <w:jc w:val="both"/>
        <w:rPr>
          <w:rFonts w:hint="default" w:ascii="Times New Roman" w:hAnsi="Times New Roman" w:eastAsia="楷体" w:cs="Times New Roman"/>
          <w:color w:val="auto"/>
          <w:highlight w:val="none"/>
        </w:rPr>
      </w:pPr>
      <w:bookmarkStart w:id="28" w:name="_Toc20620"/>
      <w:bookmarkStart w:id="29" w:name="_Toc26395"/>
      <w:bookmarkStart w:id="30" w:name="_Toc31302"/>
      <w:bookmarkStart w:id="31" w:name="_Toc14296"/>
      <w:bookmarkStart w:id="32" w:name="_Toc9567"/>
      <w:bookmarkStart w:id="33" w:name="_Toc11967"/>
      <w:r>
        <w:rPr>
          <w:rFonts w:hint="default" w:ascii="Times New Roman" w:hAnsi="Times New Roman" w:eastAsia="楷体" w:cs="Times New Roman"/>
          <w:color w:val="auto"/>
          <w:highlight w:val="none"/>
        </w:rPr>
        <w:t>（二）项目绩效目标</w:t>
      </w:r>
      <w:bookmarkEnd w:id="28"/>
      <w:bookmarkEnd w:id="29"/>
      <w:bookmarkEnd w:id="30"/>
      <w:bookmarkEnd w:id="31"/>
      <w:bookmarkEnd w:id="32"/>
      <w:bookmarkEnd w:id="33"/>
    </w:p>
    <w:p>
      <w:pPr>
        <w:bidi w:val="0"/>
        <w:jc w:val="both"/>
        <w:rPr>
          <w:rFonts w:hint="default" w:ascii="Times New Roman" w:hAnsi="Times New Roman" w:eastAsia="仿宋_GB2312" w:cs="Times New Roman"/>
          <w:b/>
          <w:bCs/>
          <w:color w:val="auto"/>
          <w:highlight w:val="none"/>
        </w:rPr>
      </w:pPr>
      <w:bookmarkStart w:id="34" w:name="_Toc905"/>
      <w:bookmarkStart w:id="35" w:name="_Toc18809"/>
      <w:r>
        <w:rPr>
          <w:rFonts w:hint="default" w:ascii="Times New Roman" w:hAnsi="Times New Roman" w:eastAsia="仿宋_GB2312" w:cs="Times New Roman"/>
          <w:b/>
          <w:bCs/>
          <w:color w:val="auto"/>
          <w:highlight w:val="none"/>
        </w:rPr>
        <w:t>1.总体目标</w:t>
      </w:r>
      <w:bookmarkEnd w:id="34"/>
      <w:bookmarkEnd w:id="35"/>
    </w:p>
    <w:p>
      <w:pPr>
        <w:bidi w:val="0"/>
        <w:jc w:val="both"/>
        <w:rPr>
          <w:rFonts w:hint="eastAsia" w:ascii="Times New Roman" w:hAnsi="Times New Roman" w:cs="Times New Roman"/>
          <w:color w:val="auto"/>
          <w:highlight w:val="none"/>
          <w:lang w:eastAsia="zh-CN"/>
        </w:rPr>
      </w:pPr>
      <w:bookmarkStart w:id="36" w:name="_Toc10045"/>
      <w:bookmarkStart w:id="37" w:name="_Toc11195"/>
      <w:r>
        <w:rPr>
          <w:rFonts w:hint="eastAsia" w:ascii="Times New Roman" w:hAnsi="Times New Roman" w:cs="Times New Roman"/>
          <w:color w:val="auto"/>
          <w:highlight w:val="none"/>
          <w:lang w:eastAsia="zh-CN"/>
        </w:rPr>
        <w:t>加强对尉犁县城市绿化植物的养护管理，园林作业绿化面积4380.16亩，绿化成活和保存率达95%以上。促进城市绿化事业的发展，改善生态环境、人居环境、美化生活环境。</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2.阶段性目标</w:t>
      </w:r>
      <w:bookmarkEnd w:id="36"/>
      <w:bookmarkEnd w:id="37"/>
    </w:p>
    <w:p>
      <w:pPr>
        <w:bidi w:val="0"/>
        <w:rPr>
          <w:rFonts w:hint="eastAsia" w:ascii="Times New Roman" w:hAnsi="Times New Roman"/>
          <w:color w:val="auto"/>
          <w:highlight w:val="none"/>
          <w:lang w:val="en-US" w:eastAsia="zh-CN"/>
        </w:rPr>
      </w:pPr>
      <w:bookmarkStart w:id="38" w:name="_Toc857"/>
      <w:bookmarkStart w:id="39" w:name="_Toc6156"/>
      <w:bookmarkStart w:id="40" w:name="_Toc25321"/>
      <w:bookmarkStart w:id="41" w:name="_Toc6534"/>
      <w:bookmarkStart w:id="42" w:name="_Toc31122"/>
      <w:r>
        <w:rPr>
          <w:rFonts w:hint="eastAsia" w:ascii="Times New Roman" w:hAnsi="Times New Roman"/>
          <w:color w:val="auto"/>
          <w:highlight w:val="none"/>
          <w:lang w:val="en-US" w:eastAsia="zh-CN"/>
        </w:rPr>
        <w:t>计划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w:t>
      </w:r>
      <w:r>
        <w:rPr>
          <w:rFonts w:hint="eastAsia" w:ascii="Times New Roman" w:hAnsi="Times New Roman"/>
          <w:color w:val="auto"/>
          <w:highlight w:val="none"/>
          <w:lang w:eastAsia="zh-CN"/>
        </w:rPr>
        <w:t>4380.16</w:t>
      </w:r>
      <w:r>
        <w:rPr>
          <w:rFonts w:hint="eastAsia" w:ascii="Times New Roman" w:hAnsi="Times New Roman"/>
          <w:color w:val="auto"/>
          <w:highlight w:val="none"/>
          <w:lang w:val="en-US" w:eastAsia="zh-CN"/>
        </w:rPr>
        <w:t>亩。</w:t>
      </w:r>
    </w:p>
    <w:p>
      <w:pPr>
        <w:pStyle w:val="2"/>
        <w:bidi w:val="0"/>
        <w:jc w:val="both"/>
        <w:rPr>
          <w:rFonts w:hint="default" w:ascii="Times New Roman" w:hAnsi="Times New Roman" w:eastAsia="黑体" w:cs="Times New Roman"/>
          <w:color w:val="auto"/>
          <w:highlight w:val="none"/>
        </w:rPr>
      </w:pPr>
      <w:bookmarkStart w:id="43" w:name="_Toc19075"/>
      <w:bookmarkStart w:id="44" w:name="_Toc29518"/>
      <w:r>
        <w:rPr>
          <w:rFonts w:hint="default" w:ascii="Times New Roman" w:hAnsi="Times New Roman" w:eastAsia="黑体" w:cs="Times New Roman"/>
          <w:color w:val="auto"/>
          <w:highlight w:val="none"/>
        </w:rPr>
        <w:t>二、绩效评价工作开展情况</w:t>
      </w:r>
      <w:bookmarkEnd w:id="38"/>
      <w:bookmarkEnd w:id="39"/>
      <w:bookmarkEnd w:id="40"/>
      <w:bookmarkEnd w:id="41"/>
      <w:bookmarkEnd w:id="42"/>
      <w:bookmarkEnd w:id="43"/>
      <w:bookmarkEnd w:id="44"/>
    </w:p>
    <w:p>
      <w:pPr>
        <w:pStyle w:val="4"/>
        <w:bidi w:val="0"/>
        <w:jc w:val="both"/>
        <w:rPr>
          <w:rFonts w:hint="default" w:ascii="Times New Roman" w:hAnsi="Times New Roman" w:eastAsia="楷体" w:cs="Times New Roman"/>
          <w:color w:val="auto"/>
          <w:highlight w:val="none"/>
        </w:rPr>
      </w:pPr>
      <w:bookmarkStart w:id="45" w:name="_Toc18251"/>
      <w:bookmarkStart w:id="46" w:name="_Toc30569"/>
      <w:bookmarkStart w:id="47" w:name="_Toc10300"/>
      <w:bookmarkStart w:id="48" w:name="_Toc32557"/>
      <w:bookmarkStart w:id="49" w:name="_Toc17516"/>
      <w:r>
        <w:rPr>
          <w:rFonts w:hint="default" w:ascii="Times New Roman" w:hAnsi="Times New Roman" w:eastAsia="楷体" w:cs="Times New Roman"/>
          <w:color w:val="auto"/>
          <w:highlight w:val="none"/>
        </w:rPr>
        <w:t>（一）绩效评价目的、对象和范围</w:t>
      </w:r>
      <w:bookmarkEnd w:id="45"/>
      <w:bookmarkEnd w:id="46"/>
      <w:bookmarkEnd w:id="47"/>
      <w:bookmarkEnd w:id="48"/>
      <w:bookmarkEnd w:id="49"/>
    </w:p>
    <w:p>
      <w:pPr>
        <w:bidi w:val="0"/>
        <w:jc w:val="both"/>
        <w:rPr>
          <w:rFonts w:hint="default" w:ascii="Times New Roman" w:hAnsi="Times New Roman" w:eastAsia="仿宋_GB2312" w:cs="Times New Roman"/>
          <w:b/>
          <w:bCs/>
          <w:color w:val="auto"/>
          <w:highlight w:val="none"/>
        </w:rPr>
      </w:pPr>
      <w:bookmarkStart w:id="50" w:name="_Toc12440"/>
      <w:bookmarkStart w:id="51" w:name="_Toc11562"/>
      <w:r>
        <w:rPr>
          <w:rFonts w:hint="default" w:ascii="Times New Roman" w:hAnsi="Times New Roman" w:eastAsia="仿宋_GB2312" w:cs="Times New Roman"/>
          <w:b/>
          <w:bCs/>
          <w:color w:val="auto"/>
          <w:highlight w:val="none"/>
        </w:rPr>
        <w:t>1.绩效评价目的</w:t>
      </w:r>
      <w:bookmarkEnd w:id="50"/>
      <w:bookmarkEnd w:id="5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r>
        <w:rPr>
          <w:rFonts w:hint="default" w:ascii="Times New Roman" w:hAnsi="Times New Roman" w:eastAsia="仿宋_GB2312" w:cs="Times New Roman"/>
          <w:color w:val="auto"/>
          <w:highlight w:val="none"/>
        </w:rPr>
        <w:t>具体绩效评价的目的细分如下：</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提升财政资金的使用效能。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pPr>
        <w:bidi w:val="0"/>
        <w:jc w:val="both"/>
        <w:rPr>
          <w:rFonts w:hint="default" w:ascii="Times New Roman" w:hAnsi="Times New Roman" w:eastAsia="仿宋_GB2312" w:cs="Times New Roman"/>
          <w:b/>
          <w:bCs/>
          <w:color w:val="auto"/>
          <w:highlight w:val="none"/>
        </w:rPr>
      </w:pPr>
      <w:bookmarkStart w:id="54" w:name="_Toc8924"/>
      <w:bookmarkStart w:id="55" w:name="_Toc2159"/>
      <w:r>
        <w:rPr>
          <w:rFonts w:hint="default" w:ascii="Times New Roman" w:hAnsi="Times New Roman" w:eastAsia="仿宋_GB2312" w:cs="Times New Roman"/>
          <w:b/>
          <w:bCs/>
          <w:color w:val="auto"/>
          <w:highlight w:val="none"/>
        </w:rPr>
        <w:t>2.绩效评价对象</w:t>
      </w:r>
      <w:bookmarkEnd w:id="54"/>
      <w:r>
        <w:rPr>
          <w:rFonts w:hint="default" w:ascii="Times New Roman" w:hAnsi="Times New Roman" w:eastAsia="仿宋_GB2312" w:cs="Times New Roman"/>
          <w:b/>
          <w:bCs/>
          <w:color w:val="auto"/>
          <w:highlight w:val="none"/>
        </w:rPr>
        <w:t>和范围</w:t>
      </w:r>
      <w:bookmarkEnd w:id="55"/>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根据《财政支出绩效评价管理办法》（财预〔2020〕10号）文件要求，对园林绿化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服务费开展绩效评价，本次绩效评价范围主要围绕项目决策（包括项目</w:t>
      </w:r>
      <w:r>
        <w:rPr>
          <w:rFonts w:hint="eastAsia" w:ascii="Times New Roman" w:hAnsi="Times New Roman" w:cs="Times New Roman"/>
          <w:color w:val="auto"/>
          <w:highlight w:val="none"/>
          <w:lang w:eastAsia="zh-CN"/>
        </w:rPr>
        <w:t>实施</w:t>
      </w:r>
      <w:r>
        <w:rPr>
          <w:rFonts w:hint="default" w:ascii="Times New Roman" w:hAnsi="Times New Roman" w:eastAsia="仿宋_GB2312" w:cs="Times New Roman"/>
          <w:color w:val="auto"/>
          <w:highlight w:val="none"/>
        </w:rPr>
        <w:t>、绩效目标、资金投入）、项目过程（包括资金管理、组织实施）、项目产出（包括产出数量、质量、时效、成本）和项目效益等进行评价。</w:t>
      </w:r>
    </w:p>
    <w:p>
      <w:pPr>
        <w:pStyle w:val="4"/>
        <w:bidi w:val="0"/>
        <w:jc w:val="both"/>
        <w:rPr>
          <w:rFonts w:hint="eastAsia" w:ascii="Times New Roman" w:hAnsi="Times New Roman" w:eastAsia="楷体" w:cs="楷体"/>
          <w:color w:val="auto"/>
          <w:highlight w:val="none"/>
        </w:rPr>
      </w:pPr>
      <w:bookmarkStart w:id="56" w:name="_Toc15409"/>
      <w:bookmarkStart w:id="57" w:name="_Toc19566"/>
      <w:bookmarkStart w:id="58" w:name="_Toc2589"/>
      <w:bookmarkStart w:id="59" w:name="_Toc17158"/>
      <w:bookmarkStart w:id="60" w:name="_Toc13496"/>
      <w:r>
        <w:rPr>
          <w:rFonts w:hint="eastAsia" w:ascii="Times New Roman" w:hAnsi="Times New Roman" w:eastAsia="楷体" w:cs="楷体"/>
          <w:color w:val="auto"/>
          <w:highlight w:val="none"/>
        </w:rPr>
        <w:t>（二）绩效评价原则、评价指标体系、评价方法、评价标准</w:t>
      </w:r>
      <w:bookmarkEnd w:id="56"/>
      <w:bookmarkEnd w:id="57"/>
      <w:bookmarkEnd w:id="58"/>
      <w:bookmarkEnd w:id="59"/>
      <w:bookmarkEnd w:id="60"/>
    </w:p>
    <w:p>
      <w:pPr>
        <w:bidi w:val="0"/>
        <w:jc w:val="both"/>
        <w:rPr>
          <w:rFonts w:hint="default" w:ascii="Times New Roman" w:hAnsi="Times New Roman" w:eastAsia="仿宋_GB2312" w:cs="Times New Roman"/>
          <w:b/>
          <w:bCs/>
          <w:color w:val="auto"/>
          <w:highlight w:val="none"/>
        </w:rPr>
      </w:pPr>
      <w:bookmarkStart w:id="61" w:name="_Toc18268"/>
      <w:bookmarkStart w:id="62" w:name="_Toc23487"/>
      <w:r>
        <w:rPr>
          <w:rFonts w:hint="default" w:ascii="Times New Roman" w:hAnsi="Times New Roman" w:eastAsia="仿宋_GB2312" w:cs="Times New Roman"/>
          <w:b/>
          <w:bCs/>
          <w:color w:val="auto"/>
          <w:highlight w:val="none"/>
        </w:rPr>
        <w:t>1.绩效评价原则</w:t>
      </w:r>
      <w:bookmarkEnd w:id="61"/>
      <w:bookmarkEnd w:id="62"/>
    </w:p>
    <w:p>
      <w:pPr>
        <w:bidi w:val="0"/>
        <w:jc w:val="both"/>
        <w:rPr>
          <w:rFonts w:hint="default" w:ascii="Times New Roman" w:hAnsi="Times New Roman" w:eastAsia="仿宋_GB2312" w:cs="Times New Roman"/>
          <w:color w:val="auto"/>
          <w:highlight w:val="none"/>
        </w:rPr>
      </w:pPr>
      <w:bookmarkStart w:id="63" w:name="OLE_LINK8"/>
      <w:bookmarkStart w:id="64" w:name="OLE_LINK2"/>
      <w:r>
        <w:rPr>
          <w:rFonts w:hint="default" w:ascii="Times New Roman" w:hAnsi="Times New Roman" w:eastAsia="仿宋_GB2312" w:cs="Times New Roman"/>
          <w:color w:val="auto"/>
          <w:highlight w:val="none"/>
        </w:rPr>
        <w:t>依据《中华人民共和国预算法》《中共 中央国务院关于全面实施预算绩效管理的意见》（中发〔2018〕34号）《项目支出绩效评价管理办法》（财预〔2020〕10号</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《自治区党委自治区人民政府关于全面实施预算绩效管理的实施意见》（新党发〔2018〕30号）《自治区财政支出绩效评价管理暂行办法》（新财预〔2018〕189号）等要求，绩效评价应遵循如下原则：</w:t>
      </w:r>
      <w:bookmarkEnd w:id="63"/>
      <w:bookmarkEnd w:id="6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（1）科学公正。绩效评价应当运用科学合理的方法，按照规范的程序，对项目绩效进行客观、</w:t>
      </w:r>
      <w:r>
        <w:rPr>
          <w:rFonts w:hint="default" w:ascii="Times New Roman" w:hAnsi="Times New Roman" w:eastAsia="仿宋_GB2312" w:cs="Times New Roman"/>
          <w:color w:val="auto"/>
          <w:highlight w:val="none"/>
          <w:lang w:eastAsia="zh-CN"/>
        </w:rPr>
        <w:t>公正地反映</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（2）统筹兼顾。单位自评应由项目单位自主实施，即“谁支出、谁自评”。</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（3）激励约束。绩效评价结果应与预算安排、政策调整、改进管理实质性挂钩，体现奖优罚劣和激励相容导向，有效要安排、低效要压减、无效要问责。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（4）公开透明。</w:t>
      </w:r>
      <w:r>
        <w:rPr>
          <w:rFonts w:hint="default" w:ascii="Times New Roman" w:hAnsi="Times New Roman" w:eastAsia="仿宋_GB2312" w:cs="Times New Roman"/>
          <w:color w:val="auto"/>
          <w:highlight w:val="none"/>
          <w:lang w:val="en-US" w:eastAsia="zh-CN"/>
        </w:rPr>
        <w:t>本次项目支出绩效评价结果已依法依规在</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县人民政府网站上公开，并自觉接受社会监督</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b w:val="0"/>
          <w:bCs w:val="0"/>
          <w:color w:val="auto"/>
          <w:highlight w:val="none"/>
        </w:rPr>
      </w:pPr>
      <w:bookmarkStart w:id="65" w:name="OLE_LINK9"/>
      <w:bookmarkStart w:id="66" w:name="OLE_LINK3"/>
      <w:bookmarkStart w:id="67" w:name="_Toc28342"/>
      <w:bookmarkStart w:id="68" w:name="_Toc23112"/>
      <w:r>
        <w:rPr>
          <w:rFonts w:hint="default" w:ascii="Times New Roman" w:hAnsi="Times New Roman" w:eastAsia="仿宋_GB2312" w:cs="Times New Roman"/>
          <w:b w:val="0"/>
          <w:bCs w:val="0"/>
          <w:color w:val="auto"/>
          <w:highlight w:val="none"/>
        </w:rPr>
        <w:t>根据以上原则</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绩效评价应遵循如下要求:</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（1）在数据采集时</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采取客观数据</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主管部门审查、社会中介组织复查</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与问卷调查相结合的形式</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以保证各项指标的真实性。</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（2）保证评价结果的真实性、公正性</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提高评价报告的公信力。</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绩效</w:t>
      </w:r>
      <w:r>
        <w:rPr>
          <w:rFonts w:hint="default" w:ascii="Times New Roman" w:hAnsi="Times New Roman" w:eastAsia="仿宋_GB2312" w:cs="Times New Roman"/>
          <w:b w:val="0"/>
          <w:bCs w:val="0"/>
          <w:color w:val="auto"/>
          <w:highlight w:val="none"/>
        </w:rPr>
        <w:t>评价报告应当简明扼要</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除了对绩效评价的过程、结果描述外</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还应总结经验</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指出问题</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并就共性问题提出可操作性改进建议。评价工作组本着科学规范、公平公正、绩效相关的原则，采用全面、重点、现场和非现场相结合的方式进行评价。</w:t>
      </w:r>
      <w:bookmarkEnd w:id="65"/>
      <w:bookmarkEnd w:id="66"/>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2.评价指标体系</w:t>
      </w:r>
      <w:bookmarkEnd w:id="67"/>
      <w:bookmarkEnd w:id="6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服务费绩效评价（部门自评）指标体系的设计，是在充分掌握项目状况的基础上，形成了园林绿化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服务费的项目支出绩效评价指标体系（部门自评）。本项目设计绩效评价指标体系满分100分。四个级别分别是：优、良、中、差，90（含）-100分为优、80（含）-90分为良、60（含）-80分为中、60分以下为差。</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w:t>
      </w:r>
      <w:bookmarkStart w:id="69" w:name="_Toc10631"/>
      <w:bookmarkStart w:id="70" w:name="_Toc15680"/>
      <w:r>
        <w:rPr>
          <w:rFonts w:hint="eastAsia" w:eastAsia="仿宋_GB2312" w:cs="Times New Roman"/>
          <w:bCs w:val="0"/>
          <w:iCs w:val="0"/>
          <w:color w:val="auto"/>
          <w:kern w:val="2"/>
          <w:sz w:val="32"/>
          <w:szCs w:val="22"/>
          <w:highlight w:val="none"/>
          <w:lang w:val="en-US" w:eastAsia="zh-CN" w:bidi="ar-SA"/>
        </w:rPr>
        <w:t>（详见：附表2）</w:t>
      </w:r>
    </w:p>
    <w:p>
      <w:pPr>
        <w:bidi w:val="0"/>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3.绩效评价方法</w:t>
      </w:r>
      <w:bookmarkEnd w:id="69"/>
      <w:bookmarkEnd w:id="70"/>
    </w:p>
    <w:p>
      <w:pPr>
        <w:bidi w:val="0"/>
        <w:jc w:val="both"/>
        <w:rPr>
          <w:rFonts w:hint="default" w:ascii="Times New Roman" w:hAnsi="Times New Roman" w:eastAsia="仿宋_GB2312" w:cs="Times New Roman"/>
          <w:color w:val="auto"/>
          <w:highlight w:val="none"/>
        </w:rPr>
      </w:pPr>
      <w:bookmarkStart w:id="71" w:name="OLE_LINK10"/>
      <w:r>
        <w:rPr>
          <w:rFonts w:hint="default" w:ascii="Times New Roman" w:hAnsi="Times New Roman" w:eastAsia="仿宋_GB2312" w:cs="Times New Roman"/>
          <w:color w:val="auto"/>
          <w:highlight w:val="none"/>
          <w:lang w:val="en-US" w:eastAsia="zh-CN"/>
        </w:rPr>
        <w:t>绩效评价从项目决策、项目过程、项目产出、项目效益四个维度进行评价。评价对象为项目目标实施情况，评价核心为资金的支出完成情况和项目的产出效益。</w:t>
      </w:r>
      <w:bookmarkEnd w:id="71"/>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结合园林绿化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服务费的特点，</w:t>
      </w:r>
      <w:r>
        <w:rPr>
          <w:rFonts w:hint="default" w:ascii="Times New Roman" w:hAnsi="Times New Roman" w:eastAsia="仿宋_GB2312" w:cs="Times New Roman"/>
          <w:color w:val="auto"/>
          <w:highlight w:val="none"/>
          <w:lang w:val="en-US" w:eastAsia="zh-CN"/>
        </w:rPr>
        <w:t>本项目绩效评价将项目实施情况即实际完成的</w:t>
      </w:r>
      <w:r>
        <w:rPr>
          <w:rFonts w:hint="eastAsia" w:ascii="Times New Roman" w:hAnsi="Times New Roman" w:cs="Times New Roman"/>
          <w:color w:val="auto"/>
          <w:highlight w:val="none"/>
          <w:lang w:val="en-US" w:eastAsia="zh-CN"/>
        </w:rPr>
        <w:t>园林绿化面积</w:t>
      </w:r>
      <w:r>
        <w:rPr>
          <w:rFonts w:hint="default" w:ascii="Times New Roman" w:hAnsi="Times New Roman" w:eastAsia="仿宋_GB2312" w:cs="Times New Roman"/>
          <w:color w:val="auto"/>
          <w:highlight w:val="none"/>
          <w:lang w:val="en-US" w:eastAsia="zh-CN"/>
        </w:rPr>
        <w:t>、园林绿化养护覆盖率等指标与年初设定的目标值进行比较</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因此，采取的</w:t>
      </w:r>
      <w:r>
        <w:rPr>
          <w:rFonts w:hint="default" w:ascii="Times New Roman" w:hAnsi="Times New Roman" w:eastAsia="仿宋_GB2312" w:cs="Times New Roman"/>
          <w:color w:val="auto"/>
          <w:highlight w:val="none"/>
        </w:rPr>
        <w:t>绩效评价方法</w:t>
      </w:r>
      <w:r>
        <w:rPr>
          <w:rFonts w:hint="default" w:ascii="Times New Roman" w:hAnsi="Times New Roman" w:eastAsia="仿宋_GB2312" w:cs="Times New Roman"/>
          <w:color w:val="auto"/>
          <w:highlight w:val="none"/>
          <w:lang w:val="en-US" w:eastAsia="zh-CN"/>
        </w:rPr>
        <w:t>是</w:t>
      </w:r>
      <w:r>
        <w:rPr>
          <w:rFonts w:hint="default" w:ascii="Times New Roman" w:hAnsi="Times New Roman" w:eastAsia="仿宋_GB2312" w:cs="Times New Roman"/>
          <w:color w:val="auto"/>
          <w:highlight w:val="none"/>
        </w:rPr>
        <w:t>：比较法</w:t>
      </w:r>
      <w:r>
        <w:rPr>
          <w:rFonts w:hint="default" w:ascii="Times New Roman" w:hAnsi="Times New Roman" w:eastAsia="仿宋_GB2312" w:cs="Times New Roman"/>
          <w:color w:val="auto"/>
          <w:highlight w:val="none"/>
          <w:lang w:eastAsia="zh-CN"/>
        </w:rPr>
        <w:t>。</w:t>
      </w:r>
    </w:p>
    <w:p>
      <w:pPr>
        <w:bidi w:val="0"/>
        <w:rPr>
          <w:rFonts w:hint="default" w:ascii="Times New Roman" w:hAnsi="Times New Roman"/>
          <w:color w:val="auto"/>
          <w:highlight w:val="none"/>
          <w:lang w:val="en-US" w:eastAsia="zh-CN"/>
        </w:rPr>
      </w:pPr>
      <w:bookmarkStart w:id="72" w:name="_Toc10769"/>
      <w:bookmarkStart w:id="73" w:name="_Toc15525"/>
      <w:bookmarkStart w:id="74" w:name="_Toc3155"/>
      <w:r>
        <w:rPr>
          <w:rFonts w:hint="eastAsia" w:ascii="Times New Roman" w:hAnsi="Times New Roman"/>
          <w:color w:val="auto"/>
          <w:highlight w:val="none"/>
          <w:lang w:val="en-US" w:eastAsia="zh-CN"/>
        </w:rPr>
        <w:t>公众评判法：本项目公众评判法主要是采取问卷调查的方式，问卷调查广泛采纳服务对象的评价。园林绿化高洁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bookmarkEnd w:id="72"/>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4.绩效评价标准</w:t>
      </w:r>
      <w:bookmarkEnd w:id="73"/>
      <w:bookmarkEnd w:id="7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pPr>
        <w:pStyle w:val="16"/>
        <w:jc w:val="both"/>
        <w:rPr>
          <w:rFonts w:hint="default" w:ascii="Times New Roman" w:hAnsi="Times New Roman" w:eastAsia="仿宋_GB2312" w:cs="Times New Roman"/>
          <w:bCs/>
          <w:color w:val="auto"/>
          <w:kern w:val="2"/>
          <w:sz w:val="32"/>
          <w:szCs w:val="32"/>
          <w:highlight w:val="none"/>
          <w:lang w:val="en-US" w:eastAsia="zh-CN" w:bidi="ar-SA"/>
        </w:rPr>
      </w:pPr>
      <w:r>
        <w:rPr>
          <w:rFonts w:hint="default" w:ascii="Times New Roman" w:hAnsi="Times New Roman" w:eastAsia="仿宋_GB2312" w:cs="Times New Roman"/>
          <w:color w:val="auto"/>
          <w:highlight w:val="none"/>
        </w:rPr>
        <w:t>结合园林绿化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服务费的特点，</w:t>
      </w:r>
      <w:bookmarkStart w:id="75" w:name="_Toc15381"/>
      <w:bookmarkStart w:id="76" w:name="_Toc26411"/>
      <w:bookmarkStart w:id="77" w:name="_Toc30219"/>
      <w:bookmarkStart w:id="78" w:name="_Toc17851"/>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园林作业绿化面积</w:t>
      </w:r>
      <w:r>
        <w:rPr>
          <w:rFonts w:hint="default" w:ascii="Times New Roman" w:hAnsi="Times New Roman" w:eastAsia="仿宋_GB2312" w:cs="Times New Roman"/>
          <w:bCs/>
          <w:color w:val="auto"/>
          <w:kern w:val="2"/>
          <w:sz w:val="32"/>
          <w:szCs w:val="32"/>
          <w:highlight w:val="none"/>
          <w:lang w:val="en-US" w:eastAsia="zh-CN" w:bidi="ar-SA"/>
        </w:rPr>
        <w:t>为计划数作为评价标准。因此，本项目采取的绩效评价标准为：计划标准。</w:t>
      </w:r>
    </w:p>
    <w:p>
      <w:pPr>
        <w:pStyle w:val="4"/>
        <w:bidi w:val="0"/>
        <w:jc w:val="both"/>
        <w:rPr>
          <w:rFonts w:hint="eastAsia" w:ascii="Times New Roman" w:hAnsi="Times New Roman" w:eastAsia="楷体" w:cs="楷体"/>
          <w:color w:val="auto"/>
          <w:highlight w:val="none"/>
        </w:rPr>
      </w:pPr>
      <w:bookmarkStart w:id="79" w:name="_Toc27288"/>
      <w:r>
        <w:rPr>
          <w:rFonts w:hint="eastAsia" w:ascii="Times New Roman" w:hAnsi="Times New Roman" w:eastAsia="楷体" w:cs="楷体"/>
          <w:color w:val="auto"/>
          <w:highlight w:val="none"/>
        </w:rPr>
        <w:t>（三）绩效评价工作过程</w:t>
      </w:r>
      <w:bookmarkEnd w:id="75"/>
      <w:bookmarkEnd w:id="76"/>
      <w:bookmarkEnd w:id="77"/>
      <w:bookmarkEnd w:id="78"/>
      <w:bookmarkEnd w:id="79"/>
    </w:p>
    <w:p>
      <w:pPr>
        <w:bidi w:val="0"/>
        <w:jc w:val="both"/>
        <w:rPr>
          <w:rFonts w:hint="default" w:ascii="Times New Roman" w:hAnsi="Times New Roman" w:eastAsia="仿宋_GB2312" w:cs="Times New Roman"/>
          <w:b/>
          <w:bCs/>
          <w:color w:val="auto"/>
          <w:highlight w:val="none"/>
        </w:rPr>
      </w:pPr>
      <w:bookmarkStart w:id="80" w:name="_Toc17595"/>
      <w:bookmarkStart w:id="81" w:name="_Toc30911"/>
      <w:bookmarkStart w:id="82" w:name="_Toc22987"/>
      <w:bookmarkStart w:id="83" w:name="_Toc31054"/>
      <w:bookmarkStart w:id="84" w:name="_Toc27442"/>
      <w:r>
        <w:rPr>
          <w:rFonts w:hint="default" w:ascii="Times New Roman" w:hAnsi="Times New Roman" w:eastAsia="仿宋_GB2312" w:cs="Times New Roman"/>
          <w:b/>
          <w:bCs/>
          <w:color w:val="auto"/>
          <w:highlight w:val="none"/>
        </w:rPr>
        <w:t>1.前期准备</w:t>
      </w:r>
      <w:bookmarkEnd w:id="80"/>
      <w:bookmarkEnd w:id="81"/>
      <w:bookmarkEnd w:id="82"/>
      <w:bookmarkEnd w:id="83"/>
      <w:bookmarkEnd w:id="84"/>
      <w:r>
        <w:rPr>
          <w:rFonts w:hint="default" w:ascii="Times New Roman" w:hAnsi="Times New Roman" w:eastAsia="仿宋_GB2312" w:cs="Times New Roman"/>
          <w:b/>
          <w:bCs/>
          <w:color w:val="auto"/>
          <w:highlight w:val="none"/>
        </w:rPr>
        <w:t>（2025年2月10日-2025年2月28日）</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bookmarkStart w:id="85"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rPr>
        <w:t>县</w:t>
      </w:r>
      <w:r>
        <w:rPr>
          <w:rFonts w:hint="eastAsia" w:ascii="Times New Roman" w:hAnsi="Times New Roman" w:cs="仿宋_GB2312"/>
          <w:color w:val="auto"/>
          <w:sz w:val="30"/>
          <w:szCs w:val="30"/>
          <w:highlight w:val="none"/>
          <w:lang w:val="en-US" w:eastAsia="zh-CN"/>
        </w:rPr>
        <w:t>园林绿化服务中心</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r>
        <w:rPr>
          <w:rFonts w:hint="default" w:ascii="Times New Roman" w:hAnsi="Times New Roman" w:eastAsia="仿宋_GB2312" w:cs="Times New Roman"/>
          <w:bCs/>
          <w:color w:val="auto"/>
          <w:szCs w:val="32"/>
          <w:highlight w:val="none"/>
          <w:lang w:val="en-US" w:eastAsia="zh-CN"/>
        </w:rPr>
        <w:t>绩效评价工作小组人员名单及分工如下：</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评价小组组长：</w:t>
      </w:r>
      <w:r>
        <w:rPr>
          <w:rFonts w:hint="eastAsia" w:ascii="Times New Roman" w:hAnsi="Times New Roman" w:cs="Times New Roman"/>
          <w:bCs/>
          <w:color w:val="auto"/>
          <w:szCs w:val="32"/>
          <w:highlight w:val="none"/>
          <w:lang w:val="en-US" w:eastAsia="zh-CN"/>
        </w:rPr>
        <w:t>李静</w:t>
      </w:r>
      <w:r>
        <w:rPr>
          <w:rFonts w:hint="default" w:ascii="Times New Roman" w:hAnsi="Times New Roman" w:eastAsia="仿宋_GB2312" w:cs="Times New Roman"/>
          <w:bCs/>
          <w:color w:val="auto"/>
          <w:szCs w:val="32"/>
          <w:highlight w:val="none"/>
          <w:lang w:val="en-US" w:eastAsia="zh-CN"/>
        </w:rPr>
        <w:t>，主要负责协调相关科室、部门对项目整体运行情况进行验收、评估。</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评价小组组员：</w:t>
      </w:r>
      <w:r>
        <w:rPr>
          <w:rFonts w:hint="eastAsia" w:ascii="Times New Roman" w:hAnsi="Times New Roman" w:cs="Times New Roman"/>
          <w:bCs/>
          <w:color w:val="auto"/>
          <w:szCs w:val="32"/>
          <w:highlight w:val="none"/>
          <w:lang w:val="en-US" w:eastAsia="zh-CN"/>
        </w:rPr>
        <w:t>买合木提</w:t>
      </w:r>
      <w:r>
        <w:rPr>
          <w:rFonts w:hint="default" w:ascii="Times New Roman" w:hAnsi="Times New Roman" w:eastAsia="仿宋_GB2312" w:cs="Times New Roman"/>
          <w:bCs/>
          <w:color w:val="auto"/>
          <w:szCs w:val="32"/>
          <w:highlight w:val="none"/>
          <w:lang w:val="en-US" w:eastAsia="zh-CN"/>
        </w:rPr>
        <w:t>，主要负责制定评价指标体系及评价标准。</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评价小组组员：</w:t>
      </w:r>
      <w:r>
        <w:rPr>
          <w:rFonts w:hint="eastAsia" w:ascii="Times New Roman" w:hAnsi="Times New Roman" w:cs="Times New Roman"/>
          <w:bCs/>
          <w:color w:val="auto"/>
          <w:szCs w:val="32"/>
          <w:highlight w:val="none"/>
          <w:lang w:val="en-US" w:eastAsia="zh-CN"/>
        </w:rPr>
        <w:t>吾尔古力</w:t>
      </w:r>
      <w:r>
        <w:rPr>
          <w:rFonts w:hint="default" w:ascii="Times New Roman" w:hAnsi="Times New Roman" w:eastAsia="仿宋_GB2312" w:cs="Times New Roman"/>
          <w:bCs/>
          <w:color w:val="auto"/>
          <w:szCs w:val="32"/>
          <w:highlight w:val="none"/>
          <w:lang w:val="en-US" w:eastAsia="zh-CN"/>
        </w:rPr>
        <w:t>，主要负责</w:t>
      </w:r>
      <w:r>
        <w:rPr>
          <w:rFonts w:hint="eastAsia" w:ascii="Times New Roman" w:hAnsi="Times New Roman" w:cs="Times New Roman"/>
          <w:bCs/>
          <w:color w:val="auto"/>
          <w:szCs w:val="32"/>
          <w:highlight w:val="none"/>
          <w:lang w:val="en-US" w:eastAsia="zh-CN"/>
        </w:rPr>
        <w:t>园林绿化高洁服务费</w:t>
      </w:r>
      <w:r>
        <w:rPr>
          <w:rFonts w:hint="default" w:ascii="Times New Roman" w:hAnsi="Times New Roman" w:eastAsia="仿宋_GB2312" w:cs="Times New Roman"/>
          <w:bCs/>
          <w:color w:val="auto"/>
          <w:szCs w:val="32"/>
          <w:highlight w:val="none"/>
          <w:lang w:val="en-US" w:eastAsia="zh-CN"/>
        </w:rPr>
        <w:t>项目实施、监督、评估工作。</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2.组织实施</w:t>
      </w:r>
      <w:bookmarkEnd w:id="85"/>
      <w:r>
        <w:rPr>
          <w:rFonts w:hint="default" w:ascii="Times New Roman" w:hAnsi="Times New Roman" w:eastAsia="仿宋_GB2312" w:cs="Times New Roman"/>
          <w:b/>
          <w:bCs/>
          <w:color w:val="auto"/>
          <w:highlight w:val="none"/>
        </w:rPr>
        <w:t>（2025年3月1日-2025年3月10日）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ascii="Times New Roman" w:hAnsi="Times New Roman"/>
          <w:color w:val="auto"/>
          <w:highlight w:val="none"/>
          <w:lang w:val="en-US" w:eastAsia="zh-CN"/>
        </w:rPr>
      </w:pPr>
      <w:r>
        <w:rPr>
          <w:rFonts w:hint="eastAsia" w:ascii="Times New Roman" w:hAnsi="Times New Roman"/>
          <w:color w:val="auto"/>
          <w:highlight w:val="none"/>
        </w:rPr>
        <w:t>（1）</w:t>
      </w:r>
      <w:r>
        <w:rPr>
          <w:rFonts w:hint="eastAsia" w:ascii="Times New Roman" w:hAnsi="Times New Roman"/>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default" w:ascii="Times New Roman" w:hAnsi="Times New Roman" w:eastAsia="仿宋_GB2312" w:cs="Times New Roman"/>
          <w:b/>
          <w:bCs/>
          <w:color w:val="auto"/>
          <w:highlight w:val="none"/>
        </w:rPr>
      </w:pPr>
      <w:bookmarkStart w:id="86" w:name="_Toc19781"/>
      <w:r>
        <w:rPr>
          <w:rFonts w:hint="default" w:ascii="Times New Roman" w:hAnsi="Times New Roman" w:eastAsia="仿宋_GB2312" w:cs="Times New Roman"/>
          <w:b/>
          <w:bCs/>
          <w:color w:val="auto"/>
          <w:highlight w:val="none"/>
        </w:rPr>
        <w:t>3.数据集中分析</w:t>
      </w:r>
      <w:bookmarkEnd w:id="86"/>
      <w:r>
        <w:rPr>
          <w:rFonts w:hint="default" w:ascii="Times New Roman" w:hAnsi="Times New Roman" w:eastAsia="仿宋_GB2312" w:cs="Times New Roman"/>
          <w:b/>
          <w:bCs/>
          <w:color w:val="auto"/>
          <w:highlight w:val="none"/>
        </w:rPr>
        <w:t>（2025年3月11日-2025年3月20日）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pPr>
        <w:bidi w:val="0"/>
        <w:jc w:val="both"/>
        <w:rPr>
          <w:rFonts w:hint="default" w:ascii="Times New Roman" w:hAnsi="Times New Roman" w:eastAsia="仿宋_GB2312" w:cs="Times New Roman"/>
          <w:b/>
          <w:bCs/>
          <w:color w:val="auto"/>
          <w:highlight w:val="none"/>
        </w:rPr>
      </w:pPr>
      <w:bookmarkStart w:id="87" w:name="_Toc5021"/>
      <w:r>
        <w:rPr>
          <w:rFonts w:hint="default" w:ascii="Times New Roman" w:hAnsi="Times New Roman" w:eastAsia="仿宋_GB2312" w:cs="Times New Roman"/>
          <w:b/>
          <w:bCs/>
          <w:color w:val="auto"/>
          <w:highlight w:val="none"/>
        </w:rPr>
        <w:t>4.分析总结</w:t>
      </w:r>
      <w:bookmarkEnd w:id="87"/>
      <w:r>
        <w:rPr>
          <w:rFonts w:hint="default" w:ascii="Times New Roman" w:hAnsi="Times New Roman" w:eastAsia="仿宋_GB2312" w:cs="Times New Roman"/>
          <w:b/>
          <w:bCs/>
          <w:color w:val="auto"/>
          <w:highlight w:val="none"/>
        </w:rPr>
        <w:t>（2025年3月21日-2025年</w:t>
      </w:r>
      <w:r>
        <w:rPr>
          <w:rFonts w:hint="eastAsia" w:ascii="Times New Roman" w:hAnsi="Times New Roman" w:cs="Times New Roman"/>
          <w:b/>
          <w:bCs/>
          <w:color w:val="auto"/>
          <w:highlight w:val="none"/>
          <w:lang w:val="en-US" w:eastAsia="zh-CN"/>
        </w:rPr>
        <w:t>4</w:t>
      </w:r>
      <w:r>
        <w:rPr>
          <w:rFonts w:hint="default" w:ascii="Times New Roman" w:hAnsi="Times New Roman" w:eastAsia="仿宋_GB2312" w:cs="Times New Roman"/>
          <w:b/>
          <w:bCs/>
          <w:color w:val="auto"/>
          <w:highlight w:val="none"/>
        </w:rPr>
        <w:t>月</w:t>
      </w:r>
      <w:r>
        <w:rPr>
          <w:rFonts w:hint="eastAsia" w:ascii="Times New Roman" w:hAnsi="Times New Roman" w:cs="Times New Roman"/>
          <w:b/>
          <w:bCs/>
          <w:color w:val="auto"/>
          <w:highlight w:val="none"/>
          <w:lang w:val="en-US" w:eastAsia="zh-CN"/>
        </w:rPr>
        <w:t>2</w:t>
      </w:r>
      <w:r>
        <w:rPr>
          <w:rFonts w:hint="default" w:ascii="Times New Roman" w:hAnsi="Times New Roman" w:eastAsia="仿宋_GB2312" w:cs="Times New Roman"/>
          <w:b/>
          <w:bCs/>
          <w:color w:val="auto"/>
          <w:highlight w:val="none"/>
        </w:rPr>
        <w:t>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（1）根据部门自评的意见及考察、考评的结果进行整理、分析，撰写绩效评价报告初稿；</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pPr>
        <w:rPr>
          <w:rFonts w:ascii="Times New Roman" w:hAnsi="Times New Roman"/>
          <w:b/>
          <w:bCs/>
          <w:color w:val="auto"/>
          <w:highlight w:val="none"/>
        </w:rPr>
      </w:pPr>
      <w:bookmarkStart w:id="88" w:name="OLE_LINK11"/>
      <w:bookmarkStart w:id="89" w:name="OLE_LINK4"/>
      <w:r>
        <w:rPr>
          <w:rFonts w:hint="eastAsia" w:ascii="Times New Roman" w:hAnsi="Times New Roman"/>
          <w:b/>
          <w:bCs/>
          <w:color w:val="auto"/>
          <w:highlight w:val="none"/>
        </w:rPr>
        <w:t>5</w:t>
      </w:r>
      <w:r>
        <w:rPr>
          <w:rFonts w:hint="eastAsia" w:ascii="Times New Roman" w:hAnsi="Times New Roman"/>
          <w:b/>
          <w:bCs/>
          <w:color w:val="auto"/>
          <w:highlight w:val="none"/>
          <w:lang w:eastAsia="zh-CN"/>
        </w:rPr>
        <w:t>.</w:t>
      </w:r>
      <w:r>
        <w:rPr>
          <w:rFonts w:hint="eastAsia" w:ascii="Times New Roman" w:hAnsi="Times New Roman"/>
          <w:b/>
          <w:bCs/>
          <w:color w:val="auto"/>
          <w:highlight w:val="none"/>
        </w:rPr>
        <w:t>问题整改</w:t>
      </w:r>
    </w:p>
    <w:p>
      <w:pPr>
        <w:rPr>
          <w:rFonts w:ascii="Times New Roman" w:hAnsi="Times New Roman"/>
          <w:color w:val="auto"/>
          <w:highlight w:val="none"/>
        </w:rPr>
      </w:pPr>
      <w:r>
        <w:rPr>
          <w:rFonts w:hint="eastAsia" w:ascii="Times New Roman" w:hAnsi="Times New Roman"/>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Times New Roman" w:hAnsi="Times New Roman"/>
          <w:b/>
          <w:bCs/>
          <w:color w:val="auto"/>
          <w:highlight w:val="none"/>
        </w:rPr>
      </w:pPr>
      <w:r>
        <w:rPr>
          <w:rFonts w:hint="eastAsia" w:ascii="Times New Roman" w:hAnsi="Times New Roman"/>
          <w:b/>
          <w:bCs/>
          <w:color w:val="auto"/>
          <w:highlight w:val="none"/>
        </w:rPr>
        <w:t>6</w:t>
      </w:r>
      <w:r>
        <w:rPr>
          <w:rFonts w:hint="eastAsia" w:ascii="Times New Roman" w:hAnsi="Times New Roman"/>
          <w:b/>
          <w:bCs/>
          <w:color w:val="auto"/>
          <w:highlight w:val="none"/>
          <w:lang w:eastAsia="zh-CN"/>
        </w:rPr>
        <w:t>.</w:t>
      </w:r>
      <w:r>
        <w:rPr>
          <w:rFonts w:hint="eastAsia" w:ascii="Times New Roman" w:hAnsi="Times New Roman"/>
          <w:b/>
          <w:bCs/>
          <w:color w:val="auto"/>
          <w:highlight w:val="none"/>
        </w:rPr>
        <w:t>档案整理</w:t>
      </w:r>
    </w:p>
    <w:p>
      <w:pPr>
        <w:ind w:firstLine="560"/>
        <w:rPr>
          <w:rFonts w:ascii="Times New Roman" w:hAnsi="Times New Roman"/>
          <w:color w:val="auto"/>
          <w:highlight w:val="none"/>
        </w:rPr>
      </w:pPr>
      <w:r>
        <w:rPr>
          <w:rFonts w:ascii="Times New Roman" w:hAnsi="Times New Roman"/>
          <w:color w:val="auto"/>
          <w:highlight w:val="none"/>
        </w:rPr>
        <w:t>建立和落实档案管理制度，将项目相关资料存档，包括但不限于：评价项目基本情况和相关文件、评价实施方案、项目支付资料等相关档案。</w:t>
      </w:r>
      <w:bookmarkEnd w:id="88"/>
      <w:bookmarkEnd w:id="89"/>
    </w:p>
    <w:p>
      <w:pPr>
        <w:pStyle w:val="2"/>
        <w:bidi w:val="0"/>
        <w:jc w:val="both"/>
        <w:rPr>
          <w:rFonts w:hint="eastAsia" w:ascii="Times New Roman" w:hAnsi="Times New Roman" w:eastAsia="黑体" w:cs="黑体"/>
          <w:color w:val="auto"/>
          <w:highlight w:val="none"/>
        </w:rPr>
      </w:pPr>
      <w:bookmarkStart w:id="90" w:name="_Toc4355"/>
      <w:bookmarkStart w:id="91" w:name="_Toc25201"/>
      <w:bookmarkStart w:id="92" w:name="_Toc2455"/>
      <w:bookmarkStart w:id="93" w:name="_Toc31058"/>
      <w:bookmarkStart w:id="94" w:name="_Toc21627"/>
      <w:bookmarkStart w:id="95" w:name="_Toc1808"/>
      <w:bookmarkStart w:id="96" w:name="_Toc32641"/>
      <w:r>
        <w:rPr>
          <w:rFonts w:hint="eastAsia" w:ascii="Times New Roman" w:hAnsi="Times New Roman" w:eastAsia="黑体" w:cs="黑体"/>
          <w:color w:val="auto"/>
          <w:highlight w:val="none"/>
        </w:rPr>
        <w:t>三、综合评价情况及评价结论</w:t>
      </w:r>
      <w:bookmarkEnd w:id="90"/>
      <w:bookmarkEnd w:id="91"/>
      <w:bookmarkEnd w:id="92"/>
      <w:bookmarkEnd w:id="93"/>
      <w:bookmarkEnd w:id="94"/>
      <w:bookmarkEnd w:id="95"/>
      <w:bookmarkEnd w:id="9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本项目的绩效评价结果为“优”，综合评分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分。其中项目决策22分，项目过程1</w:t>
      </w:r>
      <w:r>
        <w:rPr>
          <w:rFonts w:hint="default" w:ascii="Times New Roman" w:hAnsi="Times New Roman" w:eastAsia="仿宋_GB2312" w:cs="Times New Roman"/>
          <w:color w:val="auto"/>
          <w:highlight w:val="none"/>
          <w:lang w:val="en-US" w:eastAsia="zh-CN"/>
        </w:rPr>
        <w:t>8</w:t>
      </w:r>
      <w:r>
        <w:rPr>
          <w:rFonts w:hint="default" w:ascii="Times New Roman" w:hAnsi="Times New Roman" w:eastAsia="仿宋_GB2312" w:cs="Times New Roman"/>
          <w:color w:val="auto"/>
          <w:highlight w:val="none"/>
        </w:rPr>
        <w:t>分，项目产出管理得分</w:t>
      </w:r>
      <w:r>
        <w:rPr>
          <w:rFonts w:hint="default" w:ascii="Times New Roman" w:hAnsi="Times New Roman" w:eastAsia="仿宋_GB2312" w:cs="Times New Roman"/>
          <w:color w:val="auto"/>
          <w:highlight w:val="none"/>
          <w:lang w:val="en-US" w:eastAsia="zh-CN"/>
        </w:rPr>
        <w:t>40</w:t>
      </w:r>
      <w:r>
        <w:rPr>
          <w:rFonts w:hint="default" w:ascii="Times New Roman" w:hAnsi="Times New Roman" w:eastAsia="仿宋_GB2312" w:cs="Times New Roman"/>
          <w:color w:val="auto"/>
          <w:highlight w:val="none"/>
        </w:rPr>
        <w:t>分，项目效益20分</w:t>
      </w:r>
      <w:r>
        <w:rPr>
          <w:rFonts w:hint="default" w:ascii="Times New Roman" w:hAnsi="Times New Roman" w:eastAsia="仿宋_GB2312" w:cs="Times New Roman"/>
          <w:color w:val="auto"/>
          <w:highlight w:val="none"/>
          <w:lang w:val="en-US" w:eastAsia="zh-CN"/>
        </w:rPr>
        <w:t>。各部分权重和绩效汇总分值如下表所示：</w:t>
      </w:r>
    </w:p>
    <w:tbl>
      <w:tblPr>
        <w:tblStyle w:val="13"/>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29"/>
              <w:bidi w:val="0"/>
              <w:jc w:val="center"/>
              <w:rPr>
                <w:rFonts w:hint="default" w:ascii="Times New Roman" w:hAnsi="Times New Roman" w:eastAsia="仿宋_GB2312" w:cs="Times New Roman"/>
                <w:color w:val="auto"/>
                <w:highlight w:val="none"/>
              </w:rPr>
            </w:pPr>
            <w:bookmarkStart w:id="97" w:name="_Toc14088"/>
            <w:bookmarkStart w:id="98" w:name="_Toc15899"/>
            <w:bookmarkStart w:id="99" w:name="_Toc16086"/>
            <w:bookmarkStart w:id="100" w:name="_Toc3703"/>
            <w:bookmarkStart w:id="101" w:name="_Toc30727"/>
            <w:bookmarkStart w:id="102" w:name="_Toc17356"/>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bookmarkEnd w:id="97"/>
            <w:bookmarkEnd w:id="98"/>
          </w:p>
          <w:p>
            <w:pPr>
              <w:pStyle w:val="29"/>
              <w:bidi w:val="0"/>
              <w:jc w:val="center"/>
              <w:rPr>
                <w:rFonts w:hint="default" w:ascii="Times New Roman" w:hAnsi="Times New Roman" w:eastAsia="仿宋_GB2312" w:cs="Times New Roman"/>
                <w:color w:val="auto"/>
                <w:highlight w:val="none"/>
              </w:rPr>
            </w:pPr>
            <w:bookmarkStart w:id="103" w:name="_Toc1117"/>
            <w:bookmarkStart w:id="104" w:name="_Toc11770"/>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99"/>
            <w:bookmarkEnd w:id="100"/>
            <w:bookmarkEnd w:id="103"/>
            <w:bookmarkEnd w:id="104"/>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ascii="Times New Roman" w:hAnsi="Times New Roman" w:cs="Times New Roman"/>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100</w:t>
            </w:r>
          </w:p>
        </w:tc>
      </w:tr>
    </w:tbl>
    <w:p>
      <w:pPr>
        <w:pStyle w:val="2"/>
        <w:bidi w:val="0"/>
        <w:jc w:val="both"/>
        <w:rPr>
          <w:rFonts w:hint="eastAsia" w:ascii="Times New Roman" w:hAnsi="Times New Roman" w:eastAsia="黑体" w:cs="黑体"/>
          <w:color w:val="auto"/>
          <w:highlight w:val="none"/>
        </w:rPr>
      </w:pPr>
      <w:bookmarkStart w:id="105" w:name="_Toc13630"/>
      <w:bookmarkStart w:id="106" w:name="_Toc29439"/>
      <w:bookmarkStart w:id="107" w:name="_Toc12376"/>
      <w:bookmarkStart w:id="108" w:name="_Toc11861"/>
      <w:bookmarkStart w:id="109" w:name="_Toc4904"/>
      <w:r>
        <w:rPr>
          <w:rFonts w:hint="eastAsia" w:ascii="Times New Roman" w:hAnsi="Times New Roman" w:eastAsia="黑体" w:cs="黑体"/>
          <w:color w:val="auto"/>
          <w:highlight w:val="none"/>
        </w:rPr>
        <w:t>四、绩效评价指标分析</w:t>
      </w:r>
      <w:bookmarkEnd w:id="101"/>
      <w:bookmarkEnd w:id="102"/>
      <w:bookmarkEnd w:id="105"/>
      <w:bookmarkEnd w:id="106"/>
      <w:bookmarkEnd w:id="107"/>
      <w:bookmarkEnd w:id="108"/>
      <w:bookmarkEnd w:id="109"/>
    </w:p>
    <w:p>
      <w:pPr>
        <w:pStyle w:val="4"/>
        <w:bidi w:val="0"/>
        <w:jc w:val="both"/>
        <w:rPr>
          <w:rFonts w:hint="eastAsia" w:ascii="Times New Roman" w:hAnsi="Times New Roman" w:eastAsia="楷体" w:cs="楷体"/>
          <w:color w:val="auto"/>
          <w:highlight w:val="none"/>
        </w:rPr>
      </w:pPr>
      <w:bookmarkStart w:id="110" w:name="_Toc19711"/>
      <w:bookmarkStart w:id="111" w:name="_Toc1968"/>
      <w:bookmarkStart w:id="112" w:name="_Toc2901"/>
      <w:bookmarkStart w:id="113" w:name="_Toc22323"/>
      <w:bookmarkStart w:id="114" w:name="_Toc28477"/>
      <w:r>
        <w:rPr>
          <w:rFonts w:hint="eastAsia" w:ascii="Times New Roman" w:hAnsi="Times New Roman" w:eastAsia="楷体" w:cs="楷体"/>
          <w:color w:val="auto"/>
          <w:highlight w:val="none"/>
        </w:rPr>
        <w:t>（一）项目决策情况</w:t>
      </w:r>
      <w:bookmarkEnd w:id="110"/>
      <w:bookmarkEnd w:id="111"/>
      <w:bookmarkEnd w:id="112"/>
      <w:bookmarkEnd w:id="113"/>
      <w:bookmarkEnd w:id="114"/>
    </w:p>
    <w:p>
      <w:pPr>
        <w:bidi w:val="0"/>
        <w:jc w:val="both"/>
        <w:rPr>
          <w:rFonts w:hint="default" w:ascii="Times New Roman" w:hAnsi="Times New Roman" w:eastAsia="仿宋_GB2312" w:cs="Times New Roman"/>
          <w:b/>
          <w:bCs/>
          <w:color w:val="auto"/>
          <w:highlight w:val="none"/>
        </w:rPr>
      </w:pPr>
      <w:bookmarkStart w:id="115" w:name="_Toc510"/>
      <w:bookmarkStart w:id="116" w:name="_Toc22511"/>
      <w:r>
        <w:rPr>
          <w:rFonts w:hint="default" w:ascii="Times New Roman" w:hAnsi="Times New Roman" w:eastAsia="仿宋_GB2312" w:cs="Times New Roman"/>
          <w:b/>
          <w:bCs/>
          <w:color w:val="auto"/>
          <w:highlight w:val="none"/>
        </w:rPr>
        <w:t>1.</w:t>
      </w:r>
      <w:r>
        <w:rPr>
          <w:rFonts w:hint="eastAsia" w:ascii="Times New Roman" w:hAnsi="Times New Roman" w:cs="Times New Roman"/>
          <w:b/>
          <w:bCs/>
          <w:color w:val="auto"/>
          <w:highlight w:val="none"/>
          <w:lang w:eastAsia="zh-CN"/>
        </w:rPr>
        <w:t>实施</w:t>
      </w:r>
      <w:r>
        <w:rPr>
          <w:rFonts w:hint="default" w:ascii="Times New Roman" w:hAnsi="Times New Roman" w:eastAsia="仿宋_GB2312" w:cs="Times New Roman"/>
          <w:b/>
          <w:bCs/>
          <w:color w:val="auto"/>
          <w:highlight w:val="none"/>
        </w:rPr>
        <w:t>依据充分性</w:t>
      </w:r>
      <w:bookmarkEnd w:id="115"/>
      <w:bookmarkEnd w:id="116"/>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根据《城市绿化条例》《全国绿化委员会国家林业和草原局关于积极推进大规模国土绿化行动的意见》等文件对城镇绿化建设与养护的要求制定本项目。</w:t>
      </w: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w:t>
      </w:r>
      <w:r>
        <w:rPr>
          <w:rFonts w:hint="eastAsia" w:cs="Times New Roman"/>
          <w:color w:val="auto"/>
          <w:highlight w:val="none"/>
          <w:lang w:val="en-US" w:eastAsia="zh-CN"/>
        </w:rPr>
        <w:t>于</w:t>
      </w:r>
      <w:bookmarkStart w:id="216" w:name="_GoBack"/>
      <w:bookmarkEnd w:id="216"/>
      <w:r>
        <w:rPr>
          <w:rFonts w:hint="default" w:ascii="Times New Roman" w:hAnsi="Times New Roman" w:eastAsia="仿宋_GB2312" w:cs="Times New Roman"/>
          <w:color w:val="auto"/>
          <w:highlight w:val="none"/>
        </w:rPr>
        <w:t>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lang w:val="en-US" w:eastAsia="zh-CN"/>
        </w:rPr>
        <w:t>依据充分。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numPr>
          <w:ilvl w:val="0"/>
          <w:numId w:val="0"/>
        </w:numPr>
        <w:bidi w:val="0"/>
        <w:ind w:firstLine="643" w:firstLineChars="200"/>
        <w:jc w:val="both"/>
        <w:rPr>
          <w:rFonts w:hint="default" w:ascii="Times New Roman" w:hAnsi="Times New Roman" w:eastAsia="仿宋_GB2312" w:cs="Times New Roman"/>
          <w:b/>
          <w:bCs/>
          <w:color w:val="auto"/>
          <w:highlight w:val="none"/>
        </w:rPr>
      </w:pPr>
      <w:bookmarkStart w:id="117" w:name="_Toc283"/>
      <w:bookmarkStart w:id="118" w:name="_Toc27895"/>
      <w:r>
        <w:rPr>
          <w:rFonts w:hint="default" w:ascii="Times New Roman" w:hAnsi="Times New Roman" w:eastAsia="仿宋_GB2312" w:cs="Times New Roman"/>
          <w:b/>
          <w:bCs/>
          <w:color w:val="auto"/>
          <w:kern w:val="2"/>
          <w:sz w:val="32"/>
          <w:szCs w:val="22"/>
          <w:lang w:val="en-US" w:eastAsia="zh-CN" w:bidi="ar-SA"/>
        </w:rPr>
        <w:t>2.</w:t>
      </w:r>
      <w:r>
        <w:rPr>
          <w:rFonts w:hint="eastAsia" w:ascii="Times New Roman" w:hAnsi="Times New Roman" w:cs="Times New Roman"/>
          <w:b/>
          <w:bCs/>
          <w:color w:val="auto"/>
          <w:highlight w:val="none"/>
          <w:lang w:eastAsia="zh-CN"/>
        </w:rPr>
        <w:t>实施</w:t>
      </w:r>
      <w:r>
        <w:rPr>
          <w:rFonts w:hint="default" w:ascii="Times New Roman" w:hAnsi="Times New Roman" w:eastAsia="仿宋_GB2312" w:cs="Times New Roman"/>
          <w:b/>
          <w:bCs/>
          <w:color w:val="auto"/>
          <w:highlight w:val="none"/>
        </w:rPr>
        <w:t>程序规范性</w:t>
      </w:r>
      <w:bookmarkEnd w:id="117"/>
      <w:bookmarkEnd w:id="118"/>
    </w:p>
    <w:p>
      <w:pPr>
        <w:ind w:firstLine="56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本项目主管单位为尉犁县住房和城乡建设局，实施单位为尉犁县</w:t>
      </w:r>
      <w:r>
        <w:rPr>
          <w:rFonts w:hint="eastAsia" w:ascii="Times New Roman" w:hAnsi="Times New Roman" w:cs="Times New Roman"/>
          <w:color w:val="auto"/>
          <w:highlight w:val="none"/>
          <w:lang w:val="en-US" w:eastAsia="zh-CN"/>
        </w:rPr>
        <w:t>园林绿化服务中心</w:t>
      </w:r>
      <w:r>
        <w:rPr>
          <w:rFonts w:hint="default" w:ascii="Times New Roman" w:hAnsi="Times New Roman" w:cs="Times New Roman"/>
          <w:color w:val="auto"/>
          <w:highlight w:val="none"/>
          <w:lang w:val="en-US" w:eastAsia="zh-CN"/>
        </w:rPr>
        <w:t>。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本项满分3分，评估得分3分。</w:t>
      </w:r>
    </w:p>
    <w:p>
      <w:pPr>
        <w:pStyle w:val="29"/>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color w:val="auto"/>
          <w:highlight w:val="none"/>
        </w:rPr>
      </w:pPr>
      <w:bookmarkStart w:id="119" w:name="_Toc13368"/>
      <w:bookmarkStart w:id="120" w:name="_Toc20471"/>
      <w:r>
        <w:rPr>
          <w:rFonts w:hint="default" w:ascii="Times New Roman" w:hAnsi="Times New Roman" w:eastAsia="仿宋_GB2312" w:cs="Times New Roman"/>
          <w:b/>
          <w:bCs/>
          <w:color w:val="auto"/>
          <w:highlight w:val="none"/>
        </w:rPr>
        <w:t>3.绩效目标合理性</w:t>
      </w:r>
      <w:bookmarkEnd w:id="119"/>
      <w:bookmarkEnd w:id="120"/>
    </w:p>
    <w:p>
      <w:pPr>
        <w:pStyle w:val="29"/>
        <w:pageBreakBefore w:val="0"/>
        <w:widowControl w:val="0"/>
        <w:kinsoku/>
        <w:wordWrap/>
        <w:overflowPunct/>
        <w:topLinePunct w:val="0"/>
        <w:autoSpaceDE/>
        <w:autoSpaceDN/>
        <w:bidi w:val="0"/>
        <w:adjustRightInd/>
        <w:snapToGrid/>
        <w:ind w:firstLine="640" w:firstLineChars="200"/>
        <w:jc w:val="left"/>
        <w:textAlignment w:val="auto"/>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color w:val="auto"/>
          <w:kern w:val="2"/>
          <w:sz w:val="32"/>
          <w:szCs w:val="22"/>
          <w:highlight w:val="none"/>
          <w:lang w:val="en-US" w:eastAsia="zh-CN" w:bidi="ar-SA"/>
        </w:rPr>
        <w:t>园林绿化</w:t>
      </w:r>
      <w:r>
        <w:rPr>
          <w:rFonts w:hint="eastAsia" w:ascii="Times New Roman" w:hAnsi="Times New Roman" w:cs="Times New Roman"/>
          <w:b w:val="0"/>
          <w:color w:val="auto"/>
          <w:kern w:val="2"/>
          <w:sz w:val="32"/>
          <w:szCs w:val="22"/>
          <w:highlight w:val="none"/>
          <w:lang w:val="en-US" w:eastAsia="zh-CN" w:bidi="ar-SA"/>
        </w:rPr>
        <w:t>高洁</w:t>
      </w:r>
      <w:r>
        <w:rPr>
          <w:rFonts w:hint="default" w:ascii="Times New Roman" w:hAnsi="Times New Roman" w:eastAsia="仿宋_GB2312" w:cs="Times New Roman"/>
          <w:b w:val="0"/>
          <w:color w:val="auto"/>
          <w:kern w:val="2"/>
          <w:sz w:val="32"/>
          <w:szCs w:val="22"/>
          <w:highlight w:val="none"/>
          <w:lang w:val="en-US" w:eastAsia="zh-CN" w:bidi="ar-SA"/>
        </w:rPr>
        <w:t>服务费设立了项目绩效目标，绩效目标指标设置合理，项目绩效目标与实际工作内容相关性较强；项目预期产出效益和效果符合正常的业绩水平；绩效目标与预算确定的项目投资额相匹配。</w:t>
      </w:r>
    </w:p>
    <w:p>
      <w:pPr>
        <w:pageBreakBefore w:val="0"/>
        <w:widowControl w:val="0"/>
        <w:kinsoku/>
        <w:wordWrap/>
        <w:overflowPunct/>
        <w:topLinePunct w:val="0"/>
        <w:autoSpaceDE/>
        <w:autoSpaceDN/>
        <w:bidi w:val="0"/>
        <w:adjustRightInd/>
        <w:snapToGrid/>
        <w:jc w:val="both"/>
        <w:textAlignment w:val="auto"/>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1" w:name="_Toc21087"/>
      <w:bookmarkStart w:id="122" w:name="_Toc15543"/>
      <w:r>
        <w:rPr>
          <w:rFonts w:hint="default" w:ascii="Times New Roman" w:hAnsi="Times New Roman" w:eastAsia="仿宋_GB2312" w:cs="Times New Roman"/>
          <w:b/>
          <w:bCs/>
          <w:color w:val="auto"/>
          <w:highlight w:val="none"/>
        </w:rPr>
        <w:t>4.绩效指标明确性</w:t>
      </w:r>
      <w:bookmarkEnd w:id="121"/>
      <w:bookmarkEnd w:id="122"/>
    </w:p>
    <w:p>
      <w:pPr>
        <w:bidi w:val="0"/>
        <w:rPr>
          <w:rFonts w:hint="default" w:ascii="Times New Roman" w:hAnsi="Times New Roman"/>
          <w:color w:val="auto"/>
          <w:highlight w:val="none"/>
        </w:rPr>
      </w:pPr>
      <w:r>
        <w:rPr>
          <w:rFonts w:hint="default" w:ascii="Times New Roman" w:hAnsi="Times New Roman"/>
          <w:color w:val="auto"/>
          <w:highlight w:val="none"/>
          <w:lang w:val="en-US" w:eastAsia="zh-CN"/>
        </w:rPr>
        <w:t>园林绿化高洁服务费</w:t>
      </w:r>
      <w:r>
        <w:rPr>
          <w:rFonts w:hint="default" w:ascii="Times New Roman" w:hAnsi="Times New Roman"/>
          <w:color w:val="auto"/>
          <w:highlight w:val="none"/>
        </w:rPr>
        <w:t>，设置一级指标</w:t>
      </w:r>
      <w:r>
        <w:rPr>
          <w:rFonts w:hint="eastAsia" w:ascii="Times New Roman" w:hAnsi="Times New Roman"/>
          <w:color w:val="auto"/>
          <w:highlight w:val="none"/>
          <w:lang w:val="en-US" w:eastAsia="zh-CN"/>
        </w:rPr>
        <w:t>4</w:t>
      </w:r>
      <w:r>
        <w:rPr>
          <w:rFonts w:hint="default" w:ascii="Times New Roman" w:hAnsi="Times New Roman"/>
          <w:color w:val="auto"/>
          <w:highlight w:val="none"/>
        </w:rPr>
        <w:t>条，二级指标</w:t>
      </w:r>
      <w:r>
        <w:rPr>
          <w:rFonts w:hint="eastAsia" w:ascii="Times New Roman" w:hAnsi="Times New Roman"/>
          <w:color w:val="auto"/>
          <w:highlight w:val="none"/>
          <w:lang w:val="en-US" w:eastAsia="zh-CN"/>
        </w:rPr>
        <w:t>7</w:t>
      </w:r>
      <w:r>
        <w:rPr>
          <w:rFonts w:hint="default" w:ascii="Times New Roman" w:hAnsi="Times New Roman"/>
          <w:color w:val="auto"/>
          <w:highlight w:val="none"/>
        </w:rPr>
        <w:t>条，三级指标</w:t>
      </w:r>
      <w:r>
        <w:rPr>
          <w:rFonts w:hint="eastAsia" w:ascii="Times New Roman" w:hAnsi="Times New Roman"/>
          <w:color w:val="auto"/>
          <w:highlight w:val="none"/>
          <w:lang w:val="en-US" w:eastAsia="zh-CN"/>
        </w:rPr>
        <w:t>7</w:t>
      </w:r>
      <w:r>
        <w:rPr>
          <w:rFonts w:hint="default" w:ascii="Times New Roman" w:hAnsi="Times New Roman"/>
          <w:color w:val="auto"/>
          <w:highlight w:val="none"/>
        </w:rPr>
        <w:t>条，其中量化指标</w:t>
      </w:r>
      <w:r>
        <w:rPr>
          <w:rFonts w:hint="eastAsia" w:ascii="Times New Roman" w:hAnsi="Times New Roman"/>
          <w:color w:val="auto"/>
          <w:highlight w:val="none"/>
          <w:lang w:val="en-US" w:eastAsia="zh-CN"/>
        </w:rPr>
        <w:t>6</w:t>
      </w:r>
      <w:r>
        <w:rPr>
          <w:rFonts w:hint="default" w:ascii="Times New Roman" w:hAnsi="Times New Roman"/>
          <w:color w:val="auto"/>
          <w:highlight w:val="none"/>
        </w:rPr>
        <w:t>条，绩效目标指标设定清晰、可衡量性较强，与项目目标任务计划数对应性较强。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3" w:name="_Toc21476"/>
      <w:bookmarkStart w:id="124" w:name="_Toc25638"/>
      <w:r>
        <w:rPr>
          <w:rFonts w:hint="default" w:ascii="Times New Roman" w:hAnsi="Times New Roman" w:eastAsia="仿宋_GB2312" w:cs="Times New Roman"/>
          <w:b/>
          <w:bCs/>
          <w:color w:val="auto"/>
          <w:highlight w:val="none"/>
        </w:rPr>
        <w:t>5.预算编制科学性</w:t>
      </w:r>
      <w:bookmarkEnd w:id="123"/>
      <w:bookmarkEnd w:id="12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万元，来源为</w:t>
      </w:r>
      <w:r>
        <w:rPr>
          <w:rFonts w:hint="eastAsia" w:ascii="Times New Roman" w:hAnsi="Times New Roman" w:cs="Times New Roman"/>
          <w:color w:val="auto"/>
          <w:highlight w:val="none"/>
          <w:lang w:val="en-US" w:eastAsia="zh-CN"/>
        </w:rPr>
        <w:t>县本级财政</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万元，预算编制较为科学，预算内容与项目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rPr>
        <w:t>内容相匹配，预算额度测算依据充分，预算确定的资金量与工</w:t>
      </w:r>
      <w:r>
        <w:rPr>
          <w:rFonts w:hint="eastAsia" w:ascii="Times New Roman" w:hAnsi="Times New Roman" w:cs="Times New Roman"/>
          <w:color w:val="auto"/>
          <w:highlight w:val="none"/>
          <w:lang w:val="en-US" w:eastAsia="zh-CN"/>
        </w:rPr>
        <w:t>作</w:t>
      </w:r>
      <w:r>
        <w:rPr>
          <w:rFonts w:hint="default" w:ascii="Times New Roman" w:hAnsi="Times New Roman" w:eastAsia="仿宋_GB2312" w:cs="Times New Roman"/>
          <w:color w:val="auto"/>
          <w:highlight w:val="none"/>
        </w:rPr>
        <w:t>量相匹配。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5" w:name="_Toc30661"/>
      <w:bookmarkStart w:id="126" w:name="_Toc21577"/>
      <w:r>
        <w:rPr>
          <w:rFonts w:hint="default" w:ascii="Times New Roman" w:hAnsi="Times New Roman" w:eastAsia="仿宋_GB2312" w:cs="Times New Roman"/>
          <w:b/>
          <w:bCs/>
          <w:color w:val="auto"/>
          <w:highlight w:val="none"/>
        </w:rPr>
        <w:t>6.资金分配合理性</w:t>
      </w:r>
      <w:bookmarkEnd w:id="125"/>
      <w:bookmarkEnd w:id="12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pStyle w:val="4"/>
        <w:bidi w:val="0"/>
        <w:rPr>
          <w:rFonts w:hint="eastAsia" w:ascii="Times New Roman" w:hAnsi="Times New Roman"/>
          <w:color w:val="auto"/>
          <w:highlight w:val="none"/>
        </w:rPr>
      </w:pPr>
      <w:bookmarkStart w:id="127" w:name="_Toc30992"/>
      <w:bookmarkStart w:id="128" w:name="_Toc32441"/>
      <w:bookmarkStart w:id="129" w:name="_Toc27855"/>
      <w:bookmarkStart w:id="130" w:name="_Toc9897"/>
      <w:bookmarkStart w:id="131" w:name="_Toc13442"/>
      <w:r>
        <w:rPr>
          <w:rFonts w:hint="eastAsia" w:ascii="Times New Roman" w:hAnsi="Times New Roman"/>
          <w:color w:val="auto"/>
          <w:highlight w:val="none"/>
        </w:rPr>
        <w:t>（二）项目过程情况</w:t>
      </w:r>
      <w:bookmarkEnd w:id="127"/>
      <w:bookmarkEnd w:id="128"/>
      <w:bookmarkEnd w:id="129"/>
      <w:bookmarkEnd w:id="130"/>
      <w:bookmarkEnd w:id="131"/>
    </w:p>
    <w:p>
      <w:pPr>
        <w:bidi w:val="0"/>
        <w:jc w:val="both"/>
        <w:rPr>
          <w:rFonts w:hint="default" w:ascii="Times New Roman" w:hAnsi="Times New Roman" w:eastAsia="仿宋_GB2312" w:cs="Times New Roman"/>
          <w:b/>
          <w:bCs/>
          <w:color w:val="auto"/>
          <w:highlight w:val="none"/>
        </w:rPr>
      </w:pPr>
      <w:bookmarkStart w:id="132" w:name="_Toc29417"/>
      <w:bookmarkStart w:id="133" w:name="_Toc19854"/>
      <w:r>
        <w:rPr>
          <w:rFonts w:hint="default" w:ascii="Times New Roman" w:hAnsi="Times New Roman" w:eastAsia="仿宋_GB2312" w:cs="Times New Roman"/>
          <w:b/>
          <w:bCs/>
          <w:color w:val="auto"/>
          <w:highlight w:val="none"/>
        </w:rPr>
        <w:t>1.资金到位率</w:t>
      </w:r>
      <w:bookmarkEnd w:id="132"/>
      <w:bookmarkEnd w:id="13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万元，实际到位资金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万元，资金到位率100%。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4" w:name="_Toc13724"/>
      <w:bookmarkStart w:id="135" w:name="_Toc29889"/>
      <w:r>
        <w:rPr>
          <w:rFonts w:hint="default" w:ascii="Times New Roman" w:hAnsi="Times New Roman" w:eastAsia="仿宋_GB2312" w:cs="Times New Roman"/>
          <w:b/>
          <w:bCs/>
          <w:color w:val="auto"/>
          <w:highlight w:val="none"/>
        </w:rPr>
        <w:t>2.预算执行率</w:t>
      </w:r>
      <w:bookmarkEnd w:id="134"/>
      <w:bookmarkEnd w:id="135"/>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万元，实际支付资金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万元，预算执行率为</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36" w:name="_Toc2484"/>
      <w:bookmarkStart w:id="137" w:name="_Toc8316"/>
      <w:r>
        <w:rPr>
          <w:rFonts w:hint="default" w:ascii="Times New Roman" w:hAnsi="Times New Roman" w:eastAsia="仿宋_GB2312" w:cs="Times New Roman"/>
          <w:b/>
          <w:bCs/>
          <w:color w:val="auto"/>
          <w:highlight w:val="none"/>
        </w:rPr>
        <w:t>3.资金使用合规性</w:t>
      </w:r>
      <w:bookmarkEnd w:id="136"/>
      <w:bookmarkEnd w:id="13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《中华人民共和国预算法》《中华人民共和国会计法》《中华人民共和国招标投标法》等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8" w:name="_Toc15332"/>
      <w:bookmarkStart w:id="139" w:name="_Toc20651"/>
      <w:r>
        <w:rPr>
          <w:rFonts w:hint="default" w:ascii="Times New Roman" w:hAnsi="Times New Roman" w:eastAsia="仿宋_GB2312" w:cs="Times New Roman"/>
          <w:b/>
          <w:bCs/>
          <w:color w:val="auto"/>
          <w:highlight w:val="none"/>
        </w:rPr>
        <w:t>4.管理制度健全性</w:t>
      </w:r>
      <w:bookmarkEnd w:id="138"/>
      <w:bookmarkEnd w:id="139"/>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lang w:val="en-US" w:eastAsia="zh-CN"/>
        </w:rPr>
        <w:t>财务管理制度》和《</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lang w:val="en-US" w:eastAsia="zh-CN"/>
        </w:rPr>
        <w:t>内控</w:t>
      </w:r>
      <w:r>
        <w:rPr>
          <w:rFonts w:hint="eastAsia" w:ascii="Times New Roman" w:hAnsi="Times New Roman" w:cs="Times New Roman"/>
          <w:color w:val="auto"/>
          <w:highlight w:val="none"/>
          <w:lang w:val="en-US" w:eastAsia="zh-CN"/>
        </w:rPr>
        <w:t>管理</w:t>
      </w:r>
      <w:r>
        <w:rPr>
          <w:rFonts w:hint="default" w:ascii="Times New Roman" w:hAnsi="Times New Roman" w:eastAsia="仿宋_GB2312" w:cs="Times New Roman"/>
          <w:color w:val="auto"/>
          <w:highlight w:val="none"/>
          <w:lang w:val="en-US" w:eastAsia="zh-CN"/>
        </w:rPr>
        <w:t>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40" w:name="_Toc14023"/>
      <w:bookmarkStart w:id="141" w:name="_Toc14853"/>
      <w:r>
        <w:rPr>
          <w:rFonts w:hint="default" w:ascii="Times New Roman" w:hAnsi="Times New Roman" w:eastAsia="仿宋_GB2312" w:cs="Times New Roman"/>
          <w:b/>
          <w:bCs/>
          <w:color w:val="auto"/>
          <w:highlight w:val="none"/>
        </w:rPr>
        <w:t>5.制度执行有效性</w:t>
      </w:r>
      <w:bookmarkEnd w:id="140"/>
      <w:bookmarkEnd w:id="14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pStyle w:val="4"/>
        <w:bidi w:val="0"/>
        <w:jc w:val="both"/>
        <w:rPr>
          <w:rFonts w:hint="eastAsia" w:ascii="Times New Roman" w:hAnsi="Times New Roman" w:eastAsia="楷体" w:cs="楷体"/>
          <w:color w:val="auto"/>
          <w:highlight w:val="none"/>
        </w:rPr>
      </w:pPr>
      <w:bookmarkStart w:id="142" w:name="_Toc31545"/>
      <w:bookmarkStart w:id="143" w:name="_Toc14762"/>
      <w:bookmarkStart w:id="144" w:name="_Toc22156"/>
      <w:bookmarkStart w:id="145" w:name="_Toc5161"/>
      <w:bookmarkStart w:id="146" w:name="_Toc6865"/>
      <w:r>
        <w:rPr>
          <w:rFonts w:hint="eastAsia" w:ascii="Times New Roman" w:hAnsi="Times New Roman" w:eastAsia="楷体" w:cs="楷体"/>
          <w:color w:val="auto"/>
          <w:highlight w:val="none"/>
        </w:rPr>
        <w:t>（三）项目产出情况</w:t>
      </w:r>
      <w:bookmarkEnd w:id="142"/>
      <w:bookmarkEnd w:id="143"/>
      <w:bookmarkEnd w:id="144"/>
      <w:bookmarkEnd w:id="145"/>
      <w:bookmarkEnd w:id="146"/>
    </w:p>
    <w:p>
      <w:pPr>
        <w:bidi w:val="0"/>
        <w:jc w:val="both"/>
        <w:rPr>
          <w:rFonts w:hint="default" w:ascii="Times New Roman" w:hAnsi="Times New Roman" w:eastAsia="仿宋_GB2312" w:cs="Times New Roman"/>
          <w:b/>
          <w:bCs/>
          <w:color w:val="auto"/>
          <w:highlight w:val="none"/>
        </w:rPr>
      </w:pPr>
      <w:bookmarkStart w:id="147" w:name="_Toc31041"/>
      <w:bookmarkStart w:id="148" w:name="_Toc4184"/>
      <w:r>
        <w:rPr>
          <w:rFonts w:hint="default" w:ascii="Times New Roman" w:hAnsi="Times New Roman" w:eastAsia="仿宋_GB2312" w:cs="Times New Roman"/>
          <w:b/>
          <w:bCs/>
          <w:color w:val="auto"/>
          <w:highlight w:val="none"/>
        </w:rPr>
        <w:t>1.产出数量</w:t>
      </w:r>
      <w:bookmarkEnd w:id="147"/>
      <w:bookmarkEnd w:id="148"/>
    </w:p>
    <w:p>
      <w:pPr>
        <w:bidi w:val="0"/>
        <w:rPr>
          <w:rFonts w:ascii="Times New Roman" w:hAnsi="Times New Roman"/>
          <w:color w:val="auto"/>
          <w:highlight w:val="none"/>
        </w:rPr>
      </w:pPr>
      <w:r>
        <w:rPr>
          <w:rFonts w:hint="eastAsia" w:ascii="Times New Roman" w:hAnsi="Times New Roman" w:cs="Times New Roman"/>
          <w:bCs/>
          <w:color w:val="auto"/>
          <w:szCs w:val="32"/>
          <w:highlight w:val="none"/>
          <w:lang w:val="en-US" w:eastAsia="zh-CN"/>
        </w:rPr>
        <w:t>指标1：</w:t>
      </w:r>
      <w:r>
        <w:rPr>
          <w:rFonts w:hint="eastAsia" w:ascii="Times New Roman" w:hAnsi="Times New Roman"/>
          <w:color w:val="auto"/>
          <w:highlight w:val="none"/>
          <w:lang w:val="en-US" w:eastAsia="zh-CN"/>
        </w:rPr>
        <w:t>养护绿地面积</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小于等于4380.16亩</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等于4380.16亩</w:t>
      </w:r>
      <w:r>
        <w:rPr>
          <w:rFonts w:hint="eastAsia" w:ascii="Times New Roman" w:hAnsi="Times New Roman"/>
          <w:color w:val="auto"/>
          <w:highlight w:val="none"/>
        </w:rPr>
        <w:t>，完成率100%；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49" w:name="_Toc7420"/>
      <w:bookmarkStart w:id="150" w:name="_Toc21607"/>
      <w:r>
        <w:rPr>
          <w:rFonts w:hint="default" w:ascii="Times New Roman" w:hAnsi="Times New Roman" w:eastAsia="仿宋_GB2312" w:cs="Times New Roman"/>
          <w:b/>
          <w:bCs/>
          <w:color w:val="auto"/>
          <w:highlight w:val="none"/>
        </w:rPr>
        <w:t>2.产出质量</w:t>
      </w:r>
      <w:bookmarkEnd w:id="149"/>
      <w:bookmarkEnd w:id="150"/>
    </w:p>
    <w:p>
      <w:pPr>
        <w:bidi w:val="0"/>
        <w:rPr>
          <w:rFonts w:hint="default" w:ascii="Times New Roman" w:hAnsi="Times New Roman"/>
          <w:color w:val="auto"/>
          <w:highlight w:val="none"/>
        </w:rPr>
      </w:pPr>
      <w:r>
        <w:rPr>
          <w:rFonts w:hint="eastAsia" w:ascii="Times New Roman" w:hAnsi="Times New Roman" w:cs="Times New Roman"/>
          <w:bCs/>
          <w:color w:val="auto"/>
          <w:szCs w:val="32"/>
          <w:highlight w:val="none"/>
          <w:lang w:val="en-US" w:eastAsia="zh-CN"/>
        </w:rPr>
        <w:t>指标1：</w:t>
      </w:r>
      <w:r>
        <w:rPr>
          <w:rFonts w:hint="eastAsia" w:ascii="Times New Roman" w:hAnsi="Times New Roman"/>
          <w:color w:val="auto"/>
          <w:highlight w:val="none"/>
        </w:rPr>
        <w:t>园林绿化养护覆盖率，</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小于等于100</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等于100</w:t>
      </w:r>
      <w:r>
        <w:rPr>
          <w:rFonts w:hint="eastAsia" w:ascii="Times New Roman" w:hAnsi="Times New Roman"/>
          <w:color w:val="auto"/>
          <w:highlight w:val="none"/>
        </w:rPr>
        <w:t>%，完成率100%；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51" w:name="_Toc6277"/>
      <w:bookmarkStart w:id="152" w:name="_Toc5394"/>
      <w:r>
        <w:rPr>
          <w:rFonts w:hint="default" w:ascii="Times New Roman" w:hAnsi="Times New Roman" w:eastAsia="仿宋_GB2312" w:cs="Times New Roman"/>
          <w:b/>
          <w:bCs/>
          <w:color w:val="auto"/>
          <w:highlight w:val="none"/>
        </w:rPr>
        <w:t>3.产出时效</w:t>
      </w:r>
      <w:bookmarkEnd w:id="151"/>
      <w:bookmarkEnd w:id="152"/>
    </w:p>
    <w:p>
      <w:pPr>
        <w:bidi w:val="0"/>
        <w:rPr>
          <w:rFonts w:hint="default" w:ascii="Times New Roman" w:hAnsi="Times New Roman" w:cs="Times New Roman"/>
          <w:bCs/>
          <w:color w:val="auto"/>
          <w:szCs w:val="32"/>
          <w:highlight w:val="none"/>
          <w:lang w:val="en-US" w:eastAsia="zh-CN"/>
        </w:rPr>
      </w:pPr>
      <w:r>
        <w:rPr>
          <w:rFonts w:hint="eastAsia" w:ascii="Times New Roman" w:hAnsi="Times New Roman" w:cs="Times New Roman"/>
          <w:bCs/>
          <w:color w:val="auto"/>
          <w:szCs w:val="32"/>
          <w:highlight w:val="none"/>
          <w:lang w:val="en-US" w:eastAsia="zh-CN"/>
        </w:rPr>
        <w:t>指标1：绿化养护及时率，</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w:t>
      </w:r>
      <w:r>
        <w:rPr>
          <w:rFonts w:hint="eastAsia" w:ascii="Times New Roman" w:hAnsi="Times New Roman" w:cs="Times New Roman"/>
          <w:bCs/>
          <w:color w:val="auto"/>
          <w:szCs w:val="32"/>
          <w:highlight w:val="none"/>
          <w:lang w:val="en-US" w:eastAsia="zh-CN"/>
        </w:rPr>
        <w:t>95%，</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w:t>
      </w:r>
      <w:r>
        <w:rPr>
          <w:rFonts w:hint="eastAsia" w:ascii="Times New Roman" w:hAnsi="Times New Roman" w:cs="Times New Roman"/>
          <w:bCs/>
          <w:color w:val="auto"/>
          <w:szCs w:val="32"/>
          <w:highlight w:val="none"/>
          <w:lang w:val="en-US" w:eastAsia="zh-CN"/>
        </w:rPr>
        <w:t>95%，完成率100%；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default" w:ascii="Times New Roman" w:hAnsi="Times New Roman" w:eastAsia="仿宋_GB2312" w:cs="Times New Roman"/>
          <w:color w:val="auto"/>
          <w:highlight w:val="none"/>
          <w:lang w:val="en-US" w:eastAsia="zh-CN"/>
        </w:rPr>
        <w:t>12</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53" w:name="_Toc18558"/>
      <w:bookmarkStart w:id="154" w:name="_Toc28975"/>
      <w:r>
        <w:rPr>
          <w:rFonts w:hint="default" w:ascii="Times New Roman" w:hAnsi="Times New Roman" w:eastAsia="仿宋_GB2312" w:cs="Times New Roman"/>
          <w:b/>
          <w:bCs/>
          <w:color w:val="auto"/>
          <w:highlight w:val="none"/>
        </w:rPr>
        <w:t>4.产出成本</w:t>
      </w:r>
      <w:bookmarkEnd w:id="153"/>
      <w:bookmarkEnd w:id="154"/>
    </w:p>
    <w:p>
      <w:pPr>
        <w:bidi w:val="0"/>
        <w:jc w:val="both"/>
        <w:rPr>
          <w:rFonts w:hint="default" w:ascii="Times New Roman" w:hAnsi="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高洁服务费</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w:t>
      </w:r>
      <w:r>
        <w:rPr>
          <w:rFonts w:hint="eastAsia" w:ascii="Times New Roman" w:hAnsi="Times New Roman" w:cs="Times New Roman"/>
          <w:color w:val="auto"/>
          <w:highlight w:val="none"/>
          <w:lang w:val="en-US" w:eastAsia="zh-CN"/>
        </w:rPr>
        <w:t>542.59万元</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w:t>
      </w:r>
      <w:r>
        <w:rPr>
          <w:rFonts w:hint="eastAsia" w:ascii="Times New Roman" w:hAnsi="Times New Roman" w:cs="Times New Roman"/>
          <w:color w:val="auto"/>
          <w:highlight w:val="none"/>
          <w:lang w:val="en-US" w:eastAsia="zh-CN"/>
        </w:rPr>
        <w:t>542.59万元</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pStyle w:val="4"/>
        <w:bidi w:val="0"/>
        <w:jc w:val="both"/>
        <w:rPr>
          <w:rFonts w:hint="eastAsia" w:ascii="Times New Roman" w:hAnsi="Times New Roman" w:eastAsia="楷体" w:cs="楷体"/>
          <w:color w:val="auto"/>
          <w:highlight w:val="none"/>
        </w:rPr>
      </w:pPr>
      <w:bookmarkStart w:id="155" w:name="_Toc27548"/>
      <w:bookmarkStart w:id="156" w:name="_Toc8937"/>
      <w:bookmarkStart w:id="157" w:name="_Toc24492"/>
      <w:bookmarkStart w:id="158" w:name="_Toc18194"/>
      <w:bookmarkStart w:id="159" w:name="_Toc14881"/>
      <w:r>
        <w:rPr>
          <w:rFonts w:hint="eastAsia" w:ascii="Times New Roman" w:hAnsi="Times New Roman" w:eastAsia="楷体" w:cs="楷体"/>
          <w:color w:val="auto"/>
          <w:highlight w:val="none"/>
        </w:rPr>
        <w:t>（四）项目效益情况</w:t>
      </w:r>
      <w:bookmarkEnd w:id="155"/>
      <w:bookmarkEnd w:id="156"/>
      <w:bookmarkEnd w:id="157"/>
      <w:bookmarkEnd w:id="158"/>
      <w:bookmarkEnd w:id="159"/>
    </w:p>
    <w:p>
      <w:pPr>
        <w:bidi w:val="0"/>
        <w:jc w:val="both"/>
        <w:rPr>
          <w:rFonts w:hint="default" w:ascii="Times New Roman" w:hAnsi="Times New Roman" w:eastAsia="仿宋_GB2312" w:cs="Times New Roman"/>
          <w:b/>
          <w:bCs/>
          <w:color w:val="auto"/>
          <w:highlight w:val="none"/>
        </w:rPr>
      </w:pPr>
      <w:bookmarkStart w:id="160" w:name="_Toc15599"/>
      <w:bookmarkStart w:id="161" w:name="_Toc8370"/>
      <w:r>
        <w:rPr>
          <w:rFonts w:hint="default" w:ascii="Times New Roman" w:hAnsi="Times New Roman" w:eastAsia="仿宋_GB2312" w:cs="Times New Roman"/>
          <w:b/>
          <w:bCs/>
          <w:color w:val="auto"/>
          <w:highlight w:val="none"/>
        </w:rPr>
        <w:t>1.实施效益</w:t>
      </w:r>
      <w:bookmarkEnd w:id="160"/>
      <w:bookmarkEnd w:id="161"/>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本项目实施所产生的效益主要包括社会效益和生态效益。</w:t>
      </w:r>
      <w:r>
        <w:rPr>
          <w:rFonts w:hint="eastAsia" w:ascii="Times New Roman" w:hAnsi="Times New Roman" w:cs="Times New Roman"/>
          <w:color w:val="auto"/>
          <w:highlight w:val="none"/>
          <w:lang w:val="en-US" w:eastAsia="zh-CN"/>
        </w:rPr>
        <w:t>园林绿化管护不仅能提升广大人民群众的生活质量、提升居民幸福感，还能留住原住居民、吸引外来人民定居，增加县城人口县城园林绿化管护社会效益突出。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pPr>
        <w:bidi w:val="0"/>
        <w:jc w:val="both"/>
        <w:rPr>
          <w:rFonts w:hint="default" w:ascii="Times New Roman" w:hAnsi="Times New Roman" w:eastAsia="仿宋_GB2312" w:cs="Times New Roman"/>
          <w:b/>
          <w:bCs/>
          <w:color w:val="auto"/>
          <w:highlight w:val="none"/>
        </w:rPr>
      </w:pPr>
      <w:bookmarkStart w:id="162" w:name="_Toc31503"/>
      <w:bookmarkStart w:id="163" w:name="_Toc20772"/>
      <w:r>
        <w:rPr>
          <w:rFonts w:hint="default" w:ascii="Times New Roman" w:hAnsi="Times New Roman" w:eastAsia="仿宋_GB2312" w:cs="Times New Roman"/>
          <w:b/>
          <w:bCs/>
          <w:color w:val="auto"/>
          <w:highlight w:val="none"/>
        </w:rPr>
        <w:t>2.满意度</w:t>
      </w:r>
      <w:bookmarkEnd w:id="162"/>
      <w:bookmarkEnd w:id="163"/>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本项目服务对象和受益群众主要是</w:t>
      </w:r>
      <w:r>
        <w:rPr>
          <w:rFonts w:hint="eastAsia" w:ascii="Times New Roman" w:hAnsi="Times New Roman"/>
          <w:color w:val="auto"/>
          <w:highlight w:val="none"/>
        </w:rPr>
        <w:t>城镇居民</w:t>
      </w:r>
      <w:r>
        <w:rPr>
          <w:rFonts w:hint="default" w:ascii="Times New Roman" w:hAnsi="Times New Roman" w:eastAsia="仿宋_GB2312" w:cs="Times New Roman"/>
          <w:color w:val="auto"/>
          <w:highlight w:val="none"/>
        </w:rPr>
        <w:t>，通过问卷调查方式收集服务对象和受益群众对本项目实施的满意度。调查人群都表示很满意，都认为本项目实施后，</w:t>
      </w:r>
      <w:r>
        <w:rPr>
          <w:rFonts w:hint="eastAsia" w:ascii="Times New Roman" w:hAnsi="Times New Roman" w:cs="Times New Roman"/>
          <w:color w:val="auto"/>
          <w:highlight w:val="none"/>
          <w:lang w:val="en-US" w:eastAsia="zh-CN"/>
        </w:rPr>
        <w:t>提升广大人民群众的生活质量、提升居民幸福感。</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pPr>
        <w:pStyle w:val="2"/>
        <w:bidi w:val="0"/>
        <w:jc w:val="both"/>
        <w:rPr>
          <w:rFonts w:hint="default" w:ascii="Times New Roman" w:hAnsi="Times New Roman" w:eastAsia="仿宋_GB2312" w:cs="Times New Roman"/>
          <w:color w:val="auto"/>
          <w:highlight w:val="none"/>
        </w:rPr>
      </w:pPr>
      <w:bookmarkStart w:id="164" w:name="_Toc435"/>
      <w:bookmarkStart w:id="165" w:name="_Toc3310"/>
      <w:bookmarkStart w:id="166" w:name="_Toc17413"/>
      <w:bookmarkStart w:id="167" w:name="_Toc23114"/>
      <w:bookmarkStart w:id="168" w:name="_Toc14763"/>
      <w:bookmarkStart w:id="169" w:name="_Toc20473"/>
      <w:bookmarkStart w:id="170" w:name="_Toc24261"/>
      <w:r>
        <w:rPr>
          <w:rFonts w:hint="eastAsia" w:ascii="Times New Roman" w:hAnsi="Times New Roman" w:eastAsia="黑体" w:cs="黑体"/>
          <w:color w:val="auto"/>
          <w:highlight w:val="none"/>
        </w:rPr>
        <w:t>五、主要经验及做法、存在的问题及原因分析</w:t>
      </w:r>
      <w:bookmarkEnd w:id="164"/>
      <w:bookmarkEnd w:id="165"/>
      <w:bookmarkEnd w:id="166"/>
      <w:bookmarkEnd w:id="167"/>
      <w:bookmarkEnd w:id="168"/>
      <w:bookmarkEnd w:id="169"/>
      <w:bookmarkEnd w:id="170"/>
    </w:p>
    <w:p>
      <w:pPr>
        <w:pStyle w:val="4"/>
        <w:bidi w:val="0"/>
        <w:jc w:val="both"/>
        <w:rPr>
          <w:rFonts w:hint="eastAsia" w:ascii="Times New Roman" w:hAnsi="Times New Roman" w:eastAsia="楷体" w:cs="楷体"/>
          <w:color w:val="auto"/>
          <w:highlight w:val="none"/>
        </w:rPr>
      </w:pPr>
      <w:bookmarkStart w:id="171" w:name="_Toc6741"/>
      <w:bookmarkStart w:id="172" w:name="_Toc23511"/>
      <w:bookmarkStart w:id="173" w:name="_Toc10514"/>
      <w:bookmarkStart w:id="174" w:name="_Toc6522"/>
      <w:bookmarkStart w:id="175" w:name="_Toc14362"/>
      <w:r>
        <w:rPr>
          <w:rFonts w:hint="eastAsia" w:ascii="Times New Roman" w:hAnsi="Times New Roman" w:eastAsia="楷体" w:cs="楷体"/>
          <w:color w:val="auto"/>
          <w:highlight w:val="none"/>
        </w:rPr>
        <w:t>（一）主要经验及做法</w:t>
      </w:r>
      <w:bookmarkEnd w:id="171"/>
      <w:bookmarkEnd w:id="172"/>
      <w:bookmarkEnd w:id="173"/>
      <w:bookmarkEnd w:id="174"/>
      <w:bookmarkEnd w:id="175"/>
    </w:p>
    <w:p>
      <w:pPr>
        <w:rPr>
          <w:rFonts w:hint="eastAsia" w:ascii="Times New Roman" w:hAnsi="Times New Roman"/>
          <w:color w:val="auto"/>
          <w:highlight w:val="none"/>
        </w:rPr>
      </w:pPr>
      <w:bookmarkStart w:id="176" w:name="_Toc11238"/>
      <w:bookmarkStart w:id="177" w:name="_Toc4673"/>
      <w:bookmarkStart w:id="178" w:name="_Toc6359"/>
      <w:bookmarkStart w:id="179" w:name="_Toc27408"/>
      <w:r>
        <w:rPr>
          <w:rFonts w:hint="eastAsia" w:ascii="Times New Roman" w:hAnsi="Times New Roman"/>
          <w:color w:val="auto"/>
          <w:highlight w:val="none"/>
        </w:rPr>
        <w:t>1、委托市场化、专业化公司运转，实现绿化养护的日常化及带动本地就业</w:t>
      </w:r>
    </w:p>
    <w:p>
      <w:pPr>
        <w:rPr>
          <w:rFonts w:hint="eastAsia" w:ascii="Times New Roman" w:hAnsi="Times New Roman"/>
          <w:color w:val="auto"/>
          <w:highlight w:val="none"/>
          <w:lang w:eastAsia="zh-CN"/>
        </w:rPr>
      </w:pPr>
      <w:r>
        <w:rPr>
          <w:rFonts w:hint="eastAsia" w:ascii="Times New Roman" w:hAnsi="Times New Roman"/>
          <w:color w:val="auto"/>
          <w:highlight w:val="none"/>
        </w:rPr>
        <w:t>尉犁县</w:t>
      </w:r>
      <w:r>
        <w:rPr>
          <w:rFonts w:hint="eastAsia" w:ascii="Times New Roman" w:hAnsi="Times New Roman"/>
          <w:color w:val="auto"/>
          <w:highlight w:val="none"/>
          <w:lang w:val="en-US" w:eastAsia="zh-CN"/>
        </w:rPr>
        <w:t>住房和城乡建设局</w:t>
      </w:r>
      <w:r>
        <w:rPr>
          <w:rFonts w:hint="eastAsia" w:ascii="Times New Roman" w:hAnsi="Times New Roman"/>
          <w:color w:val="auto"/>
          <w:highlight w:val="none"/>
        </w:rPr>
        <w:t>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ascii="Times New Roman" w:hAnsi="Times New Roman"/>
          <w:color w:val="auto"/>
          <w:highlight w:val="none"/>
          <w:lang w:eastAsia="zh-CN"/>
        </w:rPr>
        <w:t>。</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2、制定了多维度的管理考核体系予以奖惩，有效保证了绿化的养护质量</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拨付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3.落实管养要求，提升管护效益</w:t>
      </w:r>
    </w:p>
    <w:p>
      <w:pPr>
        <w:rPr>
          <w:rFonts w:hint="eastAsia" w:ascii="Times New Roman" w:hAnsi="Times New Roman"/>
          <w:color w:val="auto"/>
          <w:highlight w:val="none"/>
          <w:lang w:eastAsia="zh-CN"/>
        </w:rPr>
      </w:pPr>
      <w:r>
        <w:rPr>
          <w:rFonts w:hint="eastAsia" w:ascii="Times New Roman" w:hAnsi="Times New Roman" w:cs="Times New Roman"/>
          <w:color w:val="auto"/>
          <w:highlight w:val="none"/>
          <w:lang w:eastAsia="zh-CN"/>
        </w:rPr>
        <w:t>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4"/>
        <w:bidi w:val="0"/>
        <w:jc w:val="both"/>
        <w:rPr>
          <w:rFonts w:hint="eastAsia" w:ascii="Times New Roman" w:hAnsi="Times New Roman" w:eastAsia="楷体" w:cs="楷体"/>
          <w:color w:val="auto"/>
          <w:highlight w:val="none"/>
        </w:rPr>
      </w:pPr>
      <w:bookmarkStart w:id="180" w:name="_Toc26664"/>
      <w:r>
        <w:rPr>
          <w:rFonts w:hint="eastAsia" w:ascii="Times New Roman" w:hAnsi="Times New Roman" w:eastAsia="楷体" w:cs="楷体"/>
          <w:color w:val="auto"/>
          <w:highlight w:val="none"/>
        </w:rPr>
        <w:t>（二）存在的问题及分析</w:t>
      </w:r>
      <w:bookmarkEnd w:id="176"/>
      <w:bookmarkEnd w:id="177"/>
      <w:bookmarkEnd w:id="178"/>
      <w:bookmarkEnd w:id="179"/>
      <w:bookmarkEnd w:id="180"/>
    </w:p>
    <w:p>
      <w:pPr>
        <w:bidi w:val="0"/>
        <w:rPr>
          <w:rFonts w:hint="eastAsia" w:ascii="Times New Roman" w:hAnsi="Times New Roman"/>
          <w:color w:val="auto"/>
          <w:highlight w:val="none"/>
        </w:rPr>
      </w:pPr>
      <w:bookmarkStart w:id="181" w:name="_Toc5702"/>
      <w:bookmarkStart w:id="182" w:name="_Toc13345"/>
      <w:bookmarkStart w:id="183" w:name="_Toc22271"/>
      <w:bookmarkStart w:id="184" w:name="_Toc20116"/>
      <w:bookmarkStart w:id="185" w:name="_Toc13270"/>
      <w:r>
        <w:rPr>
          <w:rFonts w:hint="eastAsia" w:ascii="Times New Roman" w:hAnsi="Times New Roman"/>
          <w:color w:val="auto"/>
          <w:highlight w:val="none"/>
        </w:rPr>
        <w:t>1、我中心现有专业技术人员较少，管理企业经验方式不足，</w:t>
      </w:r>
      <w:r>
        <w:rPr>
          <w:rFonts w:hint="eastAsia" w:ascii="Times New Roman" w:hAnsi="Times New Roman"/>
          <w:color w:val="auto"/>
          <w:highlight w:val="none"/>
          <w:lang w:val="en-US" w:eastAsia="zh-CN"/>
        </w:rPr>
        <w:t>需</w:t>
      </w:r>
      <w:r>
        <w:rPr>
          <w:rFonts w:hint="eastAsia" w:ascii="Times New Roman" w:hAnsi="Times New Roman"/>
          <w:color w:val="auto"/>
          <w:highlight w:val="none"/>
        </w:rPr>
        <w:t>强化学习专业知识，管理知识，加强与公司的沟通交流和指导，提高管理水平。</w:t>
      </w:r>
    </w:p>
    <w:p>
      <w:pPr>
        <w:bidi w:val="0"/>
        <w:rPr>
          <w:rFonts w:hint="default" w:ascii="Times New Roman" w:hAnsi="Times New Roman"/>
          <w:color w:val="auto"/>
          <w:highlight w:val="none"/>
          <w:lang w:val="en-US" w:eastAsia="zh-CN"/>
        </w:rPr>
      </w:pPr>
      <w:r>
        <w:rPr>
          <w:rFonts w:hint="eastAsia" w:ascii="Times New Roman" w:hAnsi="Times New Roman"/>
          <w:color w:val="auto"/>
          <w:highlight w:val="none"/>
        </w:rPr>
        <w:t>2.公司园林管理人员不够，园林绿化知识不够，管理能力不到位，形成部分节点、绿地退化现象。</w:t>
      </w:r>
    </w:p>
    <w:p>
      <w:pPr>
        <w:pStyle w:val="2"/>
        <w:bidi w:val="0"/>
        <w:rPr>
          <w:rFonts w:hint="eastAsia" w:ascii="Times New Roman" w:hAnsi="Times New Roman"/>
          <w:color w:val="auto"/>
          <w:highlight w:val="none"/>
        </w:rPr>
      </w:pPr>
      <w:bookmarkStart w:id="186" w:name="_Toc15922"/>
      <w:bookmarkStart w:id="187" w:name="_Toc14377"/>
      <w:r>
        <w:rPr>
          <w:rFonts w:hint="eastAsia" w:ascii="Times New Roman" w:hAnsi="Times New Roman"/>
          <w:color w:val="auto"/>
          <w:highlight w:val="none"/>
        </w:rPr>
        <w:t>六、有关建议</w:t>
      </w:r>
      <w:bookmarkEnd w:id="181"/>
      <w:bookmarkEnd w:id="182"/>
      <w:bookmarkEnd w:id="183"/>
      <w:bookmarkEnd w:id="184"/>
      <w:bookmarkEnd w:id="185"/>
      <w:bookmarkEnd w:id="186"/>
      <w:bookmarkEnd w:id="187"/>
    </w:p>
    <w:p>
      <w:pPr>
        <w:bidi w:val="0"/>
        <w:rPr>
          <w:rFonts w:hint="eastAsia" w:ascii="Times New Roman" w:hAnsi="Times New Roman"/>
          <w:color w:val="auto"/>
          <w:highlight w:val="none"/>
          <w:lang w:val="en-US" w:eastAsia="zh-CN"/>
        </w:rPr>
      </w:pPr>
      <w:bookmarkStart w:id="188" w:name="_Toc24871"/>
      <w:bookmarkStart w:id="189" w:name="_Toc12100"/>
      <w:bookmarkStart w:id="190" w:name="_Toc5794"/>
      <w:bookmarkStart w:id="191" w:name="_Toc22823"/>
      <w:bookmarkStart w:id="192" w:name="_Toc21621"/>
      <w:r>
        <w:rPr>
          <w:rFonts w:hint="eastAsia" w:ascii="Times New Roman" w:hAnsi="Times New Roman"/>
          <w:color w:val="auto"/>
          <w:highlight w:val="none"/>
          <w:lang w:val="en-US" w:eastAsia="zh-CN"/>
        </w:rPr>
        <w:t>1、加强专业培训：组织现有专业技术人员参加园林绿化、企业管理等方面的培训课程，提升其专业技能和管理能力。</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2、鼓励公司引进外部人才：积极招聘具有丰富园林绿化经验和企业管理能力的外部人才。</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3、加强与公司的沟通交流：定期与公司管理层进行沟通交流，了解公司的发展战略和园林绿化的需求，以便更好地调整工作方向和策略。</w:t>
      </w:r>
    </w:p>
    <w:p>
      <w:pPr>
        <w:pStyle w:val="2"/>
        <w:bidi w:val="0"/>
        <w:jc w:val="both"/>
        <w:rPr>
          <w:rFonts w:hint="default" w:ascii="Times New Roman" w:hAnsi="Times New Roman" w:eastAsia="黑体" w:cs="黑体"/>
          <w:bCs/>
          <w:iCs/>
          <w:color w:val="auto"/>
          <w:highlight w:val="none"/>
        </w:rPr>
      </w:pPr>
      <w:bookmarkStart w:id="193" w:name="_Toc9630"/>
      <w:bookmarkStart w:id="194" w:name="_Toc16639"/>
      <w:r>
        <w:rPr>
          <w:rFonts w:hint="default" w:ascii="Times New Roman" w:hAnsi="Times New Roman" w:eastAsia="黑体" w:cs="黑体"/>
          <w:bCs/>
          <w:iCs/>
          <w:color w:val="auto"/>
          <w:highlight w:val="none"/>
        </w:rPr>
        <w:t>七、其他需要说明的问题</w:t>
      </w:r>
      <w:bookmarkEnd w:id="188"/>
      <w:bookmarkEnd w:id="189"/>
      <w:bookmarkEnd w:id="190"/>
      <w:bookmarkEnd w:id="191"/>
      <w:bookmarkEnd w:id="192"/>
      <w:bookmarkEnd w:id="193"/>
      <w:bookmarkEnd w:id="194"/>
    </w:p>
    <w:p>
      <w:pPr>
        <w:bidi w:val="0"/>
        <w:jc w:val="both"/>
        <w:rPr>
          <w:rFonts w:hint="default" w:ascii="Times New Roman" w:hAnsi="Times New Roman" w:eastAsia="仿宋_GB2312" w:cs="Times New Roman"/>
          <w:color w:val="auto"/>
          <w:highlight w:val="none"/>
        </w:rPr>
      </w:pPr>
      <w:bookmarkStart w:id="195" w:name="OLE_LINK5"/>
      <w:bookmarkStart w:id="196" w:name="OLE_LINK6"/>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val="en-US" w:eastAsia="zh-CN"/>
        </w:rPr>
        <w:t>2、</w:t>
      </w:r>
      <w:r>
        <w:rPr>
          <w:rFonts w:hint="default" w:ascii="Times New Roman" w:hAnsi="Times New Roman" w:eastAsia="仿宋_GB2312" w:cs="Times New Roman"/>
          <w:color w:val="auto"/>
          <w:highlight w:val="none"/>
        </w:rPr>
        <w:t>评价结果分别编入政府决算和部门预算，报送本级人民代表大会常务委员会，并依法予以公开。</w:t>
      </w:r>
      <w:bookmarkEnd w:id="195"/>
      <w:bookmarkEnd w:id="196"/>
    </w:p>
    <w:p>
      <w:pPr>
        <w:pStyle w:val="2"/>
        <w:bidi w:val="0"/>
        <w:jc w:val="both"/>
        <w:rPr>
          <w:rFonts w:hint="default" w:ascii="Times New Roman" w:hAnsi="Times New Roman" w:eastAsia="黑体" w:cs="黑体"/>
          <w:bCs/>
          <w:iCs/>
          <w:color w:val="auto"/>
          <w:highlight w:val="none"/>
        </w:rPr>
      </w:pPr>
      <w:bookmarkStart w:id="197" w:name="_Toc28493"/>
      <w:bookmarkStart w:id="198" w:name="_Toc4210"/>
      <w:bookmarkStart w:id="199" w:name="_Toc30245"/>
      <w:bookmarkStart w:id="200" w:name="_Toc5781"/>
      <w:bookmarkStart w:id="201" w:name="_Toc29920"/>
      <w:r>
        <w:rPr>
          <w:rFonts w:hint="default" w:ascii="Times New Roman" w:hAnsi="Times New Roman" w:eastAsia="黑体" w:cs="黑体"/>
          <w:bCs/>
          <w:iCs/>
          <w:color w:val="auto"/>
          <w:highlight w:val="none"/>
        </w:rPr>
        <w:t>八、附件</w:t>
      </w:r>
      <w:bookmarkEnd w:id="197"/>
      <w:bookmarkEnd w:id="198"/>
      <w:bookmarkEnd w:id="199"/>
      <w:bookmarkEnd w:id="200"/>
      <w:bookmarkEnd w:id="20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pPr>
        <w:bidi w:val="0"/>
        <w:jc w:val="both"/>
        <w:rPr>
          <w:rFonts w:hint="eastAsia" w:ascii="Times New Roman" w:hAnsi="Times New Roman" w:eastAsia="仿宋_GB2312"/>
          <w:color w:val="auto"/>
          <w:highlight w:val="none"/>
          <w:lang w:val="en-US" w:eastAsia="zh-CN"/>
        </w:rPr>
      </w:pPr>
      <w:bookmarkStart w:id="202" w:name="_Toc15698"/>
      <w:bookmarkStart w:id="203" w:name="_Toc28598"/>
      <w:r>
        <w:rPr>
          <w:rFonts w:hint="default" w:ascii="Times New Roman" w:hAnsi="Times New Roman" w:eastAsia="仿宋_GB2312" w:cs="Times New Roman"/>
          <w:color w:val="auto"/>
          <w:highlight w:val="none"/>
        </w:rPr>
        <w:t>2、项目支出绩效评价指标体系及评分</w:t>
      </w:r>
      <w:r>
        <w:rPr>
          <w:rFonts w:hint="eastAsia" w:ascii="Times New Roman" w:hAnsi="Times New Roman" w:cs="Times New Roman"/>
          <w:color w:val="auto"/>
          <w:highlight w:val="none"/>
          <w:lang w:val="en-US" w:eastAsia="zh-CN"/>
        </w:rPr>
        <w:t>表</w:t>
      </w: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pStyle w:val="12"/>
        <w:rPr>
          <w:rFonts w:hint="default" w:ascii="Times New Roman" w:hAnsi="Times New Roman"/>
          <w:color w:val="auto"/>
          <w:highlight w:val="none"/>
        </w:rPr>
      </w:pPr>
    </w:p>
    <w:p>
      <w:pPr>
        <w:pStyle w:val="2"/>
        <w:bidi w:val="0"/>
        <w:jc w:val="both"/>
        <w:rPr>
          <w:rFonts w:hint="default" w:ascii="Times New Roman" w:hAnsi="Times New Roman" w:eastAsia="仿宋_GB2312" w:cs="Times New Roman"/>
          <w:bCs/>
          <w:iCs/>
          <w:color w:val="auto"/>
          <w:highlight w:val="none"/>
        </w:rPr>
        <w:sectPr>
          <w:footerReference r:id="rId3" w:type="default"/>
          <w:pgSz w:w="11905" w:h="16838"/>
          <w:pgMar w:top="1440" w:right="1800" w:bottom="1440" w:left="1803" w:header="851" w:footer="992" w:gutter="0"/>
          <w:pgNumType w:fmt="decimal" w:start="1"/>
          <w:cols w:space="720" w:num="1"/>
          <w:rtlGutter w:val="0"/>
          <w:docGrid w:type="lines" w:linePitch="436" w:charSpace="0"/>
        </w:sectPr>
      </w:pPr>
    </w:p>
    <w:p>
      <w:pPr>
        <w:pStyle w:val="2"/>
        <w:bidi w:val="0"/>
        <w:jc w:val="both"/>
        <w:rPr>
          <w:rFonts w:hint="default" w:ascii="Times New Roman" w:hAnsi="Times New Roman" w:eastAsia="仿宋_GB2312" w:cs="Times New Roman"/>
          <w:color w:val="auto"/>
          <w:highlight w:val="none"/>
        </w:rPr>
      </w:pPr>
      <w:bookmarkStart w:id="204" w:name="_Toc5164"/>
      <w:bookmarkStart w:id="205" w:name="_Toc835"/>
      <w:r>
        <w:rPr>
          <w:rFonts w:hint="default" w:ascii="Times New Roman" w:hAnsi="Times New Roman" w:eastAsia="仿宋_GB2312" w:cs="Times New Roman"/>
          <w:bCs/>
          <w:iCs/>
          <w:color w:val="auto"/>
          <w:highlight w:val="none"/>
        </w:rPr>
        <w:t>附件1：</w:t>
      </w:r>
      <w:bookmarkEnd w:id="202"/>
      <w:bookmarkEnd w:id="203"/>
      <w:r>
        <w:rPr>
          <w:rFonts w:hint="default" w:ascii="Times New Roman" w:hAnsi="Times New Roman" w:eastAsia="仿宋_GB2312" w:cs="Times New Roman"/>
          <w:color w:val="auto"/>
          <w:highlight w:val="none"/>
        </w:rPr>
        <w:t>项目支出绩效自评表</w:t>
      </w:r>
      <w:bookmarkEnd w:id="204"/>
      <w:bookmarkEnd w:id="205"/>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8"/>
        <w:gridCol w:w="864"/>
        <w:gridCol w:w="865"/>
        <w:gridCol w:w="1184"/>
        <w:gridCol w:w="1350"/>
        <w:gridCol w:w="870"/>
        <w:gridCol w:w="1044"/>
        <w:gridCol w:w="848"/>
        <w:gridCol w:w="882"/>
        <w:gridCol w:w="865"/>
        <w:gridCol w:w="1293"/>
        <w:gridCol w:w="1023"/>
        <w:gridCol w:w="1145"/>
        <w:gridCol w:w="10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29"/>
              <w:bidi w:val="0"/>
            </w:pPr>
            <w:r>
              <w:rPr>
                <w:rFonts w:hint="default"/>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7"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项目名称</w:t>
            </w:r>
          </w:p>
        </w:tc>
        <w:tc>
          <w:tcPr>
            <w:tcW w:w="4392" w:type="pct"/>
            <w:gridSpan w:val="1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园林绿化高洁服务费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07"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主管部门</w:t>
            </w:r>
          </w:p>
        </w:tc>
        <w:tc>
          <w:tcPr>
            <w:tcW w:w="1874"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尉犁县园林绿化管理中心</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实施单位</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尉犁县园林绿化管理中心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资金来源</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年初预算数</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全年预算数</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全年执行数</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分值权重</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执行率</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年度资金总额</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其中：当年财政拨款</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其他资金</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0</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0</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年度总体目标</w:t>
            </w:r>
          </w:p>
        </w:tc>
        <w:tc>
          <w:tcPr>
            <w:tcW w:w="2789" w:type="pct"/>
            <w:gridSpan w:val="8"/>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总体目标</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2"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789" w:type="pct"/>
            <w:gridSpan w:val="8"/>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加强对尉犁县城市绿化植物的养护管理，园林作业绿化面积4380.16亩绿化成活和保存率达95%以上。促进城市绿化事业的发展，改善生态环境、人居环境、美化生活环境。</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尉犁县城市绿化植物的养护管理，实施精细化、规范化、专业化、机械化的管理模式，绿化养护及时率达95%，提高尉犁县城市公共绿地养护整体质量水平，完成养护绿地面积4380.16亩。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5" w:hRule="atLeast"/>
        </w:trPr>
        <w:tc>
          <w:tcPr>
            <w:tcW w:w="30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一级指标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二级指标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三级指标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指标值</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指标值设置依据</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上年完成值</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指标分值权重</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指标赋分规则</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佐证资料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指标实际完成值</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完成率</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指标得分</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年度绩效指标完成情况</w:t>
            </w:r>
          </w:p>
        </w:tc>
        <w:tc>
          <w:tcPr>
            <w:tcW w:w="304"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产出指标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数量指标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园林绿化面积</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&gt;=4380.16亩</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4380.16亩</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=4380.16亩</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质量指标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园林绿化养护覆盖率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default" w:eastAsia="仿宋_GB2312"/>
                <w:lang w:val="en-US" w:eastAsia="zh-CN"/>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时效指标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绿化养护及时率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&gt;=95%</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=95%</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成本指标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经济成本指标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高洁服务费</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&lt;=542.59万元</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原始凭证</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=542.59万元</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效益指标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社会效益指标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提高全县绿化率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生态效益指标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城市生态环境</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改善</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按评判等级赋分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改善</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城镇居民满意度</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&gt;=95%</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=95%</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330" w:type="pct"/>
            <w:gridSpan w:val="4"/>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总分</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100.00分</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bl>
    <w:p>
      <w:pPr>
        <w:pStyle w:val="12"/>
        <w:rPr>
          <w:rFonts w:hint="default" w:ascii="Times New Roman" w:hAnsi="Times New Roman" w:eastAsia="仿宋_GB2312" w:cs="Times New Roman"/>
          <w:color w:val="auto"/>
          <w:highlight w:val="none"/>
        </w:rPr>
        <w:sectPr>
          <w:pgSz w:w="16838" w:h="11905" w:orient="landscape"/>
          <w:pgMar w:top="1803" w:right="1440" w:bottom="1800" w:left="1440" w:header="851" w:footer="992" w:gutter="0"/>
          <w:pgNumType w:fmt="decimal"/>
          <w:cols w:space="720" w:num="1"/>
          <w:rtlGutter w:val="0"/>
          <w:docGrid w:type="lines" w:linePitch="436" w:charSpace="0"/>
        </w:sectPr>
      </w:pPr>
    </w:p>
    <w:p>
      <w:pPr>
        <w:bidi w:val="0"/>
        <w:jc w:val="both"/>
        <w:rPr>
          <w:rFonts w:hint="eastAsia" w:ascii="Times New Roman" w:hAnsi="Times New Roman" w:eastAsia="仿宋_GB2312" w:cs="Times New Roman"/>
          <w:color w:val="auto"/>
          <w:highlight w:val="none"/>
          <w:lang w:val="en-US" w:eastAsia="zh-CN"/>
        </w:rPr>
      </w:pPr>
      <w:bookmarkStart w:id="206" w:name="_Toc31300"/>
      <w:bookmarkStart w:id="207" w:name="_Toc29757"/>
      <w:bookmarkStart w:id="208" w:name="_Toc28099"/>
      <w:bookmarkStart w:id="209" w:name="_Toc5134"/>
      <w:bookmarkStart w:id="210" w:name="_Toc22143"/>
      <w:bookmarkStart w:id="211" w:name="_Toc1641"/>
      <w:r>
        <w:rPr>
          <w:rFonts w:hint="default" w:ascii="Times New Roman" w:hAnsi="Times New Roman" w:eastAsia="仿宋_GB2312" w:cs="Times New Roman"/>
          <w:color w:val="auto"/>
          <w:highlight w:val="none"/>
        </w:rPr>
        <w:t>附件2：</w:t>
      </w:r>
      <w:bookmarkEnd w:id="206"/>
      <w:bookmarkEnd w:id="207"/>
      <w:bookmarkEnd w:id="208"/>
      <w:bookmarkEnd w:id="209"/>
      <w:bookmarkEnd w:id="210"/>
      <w:bookmarkEnd w:id="211"/>
      <w:r>
        <w:rPr>
          <w:rFonts w:hint="default" w:ascii="Times New Roman" w:hAnsi="Times New Roman" w:eastAsia="仿宋_GB2312" w:cs="Times New Roman"/>
          <w:color w:val="auto"/>
          <w:highlight w:val="none"/>
        </w:rPr>
        <w:t>项目支出绩效评价指标体系及评分</w:t>
      </w:r>
      <w:r>
        <w:rPr>
          <w:rFonts w:hint="eastAsia" w:ascii="Times New Roman" w:hAnsi="Times New Roman" w:cs="Times New Roman"/>
          <w:color w:val="auto"/>
          <w:highlight w:val="none"/>
          <w:lang w:val="en-US" w:eastAsia="zh-CN"/>
        </w:rPr>
        <w:t>表</w:t>
      </w:r>
    </w:p>
    <w:p>
      <w:pPr>
        <w:pStyle w:val="29"/>
        <w:bidi w:val="0"/>
        <w:jc w:val="center"/>
        <w:rPr>
          <w:rFonts w:hint="eastAsia" w:ascii="Times New Roman" w:hAnsi="Times New Roman" w:eastAsia="仿宋_GB2312" w:cs="Times New Roman"/>
          <w:color w:val="auto"/>
          <w:highlight w:val="none"/>
          <w:lang w:val="en-US" w:eastAsia="zh-CN"/>
        </w:rPr>
      </w:pPr>
      <w:bookmarkStart w:id="212" w:name="_Toc29561"/>
      <w:bookmarkStart w:id="213" w:name="_Toc28172"/>
      <w:bookmarkStart w:id="214" w:name="_Toc5986"/>
      <w:bookmarkStart w:id="215" w:name="_Toc23161"/>
      <w:r>
        <w:rPr>
          <w:rFonts w:hint="default" w:ascii="Times New Roman" w:hAnsi="Times New Roman" w:eastAsia="仿宋_GB2312" w:cs="Times New Roman"/>
          <w:color w:val="auto"/>
          <w:highlight w:val="none"/>
        </w:rPr>
        <w:t>项目支出绩效评价指标体系及评分</w:t>
      </w:r>
      <w:bookmarkEnd w:id="212"/>
      <w:bookmarkEnd w:id="213"/>
      <w:r>
        <w:rPr>
          <w:rFonts w:hint="eastAsia" w:ascii="Times New Roman" w:hAnsi="Times New Roman" w:cs="Times New Roman"/>
          <w:color w:val="auto"/>
          <w:highlight w:val="none"/>
          <w:lang w:val="en-US" w:eastAsia="zh-CN"/>
        </w:rPr>
        <w:t>表</w:t>
      </w:r>
      <w:bookmarkEnd w:id="214"/>
      <w:bookmarkEnd w:id="215"/>
    </w:p>
    <w:tbl>
      <w:tblPr>
        <w:tblStyle w:val="13"/>
        <w:tblW w:w="5674" w:type="pct"/>
        <w:jc w:val="center"/>
        <w:tblLayout w:type="fixed"/>
        <w:tblCellMar>
          <w:top w:w="0" w:type="dxa"/>
          <w:left w:w="108" w:type="dxa"/>
          <w:bottom w:w="0" w:type="dxa"/>
          <w:right w:w="108" w:type="dxa"/>
        </w:tblCellMar>
      </w:tblPr>
      <w:tblGrid>
        <w:gridCol w:w="592"/>
        <w:gridCol w:w="669"/>
        <w:gridCol w:w="816"/>
        <w:gridCol w:w="2171"/>
        <w:gridCol w:w="4180"/>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一级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三级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rPr>
              <w:t>项目</w:t>
            </w:r>
            <w:r>
              <w:rPr>
                <w:rFonts w:hint="eastAsia" w:ascii="Times New Roman" w:hAnsi="Times New Roman" w:cs="Times New Roman"/>
                <w:color w:val="auto"/>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是否符合法律法规、相关政策、发展规划以及部门职责，用以反映和考核项目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项目申请、设立过程是否符合相关要求，用以反映和考核项目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实施</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满意度</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100</w:t>
            </w:r>
          </w:p>
        </w:tc>
      </w:tr>
    </w:tbl>
    <w:p>
      <w:pPr>
        <w:ind w:firstLine="640"/>
        <w:jc w:val="both"/>
        <w:rPr>
          <w:rFonts w:hint="default" w:ascii="Times New Roman" w:hAnsi="Times New Roman" w:eastAsia="仿宋_GB2312" w:cs="Times New Roman"/>
          <w:color w:val="auto"/>
          <w:highlight w:val="none"/>
        </w:rPr>
      </w:pPr>
    </w:p>
    <w:sectPr>
      <w:pgSz w:w="11905" w:h="16838"/>
      <w:pgMar w:top="1440" w:right="1800" w:bottom="1440" w:left="1803" w:header="851" w:footer="992" w:gutter="0"/>
      <w:pgNumType w:fmt="decimal"/>
      <w:cols w:space="72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9A273D-D528-4B69-8DAC-A5BD4200959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0044173-E210-44DE-8F8D-B16780529AF8}"/>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B37AE934-B158-4EAC-B038-553B547169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218"/>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178860E1"/>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17"/>
    <w:qFormat/>
    <w:uiPriority w:val="99"/>
    <w:pPr>
      <w:keepNext/>
      <w:outlineLvl w:val="1"/>
    </w:pPr>
    <w:rPr>
      <w:rFonts w:eastAsia="黑体" w:cs="Times New Roman"/>
      <w:bCs/>
      <w:iCs/>
      <w:szCs w:val="21"/>
    </w:rPr>
  </w:style>
  <w:style w:type="paragraph" w:styleId="4">
    <w:name w:val="heading 3"/>
    <w:basedOn w:val="1"/>
    <w:next w:val="1"/>
    <w:link w:val="18"/>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19"/>
    <w:unhideWhenUsed/>
    <w:qFormat/>
    <w:uiPriority w:val="99"/>
    <w:pPr>
      <w:tabs>
        <w:tab w:val="center" w:pos="4153"/>
        <w:tab w:val="right" w:pos="8306"/>
      </w:tabs>
      <w:snapToGrid w:val="0"/>
      <w:jc w:val="left"/>
    </w:pPr>
    <w:rPr>
      <w:sz w:val="18"/>
    </w:rPr>
  </w:style>
  <w:style w:type="paragraph" w:styleId="8">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99"/>
    <w:pPr>
      <w:spacing w:before="240" w:after="60"/>
      <w:jc w:val="center"/>
      <w:outlineLvl w:val="0"/>
    </w:pPr>
    <w:rPr>
      <w:rFonts w:ascii="Cambria" w:hAnsi="Cambria"/>
      <w:b/>
      <w:bCs/>
      <w:sz w:val="32"/>
      <w:szCs w:val="32"/>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Comment Text"/>
    <w:basedOn w:val="1"/>
    <w:qFormat/>
    <w:uiPriority w:val="0"/>
    <w:pPr>
      <w:jc w:val="left"/>
    </w:pPr>
  </w:style>
  <w:style w:type="character" w:customStyle="1" w:styleId="17">
    <w:name w:val="标题 2 字符"/>
    <w:link w:val="2"/>
    <w:qFormat/>
    <w:uiPriority w:val="99"/>
    <w:rPr>
      <w:rFonts w:eastAsia="黑体"/>
      <w:bCs/>
      <w:iCs/>
      <w:kern w:val="2"/>
      <w:sz w:val="32"/>
      <w:szCs w:val="21"/>
    </w:rPr>
  </w:style>
  <w:style w:type="character" w:customStyle="1" w:styleId="18">
    <w:name w:val="标题 3 字符"/>
    <w:link w:val="4"/>
    <w:qFormat/>
    <w:uiPriority w:val="9"/>
    <w:rPr>
      <w:rFonts w:eastAsia="楷体_GB2312" w:cs="Times New Roman"/>
      <w:b/>
      <w:kern w:val="2"/>
      <w:sz w:val="32"/>
      <w:szCs w:val="22"/>
    </w:rPr>
  </w:style>
  <w:style w:type="character" w:customStyle="1" w:styleId="19">
    <w:name w:val="页脚 字符"/>
    <w:link w:val="7"/>
    <w:uiPriority w:val="99"/>
    <w:rPr>
      <w:rFonts w:eastAsia="仿宋_GB2312" w:cs="Times New Roman"/>
      <w:kern w:val="2"/>
      <w:sz w:val="18"/>
      <w:szCs w:val="22"/>
    </w:rPr>
  </w:style>
  <w:style w:type="character" w:customStyle="1" w:styleId="20">
    <w:name w:val="页眉 字符"/>
    <w:link w:val="8"/>
    <w:uiPriority w:val="99"/>
    <w:rPr>
      <w:rFonts w:eastAsia="仿宋_GB2312" w:cs="Times New Roman"/>
      <w:kern w:val="2"/>
      <w:sz w:val="18"/>
      <w:szCs w:val="22"/>
    </w:rPr>
  </w:style>
  <w:style w:type="character" w:customStyle="1" w:styleId="21">
    <w:name w:val="font41"/>
    <w:basedOn w:val="15"/>
    <w:qFormat/>
    <w:uiPriority w:val="0"/>
    <w:rPr>
      <w:rFonts w:hint="eastAsia" w:ascii="宋体" w:hAnsi="宋体" w:eastAsia="宋体" w:cs="宋体"/>
      <w:color w:val="000000"/>
      <w:sz w:val="22"/>
      <w:szCs w:val="22"/>
      <w:u w:val="none"/>
    </w:rPr>
  </w:style>
  <w:style w:type="character" w:customStyle="1" w:styleId="22">
    <w:name w:val="font101"/>
    <w:basedOn w:val="15"/>
    <w:qFormat/>
    <w:uiPriority w:val="0"/>
    <w:rPr>
      <w:rFonts w:hint="eastAsia" w:ascii="宋体" w:hAnsi="宋体" w:eastAsia="宋体" w:cs="宋体"/>
      <w:color w:val="000000"/>
      <w:sz w:val="18"/>
      <w:szCs w:val="18"/>
      <w:u w:val="none"/>
    </w:rPr>
  </w:style>
  <w:style w:type="character" w:customStyle="1" w:styleId="23">
    <w:name w:val="font21"/>
    <w:basedOn w:val="15"/>
    <w:qFormat/>
    <w:uiPriority w:val="0"/>
    <w:rPr>
      <w:rFonts w:hint="default" w:ascii="Times New Roman" w:hAnsi="Times New Roman" w:cs="Times New Roman"/>
      <w:color w:val="000000"/>
      <w:sz w:val="22"/>
      <w:szCs w:val="22"/>
      <w:u w:val="none"/>
    </w:rPr>
  </w:style>
  <w:style w:type="character" w:customStyle="1" w:styleId="24">
    <w:name w:val="font131"/>
    <w:basedOn w:val="15"/>
    <w:qFormat/>
    <w:uiPriority w:val="0"/>
    <w:rPr>
      <w:rFonts w:hint="eastAsia" w:ascii="宋体" w:hAnsi="宋体" w:eastAsia="宋体" w:cs="宋体"/>
      <w:color w:val="000000"/>
      <w:sz w:val="18"/>
      <w:szCs w:val="18"/>
      <w:u w:val="none"/>
    </w:rPr>
  </w:style>
  <w:style w:type="character" w:customStyle="1" w:styleId="25">
    <w:name w:val="font91"/>
    <w:basedOn w:val="15"/>
    <w:qFormat/>
    <w:uiPriority w:val="0"/>
    <w:rPr>
      <w:rFonts w:hint="default" w:ascii="Times New Roman" w:hAnsi="Times New Roman" w:cs="Times New Roman"/>
      <w:color w:val="000000"/>
      <w:sz w:val="18"/>
      <w:szCs w:val="18"/>
      <w:u w:val="none"/>
    </w:rPr>
  </w:style>
  <w:style w:type="character" w:customStyle="1" w:styleId="26">
    <w:name w:val="font112"/>
    <w:basedOn w:val="15"/>
    <w:qFormat/>
    <w:uiPriority w:val="0"/>
    <w:rPr>
      <w:rFonts w:hint="eastAsia" w:ascii="宋体" w:hAnsi="宋体" w:eastAsia="宋体" w:cs="宋体"/>
      <w:color w:val="000000"/>
      <w:sz w:val="22"/>
      <w:szCs w:val="22"/>
      <w:u w:val="none"/>
    </w:rPr>
  </w:style>
  <w:style w:type="character" w:customStyle="1" w:styleId="27">
    <w:name w:val="font71"/>
    <w:basedOn w:val="15"/>
    <w:qFormat/>
    <w:uiPriority w:val="0"/>
    <w:rPr>
      <w:rFonts w:hint="eastAsia" w:ascii="宋体" w:hAnsi="宋体" w:eastAsia="宋体" w:cs="宋体"/>
      <w:color w:val="000000"/>
      <w:sz w:val="22"/>
      <w:szCs w:val="22"/>
      <w:u w:val="none"/>
    </w:rPr>
  </w:style>
  <w:style w:type="character" w:customStyle="1" w:styleId="28">
    <w:name w:val="font81"/>
    <w:basedOn w:val="15"/>
    <w:qFormat/>
    <w:uiPriority w:val="0"/>
    <w:rPr>
      <w:rFonts w:hint="eastAsia" w:ascii="宋体" w:hAnsi="宋体" w:eastAsia="宋体" w:cs="宋体"/>
      <w:color w:val="000000"/>
      <w:sz w:val="22"/>
      <w:szCs w:val="22"/>
      <w:u w:val="none"/>
    </w:rPr>
  </w:style>
  <w:style w:type="paragraph" w:customStyle="1" w:styleId="29">
    <w:name w:val="表格标题"/>
    <w:basedOn w:val="1"/>
    <w:next w:val="1"/>
    <w:qFormat/>
    <w:uiPriority w:val="0"/>
    <w:pPr>
      <w:keepNext/>
      <w:keepLines/>
      <w:ind w:firstLine="0" w:firstLineChars="0"/>
      <w:jc w:val="center"/>
      <w:outlineLvl w:val="0"/>
    </w:pPr>
    <w:rPr>
      <w:rFonts w:hint="eastAsia"/>
      <w:b/>
      <w:kern w:val="44"/>
    </w:rPr>
  </w:style>
  <w:style w:type="paragraph" w:customStyle="1" w:styleId="30">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DA12556798F54FDCB82AF005D9E98C36_13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b23d5f-76c2-4d18-8d69-f7135d0d227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8054</Words>
  <Characters>8471</Characters>
  <Lines>110</Lines>
  <Paragraphs>31</Paragraphs>
  <TotalTime>0</TotalTime>
  <ScaleCrop>false</ScaleCrop>
  <LinksUpToDate>false</LinksUpToDate>
  <CharactersWithSpaces>8498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2025-09-23T11:55:43Z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DA12556798F54FDCB82AF005D9E98C36_13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