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尉犁县城市管理综合执法局2024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贯彻落实国家、自治区、自治州关于城市管理综合执法工作的方针政策和决策部署以及县委的工作要求，在履行职责过程中坚持和加强党对城市管理综合执法工作的集中统一领导，治理和维护城市管理秩序。</w:t>
      </w:r>
    </w:p>
    <w:p>
      <w:pPr>
        <w:spacing w:line="580" w:lineRule="exact"/>
        <w:ind w:firstLine="640"/>
        <w:jc w:val="both"/>
      </w:pPr>
      <w:r>
        <w:rPr>
          <w:rFonts w:ascii="仿宋_GB2312" w:hAnsi="仿宋_GB2312" w:eastAsia="仿宋_GB2312"/>
          <w:sz w:val="32"/>
        </w:rPr>
        <w:t>（二）组织起草全县有关城市管理综合行政执法方面的规范性文件，研究提出完善全县城市管理综合行政执法体制的意见和措施。</w:t>
      </w:r>
    </w:p>
    <w:p>
      <w:pPr>
        <w:spacing w:line="580" w:lineRule="exact"/>
        <w:ind w:firstLine="640"/>
        <w:jc w:val="both"/>
      </w:pPr>
      <w:r>
        <w:rPr>
          <w:rFonts w:ascii="仿宋_GB2312" w:hAnsi="仿宋_GB2312" w:eastAsia="仿宋_GB2312"/>
          <w:sz w:val="32"/>
        </w:rPr>
        <w:t>（三）负责全县城市管理信息化建设，以及综合执法工作的统筹协调工作。</w:t>
      </w:r>
    </w:p>
    <w:p>
      <w:pPr>
        <w:spacing w:line="580" w:lineRule="exact"/>
        <w:ind w:firstLine="640"/>
        <w:jc w:val="both"/>
      </w:pPr>
      <w:r>
        <w:rPr>
          <w:rFonts w:ascii="仿宋_GB2312" w:hAnsi="仿宋_GB2312" w:eastAsia="仿宋_GB2312"/>
          <w:sz w:val="32"/>
        </w:rPr>
        <w:t>（四）负责对影响、损坏城市供水、供气、供热、公共交通设施违法、违章行为、供气安全、城市规划区地下水资源的开发、利用、保护以及城市节约用水等实施管理方面的违法、违章行为进行处罚。</w:t>
      </w:r>
    </w:p>
    <w:p>
      <w:pPr>
        <w:spacing w:line="580" w:lineRule="exact"/>
        <w:ind w:firstLine="640"/>
        <w:jc w:val="both"/>
      </w:pPr>
      <w:r>
        <w:rPr>
          <w:rFonts w:ascii="仿宋_GB2312" w:hAnsi="仿宋_GB2312" w:eastAsia="仿宋_GB2312"/>
          <w:sz w:val="32"/>
        </w:rPr>
        <w:t>（五）负责对污染城市环境卫生、损坏环境卫生设施、影响市容观瞻等方面的违法、违章行为进行处罚。</w:t>
      </w:r>
    </w:p>
    <w:p>
      <w:pPr>
        <w:spacing w:line="580" w:lineRule="exact"/>
        <w:ind w:firstLine="640"/>
        <w:jc w:val="both"/>
      </w:pPr>
      <w:r>
        <w:rPr>
          <w:rFonts w:ascii="仿宋_GB2312" w:hAnsi="仿宋_GB2312" w:eastAsia="仿宋_GB2312"/>
          <w:sz w:val="32"/>
        </w:rPr>
        <w:t>（六）负责对侵占损坏城市绿地、花草树木、园林绿化设施及乱砍树木等方面的违法、违章行为进行处罚。</w:t>
      </w:r>
    </w:p>
    <w:p>
      <w:pPr>
        <w:spacing w:line="580" w:lineRule="exact"/>
        <w:ind w:firstLine="640"/>
        <w:jc w:val="both"/>
      </w:pPr>
      <w:r>
        <w:rPr>
          <w:rFonts w:ascii="仿宋_GB2312" w:hAnsi="仿宋_GB2312" w:eastAsia="仿宋_GB2312"/>
          <w:sz w:val="32"/>
        </w:rPr>
        <w:t>（七）负责对占用、挖掘、损坏道路、桥梁、管道、堤坝等城市市政公用设施方面的违法、违章行为进行处罚。</w:t>
      </w:r>
    </w:p>
    <w:p>
      <w:pPr>
        <w:spacing w:line="580" w:lineRule="exact"/>
        <w:ind w:firstLine="640"/>
        <w:jc w:val="both"/>
      </w:pPr>
      <w:r>
        <w:rPr>
          <w:rFonts w:ascii="仿宋_GB2312" w:hAnsi="仿宋_GB2312" w:eastAsia="仿宋_GB2312"/>
          <w:sz w:val="32"/>
        </w:rPr>
        <w:t>（八）负责全县物业管理、房屋建筑工程和基础设施工程质量安全监督、人民防空、城市养犬和停车场管理中的专业性行政执法工作。</w:t>
      </w:r>
    </w:p>
    <w:p>
      <w:pPr>
        <w:spacing w:line="580" w:lineRule="exact"/>
        <w:ind w:firstLine="640"/>
        <w:jc w:val="both"/>
      </w:pPr>
      <w:r>
        <w:rPr>
          <w:rFonts w:ascii="仿宋_GB2312" w:hAnsi="仿宋_GB2312" w:eastAsia="仿宋_GB2312"/>
          <w:sz w:val="32"/>
        </w:rPr>
        <w:t>（九）指导和监督基层执法队开展执法工作，负责城市管理综合执法中跨区域和领导交办的重大案件查处工作。</w:t>
      </w:r>
    </w:p>
    <w:p>
      <w:pPr>
        <w:spacing w:line="580" w:lineRule="exact"/>
        <w:ind w:firstLine="640"/>
        <w:jc w:val="both"/>
      </w:pPr>
      <w:r>
        <w:rPr>
          <w:rFonts w:ascii="仿宋_GB2312" w:hAnsi="仿宋_GB2312" w:eastAsia="仿宋_GB2312"/>
          <w:sz w:val="32"/>
        </w:rPr>
        <w:t>（十）负责全县城市管理综合执法队伍的监督考核工作。</w:t>
      </w:r>
    </w:p>
    <w:p>
      <w:pPr>
        <w:spacing w:line="580" w:lineRule="exact"/>
        <w:ind w:firstLine="640"/>
        <w:jc w:val="both"/>
      </w:pPr>
      <w:r>
        <w:rPr>
          <w:rFonts w:ascii="仿宋_GB2312" w:hAnsi="仿宋_GB2312" w:eastAsia="仿宋_GB2312"/>
          <w:sz w:val="32"/>
        </w:rPr>
        <w:t>（十一）负责城市管理综合执法队伍的组织建设、作风建设、队伍建设以及党风廉政建设工作。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尉犁县城市管理综合执法局2024年度，实有人数12人，其中：在职人员10人，增加2人；离休人员0人，增加0人；退休人员2人,增加0人。</w:t>
      </w:r>
    </w:p>
    <w:p>
      <w:pPr>
        <w:spacing w:line="580" w:lineRule="exact"/>
        <w:ind w:firstLine="640"/>
        <w:jc w:val="both"/>
      </w:pPr>
      <w:r>
        <w:rPr>
          <w:rFonts w:ascii="仿宋_GB2312" w:hAnsi="仿宋_GB2312" w:eastAsia="仿宋_GB2312"/>
          <w:sz w:val="32"/>
        </w:rPr>
        <w:t>尉犁县城市管理综合执法局无下属预算单位，下设1个科室，分别是：办公室。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2024年度收入总计155.22万元，</w:t>
      </w:r>
      <w:r>
        <w:rPr>
          <w:rFonts w:ascii="仿宋_GB2312" w:hAnsi="仿宋_GB2312" w:eastAsia="仿宋_GB2312"/>
          <w:b w:val="0"/>
          <w:sz w:val="32"/>
        </w:rPr>
        <w:t>其中：本年收入合计155.22万元，使用非财政拨款结余（含专用结余）0.00万元，年初结转和结余0.00万元。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2024年度支出总计155.22万元，</w:t>
      </w:r>
      <w:r>
        <w:rPr>
          <w:rFonts w:ascii="仿宋_GB2312" w:hAnsi="仿宋_GB2312" w:eastAsia="仿宋_GB2312"/>
          <w:b w:val="0"/>
          <w:sz w:val="32"/>
        </w:rPr>
        <w:t>其中：本年支出合计155.22万元，结余分配0.00万元，年末结转和结余0.00万元。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减少51.80万元，下降25.02%，主要原因是：本年聘用人员减少，财政专户安排的聘用人员工资及社保减少，导致其他收入较上年减少。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本年收入155.22万元，</w:t>
      </w:r>
      <w:r>
        <w:rPr>
          <w:rFonts w:ascii="仿宋_GB2312" w:hAnsi="仿宋_GB2312" w:eastAsia="仿宋_GB2312"/>
          <w:b w:val="0"/>
          <w:sz w:val="32"/>
        </w:rPr>
        <w:t>其中：财政拨款收入155.22万元，占100.00%；上级补助收入0.00万元，占0.00%；事业收入0.00万元，占0.00%；经营收入0.00万元，占0.00%；附属单位上缴收入0.00万元，占0.00%；其他收入0.00万元，占0.00%。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本年支出155.22万元，</w:t>
      </w:r>
      <w:r>
        <w:rPr>
          <w:rFonts w:ascii="仿宋_GB2312" w:hAnsi="仿宋_GB2312" w:eastAsia="仿宋_GB2312"/>
          <w:b w:val="0"/>
          <w:sz w:val="32"/>
        </w:rPr>
        <w:t>其中：基本支出155.22万元，占100.00%；项目支出0.00万元，占0.00%；上缴上级支出0.00万元，占0.00%；经营支出0.00万元，占0.00%；对附属单位补助支出0.00万元，占0.00%。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2024年度财政拨款收入总计155.22万元，</w:t>
      </w:r>
      <w:r>
        <w:rPr>
          <w:rFonts w:ascii="仿宋_GB2312" w:hAnsi="仿宋_GB2312" w:eastAsia="仿宋_GB2312"/>
          <w:b w:val="0"/>
          <w:sz w:val="32"/>
        </w:rPr>
        <w:t>其中：年初财政拨款结转和结余0.00万元，本年财政拨款收入155.22万元。</w:t>
      </w:r>
      <w:r>
        <w:rPr>
          <w:rFonts w:ascii="仿宋_GB2312" w:hAnsi="仿宋_GB2312" w:eastAsia="仿宋_GB2312"/>
          <w:b/>
          <w:sz w:val="32"/>
        </w:rPr>
        <w:t>财政拨款支出总计155.22万元，</w:t>
      </w:r>
      <w:r>
        <w:rPr>
          <w:rFonts w:ascii="仿宋_GB2312" w:hAnsi="仿宋_GB2312" w:eastAsia="仿宋_GB2312"/>
          <w:b w:val="0"/>
          <w:sz w:val="32"/>
        </w:rPr>
        <w:t>其中：年末财政拨款结转和结余0.00万元，本年财政拨款支出155.22万元。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增加23.65万元，增长17.98%，主要原因是：本年在职人员工资调增，工资、社保、公积金等相关人员经费增加。</w:t>
      </w:r>
      <w:r>
        <w:rPr>
          <w:rFonts w:ascii="仿宋_GB2312" w:hAnsi="仿宋_GB2312" w:eastAsia="仿宋_GB2312"/>
          <w:b/>
          <w:sz w:val="32"/>
        </w:rPr>
        <w:t>与年初预算相比，</w:t>
      </w:r>
      <w:r>
        <w:rPr>
          <w:rFonts w:ascii="仿宋_GB2312" w:hAnsi="仿宋_GB2312" w:eastAsia="仿宋_GB2312"/>
          <w:b w:val="0"/>
          <w:sz w:val="32"/>
        </w:rPr>
        <w:t>年初预算数139.99万元，决算数155.22万元，预决算差异率10.88%，主要原因是：年中追加人员工资、社保、公积金基数调增部分资金，导致预决算存在差异。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2024年度一般公共预算财政拨款支出155.22万元，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增加23.65万元，增长17.98%，主要原因是：本年在职人员工资调增，工资、社保、公积金等相关人员经费增加。</w:t>
      </w:r>
      <w:r>
        <w:rPr>
          <w:rFonts w:ascii="仿宋_GB2312" w:hAnsi="仿宋_GB2312" w:eastAsia="仿宋_GB2312"/>
          <w:b/>
          <w:sz w:val="32"/>
        </w:rPr>
        <w:t>与年初预算相比,</w:t>
      </w:r>
      <w:r>
        <w:rPr>
          <w:rFonts w:ascii="仿宋_GB2312" w:hAnsi="仿宋_GB2312" w:eastAsia="仿宋_GB2312"/>
          <w:b w:val="0"/>
          <w:sz w:val="32"/>
        </w:rPr>
        <w:t>年初预算数139.99万元，决算数155.22万元，预决算差异率10.88%，主要原因是：年中追加人员工资、社保、公积金基数调增部分资金，导致预决算存在差异。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1.一般公共服务支出(类)0.04万元,占0.03%。</w:t>
      </w:r>
    </w:p>
    <w:p>
      <w:pPr>
        <w:spacing w:line="580" w:lineRule="exact"/>
        <w:ind w:firstLine="640"/>
        <w:jc w:val="both"/>
      </w:pPr>
      <w:r>
        <w:rPr>
          <w:rFonts w:ascii="仿宋_GB2312" w:hAnsi="仿宋_GB2312" w:eastAsia="仿宋_GB2312"/>
          <w:b w:val="0"/>
          <w:sz w:val="32"/>
        </w:rPr>
        <w:t>2.教育支出(类)0.23万元,占0.15%。</w:t>
      </w:r>
    </w:p>
    <w:p>
      <w:pPr>
        <w:spacing w:line="580" w:lineRule="exact"/>
        <w:ind w:firstLine="640"/>
        <w:jc w:val="both"/>
      </w:pPr>
      <w:r>
        <w:rPr>
          <w:rFonts w:ascii="仿宋_GB2312" w:hAnsi="仿宋_GB2312" w:eastAsia="仿宋_GB2312"/>
          <w:b w:val="0"/>
          <w:sz w:val="32"/>
        </w:rPr>
        <w:t>3.社会保障和就业支出(类)16.72万元,占10.77%。</w:t>
      </w:r>
    </w:p>
    <w:p>
      <w:pPr>
        <w:spacing w:line="580" w:lineRule="exact"/>
        <w:ind w:firstLine="640"/>
        <w:jc w:val="both"/>
      </w:pPr>
      <w:r>
        <w:rPr>
          <w:rFonts w:ascii="仿宋_GB2312" w:hAnsi="仿宋_GB2312" w:eastAsia="仿宋_GB2312"/>
          <w:b w:val="0"/>
          <w:sz w:val="32"/>
        </w:rPr>
        <w:t>4.卫生健康支出(类)9.76万元,占6.29%。</w:t>
      </w:r>
    </w:p>
    <w:p>
      <w:pPr>
        <w:spacing w:line="580" w:lineRule="exact"/>
        <w:ind w:firstLine="640"/>
        <w:jc w:val="both"/>
      </w:pPr>
      <w:r>
        <w:rPr>
          <w:rFonts w:ascii="仿宋_GB2312" w:hAnsi="仿宋_GB2312" w:eastAsia="仿宋_GB2312"/>
          <w:b w:val="0"/>
          <w:sz w:val="32"/>
        </w:rPr>
        <w:t>5.城乡社区支出(类)116.12万元,占74.81%。</w:t>
      </w:r>
    </w:p>
    <w:p>
      <w:pPr>
        <w:spacing w:line="580" w:lineRule="exact"/>
        <w:ind w:firstLine="640"/>
        <w:jc w:val="both"/>
      </w:pPr>
      <w:r>
        <w:rPr>
          <w:rFonts w:ascii="仿宋_GB2312" w:hAnsi="仿宋_GB2312" w:eastAsia="仿宋_GB2312"/>
          <w:b w:val="0"/>
          <w:sz w:val="32"/>
        </w:rPr>
        <w:t>6.住房保障支出(类)12.37万元,占7.97%。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1.一般公共服务支出(类)组织事务(款)其他组织事务支出(项):支出决算数为0.04万元，比上年决算增加0.04万元，增长100.00%,主要原因是：本年增加退休老干部慰问金支出。</w:t>
      </w:r>
    </w:p>
    <w:p>
      <w:pPr>
        <w:spacing w:line="580" w:lineRule="exact"/>
        <w:ind w:firstLine="640"/>
        <w:jc w:val="both"/>
      </w:pPr>
      <w:r>
        <w:rPr>
          <w:rFonts w:ascii="仿宋_GB2312" w:hAnsi="仿宋_GB2312" w:eastAsia="仿宋_GB2312"/>
          <w:b w:val="0"/>
          <w:sz w:val="32"/>
        </w:rPr>
        <w:t>2.教育支出(类)进修及培训(款)培训支出(项):支出决算数为0.23万元，比上年决算增加0.09万元，增长64.29%,主要原因是：2024年培训次数增加，导致培训支出增加。</w:t>
      </w:r>
    </w:p>
    <w:p>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1.52万元，比上年决算增加1.52万元，增长100.00%,主要原因是：本年功能科目调整，退休人员经费上年在事业单位离退休科目列支，本年在行政单位离退休科目列支，导致经费较上年增加。</w:t>
      </w:r>
    </w:p>
    <w:p>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0.00万元，比上年决算减少1.10万元，下降100.00%,主要原因是：本年功能科目调整，退休人员经费上年在事业单位离退休科目列支，本年在行政单位离退休科目列支，导致经费较上年减少。</w:t>
      </w:r>
    </w:p>
    <w:p>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15.20万元，比上年决算增加3.55万元，增长30.47%,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6.卫生健康支出(类)行政事业单位医疗(款)行政单位医疗(项):支出决算数为6.91万元，比上年决算增加6.91万元，增长100.00%,主要原因是：本年功能科目调整，医疗保险经费上年在事业单位医疗科目列支，本年在行政单位医疗科目列支，导致经费较上年增加。</w:t>
      </w:r>
    </w:p>
    <w:p>
      <w:pPr>
        <w:spacing w:line="580" w:lineRule="exact"/>
        <w:ind w:firstLine="640"/>
        <w:jc w:val="both"/>
      </w:pPr>
      <w:r>
        <w:rPr>
          <w:rFonts w:ascii="仿宋_GB2312" w:hAnsi="仿宋_GB2312" w:eastAsia="仿宋_GB2312"/>
          <w:b w:val="0"/>
          <w:sz w:val="32"/>
        </w:rPr>
        <w:t>7.卫生健康支出(类)行政事业单位医疗(款)事业单位医疗(项):支出决算数为0.00万元，比上年决算减少2.71万元，下降100.00%,主要原因是：本年功能科目调整，医疗保险经费上年在事业单位医疗科目列支，本年在行政单位医疗科目列支，导致经费较上年减少。</w:t>
      </w:r>
    </w:p>
    <w:p>
      <w:pPr>
        <w:spacing w:line="580" w:lineRule="exact"/>
        <w:ind w:firstLine="640"/>
        <w:jc w:val="both"/>
      </w:pPr>
      <w:r>
        <w:rPr>
          <w:rFonts w:ascii="仿宋_GB2312" w:hAnsi="仿宋_GB2312" w:eastAsia="仿宋_GB2312"/>
          <w:b w:val="0"/>
          <w:sz w:val="32"/>
        </w:rPr>
        <w:t>8.卫生健康支出(类)行政事业单位医疗(款)公务员医疗补助(项):支出决算数为2.85万元，比上年决算增加0.67万元，增长30.73%,主要原因是：本年在职人员工资基数调增，医疗缴费基数上涨，相应支出增加。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9.城乡社区支出(类)城乡社区管理事务(款)城管执法(项):支出决算数为116.12万元，比上年决算增加11.28万元，增长10.76%,主要原因是：本年在职人员工资基数调增，工资上调，相应支出增加。</w:t>
      </w:r>
    </w:p>
    <w:p>
      <w:pPr>
        <w:spacing w:line="580" w:lineRule="exact"/>
        <w:ind w:firstLine="640"/>
        <w:jc w:val="both"/>
      </w:pPr>
      <w:r>
        <w:rPr>
          <w:rFonts w:ascii="仿宋_GB2312" w:hAnsi="仿宋_GB2312" w:eastAsia="仿宋_GB2312"/>
          <w:b w:val="0"/>
          <w:sz w:val="32"/>
        </w:rPr>
        <w:t>10.住房保障支出(类)住房改革支出(款)住房公积金(项):支出决算数为12.37万元，比上年决算增加3.43万元，增长38.37%,主要原因是：本年在职人员工资基数调增，公积金缴费基数上涨，相应支出增加。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2024年度一般公共预算财政拨款基本支出155.22万元，其中：</w:t>
      </w:r>
      <w:r>
        <w:rPr>
          <w:rFonts w:ascii="仿宋_GB2312" w:hAnsi="仿宋_GB2312" w:eastAsia="仿宋_GB2312"/>
          <w:b/>
          <w:sz w:val="32"/>
        </w:rPr>
        <w:t>人员经费145.48万元，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包括：基本工资、津贴补贴、奖金、机关事业单位基本养老保险缴费、职工基本医疗保险缴费、公务员医疗补助缴费、其他社会保障缴费、住房公积金、医疗费、退休费、生活补助、奖励金。</w:t>
      </w:r>
    </w:p>
    <w:p>
      <w:pPr>
        <w:spacing w:line="580" w:lineRule="exact"/>
        <w:ind w:firstLine="640"/>
        <w:jc w:val="both"/>
      </w:pPr>
      <w:r>
        <w:rPr>
          <w:rFonts w:ascii="仿宋_GB2312" w:hAnsi="仿宋_GB2312" w:eastAsia="仿宋_GB2312"/>
          <w:b/>
          <w:sz w:val="32"/>
        </w:rPr>
        <w:t>公用经费9.74万元，</w:t>
      </w:r>
      <w:r>
        <w:rPr>
          <w:rFonts w:ascii="仿宋_GB2312" w:hAnsi="仿宋_GB2312" w:eastAsia="仿宋_GB2312"/>
          <w:b w:val="0"/>
          <w:sz w:val="32"/>
        </w:rPr>
        <w:t>包括：办公费、电费、邮电费、取暖费、维修（护）费、培训费、工会经费、福利费、公务用车运行维护费。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2024年度财政拨款“三公”经费支出0.92万元，</w:t>
      </w:r>
      <w:r>
        <w:rPr>
          <w:rFonts w:ascii="仿宋_GB2312" w:hAnsi="仿宋_GB2312" w:eastAsia="仿宋_GB2312"/>
          <w:b w:val="0"/>
          <w:sz w:val="32"/>
        </w:rPr>
        <w:t>比上年减少0.65万元，下降41.40%，主要原因是：严格落实中央八项规定精神，厉行节约，减少公务用车运行维护费。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公务用车购置及运行维护费支出0.92万元，占100.00%，比上年减少0.65万元，下降41.40%，主要原因是：严格落实中央八项规定精神，厉行节约，减少公务用车运行维护费。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0.92万元，其中：公务用车购置费0.00万元，公务用车运行维护费0.92万元。公务用车运行维护费开支内容包括车辆燃油费、车辆保险费、车辆审验费、车辆维修费。公务用车购置数0辆，公务用车保有量2辆。国有资产占用情况中固定资产车辆2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0.92万元，决算数0.92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0.92万元，决算数0.92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2024年度尉犁县城市管理综合执法局（行政单位和参照公务员法管理事业单位）机关运行经费支出9.74万元，比上年减少0.68万元，下降6.53%，主要原因是：严格执行中央八项规定，厉行节约，压减经费。</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2024年度政府采购支出总额1.00万元，其中：政府采购货物支出0.00万元、政府采购工程支出0.00万元、政府采购服务支出1.00万元。</w:t>
      </w:r>
    </w:p>
    <w:p>
      <w:pPr>
        <w:spacing w:line="580" w:lineRule="exact"/>
        <w:ind w:firstLine="640"/>
        <w:jc w:val="both"/>
      </w:pPr>
      <w:r>
        <w:rPr>
          <w:rFonts w:ascii="仿宋_GB2312" w:hAnsi="仿宋_GB2312" w:eastAsia="仿宋_GB2312"/>
          <w:b w:val="0"/>
          <w:sz w:val="32"/>
        </w:rPr>
        <w:t>授予中小企业合同金额1.00万元，占政府采购支出总额的100.00%，其中：授予小微企业合同金额1.00万元，占政府采购支出总额的100.00%。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2辆，价值13.16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0.00万元，实际执行总额0.00万元；预算绩效评价项目0个，全年预算数0.00万元，全年执行数0.00万元。预算绩效管理取得的成效：2024年我单位无预算项目绩效。发现的问题及原因：2024年我单位无预算项目绩效。下一步改进措施：2024年我单位无预算项目绩效。具体附整体支出绩效自评表。</w:t>
      </w:r>
    </w:p>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本年度部门整体绩效自评表由主管部门编报并公开。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