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尉犁县尉北地区管理委员会2024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（1）认真贯彻执行农村工作的方针政策，修订和完善区域经济发展规划和社会发展总体规划，并抓好落实；抓好辖区内基础设施建设工作，完善区域内道路、农田水利等设施建设。</w:t>
      </w:r>
    </w:p>
    <w:p>
      <w:pPr>
        <w:spacing w:line="580" w:lineRule="exact"/>
        <w:ind w:firstLine="640"/>
        <w:jc w:val="both"/>
      </w:pPr>
      <w:r>
        <w:rPr>
          <w:rFonts w:ascii="仿宋_GB2312" w:hAnsi="仿宋_GB2312" w:eastAsia="仿宋_GB2312"/>
          <w:sz w:val="32"/>
        </w:rPr>
        <w:t>（2）负责本地区内教育卫生、环境保护、安全生产、社会保障等公益事业综合性工作。</w:t>
      </w:r>
    </w:p>
    <w:p>
      <w:pPr>
        <w:spacing w:line="580" w:lineRule="exact"/>
        <w:ind w:firstLine="640"/>
        <w:jc w:val="both"/>
      </w:pPr>
      <w:r>
        <w:rPr>
          <w:rFonts w:ascii="仿宋_GB2312" w:hAnsi="仿宋_GB2312" w:eastAsia="仿宋_GB2312"/>
          <w:sz w:val="32"/>
        </w:rPr>
        <w:t>（3）贯彻“科技兴农”方针，搞好新科技的实验、示范和推广工作，开展科技培训、技术咨询和提供技术服务工作。</w:t>
      </w:r>
    </w:p>
    <w:p>
      <w:pPr>
        <w:spacing w:line="580" w:lineRule="exact"/>
        <w:ind w:firstLine="640"/>
        <w:jc w:val="both"/>
      </w:pPr>
      <w:r>
        <w:rPr>
          <w:rFonts w:ascii="仿宋_GB2312" w:hAnsi="仿宋_GB2312" w:eastAsia="仿宋_GB2312"/>
          <w:sz w:val="32"/>
        </w:rPr>
        <w:t>（4）加强法治宣传教育；负责辖区内人口管理，加强对流动人口的服务；做好辖区内土地、森林、草场等资源的规划管理和保护。</w:t>
      </w:r>
    </w:p>
    <w:p>
      <w:pPr>
        <w:spacing w:line="580" w:lineRule="exact"/>
        <w:ind w:firstLine="640"/>
        <w:jc w:val="both"/>
      </w:pPr>
      <w:r>
        <w:rPr>
          <w:rFonts w:ascii="仿宋_GB2312" w:hAnsi="仿宋_GB2312" w:eastAsia="仿宋_GB2312"/>
          <w:sz w:val="32"/>
        </w:rPr>
        <w:t>（5）承办县委、县人民政府交办的其他工作。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尉犁县尉北地区管理委员会2024年度，实有人数8人，其中：在职人员8人，减少1人；离休人员0人，增加0人；退休人员0人,增加0人。</w:t>
      </w:r>
    </w:p>
    <w:p>
      <w:pPr>
        <w:spacing w:line="580" w:lineRule="exact"/>
        <w:ind w:firstLine="640"/>
        <w:jc w:val="both"/>
      </w:pPr>
      <w:r>
        <w:rPr>
          <w:rFonts w:ascii="仿宋_GB2312" w:hAnsi="仿宋_GB2312" w:eastAsia="仿宋_GB2312"/>
          <w:sz w:val="32"/>
        </w:rPr>
        <w:t>尉犁县尉北地区管理委员会无下属预算单位，下设1个科室，分别是：办公室。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2024年度收入总计146.56万元，</w:t>
      </w:r>
      <w:r>
        <w:rPr>
          <w:rFonts w:ascii="仿宋_GB2312" w:hAnsi="仿宋_GB2312" w:eastAsia="仿宋_GB2312"/>
          <w:b w:val="0"/>
          <w:sz w:val="32"/>
        </w:rPr>
        <w:t>其中：本年收入合计146.56万元，使用非财政拨款结余（含专用结余）0.00万元，年初结转和结余0.00万元。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2024年度支出总计146.56万元，</w:t>
      </w:r>
      <w:r>
        <w:rPr>
          <w:rFonts w:ascii="仿宋_GB2312" w:hAnsi="仿宋_GB2312" w:eastAsia="仿宋_GB2312"/>
          <w:b w:val="0"/>
          <w:sz w:val="32"/>
        </w:rPr>
        <w:t>其中：本年支出合计146.56万元，结余分配0.00万元，年末结转和结余0.00万元。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减少30.19万元，下降17.08%，主要原因是：2024年突发公共卫生事件应急处理、自然灾害救灾补助项目资金及办公费用等公用经费减少。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本年收入146.56万元，</w:t>
      </w:r>
      <w:r>
        <w:rPr>
          <w:rFonts w:ascii="仿宋_GB2312" w:hAnsi="仿宋_GB2312" w:eastAsia="仿宋_GB2312"/>
          <w:b w:val="0"/>
          <w:sz w:val="32"/>
        </w:rPr>
        <w:t>其中：财政拨款收入146.56万元，占100.00%；上级补助收入0.00万元，占0.00%；事业收入0.00万元，占0.00%；经营收入0.00万元，占0.00%；附属单位上缴收入0.00万元，占0.00%；其他收入0.00万元，占0.00%。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本年支出146.56万元，</w:t>
      </w:r>
      <w:r>
        <w:rPr>
          <w:rFonts w:ascii="仿宋_GB2312" w:hAnsi="仿宋_GB2312" w:eastAsia="仿宋_GB2312"/>
          <w:b w:val="0"/>
          <w:sz w:val="32"/>
        </w:rPr>
        <w:t>其中：基本支出137.56万元，占93.86%；项目支出9.00万元，占6.14%；上缴上级支出0.00万元，占0.00%；经营支出0.00万元，占0.00%；对附属单位补助支出0.00万元，占0.00%。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2024年度财政拨款收入总计146.56万元，</w:t>
      </w:r>
      <w:r>
        <w:rPr>
          <w:rFonts w:ascii="仿宋_GB2312" w:hAnsi="仿宋_GB2312" w:eastAsia="仿宋_GB2312"/>
          <w:b w:val="0"/>
          <w:sz w:val="32"/>
        </w:rPr>
        <w:t>其中：年初财政拨款结转和结余0.00万元，本年财政拨款收入146.56万元。</w:t>
      </w:r>
      <w:r>
        <w:rPr>
          <w:rFonts w:ascii="仿宋_GB2312" w:hAnsi="仿宋_GB2312" w:eastAsia="仿宋_GB2312"/>
          <w:b/>
          <w:sz w:val="32"/>
        </w:rPr>
        <w:t>财政拨款支出总计146.56万元，</w:t>
      </w:r>
      <w:r>
        <w:rPr>
          <w:rFonts w:ascii="仿宋_GB2312" w:hAnsi="仿宋_GB2312" w:eastAsia="仿宋_GB2312"/>
          <w:b w:val="0"/>
          <w:sz w:val="32"/>
        </w:rPr>
        <w:t>其中：年末财政拨款结转和结余0.00万元，本年财政拨款支出146.56万元。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减少9.19万元，下降5.90%，主要原因是：2024年突发公共卫生事件应急处理、自然灾害救灾补助项目资金及办公费用等公用经费减少。</w:t>
      </w:r>
      <w:r>
        <w:rPr>
          <w:rFonts w:ascii="仿宋_GB2312" w:hAnsi="仿宋_GB2312" w:eastAsia="仿宋_GB2312"/>
          <w:b/>
          <w:sz w:val="32"/>
        </w:rPr>
        <w:t>与年初预算相比，</w:t>
      </w:r>
      <w:r>
        <w:rPr>
          <w:rFonts w:ascii="仿宋_GB2312" w:hAnsi="仿宋_GB2312" w:eastAsia="仿宋_GB2312"/>
          <w:b w:val="0"/>
          <w:sz w:val="32"/>
        </w:rPr>
        <w:t>年初预算数156.50万元，决算数146.56万元，预决算差异率-6.35%，主要原因是：年中辞职1人，调减人员经费预算，导致预决算存在差异。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2024年度一般公共预算财政拨款支出146.56万元，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减少9.19万元，下降5.90%，主要原因是：2024年减少突发公共卫生事件应急处理、自然灾害救灾补助项目资金及办公费用等公用经费。</w:t>
      </w:r>
      <w:r>
        <w:rPr>
          <w:rFonts w:ascii="仿宋_GB2312" w:hAnsi="仿宋_GB2312" w:eastAsia="仿宋_GB2312"/>
          <w:b/>
          <w:sz w:val="32"/>
        </w:rPr>
        <w:t>与年初预算相比,</w:t>
      </w:r>
      <w:r>
        <w:rPr>
          <w:rFonts w:ascii="仿宋_GB2312" w:hAnsi="仿宋_GB2312" w:eastAsia="仿宋_GB2312"/>
          <w:b w:val="0"/>
          <w:sz w:val="32"/>
        </w:rPr>
        <w:t>年初预算数156.50万元，决算数146.56万元，预决算差异率-6.35%，主要原因是：年中辞职1人，调减人员经费预算，导致预决算存在差异。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1.一般公共服务支出(类)112.24万元,占76.58%。</w:t>
      </w:r>
    </w:p>
    <w:p>
      <w:pPr>
        <w:spacing w:line="580" w:lineRule="exact"/>
        <w:ind w:firstLine="640"/>
        <w:jc w:val="both"/>
      </w:pPr>
      <w:r>
        <w:rPr>
          <w:rFonts w:ascii="仿宋_GB2312" w:hAnsi="仿宋_GB2312" w:eastAsia="仿宋_GB2312"/>
          <w:b w:val="0"/>
          <w:sz w:val="32"/>
        </w:rPr>
        <w:t>2.社会保障和就业支出(类)18.07万元,占12.33%。</w:t>
      </w:r>
    </w:p>
    <w:p>
      <w:pPr>
        <w:spacing w:line="580" w:lineRule="exact"/>
        <w:ind w:firstLine="640"/>
        <w:jc w:val="both"/>
      </w:pPr>
      <w:r>
        <w:rPr>
          <w:rFonts w:ascii="仿宋_GB2312" w:hAnsi="仿宋_GB2312" w:eastAsia="仿宋_GB2312"/>
          <w:b w:val="0"/>
          <w:sz w:val="32"/>
        </w:rPr>
        <w:t>3.卫生健康支出(类)5.87万元,占4.01%。</w:t>
      </w:r>
    </w:p>
    <w:p>
      <w:pPr>
        <w:spacing w:line="580" w:lineRule="exact"/>
        <w:ind w:firstLine="640"/>
        <w:jc w:val="both"/>
      </w:pPr>
      <w:r>
        <w:rPr>
          <w:rFonts w:ascii="仿宋_GB2312" w:hAnsi="仿宋_GB2312" w:eastAsia="仿宋_GB2312"/>
          <w:b w:val="0"/>
          <w:sz w:val="32"/>
        </w:rPr>
        <w:t>4.住房保障支出(类)10.39万元,占7.09%。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政府办公厅（室）及相关机构事务(款)其他政府办公厅（室）及相关机构事务支出(项):支出决算数为103.24万元，比上年决算减少18.14万元，下降14.94%,主要原因是：本年在职人员奖金支出减少，导致经费较上年减少。</w:t>
      </w:r>
    </w:p>
    <w:p>
      <w:pPr>
        <w:spacing w:line="580" w:lineRule="exact"/>
        <w:ind w:firstLine="640"/>
        <w:jc w:val="both"/>
      </w:pPr>
      <w:r>
        <w:rPr>
          <w:rFonts w:ascii="仿宋_GB2312" w:hAnsi="仿宋_GB2312" w:eastAsia="仿宋_GB2312"/>
          <w:b w:val="0"/>
          <w:sz w:val="32"/>
        </w:rPr>
        <w:t>2.一般公共服务支出(类)组织事务(款)其他组织事务支出(项):支出决算数为9.00万元，比上年决算增加7.80万元，增长650.00%,主要原因是：2024增加英买里村安装灌溉管网费用。</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12.90万元，比上年决算增加1.02万元，增长8.59%,主要原因是：2024年在职人员工资基数调增，养老缴费基数上涨，相应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4.社会保障和就业支出(类)行政事业单位养老支出(款)机关事业单位职业年金缴费支出(项):支出决算数为5.17万元，比上年决算增加5.17万元，增长100.00%,主要原因是：2024年在职人员1人辞职。</w:t>
      </w:r>
    </w:p>
    <w:p>
      <w:pPr>
        <w:spacing w:line="580" w:lineRule="exact"/>
        <w:ind w:firstLine="640"/>
        <w:jc w:val="both"/>
      </w:pPr>
      <w:r>
        <w:rPr>
          <w:rFonts w:ascii="仿宋_GB2312" w:hAnsi="仿宋_GB2312" w:eastAsia="仿宋_GB2312"/>
          <w:b w:val="0"/>
          <w:sz w:val="32"/>
        </w:rPr>
        <w:t>5.卫生健康支出(类)公共卫生(款)突发公共卫生事件应急处理(项):支出决算数为0.00万元，比上年决算减少4.77万元，下降100.00%,主要原因是：2024年减少突发公共卫生事件应急处理项目资金。</w:t>
      </w:r>
    </w:p>
    <w:p>
      <w:pPr>
        <w:spacing w:line="580" w:lineRule="exact"/>
        <w:ind w:firstLine="640"/>
        <w:jc w:val="both"/>
      </w:pPr>
      <w:r>
        <w:rPr>
          <w:rFonts w:ascii="仿宋_GB2312" w:hAnsi="仿宋_GB2312" w:eastAsia="仿宋_GB2312"/>
          <w:b w:val="0"/>
          <w:sz w:val="32"/>
        </w:rPr>
        <w:t>6.卫生健康支出(类)行政事业单位医疗(款)事业单位医疗(项):支出决算数为5.87万元，比上年决算增加0.47万元，增长8.70%,主要原因是：2024年在职人员工资基数调增，事业单位医疗增加。</w:t>
      </w:r>
    </w:p>
    <w:p>
      <w:pPr>
        <w:spacing w:line="580" w:lineRule="exact"/>
        <w:ind w:firstLine="640"/>
        <w:jc w:val="both"/>
      </w:pPr>
      <w:r>
        <w:rPr>
          <w:rFonts w:ascii="仿宋_GB2312" w:hAnsi="仿宋_GB2312" w:eastAsia="仿宋_GB2312"/>
          <w:b w:val="0"/>
          <w:sz w:val="32"/>
        </w:rPr>
        <w:t>7.农林水支出(类)农业农村(款)防灾救灾(项):支出决算数为0.00万元，比上年决算减少0.99万元，下降100.00%,主要原因是：2024年减少防灾救灾项目资金。</w:t>
      </w:r>
    </w:p>
    <w:p>
      <w:pPr>
        <w:spacing w:line="580" w:lineRule="exact"/>
        <w:ind w:firstLine="640"/>
        <w:jc w:val="both"/>
      </w:pPr>
      <w:r>
        <w:rPr>
          <w:rFonts w:ascii="仿宋_GB2312" w:hAnsi="仿宋_GB2312" w:eastAsia="仿宋_GB2312"/>
          <w:b w:val="0"/>
          <w:sz w:val="32"/>
        </w:rPr>
        <w:t>8.住房保障支出(类)住房改革支出(款)住房公积金(项):支出决算数为10.39万元，比上年决算增加1.52万元，增长17.14%,主要原因是：2024年在职人员工资基数调增，住房公积金增加。</w:t>
      </w:r>
    </w:p>
    <w:p>
      <w:pPr>
        <w:spacing w:line="580" w:lineRule="exact"/>
        <w:ind w:firstLine="640"/>
        <w:jc w:val="both"/>
      </w:pPr>
      <w:r>
        <w:rPr>
          <w:rFonts w:ascii="仿宋_GB2312" w:hAnsi="仿宋_GB2312" w:eastAsia="仿宋_GB2312"/>
          <w:b w:val="0"/>
          <w:sz w:val="32"/>
        </w:rPr>
        <w:t>9.灾害防治及应急管理支出(类)自然灾害救灾及恢复重建支出(款)自然灾害救灾补助(项):支出决算数为0.00万元，比上年决算减少1.25万元，下降100.00%,主要原因是：2024年减少自然灾害救灾补助项目资金。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2024年度一般公共预算财政拨款基本支出137.56万元，其中：</w:t>
      </w:r>
      <w:r>
        <w:rPr>
          <w:rFonts w:ascii="仿宋_GB2312" w:hAnsi="仿宋_GB2312" w:eastAsia="仿宋_GB2312"/>
          <w:b/>
          <w:sz w:val="32"/>
        </w:rPr>
        <w:t>人员经费128.59万元，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包括：基本工资、津贴补贴、奖金、机关事业单位基本养老保险缴费、职业年金缴费、职工基本医疗保险缴费、其他社会保障缴费、住房公积金、医疗费、其他工资福利支出。</w:t>
      </w:r>
    </w:p>
    <w:p>
      <w:pPr>
        <w:spacing w:line="580" w:lineRule="exact"/>
        <w:ind w:firstLine="640"/>
        <w:jc w:val="both"/>
      </w:pPr>
      <w:r>
        <w:rPr>
          <w:rFonts w:ascii="仿宋_GB2312" w:hAnsi="仿宋_GB2312" w:eastAsia="仿宋_GB2312"/>
          <w:b/>
          <w:sz w:val="32"/>
        </w:rPr>
        <w:t>公用经费8.97万元，</w:t>
      </w:r>
      <w:r>
        <w:rPr>
          <w:rFonts w:ascii="仿宋_GB2312" w:hAnsi="仿宋_GB2312" w:eastAsia="仿宋_GB2312"/>
          <w:b w:val="0"/>
          <w:sz w:val="32"/>
        </w:rPr>
        <w:t>包括：办公费、电费、邮电费、取暖费、工会经费、福利费、公务用车运行维护费、其他交通费用、专用设备购置。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2024年度财政拨款“三公”经费支出1.52万元，</w:t>
      </w:r>
      <w:r>
        <w:rPr>
          <w:rFonts w:ascii="仿宋_GB2312" w:hAnsi="仿宋_GB2312" w:eastAsia="仿宋_GB2312"/>
          <w:b w:val="0"/>
          <w:sz w:val="32"/>
        </w:rPr>
        <w:t>比上年减少0.01万元，下降0.65%，主要原因是：严格落实中央八项规定精神，厉行节约，压减经费。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公务用车购置及运行维护费支出1.52万元，占100.00%，比上年减少0.01万元，下降0.65%，主要原因是：严格落实中央八项规定精神，厉行节约，压减经费。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1.52万元，其中：公务用车购置费0.00万元，公务用车运行维护费1.52万元。公务用车运行维护费开支内容包括车辆年检费、保险费、维修费、加油费等。公务用车购置数0辆，公务用车保有量1辆。国有资产占用情况中固定资产车辆1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1.52万元，决算数1.52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1.52万元，决算数1.52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2024年度尉犁县尉北地区管理委员会（事业单位）公用经费支出8.97万元，比上年增加2.26万元，增长33.68%，主要原因是：本年业务量增加，公用经费增加。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2024年度政府采购支出总额1.58万元，其中：政府采购货物支出0.00万元、政府采购工程支出0.00万元、政府采购服务支出1.58万元。</w:t>
      </w:r>
    </w:p>
    <w:p>
      <w:pPr>
        <w:spacing w:line="580" w:lineRule="exact"/>
        <w:ind w:firstLine="640"/>
        <w:jc w:val="both"/>
      </w:pPr>
      <w:r>
        <w:rPr>
          <w:rFonts w:ascii="仿宋_GB2312" w:hAnsi="仿宋_GB2312" w:eastAsia="仿宋_GB2312"/>
          <w:b w:val="0"/>
          <w:sz w:val="32"/>
        </w:rPr>
        <w:t>授予中小企业合同金额1.58万元，占政府采购支出总额的100.00%，其中：授予小微企业合同金额1.58万元，占政府采购支出总额的100.00%。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70.00平方米，价值13.90万元。车辆1辆，价值9.23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146.56万元，实际执行总额146.56万元；预算绩效评价项目4个，全年预算数18.23万元，全年执行数18.23万元。预算绩效管理取得的成效：一是加强领导，落实责任，尉北管委会高度重视项目绩效评价工作，成立了以尉北管委会主要领导为组长，各分管领导为绩效评价领导小组成员，明确了工作职责，从项目审批、项目实施管理、资金管理各方面加强统筹协调，共同推进项目顺利实施；二是分步、按进度监督项目落实。通过每月、每季度定期汇总项目实施进度，及时发现问题、解决问题、督促项目实施，确保项目实施及资金支出进度；三是严格程序，确保资金效益。严格资金审批流程，明确资金使用范围，保证项目资金专款专用，有效杜绝了截留、挪用、滞留、浪费资金等现象的发生，确保了资金使用安全和最大效益的发挥。发现的问题及原因：一是相关工作人员对绩效工作的业务知识能力不够，面对专业人手不足、绩效管理水平欠缺的情况下，提升的空间还很大；二是预算绩效管理水平仍有欠缺。在2023年预算绩效管理工作中，对全面实施预算绩效管理的要求认识还不到位，项目申报、实施等环节与预算绩效管理各个环节联系不够紧密。下一步改进措施：一是财务上，会计核算要更加详细，为本单位各项工作的开展、总结、评估提供有效数据资料支撑,为各项业务工作更好地开展提供帮助；二是从源头上强化对专项资金预算管理。实行专项资金预算管理，结合单位实际，按轻重缓急统筹安排编制预算，提高预算编制科学性和合理性，优化资金结构；三是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整体支出绩效自评表，项目支出绩效自评表。</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尉犁县尉北地区管理委员会</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156.50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146.56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146.56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156.50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146.56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146.56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紧紧围绕社会稳定和长治久安总目标，贯彻落实党的各项方针政策，坚决执行上级政府的决策部署和任务安排。具体目标如下：                                                                                                                                      1.抓好安全生产工作，组织开展安全生产检查和隐患排查治理。                                                                                  2.抓好林业方面工作，加强退耕还林政策宣传，压实种植户责任。                                                                            3.持续开展惠民惠农政策宣传，加大农业技术培训力度。                                                                                       4.配合相关部门做好“两费”征收。</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紧紧围绕社会稳定和长治久安总目标，贯彻落实党的各项方针政策，坚决执行上级政府的决策部署和任务安排。2024年我单位开展区域内安全隐患排查6次，督促整改退耕还林不合格面积27919.8亩，组织了农业技术培训4次，开展了惠民惠农政策宣传5次。</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管理效率</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开展区域内安全隐患排查</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尉犁县尉北地区管理委员会2024年工作计划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退耕还林整改面积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&gt;=27527.3亩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尉犁县尉北地区管理委员会2024年工作计划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27919.8亩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组织农业技术培训</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尉犁县尉北地区管理委员会2024年工作计划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开展惠民惠农政策宣传</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&gt;=5次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尉犁县尉北地区管理委员会2024年工作计划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村民小组干部报酬</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尉犁县尉北地区管理委员会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尉犁县尉北地区管理委员会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用于发放4个村民小组长2024年1月-12月工资，保障小组长日常生活，使小组长干部的工作积极性得到提高。</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已完成了2024年1-12月4名村民小组长1500元/月/人的工资发放，报酬发放准确率及时率为100%，充分保障了小组长的日常生活，小组长工作积极性得到了有效提高。</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发放月数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=12个月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=12个月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报酬发放准确率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=1500元/人/月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=1500元/人/月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提高村民小组长工作积极性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代理记账服务费等经费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尉犁县尉北地区管理委员会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尉犁县尉北地区管理委员会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用于支付2024年度尉北管委会代理记账费用及采购单位取暖用电锅炉1台，保障单位各项工作正常开展。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支付了2024年度尉北管委会代理记账费用，采购了1台单位取暖用电锅炉1台，确保2024年度代理记账工作正常开展，验收合格率为100%，提升了干部职工工作积极性。</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采购电锅炉数量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代理记账期限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=1年度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=1年度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2024年12月31日前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2024年12月3日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采购电锅炉费用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&lt;=1.19万元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采购代理记账费用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&lt;=0.84万元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=0.84万元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提升干部职工工作积极性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尉北管委会为民办实事及工作队经费（本级）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尉犁县尉北地区管理委员会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尉犁县尉北地区管理委员会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1、英买里村为民办实事经费工作队经费，用于访贫问苦，慰问困难群众发放无烟煤66户，为群众送温暖采购无烟煤33.3吨；</w:t>
              <w:br/>
              <w:t>2、工作队经费，用于积极组织开展各类活动不少于5次，修缮、制作党建宣传展板等，项目的实施保障驻村帮扶工作有序开展，推动基层工作的开展。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为群众送温暖采购了无烟煤38吨，为33户困难群众发放了无烟煤积极组织开展了5次各类活动，为民办实事工作完成率及按期完成率为100%，改善干群关系，保障了驻村帮扶工作有序开展，推动了基层工作的开展。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开展活动场次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慰问困难群众发放无烟煤户数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=66户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=33户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因制定资金使用计划时未充分考虑发放数量，为保障使用量将发放户数调整为33户</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采购无烟煤吨数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=33.3吨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因无烟煤价格比制定计划时低，为确保资金得到充分使用，无烟煤采购吨数增加</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为民办实事工作完成率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为民办实事工作按期完成率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活动经费成本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为确保经费使用完毕再次采购活动用品</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宣传经费成本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采购宣传制作有优惠率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采购无烟煤成本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采购无烟煤有优惠率</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改善干群关系，给予驻村帮扶工作支持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英买里村群众满意度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85.26分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尉北管委会驻村工作队为民办实事经费（自治州）</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尉犁县尉北地区管理委员会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尉犁县尉北地区管理委员会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1、英买里村为民办实事经费，用于访贫问苦，采购困难群众慰问用品批次2次等；</w:t>
              <w:br/>
              <w:t>2、补充村级组织工作经费，积极组织开展各类活动不少于6次，项目的实施保障驻村帮扶工作有序开展，推动基层工作的开展，安装灌溉管网数量268米。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积极组织开展了6次各类活动，为困难群众采购了2批次慰问用品，安装灌溉管网数量268米。改善了干群关系，保障了驻村帮扶工作有序开展，推动了基层工作的开展。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开展活动场次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采购困难群众慰问用品批次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安装灌溉官网数量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=268米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=268米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为民办实事工作完成率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为民办实事工作按期完成率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活动经费成本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为确保经费使用完毕再次采购活动用品</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慰问群众经费成本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6.16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采购慰问品存在优惠率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安装灌溉管网经费成本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=2.39万元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5.34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采购安装灌溉官网有优惠率</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改善干群关系，给予驻村帮扶工作支持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英买里村群众满意度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91.50分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