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D40" w:rsidRDefault="009A6D40">
      <w:pPr>
        <w:rPr>
          <w:rFonts w:ascii="黑体" w:eastAsia="黑体" w:hAnsi="黑体"/>
          <w:szCs w:val="32"/>
        </w:rPr>
      </w:pPr>
    </w:p>
    <w:p w:rsidR="009A6D40" w:rsidRDefault="009A6D40">
      <w:pPr>
        <w:jc w:val="center"/>
        <w:rPr>
          <w:rFonts w:ascii="方正小标宋_GBK" w:eastAsia="方正小标宋_GBK" w:hAnsi="宋体"/>
          <w:sz w:val="44"/>
          <w:szCs w:val="44"/>
        </w:rPr>
      </w:pPr>
    </w:p>
    <w:p w:rsidR="009A6D40" w:rsidRDefault="009A6D40">
      <w:pPr>
        <w:jc w:val="center"/>
        <w:rPr>
          <w:rFonts w:ascii="方正小标宋_GBK" w:eastAsia="方正小标宋_GBK" w:hAnsi="宋体"/>
          <w:sz w:val="44"/>
          <w:szCs w:val="44"/>
        </w:rPr>
      </w:pPr>
    </w:p>
    <w:p w:rsidR="009A6D40" w:rsidRDefault="009A6D40">
      <w:pPr>
        <w:jc w:val="center"/>
        <w:rPr>
          <w:rFonts w:ascii="方正小标宋_GBK" w:eastAsia="方正小标宋_GBK" w:hAnsi="宋体"/>
          <w:sz w:val="44"/>
          <w:szCs w:val="44"/>
        </w:rPr>
      </w:pPr>
    </w:p>
    <w:p w:rsidR="009A6D40" w:rsidRDefault="009A6D40">
      <w:pPr>
        <w:jc w:val="center"/>
        <w:rPr>
          <w:rFonts w:ascii="方正小标宋_GBK" w:eastAsia="方正小标宋_GBK" w:hAnsi="宋体"/>
          <w:sz w:val="44"/>
          <w:szCs w:val="44"/>
        </w:rPr>
      </w:pPr>
    </w:p>
    <w:p w:rsidR="009A6D40" w:rsidRDefault="00DC1BF7">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尉犁县市场监督管理局2024年度部门决算</w:t>
      </w:r>
    </w:p>
    <w:p w:rsidR="009A6D40" w:rsidRDefault="00DC1BF7">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9A6D40" w:rsidRDefault="00DC1BF7">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9A6D40" w:rsidRDefault="00DC1BF7">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 单位概况</w:t>
        </w:r>
      </w:hyperlink>
    </w:p>
    <w:p w:rsidR="009A6D40" w:rsidRDefault="00DC1BF7">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9A6D40" w:rsidRDefault="00DC1BF7">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二、机构设置及人员情况</w:t>
        </w:r>
      </w:hyperlink>
    </w:p>
    <w:p w:rsidR="009A6D40" w:rsidRDefault="00DC1BF7">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第二部分 部门决算情况说明</w:t>
        </w:r>
      </w:hyperlink>
    </w:p>
    <w:p w:rsidR="009A6D40" w:rsidRDefault="00DC1BF7">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9A6D40" w:rsidRDefault="00DC1BF7">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二、收入决算情况说明</w:t>
        </w:r>
      </w:hyperlink>
    </w:p>
    <w:p w:rsidR="009A6D40" w:rsidRDefault="00DC1BF7">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9A6D40" w:rsidRDefault="00DC1BF7">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9A6D40" w:rsidRDefault="00DC1BF7">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9A6D40" w:rsidRDefault="00DC1BF7">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9A6D40" w:rsidRDefault="00DC1BF7">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（二）一般公共预算财政拨款支出决算结构情况</w:t>
        </w:r>
      </w:hyperlink>
    </w:p>
    <w:p w:rsidR="009A6D40" w:rsidRDefault="00DC1BF7">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9A6D40" w:rsidRDefault="00DC1BF7">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9A6D40" w:rsidRDefault="00DC1BF7">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七、政府性基金预算财政拨款收入支出决算情况说明</w:t>
        </w:r>
      </w:hyperlink>
    </w:p>
    <w:p w:rsidR="009A6D40" w:rsidRDefault="00DC1BF7">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八、国有资本经营预算财政拨款收入支出决算情况说明</w:t>
        </w:r>
      </w:hyperlink>
    </w:p>
    <w:p w:rsidR="009A6D40" w:rsidRDefault="00DC1BF7">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九、财政拨款“三公”经费支出决算情况说明</w:t>
        </w:r>
      </w:hyperlink>
    </w:p>
    <w:p w:rsidR="009A6D40" w:rsidRDefault="00DC1BF7">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十、其他重要事项的情况说明</w:t>
        </w:r>
      </w:hyperlink>
    </w:p>
    <w:p w:rsidR="009A6D40" w:rsidRDefault="00DC1BF7">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（一）机关运行经费及公用经费支出情况</w:t>
        </w:r>
      </w:hyperlink>
    </w:p>
    <w:p w:rsidR="009A6D40" w:rsidRDefault="00DC1BF7">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9A6D40" w:rsidRDefault="00DC1BF7">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9A6D40" w:rsidRDefault="00DC1BF7">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十一、预算绩效的情况说明</w:t>
        </w:r>
      </w:hyperlink>
    </w:p>
    <w:p w:rsidR="009A6D40" w:rsidRDefault="00DC1BF7">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9A6D40" w:rsidRDefault="00DC1BF7">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第三部分 专业名词解释</w:t>
        </w:r>
      </w:hyperlink>
    </w:p>
    <w:p w:rsidR="009A6D40" w:rsidRDefault="00DC1BF7">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 部门决算报表（见附表）</w:t>
        </w:r>
      </w:hyperlink>
    </w:p>
    <w:p w:rsidR="009A6D40" w:rsidRDefault="00DC1BF7">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9A6D40" w:rsidRDefault="00DC1BF7">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9A6D40" w:rsidRDefault="00DC1BF7">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9A6D40" w:rsidRDefault="00DC1BF7">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9A6D40" w:rsidRDefault="00DC1BF7">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9A6D40" w:rsidRDefault="00DC1BF7">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9A6D40" w:rsidRDefault="00DC1BF7">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9A6D40" w:rsidRDefault="00DC1BF7">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八、《国有资本经营预算财政拨款收入支出决算表》</w:t>
        </w:r>
      </w:hyperlink>
    </w:p>
    <w:p w:rsidR="009A6D40" w:rsidRDefault="00DC1BF7">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九、《财政拨款“三公”经费支出决算表》</w:t>
        </w:r>
      </w:hyperlink>
    </w:p>
    <w:p w:rsidR="009A6D40" w:rsidRDefault="00DC1BF7">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9A6D40" w:rsidRDefault="00DC1BF7">
      <w:r>
        <w:br w:type="page"/>
      </w:r>
    </w:p>
    <w:p w:rsidR="009A6D40" w:rsidRDefault="00DC1BF7">
      <w:pPr>
        <w:spacing w:line="640" w:lineRule="exact"/>
        <w:jc w:val="center"/>
        <w:outlineLvl w:val="1"/>
      </w:pPr>
      <w:r>
        <w:rPr>
          <w:rFonts w:ascii="黑体" w:eastAsia="黑体" w:hAnsi="黑体"/>
        </w:rPr>
        <w:lastRenderedPageBreak/>
        <w:t>第一部分 单位概况</w:t>
      </w:r>
    </w:p>
    <w:p w:rsidR="009A6D40" w:rsidRDefault="00DC1BF7">
      <w:pPr>
        <w:spacing w:line="640" w:lineRule="exact"/>
        <w:ind w:firstLine="640"/>
        <w:outlineLvl w:val="2"/>
      </w:pPr>
      <w:r>
        <w:rPr>
          <w:rFonts w:ascii="黑体" w:eastAsia="黑体" w:hAnsi="黑体"/>
        </w:rPr>
        <w:t>一、主要职能</w:t>
      </w:r>
    </w:p>
    <w:p w:rsidR="009A6D40" w:rsidRDefault="00DC1BF7">
      <w:pPr>
        <w:spacing w:line="580" w:lineRule="exact"/>
        <w:ind w:firstLine="640"/>
      </w:pPr>
      <w:r>
        <w:rPr>
          <w:rFonts w:ascii="仿宋_GB2312" w:eastAsia="仿宋_GB2312" w:hAnsi="仿宋_GB2312"/>
        </w:rPr>
        <w:t>（一）负责市场综合监督、知识产权和价格监督管理。贯彻执行国家、自治区和自治州市场监督、知识产权和价格监督管理有关法律和规章，组织实施质量强县战略、食品安全战略、标准化战略和知识产权战略。规范和维护市场秩序，营造诚实守信、公平竞争的市场环境。</w:t>
      </w:r>
    </w:p>
    <w:p w:rsidR="009A6D40" w:rsidRDefault="00DC1BF7">
      <w:pPr>
        <w:spacing w:line="580" w:lineRule="exact"/>
        <w:ind w:firstLine="640"/>
      </w:pPr>
      <w:r>
        <w:rPr>
          <w:rFonts w:ascii="仿宋_GB2312" w:eastAsia="仿宋_GB2312" w:hAnsi="仿宋_GB2312"/>
        </w:rPr>
        <w:t>（二）负责市场主体的统一登记注册工作。负责全县各类企业、农民合作社和从事经营活动的单位、个体工商户及外国（地区）企业常驻代表机构等市场主体的登记注册，核定注册单位名称，审定、批准、颁发有关证照并实施监督管理，建立市场主体信息公示和共享机制，依法公示和共享有关信息，加强信用监管，推动市场主体信用体系建设。</w:t>
      </w:r>
    </w:p>
    <w:p w:rsidR="009A6D40" w:rsidRDefault="00DC1BF7">
      <w:pPr>
        <w:spacing w:line="580" w:lineRule="exact"/>
        <w:ind w:firstLine="640"/>
      </w:pPr>
      <w:r>
        <w:rPr>
          <w:rFonts w:ascii="仿宋_GB2312" w:eastAsia="仿宋_GB2312" w:hAnsi="仿宋_GB2312"/>
        </w:rPr>
        <w:t>（三）负责组织市场监管和知识产权综合执法工作。整合和建设市场监管综合执法队伍，推动实行统一的市场监管。组织查处违法案件和查处涉及市场监督管理职责范围内的违法行为。规范市场监管和知识产权行政执法行为。</w:t>
      </w:r>
    </w:p>
    <w:p w:rsidR="009A6D40" w:rsidRDefault="00DC1BF7">
      <w:pPr>
        <w:spacing w:line="580" w:lineRule="exact"/>
        <w:ind w:firstLine="640"/>
      </w:pPr>
      <w:r>
        <w:rPr>
          <w:rFonts w:ascii="仿宋_GB2312" w:eastAsia="仿宋_GB2312" w:hAnsi="仿宋_GB2312"/>
        </w:rPr>
        <w:t>（四）负责反垄断统一执法。统筹推进竞争政策实施，指导实施公平竞争审查制度。依据授权负责垄断协议、滥用市场支配地位和滥用行政权力排除、限制竞争等反垄断执法工作。依法对经营者集中行为进行反垄断监督管理。</w:t>
      </w:r>
    </w:p>
    <w:p w:rsidR="009A6D40" w:rsidRDefault="00DC1BF7">
      <w:pPr>
        <w:spacing w:line="580" w:lineRule="exact"/>
        <w:ind w:firstLine="640"/>
      </w:pPr>
      <w:r>
        <w:rPr>
          <w:rFonts w:ascii="仿宋_GB2312" w:eastAsia="仿宋_GB2312" w:hAnsi="仿宋_GB2312"/>
        </w:rPr>
        <w:lastRenderedPageBreak/>
        <w:t>（五）负责监督管理局市场秩序。承担依法规范和维护各类市场经营秩序的责任；负责监督管理市场交易行为和网络商品交易及有关服务的行为。组织查处价格收费违法违规、不正当竞争、违法直销、传销、侵犯商标专利知识产权和制售假冒伪劣商品行为。指导广告业发展，监督管理广告活动。查处无照生产经营和相关无证生产经营行为。指导尉犁县消费者协会开展消费维权工作。</w:t>
      </w:r>
    </w:p>
    <w:p w:rsidR="009A6D40" w:rsidRDefault="00DC1BF7">
      <w:pPr>
        <w:spacing w:line="580" w:lineRule="exact"/>
        <w:ind w:firstLine="640"/>
      </w:pPr>
      <w:r>
        <w:rPr>
          <w:rFonts w:ascii="仿宋_GB2312" w:eastAsia="仿宋_GB2312" w:hAnsi="仿宋_GB2312"/>
        </w:rPr>
        <w:t>（六）负责宏观质量管理。拟定并实施质量发展的制度措施。统筹质量基础设施建设与应用，会同有关部门组织实施重大工程设备质量监理制度，组织重大质量事故调查，组织实施缺陷产品召回制度，监督管理产品防伪工作。</w:t>
      </w:r>
    </w:p>
    <w:p w:rsidR="009A6D40" w:rsidRDefault="00DC1BF7">
      <w:pPr>
        <w:spacing w:line="580" w:lineRule="exact"/>
        <w:ind w:firstLine="640"/>
      </w:pPr>
      <w:r>
        <w:rPr>
          <w:rFonts w:ascii="仿宋_GB2312" w:eastAsia="仿宋_GB2312" w:hAnsi="仿宋_GB2312"/>
        </w:rPr>
        <w:t>（七）负责产品质量安全监督管理。负责全县产品质量监督抽查工作，管理产品质量安全风险监控工作。负责组织实施质量分级制度、质量安全追溯制度。负责工业产品生产许可管理。负责纤维质量监督工作。</w:t>
      </w:r>
    </w:p>
    <w:p w:rsidR="009A6D40" w:rsidRDefault="00DC1BF7">
      <w:pPr>
        <w:spacing w:line="580" w:lineRule="exact"/>
        <w:ind w:firstLine="640"/>
      </w:pPr>
      <w:r>
        <w:rPr>
          <w:rFonts w:ascii="仿宋_GB2312" w:eastAsia="仿宋_GB2312" w:hAnsi="仿宋_GB2312"/>
        </w:rPr>
        <w:t>（八）负责特种设备安全监督管理。综合管理特种设备安全监察、监督工作，监督检查高耗能特种设备节能标准和锅炉环境保护标准执行情况。</w:t>
      </w:r>
    </w:p>
    <w:p w:rsidR="009A6D40" w:rsidRDefault="00DC1BF7">
      <w:pPr>
        <w:spacing w:line="580" w:lineRule="exact"/>
        <w:ind w:firstLine="640"/>
      </w:pPr>
      <w:r>
        <w:rPr>
          <w:rFonts w:ascii="仿宋_GB2312" w:eastAsia="仿宋_GB2312" w:hAnsi="仿宋_GB2312"/>
        </w:rPr>
        <w:t>（九）负责食品安全监督管理综合协调。组织实施食品安全战略。负责食品安全应急体系建设，组织食品安全事件应急处置和调查处理工作。建立健全食品安全重要信息直报制度。</w:t>
      </w:r>
    </w:p>
    <w:p w:rsidR="009A6D40" w:rsidRDefault="00DC1BF7">
      <w:pPr>
        <w:spacing w:line="580" w:lineRule="exact"/>
        <w:ind w:firstLine="640"/>
      </w:pPr>
      <w:r>
        <w:rPr>
          <w:rFonts w:ascii="仿宋_GB2312" w:eastAsia="仿宋_GB2312" w:hAnsi="仿宋_GB2312"/>
        </w:rPr>
        <w:lastRenderedPageBreak/>
        <w:t>（十）负责食品安全监督管理。组织实施覆盖食品生产、流通、消费全过程的监督检查制度和隐患排查治理机制，防范区域性、系统性食品安全风险。推动建立食品生产经营者落实主体责任的机制，健全食品安全追溯体系。组织开展食品安全监督抽检、风险监测、核查处置和风险预警、风险交流工作。组织实施和监督管理食盐质量安全监管和特殊食品许可、备案、监管等工作。</w:t>
      </w:r>
    </w:p>
    <w:p w:rsidR="009A6D40" w:rsidRDefault="00DC1BF7">
      <w:pPr>
        <w:spacing w:line="580" w:lineRule="exact"/>
        <w:ind w:firstLine="640"/>
      </w:pPr>
      <w:r>
        <w:rPr>
          <w:rFonts w:ascii="仿宋_GB2312" w:eastAsia="仿宋_GB2312" w:hAnsi="仿宋_GB2312"/>
        </w:rPr>
        <w:t>（十一）负责统一管理计量工作。执行国家计量制度，推行国家法定计量单位，依法管理计量器具及量值传递和比对工作。规范、监督商品量和市场计量行为。</w:t>
      </w:r>
    </w:p>
    <w:p w:rsidR="009A6D40" w:rsidRDefault="00DC1BF7">
      <w:pPr>
        <w:spacing w:line="580" w:lineRule="exact"/>
        <w:ind w:firstLine="640"/>
      </w:pPr>
      <w:r>
        <w:rPr>
          <w:rFonts w:ascii="仿宋_GB2312" w:eastAsia="仿宋_GB2312" w:hAnsi="仿宋_GB2312"/>
        </w:rPr>
        <w:t>（十二）负责统一管理标准化工作。组织实施全县标准化战略和规划。组织实施国家标准、行业标准、地方标准的工作。依法协调指导和监督团体标准、企业标准制定工作。</w:t>
      </w:r>
    </w:p>
    <w:p w:rsidR="009A6D40" w:rsidRDefault="00DC1BF7">
      <w:pPr>
        <w:spacing w:line="580" w:lineRule="exact"/>
        <w:ind w:firstLine="640"/>
      </w:pPr>
      <w:r>
        <w:rPr>
          <w:rFonts w:ascii="仿宋_GB2312" w:eastAsia="仿宋_GB2312" w:hAnsi="仿宋_GB2312"/>
        </w:rPr>
        <w:t>（十三）负责统一管理检验检测工作。推进检验检测机构改革，规范检验检测市场，完善检验检测体系，指导协调检验检测行业发展。</w:t>
      </w:r>
    </w:p>
    <w:p w:rsidR="009A6D40" w:rsidRDefault="00DC1BF7">
      <w:pPr>
        <w:spacing w:line="580" w:lineRule="exact"/>
        <w:ind w:firstLine="640"/>
      </w:pPr>
      <w:r>
        <w:rPr>
          <w:rFonts w:ascii="仿宋_GB2312" w:eastAsia="仿宋_GB2312" w:hAnsi="仿宋_GB2312"/>
        </w:rPr>
        <w:t>（十四）负责统一管理、监督和综合协调认证认可工作。组织实施国家统一的认证认可和合格评定监督管理制度。</w:t>
      </w:r>
    </w:p>
    <w:p w:rsidR="009A6D40" w:rsidRDefault="00DC1BF7">
      <w:pPr>
        <w:spacing w:line="580" w:lineRule="exact"/>
        <w:ind w:firstLine="640"/>
      </w:pPr>
      <w:r>
        <w:rPr>
          <w:rFonts w:ascii="仿宋_GB2312" w:eastAsia="仿宋_GB2312" w:hAnsi="仿宋_GB2312"/>
        </w:rPr>
        <w:t>（十五）负责市场监督管理和知识产权科技与信息化建设、新闻宣传，以及对外交流合作。按规定承担技术性贸易措施有关工作。</w:t>
      </w:r>
    </w:p>
    <w:p w:rsidR="009A6D40" w:rsidRDefault="00DC1BF7">
      <w:pPr>
        <w:spacing w:line="580" w:lineRule="exact"/>
        <w:ind w:firstLine="640"/>
      </w:pPr>
      <w:r>
        <w:rPr>
          <w:rFonts w:ascii="仿宋_GB2312" w:eastAsia="仿宋_GB2312" w:hAnsi="仿宋_GB2312"/>
        </w:rPr>
        <w:t>（十六）负责促进知识产权运用。组织实施知识产权激励奖</w:t>
      </w:r>
      <w:r>
        <w:rPr>
          <w:rFonts w:ascii="仿宋_GB2312" w:eastAsia="仿宋_GB2312" w:hAnsi="仿宋_GB2312"/>
        </w:rPr>
        <w:lastRenderedPageBreak/>
        <w:t>励制度、知识产权转化运用和交易运营政策措施。负责商标、专利、原产地地理标志申请的审查、确权相关前置服务工作。指导知识产权无形资产评估、审查评议工作。指导并保护和促进知识产权服务业发展。</w:t>
      </w:r>
    </w:p>
    <w:p w:rsidR="009A6D40" w:rsidRDefault="00DC1BF7">
      <w:pPr>
        <w:spacing w:line="580" w:lineRule="exact"/>
        <w:ind w:firstLine="640"/>
      </w:pPr>
      <w:r>
        <w:rPr>
          <w:rFonts w:ascii="仿宋_GB2312" w:eastAsia="仿宋_GB2312" w:hAnsi="仿宋_GB2312"/>
        </w:rPr>
        <w:t>（十七）负责保护知识产权。组织实施严格保护商标、专利、原产地地理标志等知识产权制度措施。组织实施国家、自治区知识产权保护体系建设方案，推动建设知识产权保护体系。负责组织指导商标、专利执法工作，负责知识产权争议处理、维权援助和纠纷调处。组织指导知识产权预警和涉外保护工作。组织实施鼓励新领域、新业态、新模式创新的知识产权保护、管理和服务政策。</w:t>
      </w:r>
    </w:p>
    <w:p w:rsidR="009A6D40" w:rsidRDefault="00DC1BF7">
      <w:pPr>
        <w:spacing w:line="580" w:lineRule="exact"/>
        <w:ind w:firstLine="640"/>
      </w:pPr>
      <w:r>
        <w:rPr>
          <w:rFonts w:ascii="仿宋_GB2312" w:eastAsia="仿宋_GB2312" w:hAnsi="仿宋_GB2312"/>
        </w:rPr>
        <w:t>（十八）承担尉犁县食品安全委员会的具体工作。</w:t>
      </w:r>
    </w:p>
    <w:p w:rsidR="009A6D40" w:rsidRDefault="00DC1BF7">
      <w:pPr>
        <w:spacing w:line="640" w:lineRule="exact"/>
        <w:ind w:firstLine="640"/>
        <w:outlineLvl w:val="2"/>
      </w:pPr>
      <w:r>
        <w:rPr>
          <w:rFonts w:ascii="黑体" w:eastAsia="黑体" w:hAnsi="黑体"/>
        </w:rPr>
        <w:t>二、机构设置及人员情况</w:t>
      </w:r>
    </w:p>
    <w:p w:rsidR="009A6D40" w:rsidRDefault="00DC1BF7">
      <w:pPr>
        <w:spacing w:line="580" w:lineRule="exact"/>
        <w:ind w:firstLine="640"/>
      </w:pPr>
      <w:r>
        <w:rPr>
          <w:rFonts w:ascii="仿宋_GB2312" w:eastAsia="仿宋_GB2312" w:hAnsi="仿宋_GB2312"/>
        </w:rPr>
        <w:t>尉犁县市场监督管理局2024年度，实有人数85人，其中：在职人员50人，增加2人；离休人员0人，增加0人；退休人员35人,增加1人。</w:t>
      </w:r>
    </w:p>
    <w:p w:rsidR="009A6D40" w:rsidRDefault="00DC1BF7">
      <w:pPr>
        <w:spacing w:line="580" w:lineRule="exact"/>
        <w:ind w:firstLine="640"/>
      </w:pPr>
      <w:r>
        <w:rPr>
          <w:rFonts w:ascii="仿宋_GB2312" w:eastAsia="仿宋_GB2312" w:hAnsi="仿宋_GB2312"/>
        </w:rPr>
        <w:t>尉犁县市场监督管理局无下属预算单位，下设17个科室，分别是：办公室、政策法规室、行政许可股、食品生产流通餐饮监督管理股、药品化妆品医疗器械监督管理股、网络交易监督消费维权股、广告合同监管股、知识产权促进保护股、价格监督股、信用监督管理股、特种设备安全监察股、质量认证和标准计量监</w:t>
      </w:r>
      <w:r>
        <w:rPr>
          <w:rFonts w:ascii="仿宋_GB2312" w:eastAsia="仿宋_GB2312" w:hAnsi="仿宋_GB2312"/>
        </w:rPr>
        <w:lastRenderedPageBreak/>
        <w:t>管股、市场稽查大队、城镇市场监督管理所、乌鲁克市场监督管理所、食品安全监督执法大队、尉犁县质量与计量检测所。</w:t>
      </w:r>
    </w:p>
    <w:p w:rsidR="009A6D40" w:rsidRDefault="00DC1BF7">
      <w:r>
        <w:br w:type="page"/>
      </w:r>
    </w:p>
    <w:p w:rsidR="009A6D40" w:rsidRDefault="00DC1BF7">
      <w:pPr>
        <w:jc w:val="center"/>
        <w:outlineLvl w:val="1"/>
      </w:pPr>
      <w:r>
        <w:rPr>
          <w:rFonts w:ascii="黑体" w:eastAsia="黑体" w:hAnsi="黑体"/>
        </w:rPr>
        <w:lastRenderedPageBreak/>
        <w:t>第二部分 部门决算情况说明</w:t>
      </w:r>
    </w:p>
    <w:p w:rsidR="009A6D40" w:rsidRDefault="00DC1BF7">
      <w:pPr>
        <w:spacing w:line="640" w:lineRule="exact"/>
        <w:ind w:firstLine="640"/>
        <w:outlineLvl w:val="2"/>
      </w:pPr>
      <w:r>
        <w:rPr>
          <w:rFonts w:ascii="黑体" w:eastAsia="黑体" w:hAnsi="黑体"/>
        </w:rPr>
        <w:t>一、收入支出决算总体情况说明</w:t>
      </w:r>
    </w:p>
    <w:p w:rsidR="009A6D40" w:rsidRDefault="00DC1BF7">
      <w:pPr>
        <w:spacing w:line="580" w:lineRule="exact"/>
        <w:ind w:firstLine="640"/>
      </w:pPr>
      <w:r>
        <w:rPr>
          <w:rFonts w:ascii="仿宋_GB2312" w:eastAsia="仿宋_GB2312" w:hAnsi="仿宋_GB2312"/>
          <w:b/>
        </w:rPr>
        <w:t>2024年度收入总计907.24万元，</w:t>
      </w:r>
      <w:r>
        <w:rPr>
          <w:rFonts w:ascii="仿宋_GB2312" w:eastAsia="仿宋_GB2312" w:hAnsi="仿宋_GB2312"/>
        </w:rPr>
        <w:t>其中：本年收入合计907.24万元，使用非财政拨款结余（含专用结余）0.00万元，年初结转和结余0.00万元。</w:t>
      </w:r>
    </w:p>
    <w:p w:rsidR="009A6D40" w:rsidRDefault="00DC1BF7">
      <w:pPr>
        <w:spacing w:line="580" w:lineRule="exact"/>
        <w:ind w:firstLine="640"/>
      </w:pPr>
      <w:r>
        <w:rPr>
          <w:rFonts w:ascii="仿宋_GB2312" w:eastAsia="仿宋_GB2312" w:hAnsi="仿宋_GB2312"/>
          <w:b/>
        </w:rPr>
        <w:t>2024年度支出总计907.24万元，</w:t>
      </w:r>
      <w:r>
        <w:rPr>
          <w:rFonts w:ascii="仿宋_GB2312" w:eastAsia="仿宋_GB2312" w:hAnsi="仿宋_GB2312"/>
        </w:rPr>
        <w:t>其中：本年支出合计903.74万元，结余分配0.00万元，年末结转和结余3.50万元。</w:t>
      </w:r>
    </w:p>
    <w:p w:rsidR="009A6D40" w:rsidRDefault="00DC1BF7">
      <w:pPr>
        <w:spacing w:line="580" w:lineRule="exact"/>
        <w:ind w:firstLine="640"/>
      </w:pPr>
      <w:r>
        <w:rPr>
          <w:rFonts w:ascii="仿宋_GB2312" w:eastAsia="仿宋_GB2312" w:hAnsi="仿宋_GB2312"/>
        </w:rPr>
        <w:t>收入支出总体与上年相比，增加24.35万元，增长2.76%，主要原因是：本年在职人员增加，在职人员工资调增、社保、公积金基数调增，人员经费增加。本年增加2024年中央食品药品监管补助、2024年质量安全、食品抽检经费，导致经费较上年增加。</w:t>
      </w:r>
    </w:p>
    <w:p w:rsidR="009A6D40" w:rsidRDefault="00DC1BF7">
      <w:pPr>
        <w:spacing w:line="640" w:lineRule="exact"/>
        <w:ind w:firstLine="640"/>
        <w:outlineLvl w:val="2"/>
      </w:pPr>
      <w:r>
        <w:rPr>
          <w:rFonts w:ascii="黑体" w:eastAsia="黑体" w:hAnsi="黑体"/>
        </w:rPr>
        <w:t>二、收入决算情况说明</w:t>
      </w:r>
    </w:p>
    <w:p w:rsidR="009A6D40" w:rsidRDefault="00DC1BF7">
      <w:pPr>
        <w:spacing w:line="580" w:lineRule="exact"/>
        <w:ind w:firstLine="640"/>
      </w:pPr>
      <w:r>
        <w:rPr>
          <w:rFonts w:ascii="仿宋_GB2312" w:eastAsia="仿宋_GB2312" w:hAnsi="仿宋_GB2312"/>
          <w:b/>
        </w:rPr>
        <w:t>本年收入907.24万元，</w:t>
      </w:r>
      <w:r>
        <w:rPr>
          <w:rFonts w:ascii="仿宋_GB2312" w:eastAsia="仿宋_GB2312" w:hAnsi="仿宋_GB2312"/>
        </w:rPr>
        <w:t>其中：财政拨款收入903.74万元，占99.61%；上级补助收入0.00万元，占0.00%；事业收入0.00万元，占0.00%；经营收入0.00万元，占0.00%；附属单位上缴收入0.00万元，占0.00%；其他收入3.50万元，占0.39%。</w:t>
      </w:r>
    </w:p>
    <w:p w:rsidR="009A6D40" w:rsidRDefault="00DC1BF7">
      <w:pPr>
        <w:spacing w:line="640" w:lineRule="exact"/>
        <w:ind w:firstLine="640"/>
        <w:outlineLvl w:val="2"/>
      </w:pPr>
      <w:r>
        <w:rPr>
          <w:rFonts w:ascii="黑体" w:eastAsia="黑体" w:hAnsi="黑体"/>
        </w:rPr>
        <w:t>三、支出决算情况说明</w:t>
      </w:r>
    </w:p>
    <w:p w:rsidR="009A6D40" w:rsidRDefault="00DC1BF7">
      <w:pPr>
        <w:spacing w:line="580" w:lineRule="exact"/>
        <w:ind w:firstLine="640"/>
      </w:pPr>
      <w:r>
        <w:rPr>
          <w:rFonts w:ascii="仿宋_GB2312" w:eastAsia="仿宋_GB2312" w:hAnsi="仿宋_GB2312"/>
          <w:b/>
        </w:rPr>
        <w:t>本年支出903.74万元，</w:t>
      </w:r>
      <w:r>
        <w:rPr>
          <w:rFonts w:ascii="仿宋_GB2312" w:eastAsia="仿宋_GB2312" w:hAnsi="仿宋_GB2312"/>
        </w:rPr>
        <w:t>其中：基本支出854.31万元，占94.53%；项目支出49.43万元，占5.47%；上缴上级支出0.00万元，占0.00%；经营支出0.00万元，占0.00%；对附属单位补助</w:t>
      </w:r>
      <w:r>
        <w:rPr>
          <w:rFonts w:ascii="仿宋_GB2312" w:eastAsia="仿宋_GB2312" w:hAnsi="仿宋_GB2312"/>
        </w:rPr>
        <w:lastRenderedPageBreak/>
        <w:t>支出0.00万元，占0.00%。</w:t>
      </w:r>
    </w:p>
    <w:p w:rsidR="009A6D40" w:rsidRDefault="00DC1BF7">
      <w:pPr>
        <w:spacing w:line="640" w:lineRule="exact"/>
        <w:ind w:firstLine="640"/>
        <w:outlineLvl w:val="2"/>
      </w:pPr>
      <w:r>
        <w:rPr>
          <w:rFonts w:ascii="黑体" w:eastAsia="黑体" w:hAnsi="黑体"/>
        </w:rPr>
        <w:t>四、财政拨款收入支出决算总体情况说明</w:t>
      </w:r>
    </w:p>
    <w:p w:rsidR="009A6D40" w:rsidRDefault="00DC1BF7">
      <w:pPr>
        <w:spacing w:line="580" w:lineRule="exact"/>
        <w:ind w:firstLine="640"/>
      </w:pPr>
      <w:r>
        <w:rPr>
          <w:rFonts w:ascii="仿宋_GB2312" w:eastAsia="仿宋_GB2312" w:hAnsi="仿宋_GB2312"/>
          <w:b/>
        </w:rPr>
        <w:t>2024年度财政拨款收入总计903.74万元，</w:t>
      </w:r>
      <w:r>
        <w:rPr>
          <w:rFonts w:ascii="仿宋_GB2312" w:eastAsia="仿宋_GB2312" w:hAnsi="仿宋_GB2312"/>
        </w:rPr>
        <w:t>其中：年初财政拨款结转和结余0.00万元，本年财政拨款收入903.74万元。</w:t>
      </w:r>
      <w:r>
        <w:rPr>
          <w:rFonts w:ascii="仿宋_GB2312" w:eastAsia="仿宋_GB2312" w:hAnsi="仿宋_GB2312"/>
          <w:b/>
        </w:rPr>
        <w:t>财政拨款支出总计903.74万元，</w:t>
      </w:r>
      <w:r>
        <w:rPr>
          <w:rFonts w:ascii="仿宋_GB2312" w:eastAsia="仿宋_GB2312" w:hAnsi="仿宋_GB2312"/>
        </w:rPr>
        <w:t>其中：年末财政拨款结转和结余0.00万元，本年财政拨款支出903.74万元。</w:t>
      </w:r>
    </w:p>
    <w:p w:rsidR="009A6D40" w:rsidRDefault="00DC1BF7">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69.10万元，增长8.28%，主要原因是：本年在职人员增加，在职人员工资调增、社保、公积金基数调增，人员经费增加。本年增加2024年中央食品药品监管补助、2024年质量安全、食品抽检经费，导致经费较上年增加。</w:t>
      </w:r>
      <w:r>
        <w:rPr>
          <w:rFonts w:ascii="仿宋_GB2312" w:eastAsia="仿宋_GB2312" w:hAnsi="仿宋_GB2312"/>
          <w:b/>
        </w:rPr>
        <w:t>与年初预算相比，</w:t>
      </w:r>
      <w:r>
        <w:rPr>
          <w:rFonts w:ascii="仿宋_GB2312" w:eastAsia="仿宋_GB2312" w:hAnsi="仿宋_GB2312"/>
        </w:rPr>
        <w:t>年初预算数852.54万元，决算数903.74万元，预决算差异率6.01%，主要原因是：本年在职人员增加，年中追加人员经费及人员工资、社保、公积金基数调增部分资金，导致预决算存在差异。年中追加2024年中央食品药品监管补助、2024年质量安全、食品抽检经费，导致预决算存在差异。</w:t>
      </w:r>
    </w:p>
    <w:p w:rsidR="009A6D40" w:rsidRDefault="00DC1BF7">
      <w:pPr>
        <w:spacing w:line="640" w:lineRule="exact"/>
        <w:ind w:firstLine="640"/>
        <w:outlineLvl w:val="2"/>
      </w:pPr>
      <w:r>
        <w:rPr>
          <w:rFonts w:ascii="黑体" w:eastAsia="黑体" w:hAnsi="黑体"/>
        </w:rPr>
        <w:t>五、一般公共预算财政拨款支出决算情况说明</w:t>
      </w:r>
    </w:p>
    <w:p w:rsidR="009A6D40" w:rsidRDefault="00DC1BF7">
      <w:pPr>
        <w:spacing w:line="640" w:lineRule="exact"/>
        <w:ind w:firstLine="640"/>
        <w:outlineLvl w:val="3"/>
      </w:pPr>
      <w:r>
        <w:rPr>
          <w:rFonts w:ascii="楷体_GB2312" w:eastAsia="楷体_GB2312" w:hAnsi="楷体_GB2312"/>
          <w:b/>
        </w:rPr>
        <w:t>（一）一般公共预算财政拨款支出决算总体情况</w:t>
      </w:r>
    </w:p>
    <w:p w:rsidR="009A6D40" w:rsidRDefault="00DC1BF7">
      <w:pPr>
        <w:spacing w:line="580" w:lineRule="exact"/>
        <w:ind w:firstLine="640"/>
      </w:pPr>
      <w:r>
        <w:rPr>
          <w:rFonts w:ascii="仿宋_GB2312" w:eastAsia="仿宋_GB2312" w:hAnsi="仿宋_GB2312"/>
          <w:b/>
        </w:rPr>
        <w:t>2024年度一般公共预算财政拨款支出903.74万元，</w:t>
      </w:r>
      <w:r>
        <w:rPr>
          <w:rFonts w:ascii="仿宋_GB2312" w:eastAsia="仿宋_GB2312" w:hAnsi="仿宋_GB2312"/>
        </w:rPr>
        <w:t>占本年支出合计的100.00%。</w:t>
      </w:r>
      <w:r>
        <w:rPr>
          <w:rFonts w:ascii="仿宋_GB2312" w:eastAsia="仿宋_GB2312" w:hAnsi="仿宋_GB2312"/>
          <w:b/>
        </w:rPr>
        <w:t>与上年相比，</w:t>
      </w:r>
      <w:r>
        <w:rPr>
          <w:rFonts w:ascii="仿宋_GB2312" w:eastAsia="仿宋_GB2312" w:hAnsi="仿宋_GB2312"/>
        </w:rPr>
        <w:t>增加69.10万元，增长8.28%，主要原因是：本年在职人员增加，在职人员工资调增、社保、公</w:t>
      </w:r>
      <w:r>
        <w:rPr>
          <w:rFonts w:ascii="仿宋_GB2312" w:eastAsia="仿宋_GB2312" w:hAnsi="仿宋_GB2312"/>
        </w:rPr>
        <w:lastRenderedPageBreak/>
        <w:t>积金基数调增，人员经费增加。本年增加2024年中央食品药品监管补助、2024年质量安全、食品抽检经费，导致经费较上年增加。</w:t>
      </w:r>
      <w:r>
        <w:rPr>
          <w:rFonts w:ascii="仿宋_GB2312" w:eastAsia="仿宋_GB2312" w:hAnsi="仿宋_GB2312"/>
          <w:b/>
        </w:rPr>
        <w:t>与年初预算相比,</w:t>
      </w:r>
      <w:r>
        <w:rPr>
          <w:rFonts w:ascii="仿宋_GB2312" w:eastAsia="仿宋_GB2312" w:hAnsi="仿宋_GB2312"/>
        </w:rPr>
        <w:t>年初预算数852.54万元，决算数903.74万元，预决算差异率6.01%，主要原因是：本年在职人员增加，年中追加人员经费及人员工资、社保、公积金基数调增部分资金，导致预决算存在差异。年中追加2024年中央食品药品监管补助、2024年质量安全、食品抽检经费，导致预决算存在差异。</w:t>
      </w:r>
    </w:p>
    <w:p w:rsidR="009A6D40" w:rsidRDefault="00DC1BF7">
      <w:pPr>
        <w:spacing w:line="640" w:lineRule="exact"/>
        <w:ind w:firstLine="640"/>
        <w:outlineLvl w:val="3"/>
      </w:pPr>
      <w:r>
        <w:rPr>
          <w:rFonts w:ascii="楷体_GB2312" w:eastAsia="楷体_GB2312" w:hAnsi="楷体_GB2312"/>
          <w:b/>
        </w:rPr>
        <w:t>（二）一般公共预算财政拨款支出决算结构情况</w:t>
      </w:r>
    </w:p>
    <w:p w:rsidR="009A6D40" w:rsidRDefault="00DC1BF7">
      <w:pPr>
        <w:spacing w:line="580" w:lineRule="exact"/>
        <w:ind w:firstLine="640"/>
      </w:pPr>
      <w:r>
        <w:rPr>
          <w:rFonts w:ascii="仿宋_GB2312" w:eastAsia="仿宋_GB2312" w:hAnsi="仿宋_GB2312"/>
        </w:rPr>
        <w:t>1.一般公共服务支出(类)655.88万元,占72.57%。</w:t>
      </w:r>
    </w:p>
    <w:p w:rsidR="009A6D40" w:rsidRDefault="00DC1BF7">
      <w:pPr>
        <w:spacing w:line="580" w:lineRule="exact"/>
        <w:ind w:firstLine="640"/>
      </w:pPr>
      <w:r>
        <w:rPr>
          <w:rFonts w:ascii="仿宋_GB2312" w:eastAsia="仿宋_GB2312" w:hAnsi="仿宋_GB2312"/>
        </w:rPr>
        <w:t>2.教育支出(类)1.20万元,占0.13%。</w:t>
      </w:r>
    </w:p>
    <w:p w:rsidR="009A6D40" w:rsidRDefault="00DC1BF7">
      <w:pPr>
        <w:spacing w:line="580" w:lineRule="exact"/>
        <w:ind w:firstLine="640"/>
      </w:pPr>
      <w:r>
        <w:rPr>
          <w:rFonts w:ascii="仿宋_GB2312" w:eastAsia="仿宋_GB2312" w:hAnsi="仿宋_GB2312"/>
        </w:rPr>
        <w:t>3.社会保障和就业支出(类)128.88万元,占14.26%。</w:t>
      </w:r>
    </w:p>
    <w:p w:rsidR="009A6D40" w:rsidRDefault="00DC1BF7">
      <w:pPr>
        <w:spacing w:line="580" w:lineRule="exact"/>
        <w:ind w:firstLine="640"/>
      </w:pPr>
      <w:r>
        <w:rPr>
          <w:rFonts w:ascii="仿宋_GB2312" w:eastAsia="仿宋_GB2312" w:hAnsi="仿宋_GB2312"/>
        </w:rPr>
        <w:t>4.卫生健康支出(类)52.38万元,占5.80%。</w:t>
      </w:r>
    </w:p>
    <w:p w:rsidR="009A6D40" w:rsidRDefault="00DC1BF7">
      <w:pPr>
        <w:spacing w:line="580" w:lineRule="exact"/>
        <w:ind w:firstLine="640"/>
      </w:pPr>
      <w:r>
        <w:rPr>
          <w:rFonts w:ascii="仿宋_GB2312" w:eastAsia="仿宋_GB2312" w:hAnsi="仿宋_GB2312"/>
        </w:rPr>
        <w:t>5.住房保障支出(类)65.39万元,占7.24%。</w:t>
      </w:r>
    </w:p>
    <w:p w:rsidR="009A6D40" w:rsidRDefault="00DC1BF7">
      <w:pPr>
        <w:spacing w:line="640" w:lineRule="exact"/>
        <w:ind w:firstLine="640"/>
        <w:outlineLvl w:val="3"/>
      </w:pPr>
      <w:r>
        <w:rPr>
          <w:rFonts w:ascii="楷体_GB2312" w:eastAsia="楷体_GB2312" w:hAnsi="楷体_GB2312"/>
          <w:b/>
        </w:rPr>
        <w:t>（三）一般公共预算财政拨款支出决算具体情况</w:t>
      </w:r>
    </w:p>
    <w:p w:rsidR="009A6D40" w:rsidRDefault="00DC1BF7">
      <w:pPr>
        <w:spacing w:line="580" w:lineRule="exact"/>
        <w:ind w:firstLine="640"/>
      </w:pPr>
      <w:r>
        <w:rPr>
          <w:rFonts w:ascii="仿宋_GB2312" w:eastAsia="仿宋_GB2312" w:hAnsi="仿宋_GB2312"/>
        </w:rPr>
        <w:t>1.一般公共服务支出(类)组织事务(款)其他组织事务支出(项):支出决算数为4.49万元，比上年决算增加4.49万元，增长100.00%,主要原因是：本年功能科目调整，工作队和退休干部慰问经费上年在行政运行科目列支，本年在其他组织事务支出科目列支，导致经费较上年增加。</w:t>
      </w:r>
    </w:p>
    <w:p w:rsidR="009A6D40" w:rsidRDefault="00DC1BF7">
      <w:pPr>
        <w:spacing w:line="580" w:lineRule="exact"/>
        <w:ind w:firstLine="640"/>
      </w:pPr>
      <w:r>
        <w:rPr>
          <w:rFonts w:ascii="仿宋_GB2312" w:eastAsia="仿宋_GB2312" w:hAnsi="仿宋_GB2312"/>
        </w:rPr>
        <w:t>2.一般公共服务支出(类)市场监督管理事务(款)行政运行(项):支出决算数为503.64万元，比上年决算减少13.87万元，下</w:t>
      </w:r>
      <w:r>
        <w:rPr>
          <w:rFonts w:ascii="仿宋_GB2312" w:eastAsia="仿宋_GB2312" w:hAnsi="仿宋_GB2312"/>
        </w:rPr>
        <w:lastRenderedPageBreak/>
        <w:t>降2.68%,主要原因是：本年减少</w:t>
      </w:r>
      <w:proofErr w:type="gramStart"/>
      <w:r>
        <w:rPr>
          <w:rFonts w:ascii="仿宋_GB2312" w:eastAsia="仿宋_GB2312" w:hAnsi="仿宋_GB2312"/>
        </w:rPr>
        <w:t>创城抽检</w:t>
      </w:r>
      <w:proofErr w:type="gramEnd"/>
      <w:r>
        <w:rPr>
          <w:rFonts w:ascii="仿宋_GB2312" w:eastAsia="仿宋_GB2312" w:hAnsi="仿宋_GB2312"/>
        </w:rPr>
        <w:t>经费支出。本年功能科目调整，工作队和退休干部慰问经费上年在行政运行科目列支，本年在其他组织事务支出科目列支，导致经费较上年减少。</w:t>
      </w:r>
    </w:p>
    <w:p w:rsidR="009A6D40" w:rsidRDefault="00DC1BF7">
      <w:pPr>
        <w:spacing w:line="580" w:lineRule="exact"/>
        <w:ind w:firstLine="640"/>
      </w:pPr>
      <w:r>
        <w:rPr>
          <w:rFonts w:ascii="仿宋_GB2312" w:eastAsia="仿宋_GB2312" w:hAnsi="仿宋_GB2312"/>
        </w:rPr>
        <w:t>3.一般公共服务支出(类)市场监督管理事务(款)药品事务(项):支出决算数为6.50万元，比上年决算增加4.00万元，增长160.00%,主要原因是：本年增加自治区药品抽检经费，导致经费较上年增加。</w:t>
      </w:r>
    </w:p>
    <w:p w:rsidR="009A6D40" w:rsidRDefault="00DC1BF7">
      <w:pPr>
        <w:spacing w:line="580" w:lineRule="exact"/>
        <w:ind w:firstLine="640"/>
      </w:pPr>
      <w:r>
        <w:rPr>
          <w:rFonts w:ascii="仿宋_GB2312" w:eastAsia="仿宋_GB2312" w:hAnsi="仿宋_GB2312"/>
        </w:rPr>
        <w:t>4.一般公共服务支出(类)市场监督管理事务(款)质量安全监管(项):支出决算数为0.95万元，比上年决算增加0.95万元，增长100.00%,主要原因是：本年增加2024年质量安全、食品抽检经费，导致经费较上年增加。</w:t>
      </w:r>
    </w:p>
    <w:p w:rsidR="009A6D40" w:rsidRDefault="00DC1BF7">
      <w:pPr>
        <w:spacing w:line="580" w:lineRule="exact"/>
        <w:ind w:firstLine="640"/>
      </w:pPr>
      <w:r>
        <w:rPr>
          <w:rFonts w:ascii="仿宋_GB2312" w:eastAsia="仿宋_GB2312" w:hAnsi="仿宋_GB2312"/>
        </w:rPr>
        <w:t>5.一般公共服务支出(类)市场监督管理事务(款)食品安全监管(项):支出决算数为19.60万元，比上年决算增加19.60万元，增长100.00%,主要原因是：本年增加2024年中央食品药品监管补助、2024年质量安全、食品抽检经费，导致经费较上年增加。</w:t>
      </w:r>
    </w:p>
    <w:p w:rsidR="009A6D40" w:rsidRDefault="00DC1BF7">
      <w:pPr>
        <w:spacing w:line="580" w:lineRule="exact"/>
        <w:ind w:firstLine="640"/>
      </w:pPr>
      <w:r>
        <w:rPr>
          <w:rFonts w:ascii="仿宋_GB2312" w:eastAsia="仿宋_GB2312" w:hAnsi="仿宋_GB2312"/>
        </w:rPr>
        <w:t>6.一般公共服务支出(类)市场监督管理事务(款)事业运行(项):支出决算数为102.17万元，比上年决算减少12.83万元，下降11.16%,主要原因是：本年功能科目调整，部分人员奖金上年在事业运行科目列支，本年在行政运行支出科目列支，导致经费较上年减少。</w:t>
      </w:r>
    </w:p>
    <w:p w:rsidR="009A6D40" w:rsidRDefault="00DC1BF7">
      <w:pPr>
        <w:spacing w:line="580" w:lineRule="exact"/>
        <w:ind w:firstLine="640"/>
      </w:pPr>
      <w:r>
        <w:rPr>
          <w:rFonts w:ascii="仿宋_GB2312" w:eastAsia="仿宋_GB2312" w:hAnsi="仿宋_GB2312"/>
        </w:rPr>
        <w:t>7.一般公共服务支出(类)市场监督管理事务(款)其他市场监</w:t>
      </w:r>
      <w:r>
        <w:rPr>
          <w:rFonts w:ascii="仿宋_GB2312" w:eastAsia="仿宋_GB2312" w:hAnsi="仿宋_GB2312"/>
        </w:rPr>
        <w:lastRenderedPageBreak/>
        <w:t>督管理事务(项):支出决算数为18.52万元，比上年决算增加18.52万元，增长100.00%,主要原因是：本年增加质量技术监督局产权</w:t>
      </w:r>
      <w:proofErr w:type="gramStart"/>
      <w:r>
        <w:rPr>
          <w:rFonts w:ascii="仿宋_GB2312" w:eastAsia="仿宋_GB2312" w:hAnsi="仿宋_GB2312"/>
        </w:rPr>
        <w:t>证相关</w:t>
      </w:r>
      <w:proofErr w:type="gramEnd"/>
      <w:r>
        <w:rPr>
          <w:rFonts w:ascii="仿宋_GB2312" w:eastAsia="仿宋_GB2312" w:hAnsi="仿宋_GB2312"/>
        </w:rPr>
        <w:t>资金，导致经费较上年增加。</w:t>
      </w:r>
    </w:p>
    <w:p w:rsidR="009A6D40" w:rsidRDefault="00DC1BF7">
      <w:pPr>
        <w:spacing w:line="580" w:lineRule="exact"/>
        <w:ind w:firstLine="640"/>
      </w:pPr>
      <w:r>
        <w:rPr>
          <w:rFonts w:ascii="仿宋_GB2312" w:eastAsia="仿宋_GB2312" w:hAnsi="仿宋_GB2312"/>
        </w:rPr>
        <w:t>8.教育支出(类)进修及培训(款)培训支出(项):支出决算数为1.20万元，比上年决算增加0.00万元，增长0.00%,主要原因是：本年培训费用与上年一致无变化。</w:t>
      </w:r>
    </w:p>
    <w:p w:rsidR="009A6D40" w:rsidRDefault="00DC1BF7">
      <w:pPr>
        <w:spacing w:line="580" w:lineRule="exact"/>
        <w:ind w:firstLine="640"/>
      </w:pPr>
      <w:r>
        <w:rPr>
          <w:rFonts w:ascii="仿宋_GB2312" w:eastAsia="仿宋_GB2312" w:hAnsi="仿宋_GB2312"/>
        </w:rPr>
        <w:t>9.社会保障和就业支出(类)行政事业单位养老支出(款)行政单位离退休(项):支出决算数为26.53万元，比上年决算增加5.96万元，增长28.97%,主要原因是：1.2024年度退休人员增加1人，增加退休人员经费；2.发放退休人员绩效奖，退休经费增加。</w:t>
      </w:r>
    </w:p>
    <w:p w:rsidR="009A6D40" w:rsidRDefault="00DC1BF7">
      <w:pPr>
        <w:spacing w:line="580" w:lineRule="exact"/>
        <w:ind w:firstLine="640"/>
      </w:pPr>
      <w:r>
        <w:rPr>
          <w:rFonts w:ascii="仿宋_GB2312" w:eastAsia="仿宋_GB2312" w:hAnsi="仿宋_GB2312"/>
        </w:rPr>
        <w:t>10.社会保障和就业支出(类)行政事业单位养老支出(款)机关事业单位基本养老保险缴费支出(项):支出决算数为86.78万元，比上年决算增加13.65万元，增长18.67%,主要原因是：本年在职人员工资基数调增，养老缴费基数上涨，相应支出增加。</w:t>
      </w:r>
    </w:p>
    <w:p w:rsidR="009A6D40" w:rsidRDefault="00DC1BF7">
      <w:pPr>
        <w:spacing w:line="580" w:lineRule="exact"/>
        <w:ind w:firstLine="640"/>
      </w:pPr>
      <w:r>
        <w:rPr>
          <w:rFonts w:ascii="仿宋_GB2312" w:eastAsia="仿宋_GB2312" w:hAnsi="仿宋_GB2312"/>
        </w:rPr>
        <w:t>11.社会保障和就业支出(类)行政事业单位养老支出(款)机关事业单位职业年金缴费支出(项):支出决算数为15.56万元，比上年决算增加8.95万元，增长135.40%,主要原因是：2024年退休人员增加，职业年金增加。</w:t>
      </w:r>
    </w:p>
    <w:p w:rsidR="009A6D40" w:rsidRDefault="00DC1BF7">
      <w:pPr>
        <w:spacing w:line="580" w:lineRule="exact"/>
        <w:ind w:firstLine="640"/>
      </w:pPr>
      <w:r>
        <w:rPr>
          <w:rFonts w:ascii="仿宋_GB2312" w:eastAsia="仿宋_GB2312" w:hAnsi="仿宋_GB2312"/>
        </w:rPr>
        <w:t>12.卫生健康支出(类)行政事业单位医疗(款)行政单位医疗(项):支出决算数为39.32万元，比上年决算增加5.88万元，增长17.58%,主要原因是：本年在职人员工资基数调增，医疗缴费基</w:t>
      </w:r>
      <w:r>
        <w:rPr>
          <w:rFonts w:ascii="仿宋_GB2312" w:eastAsia="仿宋_GB2312" w:hAnsi="仿宋_GB2312"/>
        </w:rPr>
        <w:lastRenderedPageBreak/>
        <w:t>数上涨，相应支出增加。</w:t>
      </w:r>
    </w:p>
    <w:p w:rsidR="009A6D40" w:rsidRDefault="00DC1BF7">
      <w:pPr>
        <w:spacing w:line="580" w:lineRule="exact"/>
        <w:ind w:firstLine="640"/>
      </w:pPr>
      <w:r>
        <w:rPr>
          <w:rFonts w:ascii="仿宋_GB2312" w:eastAsia="仿宋_GB2312" w:hAnsi="仿宋_GB2312"/>
        </w:rPr>
        <w:t>13.卫生健康支出(类)行政事业单位医疗(款)公务员医疗补助(项):支出决算数为13.06万元，比上年决算增加2.32万元，增长21.60%,主要原因是：本年在职人员工资基数调增，医疗缴费基数上涨，相应支出增加。</w:t>
      </w:r>
    </w:p>
    <w:p w:rsidR="009A6D40" w:rsidRDefault="00DC1BF7">
      <w:pPr>
        <w:spacing w:line="580" w:lineRule="exact"/>
        <w:ind w:firstLine="640"/>
      </w:pPr>
      <w:r>
        <w:rPr>
          <w:rFonts w:ascii="仿宋_GB2312" w:eastAsia="仿宋_GB2312" w:hAnsi="仿宋_GB2312"/>
        </w:rPr>
        <w:t>14.住房保障支出(类)住房改革支出(款)住房公积金(项):支出决算数为65.39万元，比上年决算增加11.44万元，增长21.20%,主要原因是：本年在职人员工资基数调增，公积金缴费基数上涨，相应支出增加。</w:t>
      </w:r>
    </w:p>
    <w:p w:rsidR="009A6D40" w:rsidRDefault="00DC1BF7">
      <w:pPr>
        <w:spacing w:line="640" w:lineRule="exact"/>
        <w:ind w:firstLine="640"/>
        <w:outlineLvl w:val="2"/>
      </w:pPr>
      <w:r>
        <w:rPr>
          <w:rFonts w:ascii="黑体" w:eastAsia="黑体" w:hAnsi="黑体"/>
        </w:rPr>
        <w:t>六、一般公共预算财政拨款基本支出决算情况说明</w:t>
      </w:r>
    </w:p>
    <w:p w:rsidR="009A6D40" w:rsidRDefault="00DC1BF7">
      <w:pPr>
        <w:spacing w:line="580" w:lineRule="exact"/>
        <w:ind w:firstLine="640"/>
      </w:pPr>
      <w:r>
        <w:rPr>
          <w:rFonts w:ascii="仿宋_GB2312" w:eastAsia="仿宋_GB2312" w:hAnsi="仿宋_GB2312"/>
        </w:rPr>
        <w:t>2024年度一般公共预算财政拨款基本支出854.31万元，其中：</w:t>
      </w:r>
      <w:r>
        <w:rPr>
          <w:rFonts w:ascii="仿宋_GB2312" w:eastAsia="仿宋_GB2312" w:hAnsi="仿宋_GB2312"/>
          <w:b/>
        </w:rPr>
        <w:t>人员经费814.52万元，</w:t>
      </w:r>
      <w:r>
        <w:rPr>
          <w:rFonts w:ascii="仿宋_GB2312" w:eastAsia="仿宋_GB2312" w:hAnsi="仿宋_GB2312"/>
        </w:rPr>
        <w:t>包括：基本工资、津贴补贴、奖金、机关事业单位基本养老保险缴费、职业年金缴费、职工基本医疗保险缴费、公务员医疗补助缴费、其他社会保障缴费、住房公积金、医疗费、退休费、抚恤金、生活补助、奖励金、其他对个人和家庭的补助。</w:t>
      </w:r>
    </w:p>
    <w:p w:rsidR="009A6D40" w:rsidRDefault="00DC1BF7">
      <w:pPr>
        <w:spacing w:line="580" w:lineRule="exact"/>
        <w:ind w:firstLine="640"/>
      </w:pPr>
      <w:r>
        <w:rPr>
          <w:rFonts w:ascii="仿宋_GB2312" w:eastAsia="仿宋_GB2312" w:hAnsi="仿宋_GB2312"/>
          <w:b/>
        </w:rPr>
        <w:t>公用经费39.79万元，</w:t>
      </w:r>
      <w:r>
        <w:rPr>
          <w:rFonts w:ascii="仿宋_GB2312" w:eastAsia="仿宋_GB2312" w:hAnsi="仿宋_GB2312"/>
        </w:rPr>
        <w:t>包括：办公费、水费、电费、邮电费、取暖费、差旅费、培训费、工会经费、福利费、公务用车运行维护费、其他商品和服务支出。</w:t>
      </w:r>
    </w:p>
    <w:p w:rsidR="009A6D40" w:rsidRDefault="00DC1BF7">
      <w:pPr>
        <w:spacing w:line="640" w:lineRule="exact"/>
        <w:ind w:firstLine="640"/>
        <w:outlineLvl w:val="2"/>
      </w:pPr>
      <w:r>
        <w:rPr>
          <w:rFonts w:ascii="黑体" w:eastAsia="黑体" w:hAnsi="黑体"/>
        </w:rPr>
        <w:t>七、政府性基金预算财政拨款收入支出决算情况说明</w:t>
      </w:r>
    </w:p>
    <w:p w:rsidR="009A6D40" w:rsidRDefault="00DC1BF7">
      <w:pPr>
        <w:spacing w:line="580" w:lineRule="exact"/>
        <w:ind w:firstLine="640"/>
      </w:pPr>
      <w:r>
        <w:rPr>
          <w:rFonts w:ascii="仿宋_GB2312" w:eastAsia="仿宋_GB2312" w:hAnsi="仿宋_GB2312"/>
        </w:rPr>
        <w:t>本单位本年度无政府性基金预算财政拨款收入、支出及结转</w:t>
      </w:r>
      <w:r>
        <w:rPr>
          <w:rFonts w:ascii="仿宋_GB2312" w:eastAsia="仿宋_GB2312" w:hAnsi="仿宋_GB2312"/>
        </w:rPr>
        <w:lastRenderedPageBreak/>
        <w:t>和结余，政府性基金预算财政拨款收入支出决算表为空表。</w:t>
      </w:r>
    </w:p>
    <w:p w:rsidR="009A6D40" w:rsidRDefault="00DC1BF7">
      <w:pPr>
        <w:spacing w:line="640" w:lineRule="exact"/>
        <w:ind w:firstLine="640"/>
        <w:outlineLvl w:val="2"/>
      </w:pPr>
      <w:r>
        <w:rPr>
          <w:rFonts w:ascii="黑体" w:eastAsia="黑体" w:hAnsi="黑体"/>
        </w:rPr>
        <w:t>八、国有资本经营预算财政拨款收入支出决算情况说明</w:t>
      </w:r>
    </w:p>
    <w:p w:rsidR="009A6D40" w:rsidRDefault="00DC1BF7">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9A6D40" w:rsidRDefault="00DC1BF7">
      <w:pPr>
        <w:spacing w:line="640" w:lineRule="exact"/>
        <w:ind w:firstLine="640"/>
        <w:outlineLvl w:val="2"/>
      </w:pPr>
      <w:r>
        <w:rPr>
          <w:rFonts w:ascii="黑体" w:eastAsia="黑体" w:hAnsi="黑体"/>
        </w:rPr>
        <w:t>九、财政拨款“三公”经费支出决算情况说明</w:t>
      </w:r>
    </w:p>
    <w:p w:rsidR="009A6D40" w:rsidRDefault="00DC1BF7">
      <w:pPr>
        <w:spacing w:line="580" w:lineRule="exact"/>
        <w:ind w:firstLine="640"/>
      </w:pPr>
      <w:r>
        <w:rPr>
          <w:rFonts w:ascii="仿宋_GB2312" w:eastAsia="仿宋_GB2312" w:hAnsi="仿宋_GB2312"/>
          <w:b/>
        </w:rPr>
        <w:t>2024年度财政拨款“三公”经费支出5.25万元，</w:t>
      </w:r>
      <w:r>
        <w:rPr>
          <w:rFonts w:ascii="仿宋_GB2312" w:eastAsia="仿宋_GB2312" w:hAnsi="仿宋_GB2312"/>
        </w:rPr>
        <w:t>比上年减少3.48万元，下降39.86%，主要原因是：2024年度我局车辆减少2辆，减少公务用车运行维护费。其中：因公出国（境）费支出0.00万元，占0.00%，比上年增加0.00万元，增长0.00%，主要原因是：2023年与2024年均未安排因公出国（境）费支出。公务用车购置及运行维护费支出5.25万元，占100.00%，比上年减少3.48万元，下降39.86%，主要原因是：2024年度我局车辆减少2辆，减少公务用车运行维护费。公务接待费支出0.00万元，占0.00%，比上年增加0.00万元，增长0.00%，主要原因是：2023年与2024年均未安排公务接待费支出。</w:t>
      </w:r>
    </w:p>
    <w:p w:rsidR="009A6D40" w:rsidRDefault="00DC1BF7">
      <w:pPr>
        <w:spacing w:line="580" w:lineRule="exact"/>
        <w:ind w:firstLine="640"/>
      </w:pPr>
      <w:r>
        <w:rPr>
          <w:rFonts w:ascii="仿宋_GB2312" w:eastAsia="仿宋_GB2312" w:hAnsi="仿宋_GB2312"/>
          <w:b/>
        </w:rPr>
        <w:t>具体情况如下：</w:t>
      </w:r>
    </w:p>
    <w:p w:rsidR="009A6D40" w:rsidRDefault="00DC1BF7">
      <w:pPr>
        <w:spacing w:line="580" w:lineRule="exact"/>
        <w:ind w:firstLine="640"/>
      </w:pPr>
      <w:r>
        <w:rPr>
          <w:rFonts w:ascii="仿宋_GB2312" w:eastAsia="仿宋_GB2312" w:hAnsi="仿宋_GB2312"/>
        </w:rPr>
        <w:t>因公出国（境）费支出0.00万元，开支内容包括本单位无因公出国（境）费。单位全年安排的因公出国（境）团组0个，因公出国（境）0人次。</w:t>
      </w:r>
    </w:p>
    <w:p w:rsidR="009A6D40" w:rsidRDefault="00DC1BF7">
      <w:pPr>
        <w:spacing w:line="580" w:lineRule="exact"/>
        <w:ind w:firstLine="640"/>
      </w:pPr>
      <w:r>
        <w:rPr>
          <w:rFonts w:ascii="仿宋_GB2312" w:eastAsia="仿宋_GB2312" w:hAnsi="仿宋_GB2312"/>
        </w:rPr>
        <w:t>公务用车购置及运行维护费5.25万元，其中：公务用车购置费0.00万元，公务用车运行维护费5.25万元。公务用车运行</w:t>
      </w:r>
      <w:r>
        <w:rPr>
          <w:rFonts w:ascii="仿宋_GB2312" w:eastAsia="仿宋_GB2312" w:hAnsi="仿宋_GB2312"/>
        </w:rPr>
        <w:lastRenderedPageBreak/>
        <w:t>维护费开支内容包括车辆保险费用1.12万元，油料费2.32万元，维修维护费用1.81万元。公务用车购置数0辆，公务用车保有量6辆。国有资产占用情况中固定资产车辆6辆，与公务用车保有量差异原因是：本单位固定资产车辆与公务用车保有量一致无差异。</w:t>
      </w:r>
    </w:p>
    <w:p w:rsidR="009A6D40" w:rsidRDefault="00DC1BF7">
      <w:pPr>
        <w:spacing w:line="580" w:lineRule="exact"/>
        <w:ind w:firstLine="640"/>
      </w:pPr>
      <w:r>
        <w:rPr>
          <w:rFonts w:ascii="仿宋_GB2312" w:eastAsia="仿宋_GB2312" w:hAnsi="仿宋_GB2312"/>
        </w:rPr>
        <w:t>公务接待费0.00万元，开支内容包括本单位无公务接待费。单位全年安排的国内公务接待0批次，0人次。</w:t>
      </w:r>
    </w:p>
    <w:p w:rsidR="009A6D40" w:rsidRDefault="00DC1BF7">
      <w:pPr>
        <w:spacing w:line="580" w:lineRule="exact"/>
        <w:ind w:firstLine="640"/>
      </w:pPr>
      <w:r>
        <w:rPr>
          <w:rFonts w:ascii="仿宋_GB2312" w:eastAsia="仿宋_GB2312" w:hAnsi="仿宋_GB2312"/>
          <w:b/>
        </w:rPr>
        <w:t>与全年预算相比，</w:t>
      </w:r>
      <w:r>
        <w:rPr>
          <w:rFonts w:ascii="仿宋_GB2312" w:eastAsia="仿宋_GB2312" w:hAnsi="仿宋_GB2312"/>
        </w:rPr>
        <w:t>财政拨款“三公”经费支出全年预算数7.88万元，决算数5.25万元，预决算差异率-33.38%，主要原因是：2024年度我局车辆减少2辆，减少公务用车运行维护费。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7.88万元，决算数5.25万元，预决算差异率-33.38%，主要原因是：2024年度我局车辆减少2辆，减少公务用车运行维护费。公务接待费全年预算数0.00万元，决算数0.00万元，预决算差异率0.00%，主要原因是：本单位无公务接待费。</w:t>
      </w:r>
    </w:p>
    <w:p w:rsidR="009A6D40" w:rsidRDefault="00DC1BF7">
      <w:pPr>
        <w:spacing w:line="640" w:lineRule="exact"/>
        <w:ind w:firstLine="640"/>
        <w:outlineLvl w:val="2"/>
      </w:pPr>
      <w:r>
        <w:rPr>
          <w:rFonts w:ascii="黑体" w:eastAsia="黑体" w:hAnsi="黑体"/>
        </w:rPr>
        <w:t>十、其他重要事项的情况说明</w:t>
      </w:r>
    </w:p>
    <w:p w:rsidR="009A6D40" w:rsidRDefault="00DC1BF7">
      <w:pPr>
        <w:spacing w:line="640" w:lineRule="exact"/>
        <w:ind w:firstLine="640"/>
        <w:outlineLvl w:val="3"/>
      </w:pPr>
      <w:r>
        <w:rPr>
          <w:rFonts w:ascii="楷体_GB2312" w:eastAsia="楷体_GB2312" w:hAnsi="楷体_GB2312"/>
          <w:b/>
        </w:rPr>
        <w:t>（一）机关运行经费及公用经费支出情况</w:t>
      </w:r>
    </w:p>
    <w:p w:rsidR="009A6D40" w:rsidRDefault="00DC1BF7">
      <w:pPr>
        <w:spacing w:line="580" w:lineRule="exact"/>
        <w:ind w:firstLine="640"/>
      </w:pPr>
      <w:r>
        <w:rPr>
          <w:rFonts w:ascii="仿宋_GB2312" w:eastAsia="仿宋_GB2312" w:hAnsi="仿宋_GB2312"/>
        </w:rPr>
        <w:lastRenderedPageBreak/>
        <w:t>2024年度尉犁县市场监督管理局（行政单位和参照公务员法管理事业单位）机关运行经费支出39.79万元，比上年减少35.04万元，下降46.83%，主要原因是：严格执行八项规定，厉行节约，压减办公经费支出。</w:t>
      </w:r>
    </w:p>
    <w:p w:rsidR="009A6D40" w:rsidRDefault="00DC1BF7">
      <w:pPr>
        <w:spacing w:line="640" w:lineRule="exact"/>
        <w:ind w:firstLine="640"/>
        <w:outlineLvl w:val="3"/>
      </w:pPr>
      <w:r>
        <w:rPr>
          <w:rFonts w:ascii="楷体_GB2312" w:eastAsia="楷体_GB2312" w:hAnsi="楷体_GB2312"/>
          <w:b/>
        </w:rPr>
        <w:t>（二）政府采购情况</w:t>
      </w:r>
    </w:p>
    <w:p w:rsidR="009A6D40" w:rsidRDefault="00DC1BF7">
      <w:pPr>
        <w:spacing w:line="580" w:lineRule="exact"/>
        <w:ind w:firstLine="640"/>
      </w:pPr>
      <w:r>
        <w:rPr>
          <w:rFonts w:ascii="仿宋_GB2312" w:eastAsia="仿宋_GB2312" w:hAnsi="仿宋_GB2312"/>
        </w:rPr>
        <w:t>2024年度政府采购支出总额15.00万元，其中：政府采购货物支出9.51万元、政府采购工程支出2.34万元、政府采购服务支出3.15万元。</w:t>
      </w:r>
    </w:p>
    <w:p w:rsidR="009A6D40" w:rsidRDefault="00DC1BF7">
      <w:pPr>
        <w:spacing w:line="580" w:lineRule="exact"/>
        <w:ind w:firstLine="640"/>
      </w:pPr>
      <w:r>
        <w:rPr>
          <w:rFonts w:ascii="仿宋_GB2312" w:eastAsia="仿宋_GB2312" w:hAnsi="仿宋_GB2312"/>
        </w:rPr>
        <w:t>授予中小企业合同金额15.00万元，占政府采购支出总额的100.00%，其中：授予小</w:t>
      </w:r>
      <w:proofErr w:type="gramStart"/>
      <w:r>
        <w:rPr>
          <w:rFonts w:ascii="仿宋_GB2312" w:eastAsia="仿宋_GB2312" w:hAnsi="仿宋_GB2312"/>
        </w:rPr>
        <w:t>微企业</w:t>
      </w:r>
      <w:proofErr w:type="gramEnd"/>
      <w:r>
        <w:rPr>
          <w:rFonts w:ascii="仿宋_GB2312" w:eastAsia="仿宋_GB2312" w:hAnsi="仿宋_GB2312"/>
        </w:rPr>
        <w:t>合同金额14.78万元，占政府采购支出总额的98.53%。</w:t>
      </w:r>
    </w:p>
    <w:p w:rsidR="009A6D40" w:rsidRDefault="00DC1BF7">
      <w:pPr>
        <w:spacing w:line="640" w:lineRule="exact"/>
        <w:ind w:firstLine="640"/>
        <w:outlineLvl w:val="3"/>
      </w:pPr>
      <w:r>
        <w:rPr>
          <w:rFonts w:ascii="楷体_GB2312" w:eastAsia="楷体_GB2312" w:hAnsi="楷体_GB2312"/>
          <w:b/>
        </w:rPr>
        <w:t>（三）国有资产占用情况说明</w:t>
      </w:r>
    </w:p>
    <w:p w:rsidR="009A6D40" w:rsidRDefault="00DC1BF7">
      <w:pPr>
        <w:spacing w:line="580" w:lineRule="exact"/>
        <w:ind w:firstLine="640"/>
      </w:pPr>
      <w:r>
        <w:rPr>
          <w:rFonts w:ascii="仿宋_GB2312" w:eastAsia="仿宋_GB2312" w:hAnsi="仿宋_GB2312"/>
        </w:rPr>
        <w:t>截至2024年12月31日，房屋4,506.80平方米，价值641.93万元。车辆6辆，价值105.85万元，其中：副部（省）级及以上领导用车0辆、主要负责人用车0辆、机要通信用车0辆、应急保障用车0辆、执法执勤用车5辆、特种专业技术用车1辆、离退休干部服务用车0辆、其他用车0辆，其他用车主要是：本单位无其他用车。单价100万元（含）以上设备（不含车辆）0台（套）。</w:t>
      </w:r>
    </w:p>
    <w:p w:rsidR="009A6D40" w:rsidRDefault="00DC1BF7">
      <w:pPr>
        <w:spacing w:line="640" w:lineRule="exact"/>
        <w:ind w:firstLine="640"/>
        <w:outlineLvl w:val="2"/>
      </w:pPr>
      <w:r>
        <w:rPr>
          <w:rFonts w:ascii="黑体" w:eastAsia="黑体" w:hAnsi="黑体"/>
        </w:rPr>
        <w:t>十一、预算绩效的情况说明</w:t>
      </w:r>
    </w:p>
    <w:p w:rsidR="009A6D40" w:rsidRDefault="00DC1BF7">
      <w:pPr>
        <w:spacing w:line="580" w:lineRule="exact"/>
        <w:ind w:firstLine="640"/>
      </w:pPr>
      <w:r>
        <w:rPr>
          <w:rFonts w:ascii="仿宋_GB2312" w:eastAsia="仿宋_GB2312" w:hAnsi="仿宋_GB2312"/>
        </w:rPr>
        <w:t>根据预算绩效管理要求，本单位2024年度预算绩效管理形</w:t>
      </w:r>
      <w:r>
        <w:rPr>
          <w:rFonts w:ascii="仿宋_GB2312" w:eastAsia="仿宋_GB2312" w:hAnsi="仿宋_GB2312"/>
        </w:rPr>
        <w:lastRenderedPageBreak/>
        <w:t>成整体支出绩效自评表1个，全年预算总额952.17万元，实际执行总额903.74万元；预算绩效评价项目8个，全年预算数50.04万元，全年执行数49.42万元。预算绩效管理取得的成效：一是制定专项资金管理制度；二是各专项资金建立了专账；三是制定了项目实施方案；四是认真组织项目验收。切实确保专项资金都做到了专款专用。专项资金的使用符合国家法规和财务管理制度，专项资金拨付有完整的审批程序和手续，符合项目预算批复或合同规定的用途，不存在截留、挤占、挪用、虚列支出等情况。发现的问题及原因：一是监管风险依然突出。市场监管点多、面广、线长，由于人少事多，执法人员疲于应付。尤其是食品药品安全、产品质量安全、特种设备安全，领导关心、社会关注、群众关切，是风险易发领域，安全隐患仍然存在；二是市场监管体制改革后对履行职责提出的新要求，执法跨度大，难度高，专业性强，现有人员年龄结构偏大、知识结构老化，满足不了当下的市场监管执法需求；三是工作创新意识亟待提高。干工作按部就班，一些重点工作做的还不够细，指导性不强。下一步改进措施：1、加强新行政单位会计制度和新预算法学习培训、规范账务处理，加强新《中华人民共和国预算法》《行政单位会计制度》《中华人民共和国会计法》《行政单位财务规则》等学习</w:t>
      </w:r>
      <w:bookmarkStart w:id="0" w:name="_GoBack"/>
      <w:bookmarkEnd w:id="0"/>
      <w:r>
        <w:rPr>
          <w:rFonts w:ascii="仿宋_GB2312" w:eastAsia="仿宋_GB2312" w:hAnsi="仿宋_GB2312"/>
        </w:rPr>
        <w:t>培训，规范部门预算收支核算。一是制定和完善基本支出、项目支出等各项支出标准，严格按项目进度执行预算，增强预算的约束力和严肃性。</w:t>
      </w:r>
      <w:r>
        <w:rPr>
          <w:rFonts w:ascii="仿宋_GB2312" w:eastAsia="仿宋_GB2312" w:hAnsi="仿宋_GB2312"/>
        </w:rPr>
        <w:lastRenderedPageBreak/>
        <w:t>二是落实预算执行分析，及时了解预算执行差异，合理调整、纠正预算执行偏差，切实提高部门预算收支管理水平。尽可能地做到决算与预算相衔接。2、加强学习。进一步明确如何参照考核体系，科学合理设定绩效目标，充分发挥预算绩效管理工作效用。3、会计核算要更加详细，为本单位各项工作的开展、总结、评估提供有效数据资料支撑，为各项业务工作更好地开展提供帮助。4、按时间进度分解资金使用计划。专项资金的使用，要事前做计划，事中进行控制，事后总结提高。合理安排资金使用，充分体现资金投向的目标和效益。具体</w:t>
      </w:r>
      <w:proofErr w:type="gramStart"/>
      <w:r>
        <w:rPr>
          <w:rFonts w:ascii="仿宋_GB2312" w:eastAsia="仿宋_GB2312" w:hAnsi="仿宋_GB2312"/>
        </w:rPr>
        <w:t>附整体</w:t>
      </w:r>
      <w:proofErr w:type="gramEnd"/>
      <w:r>
        <w:rPr>
          <w:rFonts w:ascii="仿宋_GB2312" w:eastAsia="仿宋_GB2312" w:hAnsi="仿宋_GB2312"/>
        </w:rPr>
        <w:t>支出绩效自评表，项目支出绩效自评表和评价报告。</w:t>
      </w:r>
    </w:p>
    <w:p w:rsidR="009A6D40" w:rsidRDefault="00DC1BF7">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9A6D40">
        <w:tc>
          <w:tcPr>
            <w:tcW w:w="8840" w:type="dxa"/>
            <w:gridSpan w:val="8"/>
            <w:vAlign w:val="center"/>
          </w:tcPr>
          <w:p w:rsidR="009A6D40" w:rsidRDefault="00DC1BF7">
            <w:pPr>
              <w:jc w:val="center"/>
            </w:pPr>
            <w:r>
              <w:rPr>
                <w:rFonts w:ascii="宋体" w:hAnsi="宋体"/>
                <w:sz w:val="24"/>
              </w:rPr>
              <w:lastRenderedPageBreak/>
              <w:t>单位整体支出绩效自评表</w:t>
            </w:r>
          </w:p>
        </w:tc>
      </w:tr>
      <w:tr w:rsidR="009A6D40">
        <w:tc>
          <w:tcPr>
            <w:tcW w:w="8840" w:type="dxa"/>
            <w:gridSpan w:val="8"/>
            <w:vAlign w:val="center"/>
          </w:tcPr>
          <w:p w:rsidR="009A6D40" w:rsidRDefault="00DC1BF7">
            <w:pPr>
              <w:jc w:val="center"/>
            </w:pPr>
            <w:r>
              <w:rPr>
                <w:rFonts w:ascii="宋体" w:hAnsi="宋体"/>
                <w:sz w:val="24"/>
              </w:rPr>
              <w:t>（2024年度）</w:t>
            </w:r>
          </w:p>
        </w:tc>
      </w:tr>
      <w:tr w:rsidR="009A6D40">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尉犁县市场监督管理局</w:t>
            </w:r>
          </w:p>
        </w:tc>
      </w:tr>
      <w:tr w:rsidR="009A6D40">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得分</w:t>
            </w:r>
          </w:p>
        </w:tc>
      </w:tr>
      <w:tr w:rsidR="009A6D40">
        <w:tc>
          <w:tcPr>
            <w:tcW w:w="1105" w:type="dxa"/>
            <w:vMerge/>
            <w:tcBorders>
              <w:top w:val="single" w:sz="10" w:space="0" w:color="auto"/>
              <w:left w:val="single" w:sz="10" w:space="0" w:color="auto"/>
              <w:bottom w:val="single" w:sz="10" w:space="0" w:color="auto"/>
              <w:right w:val="single" w:sz="10" w:space="0" w:color="auto"/>
            </w:tcBorders>
          </w:tcPr>
          <w:p w:rsidR="009A6D40" w:rsidRDefault="009A6D40"/>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852.54</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952.17</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903.74</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94.91%</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9.49</w:t>
            </w:r>
          </w:p>
        </w:tc>
      </w:tr>
      <w:tr w:rsidR="009A6D40">
        <w:tc>
          <w:tcPr>
            <w:tcW w:w="1105" w:type="dxa"/>
            <w:vMerge/>
            <w:tcBorders>
              <w:top w:val="single" w:sz="10" w:space="0" w:color="auto"/>
              <w:left w:val="single" w:sz="10" w:space="0" w:color="auto"/>
              <w:bottom w:val="single" w:sz="10" w:space="0" w:color="auto"/>
              <w:right w:val="single" w:sz="10" w:space="0" w:color="auto"/>
            </w:tcBorders>
          </w:tcPr>
          <w:p w:rsidR="009A6D40" w:rsidRDefault="009A6D40"/>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其中:上级安排（万元）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5.00</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11.50</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11.50</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r>
      <w:tr w:rsidR="009A6D40">
        <w:tc>
          <w:tcPr>
            <w:tcW w:w="1105" w:type="dxa"/>
            <w:vMerge/>
            <w:tcBorders>
              <w:top w:val="single" w:sz="10" w:space="0" w:color="auto"/>
              <w:left w:val="single" w:sz="10" w:space="0" w:color="auto"/>
              <w:bottom w:val="single" w:sz="10" w:space="0" w:color="auto"/>
              <w:right w:val="single" w:sz="10" w:space="0" w:color="auto"/>
            </w:tcBorders>
          </w:tcPr>
          <w:p w:rsidR="009A6D40" w:rsidRDefault="009A6D40"/>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847.54</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937.17</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892.24</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r>
      <w:tr w:rsidR="009A6D40">
        <w:tc>
          <w:tcPr>
            <w:tcW w:w="1105" w:type="dxa"/>
            <w:vMerge/>
            <w:tcBorders>
              <w:top w:val="single" w:sz="10" w:space="0" w:color="auto"/>
              <w:left w:val="single" w:sz="10" w:space="0" w:color="auto"/>
              <w:bottom w:val="single" w:sz="10" w:space="0" w:color="auto"/>
              <w:right w:val="single" w:sz="10" w:space="0" w:color="auto"/>
            </w:tcBorders>
          </w:tcPr>
          <w:p w:rsidR="009A6D40" w:rsidRDefault="009A6D40"/>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3.50</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r>
      <w:tr w:rsidR="009A6D40">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实际完成情况</w:t>
            </w:r>
          </w:p>
        </w:tc>
      </w:tr>
      <w:tr w:rsidR="009A6D40">
        <w:tc>
          <w:tcPr>
            <w:tcW w:w="1105" w:type="dxa"/>
            <w:vMerge/>
            <w:tcBorders>
              <w:top w:val="single" w:sz="10" w:space="0" w:color="auto"/>
              <w:left w:val="single" w:sz="10" w:space="0" w:color="auto"/>
              <w:bottom w:val="single" w:sz="10" w:space="0" w:color="auto"/>
              <w:right w:val="single" w:sz="10" w:space="0" w:color="auto"/>
            </w:tcBorders>
          </w:tcPr>
          <w:p w:rsidR="009A6D40" w:rsidRDefault="009A6D40"/>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9A6D40" w:rsidRDefault="00DC1BF7">
            <w:r>
              <w:rPr>
                <w:rFonts w:ascii="宋体" w:hAnsi="宋体"/>
                <w:sz w:val="16"/>
              </w:rPr>
              <w:t>为全面深化“放管服”改革，持续优化营商环境，确保稳定市场秩序，营造安全生产、放心消费生活环境，统筹做好市场监管各项工作，着力构建科学高效市场监管体系。具体完成以下工作：</w:t>
            </w:r>
            <w:r>
              <w:rPr>
                <w:rFonts w:ascii="宋体" w:hAnsi="宋体"/>
                <w:sz w:val="16"/>
              </w:rPr>
              <w:br/>
            </w:r>
            <w:r>
              <w:rPr>
                <w:rFonts w:ascii="宋体" w:hAnsi="宋体"/>
                <w:sz w:val="16"/>
              </w:rPr>
              <w:br/>
              <w:t>1、做好市场监管工作，维护公平有序的市场环境，办理发放营业执照2600张，广告监测520条；</w:t>
            </w:r>
            <w:r>
              <w:rPr>
                <w:rFonts w:ascii="宋体" w:hAnsi="宋体"/>
                <w:sz w:val="16"/>
              </w:rPr>
              <w:br/>
            </w:r>
            <w:r>
              <w:rPr>
                <w:rFonts w:ascii="宋体" w:hAnsi="宋体"/>
                <w:sz w:val="16"/>
              </w:rPr>
              <w:br/>
              <w:t>2、完成产品质量监督抽查3批次、食品安全监督抽检130批次，及时稳妥公布抽检结果信息，营造安全生产、放心消费生活环境；</w:t>
            </w:r>
            <w:r>
              <w:rPr>
                <w:rFonts w:ascii="宋体" w:hAnsi="宋体"/>
                <w:sz w:val="16"/>
              </w:rPr>
              <w:br/>
            </w:r>
            <w:r>
              <w:rPr>
                <w:rFonts w:ascii="宋体" w:hAnsi="宋体"/>
                <w:sz w:val="16"/>
              </w:rPr>
              <w:br/>
              <w:t>3、办理消费者投诉举报事件至少120起，维护消费者合法权益。</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9A6D40" w:rsidRDefault="00DC1BF7">
            <w:r>
              <w:rPr>
                <w:rFonts w:ascii="宋体" w:hAnsi="宋体"/>
                <w:sz w:val="16"/>
              </w:rPr>
              <w:t>聚焦尉犁“373”高质量发展体系，持续优化营商环境、筑牢安全防线，维护市场公平正义，全力服务县域经济高质量发展，2024年完成了以下工作：</w:t>
            </w:r>
            <w:r>
              <w:rPr>
                <w:rFonts w:ascii="宋体" w:hAnsi="宋体"/>
                <w:sz w:val="16"/>
              </w:rPr>
              <w:br/>
            </w:r>
            <w:r>
              <w:rPr>
                <w:rFonts w:ascii="宋体" w:hAnsi="宋体"/>
                <w:sz w:val="16"/>
              </w:rPr>
              <w:br/>
              <w:t>1、通过推行“一网通办”“一窗受理”等模式，办理变更、营业执照户2372张。</w:t>
            </w:r>
            <w:r>
              <w:rPr>
                <w:rFonts w:ascii="宋体" w:hAnsi="宋体"/>
                <w:sz w:val="16"/>
              </w:rPr>
              <w:br/>
            </w:r>
            <w:r>
              <w:rPr>
                <w:rFonts w:ascii="宋体" w:hAnsi="宋体"/>
                <w:sz w:val="16"/>
              </w:rPr>
              <w:br/>
              <w:t>2、加强广告监管。全力推进重点领域广告专项治理工作，检查各类市场主体204家次，监测各类广告375条。</w:t>
            </w:r>
            <w:r>
              <w:rPr>
                <w:rFonts w:ascii="宋体" w:hAnsi="宋体"/>
                <w:sz w:val="16"/>
              </w:rPr>
              <w:br/>
            </w:r>
            <w:r>
              <w:rPr>
                <w:rFonts w:ascii="宋体" w:hAnsi="宋体"/>
                <w:sz w:val="16"/>
              </w:rPr>
              <w:br/>
              <w:t>3、开展重要节点食品安全和质量安全专项检查，检查各类经营主体1237户次完成食品抽检149批次，产品质量抽检3批次</w:t>
            </w:r>
            <w:r>
              <w:rPr>
                <w:rFonts w:ascii="宋体" w:hAnsi="宋体"/>
                <w:sz w:val="16"/>
              </w:rPr>
              <w:br/>
            </w:r>
            <w:r>
              <w:rPr>
                <w:rFonts w:ascii="宋体" w:hAnsi="宋体"/>
                <w:sz w:val="16"/>
              </w:rPr>
              <w:br/>
              <w:t>4及时受理并妥善处理消费者投诉举报145起。</w:t>
            </w:r>
            <w:r>
              <w:rPr>
                <w:rFonts w:ascii="宋体" w:hAnsi="宋体"/>
                <w:sz w:val="16"/>
              </w:rPr>
              <w:br/>
            </w:r>
            <w:r>
              <w:rPr>
                <w:rFonts w:ascii="宋体" w:hAnsi="宋体"/>
                <w:sz w:val="16"/>
              </w:rPr>
              <w:br/>
              <w:t>全面深化“放管服”改革，持续优化营商环境，确保稳定市场秩序，营造安全生产、放心消费生活环境。</w:t>
            </w:r>
          </w:p>
        </w:tc>
      </w:tr>
      <w:tr w:rsidR="009A6D40">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得分</w:t>
            </w:r>
          </w:p>
        </w:tc>
      </w:tr>
      <w:tr w:rsidR="009A6D40">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办理发放营业执照</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&gt;=2600张</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尉犁县市场监督管理局2024年工作计划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2372张</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16.42</w:t>
            </w:r>
          </w:p>
        </w:tc>
      </w:tr>
      <w:tr w:rsidR="009A6D40">
        <w:tc>
          <w:tcPr>
            <w:tcW w:w="1105" w:type="dxa"/>
            <w:vMerge/>
            <w:tcBorders>
              <w:top w:val="single" w:sz="10" w:space="0" w:color="auto"/>
              <w:left w:val="single" w:sz="10" w:space="0" w:color="auto"/>
              <w:bottom w:val="single" w:sz="10" w:space="0" w:color="auto"/>
              <w:right w:val="single" w:sz="10" w:space="0" w:color="auto"/>
            </w:tcBorders>
          </w:tcPr>
          <w:p w:rsidR="009A6D40" w:rsidRDefault="009A6D40"/>
        </w:tc>
        <w:tc>
          <w:tcPr>
            <w:tcW w:w="1105" w:type="dxa"/>
            <w:vMerge/>
            <w:tcBorders>
              <w:top w:val="single" w:sz="10" w:space="0" w:color="auto"/>
              <w:left w:val="single" w:sz="10" w:space="0" w:color="auto"/>
              <w:bottom w:val="single" w:sz="10" w:space="0" w:color="auto"/>
              <w:right w:val="single" w:sz="10" w:space="0" w:color="auto"/>
            </w:tcBorders>
          </w:tcPr>
          <w:p w:rsidR="009A6D40" w:rsidRDefault="009A6D40"/>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广告监测数量</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&gt;=520条</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尉犁县市场监督管理局2024年工作</w:t>
            </w:r>
            <w:r>
              <w:rPr>
                <w:rFonts w:ascii="宋体" w:hAnsi="宋体"/>
                <w:sz w:val="16"/>
              </w:rPr>
              <w:lastRenderedPageBreak/>
              <w:t>计划</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lastRenderedPageBreak/>
              <w:t>18</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375条</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12.98</w:t>
            </w:r>
          </w:p>
        </w:tc>
      </w:tr>
      <w:tr w:rsidR="009A6D40">
        <w:tc>
          <w:tcPr>
            <w:tcW w:w="1105" w:type="dxa"/>
            <w:vMerge/>
            <w:tcBorders>
              <w:top w:val="single" w:sz="10" w:space="0" w:color="auto"/>
              <w:left w:val="single" w:sz="10" w:space="0" w:color="auto"/>
              <w:bottom w:val="single" w:sz="10" w:space="0" w:color="auto"/>
              <w:right w:val="single" w:sz="10" w:space="0" w:color="auto"/>
            </w:tcBorders>
          </w:tcPr>
          <w:p w:rsidR="009A6D40" w:rsidRDefault="009A6D40"/>
        </w:tc>
        <w:tc>
          <w:tcPr>
            <w:tcW w:w="1105" w:type="dxa"/>
            <w:vMerge/>
            <w:tcBorders>
              <w:top w:val="single" w:sz="10" w:space="0" w:color="auto"/>
              <w:left w:val="single" w:sz="10" w:space="0" w:color="auto"/>
              <w:bottom w:val="single" w:sz="10" w:space="0" w:color="auto"/>
              <w:right w:val="single" w:sz="10" w:space="0" w:color="auto"/>
            </w:tcBorders>
          </w:tcPr>
          <w:p w:rsidR="009A6D40" w:rsidRDefault="009A6D40"/>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产品质量监督抽查批次</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&gt;=3批次</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尉犁县市场监督管理局2024年工作计划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3批次</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18</w:t>
            </w:r>
          </w:p>
        </w:tc>
      </w:tr>
      <w:tr w:rsidR="009A6D40">
        <w:tc>
          <w:tcPr>
            <w:tcW w:w="1105" w:type="dxa"/>
            <w:vMerge/>
            <w:tcBorders>
              <w:top w:val="single" w:sz="10" w:space="0" w:color="auto"/>
              <w:left w:val="single" w:sz="10" w:space="0" w:color="auto"/>
              <w:bottom w:val="single" w:sz="10" w:space="0" w:color="auto"/>
              <w:right w:val="single" w:sz="10" w:space="0" w:color="auto"/>
            </w:tcBorders>
          </w:tcPr>
          <w:p w:rsidR="009A6D40" w:rsidRDefault="009A6D40"/>
        </w:tc>
        <w:tc>
          <w:tcPr>
            <w:tcW w:w="1105" w:type="dxa"/>
            <w:vMerge/>
            <w:tcBorders>
              <w:top w:val="single" w:sz="10" w:space="0" w:color="auto"/>
              <w:left w:val="single" w:sz="10" w:space="0" w:color="auto"/>
              <w:bottom w:val="single" w:sz="10" w:space="0" w:color="auto"/>
              <w:right w:val="single" w:sz="10" w:space="0" w:color="auto"/>
            </w:tcBorders>
          </w:tcPr>
          <w:p w:rsidR="009A6D40" w:rsidRDefault="009A6D40"/>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食品安全监督抽检批次</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&gt;=130批次</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尉犁县市场监督管理局2024年工作计划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149批次</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18</w:t>
            </w:r>
          </w:p>
        </w:tc>
      </w:tr>
      <w:tr w:rsidR="009A6D40">
        <w:tc>
          <w:tcPr>
            <w:tcW w:w="1105" w:type="dxa"/>
            <w:vMerge/>
            <w:tcBorders>
              <w:top w:val="single" w:sz="10" w:space="0" w:color="auto"/>
              <w:left w:val="single" w:sz="10" w:space="0" w:color="auto"/>
              <w:bottom w:val="single" w:sz="10" w:space="0" w:color="auto"/>
              <w:right w:val="single" w:sz="10" w:space="0" w:color="auto"/>
            </w:tcBorders>
          </w:tcPr>
          <w:p w:rsidR="009A6D40" w:rsidRDefault="009A6D40"/>
        </w:tc>
        <w:tc>
          <w:tcPr>
            <w:tcW w:w="1105" w:type="dxa"/>
            <w:vMerge/>
            <w:tcBorders>
              <w:top w:val="single" w:sz="10" w:space="0" w:color="auto"/>
              <w:left w:val="single" w:sz="10" w:space="0" w:color="auto"/>
              <w:bottom w:val="single" w:sz="10" w:space="0" w:color="auto"/>
              <w:right w:val="single" w:sz="10" w:space="0" w:color="auto"/>
            </w:tcBorders>
          </w:tcPr>
          <w:p w:rsidR="009A6D40" w:rsidRDefault="009A6D40"/>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办理消费者投诉举报事件</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&gt;=120起</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尉犁县市场监督管理局2024年工作计划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18</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145起</w:t>
            </w:r>
          </w:p>
        </w:tc>
        <w:tc>
          <w:tcPr>
            <w:tcW w:w="1105"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18</w:t>
            </w:r>
          </w:p>
        </w:tc>
      </w:tr>
    </w:tbl>
    <w:p w:rsidR="009A6D40" w:rsidRDefault="00DC1BF7">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9A6D40">
        <w:tc>
          <w:tcPr>
            <w:tcW w:w="8848" w:type="dxa"/>
            <w:gridSpan w:val="14"/>
            <w:vAlign w:val="center"/>
          </w:tcPr>
          <w:p w:rsidR="009A6D40" w:rsidRDefault="00DC1BF7">
            <w:pPr>
              <w:jc w:val="center"/>
            </w:pPr>
            <w:r>
              <w:rPr>
                <w:rFonts w:ascii="宋体" w:hAnsi="宋体"/>
                <w:sz w:val="24"/>
              </w:rPr>
              <w:lastRenderedPageBreak/>
              <w:t>项目支出绩效自评表</w:t>
            </w:r>
          </w:p>
        </w:tc>
      </w:tr>
      <w:tr w:rsidR="009A6D40">
        <w:tc>
          <w:tcPr>
            <w:tcW w:w="8848" w:type="dxa"/>
            <w:gridSpan w:val="14"/>
            <w:vAlign w:val="center"/>
          </w:tcPr>
          <w:p w:rsidR="009A6D40" w:rsidRDefault="00DC1BF7">
            <w:pPr>
              <w:jc w:val="center"/>
            </w:pPr>
            <w:r>
              <w:rPr>
                <w:rFonts w:ascii="宋体" w:hAnsi="宋体"/>
                <w:sz w:val="24"/>
              </w:rPr>
              <w:t>(2024年度)</w:t>
            </w:r>
          </w:p>
        </w:tc>
      </w:tr>
      <w:tr w:rsidR="009A6D40">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2023年度自治区药品抽检经费</w:t>
            </w:r>
          </w:p>
        </w:tc>
      </w:tr>
      <w:tr w:rsidR="009A6D40">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尉犁县市场监督管理局</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尉犁县市场监督管理局</w:t>
            </w:r>
          </w:p>
        </w:tc>
      </w:tr>
      <w:tr w:rsidR="009A6D40">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得分</w:t>
            </w:r>
          </w:p>
        </w:tc>
      </w:tr>
      <w:tr w:rsidR="009A6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6.50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6.50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10.00</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6.50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6.50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r>
      <w:tr w:rsidR="009A6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总体目标完成情况</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r>
              <w:rPr>
                <w:rFonts w:ascii="宋体" w:hAnsi="宋体"/>
                <w:sz w:val="16"/>
              </w:rPr>
              <w:t>做好药品、中药饮片、医疗器械和化妆品抽样工作，完成药品（含中药饮片）流通使用环节抽样15批次，医疗器械流通使用环节抽样1批次，化妆品流通使用环节抽样1批次，有效发挥抽检工作的风险防控和技术支撑作用，努力提高监管能力和监管水平，以“四个最严”的要求保障药品安全，坚决守住尉犁县域不发生重大药品安全事故底线。</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6D40" w:rsidRDefault="00DC1BF7">
            <w:r>
              <w:rPr>
                <w:rFonts w:ascii="宋体" w:hAnsi="宋体"/>
                <w:sz w:val="16"/>
              </w:rPr>
              <w:t>我局于2024年8月已全部完成药品、医疗器械、化妆品监督抽检工作，累计完成药品抽样17批次，未检测出不合格药品、医疗器械、化妆品。</w:t>
            </w:r>
          </w:p>
        </w:tc>
      </w:tr>
      <w:tr w:rsidR="009A6D40">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偏差原因分析及改进措施</w:t>
            </w:r>
          </w:p>
        </w:tc>
      </w:tr>
      <w:tr w:rsidR="009A6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医疗器械流通使用环节抽样批次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&gt;=1批次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化妆品流通使用环节抽样批次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&gt;=1批次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化学药、中成药流通使用环节抽样批次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&gt;=9批次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=9批次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中药饮片流通使用环节抽样批次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&gt;=6批次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=6批次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“两品</w:t>
            </w:r>
            <w:proofErr w:type="gramStart"/>
            <w:r>
              <w:rPr>
                <w:rFonts w:ascii="宋体" w:hAnsi="宋体"/>
                <w:sz w:val="16"/>
              </w:rPr>
              <w:t>一</w:t>
            </w:r>
            <w:proofErr w:type="gramEnd"/>
            <w:r>
              <w:rPr>
                <w:rFonts w:ascii="宋体" w:hAnsi="宋体"/>
                <w:sz w:val="16"/>
              </w:rPr>
              <w:t>械”抽检覆盖率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111%</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4.45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严格按照自治区药品抽检任务完成抽检工作，目标值设定与实际完成值偏差率11%。</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抽样检验任务按期完成率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4.75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严格按照自治区药品抽检任务完</w:t>
            </w:r>
            <w:r>
              <w:rPr>
                <w:rFonts w:ascii="宋体" w:hAnsi="宋体"/>
                <w:sz w:val="16"/>
              </w:rPr>
              <w:lastRenderedPageBreak/>
              <w:t>成抽检工作，目标值设定与实际完成值偏差率5%。</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药品、化妆品、医疗器械监督抽样经费</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&lt;=6.50万元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=6.5万元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提升“两品</w:t>
            </w:r>
            <w:proofErr w:type="gramStart"/>
            <w:r>
              <w:rPr>
                <w:rFonts w:ascii="宋体" w:hAnsi="宋体"/>
                <w:sz w:val="16"/>
              </w:rPr>
              <w:t>一</w:t>
            </w:r>
            <w:proofErr w:type="gramEnd"/>
            <w:r>
              <w:rPr>
                <w:rFonts w:ascii="宋体" w:hAnsi="宋体"/>
                <w:sz w:val="16"/>
              </w:rPr>
              <w:t>械”监管服务水平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公众对药品安全的满意度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通过满意度调查，目标值设定与实际完成值偏差率5%。</w:t>
            </w:r>
          </w:p>
        </w:tc>
      </w:tr>
      <w:tr w:rsidR="009A6D40">
        <w:tc>
          <w:tcPr>
            <w:tcW w:w="2528" w:type="dxa"/>
            <w:gridSpan w:val="4"/>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99.20分</w:t>
            </w:r>
          </w:p>
        </w:tc>
        <w:tc>
          <w:tcPr>
            <w:tcW w:w="632" w:type="dxa"/>
            <w:tcBorders>
              <w:top w:val="single" w:sz="10" w:space="0" w:color="auto"/>
              <w:left w:val="single" w:sz="10" w:space="0" w:color="auto"/>
              <w:bottom w:val="single" w:sz="10" w:space="0" w:color="auto"/>
              <w:right w:val="single" w:sz="10" w:space="0" w:color="auto"/>
            </w:tcBorders>
          </w:tcPr>
          <w:p w:rsidR="009A6D40" w:rsidRDefault="009A6D40"/>
        </w:tc>
      </w:tr>
    </w:tbl>
    <w:p w:rsidR="009A6D40" w:rsidRDefault="00DC1BF7">
      <w:r>
        <w:lastRenderedPageBreak/>
        <w:br w:type="page"/>
      </w:r>
    </w:p>
    <w:tbl>
      <w:tblPr>
        <w:tblW w:w="0" w:type="auto"/>
        <w:tblLook w:val="04A0" w:firstRow="1" w:lastRow="0" w:firstColumn="1" w:lastColumn="0" w:noHBand="0" w:noVBand="1"/>
      </w:tblPr>
      <w:tblGrid>
        <w:gridCol w:w="625"/>
        <w:gridCol w:w="615"/>
        <w:gridCol w:w="615"/>
        <w:gridCol w:w="615"/>
        <w:gridCol w:w="696"/>
        <w:gridCol w:w="615"/>
        <w:gridCol w:w="615"/>
        <w:gridCol w:w="620"/>
        <w:gridCol w:w="615"/>
        <w:gridCol w:w="615"/>
        <w:gridCol w:w="631"/>
        <w:gridCol w:w="776"/>
        <w:gridCol w:w="631"/>
        <w:gridCol w:w="776"/>
      </w:tblGrid>
      <w:tr w:rsidR="009A6D40">
        <w:tc>
          <w:tcPr>
            <w:tcW w:w="8848" w:type="dxa"/>
            <w:gridSpan w:val="14"/>
            <w:vAlign w:val="center"/>
          </w:tcPr>
          <w:p w:rsidR="009A6D40" w:rsidRDefault="00DC1BF7">
            <w:pPr>
              <w:jc w:val="center"/>
            </w:pPr>
            <w:r>
              <w:rPr>
                <w:rFonts w:ascii="宋体" w:hAnsi="宋体"/>
                <w:sz w:val="24"/>
              </w:rPr>
              <w:lastRenderedPageBreak/>
              <w:t>项目支出绩效自评表</w:t>
            </w:r>
          </w:p>
        </w:tc>
      </w:tr>
      <w:tr w:rsidR="009A6D40">
        <w:tc>
          <w:tcPr>
            <w:tcW w:w="8848" w:type="dxa"/>
            <w:gridSpan w:val="14"/>
            <w:vAlign w:val="center"/>
          </w:tcPr>
          <w:p w:rsidR="009A6D40" w:rsidRDefault="00DC1BF7">
            <w:pPr>
              <w:jc w:val="center"/>
            </w:pPr>
            <w:r>
              <w:rPr>
                <w:rFonts w:ascii="宋体" w:hAnsi="宋体"/>
                <w:sz w:val="24"/>
              </w:rPr>
              <w:t>(2024年度)</w:t>
            </w:r>
          </w:p>
        </w:tc>
      </w:tr>
      <w:tr w:rsidR="009A6D40">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2024年质量安全、食品抽检经费</w:t>
            </w:r>
          </w:p>
        </w:tc>
      </w:tr>
      <w:tr w:rsidR="009A6D40">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尉犁县市场监督管理局</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尉犁县市场监督管理局</w:t>
            </w:r>
          </w:p>
        </w:tc>
      </w:tr>
      <w:tr w:rsidR="009A6D40">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得分</w:t>
            </w:r>
          </w:p>
        </w:tc>
      </w:tr>
      <w:tr w:rsidR="009A6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15.60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15.55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99.68%</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9.92</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15.60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15.55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r>
      <w:tr w:rsidR="009A6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总体目标完成情况</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r>
              <w:rPr>
                <w:rFonts w:ascii="宋体" w:hAnsi="宋体"/>
                <w:sz w:val="16"/>
              </w:rPr>
              <w:t>通过开展质量安全、食品抽检监测工作，及时发现安全隐患，督促指导生产经营者加强安全控制，防范安全系统性、区域性风险，确保产品质量、食品安全。计划完成车用尿素、商品煤品抽检3批次，食品149批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6D40" w:rsidRDefault="00DC1BF7">
            <w:r>
              <w:rPr>
                <w:rFonts w:ascii="宋体" w:hAnsi="宋体"/>
                <w:sz w:val="16"/>
              </w:rPr>
              <w:t>我局正常开展产品质量安全和食品安全工作监督检查，完成产品质量抽检3批次和食品安全抽检149批次。有效及时发现安全隐患，督促指导生产经营者加强安全控制，防范安全系统性、区域性风险，确保产品质量、食品安全。</w:t>
            </w:r>
          </w:p>
        </w:tc>
      </w:tr>
      <w:tr w:rsidR="009A6D40">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偏差原因分析及改进措施</w:t>
            </w:r>
          </w:p>
        </w:tc>
      </w:tr>
      <w:tr w:rsidR="009A6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产品质量监督抽查批次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&gt;=3批次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=3批次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食品安全监督抽检批次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&gt;=149批次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=149批次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不合格产品处置率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抽检完成时间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=2024年11月30</w:t>
            </w:r>
            <w:r>
              <w:rPr>
                <w:rFonts w:ascii="宋体" w:hAnsi="宋体"/>
                <w:sz w:val="16"/>
              </w:rPr>
              <w:lastRenderedPageBreak/>
              <w:t>日前</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lastRenderedPageBreak/>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按评判</w:t>
            </w:r>
            <w:proofErr w:type="gramStart"/>
            <w:r>
              <w:rPr>
                <w:rFonts w:ascii="宋体" w:hAnsi="宋体"/>
                <w:sz w:val="16"/>
              </w:rPr>
              <w:t>等级赋</w:t>
            </w:r>
            <w:r>
              <w:rPr>
                <w:rFonts w:ascii="宋体" w:hAnsi="宋体"/>
                <w:sz w:val="16"/>
              </w:rPr>
              <w:lastRenderedPageBreak/>
              <w:t>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2024年12月19</w:t>
            </w:r>
            <w:r>
              <w:rPr>
                <w:rFonts w:ascii="宋体" w:hAnsi="宋体"/>
                <w:sz w:val="16"/>
              </w:rPr>
              <w:lastRenderedPageBreak/>
              <w:t>日</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lastRenderedPageBreak/>
              <w:t>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年初制定抽检完成时</w:t>
            </w:r>
            <w:r>
              <w:rPr>
                <w:rFonts w:ascii="宋体" w:hAnsi="宋体"/>
                <w:sz w:val="16"/>
              </w:rPr>
              <w:lastRenderedPageBreak/>
              <w:t>间为11月30日，实际开展食品抽检完成时间为12月19日，产生偏差5.21%。</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质量安全抽检费用</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&lt;=1万元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=0.95万元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8.75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质量安全抽检费用通过与供应商协商批量采购优惠降低成本，偏差率4%。</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食品抽检费用</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&lt;=14.6万元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=14.6万元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抽检结果信息公示率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28.42</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抽检结果信息全部进行公示，公示率达到100%，造成偏差率5%。</w:t>
            </w:r>
          </w:p>
        </w:tc>
      </w:tr>
      <w:tr w:rsidR="009A6D40">
        <w:tc>
          <w:tcPr>
            <w:tcW w:w="2528" w:type="dxa"/>
            <w:gridSpan w:val="4"/>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87.09分</w:t>
            </w:r>
          </w:p>
        </w:tc>
        <w:tc>
          <w:tcPr>
            <w:tcW w:w="632" w:type="dxa"/>
            <w:tcBorders>
              <w:top w:val="single" w:sz="10" w:space="0" w:color="auto"/>
              <w:left w:val="single" w:sz="10" w:space="0" w:color="auto"/>
              <w:bottom w:val="single" w:sz="10" w:space="0" w:color="auto"/>
              <w:right w:val="single" w:sz="10" w:space="0" w:color="auto"/>
            </w:tcBorders>
          </w:tcPr>
          <w:p w:rsidR="009A6D40" w:rsidRDefault="009A6D40"/>
        </w:tc>
      </w:tr>
    </w:tbl>
    <w:p w:rsidR="009A6D40" w:rsidRDefault="00DC1BF7">
      <w:r>
        <w:br w:type="page"/>
      </w:r>
    </w:p>
    <w:tbl>
      <w:tblPr>
        <w:tblW w:w="0" w:type="auto"/>
        <w:tblLook w:val="04A0" w:firstRow="1" w:lastRow="0" w:firstColumn="1" w:lastColumn="0" w:noHBand="0" w:noVBand="1"/>
      </w:tblPr>
      <w:tblGrid>
        <w:gridCol w:w="626"/>
        <w:gridCol w:w="614"/>
        <w:gridCol w:w="614"/>
        <w:gridCol w:w="625"/>
        <w:gridCol w:w="696"/>
        <w:gridCol w:w="613"/>
        <w:gridCol w:w="613"/>
        <w:gridCol w:w="619"/>
        <w:gridCol w:w="613"/>
        <w:gridCol w:w="613"/>
        <w:gridCol w:w="631"/>
        <w:gridCol w:w="776"/>
        <w:gridCol w:w="631"/>
        <w:gridCol w:w="776"/>
      </w:tblGrid>
      <w:tr w:rsidR="009A6D40">
        <w:tc>
          <w:tcPr>
            <w:tcW w:w="8848" w:type="dxa"/>
            <w:gridSpan w:val="14"/>
            <w:vAlign w:val="center"/>
          </w:tcPr>
          <w:p w:rsidR="009A6D40" w:rsidRDefault="00DC1BF7">
            <w:pPr>
              <w:jc w:val="center"/>
            </w:pPr>
            <w:r>
              <w:rPr>
                <w:rFonts w:ascii="宋体" w:hAnsi="宋体"/>
                <w:sz w:val="24"/>
              </w:rPr>
              <w:lastRenderedPageBreak/>
              <w:t>项目支出绩效自评表</w:t>
            </w:r>
          </w:p>
        </w:tc>
      </w:tr>
      <w:tr w:rsidR="009A6D40">
        <w:tc>
          <w:tcPr>
            <w:tcW w:w="8848" w:type="dxa"/>
            <w:gridSpan w:val="14"/>
            <w:vAlign w:val="center"/>
          </w:tcPr>
          <w:p w:rsidR="009A6D40" w:rsidRDefault="00DC1BF7">
            <w:pPr>
              <w:jc w:val="center"/>
            </w:pPr>
            <w:r>
              <w:rPr>
                <w:rFonts w:ascii="宋体" w:hAnsi="宋体"/>
                <w:sz w:val="24"/>
              </w:rPr>
              <w:t>(2024年度)</w:t>
            </w:r>
          </w:p>
        </w:tc>
      </w:tr>
      <w:tr w:rsidR="009A6D40">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2024年中央食品药品监管补助</w:t>
            </w:r>
          </w:p>
        </w:tc>
      </w:tr>
      <w:tr w:rsidR="009A6D40">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尉犁县市场监督管理局</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尉犁县市场监督管理局</w:t>
            </w:r>
          </w:p>
        </w:tc>
      </w:tr>
      <w:tr w:rsidR="009A6D40">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得分</w:t>
            </w:r>
          </w:p>
        </w:tc>
      </w:tr>
      <w:tr w:rsidR="009A6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10.00</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r>
      <w:tr w:rsidR="009A6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总体目标完成情况</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r>
              <w:rPr>
                <w:rFonts w:ascii="宋体" w:hAnsi="宋体"/>
                <w:sz w:val="16"/>
              </w:rPr>
              <w:t>制作食品安全宣传品3批次、宣传电子大屏1块，推进食品安全工作。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6D40" w:rsidRDefault="00DC1BF7">
            <w:r>
              <w:rPr>
                <w:rFonts w:ascii="宋体" w:hAnsi="宋体"/>
                <w:sz w:val="16"/>
              </w:rPr>
              <w:t>我局在2024年6月30日之前，完成制作食品安全宣传品3批次、宣传电子大屏1块，宣传品、电子大屏验收合格率达到100%。</w:t>
            </w:r>
          </w:p>
        </w:tc>
      </w:tr>
      <w:tr w:rsidR="009A6D40">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偏差原因分析及改进措施</w:t>
            </w:r>
          </w:p>
        </w:tc>
      </w:tr>
      <w:tr w:rsidR="009A6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制作食品安全宣传品批次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&gt;=3批次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=3批次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制作宣传电子大屏数量</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&gt;=1块</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=1块</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宣传品、电子大屏验收合格率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实际采购物资验收合格率较高，产生偏差率5.26%。</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制作宣传品、宣传电子大屏完成时</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2024年6月30日前</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=2024年6月30日</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制作宣传品费用</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&lt;=1.50万元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=1.5万元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制作宣传电子大屏费用</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&lt;=3.50万元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=3.5万元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提高食品安全治理能力</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2528" w:type="dxa"/>
            <w:gridSpan w:val="4"/>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99.47分</w:t>
            </w:r>
          </w:p>
        </w:tc>
        <w:tc>
          <w:tcPr>
            <w:tcW w:w="632" w:type="dxa"/>
            <w:tcBorders>
              <w:top w:val="single" w:sz="10" w:space="0" w:color="auto"/>
              <w:left w:val="single" w:sz="10" w:space="0" w:color="auto"/>
              <w:bottom w:val="single" w:sz="10" w:space="0" w:color="auto"/>
              <w:right w:val="single" w:sz="10" w:space="0" w:color="auto"/>
            </w:tcBorders>
          </w:tcPr>
          <w:p w:rsidR="009A6D40" w:rsidRDefault="009A6D40"/>
        </w:tc>
      </w:tr>
    </w:tbl>
    <w:p w:rsidR="009A6D40" w:rsidRDefault="00DC1BF7">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96"/>
      </w:tblGrid>
      <w:tr w:rsidR="009A6D40">
        <w:tc>
          <w:tcPr>
            <w:tcW w:w="8848" w:type="dxa"/>
            <w:gridSpan w:val="14"/>
            <w:vAlign w:val="center"/>
          </w:tcPr>
          <w:p w:rsidR="009A6D40" w:rsidRDefault="00DC1BF7">
            <w:pPr>
              <w:jc w:val="center"/>
            </w:pPr>
            <w:r>
              <w:rPr>
                <w:rFonts w:ascii="宋体" w:hAnsi="宋体"/>
                <w:sz w:val="24"/>
              </w:rPr>
              <w:lastRenderedPageBreak/>
              <w:t>项目支出绩效自评表</w:t>
            </w:r>
          </w:p>
        </w:tc>
      </w:tr>
      <w:tr w:rsidR="009A6D40">
        <w:tc>
          <w:tcPr>
            <w:tcW w:w="8848" w:type="dxa"/>
            <w:gridSpan w:val="14"/>
            <w:vAlign w:val="center"/>
          </w:tcPr>
          <w:p w:rsidR="009A6D40" w:rsidRDefault="00DC1BF7">
            <w:pPr>
              <w:jc w:val="center"/>
            </w:pPr>
            <w:r>
              <w:rPr>
                <w:rFonts w:ascii="宋体" w:hAnsi="宋体"/>
                <w:sz w:val="24"/>
              </w:rPr>
              <w:t>(2024年度)</w:t>
            </w:r>
          </w:p>
        </w:tc>
      </w:tr>
      <w:tr w:rsidR="009A6D40">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车辆拍卖回流资金（非税）</w:t>
            </w:r>
          </w:p>
        </w:tc>
      </w:tr>
      <w:tr w:rsidR="009A6D40">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尉犁县市场监督管理局</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尉犁县市场监督管理局</w:t>
            </w:r>
          </w:p>
        </w:tc>
      </w:tr>
      <w:tr w:rsidR="009A6D40">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得分</w:t>
            </w:r>
          </w:p>
        </w:tc>
      </w:tr>
      <w:tr w:rsidR="009A6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95.93%</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10.00</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r>
      <w:tr w:rsidR="009A6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总体目标完成情况</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r>
              <w:rPr>
                <w:rFonts w:ascii="宋体" w:hAnsi="宋体"/>
                <w:sz w:val="16"/>
              </w:rPr>
              <w:t>按照车辆管理要求，拍卖越野车提高资产使用效率，拍卖资金用于维修办公楼，搭建车棚和更换办公楼照明灯具和纱窗。</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6D40" w:rsidRDefault="00DC1BF7">
            <w:r>
              <w:rPr>
                <w:rFonts w:ascii="宋体" w:hAnsi="宋体"/>
                <w:sz w:val="16"/>
              </w:rPr>
              <w:t>拍卖资金完成维修办公楼，搭建车棚和更换办公楼照明灯具54盏和纱窗14个，采购验收合格率100%，采购及时率100%。</w:t>
            </w:r>
          </w:p>
        </w:tc>
      </w:tr>
      <w:tr w:rsidR="009A6D40">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偏差原因分析及改进措施</w:t>
            </w:r>
          </w:p>
        </w:tc>
      </w:tr>
      <w:tr w:rsidR="009A6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采购照明灯数量</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&gt;=54盏</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=54盏</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采购纱窗数量</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&gt;=14个</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=14个</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维修附属设施次数</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&gt;=2次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采购验收合格率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采购及时率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照明灯费用</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&lt;=0.49万元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=0.49万元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纱窗费用</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&lt;=0.11万元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=0.11万元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维修附属设施费用</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&lt;=2.1万元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102%</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5.88</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对维修附属设施费用的预估可能存在偏差，导致经费预算过多产生偏差率2%。。</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改善办公环境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2528" w:type="dxa"/>
            <w:gridSpan w:val="4"/>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99.88分</w:t>
            </w:r>
          </w:p>
        </w:tc>
        <w:tc>
          <w:tcPr>
            <w:tcW w:w="632" w:type="dxa"/>
            <w:tcBorders>
              <w:top w:val="single" w:sz="10" w:space="0" w:color="auto"/>
              <w:left w:val="single" w:sz="10" w:space="0" w:color="auto"/>
              <w:bottom w:val="single" w:sz="10" w:space="0" w:color="auto"/>
              <w:right w:val="single" w:sz="10" w:space="0" w:color="auto"/>
            </w:tcBorders>
          </w:tcPr>
          <w:p w:rsidR="009A6D40" w:rsidRDefault="009A6D40"/>
        </w:tc>
      </w:tr>
    </w:tbl>
    <w:p w:rsidR="009A6D40" w:rsidRDefault="00DC1BF7">
      <w:r>
        <w:br w:type="page"/>
      </w:r>
    </w:p>
    <w:tbl>
      <w:tblPr>
        <w:tblW w:w="0" w:type="auto"/>
        <w:tblLook w:val="04A0" w:firstRow="1" w:lastRow="0" w:firstColumn="1" w:lastColumn="0" w:noHBand="0" w:noVBand="1"/>
      </w:tblPr>
      <w:tblGrid>
        <w:gridCol w:w="625"/>
        <w:gridCol w:w="615"/>
        <w:gridCol w:w="615"/>
        <w:gridCol w:w="615"/>
        <w:gridCol w:w="696"/>
        <w:gridCol w:w="615"/>
        <w:gridCol w:w="615"/>
        <w:gridCol w:w="620"/>
        <w:gridCol w:w="615"/>
        <w:gridCol w:w="615"/>
        <w:gridCol w:w="631"/>
        <w:gridCol w:w="776"/>
        <w:gridCol w:w="631"/>
        <w:gridCol w:w="776"/>
      </w:tblGrid>
      <w:tr w:rsidR="009A6D40">
        <w:tc>
          <w:tcPr>
            <w:tcW w:w="8848" w:type="dxa"/>
            <w:gridSpan w:val="14"/>
            <w:vAlign w:val="center"/>
          </w:tcPr>
          <w:p w:rsidR="009A6D40" w:rsidRDefault="00DC1BF7">
            <w:pPr>
              <w:jc w:val="center"/>
            </w:pPr>
            <w:r>
              <w:rPr>
                <w:rFonts w:ascii="宋体" w:hAnsi="宋体"/>
                <w:sz w:val="24"/>
              </w:rPr>
              <w:lastRenderedPageBreak/>
              <w:t>项目支出绩效自评表</w:t>
            </w:r>
          </w:p>
        </w:tc>
      </w:tr>
      <w:tr w:rsidR="009A6D40">
        <w:tc>
          <w:tcPr>
            <w:tcW w:w="8848" w:type="dxa"/>
            <w:gridSpan w:val="14"/>
            <w:vAlign w:val="center"/>
          </w:tcPr>
          <w:p w:rsidR="009A6D40" w:rsidRDefault="00DC1BF7">
            <w:pPr>
              <w:jc w:val="center"/>
            </w:pPr>
            <w:r>
              <w:rPr>
                <w:rFonts w:ascii="宋体" w:hAnsi="宋体"/>
                <w:sz w:val="24"/>
              </w:rPr>
              <w:t>(2024年度)</w:t>
            </w:r>
          </w:p>
        </w:tc>
      </w:tr>
      <w:tr w:rsidR="009A6D40">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行政执法人员制式服装经费</w:t>
            </w:r>
          </w:p>
        </w:tc>
      </w:tr>
      <w:tr w:rsidR="009A6D40">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尉犁县市场监督管理局</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尉犁县市场监督管理局</w:t>
            </w:r>
          </w:p>
        </w:tc>
      </w:tr>
      <w:tr w:rsidR="009A6D40">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得分</w:t>
            </w:r>
          </w:p>
        </w:tc>
      </w:tr>
      <w:tr w:rsidR="009A6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95.06%</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10.00</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2.63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r>
      <w:tr w:rsidR="009A6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总体目标完成情况</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r>
              <w:rPr>
                <w:rFonts w:ascii="宋体" w:hAnsi="宋体"/>
                <w:sz w:val="16"/>
              </w:rPr>
              <w:t>为推进规范文明执法，充分维护执法严肃性和权威性，更好的接受社会监督，增强工作透明度，进一步加强和规范队伍管理，采购制式服装6套。</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6D40" w:rsidRDefault="00DC1BF7">
            <w:r>
              <w:rPr>
                <w:rFonts w:ascii="宋体" w:hAnsi="宋体"/>
                <w:sz w:val="16"/>
              </w:rPr>
              <w:t>完成采购制式服装6套，推进规范文明执法，充分维护执法严肃性和权威性，更好的接受社会监督，增强工作透明度。</w:t>
            </w:r>
          </w:p>
        </w:tc>
      </w:tr>
      <w:tr w:rsidR="009A6D40">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偏差原因分析及改进措施</w:t>
            </w:r>
          </w:p>
        </w:tc>
      </w:tr>
      <w:tr w:rsidR="009A6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采购制服套数</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&gt;=6套</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=6套</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采购合格率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制服采购及时率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制服采购费用</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&lt;=2.63万元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=2.5万元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95.06%</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17.53</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对服装需求的预估可</w:t>
            </w:r>
            <w:r>
              <w:rPr>
                <w:rFonts w:ascii="宋体" w:hAnsi="宋体"/>
                <w:sz w:val="16"/>
              </w:rPr>
              <w:lastRenderedPageBreak/>
              <w:t>能存在偏差，导致经费预算过多，造成偏差率4.94%。</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推动规范文明执法</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使用人员满意度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项目实施前制定使用人员满意度目标值设定为95%，实际完成值100%，造成偏差率5.26%。</w:t>
            </w:r>
          </w:p>
        </w:tc>
      </w:tr>
      <w:tr w:rsidR="009A6D40">
        <w:tc>
          <w:tcPr>
            <w:tcW w:w="2528" w:type="dxa"/>
            <w:gridSpan w:val="4"/>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97.53分</w:t>
            </w:r>
          </w:p>
        </w:tc>
        <w:tc>
          <w:tcPr>
            <w:tcW w:w="632" w:type="dxa"/>
            <w:tcBorders>
              <w:top w:val="single" w:sz="10" w:space="0" w:color="auto"/>
              <w:left w:val="single" w:sz="10" w:space="0" w:color="auto"/>
              <w:bottom w:val="single" w:sz="10" w:space="0" w:color="auto"/>
              <w:right w:val="single" w:sz="10" w:space="0" w:color="auto"/>
            </w:tcBorders>
          </w:tcPr>
          <w:p w:rsidR="009A6D40" w:rsidRDefault="009A6D40"/>
        </w:tc>
      </w:tr>
    </w:tbl>
    <w:p w:rsidR="009A6D40" w:rsidRDefault="00DC1BF7">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32"/>
        <w:gridCol w:w="632"/>
      </w:tblGrid>
      <w:tr w:rsidR="009A6D40">
        <w:tc>
          <w:tcPr>
            <w:tcW w:w="8848" w:type="dxa"/>
            <w:gridSpan w:val="14"/>
            <w:vAlign w:val="center"/>
          </w:tcPr>
          <w:p w:rsidR="009A6D40" w:rsidRDefault="00DC1BF7">
            <w:pPr>
              <w:jc w:val="center"/>
            </w:pPr>
            <w:r>
              <w:rPr>
                <w:rFonts w:ascii="宋体" w:hAnsi="宋体"/>
                <w:sz w:val="24"/>
              </w:rPr>
              <w:lastRenderedPageBreak/>
              <w:t>项目支出绩效自评表</w:t>
            </w:r>
          </w:p>
        </w:tc>
      </w:tr>
      <w:tr w:rsidR="009A6D40">
        <w:tc>
          <w:tcPr>
            <w:tcW w:w="8848" w:type="dxa"/>
            <w:gridSpan w:val="14"/>
            <w:vAlign w:val="center"/>
          </w:tcPr>
          <w:p w:rsidR="009A6D40" w:rsidRDefault="00DC1BF7">
            <w:pPr>
              <w:jc w:val="center"/>
            </w:pPr>
            <w:r>
              <w:rPr>
                <w:rFonts w:ascii="宋体" w:hAnsi="宋体"/>
                <w:sz w:val="24"/>
              </w:rPr>
              <w:t>(2024年度)</w:t>
            </w:r>
          </w:p>
        </w:tc>
      </w:tr>
      <w:tr w:rsidR="009A6D40">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proofErr w:type="gramStart"/>
            <w:r>
              <w:rPr>
                <w:rFonts w:ascii="宋体" w:hAnsi="宋体"/>
                <w:sz w:val="16"/>
              </w:rPr>
              <w:t>市监局</w:t>
            </w:r>
            <w:proofErr w:type="gramEnd"/>
            <w:r>
              <w:rPr>
                <w:rFonts w:ascii="宋体" w:hAnsi="宋体"/>
                <w:sz w:val="16"/>
              </w:rPr>
              <w:t>第一书记及工作队工作经费</w:t>
            </w:r>
          </w:p>
        </w:tc>
      </w:tr>
      <w:tr w:rsidR="009A6D40">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尉犁县市场监督管理局</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尉犁县市场监督管理局</w:t>
            </w:r>
          </w:p>
        </w:tc>
      </w:tr>
      <w:tr w:rsidR="009A6D40">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得分</w:t>
            </w:r>
          </w:p>
        </w:tc>
      </w:tr>
      <w:tr w:rsidR="009A6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3.85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96.25%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9.06</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3.85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r>
      <w:tr w:rsidR="009A6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总体目标完成情况</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r>
              <w:rPr>
                <w:rFonts w:ascii="宋体" w:hAnsi="宋体"/>
                <w:sz w:val="16"/>
              </w:rPr>
              <w:t>用于解决第一村民小组庭院经济提升村民居住环境灌水困难，租赁挖掘机1台，13.50天，以及购买五金材料。维修电脑、打印机及办公用品采购开展工作队工作使用，推动基层工作的开展。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6D40" w:rsidRDefault="00DC1BF7">
            <w:r>
              <w:rPr>
                <w:rFonts w:ascii="宋体" w:hAnsi="宋体"/>
                <w:sz w:val="16"/>
              </w:rPr>
              <w:t>完成第一村民小组庭院经济提升村民居住环境灌水困难，租赁挖掘机1台，13.50天，以及购买五金材料。维修电脑、打印机及办公用品采购开展工作队工作使用，推动基层工作的开展。</w:t>
            </w:r>
          </w:p>
        </w:tc>
      </w:tr>
      <w:tr w:rsidR="009A6D40">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偏差原因分析及改进措施</w:t>
            </w:r>
          </w:p>
        </w:tc>
      </w:tr>
      <w:tr w:rsidR="009A6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租赁挖掘机数量</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=1台</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=1台</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采购办公用品种类</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&gt;=31种</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=31种</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挖掘机租赁天数</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=13.5天</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=13.5天</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办公用品验收合格</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办公用品采购及时率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第一书记工作经费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&lt;=2万元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=1.94万元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97%</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9.25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通过与供应商协商批量采购优惠降低成本，经费偏差率3%。</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补充村级组织工作经费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&lt;=2万元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=1.91万元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95.5%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8.88</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通过与供应商协商批量采购优惠降低成本，经费偏差率4%。</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保障帮扶工作有序开展</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2528" w:type="dxa"/>
            <w:gridSpan w:val="4"/>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97.19分</w:t>
            </w:r>
          </w:p>
        </w:tc>
        <w:tc>
          <w:tcPr>
            <w:tcW w:w="632" w:type="dxa"/>
            <w:tcBorders>
              <w:top w:val="single" w:sz="10" w:space="0" w:color="auto"/>
              <w:left w:val="single" w:sz="10" w:space="0" w:color="auto"/>
              <w:bottom w:val="single" w:sz="10" w:space="0" w:color="auto"/>
              <w:right w:val="single" w:sz="10" w:space="0" w:color="auto"/>
            </w:tcBorders>
          </w:tcPr>
          <w:p w:rsidR="009A6D40" w:rsidRDefault="009A6D40"/>
        </w:tc>
      </w:tr>
    </w:tbl>
    <w:p w:rsidR="009A6D40" w:rsidRDefault="00DC1BF7">
      <w:r>
        <w:lastRenderedPageBreak/>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32"/>
        <w:gridCol w:w="632"/>
      </w:tblGrid>
      <w:tr w:rsidR="009A6D40">
        <w:tc>
          <w:tcPr>
            <w:tcW w:w="8848" w:type="dxa"/>
            <w:gridSpan w:val="14"/>
            <w:vAlign w:val="center"/>
          </w:tcPr>
          <w:p w:rsidR="009A6D40" w:rsidRDefault="00DC1BF7">
            <w:pPr>
              <w:jc w:val="center"/>
            </w:pPr>
            <w:r>
              <w:rPr>
                <w:rFonts w:ascii="宋体" w:hAnsi="宋体"/>
                <w:sz w:val="24"/>
              </w:rPr>
              <w:lastRenderedPageBreak/>
              <w:t>项目支出绩效自评表</w:t>
            </w:r>
          </w:p>
        </w:tc>
      </w:tr>
      <w:tr w:rsidR="009A6D40">
        <w:tc>
          <w:tcPr>
            <w:tcW w:w="8848" w:type="dxa"/>
            <w:gridSpan w:val="14"/>
            <w:vAlign w:val="center"/>
          </w:tcPr>
          <w:p w:rsidR="009A6D40" w:rsidRDefault="00DC1BF7">
            <w:pPr>
              <w:jc w:val="center"/>
            </w:pPr>
            <w:r>
              <w:rPr>
                <w:rFonts w:ascii="宋体" w:hAnsi="宋体"/>
                <w:sz w:val="24"/>
              </w:rPr>
              <w:t>(2024年度)</w:t>
            </w:r>
          </w:p>
        </w:tc>
      </w:tr>
      <w:tr w:rsidR="009A6D40">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proofErr w:type="gramStart"/>
            <w:r>
              <w:rPr>
                <w:rFonts w:ascii="宋体" w:hAnsi="宋体"/>
                <w:sz w:val="16"/>
              </w:rPr>
              <w:t>市监局</w:t>
            </w:r>
            <w:proofErr w:type="gramEnd"/>
            <w:r>
              <w:rPr>
                <w:rFonts w:ascii="宋体" w:hAnsi="宋体"/>
                <w:sz w:val="16"/>
              </w:rPr>
              <w:t>为民办实事及工作队工作经费</w:t>
            </w:r>
          </w:p>
        </w:tc>
      </w:tr>
      <w:tr w:rsidR="009A6D40">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尉犁县市场监督管理局</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尉犁县市场监督管理局</w:t>
            </w:r>
          </w:p>
        </w:tc>
      </w:tr>
      <w:tr w:rsidR="009A6D40">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得分</w:t>
            </w:r>
          </w:p>
        </w:tc>
      </w:tr>
      <w:tr w:rsidR="009A6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10.00</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r>
      <w:tr w:rsidR="009A6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总体目标完成情况</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r>
              <w:rPr>
                <w:rFonts w:ascii="宋体" w:hAnsi="宋体"/>
                <w:sz w:val="16"/>
              </w:rPr>
              <w:t>做好慰问困难群众，为群众送信息、送温暖、送服务，积极组织开展各类活动、培训，及为群众办好事实事等；保障驻村帮扶工作有序开展，推进乡村振兴,推动基层工作的开展。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6D40" w:rsidRDefault="00DC1BF7">
            <w:r>
              <w:rPr>
                <w:rFonts w:ascii="宋体" w:hAnsi="宋体"/>
                <w:sz w:val="16"/>
              </w:rPr>
              <w:t>工作队高度重视、精心部署，在用心用情为群众做实事、办好事，解难事上发力，抓好环境整治、建设美丽乡村，安装路灯27盏，为村民解决夜间照明问题，提高村民夜间出行安全系数。慰问群众给群众发放米、面、油，共受益群众2批次。组织村民参加联谊活动、主题党日活动、村民运动会、寒暑假“爱武书苑”大手拉小手等活动，丰富村民文体活动。</w:t>
            </w:r>
          </w:p>
        </w:tc>
      </w:tr>
      <w:tr w:rsidR="009A6D40">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偏差原因分析及改进措施</w:t>
            </w:r>
          </w:p>
        </w:tc>
      </w:tr>
      <w:tr w:rsidR="009A6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采购办公用品次数</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&gt;=1批次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慰问困难群众次数</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&gt;=2次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基础设施修缮数量</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&gt;=2次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=2次</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办公用品采购合格率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基础设施验收合格率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办公用品采购及时率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办公用品采购费用</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&lt;=2.5万元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=2.8万元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将慰问群众和信息宣传服务经费、基础设施修缮经费节约资金调整到购买办公用品使用。</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慰问群众和信息宣传服务经</w:t>
            </w:r>
            <w:r>
              <w:rPr>
                <w:rFonts w:ascii="宋体" w:hAnsi="宋体"/>
                <w:sz w:val="16"/>
              </w:rPr>
              <w:lastRenderedPageBreak/>
              <w:t>费</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lastRenderedPageBreak/>
              <w:t>&lt;=2.5万元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=2.4万元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6.3</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通过与供应商协商批量采购</w:t>
            </w:r>
            <w:r>
              <w:rPr>
                <w:rFonts w:ascii="宋体" w:hAnsi="宋体"/>
                <w:sz w:val="16"/>
              </w:rPr>
              <w:lastRenderedPageBreak/>
              <w:t>优惠降低成本。</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基础设施修缮经费</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&lt;=5万元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=4.8万元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5.4</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通过与供应商协商批量采购优惠降低成本。</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推动基层工作的开展</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2528" w:type="dxa"/>
            <w:gridSpan w:val="4"/>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91.70分</w:t>
            </w:r>
          </w:p>
        </w:tc>
        <w:tc>
          <w:tcPr>
            <w:tcW w:w="632" w:type="dxa"/>
            <w:tcBorders>
              <w:top w:val="single" w:sz="10" w:space="0" w:color="auto"/>
              <w:left w:val="single" w:sz="10" w:space="0" w:color="auto"/>
              <w:bottom w:val="single" w:sz="10" w:space="0" w:color="auto"/>
              <w:right w:val="single" w:sz="10" w:space="0" w:color="auto"/>
            </w:tcBorders>
          </w:tcPr>
          <w:p w:rsidR="009A6D40" w:rsidRDefault="009A6D40"/>
        </w:tc>
      </w:tr>
    </w:tbl>
    <w:p w:rsidR="009A6D40" w:rsidRDefault="00DC1BF7">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96"/>
      </w:tblGrid>
      <w:tr w:rsidR="009A6D40">
        <w:tc>
          <w:tcPr>
            <w:tcW w:w="8848" w:type="dxa"/>
            <w:gridSpan w:val="14"/>
            <w:vAlign w:val="center"/>
          </w:tcPr>
          <w:p w:rsidR="009A6D40" w:rsidRDefault="00DC1BF7">
            <w:pPr>
              <w:jc w:val="center"/>
            </w:pPr>
            <w:r>
              <w:rPr>
                <w:rFonts w:ascii="宋体" w:hAnsi="宋体"/>
                <w:sz w:val="24"/>
              </w:rPr>
              <w:lastRenderedPageBreak/>
              <w:t>项目支出绩效自评表</w:t>
            </w:r>
          </w:p>
        </w:tc>
      </w:tr>
      <w:tr w:rsidR="009A6D40">
        <w:tc>
          <w:tcPr>
            <w:tcW w:w="8848" w:type="dxa"/>
            <w:gridSpan w:val="14"/>
            <w:vAlign w:val="center"/>
          </w:tcPr>
          <w:p w:rsidR="009A6D40" w:rsidRDefault="00DC1BF7">
            <w:pPr>
              <w:jc w:val="center"/>
            </w:pPr>
            <w:r>
              <w:rPr>
                <w:rFonts w:ascii="宋体" w:hAnsi="宋体"/>
                <w:sz w:val="24"/>
              </w:rPr>
              <w:t>(2024年度)</w:t>
            </w:r>
          </w:p>
        </w:tc>
      </w:tr>
      <w:tr w:rsidR="009A6D40">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质量技术监督局产权</w:t>
            </w:r>
            <w:proofErr w:type="gramStart"/>
            <w:r>
              <w:rPr>
                <w:rFonts w:ascii="宋体" w:hAnsi="宋体"/>
                <w:sz w:val="16"/>
              </w:rPr>
              <w:t>证相关</w:t>
            </w:r>
            <w:proofErr w:type="gramEnd"/>
            <w:r>
              <w:rPr>
                <w:rFonts w:ascii="宋体" w:hAnsi="宋体"/>
                <w:sz w:val="16"/>
              </w:rPr>
              <w:t>资金</w:t>
            </w:r>
          </w:p>
        </w:tc>
      </w:tr>
      <w:tr w:rsidR="009A6D40">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尉犁县市场监督管理局</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尉犁县市场监督管理局</w:t>
            </w:r>
          </w:p>
        </w:tc>
      </w:tr>
      <w:tr w:rsidR="009A6D40">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得分</w:t>
            </w:r>
          </w:p>
        </w:tc>
      </w:tr>
      <w:tr w:rsidR="009A6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3.43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95.01%</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10.00</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3.43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r>
      <w:tr w:rsidR="009A6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总体目标完成情况</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9A6D40" w:rsidRDefault="00DC1BF7">
            <w:r>
              <w:rPr>
                <w:rFonts w:ascii="宋体" w:hAnsi="宋体"/>
                <w:sz w:val="16"/>
              </w:rPr>
              <w:t>通过对我局</w:t>
            </w:r>
            <w:proofErr w:type="gramStart"/>
            <w:r>
              <w:rPr>
                <w:rFonts w:ascii="宋体" w:hAnsi="宋体"/>
                <w:sz w:val="16"/>
              </w:rPr>
              <w:t>原质量</w:t>
            </w:r>
            <w:proofErr w:type="gramEnd"/>
            <w:r>
              <w:rPr>
                <w:rFonts w:ascii="宋体" w:hAnsi="宋体"/>
                <w:sz w:val="16"/>
              </w:rPr>
              <w:t>技术监督局办公楼房屋进行工程质量检测及测绘，有效办理办公楼产权登记证件，使国有资产产权确权确保资产合法有效。</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9A6D40" w:rsidRDefault="00DC1BF7">
            <w:r>
              <w:rPr>
                <w:rFonts w:ascii="宋体" w:hAnsi="宋体"/>
                <w:sz w:val="16"/>
              </w:rPr>
              <w:t>完成我局</w:t>
            </w:r>
            <w:proofErr w:type="gramStart"/>
            <w:r>
              <w:rPr>
                <w:rFonts w:ascii="宋体" w:hAnsi="宋体"/>
                <w:sz w:val="16"/>
              </w:rPr>
              <w:t>原质量</w:t>
            </w:r>
            <w:proofErr w:type="gramEnd"/>
            <w:r>
              <w:rPr>
                <w:rFonts w:ascii="宋体" w:hAnsi="宋体"/>
                <w:sz w:val="16"/>
              </w:rPr>
              <w:t>技术监督局办公楼房屋进行工程质量检测及测绘，有效办理办公楼产权登记证件1本，使国有资产产权确权确保资产合法有效。</w:t>
            </w:r>
          </w:p>
        </w:tc>
      </w:tr>
      <w:tr w:rsidR="009A6D40">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偏差原因分析及改进措施</w:t>
            </w:r>
          </w:p>
        </w:tc>
      </w:tr>
      <w:tr w:rsidR="009A6D40">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房屋测绘面积</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&gt;=734平方米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=734平方米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办理办公楼产权登记证件数量</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=1本</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=1本</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资金使用及时率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资金使用及时达到100%，</w:t>
            </w:r>
            <w:r>
              <w:rPr>
                <w:rFonts w:ascii="宋体" w:hAnsi="宋体"/>
                <w:sz w:val="16"/>
              </w:rPr>
              <w:lastRenderedPageBreak/>
              <w:t>目标值设定95%，偏差率5%</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工程鉴定费用</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&lt;=2.16万元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=2.05万元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4.75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工程鉴定费用通过与供应商协商批量采购优惠降低成本，偏差率5%。</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不动产测绘费</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&lt;=1.32万元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=1.05万元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120%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不动产测绘</w:t>
            </w:r>
            <w:proofErr w:type="gramStart"/>
            <w:r>
              <w:rPr>
                <w:rFonts w:ascii="宋体" w:hAnsi="宋体"/>
                <w:sz w:val="16"/>
              </w:rPr>
              <w:t>费通过</w:t>
            </w:r>
            <w:proofErr w:type="gramEnd"/>
            <w:r>
              <w:rPr>
                <w:rFonts w:ascii="宋体" w:hAnsi="宋体"/>
                <w:sz w:val="16"/>
              </w:rPr>
              <w:t>与供应商协商批量采购优惠降低成本，偏差率20%。</w:t>
            </w: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房屋面积测绘费用</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&lt;=0.08万元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=0.08万元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不动产证工本费</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&lt;=0.05万元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=0.05万元</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632" w:type="dxa"/>
            <w:vMerge/>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产权登记率</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9A6D40">
            <w:pPr>
              <w:jc w:val="center"/>
            </w:pPr>
          </w:p>
        </w:tc>
      </w:tr>
      <w:tr w:rsidR="009A6D40">
        <w:tc>
          <w:tcPr>
            <w:tcW w:w="2528" w:type="dxa"/>
            <w:gridSpan w:val="4"/>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tcPr>
          <w:p w:rsidR="009A6D40" w:rsidRDefault="009A6D40"/>
        </w:tc>
        <w:tc>
          <w:tcPr>
            <w:tcW w:w="632" w:type="dxa"/>
            <w:tcBorders>
              <w:top w:val="single" w:sz="10" w:space="0" w:color="auto"/>
              <w:left w:val="single" w:sz="10" w:space="0" w:color="auto"/>
              <w:bottom w:val="single" w:sz="10" w:space="0" w:color="auto"/>
              <w:right w:val="single" w:sz="10" w:space="0" w:color="auto"/>
            </w:tcBorders>
            <w:vAlign w:val="center"/>
          </w:tcPr>
          <w:p w:rsidR="009A6D40" w:rsidRDefault="00DC1BF7">
            <w:pPr>
              <w:jc w:val="center"/>
            </w:pPr>
            <w:r>
              <w:rPr>
                <w:rFonts w:ascii="宋体" w:hAnsi="宋体"/>
                <w:sz w:val="16"/>
              </w:rPr>
              <w:t>98.25分</w:t>
            </w:r>
          </w:p>
        </w:tc>
        <w:tc>
          <w:tcPr>
            <w:tcW w:w="632" w:type="dxa"/>
            <w:tcBorders>
              <w:top w:val="single" w:sz="10" w:space="0" w:color="auto"/>
              <w:left w:val="single" w:sz="10" w:space="0" w:color="auto"/>
              <w:bottom w:val="single" w:sz="10" w:space="0" w:color="auto"/>
              <w:right w:val="single" w:sz="10" w:space="0" w:color="auto"/>
            </w:tcBorders>
          </w:tcPr>
          <w:p w:rsidR="009A6D40" w:rsidRDefault="009A6D40"/>
        </w:tc>
      </w:tr>
    </w:tbl>
    <w:p w:rsidR="009A6D40" w:rsidRDefault="00DC1BF7">
      <w:r>
        <w:br w:type="page"/>
      </w:r>
    </w:p>
    <w:p w:rsidR="009A6D40" w:rsidRDefault="00DC1BF7">
      <w:pPr>
        <w:spacing w:line="640" w:lineRule="exact"/>
        <w:ind w:firstLine="640"/>
        <w:outlineLvl w:val="2"/>
      </w:pPr>
      <w:r>
        <w:rPr>
          <w:rFonts w:ascii="黑体" w:eastAsia="黑体" w:hAnsi="黑体"/>
        </w:rPr>
        <w:lastRenderedPageBreak/>
        <w:t>十二、其他需说明的事项</w:t>
      </w:r>
    </w:p>
    <w:p w:rsidR="009A6D40" w:rsidRDefault="00DC1BF7">
      <w:pPr>
        <w:spacing w:line="580" w:lineRule="exact"/>
        <w:ind w:firstLine="640"/>
      </w:pPr>
      <w:r>
        <w:rPr>
          <w:rFonts w:ascii="仿宋_GB2312" w:eastAsia="仿宋_GB2312" w:hAnsi="仿宋_GB2312"/>
        </w:rPr>
        <w:t>本单位无其他需说明的事项。</w:t>
      </w:r>
    </w:p>
    <w:p w:rsidR="009A6D40" w:rsidRDefault="00DC1BF7">
      <w:r>
        <w:br w:type="page"/>
      </w:r>
    </w:p>
    <w:p w:rsidR="009A6D40" w:rsidRDefault="00DC1BF7">
      <w:pPr>
        <w:jc w:val="center"/>
        <w:outlineLvl w:val="1"/>
      </w:pPr>
      <w:r>
        <w:rPr>
          <w:rFonts w:ascii="黑体" w:eastAsia="黑体" w:hAnsi="黑体"/>
        </w:rPr>
        <w:lastRenderedPageBreak/>
        <w:t>第三部分 专业名词解释</w:t>
      </w:r>
    </w:p>
    <w:p w:rsidR="009A6D40" w:rsidRDefault="00DC1BF7">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9A6D40" w:rsidRDefault="00DC1BF7">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9A6D40" w:rsidRDefault="00DC1BF7">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9A6D40" w:rsidRDefault="00DC1BF7">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9A6D40" w:rsidRDefault="00DC1BF7">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9A6D40" w:rsidRDefault="00DC1BF7">
      <w:pPr>
        <w:ind w:firstLine="640"/>
      </w:pPr>
      <w:r>
        <w:rPr>
          <w:rFonts w:ascii="仿宋_GB2312" w:eastAsia="仿宋_GB2312" w:hAnsi="仿宋_GB2312"/>
          <w:b/>
        </w:rPr>
        <w:t>六、其他收入：</w:t>
      </w:r>
      <w:r>
        <w:rPr>
          <w:rFonts w:ascii="仿宋_GB2312" w:eastAsia="仿宋_GB2312" w:hAnsi="仿宋_GB2312"/>
        </w:rPr>
        <w:t>指除上述“财政拨款收入”、“事业收入”、“经营收入”、“附属单位上缴收入”等之外取得的收入。</w:t>
      </w:r>
    </w:p>
    <w:p w:rsidR="009A6D40" w:rsidRDefault="00DC1BF7">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9A6D40" w:rsidRDefault="00DC1BF7">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9A6D40" w:rsidRDefault="00DC1BF7">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9A6D40" w:rsidRDefault="00DC1BF7">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9A6D40" w:rsidRDefault="00DC1BF7">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9A6D40" w:rsidRDefault="00DC1BF7">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9A6D40" w:rsidRDefault="00DC1BF7">
      <w:pPr>
        <w:ind w:firstLine="640"/>
      </w:pPr>
      <w:r>
        <w:rPr>
          <w:rFonts w:ascii="仿宋_GB2312" w:eastAsia="仿宋_GB2312" w:hAnsi="仿宋_GB2312"/>
          <w:b/>
        </w:rPr>
        <w:t>十三、“三公”经费：</w:t>
      </w:r>
      <w:r>
        <w:rPr>
          <w:rFonts w:ascii="仿宋_GB2312" w:eastAsia="仿宋_GB2312" w:hAnsi="仿宋_GB2312"/>
        </w:rPr>
        <w:t>指用财政拨款安排的因公出国（境）费、公务用车购置及运行费和公务接待费。其中，因公出国（境）</w:t>
      </w:r>
      <w:proofErr w:type="gramStart"/>
      <w:r>
        <w:rPr>
          <w:rFonts w:ascii="仿宋_GB2312" w:eastAsia="仿宋_GB2312" w:hAnsi="仿宋_GB2312"/>
        </w:rPr>
        <w:t>费反映</w:t>
      </w:r>
      <w:proofErr w:type="gramEnd"/>
      <w:r>
        <w:rPr>
          <w:rFonts w:ascii="仿宋_GB2312" w:eastAsia="仿宋_GB2312" w:hAnsi="仿宋_GB2312"/>
        </w:rPr>
        <w:t>单位公务出国（境）的国际旅费、国外城市间交通费、住宿费、伙食费、培训费、公杂费等支出；公务用车购置反映公务用车购置支出（</w:t>
      </w:r>
      <w:proofErr w:type="gramStart"/>
      <w:r>
        <w:rPr>
          <w:rFonts w:ascii="仿宋_GB2312" w:eastAsia="仿宋_GB2312" w:hAnsi="仿宋_GB2312"/>
        </w:rPr>
        <w:t>含车辆</w:t>
      </w:r>
      <w:proofErr w:type="gramEnd"/>
      <w:r>
        <w:rPr>
          <w:rFonts w:ascii="仿宋_GB2312" w:eastAsia="仿宋_GB2312" w:hAnsi="仿宋_GB2312"/>
        </w:rPr>
        <w:t>购置税、牌照费）；公务用车运行维护费反映单位按规定保留的公务用车燃料费、维修费、过路过桥费、保险费、安全奖励费用等支出；公务接待</w:t>
      </w:r>
      <w:proofErr w:type="gramStart"/>
      <w:r>
        <w:rPr>
          <w:rFonts w:ascii="仿宋_GB2312" w:eastAsia="仿宋_GB2312" w:hAnsi="仿宋_GB2312"/>
        </w:rPr>
        <w:t>费反映</w:t>
      </w:r>
      <w:proofErr w:type="gramEnd"/>
      <w:r>
        <w:rPr>
          <w:rFonts w:ascii="仿宋_GB2312" w:eastAsia="仿宋_GB2312" w:hAnsi="仿宋_GB2312"/>
        </w:rPr>
        <w:t>单位按规定开支的各类公务接待（含外宾接待）费用。</w:t>
      </w:r>
    </w:p>
    <w:p w:rsidR="009A6D40" w:rsidRDefault="00DC1BF7">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9A6D40" w:rsidRDefault="00DC1BF7">
      <w:r>
        <w:br w:type="page"/>
      </w:r>
    </w:p>
    <w:p w:rsidR="009A6D40" w:rsidRDefault="00DC1BF7">
      <w:pPr>
        <w:jc w:val="center"/>
        <w:outlineLvl w:val="1"/>
      </w:pPr>
      <w:r>
        <w:rPr>
          <w:rFonts w:ascii="黑体" w:eastAsia="黑体" w:hAnsi="黑体"/>
        </w:rPr>
        <w:lastRenderedPageBreak/>
        <w:t>第四部分 部门决算报表（见附表）</w:t>
      </w:r>
    </w:p>
    <w:p w:rsidR="009A6D40" w:rsidRDefault="00DC1BF7">
      <w:pPr>
        <w:ind w:firstLine="640"/>
      </w:pPr>
      <w:r>
        <w:rPr>
          <w:rFonts w:ascii="仿宋_GB2312" w:eastAsia="仿宋_GB2312" w:hAnsi="仿宋_GB2312"/>
        </w:rPr>
        <w:t>一、《收入支出决算总表》</w:t>
      </w:r>
    </w:p>
    <w:p w:rsidR="009A6D40" w:rsidRDefault="00DC1BF7">
      <w:pPr>
        <w:ind w:firstLine="640"/>
      </w:pPr>
      <w:r>
        <w:rPr>
          <w:rFonts w:ascii="仿宋_GB2312" w:eastAsia="仿宋_GB2312" w:hAnsi="仿宋_GB2312"/>
        </w:rPr>
        <w:t>二、《收入决算表》</w:t>
      </w:r>
    </w:p>
    <w:p w:rsidR="009A6D40" w:rsidRDefault="00DC1BF7">
      <w:pPr>
        <w:ind w:firstLine="640"/>
      </w:pPr>
      <w:r>
        <w:rPr>
          <w:rFonts w:ascii="仿宋_GB2312" w:eastAsia="仿宋_GB2312" w:hAnsi="仿宋_GB2312"/>
        </w:rPr>
        <w:t>三、《支出决算表》</w:t>
      </w:r>
    </w:p>
    <w:p w:rsidR="009A6D40" w:rsidRDefault="00DC1BF7">
      <w:pPr>
        <w:ind w:firstLine="640"/>
      </w:pPr>
      <w:r>
        <w:rPr>
          <w:rFonts w:ascii="仿宋_GB2312" w:eastAsia="仿宋_GB2312" w:hAnsi="仿宋_GB2312"/>
        </w:rPr>
        <w:t>四、《财政拨款收入支出决算总表》</w:t>
      </w:r>
    </w:p>
    <w:p w:rsidR="009A6D40" w:rsidRDefault="00DC1BF7">
      <w:pPr>
        <w:ind w:firstLine="640"/>
      </w:pPr>
      <w:r>
        <w:rPr>
          <w:rFonts w:ascii="仿宋_GB2312" w:eastAsia="仿宋_GB2312" w:hAnsi="仿宋_GB2312"/>
        </w:rPr>
        <w:t>五、《一般公共预算财政拨款支出决算表》</w:t>
      </w:r>
    </w:p>
    <w:p w:rsidR="009A6D40" w:rsidRDefault="00DC1BF7">
      <w:pPr>
        <w:ind w:firstLine="640"/>
      </w:pPr>
      <w:r>
        <w:rPr>
          <w:rFonts w:ascii="仿宋_GB2312" w:eastAsia="仿宋_GB2312" w:hAnsi="仿宋_GB2312"/>
        </w:rPr>
        <w:t>六、《一般公共预算财政拨款基本支出决算表》</w:t>
      </w:r>
    </w:p>
    <w:p w:rsidR="009A6D40" w:rsidRDefault="00DC1BF7">
      <w:pPr>
        <w:ind w:firstLine="640"/>
      </w:pPr>
      <w:r>
        <w:rPr>
          <w:rFonts w:ascii="仿宋_GB2312" w:eastAsia="仿宋_GB2312" w:hAnsi="仿宋_GB2312"/>
        </w:rPr>
        <w:t>七、《政府性基金预算财政拨款收入支出决算表》</w:t>
      </w:r>
    </w:p>
    <w:p w:rsidR="009A6D40" w:rsidRDefault="00DC1BF7">
      <w:pPr>
        <w:ind w:firstLine="640"/>
      </w:pPr>
      <w:r>
        <w:rPr>
          <w:rFonts w:ascii="仿宋_GB2312" w:eastAsia="仿宋_GB2312" w:hAnsi="仿宋_GB2312"/>
        </w:rPr>
        <w:t>八、《国有资本经营预算财政拨款收入支出决算表》</w:t>
      </w:r>
    </w:p>
    <w:p w:rsidR="009A6D40" w:rsidRDefault="00DC1BF7">
      <w:pPr>
        <w:ind w:firstLine="640"/>
      </w:pPr>
      <w:r>
        <w:rPr>
          <w:rFonts w:ascii="仿宋_GB2312" w:eastAsia="仿宋_GB2312" w:hAnsi="仿宋_GB2312"/>
        </w:rPr>
        <w:t>九、《财政拨款“三公”经费支出决算表》</w:t>
      </w:r>
    </w:p>
    <w:p w:rsidR="009A6D40" w:rsidRDefault="009A6D40">
      <w:pPr>
        <w:ind w:firstLine="640"/>
      </w:pPr>
    </w:p>
    <w:p w:rsidR="009A6D40" w:rsidRDefault="009A6D40">
      <w:pPr>
        <w:ind w:firstLine="640"/>
      </w:pPr>
    </w:p>
    <w:p w:rsidR="009A6D40" w:rsidRDefault="009A6D40">
      <w:pPr>
        <w:ind w:firstLine="640"/>
      </w:pPr>
    </w:p>
    <w:p w:rsidR="009A6D40" w:rsidRDefault="009A6D40">
      <w:pPr>
        <w:ind w:firstLine="640"/>
      </w:pPr>
    </w:p>
    <w:p w:rsidR="009A6D40" w:rsidRDefault="009A6D40">
      <w:pPr>
        <w:ind w:firstLine="640"/>
      </w:pPr>
    </w:p>
    <w:sectPr w:rsidR="009A6D40">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1973" w:rsidRDefault="00CA1973">
      <w:r>
        <w:separator/>
      </w:r>
    </w:p>
  </w:endnote>
  <w:endnote w:type="continuationSeparator" w:id="0">
    <w:p w:rsidR="00CA1973" w:rsidRDefault="00CA1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BF7" w:rsidRDefault="00DC1BF7">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C1BF7" w:rsidRDefault="00DC1BF7">
                          <w:pPr>
                            <w:pStyle w:val="a4"/>
                          </w:pPr>
                          <w:r>
                            <w:rPr>
                              <w:rFonts w:hint="eastAsia"/>
                            </w:rPr>
                            <w:fldChar w:fldCharType="begin"/>
                          </w:r>
                          <w:r>
                            <w:rPr>
                              <w:rFonts w:hint="eastAsia"/>
                            </w:rPr>
                            <w:instrText xml:space="preserve"> PAGE  \* MERGEFORMAT </w:instrText>
                          </w:r>
                          <w:r>
                            <w:rPr>
                              <w:rFonts w:hint="eastAsia"/>
                            </w:rPr>
                            <w:fldChar w:fldCharType="separate"/>
                          </w:r>
                          <w:r w:rsidR="00E07F05">
                            <w:rPr>
                              <w:noProof/>
                            </w:rPr>
                            <w:t>27</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DC1BF7" w:rsidRDefault="00DC1BF7">
                    <w:pPr>
                      <w:pStyle w:val="a4"/>
                    </w:pPr>
                    <w:r>
                      <w:rPr>
                        <w:rFonts w:hint="eastAsia"/>
                      </w:rPr>
                      <w:fldChar w:fldCharType="begin"/>
                    </w:r>
                    <w:r>
                      <w:rPr>
                        <w:rFonts w:hint="eastAsia"/>
                      </w:rPr>
                      <w:instrText xml:space="preserve"> PAGE  \* MERGEFORMAT </w:instrText>
                    </w:r>
                    <w:r>
                      <w:rPr>
                        <w:rFonts w:hint="eastAsia"/>
                      </w:rPr>
                      <w:fldChar w:fldCharType="separate"/>
                    </w:r>
                    <w:r w:rsidR="00E07F05">
                      <w:rPr>
                        <w:noProof/>
                      </w:rPr>
                      <w:t>27</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1973" w:rsidRDefault="00CA1973">
      <w:r>
        <w:separator/>
      </w:r>
    </w:p>
  </w:footnote>
  <w:footnote w:type="continuationSeparator" w:id="0">
    <w:p w:rsidR="00CA1973" w:rsidRDefault="00CA19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9A6D40"/>
    <w:rsid w:val="009A6D40"/>
    <w:rsid w:val="00CA1973"/>
    <w:rsid w:val="00DC1BF7"/>
    <w:rsid w:val="00E07F05"/>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BE07C41-DA9E-4AB8-90AE-C1318B5B4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3069</Words>
  <Characters>17496</Characters>
  <Application>Microsoft Office Word</Application>
  <DocSecurity>0</DocSecurity>
  <Lines>145</Lines>
  <Paragraphs>41</Paragraphs>
  <ScaleCrop>false</ScaleCrop>
  <Company>Organization</Company>
  <LinksUpToDate>false</LinksUpToDate>
  <CharactersWithSpaces>20524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2025-09-12T10:19:00Z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