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尉犁县市政工程服务中心2024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(1)为生产生活提供市政工程设施管理维护保障。</w:t>
      </w:r>
    </w:p>
    <w:p>
      <w:pPr>
        <w:spacing w:line="580" w:lineRule="exact"/>
        <w:ind w:firstLine="640"/>
        <w:jc w:val="both"/>
      </w:pPr>
      <w:r>
        <w:rPr>
          <w:rFonts w:ascii="仿宋_GB2312" w:hAnsi="仿宋_GB2312" w:eastAsia="仿宋_GB2312"/>
          <w:sz w:val="32"/>
        </w:rPr>
        <w:t>(2)负责城市道路(包括机动车道、非机动车道、人行道、广场街头路边空地，路肩，路牌、城市道路隔离设施等。)桥涵(包括桥梁、涵洞、涵管等)、排水(包括城市排水管道、污水管道、泵站、污水处理厂及附属设施)、照明(包括城市道路、桥梁、广场、公共绿地等)等城市基础设施维护管理工作。</w:t>
      </w:r>
    </w:p>
    <w:p>
      <w:pPr>
        <w:spacing w:line="580" w:lineRule="exact"/>
        <w:ind w:firstLine="640"/>
        <w:jc w:val="both"/>
      </w:pPr>
      <w:r>
        <w:rPr>
          <w:rFonts w:ascii="仿宋_GB2312" w:hAnsi="仿宋_GB2312" w:eastAsia="仿宋_GB2312"/>
          <w:sz w:val="32"/>
        </w:rPr>
        <w:t>(3)完成上级部门交办的其他工作事项。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尉犁县市政工程服务中心2024年度，实有人数43人，其中：在职人员17人，减少2人；离休人员0人，增加0人；退休人员26人,增加1人。</w:t>
      </w:r>
    </w:p>
    <w:p>
      <w:pPr>
        <w:spacing w:line="580" w:lineRule="exact"/>
        <w:ind w:firstLine="640"/>
        <w:jc w:val="both"/>
      </w:pPr>
      <w:r>
        <w:rPr>
          <w:rFonts w:ascii="仿宋_GB2312" w:hAnsi="仿宋_GB2312" w:eastAsia="仿宋_GB2312"/>
          <w:sz w:val="32"/>
        </w:rPr>
        <w:t>尉犁县市政工程服务中心无下属预算单位，下设6个科室，分别是：办公室、财务室、路灯所、道路公共设施管理办公室、收费办公室、卫生监督办公室。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2024年度收入总计668.28万元，</w:t>
      </w:r>
      <w:r>
        <w:rPr>
          <w:rFonts w:ascii="仿宋_GB2312" w:hAnsi="仿宋_GB2312" w:eastAsia="仿宋_GB2312"/>
          <w:b w:val="0"/>
          <w:sz w:val="32"/>
        </w:rPr>
        <w:t>其中：本年收入合计668.28万元，使用非财政拨款结余（含专用结余）0.00万元，年初结转和结余0.00万元。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2024年度支出总计668.28万元，</w:t>
      </w:r>
      <w:r>
        <w:rPr>
          <w:rFonts w:ascii="仿宋_GB2312" w:hAnsi="仿宋_GB2312" w:eastAsia="仿宋_GB2312"/>
          <w:b w:val="0"/>
          <w:sz w:val="32"/>
        </w:rPr>
        <w:t>其中：本年支出合计668.28万元，结余分配0.00万元，年末结转和结余0.00万元。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减少1,438.66万元，下降68.28%，主要原因是：本年收支总体较上年相比减少环境卫生高洁服务费项目资金。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本年收入668.28万元，</w:t>
      </w:r>
      <w:r>
        <w:rPr>
          <w:rFonts w:ascii="仿宋_GB2312" w:hAnsi="仿宋_GB2312" w:eastAsia="仿宋_GB2312"/>
          <w:b w:val="0"/>
          <w:sz w:val="32"/>
        </w:rPr>
        <w:t>其中：财政拨款收入398.04万元，占59.56%；上级补助收入0.00万元，占0.00%；事业收入0.00万元，占0.00%；经营收入0.00万元，占0.00%；附属单位上缴收入0.00万元，占0.00%；其他收入270.24万元，占40.44%。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本年支出668.28万元，</w:t>
      </w:r>
      <w:r>
        <w:rPr>
          <w:rFonts w:ascii="仿宋_GB2312" w:hAnsi="仿宋_GB2312" w:eastAsia="仿宋_GB2312"/>
          <w:b w:val="0"/>
          <w:sz w:val="32"/>
        </w:rPr>
        <w:t>其中：基本支出337.04万元，占50.43%；项目支出331.25万元，占49.57%；上缴上级支出0.00万元，占0.00%；经营支出0.00万元，占0.00%；对附属单位补助支出0.00万元，占0.00%。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2024年度财政拨款收入总计398.04万元，</w:t>
      </w:r>
      <w:r>
        <w:rPr>
          <w:rFonts w:ascii="仿宋_GB2312" w:hAnsi="仿宋_GB2312" w:eastAsia="仿宋_GB2312"/>
          <w:b w:val="0"/>
          <w:sz w:val="32"/>
        </w:rPr>
        <w:t>其中：年初财政拨款结转和结余0.00万元，本年财政拨款收入398.04万元。</w:t>
      </w:r>
      <w:r>
        <w:rPr>
          <w:rFonts w:ascii="仿宋_GB2312" w:hAnsi="仿宋_GB2312" w:eastAsia="仿宋_GB2312"/>
          <w:b/>
          <w:sz w:val="32"/>
        </w:rPr>
        <w:t>财政拨款支出总计398.04万元，</w:t>
      </w:r>
      <w:r>
        <w:rPr>
          <w:rFonts w:ascii="仿宋_GB2312" w:hAnsi="仿宋_GB2312" w:eastAsia="仿宋_GB2312"/>
          <w:b w:val="0"/>
          <w:sz w:val="32"/>
        </w:rPr>
        <w:t>其中：年末财政拨款结转和结余0.00万元，本年财政拨款支出398.04万元。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减少125.41万元，下降23.96%，主要原因是：本年财政拨款较上年相比减少环境卫生高洁服务费项目资金。</w:t>
      </w:r>
      <w:r>
        <w:rPr>
          <w:rFonts w:ascii="仿宋_GB2312" w:hAnsi="仿宋_GB2312" w:eastAsia="仿宋_GB2312"/>
          <w:b/>
          <w:sz w:val="32"/>
        </w:rPr>
        <w:t>与年初预算相比，</w:t>
      </w:r>
      <w:r>
        <w:rPr>
          <w:rFonts w:ascii="仿宋_GB2312" w:hAnsi="仿宋_GB2312" w:eastAsia="仿宋_GB2312"/>
          <w:b w:val="0"/>
          <w:sz w:val="32"/>
        </w:rPr>
        <w:t>年初预算数339.39万元，决算数398.04万元，预决算差异率17.28%，主要原因是：年中追加城镇路灯电费项目及学校周边零星工程项目资金。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2024年度一般公共预算财政拨款支出385.63万元，</w:t>
      </w:r>
      <w:r>
        <w:rPr>
          <w:rFonts w:ascii="仿宋_GB2312" w:hAnsi="仿宋_GB2312" w:eastAsia="仿宋_GB2312"/>
          <w:b w:val="0"/>
          <w:sz w:val="32"/>
        </w:rPr>
        <w:t>占本年支出合计的57.70%。</w:t>
      </w:r>
      <w:r>
        <w:rPr>
          <w:rFonts w:ascii="仿宋_GB2312" w:hAnsi="仿宋_GB2312" w:eastAsia="仿宋_GB2312"/>
          <w:b/>
          <w:sz w:val="32"/>
        </w:rPr>
        <w:t>与上年相比，</w:t>
      </w:r>
      <w:r>
        <w:rPr>
          <w:rFonts w:ascii="仿宋_GB2312" w:hAnsi="仿宋_GB2312" w:eastAsia="仿宋_GB2312"/>
          <w:b w:val="0"/>
          <w:sz w:val="32"/>
        </w:rPr>
        <w:t>减少137.82万元，下降26.33%，主要原因是：本年较上年相比减少环境卫生高洁服务费项目支出资金。</w:t>
      </w:r>
      <w:r>
        <w:rPr>
          <w:rFonts w:ascii="仿宋_GB2312" w:hAnsi="仿宋_GB2312" w:eastAsia="仿宋_GB2312"/>
          <w:b/>
          <w:sz w:val="32"/>
        </w:rPr>
        <w:t>与年初预算相比,</w:t>
      </w:r>
      <w:r>
        <w:rPr>
          <w:rFonts w:ascii="仿宋_GB2312" w:hAnsi="仿宋_GB2312" w:eastAsia="仿宋_GB2312"/>
          <w:b w:val="0"/>
          <w:sz w:val="32"/>
        </w:rPr>
        <w:t>年初预算数339.39万元，决算数385.63万元，预决算差异率13.62%，主要原因是：年中追加城镇路灯电费项目及学校周边零星工程项目资金。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1.一般公共服务支出(类)0.04万元,占0.01%。</w:t>
      </w:r>
    </w:p>
    <w:p>
      <w:pPr>
        <w:spacing w:line="580" w:lineRule="exact"/>
        <w:ind w:firstLine="640"/>
        <w:jc w:val="both"/>
      </w:pPr>
      <w:r>
        <w:rPr>
          <w:rFonts w:ascii="仿宋_GB2312" w:hAnsi="仿宋_GB2312" w:eastAsia="仿宋_GB2312"/>
          <w:b w:val="0"/>
          <w:sz w:val="32"/>
        </w:rPr>
        <w:t>2.教育支出(类)48.82万元,占12.66%。</w:t>
      </w:r>
    </w:p>
    <w:p>
      <w:pPr>
        <w:spacing w:line="580" w:lineRule="exact"/>
        <w:ind w:firstLine="640"/>
        <w:jc w:val="both"/>
      </w:pPr>
      <w:r>
        <w:rPr>
          <w:rFonts w:ascii="仿宋_GB2312" w:hAnsi="仿宋_GB2312" w:eastAsia="仿宋_GB2312"/>
          <w:b w:val="0"/>
          <w:sz w:val="32"/>
        </w:rPr>
        <w:t>3.社会保障和就业支出(类)61.63万元,占15.98%。</w:t>
      </w:r>
    </w:p>
    <w:p>
      <w:pPr>
        <w:spacing w:line="580" w:lineRule="exact"/>
        <w:ind w:firstLine="640"/>
        <w:jc w:val="both"/>
      </w:pPr>
      <w:r>
        <w:rPr>
          <w:rFonts w:ascii="仿宋_GB2312" w:hAnsi="仿宋_GB2312" w:eastAsia="仿宋_GB2312"/>
          <w:b w:val="0"/>
          <w:sz w:val="32"/>
        </w:rPr>
        <w:t>4.卫生健康支出(类)14.03万元,占3.64%。</w:t>
      </w:r>
    </w:p>
    <w:p>
      <w:pPr>
        <w:spacing w:line="580" w:lineRule="exact"/>
        <w:ind w:firstLine="640"/>
        <w:jc w:val="both"/>
      </w:pPr>
      <w:r>
        <w:rPr>
          <w:rFonts w:ascii="仿宋_GB2312" w:hAnsi="仿宋_GB2312" w:eastAsia="仿宋_GB2312"/>
          <w:b w:val="0"/>
          <w:sz w:val="32"/>
        </w:rPr>
        <w:t>5.城乡社区支出(类)236.14万元,占61.23%。</w:t>
      </w:r>
    </w:p>
    <w:p>
      <w:pPr>
        <w:spacing w:line="580" w:lineRule="exact"/>
        <w:ind w:firstLine="640"/>
        <w:jc w:val="both"/>
      </w:pPr>
      <w:r>
        <w:rPr>
          <w:rFonts w:ascii="仿宋_GB2312" w:hAnsi="仿宋_GB2312" w:eastAsia="仿宋_GB2312"/>
          <w:b w:val="0"/>
          <w:sz w:val="32"/>
        </w:rPr>
        <w:t>6.住房保障支出(类)24.97万元,占6.48%。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1.一般公共服务支出(类)组织事务(款)其他组织事务支出(项):支出决算数为0.04万元，比上年决算增加0.04万元，增长100.00%,主要原因是：本年增加退休干部慰问支出。</w:t>
      </w:r>
    </w:p>
    <w:p>
      <w:pPr>
        <w:spacing w:line="580" w:lineRule="exact"/>
        <w:ind w:firstLine="640"/>
        <w:jc w:val="both"/>
      </w:pPr>
      <w:r>
        <w:rPr>
          <w:rFonts w:ascii="仿宋_GB2312" w:hAnsi="仿宋_GB2312" w:eastAsia="仿宋_GB2312"/>
          <w:b w:val="0"/>
          <w:sz w:val="32"/>
        </w:rPr>
        <w:t>2.教育支出(类)普通教育(款)其他普通教育支出(项):支出决算数为8.60万元，比上年决算增加8.60万元，增长100.00%,主要原因是：本年增加学校周边零星工程项目支出。</w:t>
      </w:r>
    </w:p>
    <w:p>
      <w:pPr>
        <w:spacing w:line="580" w:lineRule="exact"/>
        <w:ind w:firstLine="640"/>
        <w:jc w:val="both"/>
      </w:pPr>
      <w:r>
        <w:rPr>
          <w:rFonts w:ascii="仿宋_GB2312" w:hAnsi="仿宋_GB2312" w:eastAsia="仿宋_GB2312"/>
          <w:b w:val="0"/>
          <w:sz w:val="32"/>
        </w:rPr>
        <w:t>3.教育支出(类)进修及培训(款)培训支出(项):支出决算数为0.22万元，比上年决算增加0.22万元，增长100.00%,主要原因是：本年增加科级干部政治理论培训费支出。</w:t>
      </w:r>
    </w:p>
    <w:p>
      <w:pPr>
        <w:spacing w:line="580" w:lineRule="exact"/>
        <w:ind w:firstLine="640"/>
        <w:jc w:val="both"/>
      </w:pPr>
      <w:r>
        <w:rPr>
          <w:rFonts w:ascii="仿宋_GB2312" w:hAnsi="仿宋_GB2312" w:eastAsia="仿宋_GB2312"/>
          <w:b w:val="0"/>
          <w:sz w:val="32"/>
        </w:rPr>
        <w:t>4.教育支出(类)其他教育支出(款)其他教育支出(项):支出决算数为40.00万元，比上年决算增加40.00万元，增长100.00%,主要原因是：本年增加城镇路灯电费项目支出。</w:t>
      </w:r>
    </w:p>
    <w:p>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18.36万元，比上年决算增加3.92万元，增长27.15%,主要原因是：本年退休人员增加，增加退休人员基础绩效奖，退休费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30.75万元，比上年决算减少0.93万元，下降2.94%,主要原因是：本年在职人员减少，单位基本养老保险缴费较上年减少。</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12.52万元，比上年决算减少2.29万元，下降15.46%,主要原因是：本年退休人员做实职业年金金额减少，机关事业单位职业年金缴费支出减少。</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8.卫生健康支出(类)行政事业单位医疗(款)事业单位医疗(项):支出决算数为14.03万元，比上年决算减少0.40万元，下降2.77%,主要原因是：本年在职人员减少，事业单位医疗支出较上年减少。</w:t>
      </w:r>
    </w:p>
    <w:p>
      <w:pPr>
        <w:spacing w:line="580" w:lineRule="exact"/>
        <w:ind w:firstLine="640"/>
        <w:jc w:val="both"/>
      </w:pPr>
      <w:r>
        <w:rPr>
          <w:rFonts w:ascii="仿宋_GB2312" w:hAnsi="仿宋_GB2312" w:eastAsia="仿宋_GB2312"/>
          <w:b w:val="0"/>
          <w:sz w:val="32"/>
        </w:rPr>
        <w:t>9.城乡社区支出(类)城乡社区公共设施(款)其他城乡社区公共设施支出(项):支出决算数为236.14万元，比上年决算减少185.62万元，下降44.01%,主要原因是：本年减少环境卫生高洁服务费项目支出。</w:t>
      </w:r>
    </w:p>
    <w:p>
      <w:pPr>
        <w:spacing w:line="580" w:lineRule="exact"/>
        <w:ind w:firstLine="640"/>
        <w:jc w:val="both"/>
      </w:pPr>
      <w:r>
        <w:rPr>
          <w:rFonts w:ascii="仿宋_GB2312" w:hAnsi="仿宋_GB2312" w:eastAsia="仿宋_GB2312"/>
          <w:b w:val="0"/>
          <w:sz w:val="32"/>
        </w:rPr>
        <w:t>10.农林水支出(类)巩固脱贫攻坚成果衔接乡村振兴(款)农村基础设施建设(项):支出决算数为0.00万元，比上年决算减少3.85万元，下降100.00%,主要原因是：本年减少农村生活垃圾转运站项目支出。</w:t>
      </w:r>
    </w:p>
    <w:p>
      <w:pPr>
        <w:spacing w:line="580" w:lineRule="exact"/>
        <w:ind w:firstLine="640"/>
        <w:jc w:val="both"/>
      </w:pPr>
      <w:r>
        <w:rPr>
          <w:rFonts w:ascii="仿宋_GB2312" w:hAnsi="仿宋_GB2312" w:eastAsia="仿宋_GB2312"/>
          <w:b w:val="0"/>
          <w:sz w:val="32"/>
        </w:rPr>
        <w:t>11.住房保障支出(类)住房改革支出(款)住房公积金(项):支出决算数为24.97万元，比上年决算增加2.49万元，增长11.08%,主要原因是：本年在职人员工资基数调增，公积金缴费基数上涨，相应支出增加。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2024年度一般公共预算财政拨款基本支出337.03万元，其中：</w:t>
      </w:r>
      <w:r>
        <w:rPr>
          <w:rFonts w:ascii="仿宋_GB2312" w:hAnsi="仿宋_GB2312" w:eastAsia="仿宋_GB2312"/>
          <w:b/>
          <w:sz w:val="32"/>
        </w:rPr>
        <w:t>人员经费326.97万元，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包括：基本工资、津贴补贴、奖金、机关事业单位基本养老保险缴费、职业年金缴费、职工基本医疗保险缴费、其他社会保障缴费、住房公积金、医疗费、退休费、抚恤金、生活补助、奖励金。</w:t>
      </w:r>
    </w:p>
    <w:p>
      <w:pPr>
        <w:spacing w:line="580" w:lineRule="exact"/>
        <w:ind w:firstLine="640"/>
        <w:jc w:val="both"/>
      </w:pPr>
      <w:r>
        <w:rPr>
          <w:rFonts w:ascii="仿宋_GB2312" w:hAnsi="仿宋_GB2312" w:eastAsia="仿宋_GB2312"/>
          <w:b/>
          <w:sz w:val="32"/>
        </w:rPr>
        <w:t>公用经费10.07万元，</w:t>
      </w:r>
      <w:r>
        <w:rPr>
          <w:rFonts w:ascii="仿宋_GB2312" w:hAnsi="仿宋_GB2312" w:eastAsia="仿宋_GB2312"/>
          <w:b w:val="0"/>
          <w:sz w:val="32"/>
        </w:rPr>
        <w:t>包括：办公费、水费、邮电费、差旅费、培训费、工会经费、福利费、公务用车运行维护费、其他交通费用、其他商品和服务支出。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2024年度政府性基金预算财政拨款收入总计12.41万元，</w:t>
      </w:r>
      <w:r>
        <w:rPr>
          <w:rFonts w:ascii="仿宋_GB2312" w:hAnsi="仿宋_GB2312" w:eastAsia="仿宋_GB2312"/>
          <w:b w:val="0"/>
          <w:sz w:val="32"/>
        </w:rPr>
        <w:t>其中：年初结转和结余0.00万元，本年收入12.41万元。</w:t>
      </w:r>
      <w:r>
        <w:rPr>
          <w:rFonts w:ascii="仿宋_GB2312" w:hAnsi="仿宋_GB2312" w:eastAsia="仿宋_GB2312"/>
          <w:b/>
          <w:sz w:val="32"/>
        </w:rPr>
        <w:t>政府性基金预算财政拨款支出总计12.41万元，</w:t>
      </w:r>
      <w:r>
        <w:rPr>
          <w:rFonts w:ascii="仿宋_GB2312" w:hAnsi="仿宋_GB2312" w:eastAsia="仿宋_GB2312"/>
          <w:b w:val="0"/>
          <w:sz w:val="32"/>
        </w:rPr>
        <w:t>其中：年末结转和结余0.00万元，本年支出12.41万元。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增加12.41万元，增长100.00%，主要原因是：本年增加市政仓库建设项目国有土地使用权费支出。</w:t>
      </w:r>
      <w:r>
        <w:rPr>
          <w:rFonts w:ascii="仿宋_GB2312" w:hAnsi="仿宋_GB2312" w:eastAsia="仿宋_GB2312"/>
          <w:b/>
          <w:sz w:val="32"/>
        </w:rPr>
        <w:t>与年初预算相比，</w:t>
      </w:r>
      <w:r>
        <w:rPr>
          <w:rFonts w:ascii="仿宋_GB2312" w:hAnsi="仿宋_GB2312" w:eastAsia="仿宋_GB2312"/>
          <w:b w:val="0"/>
          <w:sz w:val="32"/>
        </w:rPr>
        <w:t>年初预算数0.00万元，决算数12.41万元，预决算差异率100.00%，主要原因是：年中追加市政仓库建设项目国有土地使用权费支出。</w:t>
      </w:r>
    </w:p>
    <w:p>
      <w:pPr>
        <w:spacing w:line="580" w:lineRule="exact"/>
        <w:ind w:firstLine="640"/>
        <w:jc w:val="both"/>
      </w:pPr>
      <w:r>
        <w:rPr>
          <w:rFonts w:ascii="仿宋_GB2312" w:hAnsi="仿宋_GB2312" w:eastAsia="仿宋_GB2312"/>
          <w:b w:val="0"/>
          <w:sz w:val="32"/>
        </w:rPr>
        <w:t>政府性基金预算财政拨款支出12.41万元。</w:t>
      </w:r>
    </w:p>
    <w:p>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12.41万元，比上年决算增加12.41万元，增长100.00%,主要原因是：本年增加市政仓库建设项目国有土地使用权费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2024年度财政拨款“三公”经费支出0.81万元，</w:t>
      </w:r>
      <w:r>
        <w:rPr>
          <w:rFonts w:ascii="仿宋_GB2312" w:hAnsi="仿宋_GB2312" w:eastAsia="仿宋_GB2312"/>
          <w:b w:val="0"/>
          <w:sz w:val="32"/>
        </w:rPr>
        <w:t>比上年减少2.09万元，下降72.07%，主要原因是：本年报废高空作业车1辆，皮卡车1辆，减少公务用车运行维护费。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公务用车购置及运行维护费支出0.81万元，占100.00%，比上年减少2.09万元，下降72.07%，主要原因是：本年报废高空作业车1辆，皮卡车1辆，减少公务用车运行维护费。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0.81万元，其中：公务用车购置费0.00万元，公务用车运行维护费0.81万元。公务用车运行维护费开支内容包括车辆燃油费、车辆保险费、车辆检测费、车辆维修费。公务用车购置数0辆，公务用车保有量2辆。国有资产占用情况中固定资产车辆25辆，与公务用车保有量差异原因是：本单位车辆借用其他单位使用，车辆费用由使用单位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0.82万元，决算数0.81万元，预决算差异率-1.22%，主要原因是：本年报废高空作业车1辆，皮卡车1辆，减少公务用车运行维护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0.82万元，决算数0.81万元，预决算差异率-1.22%，主要原因是：本年报废高空作业车1辆，皮卡车1辆，减少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市政工程服务中心（事业单位）公用经费支出10.07万元，比上年减少50.81万元，下降83.46%，主要原因是：本年在职减少2人，办公经费减少；报废高空作业车1辆，皮卡车1辆，减少公务用车运行维护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2024年度政府采购支出总额10.30万元，其中：政府采购货物支出9.29万元、政府采购工程支出0.00万元、政府采购服务支出1.01万元。</w:t>
      </w:r>
    </w:p>
    <w:p>
      <w:pPr>
        <w:spacing w:line="580" w:lineRule="exact"/>
        <w:ind w:firstLine="640"/>
        <w:jc w:val="both"/>
      </w:pPr>
      <w:r>
        <w:rPr>
          <w:rFonts w:ascii="仿宋_GB2312" w:hAnsi="仿宋_GB2312" w:eastAsia="仿宋_GB2312"/>
          <w:b w:val="0"/>
          <w:sz w:val="32"/>
        </w:rPr>
        <w:t>授予中小企业合同金额10.30万元，占政府采购支出总额的100.00%，其中：授予小微企业合同金额10.30万元，占政府采购支出总额的100.00%。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1,226.01平方米，价值94.41万元。车辆25辆，价值897.70万元，其中：副部（省）级及以上领导用车0辆、主要负责人用车0辆、机要通信用车0辆、应急保障用车0辆、执法执勤用车0辆、特种专业技术用车11辆、离退休干部服务用车0辆、其他用车14辆，其他用车主要是：垃圾车8辆、洒水车2辆、街道清洗清扫车1辆、皮卡车1辆、高空作业车1辆、自卸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4个，全年预算数331.60万元，全年执行数331.24万元。预算绩效管理取得的成效：一是严格质量监管，筑牢工程根基：通过招投标选定监理队伍，并严格检查监理人员到岗情况，严禁无资质或不符合招投标规定的监理人员进入施工现场。县领导以及财政、发改等部门领导多次赴项目现场指导工作。项目单位选派责任心强、业务精通的人员作为监管负责人，做好施工监督，严格把控质量验收关。二是规范资金管理，发挥最大效益：严格执行资金审批流程，明确资金使用范围，确保项目资金专款专用。坚持按工程进度拨付工程款，资金审批后直接支付给施工单位，有效防止截留、挪用、滞留和浪费资金等问题，保障资金使用安全，实现资金效益最大化。发现的问题及原因：一是工程质量监管的深度与广度欠缺虽然已对监理队伍和施工现场进行监管，但质量监管仍存在漏洞。部分监理人员专业能力不足，对施工过程中的一些技术问题未能及时发现并纠正。监管多集中在施工现场的表面检查，对隐蔽工程、原材料质量等关键环节的检查频次不够，监管深度有待提升。此外，监管方式较为传统，缺乏对新技术、新方法的运用，难以满足现代工程建设质量监管的要求。二是经费细化管理工作不足。基本支出和项目支出中包含的各类费用名目较多，主要是突发性的，在执行过程中，并不能把握到位，造成各项明细费用支出和年初预算不能完全一致。2024年尉犁县改善农村人居环境PPP建设项目服务费，第四季度考核评估期未满，该项目按效支付，因此第四季度资金未付清。资金分配缺乏灵活性，未能根据项目动态调整预算资金，导致部分预算资金闲置。三是预算绩效管理水平仍有欠缺。部门指标值设置偏低，实际完成情况容易超过目标值，简单参照过往完成值设定目标，未考虑后期潜力提升或业务需要会导致实际完成情况增长。由于绩效管理工作系统性较强，涉及面广，对财务人员和项目管理人员整体业务水平要求较高，绩效管理业务不够深入和全面，绩效管理水平须进一步加强。下一步改进措施：一是提升工程质量监管效能强化监理队伍管理：定期对监理人员开展专业培训，提升其业务能力与责任意识。建立监理人员考核评价机制，对考核不达标或履职不力的人员，限制其进入本地建筑市场，以此倒逼监理人员提升服务质量。创新质量监管方式：引入BIM、无人机巡查等新技术，对工程质量进行全方位、全过程监管。利用BIM技术提前模拟施工过程，发现潜在质量问题；借助无人机对施工现场进行高空巡查，拓宽监管范围，及时发现隐蔽工程和施工现场的质量隐患。二是由于目前的预算管理在编制和实施中还存在编制不细、预算调整、追加预算等现象，因此预算执行的准确性还有待加强。建议从源头上强化和细化资金预算管理。结合单位实际，按轻重缓急统筹安排编制预算，提高预算编制科学性和合理性，优化资金结构。同时，按时间进度分解资金使用计划，特别是专项资金的使用，要事前做计划，事中进行控制，事后总结提高，充分体现资金投向的目标和效益。优化预算编制与执行机制，精准化预算采用“零基预算+滚动预算”结合模式，依据项目优先级和进度分阶段拨款。双重考核将预算执行率与项目完成质量同步纳入部门绩效考核，权重各占50%。三是加强绩效管理业务学习。增强绩效管理理念，强化业务学习，夯实绩效管理基础工作，建章建制，建立统一的管理制度和控制执行标准，确保资金使用安全、规范，项目实施效果明显。引入“基线法”（基于历史数据）和“标杆法”（对照行业先进值）综合设定目标，根据季度/半年度完成情况，对明显偏低的目标值及时修正，将“目标设置合理性”纳入管理者绩效考核，有效提升指标设置时重视程度。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1-12月路灯电费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按照县委、县人民政府安排部署，负责县城市政设施运营维护管理，包括绿化供水和路灯用电保障。保障县城46处供电红绿灯站点，43条供电亮化路的正常照明。</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完成保障县城红绿灯供电站点46处，亮化道路供电43条；保障市政设施正常运营维护管理用电。全县正常亮化率达100%。</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县城供电红绿灯站点数量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&gt;=46处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县城供电亮化路条数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&gt;=43条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保证正常亮化率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路灯照明时长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&gt;=12小时/天均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=12小时/天均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1-12月电费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单位电量平均电价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=0.42元/度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=0.42元/度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保障群众夜间出行方便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达到目标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2023年12月高洁公司市容环卫服务费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完成清扫县城面积212.89万平方米。开展环卫达标考核2次。保障尉犁县城区及各乡镇环境卫生、垃圾清运等方面的工作，减少垃圾污染，营造更好的生活环境。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根据年度总目标完成了清扫县城面积212.89万平方米。开展环卫达标考核2次。保障尉犁县城区及各乡镇环境卫生、垃圾清运等方面的工作，减少垃圾污染，营造更好的生活环境。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清扫面积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&gt;=212.89万平方米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=212.89万平方米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开展环卫达标考核次数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环卫达标考核合格率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垃圾清运及时率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支付2023年12月高洁公司市容环卫服务费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&lt;=120.23万元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=120.23万元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提升市政服务能力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提升市政服务能力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改善人居环境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改善人居环境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2024年市政服务中心土地补偿费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本项目资金主要用缴纳土公用设施用地地补偿资金，市政工程项目国有土地使用权被征收占用，依据《公用设施用地》缴纳8276平方米土地补偿费用。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根据总体目标我单位已缴纳8276平方米土地补偿费用。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土地补偿面积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&gt;=8276平方米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=8276平方米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土地补偿费缴款标准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&lt;=15元/平方米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=15元/平方米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增加财政非税收入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提升政府公信力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2024年学校周边安全隐患零星工程项目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尉犁县市政工程服务中心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按照县委、县人民政府安排部署，为了确保校园周边环境的安全,采购护栏墩脚、螺丝等，新增防护栏256米,保障学生正常安全运行，维护道路交通安全。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完成采购并安装了护栏墩脚、螺丝等，新增防护栏256米,保障学生正常安全运行，维护道路交通安全。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新增护栏长度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&gt;=256米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=256米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新增护栏墩脚数量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&gt;=350个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购买螺丝数量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采购护栏墩脚成本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=5985元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购买护栏成本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=81920元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=79360元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采购螺丝成本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加强校园周边安全设施建设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学校及学生满意度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95.91分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