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cx="http://schemas.microsoft.com/office/drawing/2014/chartex">
  <w:body>
    <w:p>
      <w:pPr/>
      <w:r/>
    </w:p>
    <w:p>
      <w:pPr>
        <w:bidi w:val="0"/>
        <w:jc w:val="both"/>
        <w:rPr>
          <w:rFonts w:ascii="仿宋" w:eastAsia="仿宋" w:hAnsi="仿宋" w:cs="仿宋" w:hint="eastAsia"/>
          <w:color w:val="auto"/>
          <w:highlight w:val="none"/>
        </w:rPr>
      </w:pPr>
      <w:bookmarkStart w:id="0" w:name="OLE_LINK12"/>
      <w:bookmarkStart w:id="1" w:name="_GoBack"/>
      <w:bookmarkEnd w:id="1"/>
    </w:p>
    <w:p>
      <w:pPr>
        <w:bidi w:val="0"/>
        <w:jc w:val="both"/>
        <w:rPr>
          <w:rFonts w:ascii="仿宋" w:eastAsia="仿宋" w:hAnsi="仿宋" w:cs="仿宋" w:hint="eastAsia"/>
          <w:color w:val="auto"/>
          <w:highlight w:val="none"/>
        </w:rPr>
      </w:pPr>
    </w:p>
    <w:p>
      <w:pPr>
        <w:bidi w:val="0"/>
        <w:jc w:val="both"/>
        <w:rPr>
          <w:rFonts w:ascii="仿宋" w:eastAsia="仿宋" w:hAnsi="仿宋" w:cs="仿宋" w:hint="eastAsia"/>
          <w:color w:val="auto"/>
          <w:highlight w:val="none"/>
        </w:rPr>
      </w:pPr>
    </w:p>
    <w:p>
      <w:pPr>
        <w:pStyle w:val="Heading1"/>
        <w:bidi w:val="0"/>
        <w:rPr>
          <w:rFonts w:ascii="仿宋" w:eastAsia="仿宋" w:hAnsi="仿宋" w:cs="仿宋" w:hint="eastAsia"/>
          <w:color w:val="auto"/>
          <w:sz w:val="44"/>
          <w:szCs w:val="44"/>
          <w:highlight w:val="none"/>
        </w:rPr>
      </w:pPr>
      <w:bookmarkStart w:id="2" w:name="_Toc12053"/>
      <w:bookmarkStart w:id="3" w:name="_Toc24054"/>
      <w:bookmarkStart w:id="4" w:name="_Toc28201"/>
      <w:r>
        <w:rPr>
          <w:rFonts w:ascii="仿宋" w:eastAsia="仿宋" w:hAnsi="仿宋" w:cs="仿宋" w:hint="eastAsia"/>
          <w:color w:val="auto"/>
          <w:sz w:val="44"/>
          <w:szCs w:val="44"/>
          <w:highlight w:val="none"/>
        </w:rPr>
        <w:t xml:space="preserve">项目支出绩效评价报告</w:t>
      </w:r>
      <w:bookmarkEnd w:id="2"/>
      <w:bookmarkEnd w:id="3"/>
      <w:bookmarkEnd w:id="4"/>
    </w:p>
    <w:p>
      <w:pPr>
        <w:ind w:firstLine="883"/>
        <w:jc w:val="both"/>
        <w:rPr>
          <w:rFonts w:ascii="仿宋" w:eastAsia="仿宋" w:hAnsi="仿宋" w:cs="仿宋" w:hint="eastAsia"/>
          <w:b/>
          <w:bCs/>
          <w:color w:val="auto"/>
          <w:sz w:val="44"/>
          <w:szCs w:val="44"/>
          <w:highlight w:val="none"/>
        </w:rPr>
      </w:pPr>
    </w:p>
    <w:p>
      <w:pPr>
        <w:bidi w:val="0"/>
        <w:jc w:val="both"/>
        <w:rPr>
          <w:rFonts w:ascii="仿宋" w:eastAsia="仿宋" w:hAnsi="仿宋" w:cs="仿宋" w:hint="eastAsia"/>
          <w:color w:val="auto"/>
          <w:highlight w:val="none"/>
        </w:rPr>
      </w:pPr>
    </w:p>
    <w:p>
      <w:pPr>
        <w:bidi w:val="0"/>
        <w:ind w:left="0" w:firstLine="0" w:leftChars="0" w:firstLineChars="0"/>
        <w:jc w:val="center"/>
        <w:rPr>
          <w:rFonts w:ascii="仿宋" w:eastAsia="仿宋" w:hAnsi="仿宋" w:cs="仿宋" w:hint="eastAsia"/>
          <w:color w:val="auto"/>
          <w:highlight w:val="none"/>
        </w:rPr>
      </w:pPr>
      <w:r>
        <w:rPr>
          <w:rFonts w:ascii="仿宋" w:eastAsia="仿宋" w:hAnsi="仿宋" w:cs="仿宋" w:hint="eastAsia"/>
          <w:color w:val="auto"/>
          <w:sz w:val="28"/>
          <w:szCs w:val="28"/>
          <w:highlight w:val="none"/>
        </w:rPr>
        <w:t xml:space="preserve">（202</w:t>
      </w:r>
      <w:r>
        <w:rPr>
          <w:rFonts w:ascii="仿宋" w:eastAsia="仿宋" w:hAnsi="仿宋" w:cs="仿宋" w:hint="eastAsia"/>
          <w:color w:val="auto"/>
          <w:sz w:val="28"/>
          <w:szCs w:val="28"/>
          <w:highlight w:val="none"/>
          <w:lang w:val="en-US" w:eastAsia="zh-CN"/>
        </w:rPr>
        <w:t xml:space="preserve">4</w:t>
      </w:r>
      <w:r>
        <w:rPr>
          <w:rFonts w:ascii="仿宋" w:eastAsia="仿宋" w:hAnsi="仿宋" w:cs="仿宋" w:hint="eastAsia"/>
          <w:color w:val="auto"/>
          <w:sz w:val="28"/>
          <w:szCs w:val="28"/>
          <w:highlight w:val="none"/>
        </w:rPr>
        <w:t xml:space="preserve">年度）</w:t>
      </w:r>
    </w:p>
    <w:p>
      <w:pPr>
        <w:bidi w:val="0"/>
        <w:jc w:val="both"/>
        <w:rPr>
          <w:rFonts w:ascii="仿宋" w:eastAsia="仿宋" w:hAnsi="仿宋" w:cs="仿宋" w:hint="eastAsia"/>
          <w:color w:val="auto"/>
          <w:highlight w:val="none"/>
        </w:rPr>
      </w:pPr>
    </w:p>
    <w:p>
      <w:pPr>
        <w:bidi w:val="0"/>
        <w:jc w:val="both"/>
        <w:rPr>
          <w:rFonts w:ascii="仿宋" w:eastAsia="仿宋" w:hAnsi="仿宋" w:cs="仿宋" w:hint="eastAsia"/>
          <w:color w:val="auto"/>
          <w:highlight w:val="none"/>
        </w:rPr>
      </w:pPr>
    </w:p>
    <w:p>
      <w:pPr>
        <w:bidi w:val="0"/>
        <w:jc w:val="both"/>
        <w:rPr>
          <w:rFonts w:ascii="仿宋" w:eastAsia="仿宋" w:hAnsi="仿宋" w:cs="仿宋" w:hint="eastAsia"/>
          <w:color w:val="auto"/>
          <w:highlight w:val="none"/>
        </w:rPr>
      </w:pPr>
    </w:p>
    <w:p>
      <w:pPr>
        <w:bidi w:val="0"/>
        <w:jc w:val="both"/>
        <w:rPr>
          <w:rFonts w:ascii="仿宋" w:eastAsia="仿宋" w:hAnsi="仿宋" w:cs="仿宋" w:hint="eastAsia"/>
          <w:color w:val="auto"/>
          <w:highlight w:val="none"/>
        </w:rPr>
      </w:pPr>
    </w:p>
    <w:p>
      <w:pPr>
        <w:bidi w:val="0"/>
        <w:jc w:val="both"/>
        <w:rPr>
          <w:rFonts w:ascii="仿宋" w:eastAsia="仿宋" w:hAnsi="仿宋" w:cs="仿宋" w:hint="eastAsia"/>
          <w:b/>
          <w:bCs/>
          <w:color w:val="auto"/>
          <w:highlight w:val="none"/>
        </w:rPr>
      </w:pPr>
    </w:p>
    <w:p>
      <w:pPr>
        <w:bidi w:val="0"/>
        <w:jc w:val="both"/>
        <w:rPr>
          <w:rFonts w:ascii="仿宋" w:eastAsia="仿宋" w:hAnsi="仿宋" w:cs="仿宋" w:hint="eastAsia"/>
          <w:b w:val="0"/>
          <w:bCs w:val="0"/>
          <w:color w:val="auto"/>
          <w:highlight w:val="none"/>
          <w:lang w:val="en-US" w:eastAsia="zh-CN"/>
        </w:rPr>
      </w:pPr>
      <w:r>
        <w:rPr>
          <w:rFonts w:ascii="仿宋" w:eastAsia="仿宋" w:hAnsi="仿宋" w:cs="仿宋" w:hint="eastAsia"/>
          <w:b w:val="0"/>
          <w:bCs w:val="0"/>
          <w:color w:val="auto"/>
          <w:highlight w:val="none"/>
        </w:rPr>
        <w:t xml:space="preserve">项目名称</w:t>
      </w:r>
      <w:r>
        <w:rPr>
          <w:rFonts w:ascii="仿宋" w:eastAsia="仿宋" w:hAnsi="仿宋" w:cs="仿宋" w:hint="eastAsia"/>
          <w:b w:val="0"/>
          <w:bCs w:val="0"/>
          <w:color w:val="auto"/>
          <w:highlight w:val="none"/>
          <w:lang w:val="en-US" w:eastAsia="zh-CN"/>
        </w:rPr>
        <w:t xml:space="preserve">:1-12月路灯电费</w:t>
      </w:r>
    </w:p>
    <w:p>
      <w:pPr>
        <w:bidi w:val="0"/>
        <w:jc w:val="both"/>
        <w:rPr>
          <w:rFonts w:ascii="仿宋" w:eastAsia="仿宋" w:hAnsi="仿宋" w:cs="仿宋" w:hint="eastAsia"/>
          <w:b w:val="0"/>
          <w:bCs w:val="0"/>
          <w:color w:val="auto"/>
          <w:highlight w:val="none"/>
          <w:lang w:val="en-US" w:eastAsia="zh-CN"/>
        </w:rPr>
      </w:pPr>
      <w:r>
        <w:rPr>
          <w:rFonts w:ascii="仿宋" w:eastAsia="仿宋" w:hAnsi="仿宋" w:cs="仿宋" w:hint="eastAsia"/>
          <w:b w:val="0"/>
          <w:bCs w:val="0"/>
          <w:color w:val="auto"/>
          <w:highlight w:val="none"/>
        </w:rPr>
        <w:t xml:space="preserve">实施单位（公章）：</w:t>
      </w:r>
      <w:r>
        <w:rPr>
          <w:rFonts w:ascii="仿宋" w:eastAsia="仿宋" w:hAnsi="仿宋" w:cs="仿宋" w:hint="eastAsia"/>
          <w:b w:val="0"/>
          <w:bCs w:val="0"/>
          <w:color w:val="auto"/>
          <w:highlight w:val="none"/>
          <w:lang w:eastAsia="zh-CN"/>
        </w:rPr>
        <w:t xml:space="preserve">尉犁县市政工程服务中心</w:t>
      </w:r>
    </w:p>
    <w:p>
      <w:pPr>
        <w:bidi w:val="0"/>
        <w:jc w:val="both"/>
        <w:rPr>
          <w:rFonts w:ascii="仿宋" w:eastAsia="仿宋" w:hAnsi="仿宋" w:cs="仿宋" w:hint="eastAsia"/>
          <w:b w:val="0"/>
          <w:bCs w:val="0"/>
          <w:color w:val="auto"/>
          <w:highlight w:val="none"/>
          <w:lang w:eastAsia="zh-CN"/>
        </w:rPr>
      </w:pPr>
      <w:r>
        <w:rPr>
          <w:rFonts w:ascii="仿宋" w:eastAsia="仿宋" w:hAnsi="仿宋" w:cs="仿宋" w:hint="eastAsia"/>
          <w:b w:val="0"/>
          <w:bCs w:val="0"/>
          <w:color w:val="auto"/>
          <w:highlight w:val="none"/>
        </w:rPr>
        <w:t xml:space="preserve">主管部门（公章）：</w:t>
      </w:r>
      <w:r>
        <w:rPr>
          <w:rFonts w:ascii="仿宋" w:eastAsia="仿宋" w:hAnsi="仿宋" w:cs="仿宋" w:hint="eastAsia"/>
          <w:b w:val="0"/>
          <w:bCs w:val="0"/>
          <w:color w:val="auto"/>
          <w:highlight w:val="none"/>
          <w:lang w:eastAsia="zh-CN"/>
        </w:rPr>
        <w:t xml:space="preserve">尉犁县住房和城乡建设局</w:t>
      </w:r>
    </w:p>
    <w:p>
      <w:pPr>
        <w:bidi w:val="0"/>
        <w:jc w:val="both"/>
        <w:rPr>
          <w:rFonts w:ascii="仿宋" w:eastAsia="仿宋" w:hAnsi="仿宋" w:cs="仿宋" w:hint="eastAsia"/>
          <w:b w:val="0"/>
          <w:bCs w:val="0"/>
          <w:color w:val="auto"/>
          <w:highlight w:val="none"/>
          <w:lang w:val="en-US" w:eastAsia="zh-CN"/>
        </w:rPr>
      </w:pPr>
      <w:r>
        <w:rPr>
          <w:rFonts w:ascii="仿宋" w:eastAsia="仿宋" w:hAnsi="仿宋" w:cs="仿宋" w:hint="eastAsia"/>
          <w:b w:val="0"/>
          <w:bCs w:val="0"/>
          <w:color w:val="auto"/>
          <w:highlight w:val="none"/>
        </w:rPr>
        <w:t xml:space="preserve">项目负责人（签章）：</w:t>
      </w:r>
      <w:r>
        <w:rPr>
          <w:rFonts w:ascii="仿宋" w:eastAsia="仿宋" w:hAnsi="仿宋" w:cs="仿宋" w:hint="eastAsia"/>
          <w:b w:val="0"/>
          <w:bCs w:val="0"/>
          <w:color w:val="auto"/>
          <w:highlight w:val="none"/>
          <w:lang w:val="en-US" w:eastAsia="zh-CN"/>
        </w:rPr>
        <w:t xml:space="preserve">路超</w:t>
      </w:r>
    </w:p>
    <w:p>
      <w:pPr>
        <w:bidi w:val="0"/>
        <w:jc w:val="both"/>
        <w:rPr>
          <w:rFonts w:ascii="仿宋" w:eastAsia="仿宋" w:hAnsi="仿宋" w:cs="仿宋" w:hint="eastAsia"/>
          <w:b w:val="0"/>
          <w:bCs w:val="0"/>
          <w:color w:val="auto"/>
          <w:highlight w:val="none"/>
        </w:rPr>
      </w:pPr>
      <w:r>
        <w:rPr>
          <w:rFonts w:ascii="仿宋" w:eastAsia="仿宋" w:hAnsi="仿宋" w:cs="仿宋" w:hint="eastAsia"/>
          <w:b w:val="0"/>
          <w:bCs w:val="0"/>
          <w:color w:val="auto"/>
          <w:highlight w:val="none"/>
        </w:rPr>
        <w:t xml:space="preserve">填报时间：</w:t>
      </w:r>
      <w:r>
        <w:rPr>
          <w:rFonts w:ascii="仿宋" w:eastAsia="仿宋" w:hAnsi="仿宋" w:cs="仿宋" w:hint="eastAsia"/>
          <w:b w:val="0"/>
          <w:bCs w:val="0"/>
          <w:color w:val="auto"/>
          <w:highlight w:val="none"/>
          <w:lang w:val="en-US" w:eastAsia="zh-CN"/>
        </w:rPr>
        <w:t xml:space="preserve">2025</w:t>
      </w:r>
      <w:r>
        <w:rPr>
          <w:rFonts w:ascii="仿宋" w:eastAsia="仿宋" w:hAnsi="仿宋" w:cs="仿宋" w:hint="eastAsia"/>
          <w:b w:val="0"/>
          <w:bCs w:val="0"/>
          <w:color w:val="auto"/>
          <w:highlight w:val="none"/>
        </w:rPr>
        <w:t xml:space="preserve">年</w:t>
      </w:r>
      <w:r>
        <w:rPr>
          <w:rFonts w:ascii="仿宋" w:eastAsia="仿宋" w:hAnsi="仿宋" w:cs="仿宋" w:hint="eastAsia"/>
          <w:b w:val="0"/>
          <w:bCs w:val="0"/>
          <w:color w:val="auto"/>
          <w:highlight w:val="none"/>
          <w:lang w:val="en-US" w:eastAsia="zh-CN"/>
        </w:rPr>
        <w:t xml:space="preserve">4</w:t>
      </w:r>
      <w:r>
        <w:rPr>
          <w:rFonts w:ascii="仿宋" w:eastAsia="仿宋" w:hAnsi="仿宋" w:cs="仿宋" w:hint="eastAsia"/>
          <w:b w:val="0"/>
          <w:bCs w:val="0"/>
          <w:color w:val="auto"/>
          <w:highlight w:val="none"/>
        </w:rPr>
        <w:t xml:space="preserve">月</w:t>
      </w:r>
      <w:r>
        <w:rPr>
          <w:rFonts w:ascii="仿宋" w:eastAsia="仿宋" w:hAnsi="仿宋" w:cs="仿宋" w:hint="eastAsia"/>
          <w:b w:val="0"/>
          <w:bCs w:val="0"/>
          <w:color w:val="auto"/>
          <w:highlight w:val="none"/>
          <w:lang w:val="en-US" w:eastAsia="zh-CN"/>
        </w:rPr>
        <w:t xml:space="preserve">2</w:t>
      </w:r>
      <w:r>
        <w:rPr>
          <w:rFonts w:ascii="仿宋" w:eastAsia="仿宋" w:hAnsi="仿宋" w:cs="仿宋" w:hint="eastAsia"/>
          <w:b w:val="0"/>
          <w:bCs w:val="0"/>
          <w:color w:val="auto"/>
          <w:highlight w:val="none"/>
        </w:rPr>
        <w:t xml:space="preserve">日</w:t>
      </w:r>
    </w:p>
    <w:p>
      <w:pPr>
        <w:bidi w:val="0"/>
        <w:jc w:val="both"/>
        <w:rPr>
          <w:rFonts w:ascii="仿宋" w:eastAsia="仿宋" w:hAnsi="仿宋" w:cs="仿宋" w:hint="eastAsia"/>
          <w:b w:val="0"/>
          <w:bCs w:val="0"/>
          <w:color w:val="auto"/>
          <w:highlight w:val="none"/>
        </w:rPr>
      </w:pPr>
    </w:p>
    <w:p>
      <w:pPr>
        <w:bidi w:val="0"/>
        <w:jc w:val="both"/>
        <w:rPr>
          <w:rFonts w:ascii="仿宋" w:eastAsia="仿宋" w:hAnsi="仿宋" w:cs="仿宋" w:hint="eastAsia"/>
          <w:b w:val="0"/>
          <w:bCs w:val="0"/>
          <w:color w:val="auto"/>
          <w:highlight w:val="none"/>
        </w:rPr>
        <w:sectPr>
          <w:pgSz w:w="11906" w:h="16838" w:orient="portrait"/>
          <w:pgMar w:top="1440" w:right="1800" w:bottom="1440" w:left="1800" w:header="851" w:footer="992" w:gutter="0"/>
          <w:pgBorders/>
          <w:pgNumType w:start="1"/>
          <w:cols w:num="1" w:space="720">
            <w:col w:w="8306" w:space="720"/>
          </w:cols>
          <w:docGrid w:type="lines" w:linePitch="312" w:charSpace="0"/>
        </w:sectPr>
      </w:pPr>
    </w:p>
    <w:p>
      <w:pPr>
        <w:keepNext w:val="0"/>
        <w:keepLines w:val="0"/>
        <w:pageBreakBefore w:val="0"/>
        <w:kinsoku/>
        <w:wordWrap/>
        <w:overflowPunct/>
        <w:topLinePunct w:val="0"/>
        <w:autoSpaceDE/>
        <w:autoSpaceDN/>
        <w:bidi w:val="0"/>
        <w:adjustRightInd/>
        <w:snapToGrid/>
        <w:spacing w:before="0" w:beforeLines="0" w:after="0" w:afterLines="0" w:line="580" w:lineRule="exact"/>
        <w:ind w:left="0" w:right="0" w:firstLine="0" w:leftChars="0" w:rightChars="0" w:firstLineChars="0"/>
        <w:jc w:val="center"/>
        <w:textAlignment w:val="auto"/>
        <w:rPr>
          <w:rFonts w:ascii="仿宋" w:eastAsia="仿宋" w:hAnsi="仿宋" w:cs="仿宋" w:hint="eastAsia"/>
          <w:b/>
          <w:bCs/>
          <w:color w:val="auto"/>
          <w:sz w:val="32"/>
          <w:szCs w:val="32"/>
          <w:highlight w:val="none"/>
        </w:rPr>
      </w:pPr>
      <w:bookmarkStart w:id="5" w:name="_Toc11827"/>
      <w:bookmarkStart w:id="6" w:name="_Toc14721"/>
      <w:bookmarkStart w:id="7" w:name="_Toc15542"/>
      <w:bookmarkStart w:id="8" w:name="_Toc18707"/>
      <w:bookmarkStart w:id="9" w:name="_Toc1891"/>
      <w:bookmarkStart w:id="10" w:name="_Toc5473"/>
      <w:r>
        <w:rPr>
          <w:rFonts w:ascii="仿宋" w:eastAsia="仿宋" w:hAnsi="仿宋" w:cs="仿宋" w:hint="eastAsia"/>
          <w:b/>
          <w:bCs/>
          <w:color w:val="auto"/>
          <w:sz w:val="32"/>
          <w:szCs w:val="32"/>
          <w:highlight w:val="none"/>
        </w:rPr>
        <w:t xml:space="preserve">目</w:t>
      </w:r>
      <w:r>
        <w:rPr>
          <w:rFonts w:ascii="仿宋" w:eastAsia="仿宋" w:hAnsi="仿宋" w:cs="仿宋" w:hint="eastAsia"/>
          <w:b/>
          <w:bCs/>
          <w:color w:val="auto"/>
          <w:sz w:val="32"/>
          <w:szCs w:val="32"/>
          <w:highlight w:val="none"/>
          <w:lang w:val="en-US" w:eastAsia="zh-CN"/>
        </w:rPr>
        <w:t xml:space="preserve">  </w:t>
      </w:r>
      <w:r>
        <w:rPr>
          <w:rFonts w:ascii="仿宋" w:eastAsia="仿宋" w:hAnsi="仿宋" w:cs="仿宋" w:hint="eastAsia"/>
          <w:b/>
          <w:bCs/>
          <w:color w:val="auto"/>
          <w:sz w:val="32"/>
          <w:szCs w:val="32"/>
          <w:highlight w:val="none"/>
        </w:rPr>
        <w:t xml:space="preserve">录</w:t>
      </w:r>
    </w:p>
    <w:p>
      <w:pPr>
        <w:pStyle w:val="WPSOffice手动目录1"/>
        <w:keepNext w:val="0"/>
        <w:keepLines w:val="0"/>
        <w:pageBreakBefore w:val="0"/>
        <w:tabs>
          <w:tab w:val="right" w:leader="dot" w:pos="8306"/>
        </w:tabs>
        <w:kinsoku/>
        <w:wordWrap/>
        <w:overflowPunct/>
        <w:topLinePunct w:val="0"/>
        <w:autoSpaceDE/>
        <w:autoSpaceDN/>
        <w:bidi w:val="0"/>
        <w:adjustRightInd/>
        <w:snapToGrid/>
        <w:spacing w:line="580" w:lineRule="exact"/>
        <w:textAlignment w:val="auto"/>
        <w:rPr>
          <w:rFonts w:ascii="仿宋" w:eastAsia="仿宋" w:hAnsi="仿宋" w:cs="仿宋" w:hint="eastAsia"/>
          <w:b/>
          <w:color w:val="auto"/>
          <w:sz w:val="32"/>
          <w:szCs w:val="32"/>
          <w:highlight w:val="none"/>
        </w:rPr>
      </w:pPr>
      <w:r>
        <w:rPr>
          <w:rFonts w:ascii="仿宋" w:eastAsia="仿宋" w:hAnsi="仿宋" w:cs="仿宋" w:hint="eastAsia"/>
          <w:bCs/>
          <w:iCs/>
          <w:color w:val="auto"/>
          <w:kern w:val="2"/>
          <w:sz w:val="32"/>
          <w:szCs w:val="32"/>
          <w:highlight w:val="none"/>
          <w:lang w:val="en-US" w:eastAsia="zh-CN" w:bidi="ar-SA"/>
        </w:rPr>
        <w:fldChar w:fldCharType="begin"/>
      </w:r>
      <w:r>
        <w:rPr>
          <w:rFonts w:ascii="仿宋" w:eastAsia="仿宋" w:hAnsi="仿宋" w:cs="仿宋" w:hint="eastAsia"/>
          <w:bCs/>
          <w:iCs/>
          <w:color w:val="auto"/>
          <w:kern w:val="2"/>
          <w:sz w:val="32"/>
          <w:szCs w:val="32"/>
          <w:highlight w:val="none"/>
          <w:lang w:val="en-US" w:eastAsia="zh-CN" w:bidi="ar-SA"/>
        </w:rPr>
        <w:instrText xml:space="preserve">TOC \o "1-2" \h \u</w:instrText>
      </w:r>
      <w:r>
        <w:rPr>
          <w:rFonts w:ascii="仿宋" w:eastAsia="仿宋" w:hAnsi="仿宋" w:cs="仿宋" w:hint="eastAsia"/>
          <w:bCs/>
          <w:iCs/>
          <w:color w:val="auto"/>
          <w:kern w:val="2"/>
          <w:sz w:val="32"/>
          <w:szCs w:val="32"/>
          <w:highlight w:val="none"/>
          <w:lang w:val="en-US" w:eastAsia="zh-CN" w:bidi="ar-SA"/>
        </w:rPr>
        <w:fldChar w:fldCharType="separate"/>
      </w:r>
      <w:hyperlink w:anchor="_Toc19123" w:history="1">
        <w:r>
          <w:rPr>
            <w:rFonts w:ascii="仿宋" w:eastAsia="仿宋" w:hAnsi="仿宋" w:cs="仿宋" w:hint="eastAsia"/>
            <w:b w:val="0"/>
            <w:bCs w:val="0"/>
            <w:iCs/>
            <w:color w:val="auto"/>
            <w:kern w:val="2"/>
            <w:sz w:val="32"/>
            <w:szCs w:val="32"/>
            <w:highlight w:val="none"/>
            <w:lang w:val="en-US" w:eastAsia="zh-CN" w:bidi="ar-SA"/>
          </w:rPr>
          <w:t xml:space="preserve">一、基本情况</w:t>
        </w:r>
        <w:r>
          <w:rPr>
            <w:rFonts w:ascii="仿宋" w:eastAsia="仿宋" w:hAnsi="仿宋" w:cs="仿宋" w:hint="eastAsia"/>
            <w:b w:val="0"/>
            <w:bCs w:val="0"/>
            <w:color w:val="auto"/>
            <w:sz w:val="32"/>
            <w:szCs w:val="32"/>
            <w:highlight w:val="none"/>
          </w:rPr>
          <w:tab/>
        </w:r>
        <w:r>
          <w:rPr>
            <w:rFonts w:ascii="仿宋" w:eastAsia="仿宋" w:hAnsi="仿宋" w:cs="仿宋" w:hint="eastAsia"/>
            <w:b w:val="0"/>
            <w:bCs w:val="0"/>
            <w:color w:val="auto"/>
            <w:sz w:val="32"/>
            <w:szCs w:val="32"/>
            <w:highlight w:val="none"/>
          </w:rPr>
          <w:fldChar w:fldCharType="begin"/>
        </w:r>
        <w:r>
          <w:rPr>
            <w:rFonts w:ascii="仿宋" w:eastAsia="仿宋" w:hAnsi="仿宋" w:cs="仿宋" w:hint="eastAsia"/>
            <w:b w:val="0"/>
            <w:bCs w:val="0"/>
            <w:color w:val="auto"/>
            <w:sz w:val="32"/>
            <w:szCs w:val="32"/>
            <w:highlight w:val="none"/>
          </w:rPr>
          <w:instrText xml:space="preserve"> PAGEREF _Toc19123 \h </w:instrText>
        </w:r>
        <w:r>
          <w:rPr>
            <w:rFonts w:ascii="仿宋" w:eastAsia="仿宋" w:hAnsi="仿宋" w:cs="仿宋" w:hint="eastAsia"/>
            <w:b w:val="0"/>
            <w:bCs w:val="0"/>
            <w:color w:val="auto"/>
            <w:sz w:val="32"/>
            <w:szCs w:val="32"/>
            <w:highlight w:val="none"/>
          </w:rPr>
          <w:fldChar w:fldCharType="separate"/>
        </w:r>
        <w:r>
          <w:rPr>
            <w:rFonts w:ascii="仿宋" w:eastAsia="仿宋" w:hAnsi="仿宋" w:cs="仿宋" w:hint="eastAsia"/>
            <w:b w:val="0"/>
            <w:bCs w:val="0"/>
            <w:color w:val="auto"/>
            <w:sz w:val="32"/>
            <w:szCs w:val="32"/>
            <w:highlight w:val="none"/>
          </w:rPr>
          <w:t xml:space="preserve">1</w:t>
        </w:r>
        <w:r>
          <w:rPr>
            <w:rFonts w:ascii="仿宋" w:eastAsia="仿宋" w:hAnsi="仿宋" w:cs="仿宋" w:hint="eastAsia"/>
            <w:b w:val="0"/>
            <w:bCs w:val="0"/>
            <w:color w:val="auto"/>
            <w:sz w:val="32"/>
            <w:szCs w:val="32"/>
            <w:highlight w:val="none"/>
          </w:rPr>
          <w:fldChar w:fldCharType="end"/>
        </w:r>
      </w:hyperlink>
    </w:p>
    <w:p>
      <w:pPr>
        <w:pStyle w:val="WPSOffice手动目录2"/>
        <w:keepNext w:val="0"/>
        <w:keepLines w:val="0"/>
        <w:pageBreakBefore w:val="0"/>
        <w:tabs>
          <w:tab w:val="right" w:leader="dot" w:pos="8306"/>
        </w:tabs>
        <w:kinsoku/>
        <w:wordWrap/>
        <w:overflowPunct/>
        <w:topLinePunct w:val="0"/>
        <w:autoSpaceDE/>
        <w:autoSpaceDN/>
        <w:bidi w:val="0"/>
        <w:adjustRightInd/>
        <w:snapToGrid/>
        <w:spacing w:line="580" w:lineRule="exact"/>
        <w:textAlignment w:val="auto"/>
        <w:rPr>
          <w:rFonts w:ascii="仿宋" w:eastAsia="仿宋" w:hAnsi="仿宋" w:cs="仿宋" w:hint="eastAsia"/>
          <w:color w:val="auto"/>
          <w:sz w:val="32"/>
          <w:szCs w:val="32"/>
          <w:highlight w:val="none"/>
        </w:rPr>
      </w:pPr>
      <w:hyperlink w:anchor="_Toc8373" w:history="1">
        <w:r>
          <w:rPr>
            <w:rFonts w:ascii="仿宋" w:eastAsia="仿宋" w:hAnsi="仿宋" w:cs="仿宋" w:hint="eastAsia"/>
            <w:color w:val="auto"/>
            <w:sz w:val="32"/>
            <w:szCs w:val="32"/>
            <w:highlight w:val="none"/>
          </w:rPr>
          <w:t xml:space="preserve">（一）项目概况</w:t>
        </w:r>
        <w:r>
          <w:rPr>
            <w:rFonts w:ascii="仿宋" w:eastAsia="仿宋" w:hAnsi="仿宋" w:cs="仿宋" w:hint="eastAsia"/>
            <w:color w:val="auto"/>
            <w:sz w:val="32"/>
            <w:szCs w:val="32"/>
            <w:highlight w:val="none"/>
          </w:rPr>
          <w:tab/>
        </w:r>
        <w:r>
          <w:rPr>
            <w:rFonts w:ascii="仿宋" w:eastAsia="仿宋" w:hAnsi="仿宋" w:cs="仿宋" w:hint="eastAsia"/>
            <w:color w:val="auto"/>
            <w:sz w:val="32"/>
            <w:szCs w:val="32"/>
            <w:highlight w:val="none"/>
          </w:rPr>
          <w:fldChar w:fldCharType="begin"/>
        </w:r>
        <w:r>
          <w:rPr>
            <w:rFonts w:ascii="仿宋" w:eastAsia="仿宋" w:hAnsi="仿宋" w:cs="仿宋" w:hint="eastAsia"/>
            <w:color w:val="auto"/>
            <w:sz w:val="32"/>
            <w:szCs w:val="32"/>
            <w:highlight w:val="none"/>
          </w:rPr>
          <w:instrText xml:space="preserve"> PAGEREF _Toc8373 \h </w:instrText>
        </w:r>
        <w:r>
          <w:rPr>
            <w:rFonts w:ascii="仿宋" w:eastAsia="仿宋" w:hAnsi="仿宋" w:cs="仿宋" w:hint="eastAsia"/>
            <w:color w:val="auto"/>
            <w:sz w:val="32"/>
            <w:szCs w:val="32"/>
            <w:highlight w:val="none"/>
          </w:rPr>
          <w:fldChar w:fldCharType="separate"/>
        </w:r>
        <w:r>
          <w:rPr>
            <w:rFonts w:ascii="仿宋" w:eastAsia="仿宋" w:hAnsi="仿宋" w:cs="仿宋" w:hint="eastAsia"/>
            <w:color w:val="auto"/>
            <w:sz w:val="32"/>
            <w:szCs w:val="32"/>
            <w:highlight w:val="none"/>
          </w:rPr>
          <w:t xml:space="preserve">1</w:t>
        </w:r>
        <w:r>
          <w:rPr>
            <w:rFonts w:ascii="仿宋" w:eastAsia="仿宋" w:hAnsi="仿宋" w:cs="仿宋" w:hint="eastAsia"/>
            <w:color w:val="auto"/>
            <w:sz w:val="32"/>
            <w:szCs w:val="32"/>
            <w:highlight w:val="none"/>
          </w:rPr>
          <w:fldChar w:fldCharType="end"/>
        </w:r>
      </w:hyperlink>
    </w:p>
    <w:p>
      <w:pPr>
        <w:pStyle w:val="WPSOffice手动目录2"/>
        <w:keepNext w:val="0"/>
        <w:keepLines w:val="0"/>
        <w:pageBreakBefore w:val="0"/>
        <w:tabs>
          <w:tab w:val="right" w:leader="dot" w:pos="8306"/>
        </w:tabs>
        <w:kinsoku/>
        <w:wordWrap/>
        <w:overflowPunct/>
        <w:topLinePunct w:val="0"/>
        <w:autoSpaceDE/>
        <w:autoSpaceDN/>
        <w:bidi w:val="0"/>
        <w:adjustRightInd/>
        <w:snapToGrid/>
        <w:spacing w:line="580" w:lineRule="exact"/>
        <w:textAlignment w:val="auto"/>
        <w:rPr>
          <w:rFonts w:ascii="仿宋" w:eastAsia="仿宋" w:hAnsi="仿宋" w:cs="仿宋" w:hint="eastAsia"/>
          <w:color w:val="auto"/>
          <w:sz w:val="32"/>
          <w:szCs w:val="32"/>
          <w:highlight w:val="none"/>
        </w:rPr>
      </w:pPr>
      <w:hyperlink w:anchor="_Toc26568" w:history="1">
        <w:r>
          <w:rPr>
            <w:rFonts w:ascii="仿宋" w:eastAsia="仿宋" w:hAnsi="仿宋" w:cs="仿宋" w:hint="eastAsia"/>
            <w:color w:val="auto"/>
            <w:sz w:val="32"/>
            <w:szCs w:val="32"/>
            <w:highlight w:val="none"/>
          </w:rPr>
          <w:t xml:space="preserve">（二）项目绩效目标</w:t>
        </w:r>
        <w:r>
          <w:rPr>
            <w:rFonts w:ascii="仿宋" w:eastAsia="仿宋" w:hAnsi="仿宋" w:cs="仿宋" w:hint="eastAsia"/>
            <w:color w:val="auto"/>
            <w:sz w:val="32"/>
            <w:szCs w:val="32"/>
            <w:highlight w:val="none"/>
          </w:rPr>
          <w:tab/>
        </w:r>
        <w:r>
          <w:rPr>
            <w:rFonts w:ascii="仿宋" w:eastAsia="仿宋" w:hAnsi="仿宋" w:cs="仿宋" w:hint="eastAsia"/>
            <w:color w:val="auto"/>
            <w:sz w:val="32"/>
            <w:szCs w:val="32"/>
            <w:highlight w:val="none"/>
          </w:rPr>
          <w:fldChar w:fldCharType="begin"/>
        </w:r>
        <w:r>
          <w:rPr>
            <w:rFonts w:ascii="仿宋" w:eastAsia="仿宋" w:hAnsi="仿宋" w:cs="仿宋" w:hint="eastAsia"/>
            <w:color w:val="auto"/>
            <w:sz w:val="32"/>
            <w:szCs w:val="32"/>
            <w:highlight w:val="none"/>
          </w:rPr>
          <w:instrText xml:space="preserve"> PAGEREF _Toc26568 \h </w:instrText>
        </w:r>
        <w:r>
          <w:rPr>
            <w:rFonts w:ascii="仿宋" w:eastAsia="仿宋" w:hAnsi="仿宋" w:cs="仿宋" w:hint="eastAsia"/>
            <w:color w:val="auto"/>
            <w:sz w:val="32"/>
            <w:szCs w:val="32"/>
            <w:highlight w:val="none"/>
          </w:rPr>
          <w:fldChar w:fldCharType="separate"/>
        </w:r>
        <w:r>
          <w:rPr>
            <w:rFonts w:ascii="仿宋" w:eastAsia="仿宋" w:hAnsi="仿宋" w:cs="仿宋" w:hint="eastAsia"/>
            <w:color w:val="auto"/>
            <w:sz w:val="32"/>
            <w:szCs w:val="32"/>
            <w:highlight w:val="none"/>
          </w:rPr>
          <w:t xml:space="preserve">3</w:t>
        </w:r>
        <w:r>
          <w:rPr>
            <w:rFonts w:ascii="仿宋" w:eastAsia="仿宋" w:hAnsi="仿宋" w:cs="仿宋" w:hint="eastAsia"/>
            <w:color w:val="auto"/>
            <w:sz w:val="32"/>
            <w:szCs w:val="32"/>
            <w:highlight w:val="none"/>
          </w:rPr>
          <w:fldChar w:fldCharType="end"/>
        </w:r>
      </w:hyperlink>
    </w:p>
    <w:p>
      <w:pPr>
        <w:pStyle w:val="WPSOffice手动目录1"/>
        <w:keepNext w:val="0"/>
        <w:keepLines w:val="0"/>
        <w:pageBreakBefore w:val="0"/>
        <w:tabs>
          <w:tab w:val="right" w:leader="dot" w:pos="8306"/>
        </w:tabs>
        <w:kinsoku/>
        <w:wordWrap/>
        <w:overflowPunct/>
        <w:topLinePunct w:val="0"/>
        <w:autoSpaceDE/>
        <w:autoSpaceDN/>
        <w:bidi w:val="0"/>
        <w:adjustRightInd/>
        <w:snapToGrid/>
        <w:spacing w:line="580" w:lineRule="exact"/>
        <w:textAlignment w:val="auto"/>
        <w:rPr>
          <w:rFonts w:ascii="仿宋" w:eastAsia="仿宋" w:hAnsi="仿宋" w:cs="仿宋" w:hint="eastAsia"/>
          <w:b w:val="0"/>
          <w:bCs/>
          <w:color w:val="auto"/>
          <w:sz w:val="32"/>
          <w:szCs w:val="32"/>
          <w:highlight w:val="none"/>
        </w:rPr>
      </w:pPr>
      <w:hyperlink w:anchor="_Toc11320" w:history="1">
        <w:r>
          <w:rPr>
            <w:rFonts w:ascii="仿宋" w:eastAsia="仿宋" w:hAnsi="仿宋" w:cs="仿宋" w:hint="eastAsia"/>
            <w:b w:val="0"/>
            <w:bCs/>
            <w:color w:val="auto"/>
            <w:sz w:val="32"/>
            <w:szCs w:val="32"/>
            <w:highlight w:val="none"/>
          </w:rPr>
          <w:t xml:space="preserve">二、绩效评价工作开展情况</w:t>
        </w:r>
        <w:r>
          <w:rPr>
            <w:rFonts w:ascii="仿宋" w:eastAsia="仿宋" w:hAnsi="仿宋" w:cs="仿宋" w:hint="eastAsia"/>
            <w:b w:val="0"/>
            <w:bCs/>
            <w:color w:val="auto"/>
            <w:sz w:val="32"/>
            <w:szCs w:val="32"/>
            <w:highlight w:val="none"/>
          </w:rPr>
          <w:tab/>
        </w:r>
        <w:r>
          <w:rPr>
            <w:rFonts w:ascii="仿宋" w:eastAsia="仿宋" w:hAnsi="仿宋" w:cs="仿宋" w:hint="eastAsia"/>
            <w:b w:val="0"/>
            <w:bCs/>
            <w:color w:val="auto"/>
            <w:sz w:val="32"/>
            <w:szCs w:val="32"/>
            <w:highlight w:val="none"/>
          </w:rPr>
          <w:fldChar w:fldCharType="begin"/>
        </w:r>
        <w:r>
          <w:rPr>
            <w:rFonts w:ascii="仿宋" w:eastAsia="仿宋" w:hAnsi="仿宋" w:cs="仿宋" w:hint="eastAsia"/>
            <w:b w:val="0"/>
            <w:bCs/>
            <w:color w:val="auto"/>
            <w:sz w:val="32"/>
            <w:szCs w:val="32"/>
            <w:highlight w:val="none"/>
          </w:rPr>
          <w:instrText xml:space="preserve"> PAGEREF _Toc11320 \h </w:instrText>
        </w:r>
        <w:r>
          <w:rPr>
            <w:rFonts w:ascii="仿宋" w:eastAsia="仿宋" w:hAnsi="仿宋" w:cs="仿宋" w:hint="eastAsia"/>
            <w:b w:val="0"/>
            <w:bCs/>
            <w:color w:val="auto"/>
            <w:sz w:val="32"/>
            <w:szCs w:val="32"/>
            <w:highlight w:val="none"/>
          </w:rPr>
          <w:fldChar w:fldCharType="separate"/>
        </w:r>
        <w:r>
          <w:rPr>
            <w:rFonts w:ascii="仿宋" w:eastAsia="仿宋" w:hAnsi="仿宋" w:cs="仿宋" w:hint="eastAsia"/>
            <w:b w:val="0"/>
            <w:bCs/>
            <w:color w:val="auto"/>
            <w:sz w:val="32"/>
            <w:szCs w:val="32"/>
            <w:highlight w:val="none"/>
          </w:rPr>
          <w:t xml:space="preserve">3</w:t>
        </w:r>
        <w:r>
          <w:rPr>
            <w:rFonts w:ascii="仿宋" w:eastAsia="仿宋" w:hAnsi="仿宋" w:cs="仿宋" w:hint="eastAsia"/>
            <w:b w:val="0"/>
            <w:bCs/>
            <w:color w:val="auto"/>
            <w:sz w:val="32"/>
            <w:szCs w:val="32"/>
            <w:highlight w:val="none"/>
          </w:rPr>
          <w:fldChar w:fldCharType="end"/>
        </w:r>
      </w:hyperlink>
    </w:p>
    <w:p>
      <w:pPr>
        <w:pStyle w:val="WPSOffice手动目录2"/>
        <w:keepNext w:val="0"/>
        <w:keepLines w:val="0"/>
        <w:pageBreakBefore w:val="0"/>
        <w:tabs>
          <w:tab w:val="right" w:leader="dot" w:pos="8306"/>
        </w:tabs>
        <w:kinsoku/>
        <w:wordWrap/>
        <w:overflowPunct/>
        <w:topLinePunct w:val="0"/>
        <w:autoSpaceDE/>
        <w:autoSpaceDN/>
        <w:bidi w:val="0"/>
        <w:adjustRightInd/>
        <w:snapToGrid/>
        <w:spacing w:line="580" w:lineRule="exact"/>
        <w:textAlignment w:val="auto"/>
        <w:rPr>
          <w:rFonts w:ascii="仿宋" w:eastAsia="仿宋" w:hAnsi="仿宋" w:cs="仿宋" w:hint="eastAsia"/>
          <w:color w:val="auto"/>
          <w:sz w:val="32"/>
          <w:szCs w:val="32"/>
          <w:highlight w:val="none"/>
        </w:rPr>
      </w:pPr>
      <w:hyperlink w:anchor="_Toc29477" w:history="1">
        <w:r>
          <w:rPr>
            <w:rFonts w:ascii="仿宋" w:eastAsia="仿宋" w:hAnsi="仿宋" w:cs="仿宋" w:hint="eastAsia"/>
            <w:color w:val="auto"/>
            <w:sz w:val="32"/>
            <w:szCs w:val="32"/>
            <w:highlight w:val="none"/>
          </w:rPr>
          <w:t xml:space="preserve">（一）绩效评价目的、对象和范围</w:t>
        </w:r>
        <w:r>
          <w:rPr>
            <w:rFonts w:ascii="仿宋" w:eastAsia="仿宋" w:hAnsi="仿宋" w:cs="仿宋" w:hint="eastAsia"/>
            <w:color w:val="auto"/>
            <w:sz w:val="32"/>
            <w:szCs w:val="32"/>
            <w:highlight w:val="none"/>
          </w:rPr>
          <w:tab/>
        </w:r>
        <w:r>
          <w:rPr>
            <w:rFonts w:ascii="仿宋" w:eastAsia="仿宋" w:hAnsi="仿宋" w:cs="仿宋" w:hint="eastAsia"/>
            <w:color w:val="auto"/>
            <w:sz w:val="32"/>
            <w:szCs w:val="32"/>
            <w:highlight w:val="none"/>
          </w:rPr>
          <w:fldChar w:fldCharType="begin"/>
        </w:r>
        <w:r>
          <w:rPr>
            <w:rFonts w:ascii="仿宋" w:eastAsia="仿宋" w:hAnsi="仿宋" w:cs="仿宋" w:hint="eastAsia"/>
            <w:color w:val="auto"/>
            <w:sz w:val="32"/>
            <w:szCs w:val="32"/>
            <w:highlight w:val="none"/>
          </w:rPr>
          <w:instrText xml:space="preserve"> PAGEREF _Toc29477 \h </w:instrText>
        </w:r>
        <w:r>
          <w:rPr>
            <w:rFonts w:ascii="仿宋" w:eastAsia="仿宋" w:hAnsi="仿宋" w:cs="仿宋" w:hint="eastAsia"/>
            <w:color w:val="auto"/>
            <w:sz w:val="32"/>
            <w:szCs w:val="32"/>
            <w:highlight w:val="none"/>
          </w:rPr>
          <w:fldChar w:fldCharType="separate"/>
        </w:r>
        <w:r>
          <w:rPr>
            <w:rFonts w:ascii="仿宋" w:eastAsia="仿宋" w:hAnsi="仿宋" w:cs="仿宋" w:hint="eastAsia"/>
            <w:color w:val="auto"/>
            <w:sz w:val="32"/>
            <w:szCs w:val="32"/>
            <w:highlight w:val="none"/>
          </w:rPr>
          <w:t xml:space="preserve">4</w:t>
        </w:r>
        <w:r>
          <w:rPr>
            <w:rFonts w:ascii="仿宋" w:eastAsia="仿宋" w:hAnsi="仿宋" w:cs="仿宋" w:hint="eastAsia"/>
            <w:color w:val="auto"/>
            <w:sz w:val="32"/>
            <w:szCs w:val="32"/>
            <w:highlight w:val="none"/>
          </w:rPr>
          <w:fldChar w:fldCharType="end"/>
        </w:r>
      </w:hyperlink>
    </w:p>
    <w:p>
      <w:pPr>
        <w:pStyle w:val="WPSOffice手动目录2"/>
        <w:keepNext w:val="0"/>
        <w:keepLines w:val="0"/>
        <w:pageBreakBefore w:val="0"/>
        <w:tabs>
          <w:tab w:val="right" w:leader="dot" w:pos="8306"/>
        </w:tabs>
        <w:kinsoku/>
        <w:wordWrap/>
        <w:overflowPunct/>
        <w:topLinePunct w:val="0"/>
        <w:autoSpaceDE/>
        <w:autoSpaceDN/>
        <w:bidi w:val="0"/>
        <w:adjustRightInd/>
        <w:snapToGrid/>
        <w:spacing w:line="580" w:lineRule="exact"/>
        <w:textAlignment w:val="auto"/>
        <w:rPr>
          <w:rFonts w:ascii="仿宋" w:eastAsia="仿宋" w:hAnsi="仿宋" w:cs="仿宋" w:hint="eastAsia"/>
          <w:color w:val="auto"/>
          <w:sz w:val="32"/>
          <w:szCs w:val="32"/>
          <w:highlight w:val="none"/>
        </w:rPr>
      </w:pPr>
      <w:hyperlink w:anchor="_Toc32280" w:history="1">
        <w:r>
          <w:rPr>
            <w:rFonts w:ascii="仿宋" w:eastAsia="仿宋" w:hAnsi="仿宋" w:cs="仿宋" w:hint="eastAsia"/>
            <w:color w:val="auto"/>
            <w:sz w:val="32"/>
            <w:szCs w:val="32"/>
            <w:highlight w:val="none"/>
          </w:rPr>
          <w:t xml:space="preserve">（二）绩效评价原则、评价指标体系、评价方法、评价标准</w:t>
        </w:r>
        <w:r>
          <w:rPr>
            <w:rFonts w:ascii="仿宋" w:eastAsia="仿宋" w:hAnsi="仿宋" w:cs="仿宋" w:hint="eastAsia"/>
            <w:color w:val="auto"/>
            <w:sz w:val="32"/>
            <w:szCs w:val="32"/>
            <w:highlight w:val="none"/>
          </w:rPr>
          <w:tab/>
        </w:r>
        <w:r>
          <w:rPr>
            <w:rFonts w:ascii="仿宋" w:eastAsia="仿宋" w:hAnsi="仿宋" w:cs="仿宋" w:hint="eastAsia"/>
            <w:color w:val="auto"/>
            <w:sz w:val="32"/>
            <w:szCs w:val="32"/>
            <w:highlight w:val="none"/>
          </w:rPr>
          <w:fldChar w:fldCharType="begin"/>
        </w:r>
        <w:r>
          <w:rPr>
            <w:rFonts w:ascii="仿宋" w:eastAsia="仿宋" w:hAnsi="仿宋" w:cs="仿宋" w:hint="eastAsia"/>
            <w:color w:val="auto"/>
            <w:sz w:val="32"/>
            <w:szCs w:val="32"/>
            <w:highlight w:val="none"/>
          </w:rPr>
          <w:instrText xml:space="preserve"> PAGEREF _Toc32280 \h </w:instrText>
        </w:r>
        <w:r>
          <w:rPr>
            <w:rFonts w:ascii="仿宋" w:eastAsia="仿宋" w:hAnsi="仿宋" w:cs="仿宋" w:hint="eastAsia"/>
            <w:color w:val="auto"/>
            <w:sz w:val="32"/>
            <w:szCs w:val="32"/>
            <w:highlight w:val="none"/>
          </w:rPr>
          <w:fldChar w:fldCharType="separate"/>
        </w:r>
        <w:r>
          <w:rPr>
            <w:rFonts w:ascii="仿宋" w:eastAsia="仿宋" w:hAnsi="仿宋" w:cs="仿宋" w:hint="eastAsia"/>
            <w:color w:val="auto"/>
            <w:sz w:val="32"/>
            <w:szCs w:val="32"/>
            <w:highlight w:val="none"/>
          </w:rPr>
          <w:t xml:space="preserve">5</w:t>
        </w:r>
        <w:r>
          <w:rPr>
            <w:rFonts w:ascii="仿宋" w:eastAsia="仿宋" w:hAnsi="仿宋" w:cs="仿宋" w:hint="eastAsia"/>
            <w:color w:val="auto"/>
            <w:sz w:val="32"/>
            <w:szCs w:val="32"/>
            <w:highlight w:val="none"/>
          </w:rPr>
          <w:fldChar w:fldCharType="end"/>
        </w:r>
      </w:hyperlink>
    </w:p>
    <w:p>
      <w:pPr>
        <w:pStyle w:val="WPSOffice手动目录2"/>
        <w:keepNext w:val="0"/>
        <w:keepLines w:val="0"/>
        <w:pageBreakBefore w:val="0"/>
        <w:tabs>
          <w:tab w:val="right" w:leader="dot" w:pos="8306"/>
        </w:tabs>
        <w:kinsoku/>
        <w:wordWrap/>
        <w:overflowPunct/>
        <w:topLinePunct w:val="0"/>
        <w:autoSpaceDE/>
        <w:autoSpaceDN/>
        <w:bidi w:val="0"/>
        <w:adjustRightInd/>
        <w:snapToGrid/>
        <w:spacing w:line="580" w:lineRule="exact"/>
        <w:textAlignment w:val="auto"/>
        <w:rPr>
          <w:rFonts w:ascii="仿宋" w:eastAsia="仿宋" w:hAnsi="仿宋" w:cs="仿宋" w:hint="eastAsia"/>
          <w:color w:val="auto"/>
          <w:sz w:val="32"/>
          <w:szCs w:val="32"/>
          <w:highlight w:val="none"/>
        </w:rPr>
      </w:pPr>
      <w:hyperlink w:anchor="_Toc10428" w:history="1">
        <w:r>
          <w:rPr>
            <w:rFonts w:ascii="仿宋" w:eastAsia="仿宋" w:hAnsi="仿宋" w:cs="仿宋" w:hint="eastAsia"/>
            <w:color w:val="auto"/>
            <w:sz w:val="32"/>
            <w:szCs w:val="32"/>
            <w:highlight w:val="none"/>
          </w:rPr>
          <w:t xml:space="preserve">（三）绩效评价工作过程</w:t>
        </w:r>
        <w:r>
          <w:rPr>
            <w:rFonts w:ascii="仿宋" w:eastAsia="仿宋" w:hAnsi="仿宋" w:cs="仿宋" w:hint="eastAsia"/>
            <w:color w:val="auto"/>
            <w:sz w:val="32"/>
            <w:szCs w:val="32"/>
            <w:highlight w:val="none"/>
          </w:rPr>
          <w:tab/>
        </w:r>
        <w:r>
          <w:rPr>
            <w:rFonts w:ascii="仿宋" w:eastAsia="仿宋" w:hAnsi="仿宋" w:cs="仿宋" w:hint="eastAsia"/>
            <w:color w:val="auto"/>
            <w:sz w:val="32"/>
            <w:szCs w:val="32"/>
            <w:highlight w:val="none"/>
          </w:rPr>
          <w:fldChar w:fldCharType="begin"/>
        </w:r>
        <w:r>
          <w:rPr>
            <w:rFonts w:ascii="仿宋" w:eastAsia="仿宋" w:hAnsi="仿宋" w:cs="仿宋" w:hint="eastAsia"/>
            <w:color w:val="auto"/>
            <w:sz w:val="32"/>
            <w:szCs w:val="32"/>
            <w:highlight w:val="none"/>
          </w:rPr>
          <w:instrText xml:space="preserve"> PAGEREF _Toc10428 \h </w:instrText>
        </w:r>
        <w:r>
          <w:rPr>
            <w:rFonts w:ascii="仿宋" w:eastAsia="仿宋" w:hAnsi="仿宋" w:cs="仿宋" w:hint="eastAsia"/>
            <w:color w:val="auto"/>
            <w:sz w:val="32"/>
            <w:szCs w:val="32"/>
            <w:highlight w:val="none"/>
          </w:rPr>
          <w:fldChar w:fldCharType="separate"/>
        </w:r>
        <w:r>
          <w:rPr>
            <w:rFonts w:ascii="仿宋" w:eastAsia="仿宋" w:hAnsi="仿宋" w:cs="仿宋" w:hint="eastAsia"/>
            <w:color w:val="auto"/>
            <w:sz w:val="32"/>
            <w:szCs w:val="32"/>
            <w:highlight w:val="none"/>
          </w:rPr>
          <w:t xml:space="preserve">8</w:t>
        </w:r>
        <w:r>
          <w:rPr>
            <w:rFonts w:ascii="仿宋" w:eastAsia="仿宋" w:hAnsi="仿宋" w:cs="仿宋" w:hint="eastAsia"/>
            <w:color w:val="auto"/>
            <w:sz w:val="32"/>
            <w:szCs w:val="32"/>
            <w:highlight w:val="none"/>
          </w:rPr>
          <w:fldChar w:fldCharType="end"/>
        </w:r>
      </w:hyperlink>
    </w:p>
    <w:p>
      <w:pPr>
        <w:pStyle w:val="WPSOffice手动目录2"/>
        <w:keepNext w:val="0"/>
        <w:keepLines w:val="0"/>
        <w:pageBreakBefore w:val="0"/>
        <w:tabs>
          <w:tab w:val="right" w:leader="dot" w:pos="8306"/>
        </w:tabs>
        <w:kinsoku/>
        <w:wordWrap/>
        <w:overflowPunct/>
        <w:topLinePunct w:val="0"/>
        <w:autoSpaceDE/>
        <w:autoSpaceDN/>
        <w:bidi w:val="0"/>
        <w:adjustRightInd/>
        <w:snapToGrid/>
        <w:spacing w:line="580" w:lineRule="exact"/>
        <w:ind w:left="0" w:firstLine="0" w:leftChars="0" w:firstLineChars="0"/>
        <w:textAlignment w:val="auto"/>
        <w:rPr>
          <w:rFonts w:ascii="仿宋" w:eastAsia="仿宋" w:hAnsi="仿宋" w:cs="仿宋" w:hint="eastAsia"/>
          <w:color w:val="auto"/>
          <w:sz w:val="32"/>
          <w:szCs w:val="32"/>
          <w:highlight w:val="none"/>
        </w:rPr>
      </w:pPr>
      <w:hyperlink w:anchor="_Toc17988" w:history="1">
        <w:r>
          <w:rPr>
            <w:rFonts w:ascii="仿宋" w:eastAsia="仿宋" w:hAnsi="仿宋" w:cs="仿宋" w:hint="eastAsia"/>
            <w:color w:val="auto"/>
            <w:sz w:val="32"/>
            <w:szCs w:val="32"/>
            <w:highlight w:val="none"/>
          </w:rPr>
          <w:t xml:space="preserve">三、综合评价情况及评价结论</w:t>
        </w:r>
        <w:r>
          <w:rPr>
            <w:rFonts w:ascii="仿宋" w:eastAsia="仿宋" w:hAnsi="仿宋" w:cs="仿宋" w:hint="eastAsia"/>
            <w:color w:val="auto"/>
            <w:sz w:val="32"/>
            <w:szCs w:val="32"/>
            <w:highlight w:val="none"/>
          </w:rPr>
          <w:tab/>
        </w:r>
        <w:r>
          <w:rPr>
            <w:rFonts w:ascii="仿宋" w:eastAsia="仿宋" w:hAnsi="仿宋" w:cs="仿宋" w:hint="eastAsia"/>
            <w:color w:val="auto"/>
            <w:sz w:val="32"/>
            <w:szCs w:val="32"/>
            <w:highlight w:val="none"/>
          </w:rPr>
          <w:fldChar w:fldCharType="begin"/>
        </w:r>
        <w:r>
          <w:rPr>
            <w:rFonts w:ascii="仿宋" w:eastAsia="仿宋" w:hAnsi="仿宋" w:cs="仿宋" w:hint="eastAsia"/>
            <w:color w:val="auto"/>
            <w:sz w:val="32"/>
            <w:szCs w:val="32"/>
            <w:highlight w:val="none"/>
          </w:rPr>
          <w:instrText xml:space="preserve"> PAGEREF _Toc17988 \h </w:instrText>
        </w:r>
        <w:r>
          <w:rPr>
            <w:rFonts w:ascii="仿宋" w:eastAsia="仿宋" w:hAnsi="仿宋" w:cs="仿宋" w:hint="eastAsia"/>
            <w:color w:val="auto"/>
            <w:sz w:val="32"/>
            <w:szCs w:val="32"/>
            <w:highlight w:val="none"/>
          </w:rPr>
          <w:fldChar w:fldCharType="separate"/>
        </w:r>
        <w:r>
          <w:rPr>
            <w:rFonts w:ascii="仿宋" w:eastAsia="仿宋" w:hAnsi="仿宋" w:cs="仿宋" w:hint="eastAsia"/>
            <w:color w:val="auto"/>
            <w:sz w:val="32"/>
            <w:szCs w:val="32"/>
            <w:highlight w:val="none"/>
          </w:rPr>
          <w:t xml:space="preserve">11</w:t>
        </w:r>
        <w:r>
          <w:rPr>
            <w:rFonts w:ascii="仿宋" w:eastAsia="仿宋" w:hAnsi="仿宋" w:cs="仿宋" w:hint="eastAsia"/>
            <w:color w:val="auto"/>
            <w:sz w:val="32"/>
            <w:szCs w:val="32"/>
            <w:highlight w:val="none"/>
          </w:rPr>
          <w:fldChar w:fldCharType="end"/>
        </w:r>
      </w:hyperlink>
    </w:p>
    <w:p>
      <w:pPr>
        <w:pStyle w:val="WPSOffice手动目录2"/>
        <w:keepNext w:val="0"/>
        <w:keepLines w:val="0"/>
        <w:pageBreakBefore w:val="0"/>
        <w:tabs>
          <w:tab w:val="right" w:leader="dot" w:pos="8306"/>
        </w:tabs>
        <w:kinsoku/>
        <w:wordWrap/>
        <w:overflowPunct/>
        <w:topLinePunct w:val="0"/>
        <w:autoSpaceDE/>
        <w:autoSpaceDN/>
        <w:bidi w:val="0"/>
        <w:adjustRightInd/>
        <w:snapToGrid/>
        <w:spacing w:line="580" w:lineRule="exact"/>
        <w:ind w:left="0" w:firstLine="0" w:leftChars="0" w:firstLineChars="0"/>
        <w:textAlignment w:val="auto"/>
        <w:rPr>
          <w:rFonts w:ascii="仿宋" w:eastAsia="仿宋" w:hAnsi="仿宋" w:cs="仿宋" w:hint="eastAsia"/>
          <w:color w:val="auto"/>
          <w:sz w:val="32"/>
          <w:szCs w:val="32"/>
          <w:highlight w:val="none"/>
        </w:rPr>
      </w:pPr>
      <w:hyperlink w:anchor="_Toc28586" w:history="1">
        <w:r>
          <w:rPr>
            <w:rFonts w:ascii="仿宋" w:eastAsia="仿宋" w:hAnsi="仿宋" w:cs="仿宋" w:hint="eastAsia"/>
            <w:color w:val="auto"/>
            <w:sz w:val="32"/>
            <w:szCs w:val="32"/>
            <w:highlight w:val="none"/>
          </w:rPr>
          <w:t xml:space="preserve">四、绩效评价指标分析</w:t>
        </w:r>
        <w:r>
          <w:rPr>
            <w:rFonts w:ascii="仿宋" w:eastAsia="仿宋" w:hAnsi="仿宋" w:cs="仿宋" w:hint="eastAsia"/>
            <w:color w:val="auto"/>
            <w:sz w:val="32"/>
            <w:szCs w:val="32"/>
            <w:highlight w:val="none"/>
          </w:rPr>
          <w:tab/>
        </w:r>
        <w:r>
          <w:rPr>
            <w:rFonts w:ascii="仿宋" w:eastAsia="仿宋" w:hAnsi="仿宋" w:cs="仿宋" w:hint="eastAsia"/>
            <w:color w:val="auto"/>
            <w:sz w:val="32"/>
            <w:szCs w:val="32"/>
            <w:highlight w:val="none"/>
          </w:rPr>
          <w:fldChar w:fldCharType="begin"/>
        </w:r>
        <w:r>
          <w:rPr>
            <w:rFonts w:ascii="仿宋" w:eastAsia="仿宋" w:hAnsi="仿宋" w:cs="仿宋" w:hint="eastAsia"/>
            <w:color w:val="auto"/>
            <w:sz w:val="32"/>
            <w:szCs w:val="32"/>
            <w:highlight w:val="none"/>
          </w:rPr>
          <w:instrText xml:space="preserve"> PAGEREF _Toc28586 \h </w:instrText>
        </w:r>
        <w:r>
          <w:rPr>
            <w:rFonts w:ascii="仿宋" w:eastAsia="仿宋" w:hAnsi="仿宋" w:cs="仿宋" w:hint="eastAsia"/>
            <w:color w:val="auto"/>
            <w:sz w:val="32"/>
            <w:szCs w:val="32"/>
            <w:highlight w:val="none"/>
          </w:rPr>
          <w:fldChar w:fldCharType="separate"/>
        </w:r>
        <w:r>
          <w:rPr>
            <w:rFonts w:ascii="仿宋" w:eastAsia="仿宋" w:hAnsi="仿宋" w:cs="仿宋" w:hint="eastAsia"/>
            <w:color w:val="auto"/>
            <w:sz w:val="32"/>
            <w:szCs w:val="32"/>
            <w:highlight w:val="none"/>
          </w:rPr>
          <w:t xml:space="preserve">11</w:t>
        </w:r>
        <w:r>
          <w:rPr>
            <w:rFonts w:ascii="仿宋" w:eastAsia="仿宋" w:hAnsi="仿宋" w:cs="仿宋" w:hint="eastAsia"/>
            <w:color w:val="auto"/>
            <w:sz w:val="32"/>
            <w:szCs w:val="32"/>
            <w:highlight w:val="none"/>
          </w:rPr>
          <w:fldChar w:fldCharType="end"/>
        </w:r>
      </w:hyperlink>
    </w:p>
    <w:p>
      <w:pPr>
        <w:pStyle w:val="WPSOffice手动目录2"/>
        <w:keepNext w:val="0"/>
        <w:keepLines w:val="0"/>
        <w:pageBreakBefore w:val="0"/>
        <w:tabs>
          <w:tab w:val="right" w:leader="dot" w:pos="8306"/>
        </w:tabs>
        <w:kinsoku/>
        <w:wordWrap/>
        <w:overflowPunct/>
        <w:topLinePunct w:val="0"/>
        <w:autoSpaceDE/>
        <w:autoSpaceDN/>
        <w:bidi w:val="0"/>
        <w:adjustRightInd/>
        <w:snapToGrid/>
        <w:spacing w:line="580" w:lineRule="exact"/>
        <w:textAlignment w:val="auto"/>
        <w:rPr>
          <w:rFonts w:ascii="仿宋" w:eastAsia="仿宋" w:hAnsi="仿宋" w:cs="仿宋" w:hint="eastAsia"/>
          <w:color w:val="auto"/>
          <w:sz w:val="32"/>
          <w:szCs w:val="32"/>
          <w:highlight w:val="none"/>
        </w:rPr>
      </w:pPr>
      <w:hyperlink w:anchor="_Toc2873" w:history="1">
        <w:r>
          <w:rPr>
            <w:rFonts w:ascii="仿宋" w:eastAsia="仿宋" w:hAnsi="仿宋" w:cs="仿宋" w:hint="eastAsia"/>
            <w:color w:val="auto"/>
            <w:sz w:val="32"/>
            <w:szCs w:val="32"/>
            <w:highlight w:val="none"/>
          </w:rPr>
          <w:t xml:space="preserve">（一）项目决策情况</w:t>
        </w:r>
        <w:r>
          <w:rPr>
            <w:rFonts w:ascii="仿宋" w:eastAsia="仿宋" w:hAnsi="仿宋" w:cs="仿宋" w:hint="eastAsia"/>
            <w:color w:val="auto"/>
            <w:sz w:val="32"/>
            <w:szCs w:val="32"/>
            <w:highlight w:val="none"/>
          </w:rPr>
          <w:tab/>
        </w:r>
        <w:r>
          <w:rPr>
            <w:rFonts w:ascii="仿宋" w:eastAsia="仿宋" w:hAnsi="仿宋" w:cs="仿宋" w:hint="eastAsia"/>
            <w:color w:val="auto"/>
            <w:sz w:val="32"/>
            <w:szCs w:val="32"/>
            <w:highlight w:val="none"/>
          </w:rPr>
          <w:fldChar w:fldCharType="begin"/>
        </w:r>
        <w:r>
          <w:rPr>
            <w:rFonts w:ascii="仿宋" w:eastAsia="仿宋" w:hAnsi="仿宋" w:cs="仿宋" w:hint="eastAsia"/>
            <w:color w:val="auto"/>
            <w:sz w:val="32"/>
            <w:szCs w:val="32"/>
            <w:highlight w:val="none"/>
          </w:rPr>
          <w:instrText xml:space="preserve"> PAGEREF _Toc2873 \h </w:instrText>
        </w:r>
        <w:r>
          <w:rPr>
            <w:rFonts w:ascii="仿宋" w:eastAsia="仿宋" w:hAnsi="仿宋" w:cs="仿宋" w:hint="eastAsia"/>
            <w:color w:val="auto"/>
            <w:sz w:val="32"/>
            <w:szCs w:val="32"/>
            <w:highlight w:val="none"/>
          </w:rPr>
          <w:fldChar w:fldCharType="separate"/>
        </w:r>
        <w:r>
          <w:rPr>
            <w:rFonts w:ascii="仿宋" w:eastAsia="仿宋" w:hAnsi="仿宋" w:cs="仿宋" w:hint="eastAsia"/>
            <w:color w:val="auto"/>
            <w:sz w:val="32"/>
            <w:szCs w:val="32"/>
            <w:highlight w:val="none"/>
          </w:rPr>
          <w:t xml:space="preserve">11</w:t>
        </w:r>
        <w:r>
          <w:rPr>
            <w:rFonts w:ascii="仿宋" w:eastAsia="仿宋" w:hAnsi="仿宋" w:cs="仿宋" w:hint="eastAsia"/>
            <w:color w:val="auto"/>
            <w:sz w:val="32"/>
            <w:szCs w:val="32"/>
            <w:highlight w:val="none"/>
          </w:rPr>
          <w:fldChar w:fldCharType="end"/>
        </w:r>
      </w:hyperlink>
    </w:p>
    <w:p>
      <w:pPr>
        <w:pStyle w:val="WPSOffice手动目录2"/>
        <w:keepNext w:val="0"/>
        <w:keepLines w:val="0"/>
        <w:pageBreakBefore w:val="0"/>
        <w:tabs>
          <w:tab w:val="right" w:leader="dot" w:pos="8306"/>
        </w:tabs>
        <w:kinsoku/>
        <w:wordWrap/>
        <w:overflowPunct/>
        <w:topLinePunct w:val="0"/>
        <w:autoSpaceDE/>
        <w:autoSpaceDN/>
        <w:bidi w:val="0"/>
        <w:adjustRightInd/>
        <w:snapToGrid/>
        <w:spacing w:line="580" w:lineRule="exact"/>
        <w:textAlignment w:val="auto"/>
        <w:rPr>
          <w:rFonts w:ascii="仿宋" w:eastAsia="仿宋" w:hAnsi="仿宋" w:cs="仿宋" w:hint="eastAsia"/>
          <w:color w:val="auto"/>
          <w:sz w:val="32"/>
          <w:szCs w:val="32"/>
          <w:highlight w:val="none"/>
        </w:rPr>
      </w:pPr>
      <w:hyperlink w:anchor="_Toc30070" w:history="1">
        <w:r>
          <w:rPr>
            <w:rFonts w:ascii="仿宋" w:eastAsia="仿宋" w:hAnsi="仿宋" w:cs="仿宋" w:hint="eastAsia"/>
            <w:color w:val="auto"/>
            <w:sz w:val="32"/>
            <w:szCs w:val="32"/>
            <w:highlight w:val="none"/>
          </w:rPr>
          <w:t xml:space="preserve">（二）项目过程情况</w:t>
        </w:r>
        <w:r>
          <w:rPr>
            <w:rFonts w:ascii="仿宋" w:eastAsia="仿宋" w:hAnsi="仿宋" w:cs="仿宋" w:hint="eastAsia"/>
            <w:color w:val="auto"/>
            <w:sz w:val="32"/>
            <w:szCs w:val="32"/>
            <w:highlight w:val="none"/>
          </w:rPr>
          <w:tab/>
        </w:r>
        <w:r>
          <w:rPr>
            <w:rFonts w:ascii="仿宋" w:eastAsia="仿宋" w:hAnsi="仿宋" w:cs="仿宋" w:hint="eastAsia"/>
            <w:color w:val="auto"/>
            <w:sz w:val="32"/>
            <w:szCs w:val="32"/>
            <w:highlight w:val="none"/>
          </w:rPr>
          <w:fldChar w:fldCharType="begin"/>
        </w:r>
        <w:r>
          <w:rPr>
            <w:rFonts w:ascii="仿宋" w:eastAsia="仿宋" w:hAnsi="仿宋" w:cs="仿宋" w:hint="eastAsia"/>
            <w:color w:val="auto"/>
            <w:sz w:val="32"/>
            <w:szCs w:val="32"/>
            <w:highlight w:val="none"/>
          </w:rPr>
          <w:instrText xml:space="preserve"> PAGEREF _Toc30070 \h </w:instrText>
        </w:r>
        <w:r>
          <w:rPr>
            <w:rFonts w:ascii="仿宋" w:eastAsia="仿宋" w:hAnsi="仿宋" w:cs="仿宋" w:hint="eastAsia"/>
            <w:color w:val="auto"/>
            <w:sz w:val="32"/>
            <w:szCs w:val="32"/>
            <w:highlight w:val="none"/>
          </w:rPr>
          <w:fldChar w:fldCharType="separate"/>
        </w:r>
        <w:r>
          <w:rPr>
            <w:rFonts w:ascii="仿宋" w:eastAsia="仿宋" w:hAnsi="仿宋" w:cs="仿宋" w:hint="eastAsia"/>
            <w:color w:val="auto"/>
            <w:sz w:val="32"/>
            <w:szCs w:val="32"/>
            <w:highlight w:val="none"/>
          </w:rPr>
          <w:t xml:space="preserve">13</w:t>
        </w:r>
        <w:r>
          <w:rPr>
            <w:rFonts w:ascii="仿宋" w:eastAsia="仿宋" w:hAnsi="仿宋" w:cs="仿宋" w:hint="eastAsia"/>
            <w:color w:val="auto"/>
            <w:sz w:val="32"/>
            <w:szCs w:val="32"/>
            <w:highlight w:val="none"/>
          </w:rPr>
          <w:fldChar w:fldCharType="end"/>
        </w:r>
      </w:hyperlink>
    </w:p>
    <w:p>
      <w:pPr>
        <w:pStyle w:val="WPSOffice手动目录2"/>
        <w:keepNext w:val="0"/>
        <w:keepLines w:val="0"/>
        <w:pageBreakBefore w:val="0"/>
        <w:tabs>
          <w:tab w:val="right" w:leader="dot" w:pos="8306"/>
        </w:tabs>
        <w:kinsoku/>
        <w:wordWrap/>
        <w:overflowPunct/>
        <w:topLinePunct w:val="0"/>
        <w:autoSpaceDE/>
        <w:autoSpaceDN/>
        <w:bidi w:val="0"/>
        <w:adjustRightInd/>
        <w:snapToGrid/>
        <w:spacing w:line="580" w:lineRule="exact"/>
        <w:textAlignment w:val="auto"/>
        <w:rPr>
          <w:rFonts w:ascii="仿宋" w:eastAsia="仿宋" w:hAnsi="仿宋" w:cs="仿宋" w:hint="eastAsia"/>
          <w:color w:val="auto"/>
          <w:sz w:val="32"/>
          <w:szCs w:val="32"/>
          <w:highlight w:val="none"/>
        </w:rPr>
      </w:pPr>
      <w:hyperlink w:anchor="_Toc20274" w:history="1">
        <w:r>
          <w:rPr>
            <w:rFonts w:ascii="仿宋" w:eastAsia="仿宋" w:hAnsi="仿宋" w:cs="仿宋" w:hint="eastAsia"/>
            <w:color w:val="auto"/>
            <w:sz w:val="32"/>
            <w:szCs w:val="32"/>
            <w:highlight w:val="none"/>
          </w:rPr>
          <w:t xml:space="preserve">（三）项目产出情况</w:t>
        </w:r>
        <w:r>
          <w:rPr>
            <w:rFonts w:ascii="仿宋" w:eastAsia="仿宋" w:hAnsi="仿宋" w:cs="仿宋" w:hint="eastAsia"/>
            <w:color w:val="auto"/>
            <w:sz w:val="32"/>
            <w:szCs w:val="32"/>
            <w:highlight w:val="none"/>
          </w:rPr>
          <w:tab/>
        </w:r>
        <w:r>
          <w:rPr>
            <w:rFonts w:ascii="仿宋" w:eastAsia="仿宋" w:hAnsi="仿宋" w:cs="仿宋" w:hint="eastAsia"/>
            <w:color w:val="auto"/>
            <w:sz w:val="32"/>
            <w:szCs w:val="32"/>
            <w:highlight w:val="none"/>
          </w:rPr>
          <w:fldChar w:fldCharType="begin"/>
        </w:r>
        <w:r>
          <w:rPr>
            <w:rFonts w:ascii="仿宋" w:eastAsia="仿宋" w:hAnsi="仿宋" w:cs="仿宋" w:hint="eastAsia"/>
            <w:color w:val="auto"/>
            <w:sz w:val="32"/>
            <w:szCs w:val="32"/>
            <w:highlight w:val="none"/>
          </w:rPr>
          <w:instrText xml:space="preserve"> PAGEREF _Toc20274 \h </w:instrText>
        </w:r>
        <w:r>
          <w:rPr>
            <w:rFonts w:ascii="仿宋" w:eastAsia="仿宋" w:hAnsi="仿宋" w:cs="仿宋" w:hint="eastAsia"/>
            <w:color w:val="auto"/>
            <w:sz w:val="32"/>
            <w:szCs w:val="32"/>
            <w:highlight w:val="none"/>
          </w:rPr>
          <w:fldChar w:fldCharType="separate"/>
        </w:r>
        <w:r>
          <w:rPr>
            <w:rFonts w:ascii="仿宋" w:eastAsia="仿宋" w:hAnsi="仿宋" w:cs="仿宋" w:hint="eastAsia"/>
            <w:color w:val="auto"/>
            <w:sz w:val="32"/>
            <w:szCs w:val="32"/>
            <w:highlight w:val="none"/>
          </w:rPr>
          <w:t xml:space="preserve">15</w:t>
        </w:r>
        <w:r>
          <w:rPr>
            <w:rFonts w:ascii="仿宋" w:eastAsia="仿宋" w:hAnsi="仿宋" w:cs="仿宋" w:hint="eastAsia"/>
            <w:color w:val="auto"/>
            <w:sz w:val="32"/>
            <w:szCs w:val="32"/>
            <w:highlight w:val="none"/>
          </w:rPr>
          <w:fldChar w:fldCharType="end"/>
        </w:r>
      </w:hyperlink>
    </w:p>
    <w:p>
      <w:pPr>
        <w:pStyle w:val="WPSOffice手动目录2"/>
        <w:keepNext w:val="0"/>
        <w:keepLines w:val="0"/>
        <w:pageBreakBefore w:val="0"/>
        <w:tabs>
          <w:tab w:val="right" w:leader="dot" w:pos="8306"/>
        </w:tabs>
        <w:kinsoku/>
        <w:wordWrap/>
        <w:overflowPunct/>
        <w:topLinePunct w:val="0"/>
        <w:autoSpaceDE/>
        <w:autoSpaceDN/>
        <w:bidi w:val="0"/>
        <w:adjustRightInd/>
        <w:snapToGrid/>
        <w:spacing w:line="580" w:lineRule="exact"/>
        <w:textAlignment w:val="auto"/>
        <w:rPr>
          <w:rFonts w:ascii="仿宋" w:eastAsia="仿宋" w:hAnsi="仿宋" w:cs="仿宋" w:hint="eastAsia"/>
          <w:color w:val="auto"/>
          <w:sz w:val="32"/>
          <w:szCs w:val="32"/>
          <w:highlight w:val="none"/>
        </w:rPr>
      </w:pPr>
      <w:hyperlink w:anchor="_Toc19222" w:history="1">
        <w:r>
          <w:rPr>
            <w:rFonts w:ascii="仿宋" w:eastAsia="仿宋" w:hAnsi="仿宋" w:cs="仿宋" w:hint="eastAsia"/>
            <w:color w:val="auto"/>
            <w:sz w:val="32"/>
            <w:szCs w:val="32"/>
            <w:highlight w:val="none"/>
          </w:rPr>
          <w:t xml:space="preserve">（四）项目效益情况</w:t>
        </w:r>
        <w:r>
          <w:rPr>
            <w:rFonts w:ascii="仿宋" w:eastAsia="仿宋" w:hAnsi="仿宋" w:cs="仿宋" w:hint="eastAsia"/>
            <w:color w:val="auto"/>
            <w:sz w:val="32"/>
            <w:szCs w:val="32"/>
            <w:highlight w:val="none"/>
          </w:rPr>
          <w:tab/>
        </w:r>
        <w:r>
          <w:rPr>
            <w:rFonts w:ascii="仿宋" w:eastAsia="仿宋" w:hAnsi="仿宋" w:cs="仿宋" w:hint="eastAsia"/>
            <w:color w:val="auto"/>
            <w:sz w:val="32"/>
            <w:szCs w:val="32"/>
            <w:highlight w:val="none"/>
          </w:rPr>
          <w:fldChar w:fldCharType="begin"/>
        </w:r>
        <w:r>
          <w:rPr>
            <w:rFonts w:ascii="仿宋" w:eastAsia="仿宋" w:hAnsi="仿宋" w:cs="仿宋" w:hint="eastAsia"/>
            <w:color w:val="auto"/>
            <w:sz w:val="32"/>
            <w:szCs w:val="32"/>
            <w:highlight w:val="none"/>
          </w:rPr>
          <w:instrText xml:space="preserve"> PAGEREF _Toc19222 \h </w:instrText>
        </w:r>
        <w:r>
          <w:rPr>
            <w:rFonts w:ascii="仿宋" w:eastAsia="仿宋" w:hAnsi="仿宋" w:cs="仿宋" w:hint="eastAsia"/>
            <w:color w:val="auto"/>
            <w:sz w:val="32"/>
            <w:szCs w:val="32"/>
            <w:highlight w:val="none"/>
          </w:rPr>
          <w:fldChar w:fldCharType="separate"/>
        </w:r>
        <w:r>
          <w:rPr>
            <w:rFonts w:ascii="仿宋" w:eastAsia="仿宋" w:hAnsi="仿宋" w:cs="仿宋" w:hint="eastAsia"/>
            <w:color w:val="auto"/>
            <w:sz w:val="32"/>
            <w:szCs w:val="32"/>
            <w:highlight w:val="none"/>
          </w:rPr>
          <w:t xml:space="preserve">16</w:t>
        </w:r>
        <w:r>
          <w:rPr>
            <w:rFonts w:ascii="仿宋" w:eastAsia="仿宋" w:hAnsi="仿宋" w:cs="仿宋" w:hint="eastAsia"/>
            <w:color w:val="auto"/>
            <w:sz w:val="32"/>
            <w:szCs w:val="32"/>
            <w:highlight w:val="none"/>
          </w:rPr>
          <w:fldChar w:fldCharType="end"/>
        </w:r>
      </w:hyperlink>
    </w:p>
    <w:p>
      <w:pPr>
        <w:pStyle w:val="WPSOffice手动目录2"/>
        <w:keepNext w:val="0"/>
        <w:keepLines w:val="0"/>
        <w:pageBreakBefore w:val="0"/>
        <w:tabs>
          <w:tab w:val="right" w:leader="dot" w:pos="8306"/>
        </w:tabs>
        <w:kinsoku/>
        <w:wordWrap/>
        <w:overflowPunct/>
        <w:topLinePunct w:val="0"/>
        <w:autoSpaceDE/>
        <w:autoSpaceDN/>
        <w:bidi w:val="0"/>
        <w:adjustRightInd/>
        <w:snapToGrid/>
        <w:spacing w:line="580" w:lineRule="exact"/>
        <w:ind w:left="0" w:firstLine="0" w:leftChars="0" w:firstLineChars="0"/>
        <w:textAlignment w:val="auto"/>
        <w:rPr>
          <w:rFonts w:ascii="仿宋" w:eastAsia="仿宋" w:hAnsi="仿宋" w:cs="仿宋" w:hint="eastAsia"/>
          <w:color w:val="auto"/>
          <w:sz w:val="32"/>
          <w:szCs w:val="32"/>
          <w:highlight w:val="none"/>
        </w:rPr>
      </w:pPr>
      <w:hyperlink w:anchor="_Toc1227" w:history="1">
        <w:r>
          <w:rPr>
            <w:rFonts w:ascii="仿宋" w:eastAsia="仿宋" w:hAnsi="仿宋" w:cs="仿宋" w:hint="eastAsia"/>
            <w:color w:val="auto"/>
            <w:sz w:val="32"/>
            <w:szCs w:val="32"/>
            <w:highlight w:val="none"/>
          </w:rPr>
          <w:t xml:space="preserve">五、主要经验及做法、存在的问题及原因分析</w:t>
        </w:r>
        <w:r>
          <w:rPr>
            <w:rFonts w:ascii="仿宋" w:eastAsia="仿宋" w:hAnsi="仿宋" w:cs="仿宋" w:hint="eastAsia"/>
            <w:color w:val="auto"/>
            <w:sz w:val="32"/>
            <w:szCs w:val="32"/>
            <w:highlight w:val="none"/>
          </w:rPr>
          <w:tab/>
        </w:r>
        <w:r>
          <w:rPr>
            <w:rFonts w:ascii="仿宋" w:eastAsia="仿宋" w:hAnsi="仿宋" w:cs="仿宋" w:hint="eastAsia"/>
            <w:color w:val="auto"/>
            <w:sz w:val="32"/>
            <w:szCs w:val="32"/>
            <w:highlight w:val="none"/>
          </w:rPr>
          <w:fldChar w:fldCharType="begin"/>
        </w:r>
        <w:r>
          <w:rPr>
            <w:rFonts w:ascii="仿宋" w:eastAsia="仿宋" w:hAnsi="仿宋" w:cs="仿宋" w:hint="eastAsia"/>
            <w:color w:val="auto"/>
            <w:sz w:val="32"/>
            <w:szCs w:val="32"/>
            <w:highlight w:val="none"/>
          </w:rPr>
          <w:instrText xml:space="preserve"> PAGEREF _Toc1227 \h </w:instrText>
        </w:r>
        <w:r>
          <w:rPr>
            <w:rFonts w:ascii="仿宋" w:eastAsia="仿宋" w:hAnsi="仿宋" w:cs="仿宋" w:hint="eastAsia"/>
            <w:color w:val="auto"/>
            <w:sz w:val="32"/>
            <w:szCs w:val="32"/>
            <w:highlight w:val="none"/>
          </w:rPr>
          <w:fldChar w:fldCharType="separate"/>
        </w:r>
        <w:r>
          <w:rPr>
            <w:rFonts w:ascii="仿宋" w:eastAsia="仿宋" w:hAnsi="仿宋" w:cs="仿宋" w:hint="eastAsia"/>
            <w:color w:val="auto"/>
            <w:sz w:val="32"/>
            <w:szCs w:val="32"/>
            <w:highlight w:val="none"/>
          </w:rPr>
          <w:t xml:space="preserve">16</w:t>
        </w:r>
        <w:r>
          <w:rPr>
            <w:rFonts w:ascii="仿宋" w:eastAsia="仿宋" w:hAnsi="仿宋" w:cs="仿宋" w:hint="eastAsia"/>
            <w:color w:val="auto"/>
            <w:sz w:val="32"/>
            <w:szCs w:val="32"/>
            <w:highlight w:val="none"/>
          </w:rPr>
          <w:fldChar w:fldCharType="end"/>
        </w:r>
      </w:hyperlink>
    </w:p>
    <w:p>
      <w:pPr>
        <w:pStyle w:val="WPSOffice手动目录2"/>
        <w:keepNext w:val="0"/>
        <w:keepLines w:val="0"/>
        <w:pageBreakBefore w:val="0"/>
        <w:tabs>
          <w:tab w:val="right" w:leader="dot" w:pos="8306"/>
        </w:tabs>
        <w:kinsoku/>
        <w:wordWrap/>
        <w:overflowPunct/>
        <w:topLinePunct w:val="0"/>
        <w:autoSpaceDE/>
        <w:autoSpaceDN/>
        <w:bidi w:val="0"/>
        <w:adjustRightInd/>
        <w:snapToGrid/>
        <w:spacing w:line="580" w:lineRule="exact"/>
        <w:textAlignment w:val="auto"/>
        <w:rPr>
          <w:rFonts w:ascii="仿宋" w:eastAsia="仿宋" w:hAnsi="仿宋" w:cs="仿宋" w:hint="eastAsia"/>
          <w:color w:val="auto"/>
          <w:sz w:val="32"/>
          <w:szCs w:val="32"/>
          <w:highlight w:val="none"/>
        </w:rPr>
      </w:pPr>
      <w:hyperlink w:anchor="_Toc13691" w:history="1">
        <w:r>
          <w:rPr>
            <w:rFonts w:ascii="仿宋" w:eastAsia="仿宋" w:hAnsi="仿宋" w:cs="仿宋" w:hint="eastAsia"/>
            <w:color w:val="auto"/>
            <w:sz w:val="32"/>
            <w:szCs w:val="32"/>
            <w:highlight w:val="none"/>
          </w:rPr>
          <w:t xml:space="preserve">（一）主要经验及做法</w:t>
        </w:r>
        <w:r>
          <w:rPr>
            <w:rFonts w:ascii="仿宋" w:eastAsia="仿宋" w:hAnsi="仿宋" w:cs="仿宋" w:hint="eastAsia"/>
            <w:color w:val="auto"/>
            <w:sz w:val="32"/>
            <w:szCs w:val="32"/>
            <w:highlight w:val="none"/>
          </w:rPr>
          <w:tab/>
        </w:r>
        <w:r>
          <w:rPr>
            <w:rFonts w:ascii="仿宋" w:eastAsia="仿宋" w:hAnsi="仿宋" w:cs="仿宋" w:hint="eastAsia"/>
            <w:color w:val="auto"/>
            <w:sz w:val="32"/>
            <w:szCs w:val="32"/>
            <w:highlight w:val="none"/>
          </w:rPr>
          <w:fldChar w:fldCharType="begin"/>
        </w:r>
        <w:r>
          <w:rPr>
            <w:rFonts w:ascii="仿宋" w:eastAsia="仿宋" w:hAnsi="仿宋" w:cs="仿宋" w:hint="eastAsia"/>
            <w:color w:val="auto"/>
            <w:sz w:val="32"/>
            <w:szCs w:val="32"/>
            <w:highlight w:val="none"/>
          </w:rPr>
          <w:instrText xml:space="preserve"> PAGEREF _Toc13691 \h </w:instrText>
        </w:r>
        <w:r>
          <w:rPr>
            <w:rFonts w:ascii="仿宋" w:eastAsia="仿宋" w:hAnsi="仿宋" w:cs="仿宋" w:hint="eastAsia"/>
            <w:color w:val="auto"/>
            <w:sz w:val="32"/>
            <w:szCs w:val="32"/>
            <w:highlight w:val="none"/>
          </w:rPr>
          <w:fldChar w:fldCharType="separate"/>
        </w:r>
        <w:r>
          <w:rPr>
            <w:rFonts w:ascii="仿宋" w:eastAsia="仿宋" w:hAnsi="仿宋" w:cs="仿宋" w:hint="eastAsia"/>
            <w:color w:val="auto"/>
            <w:sz w:val="32"/>
            <w:szCs w:val="32"/>
            <w:highlight w:val="none"/>
          </w:rPr>
          <w:t xml:space="preserve">16</w:t>
        </w:r>
        <w:r>
          <w:rPr>
            <w:rFonts w:ascii="仿宋" w:eastAsia="仿宋" w:hAnsi="仿宋" w:cs="仿宋" w:hint="eastAsia"/>
            <w:color w:val="auto"/>
            <w:sz w:val="32"/>
            <w:szCs w:val="32"/>
            <w:highlight w:val="none"/>
          </w:rPr>
          <w:fldChar w:fldCharType="end"/>
        </w:r>
      </w:hyperlink>
    </w:p>
    <w:p>
      <w:pPr>
        <w:pStyle w:val="WPSOffice手动目录2"/>
        <w:keepNext w:val="0"/>
        <w:keepLines w:val="0"/>
        <w:pageBreakBefore w:val="0"/>
        <w:tabs>
          <w:tab w:val="right" w:leader="dot" w:pos="8306"/>
        </w:tabs>
        <w:kinsoku/>
        <w:wordWrap/>
        <w:overflowPunct/>
        <w:topLinePunct w:val="0"/>
        <w:autoSpaceDE/>
        <w:autoSpaceDN/>
        <w:bidi w:val="0"/>
        <w:adjustRightInd/>
        <w:snapToGrid/>
        <w:spacing w:line="580" w:lineRule="exact"/>
        <w:textAlignment w:val="auto"/>
        <w:rPr>
          <w:rFonts w:ascii="仿宋" w:eastAsia="仿宋" w:hAnsi="仿宋" w:cs="仿宋" w:hint="eastAsia"/>
          <w:color w:val="auto"/>
          <w:sz w:val="32"/>
          <w:szCs w:val="32"/>
          <w:highlight w:val="none"/>
        </w:rPr>
      </w:pPr>
      <w:hyperlink w:anchor="_Toc6194" w:history="1">
        <w:r>
          <w:rPr>
            <w:rFonts w:ascii="仿宋" w:eastAsia="仿宋" w:hAnsi="仿宋" w:cs="仿宋" w:hint="eastAsia"/>
            <w:bCs/>
            <w:color w:val="auto"/>
            <w:sz w:val="32"/>
            <w:szCs w:val="32"/>
            <w:highlight w:val="none"/>
          </w:rPr>
          <w:t xml:space="preserve">（二）存在的问题及分析</w:t>
        </w:r>
        <w:r>
          <w:rPr>
            <w:rFonts w:ascii="仿宋" w:eastAsia="仿宋" w:hAnsi="仿宋" w:cs="仿宋" w:hint="eastAsia"/>
            <w:color w:val="auto"/>
            <w:sz w:val="32"/>
            <w:szCs w:val="32"/>
            <w:highlight w:val="none"/>
          </w:rPr>
          <w:tab/>
        </w:r>
        <w:r>
          <w:rPr>
            <w:rFonts w:ascii="仿宋" w:eastAsia="仿宋" w:hAnsi="仿宋" w:cs="仿宋" w:hint="eastAsia"/>
            <w:color w:val="auto"/>
            <w:sz w:val="32"/>
            <w:szCs w:val="32"/>
            <w:highlight w:val="none"/>
          </w:rPr>
          <w:fldChar w:fldCharType="begin"/>
        </w:r>
        <w:r>
          <w:rPr>
            <w:rFonts w:ascii="仿宋" w:eastAsia="仿宋" w:hAnsi="仿宋" w:cs="仿宋" w:hint="eastAsia"/>
            <w:color w:val="auto"/>
            <w:sz w:val="32"/>
            <w:szCs w:val="32"/>
            <w:highlight w:val="none"/>
          </w:rPr>
          <w:instrText xml:space="preserve"> PAGEREF _Toc6194 \h </w:instrText>
        </w:r>
        <w:r>
          <w:rPr>
            <w:rFonts w:ascii="仿宋" w:eastAsia="仿宋" w:hAnsi="仿宋" w:cs="仿宋" w:hint="eastAsia"/>
            <w:color w:val="auto"/>
            <w:sz w:val="32"/>
            <w:szCs w:val="32"/>
            <w:highlight w:val="none"/>
          </w:rPr>
          <w:fldChar w:fldCharType="separate"/>
        </w:r>
        <w:r>
          <w:rPr>
            <w:rFonts w:ascii="仿宋" w:eastAsia="仿宋" w:hAnsi="仿宋" w:cs="仿宋" w:hint="eastAsia"/>
            <w:color w:val="auto"/>
            <w:sz w:val="32"/>
            <w:szCs w:val="32"/>
            <w:highlight w:val="none"/>
          </w:rPr>
          <w:t xml:space="preserve">17</w:t>
        </w:r>
        <w:r>
          <w:rPr>
            <w:rFonts w:ascii="仿宋" w:eastAsia="仿宋" w:hAnsi="仿宋" w:cs="仿宋" w:hint="eastAsia"/>
            <w:color w:val="auto"/>
            <w:sz w:val="32"/>
            <w:szCs w:val="32"/>
            <w:highlight w:val="none"/>
          </w:rPr>
          <w:fldChar w:fldCharType="end"/>
        </w:r>
      </w:hyperlink>
    </w:p>
    <w:p>
      <w:pPr>
        <w:pStyle w:val="WPSOffice手动目录1"/>
        <w:keepNext w:val="0"/>
        <w:keepLines w:val="0"/>
        <w:pageBreakBefore w:val="0"/>
        <w:tabs>
          <w:tab w:val="right" w:leader="dot" w:pos="8306"/>
        </w:tabs>
        <w:kinsoku/>
        <w:wordWrap/>
        <w:overflowPunct/>
        <w:topLinePunct w:val="0"/>
        <w:autoSpaceDE/>
        <w:autoSpaceDN/>
        <w:bidi w:val="0"/>
        <w:adjustRightInd/>
        <w:snapToGrid/>
        <w:spacing w:line="580" w:lineRule="exact"/>
        <w:textAlignment w:val="auto"/>
        <w:rPr>
          <w:rFonts w:ascii="仿宋" w:eastAsia="仿宋" w:hAnsi="仿宋" w:cs="仿宋" w:hint="eastAsia"/>
          <w:b w:val="0"/>
          <w:bCs w:val="0"/>
          <w:color w:val="auto"/>
          <w:sz w:val="32"/>
          <w:szCs w:val="32"/>
          <w:highlight w:val="none"/>
        </w:rPr>
      </w:pPr>
      <w:hyperlink w:anchor="_Toc10025" w:history="1">
        <w:r>
          <w:rPr>
            <w:rFonts w:ascii="仿宋" w:eastAsia="仿宋" w:hAnsi="仿宋" w:cs="仿宋" w:hint="eastAsia"/>
            <w:b w:val="0"/>
            <w:bCs w:val="0"/>
            <w:iCs/>
            <w:color w:val="auto"/>
            <w:kern w:val="2"/>
            <w:sz w:val="32"/>
            <w:szCs w:val="32"/>
            <w:highlight w:val="none"/>
            <w:lang w:val="en-US" w:eastAsia="zh-CN" w:bidi="ar-SA"/>
          </w:rPr>
          <w:t xml:space="preserve">六、有关建议</w:t>
        </w:r>
        <w:r>
          <w:rPr>
            <w:rFonts w:ascii="仿宋" w:eastAsia="仿宋" w:hAnsi="仿宋" w:cs="仿宋" w:hint="eastAsia"/>
            <w:b w:val="0"/>
            <w:bCs w:val="0"/>
            <w:color w:val="auto"/>
            <w:sz w:val="32"/>
            <w:szCs w:val="32"/>
            <w:highlight w:val="none"/>
          </w:rPr>
          <w:tab/>
        </w:r>
        <w:r>
          <w:rPr>
            <w:rFonts w:ascii="仿宋" w:eastAsia="仿宋" w:hAnsi="仿宋" w:cs="仿宋" w:hint="eastAsia"/>
            <w:b w:val="0"/>
            <w:bCs w:val="0"/>
            <w:color w:val="auto"/>
            <w:sz w:val="32"/>
            <w:szCs w:val="32"/>
            <w:highlight w:val="none"/>
          </w:rPr>
          <w:fldChar w:fldCharType="begin"/>
        </w:r>
        <w:r>
          <w:rPr>
            <w:rFonts w:ascii="仿宋" w:eastAsia="仿宋" w:hAnsi="仿宋" w:cs="仿宋" w:hint="eastAsia"/>
            <w:b w:val="0"/>
            <w:bCs w:val="0"/>
            <w:color w:val="auto"/>
            <w:sz w:val="32"/>
            <w:szCs w:val="32"/>
            <w:highlight w:val="none"/>
          </w:rPr>
          <w:instrText xml:space="preserve"> PAGEREF _Toc10025 \h </w:instrText>
        </w:r>
        <w:r>
          <w:rPr>
            <w:rFonts w:ascii="仿宋" w:eastAsia="仿宋" w:hAnsi="仿宋" w:cs="仿宋" w:hint="eastAsia"/>
            <w:b w:val="0"/>
            <w:bCs w:val="0"/>
            <w:color w:val="auto"/>
            <w:sz w:val="32"/>
            <w:szCs w:val="32"/>
            <w:highlight w:val="none"/>
          </w:rPr>
          <w:fldChar w:fldCharType="separate"/>
        </w:r>
        <w:r>
          <w:rPr>
            <w:rFonts w:ascii="仿宋" w:eastAsia="仿宋" w:hAnsi="仿宋" w:cs="仿宋" w:hint="eastAsia"/>
            <w:b w:val="0"/>
            <w:bCs w:val="0"/>
            <w:color w:val="auto"/>
            <w:sz w:val="32"/>
            <w:szCs w:val="32"/>
            <w:highlight w:val="none"/>
          </w:rPr>
          <w:t xml:space="preserve">17</w:t>
        </w:r>
        <w:r>
          <w:rPr>
            <w:rFonts w:ascii="仿宋" w:eastAsia="仿宋" w:hAnsi="仿宋" w:cs="仿宋" w:hint="eastAsia"/>
            <w:b w:val="0"/>
            <w:bCs w:val="0"/>
            <w:color w:val="auto"/>
            <w:sz w:val="32"/>
            <w:szCs w:val="32"/>
            <w:highlight w:val="none"/>
          </w:rPr>
          <w:fldChar w:fldCharType="end"/>
        </w:r>
      </w:hyperlink>
    </w:p>
    <w:p>
      <w:pPr>
        <w:pStyle w:val="WPSOffice手动目录1"/>
        <w:keepNext w:val="0"/>
        <w:keepLines w:val="0"/>
        <w:pageBreakBefore w:val="0"/>
        <w:tabs>
          <w:tab w:val="right" w:leader="dot" w:pos="8306"/>
        </w:tabs>
        <w:kinsoku/>
        <w:wordWrap/>
        <w:overflowPunct/>
        <w:topLinePunct w:val="0"/>
        <w:autoSpaceDE/>
        <w:autoSpaceDN/>
        <w:bidi w:val="0"/>
        <w:adjustRightInd/>
        <w:snapToGrid/>
        <w:spacing w:line="580" w:lineRule="exact"/>
        <w:textAlignment w:val="auto"/>
        <w:rPr>
          <w:rFonts w:ascii="仿宋" w:eastAsia="仿宋" w:hAnsi="仿宋" w:cs="仿宋" w:hint="eastAsia"/>
          <w:b w:val="0"/>
          <w:bCs w:val="0"/>
          <w:color w:val="auto"/>
          <w:sz w:val="32"/>
          <w:szCs w:val="32"/>
          <w:highlight w:val="none"/>
        </w:rPr>
      </w:pPr>
      <w:hyperlink w:anchor="_Toc21662" w:history="1">
        <w:r>
          <w:rPr>
            <w:rFonts w:ascii="仿宋" w:eastAsia="仿宋" w:hAnsi="仿宋" w:cs="仿宋" w:hint="eastAsia"/>
            <w:b w:val="0"/>
            <w:bCs w:val="0"/>
            <w:iCs/>
            <w:color w:val="auto"/>
            <w:kern w:val="2"/>
            <w:sz w:val="32"/>
            <w:szCs w:val="32"/>
            <w:highlight w:val="none"/>
            <w:lang w:val="en-US" w:eastAsia="zh-CN" w:bidi="ar-SA"/>
          </w:rPr>
          <w:t xml:space="preserve">七、其他需要说明的问题</w:t>
        </w:r>
        <w:r>
          <w:rPr>
            <w:rFonts w:ascii="仿宋" w:eastAsia="仿宋" w:hAnsi="仿宋" w:cs="仿宋" w:hint="eastAsia"/>
            <w:b w:val="0"/>
            <w:bCs w:val="0"/>
            <w:color w:val="auto"/>
            <w:sz w:val="32"/>
            <w:szCs w:val="32"/>
            <w:highlight w:val="none"/>
          </w:rPr>
          <w:tab/>
        </w:r>
        <w:r>
          <w:rPr>
            <w:rFonts w:ascii="仿宋" w:eastAsia="仿宋" w:hAnsi="仿宋" w:cs="仿宋" w:hint="eastAsia"/>
            <w:b w:val="0"/>
            <w:bCs w:val="0"/>
            <w:color w:val="auto"/>
            <w:sz w:val="32"/>
            <w:szCs w:val="32"/>
            <w:highlight w:val="none"/>
          </w:rPr>
          <w:fldChar w:fldCharType="begin"/>
        </w:r>
        <w:r>
          <w:rPr>
            <w:rFonts w:ascii="仿宋" w:eastAsia="仿宋" w:hAnsi="仿宋" w:cs="仿宋" w:hint="eastAsia"/>
            <w:b w:val="0"/>
            <w:bCs w:val="0"/>
            <w:color w:val="auto"/>
            <w:sz w:val="32"/>
            <w:szCs w:val="32"/>
            <w:highlight w:val="none"/>
          </w:rPr>
          <w:instrText xml:space="preserve"> PAGEREF _Toc21662 \h </w:instrText>
        </w:r>
        <w:r>
          <w:rPr>
            <w:rFonts w:ascii="仿宋" w:eastAsia="仿宋" w:hAnsi="仿宋" w:cs="仿宋" w:hint="eastAsia"/>
            <w:b w:val="0"/>
            <w:bCs w:val="0"/>
            <w:color w:val="auto"/>
            <w:sz w:val="32"/>
            <w:szCs w:val="32"/>
            <w:highlight w:val="none"/>
          </w:rPr>
          <w:fldChar w:fldCharType="separate"/>
        </w:r>
        <w:r>
          <w:rPr>
            <w:rFonts w:ascii="仿宋" w:eastAsia="仿宋" w:hAnsi="仿宋" w:cs="仿宋" w:hint="eastAsia"/>
            <w:b w:val="0"/>
            <w:bCs w:val="0"/>
            <w:color w:val="auto"/>
            <w:sz w:val="32"/>
            <w:szCs w:val="32"/>
            <w:highlight w:val="none"/>
          </w:rPr>
          <w:t xml:space="preserve">17</w:t>
        </w:r>
        <w:r>
          <w:rPr>
            <w:rFonts w:ascii="仿宋" w:eastAsia="仿宋" w:hAnsi="仿宋" w:cs="仿宋" w:hint="eastAsia"/>
            <w:b w:val="0"/>
            <w:bCs w:val="0"/>
            <w:color w:val="auto"/>
            <w:sz w:val="32"/>
            <w:szCs w:val="32"/>
            <w:highlight w:val="none"/>
          </w:rPr>
          <w:fldChar w:fldCharType="end"/>
        </w:r>
      </w:hyperlink>
    </w:p>
    <w:p>
      <w:pPr>
        <w:pStyle w:val="WPSOffice手动目录2"/>
        <w:keepNext w:val="0"/>
        <w:keepLines w:val="0"/>
        <w:pageBreakBefore w:val="0"/>
        <w:tabs>
          <w:tab w:val="right" w:leader="dot" w:pos="8306"/>
        </w:tabs>
        <w:kinsoku/>
        <w:wordWrap/>
        <w:overflowPunct/>
        <w:topLinePunct w:val="0"/>
        <w:autoSpaceDE/>
        <w:autoSpaceDN/>
        <w:bidi w:val="0"/>
        <w:adjustRightInd/>
        <w:snapToGrid/>
        <w:spacing w:line="580" w:lineRule="exact"/>
        <w:ind w:left="0" w:firstLine="0" w:leftChars="0" w:firstLineChars="0"/>
        <w:textAlignment w:val="auto"/>
        <w:rPr>
          <w:rFonts w:ascii="仿宋" w:eastAsia="仿宋" w:hAnsi="仿宋" w:cs="仿宋" w:hint="eastAsia"/>
          <w:color w:val="auto"/>
          <w:sz w:val="32"/>
          <w:szCs w:val="32"/>
          <w:highlight w:val="none"/>
        </w:rPr>
      </w:pPr>
      <w:hyperlink w:anchor="_Toc32285" w:history="1">
        <w:r>
          <w:rPr>
            <w:rFonts w:ascii="仿宋" w:eastAsia="仿宋" w:hAnsi="仿宋" w:cs="仿宋" w:hint="eastAsia"/>
            <w:bCs/>
            <w:iCs/>
            <w:color w:val="auto"/>
            <w:sz w:val="32"/>
            <w:szCs w:val="32"/>
            <w:highlight w:val="none"/>
          </w:rPr>
          <w:t xml:space="preserve">八、附件</w:t>
        </w:r>
        <w:r>
          <w:rPr>
            <w:rFonts w:ascii="仿宋" w:eastAsia="仿宋" w:hAnsi="仿宋" w:cs="仿宋" w:hint="eastAsia"/>
            <w:color w:val="auto"/>
            <w:sz w:val="32"/>
            <w:szCs w:val="32"/>
            <w:highlight w:val="none"/>
          </w:rPr>
          <w:tab/>
        </w:r>
        <w:r>
          <w:rPr>
            <w:rFonts w:ascii="仿宋" w:eastAsia="仿宋" w:hAnsi="仿宋" w:cs="仿宋" w:hint="eastAsia"/>
            <w:color w:val="auto"/>
            <w:sz w:val="32"/>
            <w:szCs w:val="32"/>
            <w:highlight w:val="none"/>
          </w:rPr>
          <w:fldChar w:fldCharType="begin"/>
        </w:r>
        <w:r>
          <w:rPr>
            <w:rFonts w:ascii="仿宋" w:eastAsia="仿宋" w:hAnsi="仿宋" w:cs="仿宋" w:hint="eastAsia"/>
            <w:color w:val="auto"/>
            <w:sz w:val="32"/>
            <w:szCs w:val="32"/>
            <w:highlight w:val="none"/>
          </w:rPr>
          <w:instrText xml:space="preserve"> PAGEREF _Toc32285 \h </w:instrText>
        </w:r>
        <w:r>
          <w:rPr>
            <w:rFonts w:ascii="仿宋" w:eastAsia="仿宋" w:hAnsi="仿宋" w:cs="仿宋" w:hint="eastAsia"/>
            <w:color w:val="auto"/>
            <w:sz w:val="32"/>
            <w:szCs w:val="32"/>
            <w:highlight w:val="none"/>
          </w:rPr>
          <w:fldChar w:fldCharType="separate"/>
        </w:r>
        <w:r>
          <w:rPr>
            <w:rFonts w:ascii="仿宋" w:eastAsia="仿宋" w:hAnsi="仿宋" w:cs="仿宋" w:hint="eastAsia"/>
            <w:color w:val="auto"/>
            <w:sz w:val="32"/>
            <w:szCs w:val="32"/>
            <w:highlight w:val="none"/>
          </w:rPr>
          <w:t xml:space="preserve">18</w:t>
        </w:r>
        <w:r>
          <w:rPr>
            <w:rFonts w:ascii="仿宋" w:eastAsia="仿宋" w:hAnsi="仿宋" w:cs="仿宋" w:hint="eastAsia"/>
            <w:color w:val="auto"/>
            <w:sz w:val="32"/>
            <w:szCs w:val="32"/>
            <w:highlight w:val="none"/>
          </w:rPr>
          <w:fldChar w:fldCharType="end"/>
        </w:r>
      </w:hyperlink>
    </w:p>
    <w:p>
      <w:pPr>
        <w:pStyle w:val="WPSOffice手动目录2"/>
        <w:keepNext w:val="0"/>
        <w:keepLines w:val="0"/>
        <w:pageBreakBefore w:val="0"/>
        <w:tabs>
          <w:tab w:val="right" w:leader="dot" w:pos="8306"/>
        </w:tabs>
        <w:kinsoku/>
        <w:wordWrap/>
        <w:overflowPunct/>
        <w:topLinePunct w:val="0"/>
        <w:autoSpaceDE/>
        <w:autoSpaceDN/>
        <w:bidi w:val="0"/>
        <w:adjustRightInd/>
        <w:snapToGrid/>
        <w:spacing w:line="580" w:lineRule="exact"/>
        <w:textAlignment w:val="auto"/>
        <w:rPr>
          <w:rFonts w:ascii="仿宋" w:eastAsia="仿宋" w:hAnsi="仿宋" w:cs="仿宋" w:hint="eastAsia"/>
          <w:color w:val="auto"/>
          <w:sz w:val="32"/>
          <w:szCs w:val="32"/>
          <w:highlight w:val="none"/>
        </w:rPr>
      </w:pPr>
      <w:hyperlink w:anchor="_Toc26936" w:history="1">
        <w:r>
          <w:rPr>
            <w:rFonts w:ascii="仿宋" w:eastAsia="仿宋" w:hAnsi="仿宋" w:cs="仿宋" w:hint="eastAsia"/>
            <w:bCs/>
            <w:iCs/>
            <w:color w:val="auto"/>
            <w:sz w:val="32"/>
            <w:szCs w:val="32"/>
            <w:highlight w:val="none"/>
          </w:rPr>
          <w:t xml:space="preserve">附件1：</w:t>
        </w:r>
        <w:r>
          <w:rPr>
            <w:rFonts w:ascii="仿宋" w:eastAsia="仿宋" w:hAnsi="仿宋" w:cs="仿宋" w:hint="eastAsia"/>
            <w:color w:val="auto"/>
            <w:sz w:val="32"/>
            <w:szCs w:val="32"/>
            <w:highlight w:val="none"/>
          </w:rPr>
          <w:t xml:space="preserve">项目支出绩效自评表</w:t>
        </w:r>
        <w:r>
          <w:rPr>
            <w:rFonts w:ascii="仿宋" w:eastAsia="仿宋" w:hAnsi="仿宋" w:cs="仿宋" w:hint="eastAsia"/>
            <w:color w:val="auto"/>
            <w:sz w:val="32"/>
            <w:szCs w:val="32"/>
            <w:highlight w:val="none"/>
          </w:rPr>
          <w:tab/>
        </w:r>
        <w:r>
          <w:rPr>
            <w:rFonts w:ascii="仿宋" w:eastAsia="仿宋" w:hAnsi="仿宋" w:cs="仿宋" w:hint="eastAsia"/>
            <w:color w:val="auto"/>
            <w:sz w:val="32"/>
            <w:szCs w:val="32"/>
            <w:highlight w:val="none"/>
          </w:rPr>
          <w:fldChar w:fldCharType="begin"/>
        </w:r>
        <w:r>
          <w:rPr>
            <w:rFonts w:ascii="仿宋" w:eastAsia="仿宋" w:hAnsi="仿宋" w:cs="仿宋" w:hint="eastAsia"/>
            <w:color w:val="auto"/>
            <w:sz w:val="32"/>
            <w:szCs w:val="32"/>
            <w:highlight w:val="none"/>
          </w:rPr>
          <w:instrText xml:space="preserve"> PAGEREF _Toc26936 \h </w:instrText>
        </w:r>
        <w:r>
          <w:rPr>
            <w:rFonts w:ascii="仿宋" w:eastAsia="仿宋" w:hAnsi="仿宋" w:cs="仿宋" w:hint="eastAsia"/>
            <w:color w:val="auto"/>
            <w:sz w:val="32"/>
            <w:szCs w:val="32"/>
            <w:highlight w:val="none"/>
          </w:rPr>
          <w:fldChar w:fldCharType="separate"/>
        </w:r>
        <w:r>
          <w:rPr>
            <w:rFonts w:ascii="仿宋" w:eastAsia="仿宋" w:hAnsi="仿宋" w:cs="仿宋" w:hint="eastAsia"/>
            <w:color w:val="auto"/>
            <w:sz w:val="32"/>
            <w:szCs w:val="32"/>
            <w:highlight w:val="none"/>
          </w:rPr>
          <w:t xml:space="preserve">19</w:t>
        </w:r>
        <w:r>
          <w:rPr>
            <w:rFonts w:ascii="仿宋" w:eastAsia="仿宋" w:hAnsi="仿宋" w:cs="仿宋" w:hint="eastAsia"/>
            <w:color w:val="auto"/>
            <w:sz w:val="32"/>
            <w:szCs w:val="32"/>
            <w:highlight w:val="none"/>
          </w:rPr>
          <w:fldChar w:fldCharType="end"/>
        </w:r>
      </w:hyperlink>
    </w:p>
    <w:p>
      <w:pPr>
        <w:pStyle w:val="WPSOffice手动目录2"/>
        <w:keepNext w:val="0"/>
        <w:keepLines w:val="0"/>
        <w:pageBreakBefore w:val="0"/>
        <w:tabs>
          <w:tab w:val="right" w:leader="dot" w:pos="8306"/>
        </w:tabs>
        <w:kinsoku/>
        <w:wordWrap/>
        <w:overflowPunct/>
        <w:topLinePunct w:val="0"/>
        <w:autoSpaceDE/>
        <w:autoSpaceDN/>
        <w:bidi w:val="0"/>
        <w:adjustRightInd/>
        <w:snapToGrid/>
        <w:spacing w:line="580" w:lineRule="exact"/>
        <w:textAlignment w:val="auto"/>
        <w:rPr>
          <w:rFonts w:ascii="仿宋" w:eastAsia="仿宋" w:hAnsi="仿宋" w:cs="仿宋" w:hint="eastAsia"/>
          <w:color w:val="auto"/>
          <w:sz w:val="32"/>
          <w:szCs w:val="32"/>
          <w:highlight w:val="none"/>
        </w:rPr>
      </w:pPr>
      <w:hyperlink w:anchor="_Toc31286" w:history="1">
        <w:r>
          <w:rPr>
            <w:rFonts w:ascii="仿宋" w:eastAsia="仿宋" w:hAnsi="仿宋" w:cs="仿宋" w:hint="eastAsia"/>
            <w:color w:val="auto"/>
            <w:sz w:val="32"/>
            <w:szCs w:val="32"/>
            <w:highlight w:val="none"/>
          </w:rPr>
          <w:t xml:space="preserve">附件2：项目支出绩效评价指标体系及评分</w:t>
        </w:r>
        <w:r>
          <w:rPr>
            <w:rFonts w:ascii="仿宋" w:eastAsia="仿宋" w:hAnsi="仿宋" w:cs="仿宋" w:hint="eastAsia"/>
            <w:color w:val="auto"/>
            <w:sz w:val="32"/>
            <w:szCs w:val="32"/>
            <w:highlight w:val="none"/>
          </w:rPr>
          <w:tab/>
        </w:r>
        <w:r>
          <w:rPr>
            <w:rFonts w:ascii="仿宋" w:eastAsia="仿宋" w:hAnsi="仿宋" w:cs="仿宋" w:hint="eastAsia"/>
            <w:color w:val="auto"/>
            <w:sz w:val="32"/>
            <w:szCs w:val="32"/>
            <w:highlight w:val="none"/>
          </w:rPr>
          <w:fldChar w:fldCharType="begin"/>
        </w:r>
        <w:r>
          <w:rPr>
            <w:rFonts w:ascii="仿宋" w:eastAsia="仿宋" w:hAnsi="仿宋" w:cs="仿宋" w:hint="eastAsia"/>
            <w:color w:val="auto"/>
            <w:sz w:val="32"/>
            <w:szCs w:val="32"/>
            <w:highlight w:val="none"/>
          </w:rPr>
          <w:instrText xml:space="preserve"> PAGEREF _Toc31286 \h </w:instrText>
        </w:r>
        <w:r>
          <w:rPr>
            <w:rFonts w:ascii="仿宋" w:eastAsia="仿宋" w:hAnsi="仿宋" w:cs="仿宋" w:hint="eastAsia"/>
            <w:color w:val="auto"/>
            <w:sz w:val="32"/>
            <w:szCs w:val="32"/>
            <w:highlight w:val="none"/>
          </w:rPr>
          <w:fldChar w:fldCharType="separate"/>
        </w:r>
        <w:r>
          <w:rPr>
            <w:rFonts w:ascii="仿宋" w:eastAsia="仿宋" w:hAnsi="仿宋" w:cs="仿宋" w:hint="eastAsia"/>
            <w:color w:val="auto"/>
            <w:sz w:val="32"/>
            <w:szCs w:val="32"/>
            <w:highlight w:val="none"/>
          </w:rPr>
          <w:t xml:space="preserve">21</w:t>
        </w:r>
        <w:r>
          <w:rPr>
            <w:rFonts w:ascii="仿宋" w:eastAsia="仿宋" w:hAnsi="仿宋" w:cs="仿宋" w:hint="eastAsia"/>
            <w:color w:val="auto"/>
            <w:sz w:val="32"/>
            <w:szCs w:val="32"/>
            <w:highlight w:val="none"/>
          </w:rPr>
          <w:fldChar w:fldCharType="end"/>
        </w:r>
      </w:hyperlink>
    </w:p>
    <w:p>
      <w:pPr>
        <w:keepNext w:val="0"/>
        <w:keepLines w:val="0"/>
        <w:pageBreakBefore w:val="0"/>
        <w:tabs>
          <w:tab w:val="right" w:leader="dot" w:pos="8306"/>
        </w:tabs>
        <w:kinsoku/>
        <w:wordWrap/>
        <w:overflowPunct/>
        <w:topLinePunct w:val="0"/>
        <w:autoSpaceDE/>
        <w:autoSpaceDN/>
        <w:bidi w:val="0"/>
        <w:adjustRightInd/>
        <w:snapToGrid/>
        <w:spacing w:line="580" w:lineRule="exact"/>
        <w:ind w:firstLine="640"/>
        <w:textAlignment w:val="auto"/>
        <w:rPr>
          <w:rFonts w:ascii="仿宋" w:eastAsia="仿宋" w:hAnsi="仿宋" w:cs="仿宋" w:hint="eastAsia"/>
          <w:bCs/>
          <w:iCs/>
          <w:color w:val="auto"/>
          <w:kern w:val="2"/>
          <w:sz w:val="32"/>
          <w:szCs w:val="21"/>
          <w:highlight w:val="none"/>
          <w:lang w:val="en-US" w:eastAsia="zh-CN" w:bidi="ar-SA"/>
        </w:rPr>
        <w:sectPr>
          <w:footerReference w:type="default" r:id="rId3"/>
          <w:pgSz w:w="11906" w:h="16838" w:orient="portrait"/>
          <w:pgMar w:top="1440" w:right="1800" w:bottom="1440" w:left="1800" w:header="851" w:footer="992" w:gutter="0"/>
          <w:pgBorders/>
          <w:pgNumType w:fmt="decimal"/>
          <w:cols w:num="1" w:space="720">
            <w:col w:w="8306" w:space="720"/>
          </w:cols>
          <w:docGrid w:type="lines" w:linePitch="312" w:charSpace="0"/>
        </w:sectPr>
      </w:pPr>
      <w:r>
        <w:rPr>
          <w:rFonts w:ascii="仿宋" w:eastAsia="仿宋" w:hAnsi="仿宋" w:cs="仿宋" w:hint="eastAsia"/>
          <w:b/>
          <w:bCs/>
          <w:iCs/>
          <w:color w:val="auto"/>
          <w:kern w:val="2"/>
          <w:sz w:val="32"/>
          <w:szCs w:val="32"/>
          <w:highlight w:val="none"/>
          <w:lang w:val="en-US" w:eastAsia="zh-CN" w:bidi="ar-SA"/>
        </w:rPr>
        <w:fldChar w:fldCharType="end"/>
      </w:r>
    </w:p>
    <w:p>
      <w:pPr>
        <w:tabs>
          <w:tab w:val="right" w:leader="dot" w:pos="8306"/>
        </w:tabs>
        <w:ind w:firstLine="640"/>
        <w:outlineLvl w:val="0"/>
        <w:rPr>
          <w:rFonts w:ascii="仿宋" w:eastAsia="仿宋" w:hAnsi="仿宋" w:cs="仿宋" w:hint="eastAsia"/>
          <w:bCs/>
          <w:iCs/>
          <w:color w:val="auto"/>
          <w:kern w:val="2"/>
          <w:sz w:val="32"/>
          <w:szCs w:val="21"/>
          <w:highlight w:val="none"/>
          <w:lang w:val="en-US" w:eastAsia="zh-CN" w:bidi="ar-SA"/>
        </w:rPr>
      </w:pPr>
      <w:bookmarkStart w:id="11" w:name="_Toc19123"/>
      <w:r>
        <w:rPr>
          <w:rFonts w:ascii="仿宋" w:eastAsia="仿宋" w:hAnsi="仿宋" w:cs="仿宋" w:hint="eastAsia"/>
          <w:bCs/>
          <w:iCs/>
          <w:color w:val="auto"/>
          <w:kern w:val="2"/>
          <w:sz w:val="32"/>
          <w:szCs w:val="21"/>
          <w:highlight w:val="none"/>
          <w:lang w:val="en-US" w:eastAsia="zh-CN" w:bidi="ar-SA"/>
        </w:rPr>
        <w:t xml:space="preserve">一、基本情况</w:t>
      </w:r>
      <w:bookmarkEnd w:id="5"/>
      <w:bookmarkEnd w:id="6"/>
      <w:bookmarkEnd w:id="7"/>
      <w:bookmarkEnd w:id="8"/>
      <w:bookmarkEnd w:id="9"/>
      <w:bookmarkEnd w:id="10"/>
      <w:bookmarkEnd w:id="11"/>
      <w:bookmarkStart w:id="12" w:name="_Toc27593"/>
    </w:p>
    <w:p>
      <w:pPr>
        <w:pStyle w:val="Heading3"/>
        <w:bidi w:val="0"/>
        <w:jc w:val="both"/>
        <w:outlineLvl w:val="1"/>
        <w:rPr>
          <w:rFonts w:ascii="仿宋" w:eastAsia="仿宋" w:hAnsi="仿宋" w:cs="仿宋" w:hint="eastAsia"/>
          <w:color w:val="auto"/>
          <w:highlight w:val="none"/>
        </w:rPr>
      </w:pPr>
      <w:bookmarkStart w:id="13" w:name="_Toc26183"/>
      <w:bookmarkStart w:id="14" w:name="_Toc9236"/>
      <w:bookmarkStart w:id="15" w:name="_Toc24048"/>
      <w:bookmarkStart w:id="16" w:name="_Toc8373"/>
      <w:bookmarkStart w:id="17" w:name="_Toc24706"/>
      <w:r>
        <w:rPr>
          <w:rFonts w:ascii="仿宋" w:eastAsia="仿宋" w:hAnsi="仿宋" w:cs="仿宋" w:hint="eastAsia"/>
          <w:color w:val="auto"/>
          <w:highlight w:val="none"/>
        </w:rPr>
        <w:t xml:space="preserve">（一）项目概况</w:t>
      </w:r>
      <w:bookmarkEnd w:id="12"/>
      <w:bookmarkEnd w:id="13"/>
      <w:bookmarkEnd w:id="14"/>
      <w:bookmarkEnd w:id="15"/>
      <w:bookmarkEnd w:id="16"/>
      <w:bookmarkEnd w:id="17"/>
    </w:p>
    <w:p>
      <w:pPr>
        <w:bidi w:val="0"/>
        <w:jc w:val="both"/>
        <w:rPr>
          <w:rFonts w:ascii="仿宋" w:eastAsia="仿宋" w:hAnsi="仿宋" w:cs="仿宋" w:hint="eastAsia"/>
          <w:b/>
          <w:bCs/>
          <w:color w:val="auto"/>
          <w:highlight w:val="none"/>
        </w:rPr>
      </w:pPr>
      <w:bookmarkStart w:id="18" w:name="_Toc19984"/>
      <w:bookmarkStart w:id="19" w:name="_Toc11427"/>
      <w:r>
        <w:rPr>
          <w:rFonts w:ascii="仿宋" w:eastAsia="仿宋" w:hAnsi="仿宋" w:cs="仿宋" w:hint="eastAsia"/>
          <w:b/>
          <w:bCs/>
          <w:color w:val="auto"/>
          <w:highlight w:val="none"/>
        </w:rPr>
        <w:t xml:space="preserve">1.项目背景</w:t>
      </w:r>
      <w:bookmarkEnd w:id="18"/>
      <w:bookmarkEnd w:id="19"/>
    </w:p>
    <w:p>
      <w:pPr>
        <w:bidi w:val="0"/>
        <w:jc w:val="both"/>
        <w:rPr>
          <w:rFonts w:ascii="仿宋" w:eastAsia="仿宋" w:hAnsi="仿宋" w:cs="仿宋" w:hint="eastAsia"/>
          <w:color w:val="auto"/>
          <w:highlight w:val="none"/>
          <w:lang w:val="en-US" w:eastAsia="zh-CN"/>
        </w:rPr>
      </w:pPr>
      <w:bookmarkStart w:id="20" w:name="_Toc22216"/>
      <w:bookmarkStart w:id="21" w:name="_Toc22079"/>
      <w:r>
        <w:rPr>
          <w:rFonts w:ascii="仿宋" w:eastAsia="仿宋" w:hAnsi="仿宋" w:cs="仿宋" w:hint="eastAsia"/>
          <w:color w:val="auto"/>
          <w:highlight w:val="none"/>
          <w:lang w:val="en-US" w:eastAsia="zh-CN"/>
        </w:rPr>
        <w:t xml:space="preserve">根据尉犁县县城照明要求，城市照明对尉犁县的建设和发展起着积极的促进作用，随着城市化进程的步伐加快，城市建设的发展日新月异，如何做好城市照明工作成为城市照明工作者的一项神圣使命。使城市照明设施建设有章可循，有规可守，真正达到安全可靠、技术先进、经济合理、节能环保、维修方便的目的，防止投资和业主多元化情况下可能出现的各自为政、自作主张、降低城市照明设施建设标准的弊端有着积极的意义；因此，为落实“绣花功夫”做好城市照明管理，进一步提升尉犁县城区标准化、精细化水平，为群众提供安全的照明环境、营造良好的宜居环境，塑造城市形象，实施市政设施运营维护管理用电费用。达到提高城市文化品位、突出城市特色及美化城市夜间景观的目标。</w:t>
      </w:r>
    </w:p>
    <w:p>
      <w:pPr>
        <w:bidi w:val="0"/>
        <w:jc w:val="both"/>
        <w:rPr>
          <w:rFonts w:ascii="仿宋" w:eastAsia="仿宋" w:hAnsi="仿宋" w:cs="仿宋" w:hint="eastAsia"/>
          <w:b/>
          <w:bCs/>
          <w:color w:val="auto"/>
          <w:highlight w:val="none"/>
        </w:rPr>
      </w:pPr>
      <w:r>
        <w:rPr>
          <w:rFonts w:ascii="仿宋" w:eastAsia="仿宋" w:hAnsi="仿宋" w:cs="仿宋" w:hint="eastAsia"/>
          <w:b/>
          <w:bCs/>
          <w:color w:val="auto"/>
          <w:highlight w:val="none"/>
        </w:rPr>
        <w:t xml:space="preserve">2.项目主要内容</w:t>
      </w:r>
      <w:bookmarkEnd w:id="20"/>
      <w:bookmarkEnd w:id="21"/>
    </w:p>
    <w:p>
      <w:pPr>
        <w:bidi w:val="0"/>
        <w:jc w:val="both"/>
        <w:rPr>
          <w:rFonts w:ascii="仿宋" w:eastAsia="仿宋" w:hAnsi="仿宋" w:cs="仿宋" w:hint="eastAsia"/>
          <w:color w:val="auto"/>
          <w:highlight w:val="none"/>
        </w:rPr>
      </w:pPr>
      <w:bookmarkStart w:id="22" w:name="_Toc31519"/>
      <w:bookmarkStart w:id="23" w:name="_Toc21529"/>
      <w:r>
        <w:rPr>
          <w:rFonts w:ascii="仿宋" w:eastAsia="仿宋" w:hAnsi="仿宋" w:cs="仿宋" w:hint="eastAsia"/>
          <w:color w:val="auto"/>
          <w:highlight w:val="none"/>
        </w:rPr>
        <w:t xml:space="preserve">尉犁县市政</w:t>
      </w:r>
      <w:r>
        <w:rPr>
          <w:rFonts w:ascii="仿宋" w:eastAsia="仿宋" w:hAnsi="仿宋" w:cs="仿宋" w:hint="eastAsia"/>
          <w:color w:val="auto"/>
          <w:highlight w:val="none"/>
          <w:lang w:eastAsia="zh-CN"/>
        </w:rPr>
        <w:t xml:space="preserve">工程服务中心</w:t>
      </w:r>
      <w:r>
        <w:rPr>
          <w:rFonts w:ascii="仿宋" w:eastAsia="仿宋" w:hAnsi="仿宋" w:cs="仿宋" w:hint="eastAsia"/>
          <w:color w:val="auto"/>
          <w:highlight w:val="none"/>
          <w:lang w:val="en-US" w:eastAsia="zh-CN"/>
        </w:rPr>
        <w:t xml:space="preserve">1-12路灯电费费</w:t>
      </w:r>
      <w:r>
        <w:rPr>
          <w:rFonts w:ascii="仿宋" w:eastAsia="仿宋" w:hAnsi="仿宋" w:cs="仿宋" w:hint="eastAsia"/>
          <w:color w:val="auto"/>
          <w:highlight w:val="none"/>
        </w:rPr>
        <w:t xml:space="preserve">用主要是围绕县城照明建设，对路灯亮化、维护两大方面展开系列工作，保障市政设施正常运营维护管理用电，保证尉犁县城区及周边路灯及红绿灯设施正常运转，根据昼夜时间变化按时开启和关闭路灯照明，在节能降耗基础上，满足人民群众出行和户外活动需要，提升城市文明形象。</w:t>
      </w:r>
    </w:p>
    <w:p>
      <w:pPr>
        <w:bidi w:val="0"/>
        <w:jc w:val="both"/>
        <w:rPr>
          <w:rFonts w:ascii="仿宋" w:eastAsia="仿宋" w:hAnsi="仿宋" w:cs="仿宋" w:hint="eastAsia"/>
          <w:b/>
          <w:bCs/>
          <w:color w:val="auto"/>
          <w:highlight w:val="none"/>
        </w:rPr>
      </w:pPr>
      <w:r>
        <w:rPr>
          <w:rFonts w:ascii="仿宋" w:eastAsia="仿宋" w:hAnsi="仿宋" w:cs="仿宋" w:hint="eastAsia"/>
          <w:b/>
          <w:bCs/>
          <w:color w:val="auto"/>
          <w:highlight w:val="none"/>
        </w:rPr>
        <w:t xml:space="preserve">3.项目实施情况</w:t>
      </w:r>
      <w:bookmarkEnd w:id="22"/>
      <w:bookmarkEnd w:id="23"/>
      <w:bookmarkStart w:id="24" w:name="_Toc20138"/>
    </w:p>
    <w:p>
      <w:pPr>
        <w:bidi w:val="0"/>
        <w:jc w:val="both"/>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项目由尉犁县市政工程服务中心组织承办，并负责按月支付县城全县道路路灯电费，达西村，塔里木乡，古勒巴格乡，兴平乡等支付部分路灯电费。负责县城市政设施用地保障，</w:t>
      </w:r>
      <w:r>
        <w:rPr>
          <w:rFonts w:ascii="仿宋" w:eastAsia="仿宋" w:hAnsi="仿宋" w:cs="仿宋" w:hint="eastAsia"/>
          <w:color w:val="auto"/>
          <w:highlight w:val="none"/>
        </w:rPr>
        <w:t xml:space="preserve">县城红绿灯供电站点46处，亮化道路供电43条保障全县正常</w:t>
      </w:r>
      <w:r>
        <w:rPr>
          <w:rFonts w:ascii="仿宋" w:eastAsia="仿宋" w:hAnsi="仿宋" w:cs="仿宋" w:hint="eastAsia"/>
          <w:color w:val="auto"/>
          <w:highlight w:val="none"/>
          <w:lang w:val="en-US" w:eastAsia="zh-CN"/>
        </w:rPr>
        <w:t xml:space="preserve">亮</w:t>
      </w:r>
      <w:r>
        <w:rPr>
          <w:rFonts w:ascii="仿宋" w:eastAsia="仿宋" w:hAnsi="仿宋" w:cs="仿宋" w:hint="eastAsia"/>
          <w:color w:val="auto"/>
          <w:highlight w:val="none"/>
        </w:rPr>
        <w:t xml:space="preserve">化率达100%</w:t>
      </w:r>
      <w:r>
        <w:rPr>
          <w:rFonts w:ascii="仿宋" w:eastAsia="仿宋" w:hAnsi="仿宋" w:cs="仿宋" w:hint="eastAsia"/>
          <w:color w:val="auto"/>
          <w:highlight w:val="none"/>
          <w:lang w:eastAsia="zh-CN"/>
        </w:rPr>
        <w:t xml:space="preserve">。保障市政设施正常运营维护管理用电有效保证了亮灯达标率，给夜晚出行带来较大便利。</w:t>
      </w:r>
    </w:p>
    <w:p>
      <w:pPr>
        <w:bidi w:val="0"/>
        <w:jc w:val="both"/>
        <w:rPr>
          <w:rFonts w:ascii="仿宋" w:eastAsia="仿宋" w:hAnsi="仿宋" w:cs="仿宋" w:hint="eastAsia"/>
          <w:b/>
          <w:bCs/>
          <w:color w:val="auto"/>
          <w:highlight w:val="none"/>
        </w:rPr>
      </w:pPr>
      <w:bookmarkStart w:id="25" w:name="_Toc1111"/>
      <w:r>
        <w:rPr>
          <w:rFonts w:ascii="仿宋" w:eastAsia="仿宋" w:hAnsi="仿宋" w:cs="仿宋" w:hint="eastAsia"/>
          <w:b/>
          <w:bCs/>
          <w:color w:val="auto"/>
          <w:highlight w:val="none"/>
        </w:rPr>
        <w:t xml:space="preserve">4.资金投入情况</w:t>
      </w:r>
      <w:bookmarkEnd w:id="24"/>
      <w:bookmarkEnd w:id="25"/>
    </w:p>
    <w:p>
      <w:pPr>
        <w:bidi w:val="0"/>
        <w:jc w:val="both"/>
        <w:rPr>
          <w:rFonts w:ascii="仿宋" w:eastAsia="仿宋" w:hAnsi="仿宋" w:cs="仿宋" w:hint="eastAsia"/>
          <w:color w:val="auto"/>
          <w:highlight w:val="none"/>
          <w:lang w:eastAsia="zh-CN"/>
        </w:rPr>
      </w:pPr>
      <w:bookmarkStart w:id="26" w:name="_Toc7324"/>
      <w:r>
        <w:rPr>
          <w:rFonts w:ascii="仿宋" w:eastAsia="仿宋" w:hAnsi="仿宋" w:cs="仿宋" w:hint="eastAsia"/>
          <w:color w:val="auto"/>
          <w:highlight w:val="none"/>
          <w:lang w:val="en-US" w:eastAsia="zh-CN"/>
        </w:rPr>
        <w:t xml:space="preserve">2024年</w:t>
      </w:r>
      <w:r>
        <w:rPr>
          <w:rFonts w:ascii="仿宋" w:eastAsia="仿宋" w:hAnsi="仿宋" w:cs="仿宋" w:hint="eastAsia"/>
          <w:color w:val="auto"/>
          <w:highlight w:val="none"/>
        </w:rPr>
        <w:t xml:space="preserve">下达</w:t>
      </w:r>
      <w:r>
        <w:rPr>
          <w:rFonts w:ascii="仿宋" w:eastAsia="仿宋" w:hAnsi="仿宋" w:cs="仿宋" w:hint="eastAsia"/>
          <w:color w:val="auto"/>
          <w:highlight w:val="none"/>
          <w:lang w:val="en-US" w:eastAsia="zh-CN"/>
        </w:rPr>
        <w:t xml:space="preserve">1-12月路灯电费</w:t>
      </w:r>
      <w:r>
        <w:rPr>
          <w:rFonts w:ascii="仿宋" w:eastAsia="仿宋" w:hAnsi="仿宋" w:cs="仿宋" w:hint="eastAsia"/>
          <w:color w:val="auto"/>
          <w:highlight w:val="none"/>
        </w:rPr>
        <w:t xml:space="preserve">资金</w:t>
      </w:r>
      <w:r>
        <w:rPr>
          <w:rFonts w:ascii="仿宋" w:eastAsia="仿宋" w:hAnsi="仿宋" w:cs="仿宋" w:hint="eastAsia"/>
          <w:color w:val="auto"/>
          <w:highlight w:val="none"/>
          <w:lang w:val="en-US" w:eastAsia="zh-CN"/>
        </w:rPr>
        <w:t xml:space="preserve">190</w:t>
      </w:r>
      <w:r>
        <w:rPr>
          <w:rFonts w:ascii="仿宋" w:eastAsia="仿宋" w:hAnsi="仿宋" w:cs="仿宋" w:hint="eastAsia"/>
          <w:color w:val="auto"/>
          <w:highlight w:val="none"/>
        </w:rPr>
        <w:t xml:space="preserve">万元。其中用于</w:t>
      </w:r>
      <w:r>
        <w:rPr>
          <w:rFonts w:ascii="仿宋" w:eastAsia="仿宋" w:hAnsi="仿宋" w:cs="仿宋" w:hint="eastAsia"/>
          <w:color w:val="auto"/>
          <w:highlight w:val="none"/>
          <w:lang w:val="en-US" w:eastAsia="zh-CN"/>
        </w:rPr>
        <w:t xml:space="preserve">1-12月路灯电费190</w:t>
      </w:r>
      <w:r>
        <w:rPr>
          <w:rFonts w:ascii="仿宋" w:eastAsia="仿宋" w:hAnsi="仿宋" w:cs="仿宋" w:hint="eastAsia"/>
          <w:color w:val="auto"/>
          <w:highlight w:val="none"/>
        </w:rPr>
        <w:t xml:space="preserve">万元</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lang w:val="en-US" w:eastAsia="zh-CN"/>
        </w:rPr>
        <w:t xml:space="preserve">资金来源全部为县级资金</w:t>
      </w:r>
      <w:r>
        <w:rPr>
          <w:rFonts w:ascii="仿宋" w:eastAsia="仿宋" w:hAnsi="仿宋" w:cs="仿宋" w:hint="eastAsia"/>
          <w:color w:val="auto"/>
          <w:highlight w:val="none"/>
        </w:rPr>
        <w:t xml:space="preserve">。</w:t>
      </w:r>
    </w:p>
    <w:p>
      <w:pPr>
        <w:bidi w:val="0"/>
        <w:jc w:val="both"/>
        <w:rPr>
          <w:rFonts w:ascii="仿宋" w:eastAsia="仿宋" w:hAnsi="仿宋" w:cs="仿宋" w:hint="eastAsia"/>
          <w:b/>
          <w:bCs/>
          <w:color w:val="auto"/>
          <w:highlight w:val="none"/>
        </w:rPr>
      </w:pPr>
      <w:bookmarkStart w:id="27" w:name="_Toc10837"/>
      <w:r>
        <w:rPr>
          <w:rFonts w:ascii="仿宋" w:eastAsia="仿宋" w:hAnsi="仿宋" w:cs="仿宋" w:hint="eastAsia"/>
          <w:b/>
          <w:bCs/>
          <w:color w:val="auto"/>
          <w:highlight w:val="none"/>
        </w:rPr>
        <w:t xml:space="preserve">5.资金使用情况</w:t>
      </w:r>
      <w:bookmarkEnd w:id="26"/>
      <w:bookmarkEnd w:id="27"/>
    </w:p>
    <w:p>
      <w:pPr>
        <w:bidi w:val="0"/>
        <w:jc w:val="both"/>
        <w:rPr>
          <w:rFonts w:ascii="仿宋" w:eastAsia="仿宋" w:hAnsi="仿宋" w:cs="仿宋" w:hint="eastAsia"/>
          <w:color w:val="auto"/>
          <w:highlight w:val="none"/>
        </w:rPr>
      </w:pPr>
      <w:r>
        <w:rPr>
          <w:rFonts w:ascii="仿宋" w:eastAsia="仿宋" w:hAnsi="仿宋" w:cs="仿宋" w:hint="eastAsia"/>
          <w:color w:val="auto"/>
          <w:sz w:val="32"/>
          <w:szCs w:val="32"/>
          <w:highlight w:val="none"/>
          <w:lang w:val="en-US" w:eastAsia="zh-CN"/>
        </w:rPr>
        <w:t xml:space="preserve">1-12月路灯电费</w:t>
      </w:r>
      <w:r>
        <w:rPr>
          <w:rFonts w:ascii="仿宋" w:eastAsia="仿宋" w:hAnsi="仿宋" w:cs="仿宋" w:hint="eastAsia"/>
          <w:color w:val="auto"/>
          <w:highlight w:val="none"/>
          <w:lang w:eastAsia="zh-CN"/>
        </w:rPr>
        <w:t xml:space="preserve">，</w:t>
      </w:r>
      <w:r>
        <w:rPr>
          <w:rFonts w:ascii="仿宋" w:eastAsia="仿宋" w:hAnsi="仿宋" w:cs="仿宋" w:hint="eastAsia"/>
          <w:color w:val="auto"/>
          <w:sz w:val="32"/>
          <w:szCs w:val="32"/>
          <w:highlight w:val="none"/>
          <w:lang w:eastAsia="zh-CN"/>
        </w:rPr>
        <w:t xml:space="preserve">年初预算数</w:t>
      </w:r>
      <w:r>
        <w:rPr>
          <w:rFonts w:ascii="仿宋" w:eastAsia="仿宋" w:hAnsi="仿宋" w:cs="仿宋" w:hint="eastAsia"/>
          <w:color w:val="auto"/>
          <w:highlight w:val="none"/>
          <w:lang w:val="en-US" w:eastAsia="zh-CN"/>
        </w:rPr>
        <w:t xml:space="preserve">190</w:t>
      </w:r>
      <w:r>
        <w:rPr>
          <w:rFonts w:ascii="仿宋" w:eastAsia="仿宋" w:hAnsi="仿宋" w:cs="仿宋" w:hint="eastAsia"/>
          <w:color w:val="auto"/>
          <w:highlight w:val="none"/>
        </w:rPr>
        <w:t xml:space="preserve">万元</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实际到位资金</w:t>
      </w:r>
      <w:r>
        <w:rPr>
          <w:rFonts w:ascii="仿宋" w:eastAsia="仿宋" w:hAnsi="仿宋" w:cs="仿宋" w:hint="eastAsia"/>
          <w:color w:val="auto"/>
          <w:highlight w:val="none"/>
          <w:lang w:val="en-US" w:eastAsia="zh-CN"/>
        </w:rPr>
        <w:t xml:space="preserve">190</w:t>
      </w:r>
      <w:r>
        <w:rPr>
          <w:rFonts w:ascii="仿宋" w:eastAsia="仿宋" w:hAnsi="仿宋" w:cs="仿宋" w:hint="eastAsia"/>
          <w:color w:val="auto"/>
          <w:highlight w:val="none"/>
        </w:rPr>
        <w:t xml:space="preserve">万元</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截止202</w:t>
      </w:r>
      <w:r>
        <w:rPr>
          <w:rFonts w:ascii="仿宋" w:eastAsia="仿宋" w:hAnsi="仿宋" w:cs="仿宋" w:hint="eastAsia"/>
          <w:color w:val="auto"/>
          <w:highlight w:val="none"/>
          <w:lang w:val="en-US" w:eastAsia="zh-CN"/>
        </w:rPr>
        <w:t xml:space="preserve">4</w:t>
      </w:r>
      <w:r>
        <w:rPr>
          <w:rFonts w:ascii="仿宋" w:eastAsia="仿宋" w:hAnsi="仿宋" w:cs="仿宋" w:hint="eastAsia"/>
          <w:color w:val="auto"/>
          <w:highlight w:val="none"/>
        </w:rPr>
        <w:t xml:space="preserve">年12月31日</w:t>
      </w:r>
      <w:r>
        <w:rPr>
          <w:rFonts w:ascii="仿宋" w:eastAsia="仿宋" w:hAnsi="仿宋" w:cs="仿宋" w:hint="eastAsia"/>
          <w:color w:val="auto"/>
          <w:highlight w:val="none"/>
          <w:lang w:eastAsia="zh-CN"/>
        </w:rPr>
        <w:t xml:space="preserve">，</w:t>
      </w:r>
      <w:r>
        <w:rPr>
          <w:rFonts w:ascii="仿宋" w:eastAsia="仿宋" w:hAnsi="仿宋" w:cs="仿宋" w:hint="eastAsia"/>
          <w:color w:val="auto"/>
          <w:sz w:val="32"/>
          <w:szCs w:val="32"/>
          <w:highlight w:val="none"/>
          <w:lang w:val="en-US" w:eastAsia="zh-CN"/>
        </w:rPr>
        <w:t xml:space="preserve">累计支付金额190万元，</w:t>
      </w:r>
      <w:r>
        <w:rPr>
          <w:rFonts w:ascii="仿宋" w:eastAsia="仿宋" w:hAnsi="仿宋" w:cs="仿宋" w:hint="eastAsia"/>
          <w:color w:val="auto"/>
          <w:highlight w:val="none"/>
        </w:rPr>
        <w:t xml:space="preserve">资金</w:t>
      </w:r>
      <w:r>
        <w:rPr>
          <w:rFonts w:ascii="仿宋" w:eastAsia="仿宋" w:hAnsi="仿宋" w:cs="仿宋" w:hint="eastAsia"/>
          <w:color w:val="auto"/>
          <w:highlight w:val="none"/>
          <w:lang w:val="en-US" w:eastAsia="zh-CN"/>
        </w:rPr>
        <w:t xml:space="preserve">使用</w:t>
      </w:r>
      <w:r>
        <w:rPr>
          <w:rFonts w:ascii="仿宋" w:eastAsia="仿宋" w:hAnsi="仿宋" w:cs="仿宋" w:hint="eastAsia"/>
          <w:color w:val="auto"/>
          <w:highlight w:val="none"/>
        </w:rPr>
        <w:t xml:space="preserve">率达到了</w:t>
      </w:r>
      <w:r>
        <w:rPr>
          <w:rFonts w:ascii="仿宋" w:eastAsia="仿宋" w:hAnsi="仿宋" w:cs="仿宋" w:hint="eastAsia"/>
          <w:color w:val="auto"/>
          <w:highlight w:val="none"/>
          <w:lang w:val="en-US" w:eastAsia="zh-CN"/>
        </w:rPr>
        <w:t xml:space="preserve">100</w:t>
      </w:r>
      <w:r>
        <w:rPr>
          <w:rFonts w:ascii="仿宋" w:eastAsia="仿宋" w:hAnsi="仿宋" w:cs="仿宋" w:hint="eastAsia"/>
          <w:color w:val="auto"/>
          <w:highlight w:val="none"/>
        </w:rPr>
        <w:t xml:space="preserve">%。具体资金支付情况：</w:t>
      </w:r>
    </w:p>
    <w:p>
      <w:pPr>
        <w:bidi w:val="0"/>
        <w:jc w:val="both"/>
        <w:rPr>
          <w:rFonts w:ascii="仿宋" w:eastAsia="仿宋" w:hAnsi="仿宋" w:cs="仿宋" w:hint="eastAsia"/>
          <w:color w:val="auto"/>
          <w:highlight w:val="none"/>
          <w:lang w:eastAsia="zh-CN"/>
        </w:rPr>
      </w:pPr>
      <w:r>
        <w:rPr>
          <w:rFonts w:ascii="仿宋" w:eastAsia="仿宋" w:hAnsi="仿宋" w:cs="仿宋" w:hint="eastAsia"/>
          <w:color w:val="auto"/>
          <w:highlight w:val="none"/>
        </w:rPr>
        <w:t xml:space="preserve">202</w:t>
      </w:r>
      <w:r>
        <w:rPr>
          <w:rFonts w:ascii="仿宋" w:eastAsia="仿宋" w:hAnsi="仿宋" w:cs="仿宋" w:hint="eastAsia"/>
          <w:color w:val="auto"/>
          <w:highlight w:val="none"/>
          <w:lang w:val="en-US" w:eastAsia="zh-CN"/>
        </w:rPr>
        <w:t xml:space="preserve">4</w:t>
      </w:r>
      <w:r>
        <w:rPr>
          <w:rFonts w:ascii="仿宋" w:eastAsia="仿宋" w:hAnsi="仿宋" w:cs="仿宋" w:hint="eastAsia"/>
          <w:color w:val="auto"/>
          <w:highlight w:val="none"/>
        </w:rPr>
        <w:t xml:space="preserve">年</w:t>
      </w:r>
      <w:r>
        <w:rPr>
          <w:rFonts w:ascii="仿宋" w:eastAsia="仿宋" w:hAnsi="仿宋" w:cs="仿宋" w:hint="eastAsia"/>
          <w:color w:val="auto"/>
          <w:highlight w:val="none"/>
          <w:lang w:val="en-US" w:eastAsia="zh-CN"/>
        </w:rPr>
        <w:t xml:space="preserve">2</w:t>
      </w:r>
      <w:r>
        <w:rPr>
          <w:rFonts w:ascii="仿宋" w:eastAsia="仿宋" w:hAnsi="仿宋" w:cs="仿宋" w:hint="eastAsia"/>
          <w:color w:val="auto"/>
          <w:highlight w:val="none"/>
        </w:rPr>
        <w:t xml:space="preserve">月</w:t>
      </w:r>
      <w:r>
        <w:rPr>
          <w:rFonts w:ascii="仿宋" w:eastAsia="仿宋" w:hAnsi="仿宋" w:cs="仿宋" w:hint="eastAsia"/>
          <w:color w:val="auto"/>
          <w:highlight w:val="none"/>
          <w:lang w:val="en-US" w:eastAsia="zh-CN"/>
        </w:rPr>
        <w:t xml:space="preserve">26</w:t>
      </w:r>
      <w:r>
        <w:rPr>
          <w:rFonts w:ascii="仿宋" w:eastAsia="仿宋" w:hAnsi="仿宋" w:cs="仿宋" w:hint="eastAsia"/>
          <w:color w:val="auto"/>
          <w:highlight w:val="none"/>
        </w:rPr>
        <w:t xml:space="preserve">日，支付</w:t>
      </w:r>
      <w:r>
        <w:rPr>
          <w:rFonts w:ascii="仿宋" w:eastAsia="仿宋" w:hAnsi="仿宋" w:cs="仿宋" w:hint="eastAsia"/>
          <w:color w:val="auto"/>
          <w:highlight w:val="none"/>
          <w:lang w:val="en-US" w:eastAsia="zh-CN"/>
        </w:rPr>
        <w:t xml:space="preserve">团结路灯电费20</w:t>
      </w:r>
      <w:r>
        <w:rPr>
          <w:rFonts w:ascii="仿宋" w:eastAsia="仿宋" w:hAnsi="仿宋" w:cs="仿宋" w:hint="eastAsia"/>
          <w:color w:val="auto"/>
          <w:highlight w:val="none"/>
        </w:rPr>
        <w:t xml:space="preserve">万元</w:t>
      </w:r>
      <w:r>
        <w:rPr>
          <w:rFonts w:ascii="仿宋" w:eastAsia="仿宋" w:hAnsi="仿宋" w:cs="仿宋" w:hint="eastAsia"/>
          <w:color w:val="auto"/>
          <w:highlight w:val="none"/>
          <w:lang w:eastAsia="zh-CN"/>
        </w:rPr>
        <w:t xml:space="preserve">，</w:t>
      </w:r>
    </w:p>
    <w:p>
      <w:pPr>
        <w:bidi w:val="0"/>
        <w:rPr>
          <w:rFonts w:ascii="仿宋" w:eastAsia="仿宋" w:hAnsi="仿宋" w:cs="仿宋" w:hint="eastAsia"/>
          <w:color w:val="auto"/>
          <w:highlight w:val="none"/>
          <w:lang w:eastAsia="zh-CN"/>
        </w:rPr>
      </w:pPr>
      <w:r>
        <w:rPr>
          <w:rFonts w:ascii="仿宋" w:eastAsia="仿宋" w:hAnsi="仿宋" w:cs="仿宋" w:hint="eastAsia"/>
          <w:color w:val="auto"/>
          <w:highlight w:val="none"/>
        </w:rPr>
        <w:t xml:space="preserve">202</w:t>
      </w:r>
      <w:r>
        <w:rPr>
          <w:rFonts w:ascii="仿宋" w:eastAsia="仿宋" w:hAnsi="仿宋" w:cs="仿宋" w:hint="eastAsia"/>
          <w:color w:val="auto"/>
          <w:highlight w:val="none"/>
          <w:lang w:val="en-US" w:eastAsia="zh-CN"/>
        </w:rPr>
        <w:t xml:space="preserve">4</w:t>
      </w:r>
      <w:r>
        <w:rPr>
          <w:rFonts w:ascii="仿宋" w:eastAsia="仿宋" w:hAnsi="仿宋" w:cs="仿宋" w:hint="eastAsia"/>
          <w:color w:val="auto"/>
          <w:highlight w:val="none"/>
        </w:rPr>
        <w:t xml:space="preserve">年</w:t>
      </w:r>
      <w:r>
        <w:rPr>
          <w:rFonts w:ascii="仿宋" w:eastAsia="仿宋" w:hAnsi="仿宋" w:cs="仿宋" w:hint="eastAsia"/>
          <w:color w:val="auto"/>
          <w:highlight w:val="none"/>
          <w:lang w:val="en-US" w:eastAsia="zh-CN"/>
        </w:rPr>
        <w:t xml:space="preserve">3</w:t>
      </w:r>
      <w:r>
        <w:rPr>
          <w:rFonts w:ascii="仿宋" w:eastAsia="仿宋" w:hAnsi="仿宋" w:cs="仿宋" w:hint="eastAsia"/>
          <w:color w:val="auto"/>
          <w:highlight w:val="none"/>
        </w:rPr>
        <w:t xml:space="preserve">月</w:t>
      </w:r>
      <w:r>
        <w:rPr>
          <w:rFonts w:ascii="仿宋" w:eastAsia="仿宋" w:hAnsi="仿宋" w:cs="仿宋" w:hint="eastAsia"/>
          <w:color w:val="auto"/>
          <w:highlight w:val="none"/>
          <w:lang w:val="en-US" w:eastAsia="zh-CN"/>
        </w:rPr>
        <w:t xml:space="preserve">20</w:t>
      </w:r>
      <w:r>
        <w:rPr>
          <w:rFonts w:ascii="仿宋" w:eastAsia="仿宋" w:hAnsi="仿宋" w:cs="仿宋" w:hint="eastAsia"/>
          <w:color w:val="auto"/>
          <w:highlight w:val="none"/>
        </w:rPr>
        <w:t xml:space="preserve">日，支付</w:t>
      </w:r>
      <w:r>
        <w:rPr>
          <w:rFonts w:ascii="仿宋" w:eastAsia="仿宋" w:hAnsi="仿宋" w:cs="仿宋" w:hint="eastAsia"/>
          <w:color w:val="auto"/>
          <w:highlight w:val="none"/>
          <w:lang w:val="en-US" w:eastAsia="zh-CN"/>
        </w:rPr>
        <w:t xml:space="preserve">团结路灯电费9</w:t>
      </w:r>
      <w:r>
        <w:rPr>
          <w:rFonts w:ascii="仿宋" w:eastAsia="仿宋" w:hAnsi="仿宋" w:cs="仿宋" w:hint="eastAsia"/>
          <w:color w:val="auto"/>
          <w:highlight w:val="none"/>
        </w:rPr>
        <w:t xml:space="preserve">万元</w:t>
      </w:r>
      <w:r>
        <w:rPr>
          <w:rFonts w:ascii="仿宋" w:eastAsia="仿宋" w:hAnsi="仿宋" w:cs="仿宋" w:hint="eastAsia"/>
          <w:color w:val="auto"/>
          <w:highlight w:val="none"/>
          <w:lang w:eastAsia="zh-CN"/>
        </w:rPr>
        <w:t xml:space="preserve">。</w:t>
      </w:r>
    </w:p>
    <w:p>
      <w:pPr>
        <w:bidi w:val="0"/>
        <w:rPr>
          <w:rFonts w:ascii="仿宋" w:eastAsia="仿宋" w:hAnsi="仿宋" w:cs="仿宋" w:hint="eastAsia"/>
          <w:color w:val="auto"/>
          <w:highlight w:val="none"/>
          <w:lang w:eastAsia="zh-CN"/>
        </w:rPr>
      </w:pPr>
      <w:r>
        <w:rPr>
          <w:rFonts w:ascii="仿宋" w:eastAsia="仿宋" w:hAnsi="仿宋" w:cs="仿宋" w:hint="eastAsia"/>
          <w:color w:val="auto"/>
          <w:highlight w:val="none"/>
        </w:rPr>
        <w:t xml:space="preserve">202</w:t>
      </w:r>
      <w:r>
        <w:rPr>
          <w:rFonts w:ascii="仿宋" w:eastAsia="仿宋" w:hAnsi="仿宋" w:cs="仿宋" w:hint="eastAsia"/>
          <w:color w:val="auto"/>
          <w:highlight w:val="none"/>
          <w:lang w:val="en-US" w:eastAsia="zh-CN"/>
        </w:rPr>
        <w:t xml:space="preserve">4</w:t>
      </w:r>
      <w:r>
        <w:rPr>
          <w:rFonts w:ascii="仿宋" w:eastAsia="仿宋" w:hAnsi="仿宋" w:cs="仿宋" w:hint="eastAsia"/>
          <w:color w:val="auto"/>
          <w:highlight w:val="none"/>
        </w:rPr>
        <w:t xml:space="preserve">年</w:t>
      </w:r>
      <w:r>
        <w:rPr>
          <w:rFonts w:ascii="仿宋" w:eastAsia="仿宋" w:hAnsi="仿宋" w:cs="仿宋" w:hint="eastAsia"/>
          <w:color w:val="auto"/>
          <w:highlight w:val="none"/>
          <w:lang w:val="en-US" w:eastAsia="zh-CN"/>
        </w:rPr>
        <w:t xml:space="preserve">3</w:t>
      </w:r>
      <w:r>
        <w:rPr>
          <w:rFonts w:ascii="仿宋" w:eastAsia="仿宋" w:hAnsi="仿宋" w:cs="仿宋" w:hint="eastAsia"/>
          <w:color w:val="auto"/>
          <w:highlight w:val="none"/>
        </w:rPr>
        <w:t xml:space="preserve">月</w:t>
      </w:r>
      <w:r>
        <w:rPr>
          <w:rFonts w:ascii="仿宋" w:eastAsia="仿宋" w:hAnsi="仿宋" w:cs="仿宋" w:hint="eastAsia"/>
          <w:color w:val="auto"/>
          <w:highlight w:val="none"/>
          <w:lang w:val="en-US" w:eastAsia="zh-CN"/>
        </w:rPr>
        <w:t xml:space="preserve">20</w:t>
      </w:r>
      <w:r>
        <w:rPr>
          <w:rFonts w:ascii="仿宋" w:eastAsia="仿宋" w:hAnsi="仿宋" w:cs="仿宋" w:hint="eastAsia"/>
          <w:color w:val="auto"/>
          <w:highlight w:val="none"/>
        </w:rPr>
        <w:t xml:space="preserve">日，支付</w:t>
      </w:r>
      <w:r>
        <w:rPr>
          <w:rFonts w:ascii="仿宋" w:eastAsia="仿宋" w:hAnsi="仿宋" w:cs="仿宋" w:hint="eastAsia"/>
          <w:color w:val="auto"/>
          <w:highlight w:val="none"/>
          <w:lang w:val="en-US" w:eastAsia="zh-CN"/>
        </w:rPr>
        <w:t xml:space="preserve">桥南路灯电费1</w:t>
      </w:r>
      <w:r>
        <w:rPr>
          <w:rFonts w:ascii="仿宋" w:eastAsia="仿宋" w:hAnsi="仿宋" w:cs="仿宋" w:hint="eastAsia"/>
          <w:color w:val="auto"/>
          <w:highlight w:val="none"/>
        </w:rPr>
        <w:t xml:space="preserve">万元</w:t>
      </w:r>
      <w:r>
        <w:rPr>
          <w:rFonts w:ascii="仿宋" w:eastAsia="仿宋" w:hAnsi="仿宋" w:cs="仿宋" w:hint="eastAsia"/>
          <w:color w:val="auto"/>
          <w:highlight w:val="none"/>
          <w:lang w:eastAsia="zh-CN"/>
        </w:rPr>
        <w:t xml:space="preserve">。</w:t>
      </w:r>
    </w:p>
    <w:p>
      <w:pPr>
        <w:bidi w:val="0"/>
        <w:rPr>
          <w:rFonts w:ascii="仿宋" w:eastAsia="仿宋" w:hAnsi="仿宋" w:cs="仿宋" w:hint="eastAsia"/>
          <w:color w:val="auto"/>
          <w:highlight w:val="none"/>
          <w:lang w:eastAsia="zh-CN"/>
        </w:rPr>
      </w:pPr>
      <w:r>
        <w:rPr>
          <w:rFonts w:ascii="仿宋" w:eastAsia="仿宋" w:hAnsi="仿宋" w:cs="仿宋" w:hint="eastAsia"/>
          <w:color w:val="auto"/>
          <w:highlight w:val="none"/>
        </w:rPr>
        <w:t xml:space="preserve">202</w:t>
      </w:r>
      <w:r>
        <w:rPr>
          <w:rFonts w:ascii="仿宋" w:eastAsia="仿宋" w:hAnsi="仿宋" w:cs="仿宋" w:hint="eastAsia"/>
          <w:color w:val="auto"/>
          <w:highlight w:val="none"/>
          <w:lang w:val="en-US" w:eastAsia="zh-CN"/>
        </w:rPr>
        <w:t xml:space="preserve">4</w:t>
      </w:r>
      <w:r>
        <w:rPr>
          <w:rFonts w:ascii="仿宋" w:eastAsia="仿宋" w:hAnsi="仿宋" w:cs="仿宋" w:hint="eastAsia"/>
          <w:color w:val="auto"/>
          <w:highlight w:val="none"/>
        </w:rPr>
        <w:t xml:space="preserve">年</w:t>
      </w:r>
      <w:r>
        <w:rPr>
          <w:rFonts w:ascii="仿宋" w:eastAsia="仿宋" w:hAnsi="仿宋" w:cs="仿宋" w:hint="eastAsia"/>
          <w:color w:val="auto"/>
          <w:highlight w:val="none"/>
          <w:lang w:val="en-US" w:eastAsia="zh-CN"/>
        </w:rPr>
        <w:t xml:space="preserve">5</w:t>
      </w:r>
      <w:r>
        <w:rPr>
          <w:rFonts w:ascii="仿宋" w:eastAsia="仿宋" w:hAnsi="仿宋" w:cs="仿宋" w:hint="eastAsia"/>
          <w:color w:val="auto"/>
          <w:highlight w:val="none"/>
        </w:rPr>
        <w:t xml:space="preserve">月</w:t>
      </w:r>
      <w:r>
        <w:rPr>
          <w:rFonts w:ascii="仿宋" w:eastAsia="仿宋" w:hAnsi="仿宋" w:cs="仿宋" w:hint="eastAsia"/>
          <w:color w:val="auto"/>
          <w:highlight w:val="none"/>
          <w:lang w:val="en-US" w:eastAsia="zh-CN"/>
        </w:rPr>
        <w:t xml:space="preserve">9</w:t>
      </w:r>
      <w:r>
        <w:rPr>
          <w:rFonts w:ascii="仿宋" w:eastAsia="仿宋" w:hAnsi="仿宋" w:cs="仿宋" w:hint="eastAsia"/>
          <w:color w:val="auto"/>
          <w:highlight w:val="none"/>
        </w:rPr>
        <w:t xml:space="preserve">日，支付</w:t>
      </w:r>
      <w:r>
        <w:rPr>
          <w:rFonts w:ascii="仿宋" w:eastAsia="仿宋" w:hAnsi="仿宋" w:cs="仿宋" w:hint="eastAsia"/>
          <w:color w:val="auto"/>
          <w:highlight w:val="none"/>
          <w:lang w:val="en-US" w:eastAsia="zh-CN"/>
        </w:rPr>
        <w:t xml:space="preserve">五一路路灯电费2</w:t>
      </w:r>
      <w:r>
        <w:rPr>
          <w:rFonts w:ascii="仿宋" w:eastAsia="仿宋" w:hAnsi="仿宋" w:cs="仿宋" w:hint="eastAsia"/>
          <w:color w:val="auto"/>
          <w:highlight w:val="none"/>
        </w:rPr>
        <w:t xml:space="preserve">万元</w:t>
      </w:r>
      <w:r>
        <w:rPr>
          <w:rFonts w:ascii="仿宋" w:eastAsia="仿宋" w:hAnsi="仿宋" w:cs="仿宋" w:hint="eastAsia"/>
          <w:color w:val="auto"/>
          <w:highlight w:val="none"/>
          <w:lang w:eastAsia="zh-CN"/>
        </w:rPr>
        <w:t xml:space="preserve">。</w:t>
      </w:r>
    </w:p>
    <w:p>
      <w:pPr>
        <w:bidi w:val="0"/>
        <w:rPr>
          <w:rFonts w:ascii="仿宋" w:eastAsia="仿宋" w:hAnsi="仿宋" w:cs="仿宋" w:hint="eastAsia"/>
          <w:color w:val="auto"/>
          <w:highlight w:val="none"/>
          <w:lang w:eastAsia="zh-CN"/>
        </w:rPr>
      </w:pPr>
      <w:r>
        <w:rPr>
          <w:rFonts w:ascii="仿宋" w:eastAsia="仿宋" w:hAnsi="仿宋" w:cs="仿宋" w:hint="eastAsia"/>
          <w:color w:val="auto"/>
          <w:highlight w:val="none"/>
        </w:rPr>
        <w:t xml:space="preserve">202</w:t>
      </w:r>
      <w:r>
        <w:rPr>
          <w:rFonts w:ascii="仿宋" w:eastAsia="仿宋" w:hAnsi="仿宋" w:cs="仿宋" w:hint="eastAsia"/>
          <w:color w:val="auto"/>
          <w:highlight w:val="none"/>
          <w:lang w:val="en-US" w:eastAsia="zh-CN"/>
        </w:rPr>
        <w:t xml:space="preserve">4</w:t>
      </w:r>
      <w:r>
        <w:rPr>
          <w:rFonts w:ascii="仿宋" w:eastAsia="仿宋" w:hAnsi="仿宋" w:cs="仿宋" w:hint="eastAsia"/>
          <w:color w:val="auto"/>
          <w:highlight w:val="none"/>
        </w:rPr>
        <w:t xml:space="preserve">年</w:t>
      </w:r>
      <w:r>
        <w:rPr>
          <w:rFonts w:ascii="仿宋" w:eastAsia="仿宋" w:hAnsi="仿宋" w:cs="仿宋" w:hint="eastAsia"/>
          <w:color w:val="auto"/>
          <w:highlight w:val="none"/>
          <w:lang w:val="en-US" w:eastAsia="zh-CN"/>
        </w:rPr>
        <w:t xml:space="preserve">5</w:t>
      </w:r>
      <w:r>
        <w:rPr>
          <w:rFonts w:ascii="仿宋" w:eastAsia="仿宋" w:hAnsi="仿宋" w:cs="仿宋" w:hint="eastAsia"/>
          <w:color w:val="auto"/>
          <w:highlight w:val="none"/>
        </w:rPr>
        <w:t xml:space="preserve">月</w:t>
      </w:r>
      <w:r>
        <w:rPr>
          <w:rFonts w:ascii="仿宋" w:eastAsia="仿宋" w:hAnsi="仿宋" w:cs="仿宋" w:hint="eastAsia"/>
          <w:color w:val="auto"/>
          <w:highlight w:val="none"/>
          <w:lang w:val="en-US" w:eastAsia="zh-CN"/>
        </w:rPr>
        <w:t xml:space="preserve">9</w:t>
      </w:r>
      <w:r>
        <w:rPr>
          <w:rFonts w:ascii="仿宋" w:eastAsia="仿宋" w:hAnsi="仿宋" w:cs="仿宋" w:hint="eastAsia"/>
          <w:color w:val="auto"/>
          <w:highlight w:val="none"/>
        </w:rPr>
        <w:t xml:space="preserve">日，支付</w:t>
      </w:r>
      <w:r>
        <w:rPr>
          <w:rFonts w:ascii="仿宋" w:eastAsia="仿宋" w:hAnsi="仿宋" w:cs="仿宋" w:hint="eastAsia"/>
          <w:color w:val="auto"/>
          <w:highlight w:val="none"/>
          <w:lang w:val="en-US" w:eastAsia="zh-CN"/>
        </w:rPr>
        <w:t xml:space="preserve">城区路灯电费11</w:t>
      </w:r>
      <w:r>
        <w:rPr>
          <w:rFonts w:ascii="仿宋" w:eastAsia="仿宋" w:hAnsi="仿宋" w:cs="仿宋" w:hint="eastAsia"/>
          <w:color w:val="auto"/>
          <w:highlight w:val="none"/>
        </w:rPr>
        <w:t xml:space="preserve">万元</w:t>
      </w:r>
      <w:r>
        <w:rPr>
          <w:rFonts w:ascii="仿宋" w:eastAsia="仿宋" w:hAnsi="仿宋" w:cs="仿宋" w:hint="eastAsia"/>
          <w:color w:val="auto"/>
          <w:highlight w:val="none"/>
          <w:lang w:eastAsia="zh-CN"/>
        </w:rPr>
        <w:t xml:space="preserve">。</w:t>
      </w:r>
    </w:p>
    <w:p>
      <w:pPr>
        <w:bidi w:val="0"/>
        <w:rPr>
          <w:rFonts w:ascii="仿宋" w:eastAsia="仿宋" w:hAnsi="仿宋" w:cs="仿宋" w:hint="eastAsia"/>
          <w:color w:val="auto"/>
          <w:highlight w:val="none"/>
          <w:lang w:eastAsia="zh-CN"/>
        </w:rPr>
      </w:pPr>
      <w:r>
        <w:rPr>
          <w:rFonts w:ascii="仿宋" w:eastAsia="仿宋" w:hAnsi="仿宋" w:cs="仿宋" w:hint="eastAsia"/>
          <w:color w:val="auto"/>
          <w:highlight w:val="none"/>
        </w:rPr>
        <w:t xml:space="preserve">202</w:t>
      </w:r>
      <w:r>
        <w:rPr>
          <w:rFonts w:ascii="仿宋" w:eastAsia="仿宋" w:hAnsi="仿宋" w:cs="仿宋" w:hint="eastAsia"/>
          <w:color w:val="auto"/>
          <w:highlight w:val="none"/>
          <w:lang w:val="en-US" w:eastAsia="zh-CN"/>
        </w:rPr>
        <w:t xml:space="preserve">4</w:t>
      </w:r>
      <w:r>
        <w:rPr>
          <w:rFonts w:ascii="仿宋" w:eastAsia="仿宋" w:hAnsi="仿宋" w:cs="仿宋" w:hint="eastAsia"/>
          <w:color w:val="auto"/>
          <w:highlight w:val="none"/>
        </w:rPr>
        <w:t xml:space="preserve">年</w:t>
      </w:r>
      <w:r>
        <w:rPr>
          <w:rFonts w:ascii="仿宋" w:eastAsia="仿宋" w:hAnsi="仿宋" w:cs="仿宋" w:hint="eastAsia"/>
          <w:color w:val="auto"/>
          <w:highlight w:val="none"/>
          <w:lang w:val="en-US" w:eastAsia="zh-CN"/>
        </w:rPr>
        <w:t xml:space="preserve">5</w:t>
      </w:r>
      <w:r>
        <w:rPr>
          <w:rFonts w:ascii="仿宋" w:eastAsia="仿宋" w:hAnsi="仿宋" w:cs="仿宋" w:hint="eastAsia"/>
          <w:color w:val="auto"/>
          <w:highlight w:val="none"/>
        </w:rPr>
        <w:t xml:space="preserve">月</w:t>
      </w:r>
      <w:r>
        <w:rPr>
          <w:rFonts w:ascii="仿宋" w:eastAsia="仿宋" w:hAnsi="仿宋" w:cs="仿宋" w:hint="eastAsia"/>
          <w:color w:val="auto"/>
          <w:highlight w:val="none"/>
          <w:lang w:val="en-US" w:eastAsia="zh-CN"/>
        </w:rPr>
        <w:t xml:space="preserve">9</w:t>
      </w:r>
      <w:r>
        <w:rPr>
          <w:rFonts w:ascii="仿宋" w:eastAsia="仿宋" w:hAnsi="仿宋" w:cs="仿宋" w:hint="eastAsia"/>
          <w:color w:val="auto"/>
          <w:highlight w:val="none"/>
        </w:rPr>
        <w:t xml:space="preserve">日，支付</w:t>
      </w:r>
      <w:r>
        <w:rPr>
          <w:rFonts w:ascii="仿宋" w:eastAsia="仿宋" w:hAnsi="仿宋" w:cs="仿宋" w:hint="eastAsia"/>
          <w:color w:val="auto"/>
          <w:highlight w:val="none"/>
          <w:lang w:val="en-US" w:eastAsia="zh-CN"/>
        </w:rPr>
        <w:t xml:space="preserve">团结路灯灯电费17</w:t>
      </w:r>
      <w:r>
        <w:rPr>
          <w:rFonts w:ascii="仿宋" w:eastAsia="仿宋" w:hAnsi="仿宋" w:cs="仿宋" w:hint="eastAsia"/>
          <w:color w:val="auto"/>
          <w:highlight w:val="none"/>
        </w:rPr>
        <w:t xml:space="preserve">万元</w:t>
      </w:r>
      <w:r>
        <w:rPr>
          <w:rFonts w:ascii="仿宋" w:eastAsia="仿宋" w:hAnsi="仿宋" w:cs="仿宋" w:hint="eastAsia"/>
          <w:color w:val="auto"/>
          <w:highlight w:val="none"/>
          <w:lang w:eastAsia="zh-CN"/>
        </w:rPr>
        <w:t xml:space="preserve">。</w:t>
      </w:r>
    </w:p>
    <w:p>
      <w:pPr>
        <w:bidi w:val="0"/>
        <w:rPr>
          <w:rFonts w:ascii="仿宋" w:eastAsia="仿宋" w:hAnsi="仿宋" w:cs="仿宋" w:hint="eastAsia"/>
          <w:color w:val="auto"/>
          <w:highlight w:val="none"/>
          <w:lang w:eastAsia="zh-CN"/>
        </w:rPr>
      </w:pPr>
      <w:r>
        <w:rPr>
          <w:rFonts w:ascii="仿宋" w:eastAsia="仿宋" w:hAnsi="仿宋" w:cs="仿宋" w:hint="eastAsia"/>
          <w:color w:val="auto"/>
          <w:highlight w:val="none"/>
        </w:rPr>
        <w:t xml:space="preserve">202</w:t>
      </w:r>
      <w:r>
        <w:rPr>
          <w:rFonts w:ascii="仿宋" w:eastAsia="仿宋" w:hAnsi="仿宋" w:cs="仿宋" w:hint="eastAsia"/>
          <w:color w:val="auto"/>
          <w:highlight w:val="none"/>
          <w:lang w:val="en-US" w:eastAsia="zh-CN"/>
        </w:rPr>
        <w:t xml:space="preserve">4</w:t>
      </w:r>
      <w:r>
        <w:rPr>
          <w:rFonts w:ascii="仿宋" w:eastAsia="仿宋" w:hAnsi="仿宋" w:cs="仿宋" w:hint="eastAsia"/>
          <w:color w:val="auto"/>
          <w:highlight w:val="none"/>
        </w:rPr>
        <w:t xml:space="preserve">年</w:t>
      </w:r>
      <w:r>
        <w:rPr>
          <w:rFonts w:ascii="仿宋" w:eastAsia="仿宋" w:hAnsi="仿宋" w:cs="仿宋" w:hint="eastAsia"/>
          <w:color w:val="auto"/>
          <w:highlight w:val="none"/>
          <w:lang w:val="en-US" w:eastAsia="zh-CN"/>
        </w:rPr>
        <w:t xml:space="preserve">6</w:t>
      </w:r>
      <w:r>
        <w:rPr>
          <w:rFonts w:ascii="仿宋" w:eastAsia="仿宋" w:hAnsi="仿宋" w:cs="仿宋" w:hint="eastAsia"/>
          <w:color w:val="auto"/>
          <w:highlight w:val="none"/>
        </w:rPr>
        <w:t xml:space="preserve">月</w:t>
      </w:r>
      <w:r>
        <w:rPr>
          <w:rFonts w:ascii="仿宋" w:eastAsia="仿宋" w:hAnsi="仿宋" w:cs="仿宋" w:hint="eastAsia"/>
          <w:color w:val="auto"/>
          <w:highlight w:val="none"/>
          <w:lang w:val="en-US" w:eastAsia="zh-CN"/>
        </w:rPr>
        <w:t xml:space="preserve">27</w:t>
      </w:r>
      <w:r>
        <w:rPr>
          <w:rFonts w:ascii="仿宋" w:eastAsia="仿宋" w:hAnsi="仿宋" w:cs="仿宋" w:hint="eastAsia"/>
          <w:color w:val="auto"/>
          <w:highlight w:val="none"/>
        </w:rPr>
        <w:t xml:space="preserve">日，支付</w:t>
      </w:r>
      <w:r>
        <w:rPr>
          <w:rFonts w:ascii="仿宋" w:eastAsia="仿宋" w:hAnsi="仿宋" w:cs="仿宋" w:hint="eastAsia"/>
          <w:color w:val="auto"/>
          <w:highlight w:val="none"/>
          <w:lang w:val="en-US" w:eastAsia="zh-CN"/>
        </w:rPr>
        <w:t xml:space="preserve">桥南路灯电费3</w:t>
      </w:r>
      <w:r>
        <w:rPr>
          <w:rFonts w:ascii="仿宋" w:eastAsia="仿宋" w:hAnsi="仿宋" w:cs="仿宋" w:hint="eastAsia"/>
          <w:color w:val="auto"/>
          <w:highlight w:val="none"/>
        </w:rPr>
        <w:t xml:space="preserve">万元</w:t>
      </w:r>
      <w:r>
        <w:rPr>
          <w:rFonts w:ascii="仿宋" w:eastAsia="仿宋" w:hAnsi="仿宋" w:cs="仿宋" w:hint="eastAsia"/>
          <w:color w:val="auto"/>
          <w:highlight w:val="none"/>
          <w:lang w:eastAsia="zh-CN"/>
        </w:rPr>
        <w:t xml:space="preserve">。</w:t>
      </w:r>
    </w:p>
    <w:p>
      <w:pPr>
        <w:bidi w:val="0"/>
        <w:rPr>
          <w:rFonts w:ascii="仿宋" w:eastAsia="仿宋" w:hAnsi="仿宋" w:cs="仿宋" w:hint="eastAsia"/>
          <w:color w:val="auto"/>
          <w:highlight w:val="none"/>
          <w:lang w:eastAsia="zh-CN"/>
        </w:rPr>
      </w:pPr>
      <w:r>
        <w:rPr>
          <w:rFonts w:ascii="仿宋" w:eastAsia="仿宋" w:hAnsi="仿宋" w:cs="仿宋" w:hint="eastAsia"/>
          <w:color w:val="auto"/>
          <w:highlight w:val="none"/>
        </w:rPr>
        <w:t xml:space="preserve">202</w:t>
      </w:r>
      <w:r>
        <w:rPr>
          <w:rFonts w:ascii="仿宋" w:eastAsia="仿宋" w:hAnsi="仿宋" w:cs="仿宋" w:hint="eastAsia"/>
          <w:color w:val="auto"/>
          <w:highlight w:val="none"/>
          <w:lang w:val="en-US" w:eastAsia="zh-CN"/>
        </w:rPr>
        <w:t xml:space="preserve">4</w:t>
      </w:r>
      <w:r>
        <w:rPr>
          <w:rFonts w:ascii="仿宋" w:eastAsia="仿宋" w:hAnsi="仿宋" w:cs="仿宋" w:hint="eastAsia"/>
          <w:color w:val="auto"/>
          <w:highlight w:val="none"/>
        </w:rPr>
        <w:t xml:space="preserve">年</w:t>
      </w:r>
      <w:r>
        <w:rPr>
          <w:rFonts w:ascii="仿宋" w:eastAsia="仿宋" w:hAnsi="仿宋" w:cs="仿宋" w:hint="eastAsia"/>
          <w:color w:val="auto"/>
          <w:highlight w:val="none"/>
          <w:lang w:val="en-US" w:eastAsia="zh-CN"/>
        </w:rPr>
        <w:t xml:space="preserve">6</w:t>
      </w:r>
      <w:r>
        <w:rPr>
          <w:rFonts w:ascii="仿宋" w:eastAsia="仿宋" w:hAnsi="仿宋" w:cs="仿宋" w:hint="eastAsia"/>
          <w:color w:val="auto"/>
          <w:highlight w:val="none"/>
        </w:rPr>
        <w:t xml:space="preserve">月</w:t>
      </w:r>
      <w:r>
        <w:rPr>
          <w:rFonts w:ascii="仿宋" w:eastAsia="仿宋" w:hAnsi="仿宋" w:cs="仿宋" w:hint="eastAsia"/>
          <w:color w:val="auto"/>
          <w:highlight w:val="none"/>
          <w:lang w:val="en-US" w:eastAsia="zh-CN"/>
        </w:rPr>
        <w:t xml:space="preserve">27</w:t>
      </w:r>
      <w:r>
        <w:rPr>
          <w:rFonts w:ascii="仿宋" w:eastAsia="仿宋" w:hAnsi="仿宋" w:cs="仿宋" w:hint="eastAsia"/>
          <w:color w:val="auto"/>
          <w:highlight w:val="none"/>
        </w:rPr>
        <w:t xml:space="preserve">日，支付</w:t>
      </w:r>
      <w:r>
        <w:rPr>
          <w:rFonts w:ascii="仿宋" w:eastAsia="仿宋" w:hAnsi="仿宋" w:cs="仿宋" w:hint="eastAsia"/>
          <w:color w:val="auto"/>
          <w:highlight w:val="none"/>
          <w:lang w:val="en-US" w:eastAsia="zh-CN"/>
        </w:rPr>
        <w:t xml:space="preserve">五一路灯电费3</w:t>
      </w:r>
      <w:r>
        <w:rPr>
          <w:rFonts w:ascii="仿宋" w:eastAsia="仿宋" w:hAnsi="仿宋" w:cs="仿宋" w:hint="eastAsia"/>
          <w:color w:val="auto"/>
          <w:highlight w:val="none"/>
        </w:rPr>
        <w:t xml:space="preserve">万元</w:t>
      </w:r>
      <w:r>
        <w:rPr>
          <w:rFonts w:ascii="仿宋" w:eastAsia="仿宋" w:hAnsi="仿宋" w:cs="仿宋" w:hint="eastAsia"/>
          <w:color w:val="auto"/>
          <w:highlight w:val="none"/>
          <w:lang w:eastAsia="zh-CN"/>
        </w:rPr>
        <w:t xml:space="preserve">。</w:t>
      </w:r>
    </w:p>
    <w:p>
      <w:pPr>
        <w:bidi w:val="0"/>
        <w:ind w:left="0" w:firstLine="640" w:leftChars="0" w:firstLineChars="200"/>
        <w:rPr>
          <w:rFonts w:ascii="仿宋" w:eastAsia="仿宋" w:hAnsi="仿宋" w:cs="仿宋" w:hint="eastAsia"/>
          <w:color w:val="auto"/>
          <w:highlight w:val="none"/>
          <w:lang w:eastAsia="zh-CN"/>
        </w:rPr>
      </w:pPr>
      <w:r>
        <w:rPr>
          <w:rFonts w:ascii="仿宋" w:eastAsia="仿宋" w:hAnsi="仿宋" w:cs="仿宋" w:hint="eastAsia"/>
          <w:color w:val="auto"/>
          <w:highlight w:val="none"/>
        </w:rPr>
        <w:t xml:space="preserve">202</w:t>
      </w:r>
      <w:r>
        <w:rPr>
          <w:rFonts w:ascii="仿宋" w:eastAsia="仿宋" w:hAnsi="仿宋" w:cs="仿宋" w:hint="eastAsia"/>
          <w:color w:val="auto"/>
          <w:highlight w:val="none"/>
          <w:lang w:val="en-US" w:eastAsia="zh-CN"/>
        </w:rPr>
        <w:t xml:space="preserve">4</w:t>
      </w:r>
      <w:r>
        <w:rPr>
          <w:rFonts w:ascii="仿宋" w:eastAsia="仿宋" w:hAnsi="仿宋" w:cs="仿宋" w:hint="eastAsia"/>
          <w:color w:val="auto"/>
          <w:highlight w:val="none"/>
        </w:rPr>
        <w:t xml:space="preserve">年</w:t>
      </w:r>
      <w:r>
        <w:rPr>
          <w:rFonts w:ascii="仿宋" w:eastAsia="仿宋" w:hAnsi="仿宋" w:cs="仿宋" w:hint="eastAsia"/>
          <w:color w:val="auto"/>
          <w:highlight w:val="none"/>
          <w:lang w:val="en-US" w:eastAsia="zh-CN"/>
        </w:rPr>
        <w:t xml:space="preserve">6</w:t>
      </w:r>
      <w:r>
        <w:rPr>
          <w:rFonts w:ascii="仿宋" w:eastAsia="仿宋" w:hAnsi="仿宋" w:cs="仿宋" w:hint="eastAsia"/>
          <w:color w:val="auto"/>
          <w:highlight w:val="none"/>
        </w:rPr>
        <w:t xml:space="preserve">月</w:t>
      </w:r>
      <w:r>
        <w:rPr>
          <w:rFonts w:ascii="仿宋" w:eastAsia="仿宋" w:hAnsi="仿宋" w:cs="仿宋" w:hint="eastAsia"/>
          <w:color w:val="auto"/>
          <w:highlight w:val="none"/>
          <w:lang w:val="en-US" w:eastAsia="zh-CN"/>
        </w:rPr>
        <w:t xml:space="preserve">27</w:t>
      </w:r>
      <w:r>
        <w:rPr>
          <w:rFonts w:ascii="仿宋" w:eastAsia="仿宋" w:hAnsi="仿宋" w:cs="仿宋" w:hint="eastAsia"/>
          <w:color w:val="auto"/>
          <w:highlight w:val="none"/>
        </w:rPr>
        <w:t xml:space="preserve">日，支付</w:t>
      </w:r>
      <w:r>
        <w:rPr>
          <w:rFonts w:ascii="仿宋" w:eastAsia="仿宋" w:hAnsi="仿宋" w:cs="仿宋" w:hint="eastAsia"/>
          <w:color w:val="auto"/>
          <w:highlight w:val="none"/>
          <w:lang w:val="en-US" w:eastAsia="zh-CN"/>
        </w:rPr>
        <w:t xml:space="preserve">城区路灯电费20.03万</w:t>
      </w:r>
      <w:r>
        <w:rPr>
          <w:rFonts w:ascii="仿宋" w:eastAsia="仿宋" w:hAnsi="仿宋" w:cs="仿宋" w:hint="eastAsia"/>
          <w:color w:val="auto"/>
          <w:highlight w:val="none"/>
        </w:rPr>
        <w:t xml:space="preserve">元</w:t>
      </w:r>
      <w:r>
        <w:rPr>
          <w:rFonts w:ascii="仿宋" w:eastAsia="仿宋" w:hAnsi="仿宋" w:cs="仿宋" w:hint="eastAsia"/>
          <w:color w:val="auto"/>
          <w:highlight w:val="none"/>
          <w:lang w:eastAsia="zh-CN"/>
        </w:rPr>
        <w:t xml:space="preserve">。</w:t>
      </w:r>
    </w:p>
    <w:p>
      <w:pPr>
        <w:bidi w:val="0"/>
        <w:rPr>
          <w:rFonts w:ascii="仿宋" w:eastAsia="仿宋" w:hAnsi="仿宋" w:cs="仿宋" w:hint="eastAsia"/>
          <w:color w:val="auto"/>
          <w:highlight w:val="none"/>
          <w:lang w:eastAsia="zh-CN"/>
        </w:rPr>
      </w:pPr>
      <w:r>
        <w:rPr>
          <w:rFonts w:ascii="仿宋" w:eastAsia="仿宋" w:hAnsi="仿宋" w:cs="仿宋" w:hint="eastAsia"/>
          <w:color w:val="auto"/>
          <w:highlight w:val="none"/>
        </w:rPr>
        <w:t xml:space="preserve">202</w:t>
      </w:r>
      <w:r>
        <w:rPr>
          <w:rFonts w:ascii="仿宋" w:eastAsia="仿宋" w:hAnsi="仿宋" w:cs="仿宋" w:hint="eastAsia"/>
          <w:color w:val="auto"/>
          <w:highlight w:val="none"/>
          <w:lang w:val="en-US" w:eastAsia="zh-CN"/>
        </w:rPr>
        <w:t xml:space="preserve">4</w:t>
      </w:r>
      <w:r>
        <w:rPr>
          <w:rFonts w:ascii="仿宋" w:eastAsia="仿宋" w:hAnsi="仿宋" w:cs="仿宋" w:hint="eastAsia"/>
          <w:color w:val="auto"/>
          <w:highlight w:val="none"/>
        </w:rPr>
        <w:t xml:space="preserve">年</w:t>
      </w:r>
      <w:r>
        <w:rPr>
          <w:rFonts w:ascii="仿宋" w:eastAsia="仿宋" w:hAnsi="仿宋" w:cs="仿宋" w:hint="eastAsia"/>
          <w:color w:val="auto"/>
          <w:highlight w:val="none"/>
          <w:lang w:val="en-US" w:eastAsia="zh-CN"/>
        </w:rPr>
        <w:t xml:space="preserve">6</w:t>
      </w:r>
      <w:r>
        <w:rPr>
          <w:rFonts w:ascii="仿宋" w:eastAsia="仿宋" w:hAnsi="仿宋" w:cs="仿宋" w:hint="eastAsia"/>
          <w:color w:val="auto"/>
          <w:highlight w:val="none"/>
        </w:rPr>
        <w:t xml:space="preserve">月</w:t>
      </w:r>
      <w:r>
        <w:rPr>
          <w:rFonts w:ascii="仿宋" w:eastAsia="仿宋" w:hAnsi="仿宋" w:cs="仿宋" w:hint="eastAsia"/>
          <w:color w:val="auto"/>
          <w:highlight w:val="none"/>
          <w:lang w:val="en-US" w:eastAsia="zh-CN"/>
        </w:rPr>
        <w:t xml:space="preserve">27</w:t>
      </w:r>
      <w:r>
        <w:rPr>
          <w:rFonts w:ascii="仿宋" w:eastAsia="仿宋" w:hAnsi="仿宋" w:cs="仿宋" w:hint="eastAsia"/>
          <w:color w:val="auto"/>
          <w:highlight w:val="none"/>
        </w:rPr>
        <w:t xml:space="preserve">日，支付</w:t>
      </w:r>
      <w:r>
        <w:rPr>
          <w:rFonts w:ascii="仿宋" w:eastAsia="仿宋" w:hAnsi="仿宋" w:cs="仿宋" w:hint="eastAsia"/>
          <w:color w:val="auto"/>
          <w:highlight w:val="none"/>
          <w:lang w:val="en-US" w:eastAsia="zh-CN"/>
        </w:rPr>
        <w:t xml:space="preserve">团结灯电费12.83万</w:t>
      </w:r>
      <w:r>
        <w:rPr>
          <w:rFonts w:ascii="仿宋" w:eastAsia="仿宋" w:hAnsi="仿宋" w:cs="仿宋" w:hint="eastAsia"/>
          <w:color w:val="auto"/>
          <w:highlight w:val="none"/>
        </w:rPr>
        <w:t xml:space="preserve">元</w:t>
      </w:r>
      <w:r>
        <w:rPr>
          <w:rFonts w:ascii="仿宋" w:eastAsia="仿宋" w:hAnsi="仿宋" w:cs="仿宋" w:hint="eastAsia"/>
          <w:color w:val="auto"/>
          <w:highlight w:val="none"/>
          <w:lang w:eastAsia="zh-CN"/>
        </w:rPr>
        <w:t xml:space="preserve">。</w:t>
      </w:r>
    </w:p>
    <w:p>
      <w:pPr>
        <w:bidi w:val="0"/>
        <w:rPr>
          <w:rFonts w:ascii="仿宋" w:eastAsia="仿宋" w:hAnsi="仿宋" w:cs="仿宋" w:hint="eastAsia"/>
          <w:color w:val="auto"/>
          <w:highlight w:val="none"/>
          <w:lang w:eastAsia="zh-CN"/>
        </w:rPr>
      </w:pPr>
      <w:r>
        <w:rPr>
          <w:rFonts w:ascii="仿宋" w:eastAsia="仿宋" w:hAnsi="仿宋" w:cs="仿宋" w:hint="eastAsia"/>
          <w:color w:val="auto"/>
          <w:highlight w:val="none"/>
        </w:rPr>
        <w:t xml:space="preserve">202</w:t>
      </w:r>
      <w:r>
        <w:rPr>
          <w:rFonts w:ascii="仿宋" w:eastAsia="仿宋" w:hAnsi="仿宋" w:cs="仿宋" w:hint="eastAsia"/>
          <w:color w:val="auto"/>
          <w:highlight w:val="none"/>
          <w:lang w:val="en-US" w:eastAsia="zh-CN"/>
        </w:rPr>
        <w:t xml:space="preserve">4</w:t>
      </w:r>
      <w:r>
        <w:rPr>
          <w:rFonts w:ascii="仿宋" w:eastAsia="仿宋" w:hAnsi="仿宋" w:cs="仿宋" w:hint="eastAsia"/>
          <w:color w:val="auto"/>
          <w:highlight w:val="none"/>
        </w:rPr>
        <w:t xml:space="preserve">年</w:t>
      </w:r>
      <w:r>
        <w:rPr>
          <w:rFonts w:ascii="仿宋" w:eastAsia="仿宋" w:hAnsi="仿宋" w:cs="仿宋" w:hint="eastAsia"/>
          <w:color w:val="auto"/>
          <w:highlight w:val="none"/>
          <w:lang w:val="en-US" w:eastAsia="zh-CN"/>
        </w:rPr>
        <w:t xml:space="preserve">7</w:t>
      </w:r>
      <w:r>
        <w:rPr>
          <w:rFonts w:ascii="仿宋" w:eastAsia="仿宋" w:hAnsi="仿宋" w:cs="仿宋" w:hint="eastAsia"/>
          <w:color w:val="auto"/>
          <w:highlight w:val="none"/>
        </w:rPr>
        <w:t xml:space="preserve">月</w:t>
      </w:r>
      <w:r>
        <w:rPr>
          <w:rFonts w:ascii="仿宋" w:eastAsia="仿宋" w:hAnsi="仿宋" w:cs="仿宋" w:hint="eastAsia"/>
          <w:color w:val="auto"/>
          <w:highlight w:val="none"/>
          <w:lang w:val="en-US" w:eastAsia="zh-CN"/>
        </w:rPr>
        <w:t xml:space="preserve">5</w:t>
      </w:r>
      <w:r>
        <w:rPr>
          <w:rFonts w:ascii="仿宋" w:eastAsia="仿宋" w:hAnsi="仿宋" w:cs="仿宋" w:hint="eastAsia"/>
          <w:color w:val="auto"/>
          <w:highlight w:val="none"/>
        </w:rPr>
        <w:t xml:space="preserve">日，支付</w:t>
      </w:r>
      <w:r>
        <w:rPr>
          <w:rFonts w:ascii="仿宋" w:eastAsia="仿宋" w:hAnsi="仿宋" w:cs="仿宋" w:hint="eastAsia"/>
          <w:color w:val="auto"/>
          <w:highlight w:val="none"/>
          <w:lang w:eastAsia="zh-CN"/>
        </w:rPr>
        <w:t xml:space="preserve">个人垫付的电费</w:t>
      </w:r>
      <w:r>
        <w:rPr>
          <w:rFonts w:ascii="仿宋" w:eastAsia="仿宋" w:hAnsi="仿宋" w:cs="仿宋" w:hint="eastAsia"/>
          <w:color w:val="auto"/>
          <w:highlight w:val="none"/>
          <w:lang w:val="en-US" w:eastAsia="zh-CN"/>
        </w:rPr>
        <w:t xml:space="preserve">1.14万</w:t>
      </w:r>
      <w:r>
        <w:rPr>
          <w:rFonts w:ascii="仿宋" w:eastAsia="仿宋" w:hAnsi="仿宋" w:cs="仿宋" w:hint="eastAsia"/>
          <w:color w:val="auto"/>
          <w:highlight w:val="none"/>
        </w:rPr>
        <w:t xml:space="preserve">元</w:t>
      </w:r>
      <w:r>
        <w:rPr>
          <w:rFonts w:ascii="仿宋" w:eastAsia="仿宋" w:hAnsi="仿宋" w:cs="仿宋" w:hint="eastAsia"/>
          <w:color w:val="auto"/>
          <w:highlight w:val="none"/>
          <w:lang w:eastAsia="zh-CN"/>
        </w:rPr>
        <w:t xml:space="preserve">。</w:t>
      </w:r>
    </w:p>
    <w:p>
      <w:pPr>
        <w:bidi w:val="0"/>
        <w:rPr>
          <w:rFonts w:ascii="仿宋" w:eastAsia="仿宋" w:hAnsi="仿宋" w:cs="仿宋" w:hint="eastAsia"/>
          <w:color w:val="auto"/>
          <w:highlight w:val="none"/>
          <w:lang w:eastAsia="zh-CN"/>
        </w:rPr>
      </w:pPr>
      <w:r>
        <w:rPr>
          <w:rFonts w:ascii="仿宋" w:eastAsia="仿宋" w:hAnsi="仿宋" w:cs="仿宋" w:hint="eastAsia"/>
          <w:color w:val="auto"/>
          <w:highlight w:val="none"/>
        </w:rPr>
        <w:t xml:space="preserve">202</w:t>
      </w:r>
      <w:r>
        <w:rPr>
          <w:rFonts w:ascii="仿宋" w:eastAsia="仿宋" w:hAnsi="仿宋" w:cs="仿宋" w:hint="eastAsia"/>
          <w:color w:val="auto"/>
          <w:highlight w:val="none"/>
          <w:lang w:val="en-US" w:eastAsia="zh-CN"/>
        </w:rPr>
        <w:t xml:space="preserve">4</w:t>
      </w:r>
      <w:r>
        <w:rPr>
          <w:rFonts w:ascii="仿宋" w:eastAsia="仿宋" w:hAnsi="仿宋" w:cs="仿宋" w:hint="eastAsia"/>
          <w:color w:val="auto"/>
          <w:highlight w:val="none"/>
        </w:rPr>
        <w:t xml:space="preserve">年</w:t>
      </w:r>
      <w:r>
        <w:rPr>
          <w:rFonts w:ascii="仿宋" w:eastAsia="仿宋" w:hAnsi="仿宋" w:cs="仿宋" w:hint="eastAsia"/>
          <w:color w:val="auto"/>
          <w:highlight w:val="none"/>
          <w:lang w:val="en-US" w:eastAsia="zh-CN"/>
        </w:rPr>
        <w:t xml:space="preserve">9</w:t>
      </w:r>
      <w:r>
        <w:rPr>
          <w:rFonts w:ascii="仿宋" w:eastAsia="仿宋" w:hAnsi="仿宋" w:cs="仿宋" w:hint="eastAsia"/>
          <w:color w:val="auto"/>
          <w:highlight w:val="none"/>
        </w:rPr>
        <w:t xml:space="preserve">月</w:t>
      </w:r>
      <w:r>
        <w:rPr>
          <w:rFonts w:ascii="仿宋" w:eastAsia="仿宋" w:hAnsi="仿宋" w:cs="仿宋" w:hint="eastAsia"/>
          <w:color w:val="auto"/>
          <w:highlight w:val="none"/>
          <w:lang w:val="en-US" w:eastAsia="zh-CN"/>
        </w:rPr>
        <w:t xml:space="preserve">3</w:t>
      </w:r>
      <w:r>
        <w:rPr>
          <w:rFonts w:ascii="仿宋" w:eastAsia="仿宋" w:hAnsi="仿宋" w:cs="仿宋" w:hint="eastAsia"/>
          <w:color w:val="auto"/>
          <w:highlight w:val="none"/>
        </w:rPr>
        <w:t xml:space="preserve">日，支付</w:t>
      </w:r>
      <w:r>
        <w:rPr>
          <w:rFonts w:ascii="仿宋" w:eastAsia="仿宋" w:hAnsi="仿宋" w:cs="仿宋" w:hint="eastAsia"/>
          <w:color w:val="auto"/>
          <w:highlight w:val="none"/>
          <w:lang w:val="en-US" w:eastAsia="zh-CN"/>
        </w:rPr>
        <w:t xml:space="preserve">城区路灯电费20</w:t>
      </w:r>
      <w:r>
        <w:rPr>
          <w:rFonts w:ascii="仿宋" w:eastAsia="仿宋" w:hAnsi="仿宋" w:cs="仿宋" w:hint="eastAsia"/>
          <w:color w:val="auto"/>
          <w:highlight w:val="none"/>
        </w:rPr>
        <w:t xml:space="preserve">万元</w:t>
      </w:r>
      <w:r>
        <w:rPr>
          <w:rFonts w:ascii="仿宋" w:eastAsia="仿宋" w:hAnsi="仿宋" w:cs="仿宋" w:hint="eastAsia"/>
          <w:color w:val="auto"/>
          <w:highlight w:val="none"/>
          <w:lang w:eastAsia="zh-CN"/>
        </w:rPr>
        <w:t xml:space="preserve">。</w:t>
      </w:r>
    </w:p>
    <w:p>
      <w:pPr>
        <w:bidi w:val="0"/>
        <w:rPr>
          <w:rFonts w:ascii="仿宋" w:eastAsia="仿宋" w:hAnsi="仿宋" w:cs="仿宋" w:hint="eastAsia"/>
          <w:color w:val="auto"/>
          <w:highlight w:val="none"/>
          <w:lang w:eastAsia="zh-CN"/>
        </w:rPr>
      </w:pPr>
      <w:r>
        <w:rPr>
          <w:rFonts w:ascii="仿宋" w:eastAsia="仿宋" w:hAnsi="仿宋" w:cs="仿宋" w:hint="eastAsia"/>
          <w:color w:val="auto"/>
          <w:highlight w:val="none"/>
        </w:rPr>
        <w:t xml:space="preserve">202</w:t>
      </w:r>
      <w:r>
        <w:rPr>
          <w:rFonts w:ascii="仿宋" w:eastAsia="仿宋" w:hAnsi="仿宋" w:cs="仿宋" w:hint="eastAsia"/>
          <w:color w:val="auto"/>
          <w:highlight w:val="none"/>
          <w:lang w:val="en-US" w:eastAsia="zh-CN"/>
        </w:rPr>
        <w:t xml:space="preserve">4</w:t>
      </w:r>
      <w:r>
        <w:rPr>
          <w:rFonts w:ascii="仿宋" w:eastAsia="仿宋" w:hAnsi="仿宋" w:cs="仿宋" w:hint="eastAsia"/>
          <w:color w:val="auto"/>
          <w:highlight w:val="none"/>
        </w:rPr>
        <w:t xml:space="preserve">年</w:t>
      </w:r>
      <w:r>
        <w:rPr>
          <w:rFonts w:ascii="仿宋" w:eastAsia="仿宋" w:hAnsi="仿宋" w:cs="仿宋" w:hint="eastAsia"/>
          <w:color w:val="auto"/>
          <w:highlight w:val="none"/>
          <w:lang w:val="en-US" w:eastAsia="zh-CN"/>
        </w:rPr>
        <w:t xml:space="preserve">9</w:t>
      </w:r>
      <w:r>
        <w:rPr>
          <w:rFonts w:ascii="仿宋" w:eastAsia="仿宋" w:hAnsi="仿宋" w:cs="仿宋" w:hint="eastAsia"/>
          <w:color w:val="auto"/>
          <w:highlight w:val="none"/>
        </w:rPr>
        <w:t xml:space="preserve">月</w:t>
      </w:r>
      <w:r>
        <w:rPr>
          <w:rFonts w:ascii="仿宋" w:eastAsia="仿宋" w:hAnsi="仿宋" w:cs="仿宋" w:hint="eastAsia"/>
          <w:color w:val="auto"/>
          <w:highlight w:val="none"/>
          <w:lang w:val="en-US" w:eastAsia="zh-CN"/>
        </w:rPr>
        <w:t xml:space="preserve">3</w:t>
      </w:r>
      <w:r>
        <w:rPr>
          <w:rFonts w:ascii="仿宋" w:eastAsia="仿宋" w:hAnsi="仿宋" w:cs="仿宋" w:hint="eastAsia"/>
          <w:color w:val="auto"/>
          <w:highlight w:val="none"/>
        </w:rPr>
        <w:t xml:space="preserve">日，支付</w:t>
      </w:r>
      <w:r>
        <w:rPr>
          <w:rFonts w:ascii="仿宋" w:eastAsia="仿宋" w:hAnsi="仿宋" w:cs="仿宋" w:hint="eastAsia"/>
          <w:color w:val="auto"/>
          <w:highlight w:val="none"/>
          <w:lang w:val="en-US" w:eastAsia="zh-CN"/>
        </w:rPr>
        <w:t xml:space="preserve">团结路灯电费17</w:t>
      </w:r>
      <w:r>
        <w:rPr>
          <w:rFonts w:ascii="仿宋" w:eastAsia="仿宋" w:hAnsi="仿宋" w:cs="仿宋" w:hint="eastAsia"/>
          <w:color w:val="auto"/>
          <w:highlight w:val="none"/>
        </w:rPr>
        <w:t xml:space="preserve">万元</w:t>
      </w:r>
      <w:r>
        <w:rPr>
          <w:rFonts w:ascii="仿宋" w:eastAsia="仿宋" w:hAnsi="仿宋" w:cs="仿宋" w:hint="eastAsia"/>
          <w:color w:val="auto"/>
          <w:highlight w:val="none"/>
          <w:lang w:eastAsia="zh-CN"/>
        </w:rPr>
        <w:t xml:space="preserve">。</w:t>
      </w:r>
    </w:p>
    <w:p>
      <w:pPr>
        <w:bidi w:val="0"/>
        <w:rPr>
          <w:rFonts w:ascii="仿宋" w:eastAsia="仿宋" w:hAnsi="仿宋" w:cs="仿宋" w:hint="eastAsia"/>
          <w:color w:val="auto"/>
          <w:highlight w:val="none"/>
          <w:lang w:eastAsia="zh-CN"/>
        </w:rPr>
      </w:pPr>
      <w:r>
        <w:rPr>
          <w:rFonts w:ascii="仿宋" w:eastAsia="仿宋" w:hAnsi="仿宋" w:cs="仿宋" w:hint="eastAsia"/>
          <w:color w:val="auto"/>
          <w:highlight w:val="none"/>
        </w:rPr>
        <w:t xml:space="preserve">202</w:t>
      </w:r>
      <w:r>
        <w:rPr>
          <w:rFonts w:ascii="仿宋" w:eastAsia="仿宋" w:hAnsi="仿宋" w:cs="仿宋" w:hint="eastAsia"/>
          <w:color w:val="auto"/>
          <w:highlight w:val="none"/>
          <w:lang w:val="en-US" w:eastAsia="zh-CN"/>
        </w:rPr>
        <w:t xml:space="preserve">4</w:t>
      </w:r>
      <w:r>
        <w:rPr>
          <w:rFonts w:ascii="仿宋" w:eastAsia="仿宋" w:hAnsi="仿宋" w:cs="仿宋" w:hint="eastAsia"/>
          <w:color w:val="auto"/>
          <w:highlight w:val="none"/>
        </w:rPr>
        <w:t xml:space="preserve">年</w:t>
      </w:r>
      <w:r>
        <w:rPr>
          <w:rFonts w:ascii="仿宋" w:eastAsia="仿宋" w:hAnsi="仿宋" w:cs="仿宋" w:hint="eastAsia"/>
          <w:color w:val="auto"/>
          <w:highlight w:val="none"/>
          <w:lang w:val="en-US" w:eastAsia="zh-CN"/>
        </w:rPr>
        <w:t xml:space="preserve">9</w:t>
      </w:r>
      <w:r>
        <w:rPr>
          <w:rFonts w:ascii="仿宋" w:eastAsia="仿宋" w:hAnsi="仿宋" w:cs="仿宋" w:hint="eastAsia"/>
          <w:color w:val="auto"/>
          <w:highlight w:val="none"/>
        </w:rPr>
        <w:t xml:space="preserve">月</w:t>
      </w:r>
      <w:r>
        <w:rPr>
          <w:rFonts w:ascii="仿宋" w:eastAsia="仿宋" w:hAnsi="仿宋" w:cs="仿宋" w:hint="eastAsia"/>
          <w:color w:val="auto"/>
          <w:highlight w:val="none"/>
          <w:lang w:val="en-US" w:eastAsia="zh-CN"/>
        </w:rPr>
        <w:t xml:space="preserve">3</w:t>
      </w:r>
      <w:r>
        <w:rPr>
          <w:rFonts w:ascii="仿宋" w:eastAsia="仿宋" w:hAnsi="仿宋" w:cs="仿宋" w:hint="eastAsia"/>
          <w:color w:val="auto"/>
          <w:highlight w:val="none"/>
        </w:rPr>
        <w:t xml:space="preserve">日，支付</w:t>
      </w:r>
      <w:r>
        <w:rPr>
          <w:rFonts w:ascii="仿宋" w:eastAsia="仿宋" w:hAnsi="仿宋" w:cs="仿宋" w:hint="eastAsia"/>
          <w:color w:val="auto"/>
          <w:highlight w:val="none"/>
          <w:lang w:val="en-US" w:eastAsia="zh-CN"/>
        </w:rPr>
        <w:t xml:space="preserve">桥南路灯电费2</w:t>
      </w:r>
      <w:r>
        <w:rPr>
          <w:rFonts w:ascii="仿宋" w:eastAsia="仿宋" w:hAnsi="仿宋" w:cs="仿宋" w:hint="eastAsia"/>
          <w:color w:val="auto"/>
          <w:highlight w:val="none"/>
        </w:rPr>
        <w:t xml:space="preserve">万元</w:t>
      </w:r>
      <w:r>
        <w:rPr>
          <w:rFonts w:ascii="仿宋" w:eastAsia="仿宋" w:hAnsi="仿宋" w:cs="仿宋" w:hint="eastAsia"/>
          <w:color w:val="auto"/>
          <w:highlight w:val="none"/>
          <w:lang w:eastAsia="zh-CN"/>
        </w:rPr>
        <w:t xml:space="preserve">。</w:t>
      </w:r>
    </w:p>
    <w:p>
      <w:pPr>
        <w:bidi w:val="0"/>
        <w:rPr>
          <w:rFonts w:ascii="仿宋" w:eastAsia="仿宋" w:hAnsi="仿宋" w:cs="仿宋" w:hint="eastAsia"/>
          <w:color w:val="auto"/>
          <w:highlight w:val="none"/>
          <w:lang w:eastAsia="zh-CN"/>
        </w:rPr>
      </w:pPr>
      <w:r>
        <w:rPr>
          <w:rFonts w:ascii="仿宋" w:eastAsia="仿宋" w:hAnsi="仿宋" w:cs="仿宋" w:hint="eastAsia"/>
          <w:color w:val="auto"/>
          <w:highlight w:val="none"/>
        </w:rPr>
        <w:t xml:space="preserve">202</w:t>
      </w:r>
      <w:r>
        <w:rPr>
          <w:rFonts w:ascii="仿宋" w:eastAsia="仿宋" w:hAnsi="仿宋" w:cs="仿宋" w:hint="eastAsia"/>
          <w:color w:val="auto"/>
          <w:highlight w:val="none"/>
          <w:lang w:val="en-US" w:eastAsia="zh-CN"/>
        </w:rPr>
        <w:t xml:space="preserve">4</w:t>
      </w:r>
      <w:r>
        <w:rPr>
          <w:rFonts w:ascii="仿宋" w:eastAsia="仿宋" w:hAnsi="仿宋" w:cs="仿宋" w:hint="eastAsia"/>
          <w:color w:val="auto"/>
          <w:highlight w:val="none"/>
        </w:rPr>
        <w:t xml:space="preserve">年</w:t>
      </w:r>
      <w:r>
        <w:rPr>
          <w:rFonts w:ascii="仿宋" w:eastAsia="仿宋" w:hAnsi="仿宋" w:cs="仿宋" w:hint="eastAsia"/>
          <w:color w:val="auto"/>
          <w:highlight w:val="none"/>
          <w:lang w:val="en-US" w:eastAsia="zh-CN"/>
        </w:rPr>
        <w:t xml:space="preserve">9</w:t>
      </w:r>
      <w:r>
        <w:rPr>
          <w:rFonts w:ascii="仿宋" w:eastAsia="仿宋" w:hAnsi="仿宋" w:cs="仿宋" w:hint="eastAsia"/>
          <w:color w:val="auto"/>
          <w:highlight w:val="none"/>
        </w:rPr>
        <w:t xml:space="preserve">月</w:t>
      </w:r>
      <w:r>
        <w:rPr>
          <w:rFonts w:ascii="仿宋" w:eastAsia="仿宋" w:hAnsi="仿宋" w:cs="仿宋" w:hint="eastAsia"/>
          <w:color w:val="auto"/>
          <w:highlight w:val="none"/>
          <w:lang w:val="en-US" w:eastAsia="zh-CN"/>
        </w:rPr>
        <w:t xml:space="preserve">3</w:t>
      </w:r>
      <w:r>
        <w:rPr>
          <w:rFonts w:ascii="仿宋" w:eastAsia="仿宋" w:hAnsi="仿宋" w:cs="仿宋" w:hint="eastAsia"/>
          <w:color w:val="auto"/>
          <w:highlight w:val="none"/>
        </w:rPr>
        <w:t xml:space="preserve">日，支付</w:t>
      </w:r>
      <w:r>
        <w:rPr>
          <w:rFonts w:ascii="仿宋" w:eastAsia="仿宋" w:hAnsi="仿宋" w:cs="仿宋" w:hint="eastAsia"/>
          <w:color w:val="auto"/>
          <w:highlight w:val="none"/>
          <w:lang w:val="en-US" w:eastAsia="zh-CN"/>
        </w:rPr>
        <w:t xml:space="preserve">五一路灯电费1</w:t>
      </w:r>
      <w:r>
        <w:rPr>
          <w:rFonts w:ascii="仿宋" w:eastAsia="仿宋" w:hAnsi="仿宋" w:cs="仿宋" w:hint="eastAsia"/>
          <w:color w:val="auto"/>
          <w:highlight w:val="none"/>
        </w:rPr>
        <w:t xml:space="preserve">万元</w:t>
      </w:r>
      <w:r>
        <w:rPr>
          <w:rFonts w:ascii="仿宋" w:eastAsia="仿宋" w:hAnsi="仿宋" w:cs="仿宋" w:hint="eastAsia"/>
          <w:color w:val="auto"/>
          <w:highlight w:val="none"/>
          <w:lang w:eastAsia="zh-CN"/>
        </w:rPr>
        <w:t xml:space="preserve">。</w:t>
      </w:r>
    </w:p>
    <w:p>
      <w:pPr>
        <w:bidi w:val="0"/>
        <w:rPr>
          <w:rFonts w:ascii="仿宋" w:eastAsia="仿宋" w:hAnsi="仿宋" w:cs="仿宋" w:hint="eastAsia"/>
          <w:color w:val="auto"/>
          <w:highlight w:val="none"/>
          <w:lang w:eastAsia="zh-CN"/>
        </w:rPr>
      </w:pPr>
      <w:r>
        <w:rPr>
          <w:rFonts w:ascii="仿宋" w:eastAsia="仿宋" w:hAnsi="仿宋" w:cs="仿宋" w:hint="eastAsia"/>
          <w:color w:val="auto"/>
          <w:highlight w:val="none"/>
        </w:rPr>
        <w:t xml:space="preserve">202</w:t>
      </w:r>
      <w:r>
        <w:rPr>
          <w:rFonts w:ascii="仿宋" w:eastAsia="仿宋" w:hAnsi="仿宋" w:cs="仿宋" w:hint="eastAsia"/>
          <w:color w:val="auto"/>
          <w:highlight w:val="none"/>
          <w:lang w:val="en-US" w:eastAsia="zh-CN"/>
        </w:rPr>
        <w:t xml:space="preserve">4</w:t>
      </w:r>
      <w:r>
        <w:rPr>
          <w:rFonts w:ascii="仿宋" w:eastAsia="仿宋" w:hAnsi="仿宋" w:cs="仿宋" w:hint="eastAsia"/>
          <w:color w:val="auto"/>
          <w:highlight w:val="none"/>
        </w:rPr>
        <w:t xml:space="preserve">年</w:t>
      </w:r>
      <w:r>
        <w:rPr>
          <w:rFonts w:ascii="仿宋" w:eastAsia="仿宋" w:hAnsi="仿宋" w:cs="仿宋" w:hint="eastAsia"/>
          <w:color w:val="auto"/>
          <w:highlight w:val="none"/>
          <w:lang w:val="en-US" w:eastAsia="zh-CN"/>
        </w:rPr>
        <w:t xml:space="preserve">11</w:t>
      </w:r>
      <w:r>
        <w:rPr>
          <w:rFonts w:ascii="仿宋" w:eastAsia="仿宋" w:hAnsi="仿宋" w:cs="仿宋" w:hint="eastAsia"/>
          <w:color w:val="auto"/>
          <w:highlight w:val="none"/>
        </w:rPr>
        <w:t xml:space="preserve">月</w:t>
      </w:r>
      <w:r>
        <w:rPr>
          <w:rFonts w:ascii="仿宋" w:eastAsia="仿宋" w:hAnsi="仿宋" w:cs="仿宋" w:hint="eastAsia"/>
          <w:color w:val="auto"/>
          <w:highlight w:val="none"/>
          <w:lang w:val="en-US" w:eastAsia="zh-CN"/>
        </w:rPr>
        <w:t xml:space="preserve">15</w:t>
      </w:r>
      <w:r>
        <w:rPr>
          <w:rFonts w:ascii="仿宋" w:eastAsia="仿宋" w:hAnsi="仿宋" w:cs="仿宋" w:hint="eastAsia"/>
          <w:color w:val="auto"/>
          <w:highlight w:val="none"/>
        </w:rPr>
        <w:t xml:space="preserve">日，支付</w:t>
      </w:r>
      <w:r>
        <w:rPr>
          <w:rFonts w:ascii="仿宋" w:eastAsia="仿宋" w:hAnsi="仿宋" w:cs="仿宋" w:hint="eastAsia"/>
          <w:color w:val="auto"/>
          <w:highlight w:val="none"/>
          <w:lang w:val="en-US" w:eastAsia="zh-CN"/>
        </w:rPr>
        <w:t xml:space="preserve">团结路灯电费26</w:t>
      </w:r>
      <w:r>
        <w:rPr>
          <w:rFonts w:ascii="仿宋" w:eastAsia="仿宋" w:hAnsi="仿宋" w:cs="仿宋" w:hint="eastAsia"/>
          <w:color w:val="auto"/>
          <w:highlight w:val="none"/>
        </w:rPr>
        <w:t xml:space="preserve">万元</w:t>
      </w:r>
      <w:r>
        <w:rPr>
          <w:rFonts w:ascii="仿宋" w:eastAsia="仿宋" w:hAnsi="仿宋" w:cs="仿宋" w:hint="eastAsia"/>
          <w:color w:val="auto"/>
          <w:highlight w:val="none"/>
          <w:lang w:eastAsia="zh-CN"/>
        </w:rPr>
        <w:t xml:space="preserve">。</w:t>
      </w:r>
    </w:p>
    <w:p>
      <w:pPr>
        <w:bidi w:val="0"/>
        <w:rPr>
          <w:rFonts w:ascii="仿宋" w:eastAsia="仿宋" w:hAnsi="仿宋" w:cs="仿宋" w:hint="eastAsia"/>
          <w:color w:val="auto"/>
          <w:highlight w:val="none"/>
          <w:lang w:eastAsia="zh-CN"/>
        </w:rPr>
      </w:pPr>
      <w:r>
        <w:rPr>
          <w:rFonts w:ascii="仿宋" w:eastAsia="仿宋" w:hAnsi="仿宋" w:cs="仿宋" w:hint="eastAsia"/>
          <w:color w:val="auto"/>
          <w:highlight w:val="none"/>
        </w:rPr>
        <w:t xml:space="preserve">202</w:t>
      </w:r>
      <w:r>
        <w:rPr>
          <w:rFonts w:ascii="仿宋" w:eastAsia="仿宋" w:hAnsi="仿宋" w:cs="仿宋" w:hint="eastAsia"/>
          <w:color w:val="auto"/>
          <w:highlight w:val="none"/>
          <w:lang w:val="en-US" w:eastAsia="zh-CN"/>
        </w:rPr>
        <w:t xml:space="preserve">4</w:t>
      </w:r>
      <w:r>
        <w:rPr>
          <w:rFonts w:ascii="仿宋" w:eastAsia="仿宋" w:hAnsi="仿宋" w:cs="仿宋" w:hint="eastAsia"/>
          <w:color w:val="auto"/>
          <w:highlight w:val="none"/>
        </w:rPr>
        <w:t xml:space="preserve">年</w:t>
      </w:r>
      <w:r>
        <w:rPr>
          <w:rFonts w:ascii="仿宋" w:eastAsia="仿宋" w:hAnsi="仿宋" w:cs="仿宋" w:hint="eastAsia"/>
          <w:color w:val="auto"/>
          <w:highlight w:val="none"/>
          <w:lang w:val="en-US" w:eastAsia="zh-CN"/>
        </w:rPr>
        <w:t xml:space="preserve">11</w:t>
      </w:r>
      <w:r>
        <w:rPr>
          <w:rFonts w:ascii="仿宋" w:eastAsia="仿宋" w:hAnsi="仿宋" w:cs="仿宋" w:hint="eastAsia"/>
          <w:color w:val="auto"/>
          <w:highlight w:val="none"/>
        </w:rPr>
        <w:t xml:space="preserve">月</w:t>
      </w:r>
      <w:r>
        <w:rPr>
          <w:rFonts w:ascii="仿宋" w:eastAsia="仿宋" w:hAnsi="仿宋" w:cs="仿宋" w:hint="eastAsia"/>
          <w:color w:val="auto"/>
          <w:highlight w:val="none"/>
          <w:lang w:val="en-US" w:eastAsia="zh-CN"/>
        </w:rPr>
        <w:t xml:space="preserve">15</w:t>
      </w:r>
      <w:r>
        <w:rPr>
          <w:rFonts w:ascii="仿宋" w:eastAsia="仿宋" w:hAnsi="仿宋" w:cs="仿宋" w:hint="eastAsia"/>
          <w:color w:val="auto"/>
          <w:highlight w:val="none"/>
        </w:rPr>
        <w:t xml:space="preserve">日，支付</w:t>
      </w:r>
      <w:r>
        <w:rPr>
          <w:rFonts w:ascii="仿宋" w:eastAsia="仿宋" w:hAnsi="仿宋" w:cs="仿宋" w:hint="eastAsia"/>
          <w:color w:val="auto"/>
          <w:highlight w:val="none"/>
          <w:lang w:val="en-US" w:eastAsia="zh-CN"/>
        </w:rPr>
        <w:t xml:space="preserve">城区路灯电费18</w:t>
      </w:r>
      <w:r>
        <w:rPr>
          <w:rFonts w:ascii="仿宋" w:eastAsia="仿宋" w:hAnsi="仿宋" w:cs="仿宋" w:hint="eastAsia"/>
          <w:color w:val="auto"/>
          <w:highlight w:val="none"/>
        </w:rPr>
        <w:t xml:space="preserve">万元</w:t>
      </w:r>
      <w:r>
        <w:rPr>
          <w:rFonts w:ascii="仿宋" w:eastAsia="仿宋" w:hAnsi="仿宋" w:cs="仿宋" w:hint="eastAsia"/>
          <w:color w:val="auto"/>
          <w:highlight w:val="none"/>
          <w:lang w:eastAsia="zh-CN"/>
        </w:rPr>
        <w:t xml:space="preserve">。</w:t>
      </w:r>
    </w:p>
    <w:p>
      <w:pPr>
        <w:bidi w:val="0"/>
        <w:rPr>
          <w:rFonts w:ascii="仿宋" w:eastAsia="仿宋" w:hAnsi="仿宋" w:cs="仿宋" w:hint="eastAsia"/>
          <w:color w:val="auto"/>
          <w:highlight w:val="none"/>
          <w:lang w:eastAsia="zh-CN"/>
        </w:rPr>
      </w:pPr>
      <w:r>
        <w:rPr>
          <w:rFonts w:ascii="仿宋" w:eastAsia="仿宋" w:hAnsi="仿宋" w:cs="仿宋" w:hint="eastAsia"/>
          <w:color w:val="auto"/>
          <w:highlight w:val="none"/>
        </w:rPr>
        <w:t xml:space="preserve">202</w:t>
      </w:r>
      <w:r>
        <w:rPr>
          <w:rFonts w:ascii="仿宋" w:eastAsia="仿宋" w:hAnsi="仿宋" w:cs="仿宋" w:hint="eastAsia"/>
          <w:color w:val="auto"/>
          <w:highlight w:val="none"/>
          <w:lang w:val="en-US" w:eastAsia="zh-CN"/>
        </w:rPr>
        <w:t xml:space="preserve">4</w:t>
      </w:r>
      <w:r>
        <w:rPr>
          <w:rFonts w:ascii="仿宋" w:eastAsia="仿宋" w:hAnsi="仿宋" w:cs="仿宋" w:hint="eastAsia"/>
          <w:color w:val="auto"/>
          <w:highlight w:val="none"/>
        </w:rPr>
        <w:t xml:space="preserve">年</w:t>
      </w:r>
      <w:r>
        <w:rPr>
          <w:rFonts w:ascii="仿宋" w:eastAsia="仿宋" w:hAnsi="仿宋" w:cs="仿宋" w:hint="eastAsia"/>
          <w:color w:val="auto"/>
          <w:highlight w:val="none"/>
          <w:lang w:val="en-US" w:eastAsia="zh-CN"/>
        </w:rPr>
        <w:t xml:space="preserve">11</w:t>
      </w:r>
      <w:r>
        <w:rPr>
          <w:rFonts w:ascii="仿宋" w:eastAsia="仿宋" w:hAnsi="仿宋" w:cs="仿宋" w:hint="eastAsia"/>
          <w:color w:val="auto"/>
          <w:highlight w:val="none"/>
        </w:rPr>
        <w:t xml:space="preserve">月</w:t>
      </w:r>
      <w:r>
        <w:rPr>
          <w:rFonts w:ascii="仿宋" w:eastAsia="仿宋" w:hAnsi="仿宋" w:cs="仿宋" w:hint="eastAsia"/>
          <w:color w:val="auto"/>
          <w:highlight w:val="none"/>
          <w:lang w:val="en-US" w:eastAsia="zh-CN"/>
        </w:rPr>
        <w:t xml:space="preserve">15</w:t>
      </w:r>
      <w:r>
        <w:rPr>
          <w:rFonts w:ascii="仿宋" w:eastAsia="仿宋" w:hAnsi="仿宋" w:cs="仿宋" w:hint="eastAsia"/>
          <w:color w:val="auto"/>
          <w:highlight w:val="none"/>
        </w:rPr>
        <w:t xml:space="preserve">日，支付</w:t>
      </w:r>
      <w:r>
        <w:rPr>
          <w:rFonts w:ascii="仿宋" w:eastAsia="仿宋" w:hAnsi="仿宋" w:cs="仿宋" w:hint="eastAsia"/>
          <w:color w:val="auto"/>
          <w:highlight w:val="none"/>
          <w:lang w:val="en-US" w:eastAsia="zh-CN"/>
        </w:rPr>
        <w:t xml:space="preserve">桥南路灯电费3</w:t>
      </w:r>
      <w:r>
        <w:rPr>
          <w:rFonts w:ascii="仿宋" w:eastAsia="仿宋" w:hAnsi="仿宋" w:cs="仿宋" w:hint="eastAsia"/>
          <w:color w:val="auto"/>
          <w:highlight w:val="none"/>
        </w:rPr>
        <w:t xml:space="preserve">万元</w:t>
      </w:r>
      <w:r>
        <w:rPr>
          <w:rFonts w:ascii="仿宋" w:eastAsia="仿宋" w:hAnsi="仿宋" w:cs="仿宋" w:hint="eastAsia"/>
          <w:color w:val="auto"/>
          <w:highlight w:val="none"/>
          <w:lang w:eastAsia="zh-CN"/>
        </w:rPr>
        <w:t xml:space="preserve">。</w:t>
      </w:r>
    </w:p>
    <w:p>
      <w:pPr>
        <w:bidi w:val="0"/>
        <w:rPr>
          <w:rFonts w:ascii="仿宋" w:eastAsia="仿宋" w:hAnsi="仿宋" w:cs="仿宋" w:hint="eastAsia"/>
          <w:color w:val="auto"/>
          <w:highlight w:val="none"/>
          <w:lang w:eastAsia="zh-CN"/>
        </w:rPr>
      </w:pPr>
      <w:r>
        <w:rPr>
          <w:rFonts w:ascii="仿宋" w:eastAsia="仿宋" w:hAnsi="仿宋" w:cs="仿宋" w:hint="eastAsia"/>
          <w:color w:val="auto"/>
          <w:highlight w:val="none"/>
        </w:rPr>
        <w:t xml:space="preserve">202</w:t>
      </w:r>
      <w:r>
        <w:rPr>
          <w:rFonts w:ascii="仿宋" w:eastAsia="仿宋" w:hAnsi="仿宋" w:cs="仿宋" w:hint="eastAsia"/>
          <w:color w:val="auto"/>
          <w:highlight w:val="none"/>
          <w:lang w:val="en-US" w:eastAsia="zh-CN"/>
        </w:rPr>
        <w:t xml:space="preserve">4</w:t>
      </w:r>
      <w:r>
        <w:rPr>
          <w:rFonts w:ascii="仿宋" w:eastAsia="仿宋" w:hAnsi="仿宋" w:cs="仿宋" w:hint="eastAsia"/>
          <w:color w:val="auto"/>
          <w:highlight w:val="none"/>
        </w:rPr>
        <w:t xml:space="preserve">年</w:t>
      </w:r>
      <w:r>
        <w:rPr>
          <w:rFonts w:ascii="仿宋" w:eastAsia="仿宋" w:hAnsi="仿宋" w:cs="仿宋" w:hint="eastAsia"/>
          <w:color w:val="auto"/>
          <w:highlight w:val="none"/>
          <w:lang w:val="en-US" w:eastAsia="zh-CN"/>
        </w:rPr>
        <w:t xml:space="preserve">11</w:t>
      </w:r>
      <w:r>
        <w:rPr>
          <w:rFonts w:ascii="仿宋" w:eastAsia="仿宋" w:hAnsi="仿宋" w:cs="仿宋" w:hint="eastAsia"/>
          <w:color w:val="auto"/>
          <w:highlight w:val="none"/>
        </w:rPr>
        <w:t xml:space="preserve">月</w:t>
      </w:r>
      <w:r>
        <w:rPr>
          <w:rFonts w:ascii="仿宋" w:eastAsia="仿宋" w:hAnsi="仿宋" w:cs="仿宋" w:hint="eastAsia"/>
          <w:color w:val="auto"/>
          <w:highlight w:val="none"/>
          <w:lang w:val="en-US" w:eastAsia="zh-CN"/>
        </w:rPr>
        <w:t xml:space="preserve">15</w:t>
      </w:r>
      <w:r>
        <w:rPr>
          <w:rFonts w:ascii="仿宋" w:eastAsia="仿宋" w:hAnsi="仿宋" w:cs="仿宋" w:hint="eastAsia"/>
          <w:color w:val="auto"/>
          <w:highlight w:val="none"/>
        </w:rPr>
        <w:t xml:space="preserve">日，支付</w:t>
      </w:r>
      <w:r>
        <w:rPr>
          <w:rFonts w:ascii="仿宋" w:eastAsia="仿宋" w:hAnsi="仿宋" w:cs="仿宋" w:hint="eastAsia"/>
          <w:color w:val="auto"/>
          <w:highlight w:val="none"/>
          <w:lang w:val="en-US" w:eastAsia="zh-CN"/>
        </w:rPr>
        <w:t xml:space="preserve">五一路路灯电费3</w:t>
      </w:r>
      <w:r>
        <w:rPr>
          <w:rFonts w:ascii="仿宋" w:eastAsia="仿宋" w:hAnsi="仿宋" w:cs="仿宋" w:hint="eastAsia"/>
          <w:color w:val="auto"/>
          <w:highlight w:val="none"/>
        </w:rPr>
        <w:t xml:space="preserve">万元</w:t>
      </w:r>
      <w:r>
        <w:rPr>
          <w:rFonts w:ascii="仿宋" w:eastAsia="仿宋" w:hAnsi="仿宋" w:cs="仿宋" w:hint="eastAsia"/>
          <w:color w:val="auto"/>
          <w:highlight w:val="none"/>
          <w:lang w:eastAsia="zh-CN"/>
        </w:rPr>
        <w:t xml:space="preserve">。</w:t>
      </w:r>
    </w:p>
    <w:p>
      <w:pPr>
        <w:pStyle w:val="Heading3"/>
        <w:bidi w:val="0"/>
        <w:ind w:left="0" w:firstLine="320" w:leftChars="0" w:firstLineChars="100"/>
        <w:jc w:val="both"/>
        <w:outlineLvl w:val="1"/>
        <w:rPr>
          <w:rFonts w:ascii="仿宋" w:eastAsia="仿宋" w:hAnsi="仿宋" w:cs="仿宋" w:hint="eastAsia"/>
          <w:color w:val="auto"/>
          <w:highlight w:val="none"/>
        </w:rPr>
      </w:pPr>
      <w:bookmarkStart w:id="28" w:name="_Toc26568"/>
      <w:bookmarkStart w:id="29" w:name="_Toc11967"/>
      <w:bookmarkStart w:id="30" w:name="_Toc14296"/>
      <w:bookmarkStart w:id="31" w:name="_Toc9567"/>
      <w:bookmarkStart w:id="32" w:name="_Toc31302"/>
      <w:bookmarkStart w:id="33" w:name="_Toc26395"/>
      <w:r>
        <w:rPr>
          <w:rFonts w:ascii="仿宋" w:eastAsia="仿宋" w:hAnsi="仿宋" w:cs="仿宋" w:hint="eastAsia"/>
          <w:color w:val="auto"/>
          <w:highlight w:val="none"/>
        </w:rPr>
        <w:t xml:space="preserve">（二）项目绩效目标</w:t>
      </w:r>
      <w:bookmarkEnd w:id="28"/>
      <w:bookmarkEnd w:id="29"/>
      <w:bookmarkEnd w:id="30"/>
      <w:bookmarkEnd w:id="31"/>
      <w:bookmarkEnd w:id="32"/>
      <w:bookmarkEnd w:id="33"/>
    </w:p>
    <w:p>
      <w:pPr>
        <w:bidi w:val="0"/>
        <w:jc w:val="both"/>
        <w:rPr>
          <w:rFonts w:ascii="仿宋" w:eastAsia="仿宋" w:hAnsi="仿宋" w:cs="仿宋" w:hint="eastAsia"/>
          <w:b/>
          <w:bCs/>
          <w:color w:val="auto"/>
          <w:highlight w:val="none"/>
        </w:rPr>
      </w:pPr>
      <w:bookmarkStart w:id="34" w:name="_Toc905"/>
      <w:bookmarkStart w:id="35" w:name="_Toc18809"/>
      <w:r>
        <w:rPr>
          <w:rFonts w:ascii="仿宋" w:eastAsia="仿宋" w:hAnsi="仿宋" w:cs="仿宋" w:hint="eastAsia"/>
          <w:b/>
          <w:bCs/>
          <w:color w:val="auto"/>
          <w:highlight w:val="none"/>
        </w:rPr>
        <w:t xml:space="preserve">1.总体目标</w:t>
      </w:r>
      <w:bookmarkEnd w:id="34"/>
      <w:bookmarkEnd w:id="35"/>
    </w:p>
    <w:p>
      <w:pPr>
        <w:spacing w:line="540" w:lineRule="exact"/>
        <w:ind w:firstLine="579" w:firstLineChars="181"/>
        <w:rPr>
          <w:rFonts w:ascii="仿宋" w:eastAsia="仿宋" w:hAnsi="仿宋" w:cs="仿宋" w:hint="eastAsia"/>
          <w:color w:val="auto"/>
          <w:highlight w:val="none"/>
          <w:lang w:eastAsia="zh-CN"/>
        </w:rPr>
      </w:pPr>
      <w:bookmarkStart w:id="36" w:name="_Toc10045"/>
      <w:r>
        <w:rPr>
          <w:rFonts w:ascii="仿宋" w:eastAsia="仿宋" w:hAnsi="仿宋" w:cs="仿宋" w:hint="eastAsia"/>
          <w:color w:val="auto"/>
          <w:highlight w:val="none"/>
          <w:lang w:eastAsia="zh-CN"/>
        </w:rPr>
        <w:t xml:space="preserve">按照县委、县人民政府安排部署，负责县城市政设施运营维护管理，包括绿化供水和路灯用电保障。保障县城46处供电红绿灯站点，43条供电亮化路的正常照明。</w:t>
      </w:r>
    </w:p>
    <w:p>
      <w:pPr>
        <w:numPr>
          <w:ilvl w:val="0"/>
          <w:numId w:val="0"/>
        </w:numPr>
        <w:bidi w:val="0"/>
        <w:ind w:firstLine="640" w:firstLineChars="200"/>
        <w:jc w:val="both"/>
        <w:rPr>
          <w:rFonts w:ascii="仿宋" w:eastAsia="仿宋" w:hAnsi="仿宋" w:cs="仿宋" w:hint="eastAsia"/>
          <w:b/>
          <w:bCs/>
          <w:color w:val="auto"/>
          <w:highlight w:val="none"/>
        </w:rPr>
      </w:pPr>
      <w:bookmarkStart w:id="37" w:name="_Toc11195"/>
      <w:r>
        <w:rPr>
          <w:rFonts w:ascii="仿宋" w:eastAsia="仿宋" w:hAnsi="仿宋" w:cs="仿宋" w:hint="eastAsia"/>
          <w:b/>
          <w:bCs/>
          <w:color w:val="auto"/>
          <w:highlight w:val="none"/>
          <w:lang w:val="en-US" w:eastAsia="zh-CN"/>
        </w:rPr>
        <w:t xml:space="preserve">2.</w:t>
      </w:r>
      <w:r>
        <w:rPr>
          <w:rFonts w:ascii="仿宋" w:eastAsia="仿宋" w:hAnsi="仿宋" w:cs="仿宋" w:hint="eastAsia"/>
          <w:b/>
          <w:bCs/>
          <w:color w:val="auto"/>
          <w:highlight w:val="none"/>
        </w:rPr>
        <w:t xml:space="preserve">阶段性目标</w:t>
      </w:r>
      <w:bookmarkEnd w:id="36"/>
      <w:bookmarkEnd w:id="37"/>
      <w:bookmarkStart w:id="38" w:name="_Toc6534"/>
      <w:bookmarkStart w:id="39" w:name="_Toc857"/>
      <w:bookmarkStart w:id="40" w:name="_Toc6156"/>
      <w:bookmarkStart w:id="41" w:name="_Toc31122"/>
      <w:bookmarkStart w:id="42" w:name="_Toc25321"/>
    </w:p>
    <w:p>
      <w:pPr>
        <w:numPr>
          <w:ilvl w:val="0"/>
          <w:numId w:val="0"/>
        </w:numPr>
        <w:bidi w:val="0"/>
        <w:ind w:firstLine="640" w:firstLineChars="200"/>
        <w:jc w:val="both"/>
        <w:rPr>
          <w:rFonts w:ascii="仿宋" w:eastAsia="仿宋" w:hAnsi="仿宋" w:cs="仿宋" w:hint="eastAsia"/>
          <w:color w:val="auto"/>
          <w:highlight w:val="none"/>
          <w:lang w:eastAsia="zh-CN"/>
        </w:rPr>
      </w:pPr>
      <w:r>
        <w:rPr>
          <w:rFonts w:ascii="仿宋" w:eastAsia="仿宋" w:hAnsi="仿宋" w:cs="仿宋" w:hint="eastAsia"/>
          <w:color w:val="auto"/>
          <w:highlight w:val="none"/>
          <w:lang w:eastAsia="zh-CN"/>
        </w:rPr>
        <w:t xml:space="preserve">本项目县城区路灯电费</w:t>
      </w:r>
      <w:r>
        <w:rPr>
          <w:rFonts w:ascii="仿宋" w:eastAsia="仿宋" w:hAnsi="仿宋" w:cs="仿宋" w:hint="eastAsia"/>
          <w:color w:val="auto"/>
          <w:highlight w:val="none"/>
          <w:lang w:val="en-US" w:eastAsia="zh-CN"/>
        </w:rPr>
        <w:t xml:space="preserve">190</w:t>
      </w:r>
      <w:r>
        <w:rPr>
          <w:rFonts w:ascii="仿宋" w:eastAsia="仿宋" w:hAnsi="仿宋" w:cs="仿宋" w:hint="eastAsia"/>
          <w:color w:val="auto"/>
          <w:highlight w:val="none"/>
          <w:lang w:eastAsia="zh-CN"/>
        </w:rPr>
        <w:t xml:space="preserve">万元，保障市政设施正常运营维护管理用电，确保城区路灯、亮化设施路灯、亮化设施安全合理用电，电费按月正常拨付，以保证红绿灯、路灯及亮化设施供电正常。</w:t>
      </w:r>
    </w:p>
    <w:p>
      <w:pPr>
        <w:bidi w:val="0"/>
        <w:jc w:val="both"/>
        <w:outlineLvl w:val="0"/>
        <w:rPr>
          <w:rFonts w:ascii="仿宋" w:eastAsia="仿宋" w:hAnsi="仿宋" w:cs="仿宋" w:hint="eastAsia"/>
          <w:color w:val="auto"/>
          <w:highlight w:val="none"/>
        </w:rPr>
      </w:pPr>
      <w:bookmarkStart w:id="43" w:name="_Toc11320"/>
      <w:r>
        <w:rPr>
          <w:rFonts w:ascii="仿宋" w:eastAsia="仿宋" w:hAnsi="仿宋" w:cs="仿宋" w:hint="eastAsia"/>
          <w:color w:val="auto"/>
          <w:highlight w:val="none"/>
        </w:rPr>
        <w:t xml:space="preserve">二、绩效评价工作开展情况</w:t>
      </w:r>
      <w:bookmarkEnd w:id="38"/>
      <w:bookmarkEnd w:id="39"/>
      <w:bookmarkEnd w:id="40"/>
      <w:bookmarkEnd w:id="41"/>
      <w:bookmarkEnd w:id="42"/>
      <w:bookmarkEnd w:id="43"/>
    </w:p>
    <w:p>
      <w:pPr>
        <w:pStyle w:val="Heading3"/>
        <w:bidi w:val="0"/>
        <w:jc w:val="both"/>
        <w:outlineLvl w:val="1"/>
        <w:rPr>
          <w:rFonts w:ascii="仿宋" w:eastAsia="仿宋" w:hAnsi="仿宋" w:cs="仿宋" w:hint="eastAsia"/>
          <w:color w:val="auto"/>
          <w:highlight w:val="none"/>
        </w:rPr>
      </w:pPr>
      <w:bookmarkStart w:id="44" w:name="_Toc32557"/>
      <w:bookmarkStart w:id="45" w:name="_Toc30569"/>
      <w:bookmarkStart w:id="46" w:name="_Toc29477"/>
      <w:bookmarkStart w:id="47" w:name="_Toc10300"/>
      <w:bookmarkStart w:id="48" w:name="_Toc17516"/>
      <w:r>
        <w:rPr>
          <w:rFonts w:ascii="仿宋" w:eastAsia="仿宋" w:hAnsi="仿宋" w:cs="仿宋" w:hint="eastAsia"/>
          <w:color w:val="auto"/>
          <w:highlight w:val="none"/>
        </w:rPr>
        <w:t xml:space="preserve">（一）绩效评价目的、对象和范围</w:t>
      </w:r>
      <w:bookmarkEnd w:id="44"/>
      <w:bookmarkEnd w:id="45"/>
      <w:bookmarkEnd w:id="46"/>
      <w:bookmarkEnd w:id="47"/>
      <w:bookmarkEnd w:id="48"/>
    </w:p>
    <w:p>
      <w:pPr>
        <w:bidi w:val="0"/>
        <w:jc w:val="both"/>
        <w:rPr>
          <w:rFonts w:ascii="仿宋" w:eastAsia="仿宋" w:hAnsi="仿宋" w:cs="仿宋" w:hint="eastAsia"/>
          <w:b/>
          <w:bCs/>
          <w:color w:val="auto"/>
          <w:highlight w:val="none"/>
        </w:rPr>
      </w:pPr>
      <w:bookmarkStart w:id="49" w:name="_Toc11562"/>
      <w:bookmarkStart w:id="50" w:name="_Toc12440"/>
      <w:r>
        <w:rPr>
          <w:rFonts w:ascii="仿宋" w:eastAsia="仿宋" w:hAnsi="仿宋" w:cs="仿宋" w:hint="eastAsia"/>
          <w:b/>
          <w:bCs/>
          <w:color w:val="auto"/>
          <w:highlight w:val="none"/>
        </w:rPr>
        <w:t xml:space="preserve">1.绩效评价目的</w:t>
      </w:r>
      <w:bookmarkEnd w:id="49"/>
      <w:bookmarkEnd w:id="50"/>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本次绩效评价遵循财政部《关于印发</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项目支出绩效评价管理办法</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的通知》（财预〔2020〕10号）文件精神，对</w:t>
      </w:r>
      <w:r>
        <w:rPr>
          <w:rFonts w:ascii="仿宋" w:eastAsia="仿宋" w:hAnsi="仿宋" w:cs="仿宋" w:hint="eastAsia"/>
          <w:color w:val="auto"/>
          <w:highlight w:val="none"/>
          <w:lang w:val="en-US" w:eastAsia="zh-CN"/>
        </w:rPr>
        <w:t xml:space="preserve">1-12月路灯电费</w:t>
      </w:r>
      <w:r>
        <w:rPr>
          <w:rFonts w:ascii="仿宋" w:eastAsia="仿宋" w:hAnsi="仿宋" w:cs="仿宋" w:hint="eastAsia"/>
          <w:color w:val="auto"/>
          <w:highlight w:val="none"/>
        </w:rPr>
        <w:t xml:space="preserve">预算编制合理性、资金使用合规性、项目管理的规范性、项目目标的实现情况、服务对象的满意度等，通过部门自评来总结经验，促进项目成果转化和应用，查找其存在的不足，为今后类似项目的长效管理，资金使用规范性以及加强制定相关制度、采取措施等方面提供参考，不断提高财政资金使用效益和项目管理水平。</w:t>
      </w:r>
      <w:bookmarkStart w:id="51" w:name="OLE_LINK1"/>
      <w:bookmarkStart w:id="52" w:name="OLE_LINK7"/>
      <w:r>
        <w:rPr>
          <w:rFonts w:ascii="仿宋" w:eastAsia="仿宋" w:hAnsi="仿宋" w:cs="仿宋" w:hint="eastAsia"/>
          <w:color w:val="auto"/>
          <w:highlight w:val="none"/>
        </w:rPr>
        <w:t xml:space="preserve">具体绩效评价的目的细分如下：</w:t>
      </w:r>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一是：通过部门项目支出绩效评价，进一步严格落实《中华人民共和国预算法》以及党中央、国务院关于加强预算绩效管理的指示精神，建立健全“花钱必问效、无效必问责”的绩效预算管理机制</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提升财政资金的使用效能。</w:t>
      </w:r>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二是：通过部门项目支出绩效评价，进一步做实绩效目标，根据项目绩效目标设立情况，细化形成多维度绩效指标，将绩效指标细化为数量指标、质量指标、时效指标、成本指标、经济效益指标、社会效益指标、服务对象满意度指标等内容，保证项目绩效指标设置科学、规范、合理、可衡量。</w:t>
      </w:r>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bookmarkEnd w:id="51"/>
      <w:bookmarkEnd w:id="52"/>
    </w:p>
    <w:p>
      <w:pPr>
        <w:bidi w:val="0"/>
        <w:jc w:val="both"/>
        <w:rPr>
          <w:rFonts w:ascii="仿宋" w:eastAsia="仿宋" w:hAnsi="仿宋" w:cs="仿宋" w:hint="eastAsia"/>
          <w:b/>
          <w:bCs/>
          <w:color w:val="auto"/>
          <w:highlight w:val="none"/>
        </w:rPr>
      </w:pPr>
      <w:bookmarkStart w:id="53" w:name="_Toc8924"/>
      <w:bookmarkStart w:id="54" w:name="_Toc2159"/>
      <w:r>
        <w:rPr>
          <w:rFonts w:ascii="仿宋" w:eastAsia="仿宋" w:hAnsi="仿宋" w:cs="仿宋" w:hint="eastAsia"/>
          <w:b/>
          <w:bCs/>
          <w:color w:val="auto"/>
          <w:highlight w:val="none"/>
        </w:rPr>
        <w:t xml:space="preserve">2.绩效评价对象</w:t>
      </w:r>
      <w:bookmarkEnd w:id="53"/>
      <w:r>
        <w:rPr>
          <w:rFonts w:ascii="仿宋" w:eastAsia="仿宋" w:hAnsi="仿宋" w:cs="仿宋" w:hint="eastAsia"/>
          <w:b/>
          <w:bCs/>
          <w:color w:val="auto"/>
          <w:highlight w:val="none"/>
        </w:rPr>
        <w:t xml:space="preserve">和范围</w:t>
      </w:r>
      <w:bookmarkEnd w:id="54"/>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根据《财政支出绩效评价管理办法》（财预〔2020〕10号）文件要求，对</w:t>
      </w:r>
      <w:r>
        <w:rPr>
          <w:rFonts w:ascii="仿宋" w:eastAsia="仿宋" w:hAnsi="仿宋" w:cs="仿宋" w:hint="eastAsia"/>
          <w:color w:val="auto"/>
          <w:highlight w:val="none"/>
          <w:lang w:val="en-US" w:eastAsia="zh-CN"/>
        </w:rPr>
        <w:t xml:space="preserve">1-12月路灯电费</w:t>
      </w:r>
      <w:r>
        <w:rPr>
          <w:rFonts w:ascii="仿宋" w:eastAsia="仿宋" w:hAnsi="仿宋" w:cs="仿宋" w:hint="eastAsia"/>
          <w:color w:val="auto"/>
          <w:highlight w:val="none"/>
        </w:rPr>
        <w:t xml:space="preserve">开展绩效评价，本次绩效评价范围主要围绕项目决策（包括项目</w:t>
      </w:r>
      <w:r>
        <w:rPr>
          <w:rFonts w:ascii="仿宋" w:eastAsia="仿宋" w:hAnsi="仿宋" w:cs="仿宋" w:hint="eastAsia"/>
          <w:color w:val="auto"/>
          <w:highlight w:val="none"/>
          <w:lang w:val="en-US" w:eastAsia="zh-CN"/>
        </w:rPr>
        <w:t xml:space="preserve">实施</w:t>
      </w:r>
      <w:r>
        <w:rPr>
          <w:rFonts w:ascii="仿宋" w:eastAsia="仿宋" w:hAnsi="仿宋" w:cs="仿宋" w:hint="eastAsia"/>
          <w:color w:val="auto"/>
          <w:highlight w:val="none"/>
        </w:rPr>
        <w:t xml:space="preserve">、绩效目标、资金投入）、项目过程（包括资金管理、组织实施）、项目产出（包括产出数量、质量、时效、成本）和项目效益等进行评价。</w:t>
      </w:r>
    </w:p>
    <w:p>
      <w:pPr>
        <w:pStyle w:val="Heading3"/>
        <w:bidi w:val="0"/>
        <w:jc w:val="both"/>
        <w:outlineLvl w:val="1"/>
        <w:rPr>
          <w:rFonts w:ascii="仿宋" w:eastAsia="仿宋" w:hAnsi="仿宋" w:cs="仿宋" w:hint="eastAsia"/>
          <w:color w:val="auto"/>
          <w:highlight w:val="none"/>
        </w:rPr>
      </w:pPr>
      <w:bookmarkStart w:id="55" w:name="_Toc32280"/>
      <w:bookmarkStart w:id="56" w:name="_Toc13496"/>
      <w:bookmarkStart w:id="57" w:name="_Toc17158"/>
      <w:bookmarkStart w:id="58" w:name="_Toc15409"/>
      <w:bookmarkStart w:id="59" w:name="_Toc19566"/>
      <w:r>
        <w:rPr>
          <w:rFonts w:ascii="仿宋" w:eastAsia="仿宋" w:hAnsi="仿宋" w:cs="仿宋" w:hint="eastAsia"/>
          <w:color w:val="auto"/>
          <w:highlight w:val="none"/>
        </w:rPr>
        <w:t xml:space="preserve">（二）绩效评价原则、评价指标体系、评价方法、评价标准</w:t>
      </w:r>
      <w:bookmarkEnd w:id="55"/>
      <w:bookmarkEnd w:id="56"/>
      <w:bookmarkEnd w:id="57"/>
      <w:bookmarkEnd w:id="58"/>
      <w:bookmarkEnd w:id="59"/>
    </w:p>
    <w:p>
      <w:pPr>
        <w:bidi w:val="0"/>
        <w:jc w:val="both"/>
        <w:rPr>
          <w:rFonts w:ascii="仿宋" w:eastAsia="仿宋" w:hAnsi="仿宋" w:cs="仿宋" w:hint="eastAsia"/>
          <w:b/>
          <w:bCs/>
          <w:color w:val="auto"/>
          <w:highlight w:val="none"/>
        </w:rPr>
      </w:pPr>
      <w:bookmarkStart w:id="60" w:name="_Toc18268"/>
      <w:bookmarkStart w:id="61" w:name="_Toc23487"/>
      <w:r>
        <w:rPr>
          <w:rFonts w:ascii="仿宋" w:eastAsia="仿宋" w:hAnsi="仿宋" w:cs="仿宋" w:hint="eastAsia"/>
          <w:b/>
          <w:bCs/>
          <w:color w:val="auto"/>
          <w:highlight w:val="none"/>
        </w:rPr>
        <w:t xml:space="preserve">1.绩效评价原则</w:t>
      </w:r>
      <w:bookmarkEnd w:id="60"/>
      <w:bookmarkEnd w:id="61"/>
    </w:p>
    <w:p>
      <w:pPr>
        <w:bidi w:val="0"/>
        <w:jc w:val="both"/>
        <w:rPr>
          <w:rFonts w:ascii="仿宋" w:eastAsia="仿宋" w:hAnsi="仿宋" w:cs="仿宋" w:hint="eastAsia"/>
          <w:color w:val="auto"/>
          <w:highlight w:val="none"/>
        </w:rPr>
      </w:pPr>
      <w:bookmarkStart w:id="62" w:name="OLE_LINK8"/>
      <w:bookmarkStart w:id="63" w:name="OLE_LINK2"/>
      <w:r>
        <w:rPr>
          <w:rFonts w:ascii="仿宋" w:eastAsia="仿宋" w:hAnsi="仿宋" w:cs="仿宋" w:hint="eastAsia"/>
          <w:color w:val="auto"/>
          <w:highlight w:val="none"/>
        </w:rPr>
        <w:t xml:space="preserve">依据《中华人民共和国预算法》《中共中央国务院关于全面实施预算绩效管理的意见》（中发〔2018〕34号）《项目支出绩效评价管理办法》（财预〔2020〕10号</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《自治区党委自治区人民政府关于全面实施预算绩效管理的实施意见》（新党发〔2018〕30号）《自治区财政支出绩效评价管理暂行办法》（新财预〔2018〕189号）等要求，绩效评价应遵循如下原则：</w:t>
      </w:r>
      <w:bookmarkEnd w:id="62"/>
      <w:bookmarkEnd w:id="63"/>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（1）科学公正。绩效评价应当运用科学合理的方法，按照规范的程序，对项目绩效进行客观、</w:t>
      </w:r>
      <w:r>
        <w:rPr>
          <w:rFonts w:ascii="仿宋" w:eastAsia="仿宋" w:hAnsi="仿宋" w:cs="仿宋" w:hint="eastAsia"/>
          <w:color w:val="auto"/>
          <w:highlight w:val="none"/>
          <w:lang w:eastAsia="zh-CN"/>
        </w:rPr>
        <w:t xml:space="preserve">公正地反映</w:t>
      </w:r>
      <w:r>
        <w:rPr>
          <w:rFonts w:ascii="仿宋" w:eastAsia="仿宋" w:hAnsi="仿宋" w:cs="仿宋" w:hint="eastAsia"/>
          <w:color w:val="auto"/>
          <w:highlight w:val="none"/>
        </w:rPr>
        <w:t xml:space="preserve">。</w:t>
      </w:r>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（2）统筹兼顾。单位自评应由项目单位自主实施，即“谁支出、谁自评”。</w:t>
      </w:r>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（3）激励约束。绩效评价结果应与预算安排、政策调整、改进管理实质性挂钩，体现奖优罚劣和激励相容导向，有效要安排、低效要压减、无效要问责。</w:t>
      </w:r>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（4）公开透明。</w:t>
      </w:r>
      <w:r>
        <w:rPr>
          <w:rFonts w:ascii="仿宋" w:eastAsia="仿宋" w:hAnsi="仿宋" w:cs="仿宋" w:hint="eastAsia"/>
          <w:color w:val="auto"/>
          <w:highlight w:val="none"/>
          <w:lang w:val="en-US" w:eastAsia="zh-CN"/>
        </w:rPr>
        <w:t xml:space="preserve">本次项目支出绩效评价结果已依法依规在尉犁县人民政府网站上公开，并自觉接受社会监督</w:t>
      </w:r>
      <w:r>
        <w:rPr>
          <w:rFonts w:ascii="仿宋" w:eastAsia="仿宋" w:hAnsi="仿宋" w:cs="仿宋" w:hint="eastAsia"/>
          <w:color w:val="auto"/>
          <w:highlight w:val="none"/>
        </w:rPr>
        <w:t xml:space="preserve">。</w:t>
      </w:r>
    </w:p>
    <w:p>
      <w:pPr>
        <w:bidi w:val="0"/>
        <w:jc w:val="both"/>
        <w:rPr>
          <w:rFonts w:ascii="仿宋" w:eastAsia="仿宋" w:hAnsi="仿宋" w:cs="仿宋" w:hint="eastAsia"/>
          <w:b w:val="0"/>
          <w:bCs w:val="0"/>
          <w:color w:val="auto"/>
          <w:highlight w:val="none"/>
        </w:rPr>
      </w:pPr>
      <w:bookmarkStart w:id="64" w:name="OLE_LINK9"/>
      <w:bookmarkStart w:id="65" w:name="OLE_LINK3"/>
      <w:bookmarkStart w:id="66" w:name="_Toc23112"/>
      <w:bookmarkStart w:id="67" w:name="_Toc28342"/>
      <w:r>
        <w:rPr>
          <w:rFonts w:ascii="仿宋" w:eastAsia="仿宋" w:hAnsi="仿宋" w:cs="仿宋" w:hint="eastAsia"/>
          <w:b w:val="0"/>
          <w:bCs w:val="0"/>
          <w:color w:val="auto"/>
          <w:highlight w:val="none"/>
        </w:rPr>
        <w:t xml:space="preserve">根据以上原则</w:t>
      </w:r>
      <w:r>
        <w:rPr>
          <w:rFonts w:ascii="仿宋" w:eastAsia="仿宋" w:hAnsi="仿宋" w:cs="仿宋" w:hint="eastAsia"/>
          <w:b w:val="0"/>
          <w:bCs w:val="0"/>
          <w:color w:val="auto"/>
          <w:highlight w:val="none"/>
          <w:lang w:eastAsia="zh-CN"/>
        </w:rPr>
        <w:t xml:space="preserve">，</w:t>
      </w:r>
      <w:r>
        <w:rPr>
          <w:rFonts w:ascii="仿宋" w:eastAsia="仿宋" w:hAnsi="仿宋" w:cs="仿宋" w:hint="eastAsia"/>
          <w:b w:val="0"/>
          <w:bCs w:val="0"/>
          <w:color w:val="auto"/>
          <w:highlight w:val="none"/>
        </w:rPr>
        <w:t xml:space="preserve">绩效评价应遵循如下要求:</w:t>
      </w:r>
    </w:p>
    <w:p>
      <w:pPr>
        <w:bidi w:val="0"/>
        <w:jc w:val="both"/>
        <w:rPr>
          <w:rFonts w:ascii="仿宋" w:eastAsia="仿宋" w:hAnsi="仿宋" w:cs="仿宋" w:hint="eastAsia"/>
          <w:b w:val="0"/>
          <w:bCs w:val="0"/>
          <w:color w:val="auto"/>
          <w:highlight w:val="none"/>
        </w:rPr>
      </w:pPr>
      <w:r>
        <w:rPr>
          <w:rFonts w:ascii="仿宋" w:eastAsia="仿宋" w:hAnsi="仿宋" w:cs="仿宋" w:hint="eastAsia"/>
          <w:b w:val="0"/>
          <w:bCs w:val="0"/>
          <w:color w:val="auto"/>
          <w:highlight w:val="none"/>
        </w:rPr>
        <w:t xml:space="preserve">（1）在数据采集时</w:t>
      </w:r>
      <w:r>
        <w:rPr>
          <w:rFonts w:ascii="仿宋" w:eastAsia="仿宋" w:hAnsi="仿宋" w:cs="仿宋" w:hint="eastAsia"/>
          <w:b w:val="0"/>
          <w:bCs w:val="0"/>
          <w:color w:val="auto"/>
          <w:highlight w:val="none"/>
          <w:lang w:eastAsia="zh-CN"/>
        </w:rPr>
        <w:t xml:space="preserve">，</w:t>
      </w:r>
      <w:r>
        <w:rPr>
          <w:rFonts w:ascii="仿宋" w:eastAsia="仿宋" w:hAnsi="仿宋" w:cs="仿宋" w:hint="eastAsia"/>
          <w:b w:val="0"/>
          <w:bCs w:val="0"/>
          <w:color w:val="auto"/>
          <w:highlight w:val="none"/>
        </w:rPr>
        <w:t xml:space="preserve">采取客观数据</w:t>
      </w:r>
      <w:r>
        <w:rPr>
          <w:rFonts w:ascii="仿宋" w:eastAsia="仿宋" w:hAnsi="仿宋" w:cs="仿宋" w:hint="eastAsia"/>
          <w:b w:val="0"/>
          <w:bCs w:val="0"/>
          <w:color w:val="auto"/>
          <w:highlight w:val="none"/>
          <w:lang w:eastAsia="zh-CN"/>
        </w:rPr>
        <w:t xml:space="preserve">，</w:t>
      </w:r>
      <w:r>
        <w:rPr>
          <w:rFonts w:ascii="仿宋" w:eastAsia="仿宋" w:hAnsi="仿宋" w:cs="仿宋" w:hint="eastAsia"/>
          <w:b w:val="0"/>
          <w:bCs w:val="0"/>
          <w:color w:val="auto"/>
          <w:highlight w:val="none"/>
        </w:rPr>
        <w:t xml:space="preserve">主管部门审查、社会中介组织复查</w:t>
      </w:r>
      <w:r>
        <w:rPr>
          <w:rFonts w:ascii="仿宋" w:eastAsia="仿宋" w:hAnsi="仿宋" w:cs="仿宋" w:hint="eastAsia"/>
          <w:b w:val="0"/>
          <w:bCs w:val="0"/>
          <w:color w:val="auto"/>
          <w:highlight w:val="none"/>
          <w:lang w:eastAsia="zh-CN"/>
        </w:rPr>
        <w:t xml:space="preserve">，</w:t>
      </w:r>
      <w:r>
        <w:rPr>
          <w:rFonts w:ascii="仿宋" w:eastAsia="仿宋" w:hAnsi="仿宋" w:cs="仿宋" w:hint="eastAsia"/>
          <w:b w:val="0"/>
          <w:bCs w:val="0"/>
          <w:color w:val="auto"/>
          <w:highlight w:val="none"/>
        </w:rPr>
        <w:t xml:space="preserve">与问卷调查相结合的形式</w:t>
      </w:r>
      <w:r>
        <w:rPr>
          <w:rFonts w:ascii="仿宋" w:eastAsia="仿宋" w:hAnsi="仿宋" w:cs="仿宋" w:hint="eastAsia"/>
          <w:b w:val="0"/>
          <w:bCs w:val="0"/>
          <w:color w:val="auto"/>
          <w:highlight w:val="none"/>
          <w:lang w:eastAsia="zh-CN"/>
        </w:rPr>
        <w:t xml:space="preserve">，</w:t>
      </w:r>
      <w:r>
        <w:rPr>
          <w:rFonts w:ascii="仿宋" w:eastAsia="仿宋" w:hAnsi="仿宋" w:cs="仿宋" w:hint="eastAsia"/>
          <w:b w:val="0"/>
          <w:bCs w:val="0"/>
          <w:color w:val="auto"/>
          <w:highlight w:val="none"/>
        </w:rPr>
        <w:t xml:space="preserve">以保证各项指标的真实性。</w:t>
      </w:r>
    </w:p>
    <w:p>
      <w:pPr>
        <w:bidi w:val="0"/>
        <w:jc w:val="both"/>
        <w:rPr>
          <w:rFonts w:ascii="仿宋" w:eastAsia="仿宋" w:hAnsi="仿宋" w:cs="仿宋" w:hint="eastAsia"/>
          <w:b w:val="0"/>
          <w:bCs w:val="0"/>
          <w:color w:val="auto"/>
          <w:highlight w:val="none"/>
        </w:rPr>
      </w:pPr>
      <w:r>
        <w:rPr>
          <w:rFonts w:ascii="仿宋" w:eastAsia="仿宋" w:hAnsi="仿宋" w:cs="仿宋" w:hint="eastAsia"/>
          <w:b w:val="0"/>
          <w:bCs w:val="0"/>
          <w:color w:val="auto"/>
          <w:highlight w:val="none"/>
        </w:rPr>
        <w:t xml:space="preserve">（2）保证评价结果的真实性、公正性</w:t>
      </w:r>
      <w:r>
        <w:rPr>
          <w:rFonts w:ascii="仿宋" w:eastAsia="仿宋" w:hAnsi="仿宋" w:cs="仿宋" w:hint="eastAsia"/>
          <w:b w:val="0"/>
          <w:bCs w:val="0"/>
          <w:color w:val="auto"/>
          <w:highlight w:val="none"/>
          <w:lang w:eastAsia="zh-CN"/>
        </w:rPr>
        <w:t xml:space="preserve">，</w:t>
      </w:r>
      <w:r>
        <w:rPr>
          <w:rFonts w:ascii="仿宋" w:eastAsia="仿宋" w:hAnsi="仿宋" w:cs="仿宋" w:hint="eastAsia"/>
          <w:b w:val="0"/>
          <w:bCs w:val="0"/>
          <w:color w:val="auto"/>
          <w:highlight w:val="none"/>
        </w:rPr>
        <w:t xml:space="preserve">提高评价报告的公信力。</w:t>
      </w:r>
    </w:p>
    <w:p>
      <w:pPr>
        <w:bidi w:val="0"/>
        <w:jc w:val="both"/>
        <w:rPr>
          <w:rFonts w:ascii="仿宋" w:eastAsia="仿宋" w:hAnsi="仿宋" w:cs="仿宋" w:hint="eastAsia"/>
          <w:b w:val="0"/>
          <w:bCs w:val="0"/>
          <w:color w:val="auto"/>
          <w:highlight w:val="none"/>
        </w:rPr>
      </w:pPr>
      <w:r>
        <w:rPr>
          <w:rFonts w:ascii="仿宋" w:eastAsia="仿宋" w:hAnsi="仿宋" w:cs="仿宋" w:hint="eastAsia"/>
          <w:b w:val="0"/>
          <w:bCs w:val="0"/>
          <w:color w:val="auto"/>
          <w:highlight w:val="none"/>
        </w:rPr>
        <w:t xml:space="preserve">（3）</w:t>
      </w:r>
      <w:r>
        <w:rPr>
          <w:rFonts w:ascii="仿宋" w:eastAsia="仿宋" w:hAnsi="仿宋" w:cs="仿宋" w:hint="eastAsia"/>
          <w:b w:val="0"/>
          <w:bCs w:val="0"/>
          <w:color w:val="auto"/>
          <w:highlight w:val="none"/>
          <w:lang w:val="en-US" w:eastAsia="zh-CN"/>
        </w:rPr>
        <w:t xml:space="preserve">绩效</w:t>
      </w:r>
      <w:r>
        <w:rPr>
          <w:rFonts w:ascii="仿宋" w:eastAsia="仿宋" w:hAnsi="仿宋" w:cs="仿宋" w:hint="eastAsia"/>
          <w:b w:val="0"/>
          <w:bCs w:val="0"/>
          <w:color w:val="auto"/>
          <w:highlight w:val="none"/>
        </w:rPr>
        <w:t xml:space="preserve">评价报告应当简明扼要</w:t>
      </w:r>
      <w:r>
        <w:rPr>
          <w:rFonts w:ascii="仿宋" w:eastAsia="仿宋" w:hAnsi="仿宋" w:cs="仿宋" w:hint="eastAsia"/>
          <w:b w:val="0"/>
          <w:bCs w:val="0"/>
          <w:color w:val="auto"/>
          <w:highlight w:val="none"/>
          <w:lang w:eastAsia="zh-CN"/>
        </w:rPr>
        <w:t xml:space="preserve">，</w:t>
      </w:r>
      <w:r>
        <w:rPr>
          <w:rFonts w:ascii="仿宋" w:eastAsia="仿宋" w:hAnsi="仿宋" w:cs="仿宋" w:hint="eastAsia"/>
          <w:b w:val="0"/>
          <w:bCs w:val="0"/>
          <w:color w:val="auto"/>
          <w:highlight w:val="none"/>
        </w:rPr>
        <w:t xml:space="preserve">除了对绩效评价的过程、结果描述外</w:t>
      </w:r>
      <w:r>
        <w:rPr>
          <w:rFonts w:ascii="仿宋" w:eastAsia="仿宋" w:hAnsi="仿宋" w:cs="仿宋" w:hint="eastAsia"/>
          <w:b w:val="0"/>
          <w:bCs w:val="0"/>
          <w:color w:val="auto"/>
          <w:highlight w:val="none"/>
          <w:lang w:eastAsia="zh-CN"/>
        </w:rPr>
        <w:t xml:space="preserve">，</w:t>
      </w:r>
      <w:r>
        <w:rPr>
          <w:rFonts w:ascii="仿宋" w:eastAsia="仿宋" w:hAnsi="仿宋" w:cs="仿宋" w:hint="eastAsia"/>
          <w:b w:val="0"/>
          <w:bCs w:val="0"/>
          <w:color w:val="auto"/>
          <w:highlight w:val="none"/>
        </w:rPr>
        <w:t xml:space="preserve">还应总结经验</w:t>
      </w:r>
      <w:r>
        <w:rPr>
          <w:rFonts w:ascii="仿宋" w:eastAsia="仿宋" w:hAnsi="仿宋" w:cs="仿宋" w:hint="eastAsia"/>
          <w:b w:val="0"/>
          <w:bCs w:val="0"/>
          <w:color w:val="auto"/>
          <w:highlight w:val="none"/>
          <w:lang w:eastAsia="zh-CN"/>
        </w:rPr>
        <w:t xml:space="preserve">，</w:t>
      </w:r>
      <w:r>
        <w:rPr>
          <w:rFonts w:ascii="仿宋" w:eastAsia="仿宋" w:hAnsi="仿宋" w:cs="仿宋" w:hint="eastAsia"/>
          <w:b w:val="0"/>
          <w:bCs w:val="0"/>
          <w:color w:val="auto"/>
          <w:highlight w:val="none"/>
        </w:rPr>
        <w:t xml:space="preserve">指出问题</w:t>
      </w:r>
      <w:r>
        <w:rPr>
          <w:rFonts w:ascii="仿宋" w:eastAsia="仿宋" w:hAnsi="仿宋" w:cs="仿宋" w:hint="eastAsia"/>
          <w:b w:val="0"/>
          <w:bCs w:val="0"/>
          <w:color w:val="auto"/>
          <w:highlight w:val="none"/>
          <w:lang w:eastAsia="zh-CN"/>
        </w:rPr>
        <w:t xml:space="preserve">，</w:t>
      </w:r>
      <w:r>
        <w:rPr>
          <w:rFonts w:ascii="仿宋" w:eastAsia="仿宋" w:hAnsi="仿宋" w:cs="仿宋" w:hint="eastAsia"/>
          <w:b w:val="0"/>
          <w:bCs w:val="0"/>
          <w:color w:val="auto"/>
          <w:highlight w:val="none"/>
        </w:rPr>
        <w:t xml:space="preserve">并就共性问题提出可操作性改进建议。评价工作组本着科学规范、公平公正、绩效相关的原则，采用全面、重点、现场和非现场相结合的方式进行评价。</w:t>
      </w:r>
      <w:bookmarkEnd w:id="64"/>
      <w:bookmarkEnd w:id="65"/>
    </w:p>
    <w:p>
      <w:pPr>
        <w:bidi w:val="0"/>
        <w:jc w:val="both"/>
        <w:rPr>
          <w:rFonts w:ascii="仿宋" w:eastAsia="仿宋" w:hAnsi="仿宋" w:cs="仿宋" w:hint="eastAsia"/>
          <w:b/>
          <w:bCs/>
          <w:color w:val="auto"/>
          <w:highlight w:val="none"/>
        </w:rPr>
      </w:pPr>
      <w:r>
        <w:rPr>
          <w:rFonts w:ascii="仿宋" w:eastAsia="仿宋" w:hAnsi="仿宋" w:cs="仿宋" w:hint="eastAsia"/>
          <w:b/>
          <w:bCs/>
          <w:color w:val="auto"/>
          <w:highlight w:val="none"/>
        </w:rPr>
        <w:t xml:space="preserve">2.评价指标体系</w:t>
      </w:r>
      <w:bookmarkEnd w:id="66"/>
      <w:bookmarkEnd w:id="67"/>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1-12月路灯电费</w:t>
      </w:r>
      <w:r>
        <w:rPr>
          <w:rFonts w:ascii="仿宋" w:eastAsia="仿宋" w:hAnsi="仿宋" w:cs="仿宋" w:hint="eastAsia"/>
          <w:color w:val="auto"/>
          <w:highlight w:val="none"/>
        </w:rPr>
        <w:t xml:space="preserve">绩效评价（部门自评）指标体系的设计，是在充分掌握项目状况的基础上，形成了</w:t>
      </w:r>
      <w:r>
        <w:rPr>
          <w:rFonts w:ascii="仿宋" w:eastAsia="仿宋" w:hAnsi="仿宋" w:cs="仿宋" w:hint="eastAsia"/>
          <w:color w:val="auto"/>
          <w:highlight w:val="none"/>
          <w:lang w:val="en-US" w:eastAsia="zh-CN"/>
        </w:rPr>
        <w:t xml:space="preserve">1-12月路灯电费</w:t>
      </w:r>
      <w:r>
        <w:rPr>
          <w:rFonts w:ascii="仿宋" w:eastAsia="仿宋" w:hAnsi="仿宋" w:cs="仿宋" w:hint="eastAsia"/>
          <w:color w:val="auto"/>
          <w:highlight w:val="none"/>
        </w:rPr>
        <w:t xml:space="preserve">的项目支出绩效评价指标体系（部门自评）。本项目设计绩效评价指标体系满分100分。四个级别分别是：优、良、中、差，90（含）-100分为优、80（含）-90分为良、60（含）-80分为中、60分以下为差。</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按照财预〔2020〕10号文件关于“原则上产出、效益指标权重不低于60%”的要求，本项目产出、效益指标权重60%（即60分）。</w:t>
      </w:r>
      <w:bookmarkStart w:id="68" w:name="_Toc15680"/>
      <w:bookmarkStart w:id="69" w:name="_Toc10631"/>
      <w:r>
        <w:rPr>
          <w:rFonts w:ascii="仿宋" w:eastAsia="仿宋" w:hAnsi="仿宋" w:cs="仿宋" w:hint="eastAsia"/>
          <w:bCs w:val="0"/>
          <w:iCs w:val="0"/>
          <w:color w:val="auto"/>
          <w:kern w:val="2"/>
          <w:sz w:val="32"/>
          <w:szCs w:val="22"/>
          <w:highlight w:val="none"/>
          <w:lang w:val="en-US" w:eastAsia="zh-CN" w:bidi="ar-SA"/>
        </w:rPr>
        <w:t xml:space="preserve">（详见：附表2）</w:t>
      </w:r>
    </w:p>
    <w:p>
      <w:pPr>
        <w:bidi w:val="0"/>
        <w:rPr>
          <w:rFonts w:ascii="仿宋" w:eastAsia="仿宋" w:hAnsi="仿宋" w:cs="仿宋" w:hint="eastAsia"/>
          <w:b/>
          <w:bCs/>
          <w:color w:val="auto"/>
          <w:highlight w:val="none"/>
        </w:rPr>
      </w:pPr>
      <w:r>
        <w:rPr>
          <w:rFonts w:ascii="仿宋" w:eastAsia="仿宋" w:hAnsi="仿宋" w:cs="仿宋" w:hint="eastAsia"/>
          <w:b/>
          <w:bCs/>
          <w:color w:val="auto"/>
          <w:highlight w:val="none"/>
        </w:rPr>
        <w:t xml:space="preserve">3.绩效评价方法</w:t>
      </w:r>
      <w:bookmarkEnd w:id="68"/>
      <w:bookmarkEnd w:id="69"/>
    </w:p>
    <w:p>
      <w:pPr>
        <w:bidi w:val="0"/>
        <w:jc w:val="both"/>
        <w:rPr>
          <w:rFonts w:ascii="仿宋" w:eastAsia="仿宋" w:hAnsi="仿宋" w:cs="仿宋" w:hint="eastAsia"/>
          <w:color w:val="auto"/>
          <w:highlight w:val="none"/>
        </w:rPr>
      </w:pPr>
      <w:bookmarkStart w:id="70" w:name="OLE_LINK10"/>
      <w:r>
        <w:rPr>
          <w:rFonts w:ascii="仿宋" w:eastAsia="仿宋" w:hAnsi="仿宋" w:cs="仿宋" w:hint="eastAsia"/>
          <w:color w:val="auto"/>
          <w:highlight w:val="none"/>
          <w:lang w:val="en-US" w:eastAsia="zh-CN"/>
        </w:rPr>
        <w:t xml:space="preserve">绩效评价从项目决策、项目过程、项目产出、项目效益四个维度进行评价。评价对象为项目目标实施情况，评价核心为资金的支出完成情况和项目的产出效益。</w:t>
      </w:r>
      <w:bookmarkEnd w:id="70"/>
    </w:p>
    <w:p>
      <w:pPr>
        <w:bidi w:val="0"/>
        <w:jc w:val="both"/>
        <w:rPr>
          <w:rFonts w:ascii="仿宋" w:eastAsia="仿宋" w:hAnsi="仿宋" w:cs="仿宋" w:hint="eastAsia"/>
          <w:color w:val="auto"/>
          <w:highlight w:val="none"/>
          <w:lang w:val="en-US" w:eastAsia="zh-CN"/>
        </w:rPr>
      </w:pPr>
      <w:r>
        <w:rPr>
          <w:rFonts w:ascii="仿宋" w:eastAsia="仿宋" w:hAnsi="仿宋" w:cs="仿宋" w:hint="eastAsia"/>
          <w:color w:val="auto"/>
          <w:highlight w:val="none"/>
        </w:rPr>
        <w:t xml:space="preserve">结合</w:t>
      </w:r>
      <w:r>
        <w:rPr>
          <w:rFonts w:ascii="仿宋" w:eastAsia="仿宋" w:hAnsi="仿宋" w:cs="仿宋" w:hint="eastAsia"/>
          <w:color w:val="auto"/>
          <w:highlight w:val="none"/>
          <w:lang w:val="en-US" w:eastAsia="zh-CN"/>
        </w:rPr>
        <w:t xml:space="preserve">1-12月路灯电费</w:t>
      </w:r>
      <w:r>
        <w:rPr>
          <w:rFonts w:ascii="仿宋" w:eastAsia="仿宋" w:hAnsi="仿宋" w:cs="仿宋" w:hint="eastAsia"/>
          <w:color w:val="auto"/>
          <w:highlight w:val="none"/>
        </w:rPr>
        <w:t xml:space="preserve">的特点，</w:t>
      </w:r>
      <w:r>
        <w:rPr>
          <w:rFonts w:ascii="仿宋" w:eastAsia="仿宋" w:hAnsi="仿宋" w:cs="仿宋" w:hint="eastAsia"/>
          <w:color w:val="auto"/>
          <w:highlight w:val="none"/>
          <w:lang w:val="en-US" w:eastAsia="zh-CN"/>
        </w:rPr>
        <w:t xml:space="preserve">本项目绩效评价将项目实施情况即实际完成的县城供电红绿灯站点数量指标、县城供电亮化路条数指标、保证正常亮化率指标、路灯照明时长指标、单位电量平均电价指标、保障群众夜间出行方便指标、受益群众满意度等指标与年初设定的目标值进行比较</w:t>
      </w:r>
      <w:r>
        <w:rPr>
          <w:rFonts w:ascii="仿宋" w:eastAsia="仿宋" w:hAnsi="仿宋" w:cs="仿宋" w:hint="eastAsia"/>
          <w:color w:val="auto"/>
          <w:highlight w:val="none"/>
        </w:rPr>
        <w:t xml:space="preserve">。</w:t>
      </w:r>
      <w:r>
        <w:rPr>
          <w:rFonts w:ascii="仿宋" w:eastAsia="仿宋" w:hAnsi="仿宋" w:cs="仿宋" w:hint="eastAsia"/>
          <w:color w:val="auto"/>
          <w:highlight w:val="none"/>
          <w:lang w:val="en-US" w:eastAsia="zh-CN"/>
        </w:rPr>
        <w:t xml:space="preserve">因此，采取的</w:t>
      </w:r>
      <w:r>
        <w:rPr>
          <w:rFonts w:ascii="仿宋" w:eastAsia="仿宋" w:hAnsi="仿宋" w:cs="仿宋" w:hint="eastAsia"/>
          <w:color w:val="auto"/>
          <w:highlight w:val="none"/>
        </w:rPr>
        <w:t xml:space="preserve">绩效评价方法</w:t>
      </w:r>
      <w:r>
        <w:rPr>
          <w:rFonts w:ascii="仿宋" w:eastAsia="仿宋" w:hAnsi="仿宋" w:cs="仿宋" w:hint="eastAsia"/>
          <w:color w:val="auto"/>
          <w:highlight w:val="none"/>
          <w:lang w:val="en-US" w:eastAsia="zh-CN"/>
        </w:rPr>
        <w:t xml:space="preserve">是</w:t>
      </w:r>
      <w:r>
        <w:rPr>
          <w:rFonts w:ascii="仿宋" w:eastAsia="仿宋" w:hAnsi="仿宋" w:cs="仿宋" w:hint="eastAsia"/>
          <w:color w:val="auto"/>
          <w:highlight w:val="none"/>
        </w:rPr>
        <w:t xml:space="preserve">：比较法</w:t>
      </w:r>
      <w:r>
        <w:rPr>
          <w:rFonts w:ascii="仿宋" w:eastAsia="仿宋" w:hAnsi="仿宋" w:cs="仿宋" w:hint="eastAsia"/>
          <w:color w:val="auto"/>
          <w:highlight w:val="none"/>
          <w:lang w:eastAsia="zh-CN"/>
        </w:rPr>
        <w:t xml:space="preserve">。</w:t>
      </w:r>
    </w:p>
    <w:p>
      <w:pPr>
        <w:bidi w:val="0"/>
        <w:jc w:val="both"/>
        <w:rPr>
          <w:rFonts w:ascii="仿宋" w:eastAsia="仿宋" w:hAnsi="仿宋" w:cs="仿宋" w:hint="eastAsia"/>
          <w:b/>
          <w:bCs/>
          <w:color w:val="auto"/>
          <w:highlight w:val="none"/>
          <w:lang w:val="en-US" w:eastAsia="zh-CN"/>
        </w:rPr>
      </w:pPr>
      <w:bookmarkStart w:id="71" w:name="_Toc3155"/>
      <w:bookmarkStart w:id="72" w:name="_Toc15525"/>
      <w:r>
        <w:rPr>
          <w:rFonts w:ascii="仿宋" w:eastAsia="仿宋" w:hAnsi="仿宋" w:cs="仿宋" w:hint="eastAsia"/>
          <w:b/>
          <w:bCs/>
          <w:color w:val="auto"/>
          <w:highlight w:val="none"/>
          <w:lang w:val="en-US" w:eastAsia="zh-CN"/>
        </w:rPr>
        <w:t xml:space="preserve">公众评判法：</w:t>
      </w:r>
      <w:r>
        <w:rPr>
          <w:rFonts w:ascii="仿宋" w:eastAsia="仿宋" w:hAnsi="仿宋" w:cs="仿宋" w:hint="eastAsia"/>
          <w:b w:val="0"/>
          <w:bCs w:val="0"/>
          <w:color w:val="auto"/>
          <w:highlight w:val="none"/>
          <w:lang w:val="en-US" w:eastAsia="zh-CN"/>
        </w:rPr>
        <w:t xml:space="preserve">通过对1-12路灯电费进行问卷及抽样调查等方式，评价本项目实施后受益对象对项目实施效果的满意程度，对财政资金使用效果进行评判，评价绩效目标实现程度。</w:t>
      </w:r>
    </w:p>
    <w:p>
      <w:pPr>
        <w:bidi w:val="0"/>
        <w:jc w:val="both"/>
        <w:rPr>
          <w:rFonts w:ascii="仿宋" w:eastAsia="仿宋" w:hAnsi="仿宋" w:cs="仿宋" w:hint="eastAsia"/>
          <w:b/>
          <w:bCs/>
          <w:color w:val="auto"/>
          <w:highlight w:val="none"/>
        </w:rPr>
      </w:pPr>
      <w:r>
        <w:rPr>
          <w:rFonts w:ascii="仿宋" w:eastAsia="仿宋" w:hAnsi="仿宋" w:cs="仿宋" w:hint="eastAsia"/>
          <w:b/>
          <w:bCs/>
          <w:color w:val="auto"/>
          <w:highlight w:val="none"/>
        </w:rPr>
        <w:t xml:space="preserve">4.绩效评价标准</w:t>
      </w:r>
      <w:bookmarkEnd w:id="71"/>
      <w:bookmarkEnd w:id="72"/>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绩效评价标准通常包括计划标准、行业标准、历史标准等，用于对绩效指标完成情况进行比较。</w:t>
      </w:r>
    </w:p>
    <w:p>
      <w:pPr>
        <w:pStyle w:val="CommentText"/>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结合</w:t>
      </w:r>
      <w:r>
        <w:rPr>
          <w:rFonts w:ascii="仿宋" w:eastAsia="仿宋" w:hAnsi="仿宋" w:cs="仿宋" w:hint="eastAsia"/>
          <w:color w:val="auto"/>
          <w:highlight w:val="none"/>
          <w:lang w:eastAsia="zh-CN"/>
        </w:rPr>
        <w:t xml:space="preserve">尉犁县市政工程服务中心</w:t>
      </w:r>
      <w:r>
        <w:rPr>
          <w:rFonts w:ascii="仿宋" w:eastAsia="仿宋" w:hAnsi="仿宋" w:cs="仿宋" w:hint="eastAsia"/>
          <w:color w:val="auto"/>
          <w:highlight w:val="none"/>
          <w:lang w:val="en-US" w:eastAsia="zh-CN"/>
        </w:rPr>
        <w:t xml:space="preserve">1-12月路灯电费</w:t>
      </w:r>
      <w:r>
        <w:rPr>
          <w:rFonts w:ascii="仿宋" w:eastAsia="仿宋" w:hAnsi="仿宋" w:cs="仿宋" w:hint="eastAsia"/>
          <w:color w:val="auto"/>
          <w:highlight w:val="none"/>
        </w:rPr>
        <w:t xml:space="preserve">的特点，</w:t>
      </w:r>
      <w:bookmarkStart w:id="73" w:name="_Toc15381"/>
      <w:bookmarkStart w:id="74" w:name="_Toc30219"/>
      <w:bookmarkStart w:id="75" w:name="_Toc17851"/>
      <w:bookmarkStart w:id="76" w:name="_Toc26411"/>
      <w:r>
        <w:rPr>
          <w:rFonts w:ascii="仿宋" w:eastAsia="仿宋" w:hAnsi="仿宋" w:cs="仿宋" w:hint="eastAsia"/>
          <w:bCs/>
          <w:color w:val="auto"/>
          <w:kern w:val="2"/>
          <w:sz w:val="32"/>
          <w:szCs w:val="32"/>
          <w:highlight w:val="none"/>
          <w:lang w:val="en-US" w:eastAsia="zh-CN" w:bidi="ar-SA"/>
        </w:rPr>
        <w:t xml:space="preserve">本项目绩效评价以预先制定的</w:t>
      </w:r>
      <w:r>
        <w:rPr>
          <w:rFonts w:ascii="仿宋" w:eastAsia="仿宋" w:hAnsi="仿宋" w:cs="仿宋" w:hint="eastAsia"/>
          <w:color w:val="auto"/>
          <w:kern w:val="2"/>
          <w:sz w:val="32"/>
          <w:szCs w:val="32"/>
          <w:highlight w:val="none"/>
          <w:lang w:val="en-US" w:eastAsia="zh-CN" w:bidi="ar-SA"/>
        </w:rPr>
        <w:t xml:space="preserve">县城红绿灯供电站点数量、县城亮化供电道路数量</w:t>
      </w:r>
      <w:r>
        <w:rPr>
          <w:rFonts w:ascii="仿宋" w:eastAsia="仿宋" w:hAnsi="仿宋" w:cs="仿宋" w:hint="eastAsia"/>
          <w:bCs/>
          <w:color w:val="auto"/>
          <w:kern w:val="2"/>
          <w:sz w:val="32"/>
          <w:szCs w:val="32"/>
          <w:highlight w:val="none"/>
          <w:lang w:val="en-US" w:eastAsia="zh-CN" w:bidi="ar-SA"/>
        </w:rPr>
        <w:t xml:space="preserve">为计划数作为评价标准；因此，采取的绩效评价标准为：计划标准。</w:t>
      </w:r>
    </w:p>
    <w:p>
      <w:pPr>
        <w:pStyle w:val="Heading3"/>
        <w:bidi w:val="0"/>
        <w:jc w:val="both"/>
        <w:outlineLvl w:val="1"/>
        <w:rPr>
          <w:rFonts w:ascii="仿宋" w:eastAsia="仿宋" w:hAnsi="仿宋" w:cs="仿宋" w:hint="eastAsia"/>
          <w:color w:val="auto"/>
          <w:highlight w:val="none"/>
        </w:rPr>
      </w:pPr>
      <w:bookmarkStart w:id="77" w:name="_Toc10428"/>
      <w:r>
        <w:rPr>
          <w:rFonts w:ascii="仿宋" w:eastAsia="仿宋" w:hAnsi="仿宋" w:cs="仿宋" w:hint="eastAsia"/>
          <w:color w:val="auto"/>
          <w:highlight w:val="none"/>
        </w:rPr>
        <w:t xml:space="preserve">（三）绩效评价工作过程</w:t>
      </w:r>
      <w:bookmarkEnd w:id="73"/>
      <w:bookmarkEnd w:id="74"/>
      <w:bookmarkEnd w:id="75"/>
      <w:bookmarkEnd w:id="76"/>
      <w:bookmarkEnd w:id="77"/>
    </w:p>
    <w:p>
      <w:pPr>
        <w:bidi w:val="0"/>
        <w:jc w:val="both"/>
        <w:rPr>
          <w:rFonts w:ascii="仿宋" w:eastAsia="仿宋" w:hAnsi="仿宋" w:cs="仿宋" w:hint="eastAsia"/>
          <w:b/>
          <w:bCs/>
          <w:color w:val="auto"/>
          <w:highlight w:val="none"/>
          <w:lang w:eastAsia="zh-CN"/>
        </w:rPr>
      </w:pPr>
      <w:bookmarkStart w:id="78" w:name="_Toc2579"/>
      <w:r>
        <w:rPr>
          <w:rFonts w:ascii="仿宋" w:eastAsia="仿宋" w:hAnsi="仿宋" w:cs="仿宋" w:hint="eastAsia"/>
          <w:b/>
          <w:bCs/>
          <w:color w:val="auto"/>
          <w:highlight w:val="none"/>
        </w:rPr>
        <w:t xml:space="preserve">1.前期准备</w:t>
      </w:r>
      <w:r>
        <w:rPr>
          <w:rFonts w:ascii="仿宋" w:eastAsia="仿宋" w:hAnsi="仿宋" w:cs="仿宋" w:hint="eastAsia"/>
          <w:b/>
          <w:bCs/>
          <w:color w:val="auto"/>
          <w:highlight w:val="none"/>
          <w:lang w:eastAsia="zh-CN"/>
        </w:rPr>
        <w:t xml:space="preserve">（</w:t>
      </w:r>
      <w:r>
        <w:rPr>
          <w:rFonts w:ascii="仿宋" w:eastAsia="仿宋" w:hAnsi="仿宋" w:cs="仿宋" w:hint="eastAsia"/>
          <w:b/>
          <w:bCs/>
          <w:color w:val="auto"/>
          <w:highlight w:val="none"/>
          <w:lang w:val="en-US" w:eastAsia="zh-CN"/>
        </w:rPr>
        <w:t xml:space="preserve">2025年2月5日-2025年2月20日</w:t>
      </w:r>
      <w:r>
        <w:rPr>
          <w:rFonts w:ascii="仿宋" w:eastAsia="仿宋" w:hAnsi="仿宋" w:cs="仿宋" w:hint="eastAsia"/>
          <w:b/>
          <w:bCs/>
          <w:color w:val="auto"/>
          <w:highlight w:val="none"/>
          <w:lang w:eastAsia="zh-CN"/>
        </w:rPr>
        <w:t xml:space="preserve">）</w:t>
      </w:r>
    </w:p>
    <w:p>
      <w:pPr>
        <w:spacing w:line="600" w:lineRule="exact"/>
        <w:ind w:firstLine="640"/>
        <w:jc w:val="both"/>
        <w:rPr>
          <w:rFonts w:ascii="仿宋" w:eastAsia="仿宋" w:hAnsi="仿宋" w:cs="仿宋" w:hint="eastAsia"/>
          <w:bCs/>
          <w:color w:val="auto"/>
          <w:szCs w:val="32"/>
          <w:highlight w:val="none"/>
          <w:lang w:val="en-US" w:eastAsia="zh-CN"/>
        </w:rPr>
      </w:pPr>
      <w:r>
        <w:rPr>
          <w:rFonts w:ascii="仿宋" w:eastAsia="仿宋" w:hAnsi="仿宋" w:cs="仿宋" w:hint="eastAsia"/>
          <w:bCs/>
          <w:color w:val="auto"/>
          <w:szCs w:val="32"/>
          <w:highlight w:val="none"/>
        </w:rPr>
        <w:t xml:space="preserve">按照《项目支出绩效评价管理办法》（财预〔2020〕10号）文件要求，</w:t>
      </w:r>
      <w:r>
        <w:rPr>
          <w:rFonts w:ascii="仿宋" w:eastAsia="仿宋" w:hAnsi="仿宋" w:cs="仿宋" w:hint="eastAsia"/>
          <w:color w:val="auto"/>
          <w:highlight w:val="none"/>
          <w:lang w:val="en-US" w:eastAsia="zh-CN"/>
        </w:rPr>
        <w:t xml:space="preserve">尉犁</w:t>
      </w:r>
      <w:r>
        <w:rPr>
          <w:rFonts w:ascii="仿宋" w:eastAsia="仿宋" w:hAnsi="仿宋" w:cs="仿宋" w:hint="eastAsia"/>
          <w:color w:val="auto"/>
          <w:highlight w:val="none"/>
        </w:rPr>
        <w:t xml:space="preserve">县</w:t>
      </w:r>
      <w:r>
        <w:rPr>
          <w:rFonts w:ascii="仿宋" w:eastAsia="仿宋" w:hAnsi="仿宋" w:cs="仿宋" w:hint="eastAsia"/>
          <w:color w:val="auto"/>
          <w:highlight w:val="none"/>
          <w:lang w:val="en-US" w:eastAsia="zh-CN"/>
        </w:rPr>
        <w:t xml:space="preserve">市政工程服务中心</w:t>
      </w:r>
      <w:r>
        <w:rPr>
          <w:rFonts w:ascii="仿宋" w:eastAsia="仿宋" w:hAnsi="仿宋" w:cs="仿宋" w:hint="eastAsia"/>
          <w:bCs/>
          <w:color w:val="auto"/>
          <w:szCs w:val="32"/>
          <w:highlight w:val="none"/>
        </w:rPr>
        <w:t xml:space="preserve">成立了绩效评价小组，对项目实施的全过程，收集、整理项目实施的相关资料，了解项目实施情况和资金支付情况。从项目内容出发，结合项目预期目标，制定绩效评价的指标体系。</w:t>
      </w:r>
      <w:r>
        <w:rPr>
          <w:rFonts w:ascii="仿宋" w:eastAsia="仿宋" w:hAnsi="仿宋" w:cs="仿宋" w:hint="eastAsia"/>
          <w:bCs/>
          <w:color w:val="auto"/>
          <w:szCs w:val="32"/>
          <w:highlight w:val="none"/>
          <w:lang w:val="en-US" w:eastAsia="zh-CN"/>
        </w:rPr>
        <w:t xml:space="preserve">绩效评价工作小组人员名单及分工如下：</w:t>
      </w:r>
    </w:p>
    <w:p>
      <w:pPr>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评价小组组长：路超，主要负责协调相关科室、部门对项目整体运行情况进行验收、评估。</w:t>
      </w:r>
    </w:p>
    <w:p>
      <w:pPr>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评价小组组员：艾尼完·艾赛提，主要负责制定评价指标体系及评价标准。</w:t>
      </w:r>
    </w:p>
    <w:p>
      <w:pPr>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评价小组组员：韩冬，主要负责1-12路灯电费项目实施、监督、评估工作。</w:t>
      </w:r>
    </w:p>
    <w:p>
      <w:pPr>
        <w:bidi w:val="0"/>
        <w:jc w:val="both"/>
        <w:rPr>
          <w:rFonts w:ascii="仿宋" w:eastAsia="仿宋" w:hAnsi="仿宋" w:cs="仿宋" w:hint="eastAsia"/>
          <w:b/>
          <w:bCs/>
          <w:color w:val="auto"/>
          <w:highlight w:val="none"/>
        </w:rPr>
      </w:pPr>
      <w:r>
        <w:rPr>
          <w:rFonts w:ascii="仿宋" w:eastAsia="仿宋" w:hAnsi="仿宋" w:cs="仿宋" w:hint="eastAsia"/>
          <w:b/>
          <w:bCs/>
          <w:color w:val="auto"/>
          <w:highlight w:val="none"/>
        </w:rPr>
        <w:t xml:space="preserve">2.组织实施</w:t>
      </w:r>
      <w:bookmarkEnd w:id="78"/>
      <w:r>
        <w:rPr>
          <w:rFonts w:ascii="仿宋" w:eastAsia="仿宋" w:hAnsi="仿宋" w:cs="仿宋" w:hint="eastAsia"/>
          <w:b/>
          <w:bCs/>
          <w:color w:val="auto"/>
          <w:highlight w:val="none"/>
          <w:lang w:eastAsia="zh-CN"/>
        </w:rPr>
        <w:t xml:space="preserve">（</w:t>
      </w:r>
      <w:r>
        <w:rPr>
          <w:rFonts w:ascii="仿宋" w:eastAsia="仿宋" w:hAnsi="仿宋" w:cs="仿宋" w:hint="eastAsia"/>
          <w:b/>
          <w:bCs/>
          <w:color w:val="auto"/>
          <w:highlight w:val="none"/>
          <w:lang w:val="en-US" w:eastAsia="zh-CN"/>
        </w:rPr>
        <w:t xml:space="preserve">2025年2月21日-2025年3月10日</w:t>
      </w:r>
      <w:r>
        <w:rPr>
          <w:rFonts w:ascii="仿宋" w:eastAsia="仿宋" w:hAnsi="仿宋" w:cs="仿宋" w:hint="eastAsia"/>
          <w:b/>
          <w:bCs/>
          <w:color w:val="auto"/>
          <w:highlight w:val="none"/>
          <w:lang w:eastAsia="zh-CN"/>
        </w:rPr>
        <w:t xml:space="preserve">）</w:t>
      </w:r>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评价的具体实施根据评价指标及评价工作要求，对具体评价内容和不同环节，采用以下取得的资料与评价方式。</w:t>
      </w:r>
    </w:p>
    <w:p>
      <w:pPr>
        <w:bidi w:val="0"/>
        <w:jc w:val="both"/>
        <w:rPr>
          <w:rFonts w:ascii="仿宋" w:eastAsia="仿宋" w:hAnsi="仿宋" w:cs="仿宋" w:hint="eastAsia"/>
          <w:color w:val="auto"/>
          <w:highlight w:val="none"/>
          <w:lang w:val="en-US" w:eastAsia="zh-CN"/>
        </w:rPr>
      </w:pPr>
      <w:r>
        <w:rPr>
          <w:rFonts w:ascii="仿宋" w:eastAsia="仿宋" w:hAnsi="仿宋" w:cs="仿宋" w:hint="eastAsia"/>
          <w:color w:val="auto"/>
          <w:highlight w:val="none"/>
        </w:rPr>
        <w:t xml:space="preserve">（1）</w:t>
      </w:r>
      <w:r>
        <w:rPr>
          <w:rFonts w:ascii="仿宋" w:eastAsia="仿宋" w:hAnsi="仿宋" w:cs="仿宋" w:hint="eastAsia"/>
          <w:color w:val="auto"/>
          <w:highlight w:val="none"/>
          <w:lang w:val="en-US" w:eastAsia="zh-CN"/>
        </w:rPr>
        <w:t xml:space="preserve">根据绩效管理的要求，本单位成立项目评价小组，全过程跟踪监管项目实施过程，包括项目资金到位时绩效工作的安排、年中2次绩效监控工作的监督，项目实施完成之后收集资料开展项目绩效评价。</w:t>
      </w:r>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w:t>
      </w:r>
      <w:r>
        <w:rPr>
          <w:rFonts w:ascii="仿宋" w:eastAsia="仿宋" w:hAnsi="仿宋" w:cs="仿宋" w:hint="eastAsia"/>
          <w:color w:val="auto"/>
          <w:highlight w:val="none"/>
          <w:lang w:val="en-US" w:eastAsia="zh-CN"/>
        </w:rPr>
        <w:t xml:space="preserve">2</w:t>
      </w:r>
      <w:r>
        <w:rPr>
          <w:rFonts w:ascii="仿宋" w:eastAsia="仿宋" w:hAnsi="仿宋" w:cs="仿宋" w:hint="eastAsia"/>
          <w:color w:val="auto"/>
          <w:highlight w:val="none"/>
        </w:rPr>
        <w:t xml:space="preserve">）实地考察。根据评价指标及评价工作要求，到评价实地采取调查、询查、复核等方式收集、整理数据和资料，包括评价对象的基本情况、财政资金使用情况、评价指标体系需要的相关资料等。根据基础资料，核实数据的全面性、真实性以及指标口径的一致性，并对所掌握的有关信息资料采用相关方法进行分类、整理和分析，根据评价标准进行打分。</w:t>
      </w:r>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w:t>
      </w:r>
      <w:r>
        <w:rPr>
          <w:rFonts w:ascii="仿宋" w:eastAsia="仿宋" w:hAnsi="仿宋" w:cs="仿宋" w:hint="eastAsia"/>
          <w:color w:val="auto"/>
          <w:highlight w:val="none"/>
          <w:lang w:val="en-US" w:eastAsia="zh-CN"/>
        </w:rPr>
        <w:t xml:space="preserve">3</w:t>
      </w:r>
      <w:r>
        <w:rPr>
          <w:rFonts w:ascii="仿宋" w:eastAsia="仿宋" w:hAnsi="仿宋" w:cs="仿宋" w:hint="eastAsia"/>
          <w:color w:val="auto"/>
          <w:highlight w:val="none"/>
        </w:rPr>
        <w:t xml:space="preserve">）问卷调查。选择与项目评价有关的调查对象，设计调查问卷。通过问卷调查，对有关评价内容完成情况进行打分，并根据分值评价绩效目标完成情况，作为对项目评价的依据。</w:t>
      </w:r>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w:t>
      </w:r>
      <w:r>
        <w:rPr>
          <w:rFonts w:ascii="仿宋" w:eastAsia="仿宋" w:hAnsi="仿宋" w:cs="仿宋" w:hint="eastAsia"/>
          <w:color w:val="auto"/>
          <w:highlight w:val="none"/>
          <w:lang w:val="en-US" w:eastAsia="zh-CN"/>
        </w:rPr>
        <w:t xml:space="preserve">4</w:t>
      </w:r>
      <w:r>
        <w:rPr>
          <w:rFonts w:ascii="仿宋" w:eastAsia="仿宋" w:hAnsi="仿宋" w:cs="仿宋" w:hint="eastAsia"/>
          <w:color w:val="auto"/>
          <w:highlight w:val="none"/>
        </w:rPr>
        <w:t xml:space="preserve">）项目评价小组人员与专业技术人员相结合评价。对绩效评价工作专业性较强的内容，在评价工作过程中，采用以专业技术人员与有关科（股）室、其他部门专业人员进行评价相结合的方式，分别对相关专业指标进行现场问询、检验和考查。</w:t>
      </w:r>
    </w:p>
    <w:p>
      <w:pPr>
        <w:bidi w:val="0"/>
        <w:jc w:val="both"/>
        <w:rPr>
          <w:rFonts w:ascii="仿宋" w:eastAsia="仿宋" w:hAnsi="仿宋" w:cs="仿宋" w:hint="eastAsia"/>
          <w:b/>
          <w:bCs/>
          <w:color w:val="auto"/>
          <w:highlight w:val="none"/>
        </w:rPr>
      </w:pPr>
      <w:bookmarkStart w:id="79" w:name="_Toc19781"/>
      <w:r>
        <w:rPr>
          <w:rFonts w:ascii="仿宋" w:eastAsia="仿宋" w:hAnsi="仿宋" w:cs="仿宋" w:hint="eastAsia"/>
          <w:b/>
          <w:bCs/>
          <w:color w:val="auto"/>
          <w:highlight w:val="none"/>
        </w:rPr>
        <w:t xml:space="preserve">3.数据集中分析</w:t>
      </w:r>
      <w:bookmarkEnd w:id="79"/>
      <w:r>
        <w:rPr>
          <w:rFonts w:ascii="仿宋" w:eastAsia="仿宋" w:hAnsi="仿宋" w:cs="仿宋" w:hint="eastAsia"/>
          <w:b/>
          <w:bCs/>
          <w:color w:val="auto"/>
          <w:highlight w:val="none"/>
          <w:lang w:eastAsia="zh-CN"/>
        </w:rPr>
        <w:t xml:space="preserve">（</w:t>
      </w:r>
      <w:r>
        <w:rPr>
          <w:rFonts w:ascii="仿宋" w:eastAsia="仿宋" w:hAnsi="仿宋" w:cs="仿宋" w:hint="eastAsia"/>
          <w:b/>
          <w:bCs/>
          <w:color w:val="auto"/>
          <w:highlight w:val="none"/>
          <w:lang w:val="en-US" w:eastAsia="zh-CN"/>
        </w:rPr>
        <w:t xml:space="preserve">2025年3月11日-2025年3月20日</w:t>
      </w:r>
      <w:r>
        <w:rPr>
          <w:rFonts w:ascii="仿宋" w:eastAsia="仿宋" w:hAnsi="仿宋" w:cs="仿宋" w:hint="eastAsia"/>
          <w:b/>
          <w:bCs/>
          <w:color w:val="auto"/>
          <w:highlight w:val="none"/>
          <w:lang w:eastAsia="zh-CN"/>
        </w:rPr>
        <w:t xml:space="preserve">）</w:t>
      </w:r>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对相关资料，包括资金文件、项目实施方案、相关管理办法，问卷调查等进行集中分析。在查阅大量项目资料的基础上，根据考察、考评的结果进行整理、分析。</w:t>
      </w:r>
    </w:p>
    <w:p>
      <w:pPr>
        <w:bidi w:val="0"/>
        <w:jc w:val="both"/>
        <w:rPr>
          <w:rFonts w:ascii="仿宋" w:eastAsia="仿宋" w:hAnsi="仿宋" w:cs="仿宋" w:hint="eastAsia"/>
          <w:b/>
          <w:bCs/>
          <w:color w:val="auto"/>
          <w:highlight w:val="none"/>
        </w:rPr>
      </w:pPr>
      <w:bookmarkStart w:id="80" w:name="_Toc5021"/>
      <w:r>
        <w:rPr>
          <w:rFonts w:ascii="仿宋" w:eastAsia="仿宋" w:hAnsi="仿宋" w:cs="仿宋" w:hint="eastAsia"/>
          <w:b/>
          <w:bCs/>
          <w:color w:val="auto"/>
          <w:highlight w:val="none"/>
        </w:rPr>
        <w:t xml:space="preserve">4.分析总结</w:t>
      </w:r>
      <w:bookmarkEnd w:id="80"/>
      <w:r>
        <w:rPr>
          <w:rFonts w:ascii="仿宋" w:eastAsia="仿宋" w:hAnsi="仿宋" w:cs="仿宋" w:hint="eastAsia"/>
          <w:b/>
          <w:bCs/>
          <w:color w:val="auto"/>
          <w:highlight w:val="none"/>
          <w:lang w:eastAsia="zh-CN"/>
        </w:rPr>
        <w:t xml:space="preserve">（</w:t>
      </w:r>
      <w:r>
        <w:rPr>
          <w:rFonts w:ascii="仿宋" w:eastAsia="仿宋" w:hAnsi="仿宋" w:cs="仿宋" w:hint="eastAsia"/>
          <w:b/>
          <w:bCs/>
          <w:color w:val="auto"/>
          <w:highlight w:val="none"/>
          <w:lang w:val="en-US" w:eastAsia="zh-CN"/>
        </w:rPr>
        <w:t xml:space="preserve">2025年3月21日-2025年4月2日</w:t>
      </w:r>
      <w:r>
        <w:rPr>
          <w:rFonts w:ascii="仿宋" w:eastAsia="仿宋" w:hAnsi="仿宋" w:cs="仿宋" w:hint="eastAsia"/>
          <w:b/>
          <w:bCs/>
          <w:color w:val="auto"/>
          <w:highlight w:val="none"/>
          <w:lang w:eastAsia="zh-CN"/>
        </w:rPr>
        <w:t xml:space="preserve">）</w:t>
      </w:r>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（1）根据部门自评的意见及考察、考评的结果进行整理、分析，撰写绩效评价报告初稿；</w:t>
      </w:r>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（2）就部门自评报告与部门具体有关股室征求意见，形成最终的绩效评价报告。</w:t>
      </w:r>
    </w:p>
    <w:p>
      <w:pPr>
        <w:rPr>
          <w:rFonts w:ascii="仿宋" w:eastAsia="仿宋" w:hAnsi="仿宋" w:cs="仿宋" w:hint="eastAsia"/>
          <w:b/>
          <w:bCs/>
          <w:color w:val="auto"/>
          <w:highlight w:val="none"/>
        </w:rPr>
      </w:pPr>
      <w:bookmarkStart w:id="81" w:name="OLE_LINK11"/>
      <w:bookmarkStart w:id="82" w:name="OLE_LINK4"/>
      <w:r>
        <w:rPr>
          <w:rFonts w:ascii="仿宋" w:eastAsia="仿宋" w:hAnsi="仿宋" w:cs="仿宋" w:hint="eastAsia"/>
          <w:b/>
          <w:bCs/>
          <w:color w:val="auto"/>
          <w:highlight w:val="none"/>
        </w:rPr>
        <w:t xml:space="preserve">5</w:t>
      </w:r>
      <w:r>
        <w:rPr>
          <w:rFonts w:ascii="仿宋" w:eastAsia="仿宋" w:hAnsi="仿宋" w:cs="仿宋" w:hint="eastAsia"/>
          <w:b/>
          <w:bCs/>
          <w:color w:val="auto"/>
          <w:highlight w:val="none"/>
          <w:lang w:eastAsia="zh-CN"/>
        </w:rPr>
        <w:t xml:space="preserve">.</w:t>
      </w:r>
      <w:r>
        <w:rPr>
          <w:rFonts w:ascii="仿宋" w:eastAsia="仿宋" w:hAnsi="仿宋" w:cs="仿宋" w:hint="eastAsia"/>
          <w:b/>
          <w:bCs/>
          <w:color w:val="auto"/>
          <w:highlight w:val="none"/>
        </w:rPr>
        <w:t xml:space="preserve">问题整改</w:t>
      </w:r>
    </w:p>
    <w:p>
      <w:pPr>
        <w:rPr>
          <w:rFonts w:ascii="仿宋" w:eastAsia="仿宋" w:hAnsi="仿宋" w:cs="仿宋" w:hint="eastAsia"/>
          <w:color w:val="auto"/>
          <w:highlight w:val="none"/>
        </w:rPr>
      </w:pPr>
      <w:r>
        <w:rPr>
          <w:rFonts w:ascii="仿宋" w:eastAsia="仿宋" w:hAnsi="仿宋" w:cs="仿宋" w:hint="eastAsia"/>
          <w:color w:val="auto"/>
          <w:highlight w:val="none"/>
        </w:rPr>
        <w:t xml:space="preserve">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pPr>
        <w:rPr>
          <w:rFonts w:ascii="仿宋" w:eastAsia="仿宋" w:hAnsi="仿宋" w:cs="仿宋" w:hint="eastAsia"/>
          <w:b/>
          <w:bCs/>
          <w:color w:val="auto"/>
          <w:highlight w:val="none"/>
        </w:rPr>
      </w:pPr>
      <w:r>
        <w:rPr>
          <w:rFonts w:ascii="仿宋" w:eastAsia="仿宋" w:hAnsi="仿宋" w:cs="仿宋" w:hint="eastAsia"/>
          <w:b/>
          <w:bCs/>
          <w:color w:val="auto"/>
          <w:highlight w:val="none"/>
        </w:rPr>
        <w:t xml:space="preserve">6</w:t>
      </w:r>
      <w:r>
        <w:rPr>
          <w:rFonts w:ascii="仿宋" w:eastAsia="仿宋" w:hAnsi="仿宋" w:cs="仿宋" w:hint="eastAsia"/>
          <w:b/>
          <w:bCs/>
          <w:color w:val="auto"/>
          <w:highlight w:val="none"/>
          <w:lang w:eastAsia="zh-CN"/>
        </w:rPr>
        <w:t xml:space="preserve">.</w:t>
      </w:r>
      <w:r>
        <w:rPr>
          <w:rFonts w:ascii="仿宋" w:eastAsia="仿宋" w:hAnsi="仿宋" w:cs="仿宋" w:hint="eastAsia"/>
          <w:b/>
          <w:bCs/>
          <w:color w:val="auto"/>
          <w:highlight w:val="none"/>
        </w:rPr>
        <w:t xml:space="preserve">档案整理</w:t>
      </w:r>
    </w:p>
    <w:p>
      <w:pPr>
        <w:ind w:firstLine="560"/>
        <w:rPr>
          <w:rFonts w:ascii="仿宋" w:eastAsia="仿宋" w:hAnsi="仿宋" w:cs="仿宋" w:hint="eastAsia"/>
          <w:color w:val="auto"/>
          <w:highlight w:val="none"/>
        </w:rPr>
      </w:pPr>
      <w:r>
        <w:rPr>
          <w:rFonts w:ascii="仿宋" w:eastAsia="仿宋" w:hAnsi="仿宋" w:cs="仿宋" w:hint="eastAsia"/>
          <w:color w:val="auto"/>
          <w:highlight w:val="none"/>
        </w:rPr>
        <w:t xml:space="preserve">建立和落实档案管理制度，将项目相关资料存档，包括但不限于：评价项目基本情况和相关文件、评价实施方案、项目支付资料等相关档案。</w:t>
      </w:r>
      <w:bookmarkEnd w:id="81"/>
      <w:bookmarkEnd w:id="82"/>
    </w:p>
    <w:p>
      <w:pPr>
        <w:pStyle w:val="Heading2"/>
        <w:bidi w:val="0"/>
        <w:jc w:val="both"/>
        <w:outlineLvl w:val="0"/>
        <w:rPr>
          <w:rFonts w:ascii="仿宋" w:eastAsia="仿宋" w:hAnsi="仿宋" w:cs="仿宋" w:hint="eastAsia"/>
          <w:color w:val="auto"/>
          <w:highlight w:val="none"/>
        </w:rPr>
      </w:pPr>
      <w:bookmarkStart w:id="83" w:name="_Toc32641"/>
      <w:bookmarkStart w:id="84" w:name="_Toc21627"/>
      <w:bookmarkStart w:id="85" w:name="_Toc25201"/>
      <w:bookmarkStart w:id="86" w:name="_Toc1808"/>
      <w:bookmarkStart w:id="87" w:name="_Toc17988"/>
      <w:bookmarkStart w:id="88" w:name="_Toc31058"/>
      <w:r>
        <w:rPr>
          <w:rFonts w:ascii="仿宋" w:eastAsia="仿宋" w:hAnsi="仿宋" w:cs="仿宋" w:hint="eastAsia"/>
          <w:color w:val="auto"/>
          <w:highlight w:val="none"/>
        </w:rPr>
        <w:t xml:space="preserve">三、综合评价情况及评价结论</w:t>
      </w:r>
      <w:bookmarkEnd w:id="83"/>
      <w:bookmarkEnd w:id="84"/>
      <w:bookmarkEnd w:id="85"/>
      <w:bookmarkEnd w:id="86"/>
      <w:bookmarkEnd w:id="87"/>
      <w:bookmarkEnd w:id="88"/>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本项目的绩效评价结果为“优”，综合评分</w:t>
      </w:r>
      <w:r>
        <w:rPr>
          <w:rFonts w:ascii="仿宋" w:eastAsia="仿宋" w:hAnsi="仿宋" w:cs="仿宋" w:hint="eastAsia"/>
          <w:color w:val="auto"/>
          <w:highlight w:val="none"/>
          <w:lang w:val="en-US" w:eastAsia="zh-CN"/>
        </w:rPr>
        <w:t xml:space="preserve">100</w:t>
      </w:r>
      <w:r>
        <w:rPr>
          <w:rFonts w:ascii="仿宋" w:eastAsia="仿宋" w:hAnsi="仿宋" w:cs="仿宋" w:hint="eastAsia"/>
          <w:color w:val="auto"/>
          <w:highlight w:val="none"/>
        </w:rPr>
        <w:t xml:space="preserve">分。其中项目决策22分，项目过程1</w:t>
      </w:r>
      <w:r>
        <w:rPr>
          <w:rFonts w:ascii="仿宋" w:eastAsia="仿宋" w:hAnsi="仿宋" w:cs="仿宋" w:hint="eastAsia"/>
          <w:color w:val="auto"/>
          <w:highlight w:val="none"/>
          <w:lang w:val="en-US" w:eastAsia="zh-CN"/>
        </w:rPr>
        <w:t xml:space="preserve">8</w:t>
      </w:r>
      <w:r>
        <w:rPr>
          <w:rFonts w:ascii="仿宋" w:eastAsia="仿宋" w:hAnsi="仿宋" w:cs="仿宋" w:hint="eastAsia"/>
          <w:color w:val="auto"/>
          <w:highlight w:val="none"/>
        </w:rPr>
        <w:t xml:space="preserve">分，项目产出管理得分</w:t>
      </w:r>
      <w:r>
        <w:rPr>
          <w:rFonts w:ascii="仿宋" w:eastAsia="仿宋" w:hAnsi="仿宋" w:cs="仿宋" w:hint="eastAsia"/>
          <w:color w:val="auto"/>
          <w:highlight w:val="none"/>
          <w:lang w:val="en-US" w:eastAsia="zh-CN"/>
        </w:rPr>
        <w:t xml:space="preserve">40</w:t>
      </w:r>
      <w:r>
        <w:rPr>
          <w:rFonts w:ascii="仿宋" w:eastAsia="仿宋" w:hAnsi="仿宋" w:cs="仿宋" w:hint="eastAsia"/>
          <w:color w:val="auto"/>
          <w:highlight w:val="none"/>
        </w:rPr>
        <w:t xml:space="preserve">分，项目效益20分</w:t>
      </w:r>
      <w:r>
        <w:rPr>
          <w:rFonts w:ascii="仿宋" w:eastAsia="仿宋" w:hAnsi="仿宋" w:cs="仿宋" w:hint="eastAsia"/>
          <w:color w:val="auto"/>
          <w:highlight w:val="none"/>
          <w:lang w:val="en-US" w:eastAsia="zh-CN"/>
        </w:rPr>
        <w:t xml:space="preserve">。各部分权重和绩效汇总分值如下表所示：</w:t>
      </w:r>
    </w:p>
    <w:tbl>
      <w:tblPr>
        <w:tblStyle w:val="NormalTable"/>
        <w:tblW w:w="8289" w:type="dxa"/>
        <w:jc w:val="center"/>
        <w:tblLayout w:type="fixed"/>
        <w:tblCellMar>
          <w:top w:w="0" w:type="dxa"/>
          <w:left w:w="0" w:type="dxa"/>
          <w:bottom w:w="0" w:type="dxa"/>
          <w:right w:w="0" w:type="dxa"/>
        </w:tblCellMar>
        <w:tblLook w:firstRow="0" w:lastRow="0" w:firstColumn="0" w:lastColumn="0" w:noHBand="1" w:noVBand="1"/>
      </w:tblPr>
      <w:tblGrid>
        <w:gridCol w:w="1094"/>
        <w:gridCol w:w="1541"/>
        <w:gridCol w:w="1520"/>
        <w:gridCol w:w="1536"/>
        <w:gridCol w:w="1504"/>
        <w:gridCol w:w="1094"/>
      </w:tblGrid>
      <w:tr>
        <w:tblPrEx>
          <w:tblW w:w="8289" w:type="dxa"/>
          <w:tblLayout w:type="fixed"/>
          <w:tblCellMar>
            <w:top w:w="0" w:type="dxa"/>
            <w:left w:w="0" w:type="dxa"/>
            <w:bottom w:w="0" w:type="dxa"/>
            <w:right w:w="0" w:type="dxa"/>
          </w:tblCellMar>
        </w:tblPrEx>
        <w:trPr>
          <w:trHeight w:val="375"/>
          <w:jc w:val="center"/>
        </w:trPr>
        <w:tc>
          <w:tcPr>
            <w:tcW w:w="8289" w:type="dxa"/>
            <w:gridSpan w:val="6"/>
            <w:tcBorders>
              <w:top w:val="nil"/>
              <w:left w:val="nil"/>
              <w:bottom w:val="nil"/>
              <w:right w:val="nil"/>
            </w:tcBorders>
            <w:noWrap w:val="1"/>
            <w:tcMar>
              <w:top w:w="15" w:type="dxa"/>
              <w:left w:w="15" w:type="dxa"/>
              <w:bottom w:w="0" w:type="dxa"/>
              <w:right w:w="15" w:type="dxa"/>
            </w:tcMar>
            <w:vAlign w:val="center"/>
          </w:tcPr>
          <w:p>
            <w:pPr>
              <w:pStyle w:val="表格标题"/>
              <w:bidi w:val="0"/>
              <w:jc w:val="center"/>
              <w:rPr>
                <w:rFonts w:ascii="仿宋" w:eastAsia="仿宋" w:hAnsi="仿宋" w:cs="仿宋" w:hint="eastAsia"/>
                <w:color w:val="auto"/>
                <w:highlight w:val="none"/>
              </w:rPr>
            </w:pPr>
            <w:bookmarkStart w:id="89" w:name="_Toc21892"/>
            <w:bookmarkStart w:id="90" w:name="_Toc30727"/>
            <w:bookmarkStart w:id="91" w:name="_Toc17356"/>
            <w:r>
              <w:rPr>
                <w:rFonts w:ascii="仿宋" w:eastAsia="仿宋" w:hAnsi="仿宋" w:cs="仿宋" w:hint="eastAsia"/>
                <w:color w:val="auto"/>
                <w:highlight w:val="none"/>
                <w:lang w:val="en-US" w:eastAsia="zh-CN"/>
              </w:rPr>
              <w:t xml:space="preserve">1-12路灯电费</w:t>
            </w:r>
            <w:bookmarkStart w:id="92" w:name="_Toc3703"/>
            <w:bookmarkStart w:id="93" w:name="_Toc16086"/>
            <w:r>
              <w:rPr>
                <w:rFonts w:ascii="仿宋" w:eastAsia="仿宋" w:hAnsi="仿宋" w:cs="仿宋" w:hint="eastAsia"/>
                <w:color w:val="auto"/>
                <w:highlight w:val="none"/>
              </w:rPr>
              <w:t xml:space="preserve">绩效评价</w:t>
            </w:r>
            <w:r>
              <w:rPr>
                <w:rFonts w:ascii="仿宋" w:eastAsia="仿宋" w:hAnsi="仿宋" w:cs="仿宋" w:hint="eastAsia"/>
                <w:color w:val="auto"/>
                <w:highlight w:val="none"/>
                <w:lang w:val="zh-TW" w:eastAsia="zh-TW"/>
              </w:rPr>
              <w:t xml:space="preserve">得分表</w:t>
            </w:r>
            <w:bookmarkEnd w:id="89"/>
            <w:bookmarkEnd w:id="92"/>
            <w:bookmarkEnd w:id="93"/>
          </w:p>
        </w:tc>
      </w:tr>
      <w:tr>
        <w:tblPrEx>
          <w:tblW w:w="8289" w:type="dxa"/>
          <w:tblLayout w:type="fixed"/>
          <w:tblCellMar>
            <w:top w:w="0" w:type="dxa"/>
            <w:left w:w="0" w:type="dxa"/>
            <w:bottom w:w="0" w:type="dxa"/>
            <w:right w:w="0" w:type="dxa"/>
          </w:tblCellMar>
        </w:tblPrEx>
        <w:trPr>
          <w:trHeight w:val="375"/>
          <w:jc w:val="center"/>
        </w:trPr>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仿宋" w:eastAsia="仿宋" w:hAnsi="仿宋" w:cs="仿宋" w:hint="eastAsia"/>
                <w:color w:val="auto"/>
                <w:highlight w:val="none"/>
              </w:rPr>
            </w:pPr>
            <w:r>
              <w:rPr>
                <w:rFonts w:ascii="仿宋" w:eastAsia="仿宋" w:hAnsi="仿宋" w:cs="仿宋" w:hint="eastAsia"/>
                <w:color w:val="auto"/>
                <w:highlight w:val="none"/>
              </w:rPr>
              <w:t xml:space="preserve">指标类别</w:t>
            </w:r>
          </w:p>
        </w:tc>
        <w:tc>
          <w:tcPr>
            <w:tcW w:w="1541"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仿宋" w:eastAsia="仿宋" w:hAnsi="仿宋" w:cs="仿宋" w:hint="eastAsia"/>
                <w:color w:val="auto"/>
                <w:highlight w:val="none"/>
              </w:rPr>
            </w:pPr>
            <w:r>
              <w:rPr>
                <w:rFonts w:ascii="仿宋" w:eastAsia="仿宋" w:hAnsi="仿宋" w:cs="仿宋" w:hint="eastAsia"/>
                <w:color w:val="auto"/>
                <w:highlight w:val="none"/>
              </w:rPr>
              <w:t xml:space="preserve">1.项目决策</w:t>
            </w:r>
          </w:p>
        </w:tc>
        <w:tc>
          <w:tcPr>
            <w:tcW w:w="1520"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仿宋" w:eastAsia="仿宋" w:hAnsi="仿宋" w:cs="仿宋" w:hint="eastAsia"/>
                <w:color w:val="auto"/>
                <w:highlight w:val="none"/>
              </w:rPr>
            </w:pPr>
            <w:r>
              <w:rPr>
                <w:rFonts w:ascii="仿宋" w:eastAsia="仿宋" w:hAnsi="仿宋" w:cs="仿宋" w:hint="eastAsia"/>
                <w:color w:val="auto"/>
                <w:highlight w:val="none"/>
              </w:rPr>
              <w:t xml:space="preserve">2.过程管理</w:t>
            </w:r>
          </w:p>
        </w:tc>
        <w:tc>
          <w:tcPr>
            <w:tcW w:w="1536"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仿宋" w:eastAsia="仿宋" w:hAnsi="仿宋" w:cs="仿宋" w:hint="eastAsia"/>
                <w:color w:val="auto"/>
                <w:highlight w:val="none"/>
              </w:rPr>
            </w:pPr>
            <w:r>
              <w:rPr>
                <w:rFonts w:ascii="仿宋" w:eastAsia="仿宋" w:hAnsi="仿宋" w:cs="仿宋" w:hint="eastAsia"/>
                <w:color w:val="auto"/>
                <w:highlight w:val="none"/>
              </w:rPr>
              <w:t xml:space="preserve">3.项目产出</w:t>
            </w:r>
          </w:p>
        </w:tc>
        <w:tc>
          <w:tcPr>
            <w:tcW w:w="150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仿宋" w:eastAsia="仿宋" w:hAnsi="仿宋" w:cs="仿宋" w:hint="eastAsia"/>
                <w:color w:val="auto"/>
                <w:highlight w:val="none"/>
              </w:rPr>
            </w:pPr>
            <w:r>
              <w:rPr>
                <w:rFonts w:ascii="仿宋" w:eastAsia="仿宋" w:hAnsi="仿宋" w:cs="仿宋" w:hint="eastAsia"/>
                <w:color w:val="auto"/>
                <w:highlight w:val="none"/>
              </w:rPr>
              <w:t xml:space="preserve">4.项目效益</w:t>
            </w:r>
          </w:p>
        </w:tc>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仿宋" w:eastAsia="仿宋" w:hAnsi="仿宋" w:cs="仿宋" w:hint="eastAsia"/>
                <w:color w:val="auto"/>
                <w:highlight w:val="none"/>
              </w:rPr>
            </w:pPr>
            <w:r>
              <w:rPr>
                <w:rFonts w:ascii="仿宋" w:eastAsia="仿宋" w:hAnsi="仿宋" w:cs="仿宋" w:hint="eastAsia"/>
                <w:color w:val="auto"/>
                <w:highlight w:val="none"/>
              </w:rPr>
              <w:t xml:space="preserve">合计</w:t>
            </w:r>
          </w:p>
        </w:tc>
      </w:tr>
      <w:tr>
        <w:tblPrEx>
          <w:tblW w:w="8289" w:type="dxa"/>
          <w:tblLayout w:type="fixed"/>
          <w:tblCellMar>
            <w:top w:w="0" w:type="dxa"/>
            <w:left w:w="0" w:type="dxa"/>
            <w:bottom w:w="0" w:type="dxa"/>
            <w:right w:w="0" w:type="dxa"/>
          </w:tblCellMar>
        </w:tblPrEx>
        <w:trPr>
          <w:trHeight w:val="441"/>
          <w:jc w:val="center"/>
        </w:trPr>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仿宋" w:eastAsia="仿宋" w:hAnsi="仿宋" w:cs="仿宋" w:hint="eastAsia"/>
                <w:color w:val="auto"/>
                <w:highlight w:val="none"/>
              </w:rPr>
            </w:pPr>
            <w:r>
              <w:rPr>
                <w:rFonts w:ascii="仿宋" w:eastAsia="仿宋" w:hAnsi="仿宋" w:cs="仿宋" w:hint="eastAsia"/>
                <w:color w:val="auto"/>
                <w:highlight w:val="none"/>
              </w:rPr>
              <w:t xml:space="preserve">权重</w:t>
            </w:r>
          </w:p>
        </w:tc>
        <w:tc>
          <w:tcPr>
            <w:tcW w:w="1541"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仿宋" w:eastAsia="仿宋" w:hAnsi="仿宋" w:cs="仿宋" w:hint="eastAsia"/>
                <w:color w:val="auto"/>
                <w:highlight w:val="none"/>
              </w:rPr>
            </w:pPr>
            <w:r>
              <w:rPr>
                <w:rFonts w:ascii="仿宋" w:eastAsia="仿宋" w:hAnsi="仿宋" w:cs="仿宋" w:hint="eastAsia"/>
                <w:color w:val="auto"/>
                <w:highlight w:val="none"/>
              </w:rPr>
              <w:t xml:space="preserve">22%</w:t>
            </w:r>
          </w:p>
        </w:tc>
        <w:tc>
          <w:tcPr>
            <w:tcW w:w="1520"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仿宋" w:eastAsia="仿宋" w:hAnsi="仿宋" w:cs="仿宋" w:hint="eastAsia"/>
                <w:color w:val="auto"/>
                <w:highlight w:val="none"/>
              </w:rPr>
            </w:pPr>
            <w:r>
              <w:rPr>
                <w:rFonts w:ascii="仿宋" w:eastAsia="仿宋" w:hAnsi="仿宋" w:cs="仿宋" w:hint="eastAsia"/>
                <w:color w:val="auto"/>
                <w:highlight w:val="none"/>
              </w:rPr>
              <w:t xml:space="preserve">18%</w:t>
            </w:r>
          </w:p>
        </w:tc>
        <w:tc>
          <w:tcPr>
            <w:tcW w:w="1536"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仿宋" w:eastAsia="仿宋" w:hAnsi="仿宋" w:cs="仿宋" w:hint="eastAsia"/>
                <w:color w:val="auto"/>
                <w:highlight w:val="none"/>
              </w:rPr>
            </w:pPr>
            <w:r>
              <w:rPr>
                <w:rFonts w:ascii="仿宋" w:eastAsia="仿宋" w:hAnsi="仿宋" w:cs="仿宋" w:hint="eastAsia"/>
                <w:color w:val="auto"/>
                <w:highlight w:val="none"/>
              </w:rPr>
              <w:t xml:space="preserve">40%</w:t>
            </w:r>
          </w:p>
        </w:tc>
        <w:tc>
          <w:tcPr>
            <w:tcW w:w="150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仿宋" w:eastAsia="仿宋" w:hAnsi="仿宋" w:cs="仿宋" w:hint="eastAsia"/>
                <w:color w:val="auto"/>
                <w:highlight w:val="none"/>
              </w:rPr>
            </w:pPr>
            <w:r>
              <w:rPr>
                <w:rFonts w:ascii="仿宋" w:eastAsia="仿宋" w:hAnsi="仿宋" w:cs="仿宋" w:hint="eastAsia"/>
                <w:color w:val="auto"/>
                <w:highlight w:val="none"/>
              </w:rPr>
              <w:t xml:space="preserve">20%</w:t>
            </w:r>
          </w:p>
        </w:tc>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仿宋" w:eastAsia="仿宋" w:hAnsi="仿宋" w:cs="仿宋" w:hint="eastAsia"/>
                <w:color w:val="auto"/>
                <w:highlight w:val="none"/>
                <w:lang w:val="en-US" w:eastAsia="zh-CN"/>
              </w:rPr>
            </w:pPr>
            <w:r>
              <w:rPr>
                <w:rFonts w:ascii="仿宋" w:eastAsia="仿宋" w:hAnsi="仿宋" w:cs="仿宋" w:hint="eastAsia"/>
                <w:color w:val="auto"/>
                <w:highlight w:val="none"/>
              </w:rPr>
              <w:t xml:space="preserve">100</w:t>
            </w:r>
            <w:r>
              <w:rPr>
                <w:rFonts w:ascii="仿宋" w:eastAsia="仿宋" w:hAnsi="仿宋" w:cs="仿宋" w:hint="eastAsia"/>
                <w:color w:val="auto"/>
                <w:highlight w:val="none"/>
                <w:lang w:val="en-US" w:eastAsia="zh-CN"/>
              </w:rPr>
              <w:t xml:space="preserve">%</w:t>
            </w:r>
          </w:p>
        </w:tc>
      </w:tr>
      <w:tr>
        <w:tblPrEx>
          <w:tblW w:w="8289" w:type="dxa"/>
          <w:tblLayout w:type="fixed"/>
          <w:tblCellMar>
            <w:top w:w="0" w:type="dxa"/>
            <w:left w:w="0" w:type="dxa"/>
            <w:bottom w:w="0" w:type="dxa"/>
            <w:right w:w="0" w:type="dxa"/>
          </w:tblCellMar>
        </w:tblPrEx>
        <w:trPr>
          <w:trHeight w:val="375"/>
          <w:jc w:val="center"/>
        </w:trPr>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仿宋" w:eastAsia="仿宋" w:hAnsi="仿宋" w:cs="仿宋" w:hint="eastAsia"/>
                <w:color w:val="auto"/>
                <w:highlight w:val="none"/>
              </w:rPr>
            </w:pPr>
            <w:r>
              <w:rPr>
                <w:rFonts w:ascii="仿宋" w:eastAsia="仿宋" w:hAnsi="仿宋" w:cs="仿宋" w:hint="eastAsia"/>
                <w:color w:val="auto"/>
                <w:highlight w:val="none"/>
              </w:rPr>
              <w:t xml:space="preserve">分值</w:t>
            </w:r>
          </w:p>
        </w:tc>
        <w:tc>
          <w:tcPr>
            <w:tcW w:w="1541"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仿宋" w:eastAsia="仿宋" w:hAnsi="仿宋" w:cs="仿宋" w:hint="eastAsia"/>
                <w:color w:val="auto"/>
                <w:highlight w:val="none"/>
              </w:rPr>
            </w:pPr>
            <w:r>
              <w:rPr>
                <w:rFonts w:ascii="仿宋" w:eastAsia="仿宋" w:hAnsi="仿宋" w:cs="仿宋" w:hint="eastAsia"/>
                <w:color w:val="auto"/>
                <w:highlight w:val="none"/>
              </w:rPr>
              <w:t xml:space="preserve">22</w:t>
            </w:r>
          </w:p>
        </w:tc>
        <w:tc>
          <w:tcPr>
            <w:tcW w:w="1520"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仿宋" w:eastAsia="仿宋" w:hAnsi="仿宋" w:cs="仿宋" w:hint="eastAsia"/>
                <w:color w:val="auto"/>
                <w:highlight w:val="none"/>
              </w:rPr>
            </w:pPr>
            <w:r>
              <w:rPr>
                <w:rFonts w:ascii="仿宋" w:eastAsia="仿宋" w:hAnsi="仿宋" w:cs="仿宋" w:hint="eastAsia"/>
                <w:color w:val="auto"/>
                <w:highlight w:val="none"/>
              </w:rPr>
              <w:t xml:space="preserve">18</w:t>
            </w:r>
          </w:p>
        </w:tc>
        <w:tc>
          <w:tcPr>
            <w:tcW w:w="1536"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仿宋" w:eastAsia="仿宋" w:hAnsi="仿宋" w:cs="仿宋" w:hint="eastAsia"/>
                <w:color w:val="auto"/>
                <w:highlight w:val="none"/>
              </w:rPr>
            </w:pPr>
            <w:r>
              <w:rPr>
                <w:rFonts w:ascii="仿宋" w:eastAsia="仿宋" w:hAnsi="仿宋" w:cs="仿宋" w:hint="eastAsia"/>
                <w:color w:val="auto"/>
                <w:highlight w:val="none"/>
              </w:rPr>
              <w:t xml:space="preserve">40</w:t>
            </w:r>
          </w:p>
        </w:tc>
        <w:tc>
          <w:tcPr>
            <w:tcW w:w="150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仿宋" w:eastAsia="仿宋" w:hAnsi="仿宋" w:cs="仿宋" w:hint="eastAsia"/>
                <w:color w:val="auto"/>
                <w:highlight w:val="none"/>
              </w:rPr>
            </w:pPr>
            <w:r>
              <w:rPr>
                <w:rFonts w:ascii="仿宋" w:eastAsia="仿宋" w:hAnsi="仿宋" w:cs="仿宋" w:hint="eastAsia"/>
                <w:color w:val="auto"/>
                <w:highlight w:val="none"/>
              </w:rPr>
              <w:t xml:space="preserve">20</w:t>
            </w:r>
          </w:p>
        </w:tc>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仿宋" w:eastAsia="仿宋" w:hAnsi="仿宋" w:cs="仿宋" w:hint="eastAsia"/>
                <w:color w:val="auto"/>
                <w:highlight w:val="none"/>
              </w:rPr>
            </w:pPr>
            <w:r>
              <w:rPr>
                <w:rFonts w:ascii="仿宋" w:eastAsia="仿宋" w:hAnsi="仿宋" w:cs="仿宋" w:hint="eastAsia"/>
                <w:color w:val="auto"/>
                <w:highlight w:val="none"/>
              </w:rPr>
              <w:t xml:space="preserve">100</w:t>
            </w:r>
          </w:p>
        </w:tc>
      </w:tr>
      <w:tr>
        <w:tblPrEx>
          <w:tblW w:w="8289" w:type="dxa"/>
          <w:tblLayout w:type="fixed"/>
          <w:tblCellMar>
            <w:top w:w="0" w:type="dxa"/>
            <w:left w:w="0" w:type="dxa"/>
            <w:bottom w:w="0" w:type="dxa"/>
            <w:right w:w="0" w:type="dxa"/>
          </w:tblCellMar>
        </w:tblPrEx>
        <w:trPr>
          <w:trHeight w:val="375"/>
          <w:jc w:val="center"/>
        </w:trPr>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仿宋" w:eastAsia="仿宋" w:hAnsi="仿宋" w:cs="仿宋" w:hint="eastAsia"/>
                <w:color w:val="auto"/>
                <w:highlight w:val="none"/>
              </w:rPr>
            </w:pPr>
            <w:r>
              <w:rPr>
                <w:rFonts w:ascii="仿宋" w:eastAsia="仿宋" w:hAnsi="仿宋" w:cs="仿宋" w:hint="eastAsia"/>
                <w:color w:val="auto"/>
                <w:highlight w:val="none"/>
              </w:rPr>
              <w:t xml:space="preserve">得分</w:t>
            </w:r>
          </w:p>
        </w:tc>
        <w:tc>
          <w:tcPr>
            <w:tcW w:w="1541"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仿宋" w:eastAsia="仿宋" w:hAnsi="仿宋" w:cs="仿宋" w:hint="eastAsia"/>
                <w:color w:val="auto"/>
                <w:highlight w:val="none"/>
              </w:rPr>
            </w:pPr>
            <w:r>
              <w:rPr>
                <w:rFonts w:ascii="仿宋" w:eastAsia="仿宋" w:hAnsi="仿宋" w:cs="仿宋" w:hint="eastAsia"/>
                <w:color w:val="auto"/>
                <w:highlight w:val="none"/>
              </w:rPr>
              <w:t xml:space="preserve">22</w:t>
            </w:r>
          </w:p>
        </w:tc>
        <w:tc>
          <w:tcPr>
            <w:tcW w:w="1520"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18</w:t>
            </w:r>
          </w:p>
        </w:tc>
        <w:tc>
          <w:tcPr>
            <w:tcW w:w="1536"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40</w:t>
            </w:r>
          </w:p>
        </w:tc>
        <w:tc>
          <w:tcPr>
            <w:tcW w:w="150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仿宋" w:eastAsia="仿宋" w:hAnsi="仿宋" w:cs="仿宋" w:hint="eastAsia"/>
                <w:color w:val="auto"/>
                <w:highlight w:val="none"/>
              </w:rPr>
            </w:pPr>
            <w:r>
              <w:rPr>
                <w:rFonts w:ascii="仿宋" w:eastAsia="仿宋" w:hAnsi="仿宋" w:cs="仿宋" w:hint="eastAsia"/>
                <w:color w:val="auto"/>
                <w:highlight w:val="none"/>
              </w:rPr>
              <w:t xml:space="preserve">20</w:t>
            </w:r>
          </w:p>
        </w:tc>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100</w:t>
            </w:r>
          </w:p>
        </w:tc>
      </w:tr>
    </w:tbl>
    <w:p>
      <w:pPr>
        <w:pStyle w:val="Heading2"/>
        <w:bidi w:val="0"/>
        <w:jc w:val="both"/>
        <w:outlineLvl w:val="0"/>
        <w:rPr>
          <w:rFonts w:ascii="仿宋" w:eastAsia="仿宋" w:hAnsi="仿宋" w:cs="仿宋" w:hint="eastAsia"/>
          <w:color w:val="auto"/>
          <w:highlight w:val="none"/>
        </w:rPr>
      </w:pPr>
      <w:bookmarkStart w:id="94" w:name="_Toc13630"/>
      <w:bookmarkStart w:id="95" w:name="_Toc4904"/>
      <w:bookmarkStart w:id="96" w:name="_Toc28586"/>
      <w:bookmarkStart w:id="97" w:name="_Toc29439"/>
      <w:r>
        <w:rPr>
          <w:rFonts w:ascii="仿宋" w:eastAsia="仿宋" w:hAnsi="仿宋" w:cs="仿宋" w:hint="eastAsia"/>
          <w:color w:val="auto"/>
          <w:highlight w:val="none"/>
        </w:rPr>
        <w:t xml:space="preserve">四、绩效评价指标分析</w:t>
      </w:r>
      <w:bookmarkEnd w:id="90"/>
      <w:bookmarkEnd w:id="91"/>
      <w:bookmarkEnd w:id="94"/>
      <w:bookmarkEnd w:id="95"/>
      <w:bookmarkEnd w:id="96"/>
      <w:bookmarkEnd w:id="97"/>
    </w:p>
    <w:p>
      <w:pPr>
        <w:pStyle w:val="Heading3"/>
        <w:bidi w:val="0"/>
        <w:jc w:val="both"/>
        <w:outlineLvl w:val="1"/>
        <w:rPr>
          <w:rFonts w:ascii="仿宋" w:eastAsia="仿宋" w:hAnsi="仿宋" w:cs="仿宋" w:hint="eastAsia"/>
          <w:color w:val="auto"/>
          <w:highlight w:val="none"/>
        </w:rPr>
      </w:pPr>
      <w:bookmarkStart w:id="98" w:name="_Toc2873"/>
      <w:bookmarkStart w:id="99" w:name="_Toc1968"/>
      <w:bookmarkStart w:id="100" w:name="_Toc2901"/>
      <w:bookmarkStart w:id="101" w:name="_Toc22323"/>
      <w:bookmarkStart w:id="102" w:name="_Toc28477"/>
      <w:r>
        <w:rPr>
          <w:rFonts w:ascii="仿宋" w:eastAsia="仿宋" w:hAnsi="仿宋" w:cs="仿宋" w:hint="eastAsia"/>
          <w:color w:val="auto"/>
          <w:highlight w:val="none"/>
        </w:rPr>
        <w:t xml:space="preserve">（一）项目决策情况</w:t>
      </w:r>
      <w:bookmarkEnd w:id="98"/>
      <w:bookmarkEnd w:id="99"/>
      <w:bookmarkEnd w:id="100"/>
      <w:bookmarkEnd w:id="101"/>
      <w:bookmarkEnd w:id="102"/>
    </w:p>
    <w:p>
      <w:pPr>
        <w:bidi w:val="0"/>
        <w:jc w:val="both"/>
        <w:rPr>
          <w:rFonts w:ascii="仿宋" w:eastAsia="仿宋" w:hAnsi="仿宋" w:cs="仿宋" w:hint="eastAsia"/>
          <w:b/>
          <w:bCs/>
          <w:color w:val="auto"/>
          <w:highlight w:val="none"/>
          <w:lang w:val="en-US" w:eastAsia="zh-CN"/>
        </w:rPr>
      </w:pPr>
      <w:bookmarkStart w:id="103" w:name="_Toc22511"/>
      <w:bookmarkStart w:id="104" w:name="_Toc510"/>
      <w:r>
        <w:rPr>
          <w:rFonts w:ascii="仿宋" w:eastAsia="仿宋" w:hAnsi="仿宋" w:cs="仿宋" w:hint="eastAsia"/>
          <w:b/>
          <w:bCs/>
          <w:color w:val="auto"/>
          <w:highlight w:val="none"/>
        </w:rPr>
        <w:t xml:space="preserve">1.</w:t>
      </w:r>
      <w:r>
        <w:rPr>
          <w:rFonts w:ascii="仿宋" w:eastAsia="仿宋" w:hAnsi="仿宋" w:cs="仿宋" w:hint="eastAsia"/>
          <w:b/>
          <w:bCs/>
          <w:color w:val="auto"/>
          <w:highlight w:val="none"/>
          <w:lang w:eastAsia="zh-CN"/>
        </w:rPr>
        <w:t xml:space="preserve">实施</w:t>
      </w:r>
      <w:r>
        <w:rPr>
          <w:rFonts w:ascii="仿宋" w:eastAsia="仿宋" w:hAnsi="仿宋" w:cs="仿宋" w:hint="eastAsia"/>
          <w:b/>
          <w:bCs/>
          <w:color w:val="auto"/>
          <w:highlight w:val="none"/>
        </w:rPr>
        <w:t xml:space="preserve">依据充分性</w:t>
      </w:r>
      <w:bookmarkEnd w:id="103"/>
      <w:bookmarkEnd w:id="104"/>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本</w:t>
      </w:r>
      <w:r>
        <w:rPr>
          <w:rFonts w:ascii="仿宋" w:eastAsia="仿宋" w:hAnsi="仿宋" w:cs="仿宋" w:hint="eastAsia"/>
          <w:color w:val="auto"/>
          <w:highlight w:val="none"/>
        </w:rPr>
        <w:t xml:space="preserve">项目</w:t>
      </w:r>
      <w:r>
        <w:rPr>
          <w:rFonts w:ascii="仿宋" w:eastAsia="仿宋" w:hAnsi="仿宋" w:cs="仿宋" w:hint="eastAsia"/>
          <w:color w:val="auto"/>
          <w:highlight w:val="none"/>
          <w:lang w:val="en-US" w:eastAsia="zh-CN"/>
        </w:rPr>
        <w:t xml:space="preserve">实施</w:t>
      </w:r>
      <w:r>
        <w:rPr>
          <w:rFonts w:ascii="仿宋" w:eastAsia="仿宋" w:hAnsi="仿宋" w:cs="仿宋" w:hint="eastAsia"/>
          <w:color w:val="auto"/>
          <w:highlight w:val="none"/>
        </w:rPr>
        <w:t xml:space="preserve">符合</w:t>
      </w:r>
      <w:r>
        <w:rPr>
          <w:rFonts w:ascii="仿宋" w:eastAsia="仿宋" w:hAnsi="仿宋" w:cs="仿宋" w:hint="eastAsia"/>
          <w:color w:val="auto"/>
          <w:highlight w:val="none"/>
          <w:lang w:eastAsia="zh-CN"/>
        </w:rPr>
        <w:t xml:space="preserve">财政部</w:t>
      </w:r>
      <w:r>
        <w:rPr>
          <w:rFonts w:ascii="仿宋" w:eastAsia="仿宋" w:hAnsi="仿宋" w:cs="仿宋" w:hint="eastAsia"/>
          <w:color w:val="auto"/>
          <w:highlight w:val="none"/>
        </w:rPr>
        <w:t xml:space="preserve">颁发的</w:t>
      </w:r>
      <w:r>
        <w:rPr>
          <w:rFonts w:ascii="仿宋" w:eastAsia="仿宋" w:hAnsi="仿宋" w:cs="仿宋" w:hint="eastAsia"/>
          <w:color w:val="auto"/>
          <w:highlight w:val="none"/>
          <w:lang w:eastAsia="zh-CN"/>
        </w:rPr>
        <w:t xml:space="preserve">根据</w:t>
      </w:r>
      <w:r>
        <w:rPr>
          <w:rFonts w:ascii="仿宋" w:eastAsia="仿宋" w:hAnsi="仿宋" w:cs="仿宋" w:hint="eastAsia"/>
          <w:color w:val="auto"/>
          <w:highlight w:val="none"/>
        </w:rPr>
        <w:t xml:space="preserve">《中华人民共和国预算法》</w:t>
      </w:r>
      <w:r>
        <w:rPr>
          <w:rFonts w:ascii="仿宋" w:eastAsia="仿宋" w:hAnsi="仿宋" w:cs="仿宋" w:hint="eastAsia"/>
          <w:color w:val="auto"/>
          <w:highlight w:val="none"/>
        </w:rPr>
        <w:t xml:space="preserve">中</w:t>
      </w:r>
      <w:r>
        <w:rPr>
          <w:rFonts w:ascii="仿宋" w:eastAsia="仿宋" w:hAnsi="仿宋" w:cs="仿宋" w:hint="eastAsia"/>
          <w:color w:val="auto"/>
          <w:highlight w:val="none"/>
        </w:rPr>
        <w:t xml:space="preserve">：“</w:t>
      </w:r>
      <w:r>
        <w:rPr>
          <w:rFonts w:ascii="仿宋" w:eastAsia="仿宋" w:hAnsi="仿宋" w:cs="仿宋" w:hint="eastAsia"/>
          <w:color w:val="auto"/>
          <w:highlight w:val="none"/>
          <w:lang w:eastAsia="zh-CN"/>
        </w:rPr>
        <w:t xml:space="preserve">涉及项目资金管理</w:t>
      </w:r>
      <w:r>
        <w:rPr>
          <w:rFonts w:ascii="仿宋" w:eastAsia="仿宋" w:hAnsi="仿宋" w:cs="仿宋" w:hint="eastAsia"/>
          <w:color w:val="auto"/>
          <w:highlight w:val="none"/>
        </w:rPr>
        <w:t xml:space="preserve">”</w:t>
      </w:r>
      <w:r>
        <w:rPr>
          <w:rFonts w:ascii="仿宋" w:eastAsia="仿宋" w:hAnsi="仿宋" w:cs="仿宋" w:hint="eastAsia"/>
          <w:color w:val="auto"/>
          <w:highlight w:val="none"/>
        </w:rPr>
        <w:t xml:space="preserve">；本项目</w:t>
      </w:r>
      <w:r>
        <w:rPr>
          <w:rFonts w:ascii="仿宋" w:eastAsia="仿宋" w:hAnsi="仿宋" w:cs="仿宋" w:hint="eastAsia"/>
          <w:color w:val="auto"/>
          <w:highlight w:val="none"/>
          <w:lang w:val="en-US" w:eastAsia="zh-CN"/>
        </w:rPr>
        <w:t xml:space="preserve">实施</w:t>
      </w:r>
      <w:r>
        <w:rPr>
          <w:rFonts w:ascii="仿宋" w:eastAsia="仿宋" w:hAnsi="仿宋" w:cs="仿宋" w:hint="eastAsia"/>
          <w:color w:val="auto"/>
          <w:highlight w:val="none"/>
        </w:rPr>
        <w:t xml:space="preserve">符合</w:t>
      </w:r>
      <w:r>
        <w:rPr>
          <w:rFonts w:ascii="仿宋" w:eastAsia="仿宋" w:hAnsi="仿宋" w:cs="仿宋" w:hint="eastAsia"/>
          <w:color w:val="auto"/>
          <w:highlight w:val="none"/>
        </w:rPr>
        <w:t xml:space="preserve">《城市照明管理规定》</w:t>
      </w:r>
      <w:r>
        <w:rPr>
          <w:rFonts w:ascii="仿宋" w:eastAsia="仿宋" w:hAnsi="仿宋" w:cs="仿宋" w:hint="eastAsia"/>
          <w:color w:val="auto"/>
          <w:highlight w:val="none"/>
        </w:rPr>
        <w:t xml:space="preserve">中</w:t>
      </w:r>
      <w:r>
        <w:rPr>
          <w:rFonts w:ascii="仿宋" w:eastAsia="仿宋" w:hAnsi="仿宋" w:cs="仿宋" w:hint="eastAsia"/>
          <w:color w:val="auto"/>
          <w:highlight w:val="none"/>
        </w:rPr>
        <w:t xml:space="preserve">：“</w:t>
      </w:r>
      <w:r>
        <w:rPr>
          <w:rFonts w:ascii="仿宋" w:eastAsia="仿宋" w:hAnsi="仿宋" w:cs="仿宋" w:hint="eastAsia"/>
          <w:color w:val="auto"/>
          <w:highlight w:val="none"/>
          <w:lang w:eastAsia="zh-CN"/>
        </w:rPr>
        <w:t xml:space="preserve">关于城市照明设施建设，维护管理的具体</w:t>
      </w:r>
      <w:r>
        <w:rPr>
          <w:rFonts w:ascii="仿宋" w:eastAsia="仿宋" w:hAnsi="仿宋" w:cs="仿宋" w:hint="eastAsia"/>
          <w:color w:val="auto"/>
          <w:highlight w:val="none"/>
        </w:rPr>
        <w:t xml:space="preserve">”</w:t>
      </w:r>
      <w:r>
        <w:rPr>
          <w:rFonts w:ascii="仿宋" w:eastAsia="仿宋" w:hAnsi="仿宋" w:cs="仿宋" w:hint="eastAsia"/>
          <w:color w:val="auto"/>
          <w:highlight w:val="none"/>
        </w:rPr>
        <w:t xml:space="preserve">内容，</w:t>
      </w:r>
      <w:r>
        <w:rPr>
          <w:rFonts w:ascii="仿宋" w:eastAsia="仿宋" w:hAnsi="仿宋" w:cs="仿宋" w:hint="eastAsia"/>
          <w:color w:val="auto"/>
          <w:highlight w:val="none"/>
        </w:rPr>
        <w:t xml:space="preserve">符合行业发展规划和政策要求</w:t>
      </w:r>
      <w:r>
        <w:rPr>
          <w:rFonts w:ascii="仿宋" w:eastAsia="仿宋" w:hAnsi="仿宋" w:cs="仿宋" w:hint="eastAsia"/>
          <w:color w:val="auto"/>
          <w:highlight w:val="none"/>
        </w:rPr>
        <w:t xml:space="preserve">；</w:t>
      </w:r>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lang w:val="en-US" w:eastAsia="zh-CN"/>
        </w:rPr>
        <w:t xml:space="preserve">1）</w:t>
      </w:r>
      <w:r>
        <w:rPr>
          <w:rFonts w:ascii="仿宋" w:eastAsia="仿宋" w:hAnsi="仿宋" w:cs="仿宋" w:hint="eastAsia"/>
          <w:color w:val="auto"/>
          <w:highlight w:val="none"/>
        </w:rPr>
        <w:t xml:space="preserve">项目</w:t>
      </w:r>
      <w:r>
        <w:rPr>
          <w:rFonts w:ascii="仿宋" w:eastAsia="仿宋" w:hAnsi="仿宋" w:cs="仿宋" w:hint="eastAsia"/>
          <w:color w:val="auto"/>
          <w:highlight w:val="none"/>
          <w:lang w:val="en-US" w:eastAsia="zh-CN"/>
        </w:rPr>
        <w:t xml:space="preserve">实施</w:t>
      </w:r>
      <w:r>
        <w:rPr>
          <w:rFonts w:ascii="仿宋" w:eastAsia="仿宋" w:hAnsi="仿宋" w:cs="仿宋" w:hint="eastAsia"/>
          <w:color w:val="auto"/>
          <w:highlight w:val="none"/>
        </w:rPr>
        <w:t xml:space="preserve">符合国家法律法规、国民经济发展规划和相关政策；</w:t>
      </w:r>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lang w:val="en-US" w:eastAsia="zh-CN"/>
        </w:rPr>
        <w:t xml:space="preserve">2）</w:t>
      </w:r>
      <w:r>
        <w:rPr>
          <w:rFonts w:ascii="仿宋" w:eastAsia="仿宋" w:hAnsi="仿宋" w:cs="仿宋" w:hint="eastAsia"/>
          <w:color w:val="auto"/>
          <w:highlight w:val="none"/>
        </w:rPr>
        <w:t xml:space="preserve">符合行业发展规划和政策要求；</w:t>
      </w:r>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lang w:val="en-US" w:eastAsia="zh-CN"/>
        </w:rPr>
        <w:t xml:space="preserve">3）</w:t>
      </w:r>
      <w:r>
        <w:rPr>
          <w:rFonts w:ascii="仿宋" w:eastAsia="仿宋" w:hAnsi="仿宋" w:cs="仿宋" w:hint="eastAsia"/>
          <w:color w:val="auto"/>
          <w:highlight w:val="none"/>
        </w:rPr>
        <w:t xml:space="preserve">与部门职责范围相符，属</w:t>
      </w:r>
      <w:r>
        <w:rPr>
          <w:rFonts w:ascii="仿宋" w:eastAsia="仿宋" w:hAnsi="仿宋" w:cs="仿宋" w:hint="eastAsia"/>
          <w:color w:val="auto"/>
          <w:highlight w:val="none"/>
        </w:rPr>
        <w:t xml:space="preserve">干部</w:t>
      </w:r>
      <w:r>
        <w:rPr>
          <w:rFonts w:ascii="仿宋" w:eastAsia="仿宋" w:hAnsi="仿宋" w:cs="仿宋" w:hint="eastAsia"/>
          <w:color w:val="auto"/>
          <w:highlight w:val="none"/>
        </w:rPr>
        <w:t xml:space="preserve">门履职所需；</w:t>
      </w:r>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lang w:val="en-US" w:eastAsia="zh-CN"/>
        </w:rPr>
        <w:t xml:space="preserve">4）</w:t>
      </w:r>
      <w:r>
        <w:rPr>
          <w:rFonts w:ascii="仿宋" w:eastAsia="仿宋" w:hAnsi="仿宋" w:cs="仿宋" w:hint="eastAsia"/>
          <w:color w:val="auto"/>
          <w:highlight w:val="none"/>
        </w:rPr>
        <w:t xml:space="preserve">属于公共财政</w:t>
      </w:r>
      <w:r>
        <w:rPr>
          <w:rFonts w:ascii="仿宋" w:eastAsia="仿宋" w:hAnsi="仿宋" w:cs="仿宋" w:hint="eastAsia"/>
          <w:color w:val="auto"/>
          <w:highlight w:val="none"/>
          <w:lang w:val="en-US" w:eastAsia="zh-CN"/>
        </w:rPr>
        <w:t xml:space="preserve">支出</w:t>
      </w:r>
      <w:r>
        <w:rPr>
          <w:rFonts w:ascii="仿宋" w:eastAsia="仿宋" w:hAnsi="仿宋" w:cs="仿宋" w:hint="eastAsia"/>
          <w:color w:val="auto"/>
          <w:highlight w:val="none"/>
        </w:rPr>
        <w:t xml:space="preserve">范围，符合中央、地方事权支出责任划分原则；</w:t>
      </w:r>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（5）不存在</w:t>
      </w:r>
      <w:r>
        <w:rPr>
          <w:rFonts w:ascii="仿宋" w:eastAsia="仿宋" w:hAnsi="仿宋" w:cs="仿宋" w:hint="eastAsia"/>
          <w:color w:val="auto"/>
          <w:highlight w:val="none"/>
        </w:rPr>
        <w:t xml:space="preserve">与相关部门同类项目或部门内部相关项目重复</w:t>
      </w:r>
      <w:r>
        <w:rPr>
          <w:rFonts w:ascii="仿宋" w:eastAsia="仿宋" w:hAnsi="仿宋" w:cs="仿宋" w:hint="eastAsia"/>
          <w:color w:val="auto"/>
          <w:highlight w:val="none"/>
          <w:lang w:val="en-US" w:eastAsia="zh-CN"/>
        </w:rPr>
        <w:t xml:space="preserve">的现象</w:t>
      </w:r>
      <w:r>
        <w:rPr>
          <w:rFonts w:ascii="仿宋" w:eastAsia="仿宋" w:hAnsi="仿宋" w:cs="仿宋" w:hint="eastAsia"/>
          <w:color w:val="auto"/>
          <w:highlight w:val="none"/>
        </w:rPr>
        <w:t xml:space="preserve">。</w:t>
      </w:r>
      <w:r>
        <w:rPr>
          <w:rFonts w:ascii="仿宋" w:eastAsia="仿宋" w:hAnsi="仿宋" w:cs="仿宋" w:hint="eastAsia"/>
          <w:color w:val="auto"/>
          <w:highlight w:val="none"/>
          <w:lang w:val="en-US" w:eastAsia="zh-CN"/>
        </w:rPr>
        <w:t xml:space="preserve">项目实施依据充分。</w:t>
      </w:r>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本项满分3分，评估得分3分。</w:t>
      </w:r>
    </w:p>
    <w:p>
      <w:pPr>
        <w:bidi w:val="0"/>
        <w:jc w:val="both"/>
        <w:rPr>
          <w:rFonts w:ascii="仿宋" w:eastAsia="仿宋" w:hAnsi="仿宋" w:cs="仿宋" w:hint="eastAsia"/>
          <w:b/>
          <w:bCs/>
          <w:color w:val="auto"/>
          <w:highlight w:val="none"/>
        </w:rPr>
      </w:pPr>
      <w:bookmarkStart w:id="105" w:name="_Toc27895"/>
      <w:bookmarkStart w:id="106" w:name="_Toc283"/>
      <w:r>
        <w:rPr>
          <w:rFonts w:ascii="仿宋" w:eastAsia="仿宋" w:hAnsi="仿宋" w:cs="仿宋" w:hint="eastAsia"/>
          <w:b/>
          <w:bCs/>
          <w:color w:val="auto"/>
          <w:highlight w:val="none"/>
        </w:rPr>
        <w:t xml:space="preserve">2.</w:t>
      </w:r>
      <w:r>
        <w:rPr>
          <w:rFonts w:ascii="仿宋" w:eastAsia="仿宋" w:hAnsi="仿宋" w:cs="仿宋" w:hint="eastAsia"/>
          <w:b/>
          <w:bCs/>
          <w:color w:val="auto"/>
          <w:highlight w:val="none"/>
          <w:lang w:eastAsia="zh-CN"/>
        </w:rPr>
        <w:t xml:space="preserve">实施</w:t>
      </w:r>
      <w:r>
        <w:rPr>
          <w:rFonts w:ascii="仿宋" w:eastAsia="仿宋" w:hAnsi="仿宋" w:cs="仿宋" w:hint="eastAsia"/>
          <w:b/>
          <w:bCs/>
          <w:color w:val="auto"/>
          <w:highlight w:val="none"/>
        </w:rPr>
        <w:t xml:space="preserve">程序规范性</w:t>
      </w:r>
      <w:bookmarkEnd w:id="105"/>
      <w:bookmarkEnd w:id="106"/>
    </w:p>
    <w:p>
      <w:pPr>
        <w:bidi w:val="0"/>
        <w:jc w:val="both"/>
        <w:rPr>
          <w:rFonts w:ascii="仿宋" w:eastAsia="仿宋" w:hAnsi="仿宋" w:cs="仿宋" w:hint="eastAsia"/>
          <w:color w:val="auto"/>
          <w:highlight w:val="none"/>
        </w:rPr>
      </w:pPr>
      <w:r>
        <w:rPr>
          <w:rFonts w:ascii="仿宋" w:eastAsia="仿宋" w:hAnsi="仿宋" w:cs="仿宋" w:hint="eastAsia"/>
          <w:bCs w:val="0"/>
          <w:iCs w:val="0"/>
          <w:color w:val="auto"/>
          <w:kern w:val="2"/>
          <w:sz w:val="32"/>
          <w:szCs w:val="22"/>
          <w:highlight w:val="none"/>
          <w:lang w:val="en-US" w:bidi="ar-SA"/>
        </w:rPr>
        <w:t xml:space="preserve">本项目</w:t>
      </w:r>
      <w:r>
        <w:rPr>
          <w:rFonts w:ascii="仿宋" w:eastAsia="仿宋" w:hAnsi="仿宋" w:cs="仿宋" w:hint="eastAsia"/>
          <w:bCs w:val="0"/>
          <w:iCs w:val="0"/>
          <w:color w:val="auto"/>
          <w:kern w:val="2"/>
          <w:sz w:val="32"/>
          <w:szCs w:val="22"/>
          <w:highlight w:val="none"/>
          <w:lang w:val="en-US" w:eastAsia="zh-CN" w:bidi="ar-SA"/>
        </w:rPr>
        <w:t xml:space="preserve">实施</w:t>
      </w:r>
      <w:r>
        <w:rPr>
          <w:rFonts w:ascii="仿宋" w:eastAsia="仿宋" w:hAnsi="仿宋" w:cs="仿宋" w:hint="eastAsia"/>
          <w:bCs w:val="0"/>
          <w:iCs w:val="0"/>
          <w:color w:val="auto"/>
          <w:kern w:val="2"/>
          <w:sz w:val="32"/>
          <w:szCs w:val="22"/>
          <w:highlight w:val="none"/>
          <w:lang w:val="en-US" w:bidi="ar-SA"/>
        </w:rPr>
        <w:t xml:space="preserve">资料</w:t>
      </w:r>
      <w:r>
        <w:rPr>
          <w:rFonts w:ascii="仿宋" w:eastAsia="仿宋" w:hAnsi="仿宋" w:cs="仿宋" w:hint="eastAsia"/>
          <w:bCs w:val="0"/>
          <w:iCs w:val="0"/>
          <w:color w:val="auto"/>
          <w:kern w:val="2"/>
          <w:sz w:val="32"/>
          <w:szCs w:val="22"/>
          <w:highlight w:val="none"/>
          <w:lang w:val="en-US" w:eastAsia="zh-CN" w:bidi="ar-SA"/>
        </w:rPr>
        <w:t xml:space="preserve">齐</w:t>
      </w:r>
      <w:r>
        <w:rPr>
          <w:rFonts w:ascii="仿宋" w:eastAsia="仿宋" w:hAnsi="仿宋" w:cs="仿宋" w:hint="eastAsia"/>
          <w:bCs w:val="0"/>
          <w:iCs w:val="0"/>
          <w:color w:val="auto"/>
          <w:kern w:val="2"/>
          <w:sz w:val="32"/>
          <w:szCs w:val="22"/>
          <w:highlight w:val="none"/>
          <w:lang w:val="en-US" w:bidi="ar-SA"/>
        </w:rPr>
        <w:t xml:space="preserve">全，编制了</w:t>
      </w:r>
      <w:r>
        <w:rPr>
          <w:rFonts w:ascii="仿宋" w:eastAsia="仿宋" w:hAnsi="仿宋" w:cs="仿宋" w:hint="eastAsia"/>
          <w:bCs w:val="0"/>
          <w:iCs w:val="0"/>
          <w:color w:val="auto"/>
          <w:kern w:val="2"/>
          <w:sz w:val="32"/>
          <w:szCs w:val="22"/>
          <w:highlight w:val="none"/>
          <w:lang w:val="en-US" w:eastAsia="zh-CN" w:bidi="ar-SA"/>
        </w:rPr>
        <w:t xml:space="preserve">《尉犁县路灯电费管理</w:t>
      </w:r>
      <w:r>
        <w:rPr>
          <w:rFonts w:ascii="仿宋" w:eastAsia="仿宋" w:hAnsi="仿宋" w:cs="仿宋" w:hint="eastAsia"/>
          <w:bCs w:val="0"/>
          <w:iCs w:val="0"/>
          <w:color w:val="auto"/>
          <w:kern w:val="2"/>
          <w:sz w:val="32"/>
          <w:szCs w:val="22"/>
          <w:highlight w:val="none"/>
          <w:lang w:val="en-US" w:bidi="ar-SA"/>
        </w:rPr>
        <w:t xml:space="preserve">实施方案</w:t>
      </w:r>
      <w:r>
        <w:rPr>
          <w:rFonts w:ascii="仿宋" w:eastAsia="仿宋" w:hAnsi="仿宋" w:cs="仿宋" w:hint="eastAsia"/>
          <w:bCs w:val="0"/>
          <w:iCs w:val="0"/>
          <w:color w:val="auto"/>
          <w:kern w:val="2"/>
          <w:sz w:val="32"/>
          <w:szCs w:val="22"/>
          <w:highlight w:val="none"/>
          <w:lang w:val="en-US" w:eastAsia="zh-CN" w:bidi="ar-SA"/>
        </w:rPr>
        <w:t xml:space="preserve">》</w:t>
      </w:r>
      <w:r>
        <w:rPr>
          <w:rFonts w:ascii="仿宋" w:eastAsia="仿宋" w:hAnsi="仿宋" w:cs="仿宋" w:hint="eastAsia"/>
          <w:bCs w:val="0"/>
          <w:iCs w:val="0"/>
          <w:color w:val="auto"/>
          <w:kern w:val="2"/>
          <w:sz w:val="32"/>
          <w:szCs w:val="22"/>
          <w:highlight w:val="none"/>
          <w:lang w:val="en-US" w:bidi="ar-SA"/>
        </w:rPr>
        <w:t xml:space="preserve">。</w:t>
      </w:r>
      <w:r>
        <w:rPr>
          <w:rFonts w:ascii="仿宋" w:eastAsia="仿宋" w:hAnsi="仿宋" w:cs="仿宋" w:hint="eastAsia"/>
          <w:bCs w:val="0"/>
          <w:iCs w:val="0"/>
          <w:color w:val="auto"/>
          <w:kern w:val="2"/>
          <w:sz w:val="32"/>
          <w:szCs w:val="22"/>
          <w:highlight w:val="none"/>
          <w:lang w:val="en-US" w:eastAsia="zh-CN" w:bidi="ar-SA"/>
        </w:rPr>
        <w:t xml:space="preserve">通过尉犁县市政工程服务中心办公会议同意实施该项目。因此，</w:t>
      </w:r>
      <w:r>
        <w:rPr>
          <w:rFonts w:ascii="仿宋" w:eastAsia="仿宋" w:hAnsi="仿宋" w:cs="仿宋" w:hint="eastAsia"/>
          <w:color w:val="auto"/>
          <w:highlight w:val="none"/>
          <w:lang w:val="en-US" w:eastAsia="zh-CN"/>
        </w:rPr>
        <w:t xml:space="preserve">实施</w:t>
      </w:r>
      <w:r>
        <w:rPr>
          <w:rFonts w:ascii="仿宋" w:eastAsia="仿宋" w:hAnsi="仿宋" w:cs="仿宋" w:hint="eastAsia"/>
          <w:color w:val="auto"/>
          <w:highlight w:val="none"/>
        </w:rPr>
        <w:t xml:space="preserve">程序规范；审批文件、材料符合相关要求，事前已经过必要的集体决策，实施程序规范。</w:t>
      </w:r>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本项满分3分，评估得分3分。</w:t>
      </w:r>
    </w:p>
    <w:p>
      <w:pPr>
        <w:bidi w:val="0"/>
        <w:jc w:val="both"/>
        <w:rPr>
          <w:rFonts w:ascii="仿宋" w:eastAsia="仿宋" w:hAnsi="仿宋" w:cs="仿宋" w:hint="eastAsia"/>
          <w:b/>
          <w:bCs/>
          <w:color w:val="auto"/>
          <w:highlight w:val="none"/>
        </w:rPr>
      </w:pPr>
      <w:bookmarkStart w:id="107" w:name="_Toc13368"/>
      <w:bookmarkStart w:id="108" w:name="_Toc20471"/>
      <w:r>
        <w:rPr>
          <w:rFonts w:ascii="仿宋" w:eastAsia="仿宋" w:hAnsi="仿宋" w:cs="仿宋" w:hint="eastAsia"/>
          <w:b/>
          <w:bCs/>
          <w:color w:val="auto"/>
          <w:highlight w:val="none"/>
        </w:rPr>
        <w:t xml:space="preserve">3.绩效目标合理性</w:t>
      </w:r>
      <w:bookmarkEnd w:id="107"/>
      <w:bookmarkEnd w:id="108"/>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lang w:eastAsia="zh-CN"/>
        </w:rPr>
        <w:t xml:space="preserve">尉犁县市政工程服务中心</w:t>
      </w:r>
      <w:r>
        <w:rPr>
          <w:rFonts w:ascii="仿宋" w:eastAsia="仿宋" w:hAnsi="仿宋" w:cs="仿宋" w:hint="eastAsia"/>
          <w:color w:val="auto"/>
          <w:highlight w:val="none"/>
          <w:lang w:val="en-US" w:eastAsia="zh-CN"/>
        </w:rPr>
        <w:t xml:space="preserve">1-12月路灯电费</w:t>
      </w:r>
      <w:r>
        <w:rPr>
          <w:rFonts w:ascii="仿宋" w:eastAsia="仿宋" w:hAnsi="仿宋" w:cs="仿宋" w:hint="eastAsia"/>
          <w:color w:val="auto"/>
          <w:highlight w:val="none"/>
        </w:rPr>
        <w:t xml:space="preserve">设立了项目绩效目标，绩效目标指标设置合理，项目绩效目标与实际工作内容相关性较强；项目预期产出效益和效果符合正常的业绩水平；绩效目标与预算确定的项目投资额相匹配。</w:t>
      </w:r>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本项满分4分，评估得分4分。</w:t>
      </w:r>
    </w:p>
    <w:p>
      <w:pPr>
        <w:bidi w:val="0"/>
        <w:jc w:val="both"/>
        <w:rPr>
          <w:rFonts w:ascii="仿宋" w:eastAsia="仿宋" w:hAnsi="仿宋" w:cs="仿宋" w:hint="eastAsia"/>
          <w:b/>
          <w:bCs/>
          <w:color w:val="auto"/>
          <w:highlight w:val="none"/>
        </w:rPr>
      </w:pPr>
      <w:bookmarkStart w:id="109" w:name="_Toc21087"/>
      <w:bookmarkStart w:id="110" w:name="_Toc15543"/>
      <w:r>
        <w:rPr>
          <w:rFonts w:ascii="仿宋" w:eastAsia="仿宋" w:hAnsi="仿宋" w:cs="仿宋" w:hint="eastAsia"/>
          <w:b/>
          <w:bCs/>
          <w:color w:val="auto"/>
          <w:highlight w:val="none"/>
        </w:rPr>
        <w:t xml:space="preserve">4.绩效指标明确性</w:t>
      </w:r>
      <w:bookmarkEnd w:id="109"/>
      <w:bookmarkEnd w:id="110"/>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lang w:eastAsia="zh-CN"/>
        </w:rPr>
        <w:t xml:space="preserve">尉犁县市政工程服务中心</w:t>
      </w:r>
      <w:r>
        <w:rPr>
          <w:rFonts w:ascii="仿宋" w:eastAsia="仿宋" w:hAnsi="仿宋" w:cs="仿宋" w:hint="eastAsia"/>
          <w:color w:val="auto"/>
          <w:highlight w:val="none"/>
          <w:lang w:val="en-US" w:eastAsia="zh-CN"/>
        </w:rPr>
        <w:t xml:space="preserve">1-12月路灯电费</w:t>
      </w:r>
      <w:r>
        <w:rPr>
          <w:rFonts w:ascii="仿宋" w:eastAsia="仿宋" w:hAnsi="仿宋" w:cs="仿宋" w:hint="eastAsia"/>
          <w:color w:val="auto"/>
          <w:highlight w:val="none"/>
        </w:rPr>
        <w:t xml:space="preserve">，设置一级指标</w:t>
      </w:r>
      <w:r>
        <w:rPr>
          <w:rFonts w:ascii="仿宋" w:eastAsia="仿宋" w:hAnsi="仿宋" w:cs="仿宋" w:hint="eastAsia"/>
          <w:color w:val="auto"/>
          <w:highlight w:val="none"/>
          <w:lang w:val="en-US" w:eastAsia="zh-CN"/>
        </w:rPr>
        <w:t xml:space="preserve">4</w:t>
      </w:r>
      <w:r>
        <w:rPr>
          <w:rFonts w:ascii="仿宋" w:eastAsia="仿宋" w:hAnsi="仿宋" w:cs="仿宋" w:hint="eastAsia"/>
          <w:color w:val="auto"/>
          <w:highlight w:val="none"/>
        </w:rPr>
        <w:t xml:space="preserve">条，二级指标</w:t>
      </w:r>
      <w:r>
        <w:rPr>
          <w:rFonts w:ascii="仿宋" w:eastAsia="仿宋" w:hAnsi="仿宋" w:cs="仿宋" w:hint="eastAsia"/>
          <w:color w:val="auto"/>
          <w:highlight w:val="none"/>
          <w:lang w:val="en-US" w:eastAsia="zh-CN"/>
        </w:rPr>
        <w:t xml:space="preserve">7</w:t>
      </w:r>
      <w:r>
        <w:rPr>
          <w:rFonts w:ascii="仿宋" w:eastAsia="仿宋" w:hAnsi="仿宋" w:cs="仿宋" w:hint="eastAsia"/>
          <w:color w:val="auto"/>
          <w:highlight w:val="none"/>
        </w:rPr>
        <w:t xml:space="preserve">条，三级指标</w:t>
      </w:r>
      <w:r>
        <w:rPr>
          <w:rFonts w:ascii="仿宋" w:eastAsia="仿宋" w:hAnsi="仿宋" w:cs="仿宋" w:hint="eastAsia"/>
          <w:color w:val="auto"/>
          <w:highlight w:val="none"/>
          <w:lang w:val="en-US" w:eastAsia="zh-CN"/>
        </w:rPr>
        <w:t xml:space="preserve">8</w:t>
      </w:r>
      <w:r>
        <w:rPr>
          <w:rFonts w:ascii="仿宋" w:eastAsia="仿宋" w:hAnsi="仿宋" w:cs="仿宋" w:hint="eastAsia"/>
          <w:color w:val="auto"/>
          <w:highlight w:val="none"/>
        </w:rPr>
        <w:t xml:space="preserve">条，其中量化指标</w:t>
      </w:r>
      <w:r>
        <w:rPr>
          <w:rFonts w:ascii="仿宋" w:eastAsia="仿宋" w:hAnsi="仿宋" w:cs="仿宋" w:hint="eastAsia"/>
          <w:color w:val="auto"/>
          <w:highlight w:val="none"/>
          <w:lang w:val="en-US" w:eastAsia="zh-CN"/>
        </w:rPr>
        <w:t xml:space="preserve">7</w:t>
      </w:r>
      <w:r>
        <w:rPr>
          <w:rFonts w:ascii="仿宋" w:eastAsia="仿宋" w:hAnsi="仿宋" w:cs="仿宋" w:hint="eastAsia"/>
          <w:color w:val="auto"/>
          <w:highlight w:val="none"/>
        </w:rPr>
        <w:t xml:space="preserve">条，绩效目标指标设定清晰、可衡量性较强，与项目目标任务计划数对应性较强。</w:t>
      </w:r>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本项满分4分，评估得分4分。</w:t>
      </w:r>
    </w:p>
    <w:p>
      <w:pPr>
        <w:bidi w:val="0"/>
        <w:jc w:val="both"/>
        <w:rPr>
          <w:rFonts w:ascii="仿宋" w:eastAsia="仿宋" w:hAnsi="仿宋" w:cs="仿宋" w:hint="eastAsia"/>
          <w:b/>
          <w:bCs/>
          <w:color w:val="auto"/>
          <w:highlight w:val="none"/>
        </w:rPr>
      </w:pPr>
      <w:bookmarkStart w:id="111" w:name="_Toc21476"/>
      <w:bookmarkStart w:id="112" w:name="_Toc25638"/>
      <w:r>
        <w:rPr>
          <w:rFonts w:ascii="仿宋" w:eastAsia="仿宋" w:hAnsi="仿宋" w:cs="仿宋" w:hint="eastAsia"/>
          <w:b/>
          <w:bCs/>
          <w:color w:val="auto"/>
          <w:highlight w:val="none"/>
        </w:rPr>
        <w:t xml:space="preserve">5.预算编制科学性</w:t>
      </w:r>
      <w:bookmarkEnd w:id="111"/>
      <w:bookmarkEnd w:id="112"/>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本项目预算资金</w:t>
      </w:r>
      <w:r>
        <w:rPr>
          <w:rFonts w:ascii="仿宋" w:eastAsia="仿宋" w:hAnsi="仿宋" w:cs="仿宋" w:hint="eastAsia"/>
          <w:color w:val="auto"/>
          <w:highlight w:val="none"/>
          <w:lang w:val="en-US" w:eastAsia="zh-CN"/>
        </w:rPr>
        <w:t xml:space="preserve">190</w:t>
      </w:r>
      <w:r>
        <w:rPr>
          <w:rFonts w:ascii="仿宋" w:eastAsia="仿宋" w:hAnsi="仿宋" w:cs="仿宋" w:hint="eastAsia"/>
          <w:color w:val="auto"/>
          <w:highlight w:val="none"/>
        </w:rPr>
        <w:t xml:space="preserve">万元，来源为</w:t>
      </w:r>
      <w:r>
        <w:rPr>
          <w:rFonts w:ascii="仿宋" w:eastAsia="仿宋" w:hAnsi="仿宋" w:cs="仿宋" w:hint="eastAsia"/>
          <w:color w:val="auto"/>
          <w:highlight w:val="none"/>
          <w:lang w:val="en-US" w:eastAsia="zh-CN"/>
        </w:rPr>
        <w:t xml:space="preserve">县本级</w:t>
      </w:r>
      <w:r>
        <w:rPr>
          <w:rFonts w:ascii="仿宋" w:eastAsia="仿宋" w:hAnsi="仿宋" w:cs="仿宋" w:hint="eastAsia"/>
          <w:color w:val="auto"/>
          <w:highlight w:val="none"/>
        </w:rPr>
        <w:t xml:space="preserve">资金</w:t>
      </w:r>
      <w:r>
        <w:rPr>
          <w:rFonts w:ascii="仿宋" w:eastAsia="仿宋" w:hAnsi="仿宋" w:cs="仿宋" w:hint="eastAsia"/>
          <w:color w:val="auto"/>
          <w:highlight w:val="none"/>
          <w:lang w:val="en-US" w:eastAsia="zh-CN"/>
        </w:rPr>
        <w:t xml:space="preserve">190</w:t>
      </w:r>
      <w:r>
        <w:rPr>
          <w:rFonts w:ascii="仿宋" w:eastAsia="仿宋" w:hAnsi="仿宋" w:cs="仿宋" w:hint="eastAsia"/>
          <w:color w:val="auto"/>
          <w:highlight w:val="none"/>
        </w:rPr>
        <w:t xml:space="preserve">万元，预算编制较为科学，预算内容与项目</w:t>
      </w:r>
      <w:r>
        <w:rPr>
          <w:rFonts w:ascii="仿宋" w:eastAsia="仿宋" w:hAnsi="仿宋" w:cs="仿宋" w:hint="eastAsia"/>
          <w:color w:val="auto"/>
          <w:highlight w:val="none"/>
          <w:lang w:val="en-US" w:eastAsia="zh-CN"/>
        </w:rPr>
        <w:t xml:space="preserve">实施</w:t>
      </w:r>
      <w:r>
        <w:rPr>
          <w:rFonts w:ascii="仿宋" w:eastAsia="仿宋" w:hAnsi="仿宋" w:cs="仿宋" w:hint="eastAsia"/>
          <w:color w:val="auto"/>
          <w:highlight w:val="none"/>
        </w:rPr>
        <w:t xml:space="preserve">内容相匹配，预算额度测算依据充分，预算确定的资金量与</w:t>
      </w:r>
      <w:r>
        <w:rPr>
          <w:rFonts w:ascii="仿宋" w:eastAsia="仿宋" w:hAnsi="仿宋" w:cs="仿宋" w:hint="eastAsia"/>
          <w:color w:val="auto"/>
          <w:highlight w:val="none"/>
          <w:lang w:val="en-US" w:eastAsia="zh-CN"/>
        </w:rPr>
        <w:t xml:space="preserve">工作</w:t>
      </w:r>
      <w:r>
        <w:rPr>
          <w:rFonts w:ascii="仿宋" w:eastAsia="仿宋" w:hAnsi="仿宋" w:cs="仿宋" w:hint="eastAsia"/>
          <w:color w:val="auto"/>
          <w:highlight w:val="none"/>
        </w:rPr>
        <w:t xml:space="preserve">量相匹配。</w:t>
      </w:r>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本项满分4分，评估得分4分。</w:t>
      </w:r>
    </w:p>
    <w:p>
      <w:pPr>
        <w:bidi w:val="0"/>
        <w:jc w:val="both"/>
        <w:rPr>
          <w:rFonts w:ascii="仿宋" w:eastAsia="仿宋" w:hAnsi="仿宋" w:cs="仿宋" w:hint="eastAsia"/>
          <w:b/>
          <w:bCs/>
          <w:color w:val="auto"/>
          <w:highlight w:val="none"/>
        </w:rPr>
      </w:pPr>
      <w:bookmarkStart w:id="113" w:name="_Toc21577"/>
      <w:bookmarkStart w:id="114" w:name="_Toc30661"/>
      <w:r>
        <w:rPr>
          <w:rFonts w:ascii="仿宋" w:eastAsia="仿宋" w:hAnsi="仿宋" w:cs="仿宋" w:hint="eastAsia"/>
          <w:b/>
          <w:bCs/>
          <w:color w:val="auto"/>
          <w:highlight w:val="none"/>
        </w:rPr>
        <w:t xml:space="preserve">6.资金分配合理性</w:t>
      </w:r>
      <w:bookmarkEnd w:id="113"/>
      <w:bookmarkEnd w:id="114"/>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本项目预算资金分配依据充分；资金分配额度合理，与项目单位实际相适应。</w:t>
      </w:r>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本项满分4分，评估得分4分。</w:t>
      </w:r>
    </w:p>
    <w:p>
      <w:pPr>
        <w:pStyle w:val="Heading3"/>
        <w:bidi w:val="0"/>
        <w:jc w:val="both"/>
        <w:outlineLvl w:val="1"/>
        <w:rPr>
          <w:rFonts w:ascii="仿宋" w:eastAsia="仿宋" w:hAnsi="仿宋" w:cs="仿宋" w:hint="eastAsia"/>
          <w:b/>
          <w:color w:val="auto"/>
          <w:highlight w:val="none"/>
        </w:rPr>
      </w:pPr>
      <w:bookmarkStart w:id="115" w:name="_Toc30992"/>
      <w:bookmarkStart w:id="116" w:name="_Toc9897"/>
      <w:bookmarkStart w:id="117" w:name="_Toc30070"/>
      <w:bookmarkStart w:id="118" w:name="_Toc13442"/>
      <w:bookmarkStart w:id="119" w:name="_Toc27855"/>
      <w:r>
        <w:rPr>
          <w:rFonts w:ascii="仿宋" w:eastAsia="仿宋" w:hAnsi="仿宋" w:cs="仿宋" w:hint="eastAsia"/>
          <w:b/>
          <w:color w:val="auto"/>
          <w:highlight w:val="none"/>
        </w:rPr>
        <w:t xml:space="preserve">（二）项目过程情况</w:t>
      </w:r>
      <w:bookmarkEnd w:id="115"/>
      <w:bookmarkEnd w:id="116"/>
      <w:bookmarkEnd w:id="117"/>
      <w:bookmarkEnd w:id="118"/>
      <w:bookmarkEnd w:id="119"/>
    </w:p>
    <w:p>
      <w:pPr>
        <w:bidi w:val="0"/>
        <w:jc w:val="both"/>
        <w:rPr>
          <w:rFonts w:ascii="仿宋" w:eastAsia="仿宋" w:hAnsi="仿宋" w:cs="仿宋" w:hint="eastAsia"/>
          <w:b/>
          <w:bCs/>
          <w:color w:val="auto"/>
          <w:highlight w:val="none"/>
        </w:rPr>
      </w:pPr>
      <w:bookmarkStart w:id="120" w:name="_Toc19854"/>
      <w:bookmarkStart w:id="121" w:name="_Toc29417"/>
      <w:r>
        <w:rPr>
          <w:rFonts w:ascii="仿宋" w:eastAsia="仿宋" w:hAnsi="仿宋" w:cs="仿宋" w:hint="eastAsia"/>
          <w:b/>
          <w:bCs/>
          <w:color w:val="auto"/>
          <w:highlight w:val="none"/>
        </w:rPr>
        <w:t xml:space="preserve">1.资金到位率</w:t>
      </w:r>
      <w:bookmarkEnd w:id="120"/>
      <w:bookmarkEnd w:id="121"/>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本项目预算资金</w:t>
      </w:r>
      <w:r>
        <w:rPr>
          <w:rFonts w:ascii="仿宋" w:eastAsia="仿宋" w:hAnsi="仿宋" w:cs="仿宋" w:hint="eastAsia"/>
          <w:color w:val="auto"/>
          <w:highlight w:val="none"/>
          <w:lang w:val="en-US" w:eastAsia="zh-CN"/>
        </w:rPr>
        <w:t xml:space="preserve">190</w:t>
      </w:r>
      <w:r>
        <w:rPr>
          <w:rFonts w:ascii="仿宋" w:eastAsia="仿宋" w:hAnsi="仿宋" w:cs="仿宋" w:hint="eastAsia"/>
          <w:color w:val="auto"/>
          <w:highlight w:val="none"/>
        </w:rPr>
        <w:t xml:space="preserve">万元，实际到位资金</w:t>
      </w:r>
      <w:r>
        <w:rPr>
          <w:rFonts w:ascii="仿宋" w:eastAsia="仿宋" w:hAnsi="仿宋" w:cs="仿宋" w:hint="eastAsia"/>
          <w:color w:val="auto"/>
          <w:highlight w:val="none"/>
          <w:lang w:val="en-US" w:eastAsia="zh-CN"/>
        </w:rPr>
        <w:t xml:space="preserve">190</w:t>
      </w:r>
      <w:r>
        <w:rPr>
          <w:rFonts w:ascii="仿宋" w:eastAsia="仿宋" w:hAnsi="仿宋" w:cs="仿宋" w:hint="eastAsia"/>
          <w:color w:val="auto"/>
          <w:highlight w:val="none"/>
        </w:rPr>
        <w:t xml:space="preserve">万元，资金到位率100%。</w:t>
      </w:r>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本项满分4分，评估得分4分。</w:t>
      </w:r>
    </w:p>
    <w:p>
      <w:pPr>
        <w:bidi w:val="0"/>
        <w:jc w:val="both"/>
        <w:rPr>
          <w:rFonts w:ascii="仿宋" w:eastAsia="仿宋" w:hAnsi="仿宋" w:cs="仿宋" w:hint="eastAsia"/>
          <w:b/>
          <w:bCs/>
          <w:color w:val="auto"/>
          <w:highlight w:val="none"/>
        </w:rPr>
      </w:pPr>
      <w:bookmarkStart w:id="122" w:name="_Toc13724"/>
      <w:bookmarkStart w:id="123" w:name="_Toc29889"/>
      <w:r>
        <w:rPr>
          <w:rFonts w:ascii="仿宋" w:eastAsia="仿宋" w:hAnsi="仿宋" w:cs="仿宋" w:hint="eastAsia"/>
          <w:b/>
          <w:bCs/>
          <w:color w:val="auto"/>
          <w:highlight w:val="none"/>
        </w:rPr>
        <w:t xml:space="preserve">2.预算执行率</w:t>
      </w:r>
      <w:bookmarkEnd w:id="122"/>
      <w:bookmarkEnd w:id="123"/>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本项目到位资金</w:t>
      </w:r>
      <w:r>
        <w:rPr>
          <w:rFonts w:ascii="仿宋" w:eastAsia="仿宋" w:hAnsi="仿宋" w:cs="仿宋" w:hint="eastAsia"/>
          <w:color w:val="auto"/>
          <w:highlight w:val="none"/>
          <w:lang w:val="en-US" w:eastAsia="zh-CN"/>
        </w:rPr>
        <w:t xml:space="preserve">190</w:t>
      </w:r>
      <w:r>
        <w:rPr>
          <w:rFonts w:ascii="仿宋" w:eastAsia="仿宋" w:hAnsi="仿宋" w:cs="仿宋" w:hint="eastAsia"/>
          <w:color w:val="auto"/>
          <w:highlight w:val="none"/>
        </w:rPr>
        <w:t xml:space="preserve">万元，实际支付资金</w:t>
      </w:r>
      <w:r>
        <w:rPr>
          <w:rFonts w:ascii="仿宋" w:eastAsia="仿宋" w:hAnsi="仿宋" w:cs="仿宋" w:hint="eastAsia"/>
          <w:color w:val="auto"/>
          <w:highlight w:val="none"/>
          <w:lang w:val="en-US" w:eastAsia="zh-CN"/>
        </w:rPr>
        <w:t xml:space="preserve">190</w:t>
      </w:r>
      <w:r>
        <w:rPr>
          <w:rFonts w:ascii="仿宋" w:eastAsia="仿宋" w:hAnsi="仿宋" w:cs="仿宋" w:hint="eastAsia"/>
          <w:color w:val="auto"/>
          <w:highlight w:val="none"/>
        </w:rPr>
        <w:t xml:space="preserve">万元，预算执行率为</w:t>
      </w:r>
      <w:r>
        <w:rPr>
          <w:rFonts w:ascii="仿宋" w:eastAsia="仿宋" w:hAnsi="仿宋" w:cs="仿宋" w:hint="eastAsia"/>
          <w:color w:val="auto"/>
          <w:highlight w:val="none"/>
          <w:lang w:val="en-US" w:eastAsia="zh-CN"/>
        </w:rPr>
        <w:t xml:space="preserve">100</w:t>
      </w:r>
      <w:r>
        <w:rPr>
          <w:rFonts w:ascii="仿宋" w:eastAsia="仿宋" w:hAnsi="仿宋" w:cs="仿宋" w:hint="eastAsia"/>
          <w:color w:val="auto"/>
          <w:highlight w:val="none"/>
        </w:rPr>
        <w:t xml:space="preserve">%。</w:t>
      </w:r>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本项满分4分，评估得分</w:t>
      </w:r>
      <w:r>
        <w:rPr>
          <w:rFonts w:ascii="仿宋" w:eastAsia="仿宋" w:hAnsi="仿宋" w:cs="仿宋" w:hint="eastAsia"/>
          <w:color w:val="auto"/>
          <w:highlight w:val="none"/>
          <w:lang w:val="en-US" w:eastAsia="zh-CN"/>
        </w:rPr>
        <w:t xml:space="preserve">4</w:t>
      </w:r>
      <w:r>
        <w:rPr>
          <w:rFonts w:ascii="仿宋" w:eastAsia="仿宋" w:hAnsi="仿宋" w:cs="仿宋" w:hint="eastAsia"/>
          <w:color w:val="auto"/>
          <w:highlight w:val="none"/>
        </w:rPr>
        <w:t xml:space="preserve">分。</w:t>
      </w:r>
    </w:p>
    <w:p>
      <w:pPr>
        <w:bidi w:val="0"/>
        <w:jc w:val="both"/>
        <w:rPr>
          <w:rFonts w:ascii="仿宋" w:eastAsia="仿宋" w:hAnsi="仿宋" w:cs="仿宋" w:hint="eastAsia"/>
          <w:b/>
          <w:bCs/>
          <w:color w:val="auto"/>
          <w:highlight w:val="none"/>
        </w:rPr>
      </w:pPr>
      <w:bookmarkStart w:id="124" w:name="_Toc2484"/>
      <w:bookmarkStart w:id="125" w:name="_Toc8316"/>
      <w:r>
        <w:rPr>
          <w:rFonts w:ascii="仿宋" w:eastAsia="仿宋" w:hAnsi="仿宋" w:cs="仿宋" w:hint="eastAsia"/>
          <w:b/>
          <w:bCs/>
          <w:color w:val="auto"/>
          <w:highlight w:val="none"/>
        </w:rPr>
        <w:t xml:space="preserve">3.资金使用合规性</w:t>
      </w:r>
      <w:bookmarkEnd w:id="124"/>
      <w:bookmarkEnd w:id="125"/>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本项目资金的使用符合</w:t>
      </w:r>
      <w:r>
        <w:rPr>
          <w:rFonts w:ascii="仿宋" w:eastAsia="仿宋" w:hAnsi="仿宋" w:cs="仿宋" w:hint="eastAsia"/>
          <w:color w:val="auto"/>
          <w:highlight w:val="none"/>
          <w:lang w:val="en-US" w:eastAsia="zh-CN"/>
        </w:rPr>
        <w:t xml:space="preserve">《中华人民共和国预算法》《中华人民共和国会计法》等</w:t>
      </w:r>
      <w:r>
        <w:rPr>
          <w:rFonts w:ascii="仿宋" w:eastAsia="仿宋" w:hAnsi="仿宋" w:cs="仿宋" w:hint="eastAsia"/>
          <w:color w:val="auto"/>
          <w:highlight w:val="none"/>
          <w:lang w:eastAsia="zh-CN"/>
        </w:rPr>
        <w:t xml:space="preserve">国家</w:t>
      </w:r>
      <w:r>
        <w:rPr>
          <w:rFonts w:ascii="仿宋" w:eastAsia="仿宋" w:hAnsi="仿宋" w:cs="仿宋" w:hint="eastAsia"/>
          <w:color w:val="auto"/>
          <w:highlight w:val="none"/>
          <w:lang w:val="en-US" w:eastAsia="zh-CN"/>
        </w:rPr>
        <w:t xml:space="preserve">有关</w:t>
      </w:r>
      <w:r>
        <w:rPr>
          <w:rFonts w:ascii="仿宋" w:eastAsia="仿宋" w:hAnsi="仿宋" w:cs="仿宋" w:hint="eastAsia"/>
          <w:color w:val="auto"/>
          <w:highlight w:val="none"/>
          <w:lang w:eastAsia="zh-CN"/>
        </w:rPr>
        <w:t xml:space="preserve">财经法规</w:t>
      </w:r>
      <w:r>
        <w:rPr>
          <w:rFonts w:ascii="仿宋" w:eastAsia="仿宋" w:hAnsi="仿宋" w:cs="仿宋" w:hint="eastAsia"/>
          <w:color w:val="auto"/>
          <w:highlight w:val="none"/>
          <w:lang w:val="en-US" w:eastAsia="zh-CN"/>
        </w:rPr>
        <w:t xml:space="preserve">以及预算管理制度。</w:t>
      </w:r>
      <w:r>
        <w:rPr>
          <w:rFonts w:ascii="仿宋" w:eastAsia="仿宋" w:hAnsi="仿宋" w:cs="仿宋" w:hint="eastAsia"/>
          <w:color w:val="auto"/>
          <w:highlight w:val="none"/>
        </w:rPr>
        <w:t xml:space="preserve">资金的</w:t>
      </w:r>
      <w:r>
        <w:rPr>
          <w:rFonts w:ascii="仿宋" w:eastAsia="仿宋" w:hAnsi="仿宋" w:cs="仿宋" w:hint="eastAsia"/>
          <w:color w:val="auto"/>
          <w:highlight w:val="none"/>
          <w:lang w:val="en-US" w:eastAsia="zh-CN"/>
        </w:rPr>
        <w:t xml:space="preserve">审批和</w:t>
      </w:r>
      <w:r>
        <w:rPr>
          <w:rFonts w:ascii="仿宋" w:eastAsia="仿宋" w:hAnsi="仿宋" w:cs="仿宋" w:hint="eastAsia"/>
          <w:color w:val="auto"/>
          <w:highlight w:val="none"/>
        </w:rPr>
        <w:t xml:space="preserve">拨付</w:t>
      </w:r>
      <w:r>
        <w:rPr>
          <w:rFonts w:ascii="仿宋" w:eastAsia="仿宋" w:hAnsi="仿宋" w:cs="仿宋" w:hint="eastAsia"/>
          <w:color w:val="auto"/>
          <w:highlight w:val="none"/>
          <w:lang w:val="en-US" w:eastAsia="zh-CN"/>
        </w:rPr>
        <w:t xml:space="preserve">按照《尉犁县财政资金审批管理办法》执行</w:t>
      </w:r>
      <w:r>
        <w:rPr>
          <w:rFonts w:ascii="仿宋" w:eastAsia="仿宋" w:hAnsi="仿宋" w:cs="仿宋" w:hint="eastAsia"/>
          <w:color w:val="auto"/>
          <w:highlight w:val="none"/>
        </w:rPr>
        <w:t xml:space="preserve">。资金的拨付有完整的审批程序和手续；资金使用符合专项资金支持的范围。不存在截留、挤占、挪用、虚列支出等情况。</w:t>
      </w:r>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本项满分4分，评估得分4分。</w:t>
      </w:r>
    </w:p>
    <w:p>
      <w:pPr>
        <w:bidi w:val="0"/>
        <w:jc w:val="both"/>
        <w:rPr>
          <w:rFonts w:ascii="仿宋" w:eastAsia="仿宋" w:hAnsi="仿宋" w:cs="仿宋" w:hint="eastAsia"/>
          <w:b/>
          <w:bCs/>
          <w:color w:val="auto"/>
          <w:highlight w:val="none"/>
        </w:rPr>
      </w:pPr>
      <w:bookmarkStart w:id="126" w:name="_Toc20651"/>
      <w:bookmarkStart w:id="127" w:name="_Toc15332"/>
      <w:r>
        <w:rPr>
          <w:rFonts w:ascii="仿宋" w:eastAsia="仿宋" w:hAnsi="仿宋" w:cs="仿宋" w:hint="eastAsia"/>
          <w:b/>
          <w:bCs/>
          <w:color w:val="auto"/>
          <w:highlight w:val="none"/>
        </w:rPr>
        <w:t xml:space="preserve">4.管理制度健全性</w:t>
      </w:r>
      <w:bookmarkEnd w:id="126"/>
      <w:bookmarkEnd w:id="127"/>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尉犁县市政工程服务中心</w:t>
      </w:r>
      <w:r>
        <w:rPr>
          <w:rFonts w:ascii="仿宋" w:eastAsia="仿宋" w:hAnsi="仿宋" w:cs="仿宋" w:hint="eastAsia"/>
          <w:color w:val="auto"/>
          <w:highlight w:val="none"/>
        </w:rPr>
        <w:t xml:space="preserve">制定了</w:t>
      </w:r>
      <w:r>
        <w:rPr>
          <w:rFonts w:ascii="仿宋" w:eastAsia="仿宋" w:hAnsi="仿宋" w:cs="仿宋" w:hint="eastAsia"/>
          <w:color w:val="auto"/>
          <w:highlight w:val="none"/>
          <w:lang w:val="en-US" w:eastAsia="zh-CN"/>
        </w:rPr>
        <w:t xml:space="preserve">《尉犁县市政工程服务中心财务管理制度》和《尉犁县市政工程服务中心预算管理内控制度》，制定了较为全面的项目管理制度，对项目实施、组织与管理、跟踪与验收、监督与评价以及资金管理等方面都做出明确的规范要求。同时，项目的实施严格遵守《中华人民共和国预算法》《中华人民共和国会计法》等法律法规、财经制度的要求，</w:t>
      </w:r>
      <w:r>
        <w:rPr>
          <w:rFonts w:ascii="仿宋" w:eastAsia="仿宋" w:hAnsi="仿宋" w:cs="仿宋" w:hint="eastAsia"/>
          <w:color w:val="auto"/>
          <w:highlight w:val="none"/>
        </w:rPr>
        <w:t xml:space="preserve">资金管理等方面都做出明确的规范的要求</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财务制度和业务管理制度</w:t>
      </w:r>
      <w:r>
        <w:rPr>
          <w:rFonts w:ascii="仿宋" w:eastAsia="仿宋" w:hAnsi="仿宋" w:cs="仿宋" w:hint="eastAsia"/>
          <w:color w:val="auto"/>
          <w:highlight w:val="none"/>
          <w:lang w:val="en-US" w:eastAsia="zh-CN"/>
        </w:rPr>
        <w:t xml:space="preserve">健全</w:t>
      </w:r>
      <w:r>
        <w:rPr>
          <w:rFonts w:ascii="仿宋" w:eastAsia="仿宋" w:hAnsi="仿宋" w:cs="仿宋" w:hint="eastAsia"/>
          <w:color w:val="auto"/>
          <w:highlight w:val="none"/>
        </w:rPr>
        <w:t xml:space="preserve">。</w:t>
      </w:r>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本项满分3分，评估得分3分。</w:t>
      </w:r>
    </w:p>
    <w:p>
      <w:pPr>
        <w:bidi w:val="0"/>
        <w:jc w:val="both"/>
        <w:rPr>
          <w:rFonts w:ascii="仿宋" w:eastAsia="仿宋" w:hAnsi="仿宋" w:cs="仿宋" w:hint="eastAsia"/>
          <w:b/>
          <w:bCs/>
          <w:color w:val="auto"/>
          <w:highlight w:val="none"/>
        </w:rPr>
      </w:pPr>
      <w:bookmarkStart w:id="128" w:name="_Toc14853"/>
      <w:bookmarkStart w:id="129" w:name="_Toc14023"/>
      <w:r>
        <w:rPr>
          <w:rFonts w:ascii="仿宋" w:eastAsia="仿宋" w:hAnsi="仿宋" w:cs="仿宋" w:hint="eastAsia"/>
          <w:b/>
          <w:bCs/>
          <w:color w:val="auto"/>
          <w:highlight w:val="none"/>
        </w:rPr>
        <w:t xml:space="preserve">5.制度执行有效性</w:t>
      </w:r>
      <w:bookmarkEnd w:id="128"/>
      <w:bookmarkEnd w:id="129"/>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路灯电费制度的执行有效性，本质上是管理机制、技术手段与责任落实的协同效应。需通过“制度设计科学化、执行流程规范化、监督考核严格化、技术应用智能化”四个维度的提升，形成“事前有规划、事中有管控、事后有评估”的闭环管理，最终实现路灯电费的合理控制与公共资源的高效利用。</w:t>
      </w:r>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本项满分3分，评估得分3分。</w:t>
      </w:r>
    </w:p>
    <w:p>
      <w:pPr>
        <w:pStyle w:val="Heading3"/>
        <w:bidi w:val="0"/>
        <w:jc w:val="both"/>
        <w:outlineLvl w:val="1"/>
        <w:rPr>
          <w:rFonts w:ascii="仿宋" w:eastAsia="仿宋" w:hAnsi="仿宋" w:cs="仿宋" w:hint="eastAsia"/>
          <w:color w:val="auto"/>
          <w:highlight w:val="none"/>
        </w:rPr>
      </w:pPr>
      <w:bookmarkStart w:id="130" w:name="_Toc20274"/>
      <w:bookmarkStart w:id="131" w:name="_Toc22156"/>
      <w:bookmarkStart w:id="132" w:name="_Toc31545"/>
      <w:bookmarkStart w:id="133" w:name="_Toc6865"/>
      <w:bookmarkStart w:id="134" w:name="_Toc5161"/>
      <w:r>
        <w:rPr>
          <w:rFonts w:ascii="仿宋" w:eastAsia="仿宋" w:hAnsi="仿宋" w:cs="仿宋" w:hint="eastAsia"/>
          <w:color w:val="auto"/>
          <w:highlight w:val="none"/>
        </w:rPr>
        <w:t xml:space="preserve">（三）项目产出情况</w:t>
      </w:r>
      <w:bookmarkEnd w:id="130"/>
      <w:bookmarkEnd w:id="131"/>
      <w:bookmarkEnd w:id="132"/>
      <w:bookmarkEnd w:id="133"/>
      <w:bookmarkEnd w:id="134"/>
    </w:p>
    <w:p>
      <w:pPr>
        <w:bidi w:val="0"/>
        <w:jc w:val="both"/>
        <w:rPr>
          <w:rFonts w:ascii="仿宋" w:eastAsia="仿宋" w:hAnsi="仿宋" w:cs="仿宋" w:hint="eastAsia"/>
          <w:b/>
          <w:bCs/>
          <w:color w:val="auto"/>
          <w:highlight w:val="none"/>
        </w:rPr>
      </w:pPr>
      <w:bookmarkStart w:id="135" w:name="_Toc4184"/>
      <w:bookmarkStart w:id="136" w:name="_Toc31041"/>
      <w:r>
        <w:rPr>
          <w:rFonts w:ascii="仿宋" w:eastAsia="仿宋" w:hAnsi="仿宋" w:cs="仿宋" w:hint="eastAsia"/>
          <w:b/>
          <w:bCs/>
          <w:color w:val="auto"/>
          <w:highlight w:val="none"/>
        </w:rPr>
        <w:t xml:space="preserve">1.产出数量</w:t>
      </w:r>
      <w:bookmarkEnd w:id="135"/>
      <w:bookmarkEnd w:id="136"/>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数量指标：</w:t>
      </w:r>
    </w:p>
    <w:p>
      <w:pPr>
        <w:bidi w:val="0"/>
        <w:jc w:val="both"/>
        <w:rPr>
          <w:rFonts w:ascii="仿宋" w:eastAsia="仿宋" w:hAnsi="仿宋" w:cs="仿宋" w:hint="eastAsia"/>
          <w:color w:val="auto"/>
          <w:highlight w:val="none"/>
        </w:rPr>
      </w:pPr>
      <w:r>
        <w:rPr>
          <w:rFonts w:ascii="仿宋" w:eastAsia="仿宋" w:hAnsi="仿宋" w:cs="仿宋" w:hint="eastAsia"/>
          <w:bCs/>
          <w:color w:val="auto"/>
          <w:szCs w:val="32"/>
          <w:highlight w:val="none"/>
          <w:lang w:val="en-US" w:eastAsia="zh-CN"/>
        </w:rPr>
        <w:t xml:space="preserve">指标1：</w:t>
      </w:r>
      <w:r>
        <w:rPr>
          <w:rFonts w:ascii="仿宋" w:eastAsia="仿宋" w:hAnsi="仿宋" w:cs="仿宋" w:hint="eastAsia"/>
          <w:color w:val="auto"/>
          <w:highlight w:val="none"/>
          <w:lang w:val="en-US" w:eastAsia="zh-CN"/>
        </w:rPr>
        <w:t xml:space="preserve">县城供电红绿灯站点数量</w:t>
      </w:r>
      <w:r>
        <w:rPr>
          <w:rFonts w:ascii="仿宋" w:eastAsia="仿宋" w:hAnsi="仿宋" w:cs="仿宋" w:hint="eastAsia"/>
          <w:color w:val="auto"/>
          <w:highlight w:val="none"/>
        </w:rPr>
        <w:t xml:space="preserve">，预期指标值</w:t>
      </w:r>
      <w:r>
        <w:rPr>
          <w:rFonts w:ascii="仿宋" w:eastAsia="仿宋" w:hAnsi="仿宋" w:cs="仿宋" w:hint="eastAsia"/>
          <w:color w:val="auto"/>
          <w:highlight w:val="none"/>
          <w:lang w:val="en-US" w:eastAsia="zh-CN"/>
        </w:rPr>
        <w:t xml:space="preserve">大于或等于</w:t>
      </w:r>
      <w:r>
        <w:rPr>
          <w:rFonts w:ascii="仿宋" w:eastAsia="仿宋" w:hAnsi="仿宋" w:cs="仿宋" w:hint="eastAsia"/>
          <w:color w:val="auto"/>
          <w:highlight w:val="none"/>
        </w:rPr>
        <w:t xml:space="preserve">46处，指标完成值：46处，完成率：</w:t>
      </w:r>
      <w:r>
        <w:rPr>
          <w:rFonts w:ascii="仿宋" w:eastAsia="仿宋" w:hAnsi="仿宋" w:cs="仿宋" w:hint="eastAsia"/>
          <w:color w:val="auto"/>
          <w:highlight w:val="none"/>
          <w:lang w:val="en-US" w:eastAsia="zh-CN"/>
        </w:rPr>
        <w:t xml:space="preserve">100%</w:t>
      </w:r>
      <w:r>
        <w:rPr>
          <w:rFonts w:ascii="仿宋" w:eastAsia="仿宋" w:hAnsi="仿宋" w:cs="仿宋" w:hint="eastAsia"/>
          <w:color w:val="auto"/>
          <w:highlight w:val="none"/>
        </w:rPr>
        <w:t xml:space="preserve">；</w:t>
      </w:r>
    </w:p>
    <w:p>
      <w:pPr>
        <w:bidi w:val="0"/>
        <w:jc w:val="both"/>
        <w:rPr>
          <w:rFonts w:ascii="仿宋" w:eastAsia="仿宋" w:hAnsi="仿宋" w:cs="仿宋" w:hint="eastAsia"/>
          <w:color w:val="auto"/>
          <w:highlight w:val="none"/>
        </w:rPr>
      </w:pPr>
      <w:r>
        <w:rPr>
          <w:rFonts w:ascii="仿宋" w:eastAsia="仿宋" w:hAnsi="仿宋" w:cs="仿宋" w:hint="eastAsia"/>
          <w:b w:val="0"/>
          <w:bCs/>
          <w:color w:val="auto"/>
          <w:kern w:val="2"/>
          <w:sz w:val="32"/>
          <w:szCs w:val="32"/>
          <w:highlight w:val="none"/>
          <w:lang w:val="en-US" w:eastAsia="zh-CN" w:bidi="ar-SA"/>
        </w:rPr>
        <w:t xml:space="preserve">指标2：</w:t>
      </w:r>
      <w:r>
        <w:rPr>
          <w:rFonts w:ascii="仿宋" w:eastAsia="仿宋" w:hAnsi="仿宋" w:cs="仿宋" w:hint="eastAsia"/>
          <w:color w:val="auto"/>
          <w:highlight w:val="none"/>
          <w:lang w:val="en-US" w:eastAsia="zh-CN"/>
        </w:rPr>
        <w:t xml:space="preserve">县城供电亮化路条数</w:t>
      </w:r>
      <w:r>
        <w:rPr>
          <w:rFonts w:ascii="仿宋" w:eastAsia="仿宋" w:hAnsi="仿宋" w:cs="仿宋" w:hint="eastAsia"/>
          <w:color w:val="auto"/>
          <w:highlight w:val="none"/>
        </w:rPr>
        <w:t xml:space="preserve">，预期指标值</w:t>
      </w:r>
      <w:r>
        <w:rPr>
          <w:rFonts w:ascii="仿宋" w:eastAsia="仿宋" w:hAnsi="仿宋" w:cs="仿宋" w:hint="eastAsia"/>
          <w:color w:val="auto"/>
          <w:highlight w:val="none"/>
          <w:lang w:eastAsia="zh-CN"/>
        </w:rPr>
        <w:t xml:space="preserve">等于</w:t>
      </w:r>
      <w:r>
        <w:rPr>
          <w:rFonts w:ascii="仿宋" w:eastAsia="仿宋" w:hAnsi="仿宋" w:cs="仿宋" w:hint="eastAsia"/>
          <w:color w:val="auto"/>
          <w:highlight w:val="none"/>
          <w:lang w:val="en-US" w:eastAsia="zh-CN"/>
        </w:rPr>
        <w:t xml:space="preserve">大于或等于43条</w:t>
      </w:r>
      <w:r>
        <w:rPr>
          <w:rFonts w:ascii="仿宋" w:eastAsia="仿宋" w:hAnsi="仿宋" w:cs="仿宋" w:hint="eastAsia"/>
          <w:color w:val="auto"/>
          <w:highlight w:val="none"/>
        </w:rPr>
        <w:t xml:space="preserve">，指标完成值：</w:t>
      </w:r>
      <w:r>
        <w:rPr>
          <w:rFonts w:ascii="仿宋" w:eastAsia="仿宋" w:hAnsi="仿宋" w:cs="仿宋" w:hint="eastAsia"/>
          <w:color w:val="auto"/>
          <w:highlight w:val="none"/>
          <w:lang w:val="en-US" w:eastAsia="zh-CN"/>
        </w:rPr>
        <w:t xml:space="preserve">43条</w:t>
      </w:r>
      <w:r>
        <w:rPr>
          <w:rFonts w:ascii="仿宋" w:eastAsia="仿宋" w:hAnsi="仿宋" w:cs="仿宋" w:hint="eastAsia"/>
          <w:color w:val="auto"/>
          <w:highlight w:val="none"/>
        </w:rPr>
        <w:t xml:space="preserve">，完成率：</w:t>
      </w:r>
      <w:r>
        <w:rPr>
          <w:rFonts w:ascii="仿宋" w:eastAsia="仿宋" w:hAnsi="仿宋" w:cs="仿宋" w:hint="eastAsia"/>
          <w:color w:val="auto"/>
          <w:highlight w:val="none"/>
          <w:lang w:val="en-US" w:eastAsia="zh-CN"/>
        </w:rPr>
        <w:t xml:space="preserve">100%</w:t>
      </w:r>
      <w:r>
        <w:rPr>
          <w:rFonts w:ascii="仿宋" w:eastAsia="仿宋" w:hAnsi="仿宋" w:cs="仿宋" w:hint="eastAsia"/>
          <w:color w:val="auto"/>
          <w:highlight w:val="none"/>
        </w:rPr>
        <w:t xml:space="preserve">；</w:t>
      </w:r>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本项满分12分，评估得分12分。</w:t>
      </w:r>
    </w:p>
    <w:p>
      <w:pPr>
        <w:bidi w:val="0"/>
        <w:jc w:val="both"/>
        <w:rPr>
          <w:rFonts w:ascii="仿宋" w:eastAsia="仿宋" w:hAnsi="仿宋" w:cs="仿宋" w:hint="eastAsia"/>
          <w:b/>
          <w:bCs/>
          <w:color w:val="auto"/>
          <w:highlight w:val="none"/>
        </w:rPr>
      </w:pPr>
      <w:bookmarkStart w:id="137" w:name="_Toc21607"/>
      <w:bookmarkStart w:id="138" w:name="_Toc7420"/>
      <w:r>
        <w:rPr>
          <w:rFonts w:ascii="仿宋" w:eastAsia="仿宋" w:hAnsi="仿宋" w:cs="仿宋" w:hint="eastAsia"/>
          <w:b/>
          <w:bCs/>
          <w:color w:val="auto"/>
          <w:highlight w:val="none"/>
        </w:rPr>
        <w:t xml:space="preserve">2.产出质量</w:t>
      </w:r>
      <w:bookmarkEnd w:id="137"/>
      <w:bookmarkEnd w:id="138"/>
    </w:p>
    <w:p>
      <w:pPr>
        <w:bidi w:val="0"/>
        <w:jc w:val="both"/>
        <w:rPr>
          <w:rFonts w:ascii="仿宋" w:eastAsia="仿宋" w:hAnsi="仿宋" w:cs="仿宋" w:hint="eastAsia"/>
          <w:color w:val="auto"/>
          <w:highlight w:val="none"/>
        </w:rPr>
      </w:pPr>
      <w:r>
        <w:rPr>
          <w:rFonts w:ascii="仿宋" w:eastAsia="仿宋" w:hAnsi="仿宋" w:cs="仿宋" w:hint="eastAsia"/>
          <w:b w:val="0"/>
          <w:bCs/>
          <w:color w:val="auto"/>
          <w:kern w:val="2"/>
          <w:sz w:val="32"/>
          <w:szCs w:val="32"/>
          <w:highlight w:val="none"/>
          <w:lang w:val="en-US" w:eastAsia="zh-CN" w:bidi="ar-SA"/>
        </w:rPr>
        <w:t xml:space="preserve">指标1：</w:t>
      </w:r>
      <w:r>
        <w:rPr>
          <w:rFonts w:ascii="仿宋" w:eastAsia="仿宋" w:hAnsi="仿宋" w:cs="仿宋" w:hint="eastAsia"/>
          <w:color w:val="auto"/>
          <w:highlight w:val="none"/>
          <w:lang w:val="en-US" w:eastAsia="zh-CN"/>
        </w:rPr>
        <w:t xml:space="preserve">保证正常亮化率</w:t>
      </w:r>
      <w:r>
        <w:rPr>
          <w:rFonts w:ascii="仿宋" w:eastAsia="仿宋" w:hAnsi="仿宋" w:cs="仿宋" w:hint="eastAsia"/>
          <w:color w:val="auto"/>
          <w:highlight w:val="none"/>
        </w:rPr>
        <w:t xml:space="preserve">，预期指标值</w:t>
      </w:r>
      <w:r>
        <w:rPr>
          <w:rFonts w:ascii="仿宋" w:eastAsia="仿宋" w:hAnsi="仿宋" w:cs="仿宋" w:hint="eastAsia"/>
          <w:color w:val="auto"/>
          <w:highlight w:val="none"/>
          <w:lang w:val="en-US" w:eastAsia="zh-CN"/>
        </w:rPr>
        <w:t xml:space="preserve">等于95%</w:t>
      </w:r>
      <w:r>
        <w:rPr>
          <w:rFonts w:ascii="仿宋" w:eastAsia="仿宋" w:hAnsi="仿宋" w:cs="仿宋" w:hint="eastAsia"/>
          <w:color w:val="auto"/>
          <w:highlight w:val="none"/>
        </w:rPr>
        <w:t xml:space="preserve">，指标完成值：</w:t>
      </w:r>
      <w:r>
        <w:rPr>
          <w:rFonts w:ascii="仿宋" w:eastAsia="仿宋" w:hAnsi="仿宋" w:cs="仿宋" w:hint="eastAsia"/>
          <w:color w:val="auto"/>
          <w:highlight w:val="none"/>
          <w:lang w:val="en-US" w:eastAsia="zh-CN"/>
        </w:rPr>
        <w:t xml:space="preserve">100%</w:t>
      </w:r>
      <w:r>
        <w:rPr>
          <w:rFonts w:ascii="仿宋" w:eastAsia="仿宋" w:hAnsi="仿宋" w:cs="仿宋" w:hint="eastAsia"/>
          <w:color w:val="auto"/>
          <w:highlight w:val="none"/>
        </w:rPr>
        <w:t xml:space="preserve">，完成率：</w:t>
      </w:r>
      <w:r>
        <w:rPr>
          <w:rFonts w:ascii="仿宋" w:eastAsia="仿宋" w:hAnsi="仿宋" w:cs="仿宋" w:hint="eastAsia"/>
          <w:color w:val="auto"/>
          <w:highlight w:val="none"/>
          <w:lang w:val="en-US" w:eastAsia="zh-CN"/>
        </w:rPr>
        <w:t xml:space="preserve">100%</w:t>
      </w:r>
      <w:r>
        <w:rPr>
          <w:rFonts w:ascii="仿宋" w:eastAsia="仿宋" w:hAnsi="仿宋" w:cs="仿宋" w:hint="eastAsia"/>
          <w:color w:val="auto"/>
          <w:highlight w:val="none"/>
        </w:rPr>
        <w:t xml:space="preserve">；</w:t>
      </w:r>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本项满分12分，评估得分12分。</w:t>
      </w:r>
    </w:p>
    <w:p>
      <w:pPr>
        <w:bidi w:val="0"/>
        <w:jc w:val="both"/>
        <w:rPr>
          <w:rFonts w:ascii="仿宋" w:eastAsia="仿宋" w:hAnsi="仿宋" w:cs="仿宋" w:hint="eastAsia"/>
          <w:b/>
          <w:bCs/>
          <w:color w:val="auto"/>
          <w:highlight w:val="none"/>
        </w:rPr>
      </w:pPr>
      <w:bookmarkStart w:id="139" w:name="_Toc6277"/>
      <w:bookmarkStart w:id="140" w:name="_Toc5394"/>
      <w:r>
        <w:rPr>
          <w:rFonts w:ascii="仿宋" w:eastAsia="仿宋" w:hAnsi="仿宋" w:cs="仿宋" w:hint="eastAsia"/>
          <w:b/>
          <w:bCs/>
          <w:color w:val="auto"/>
          <w:highlight w:val="none"/>
        </w:rPr>
        <w:t xml:space="preserve">3.产出时效</w:t>
      </w:r>
      <w:bookmarkEnd w:id="139"/>
      <w:bookmarkEnd w:id="140"/>
    </w:p>
    <w:p>
      <w:pPr>
        <w:bidi w:val="0"/>
        <w:jc w:val="both"/>
        <w:rPr>
          <w:rFonts w:ascii="仿宋" w:eastAsia="仿宋" w:hAnsi="仿宋" w:cs="仿宋" w:hint="eastAsia"/>
          <w:color w:val="auto"/>
          <w:highlight w:val="none"/>
          <w:lang w:val="en-US" w:eastAsia="zh-CN"/>
        </w:rPr>
      </w:pPr>
      <w:r>
        <w:rPr>
          <w:rFonts w:ascii="仿宋" w:eastAsia="仿宋" w:hAnsi="仿宋" w:cs="仿宋" w:hint="eastAsia"/>
          <w:b w:val="0"/>
          <w:bCs/>
          <w:color w:val="auto"/>
          <w:kern w:val="2"/>
          <w:sz w:val="32"/>
          <w:szCs w:val="32"/>
          <w:highlight w:val="none"/>
          <w:lang w:val="en-US" w:eastAsia="zh-CN" w:bidi="ar-SA"/>
        </w:rPr>
        <w:t xml:space="preserve">指标1：</w:t>
      </w:r>
      <w:r>
        <w:rPr>
          <w:rFonts w:ascii="仿宋" w:eastAsia="仿宋" w:hAnsi="仿宋" w:cs="仿宋" w:hint="eastAsia"/>
          <w:color w:val="auto"/>
          <w:highlight w:val="none"/>
          <w:lang w:val="en-US" w:eastAsia="zh-CN"/>
        </w:rPr>
        <w:t xml:space="preserve">路灯照明时长</w:t>
      </w:r>
      <w:r>
        <w:rPr>
          <w:rFonts w:ascii="仿宋" w:eastAsia="仿宋" w:hAnsi="仿宋" w:cs="仿宋" w:hint="eastAsia"/>
          <w:color w:val="auto"/>
          <w:highlight w:val="none"/>
        </w:rPr>
        <w:t xml:space="preserve">，预期指标值</w:t>
      </w:r>
      <w:r>
        <w:rPr>
          <w:rFonts w:ascii="仿宋" w:eastAsia="仿宋" w:hAnsi="仿宋" w:cs="仿宋" w:hint="eastAsia"/>
          <w:color w:val="auto"/>
          <w:highlight w:val="none"/>
          <w:lang w:val="en-US" w:eastAsia="zh-CN"/>
        </w:rPr>
        <w:t xml:space="preserve">大于或等于12小时/天均</w:t>
      </w:r>
      <w:r>
        <w:rPr>
          <w:rFonts w:ascii="仿宋" w:eastAsia="仿宋" w:hAnsi="仿宋" w:cs="仿宋" w:hint="eastAsia"/>
          <w:color w:val="auto"/>
          <w:highlight w:val="none"/>
        </w:rPr>
        <w:t xml:space="preserve">，指标完成值：</w:t>
      </w:r>
      <w:r>
        <w:rPr>
          <w:rFonts w:ascii="仿宋" w:eastAsia="仿宋" w:hAnsi="仿宋" w:cs="仿宋" w:hint="eastAsia"/>
          <w:color w:val="auto"/>
          <w:highlight w:val="none"/>
          <w:lang w:val="en-US" w:eastAsia="zh-CN"/>
        </w:rPr>
        <w:t xml:space="preserve">12小时/天均</w:t>
      </w:r>
      <w:r>
        <w:rPr>
          <w:rFonts w:ascii="仿宋" w:eastAsia="仿宋" w:hAnsi="仿宋" w:cs="仿宋" w:hint="eastAsia"/>
          <w:color w:val="auto"/>
          <w:highlight w:val="none"/>
        </w:rPr>
        <w:t xml:space="preserve">，完成率：</w:t>
      </w:r>
      <w:r>
        <w:rPr>
          <w:rFonts w:ascii="仿宋" w:eastAsia="仿宋" w:hAnsi="仿宋" w:cs="仿宋" w:hint="eastAsia"/>
          <w:color w:val="auto"/>
          <w:highlight w:val="none"/>
          <w:lang w:val="en-US" w:eastAsia="zh-CN"/>
        </w:rPr>
        <w:t xml:space="preserve">100%</w:t>
      </w:r>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本项满分12分，评估得分</w:t>
      </w:r>
      <w:r>
        <w:rPr>
          <w:rFonts w:ascii="仿宋" w:eastAsia="仿宋" w:hAnsi="仿宋" w:cs="仿宋" w:hint="eastAsia"/>
          <w:color w:val="auto"/>
          <w:highlight w:val="none"/>
          <w:lang w:val="en-US" w:eastAsia="zh-CN"/>
        </w:rPr>
        <w:t xml:space="preserve">12</w:t>
      </w:r>
      <w:r>
        <w:rPr>
          <w:rFonts w:ascii="仿宋" w:eastAsia="仿宋" w:hAnsi="仿宋" w:cs="仿宋" w:hint="eastAsia"/>
          <w:color w:val="auto"/>
          <w:highlight w:val="none"/>
        </w:rPr>
        <w:t xml:space="preserve">分。</w:t>
      </w:r>
    </w:p>
    <w:p>
      <w:pPr>
        <w:bidi w:val="0"/>
        <w:jc w:val="both"/>
        <w:rPr>
          <w:rFonts w:ascii="仿宋" w:eastAsia="仿宋" w:hAnsi="仿宋" w:cs="仿宋" w:hint="eastAsia"/>
          <w:b/>
          <w:bCs/>
          <w:color w:val="auto"/>
          <w:highlight w:val="none"/>
        </w:rPr>
      </w:pPr>
      <w:bookmarkStart w:id="141" w:name="_Toc28975"/>
      <w:bookmarkStart w:id="142" w:name="_Toc18558"/>
      <w:r>
        <w:rPr>
          <w:rFonts w:ascii="仿宋" w:eastAsia="仿宋" w:hAnsi="仿宋" w:cs="仿宋" w:hint="eastAsia"/>
          <w:b/>
          <w:bCs/>
          <w:color w:val="auto"/>
          <w:highlight w:val="none"/>
        </w:rPr>
        <w:t xml:space="preserve">4.产出成本</w:t>
      </w:r>
      <w:bookmarkEnd w:id="141"/>
      <w:bookmarkEnd w:id="142"/>
    </w:p>
    <w:p>
      <w:pPr>
        <w:bidi w:val="0"/>
        <w:jc w:val="both"/>
        <w:rPr>
          <w:rFonts w:ascii="仿宋" w:eastAsia="仿宋" w:hAnsi="仿宋" w:cs="仿宋" w:hint="eastAsia"/>
          <w:color w:val="auto"/>
          <w:highlight w:val="none"/>
        </w:rPr>
      </w:pPr>
      <w:r>
        <w:rPr>
          <w:rFonts w:ascii="仿宋" w:eastAsia="仿宋" w:hAnsi="仿宋" w:cs="仿宋" w:hint="eastAsia"/>
          <w:b w:val="0"/>
          <w:bCs/>
          <w:color w:val="auto"/>
          <w:kern w:val="2"/>
          <w:sz w:val="32"/>
          <w:szCs w:val="32"/>
          <w:highlight w:val="none"/>
          <w:lang w:val="en-US" w:eastAsia="zh-CN" w:bidi="ar-SA"/>
        </w:rPr>
        <w:t xml:space="preserve">指标1：</w:t>
      </w:r>
      <w:r>
        <w:rPr>
          <w:rFonts w:ascii="仿宋" w:eastAsia="仿宋" w:hAnsi="仿宋" w:cs="仿宋" w:hint="eastAsia"/>
          <w:color w:val="auto"/>
          <w:highlight w:val="none"/>
          <w:lang w:val="en-US" w:eastAsia="zh-CN"/>
        </w:rPr>
        <w:t xml:space="preserve">1-12月电费</w:t>
      </w:r>
      <w:r>
        <w:rPr>
          <w:rFonts w:ascii="仿宋" w:eastAsia="仿宋" w:hAnsi="仿宋" w:cs="仿宋" w:hint="eastAsia"/>
          <w:color w:val="auto"/>
          <w:highlight w:val="none"/>
        </w:rPr>
        <w:t xml:space="preserve">，预期指标值</w:t>
      </w:r>
      <w:r>
        <w:rPr>
          <w:rFonts w:ascii="仿宋" w:eastAsia="仿宋" w:hAnsi="仿宋" w:cs="仿宋" w:hint="eastAsia"/>
          <w:color w:val="auto"/>
          <w:highlight w:val="none"/>
          <w:lang w:val="en-US" w:eastAsia="zh-CN"/>
        </w:rPr>
        <w:t xml:space="preserve">小于或等于190万元</w:t>
      </w:r>
      <w:r>
        <w:rPr>
          <w:rFonts w:ascii="仿宋" w:eastAsia="仿宋" w:hAnsi="仿宋" w:cs="仿宋" w:hint="eastAsia"/>
          <w:color w:val="auto"/>
          <w:highlight w:val="none"/>
        </w:rPr>
        <w:t xml:space="preserve">，指标完成值：</w:t>
      </w:r>
      <w:r>
        <w:rPr>
          <w:rFonts w:ascii="仿宋" w:eastAsia="仿宋" w:hAnsi="仿宋" w:cs="仿宋" w:hint="eastAsia"/>
          <w:color w:val="auto"/>
          <w:highlight w:val="none"/>
          <w:lang w:val="en-US" w:eastAsia="zh-CN"/>
        </w:rPr>
        <w:t xml:space="preserve">190万元</w:t>
      </w:r>
      <w:r>
        <w:rPr>
          <w:rFonts w:ascii="仿宋" w:eastAsia="仿宋" w:hAnsi="仿宋" w:cs="仿宋" w:hint="eastAsia"/>
          <w:color w:val="auto"/>
          <w:highlight w:val="none"/>
        </w:rPr>
        <w:t xml:space="preserve">，完成率：</w:t>
      </w:r>
      <w:r>
        <w:rPr>
          <w:rFonts w:ascii="仿宋" w:eastAsia="仿宋" w:hAnsi="仿宋" w:cs="仿宋" w:hint="eastAsia"/>
          <w:color w:val="auto"/>
          <w:highlight w:val="none"/>
          <w:lang w:val="en-US" w:eastAsia="zh-CN"/>
        </w:rPr>
        <w:t xml:space="preserve">100%</w:t>
      </w:r>
      <w:r>
        <w:rPr>
          <w:rFonts w:ascii="仿宋" w:eastAsia="仿宋" w:hAnsi="仿宋" w:cs="仿宋" w:hint="eastAsia"/>
          <w:color w:val="auto"/>
          <w:highlight w:val="none"/>
        </w:rPr>
        <w:t xml:space="preserve">；</w:t>
      </w:r>
    </w:p>
    <w:p>
      <w:pPr>
        <w:bidi w:val="0"/>
        <w:jc w:val="both"/>
        <w:rPr>
          <w:rFonts w:ascii="仿宋" w:eastAsia="仿宋" w:hAnsi="仿宋" w:cs="仿宋" w:hint="eastAsia"/>
          <w:color w:val="auto"/>
          <w:highlight w:val="none"/>
        </w:rPr>
      </w:pPr>
      <w:r>
        <w:rPr>
          <w:rFonts w:ascii="仿宋" w:eastAsia="仿宋" w:hAnsi="仿宋" w:cs="仿宋" w:hint="eastAsia"/>
          <w:b w:val="0"/>
          <w:bCs/>
          <w:color w:val="auto"/>
          <w:kern w:val="2"/>
          <w:sz w:val="32"/>
          <w:szCs w:val="32"/>
          <w:highlight w:val="none"/>
          <w:lang w:val="en-US" w:eastAsia="zh-CN" w:bidi="ar-SA"/>
        </w:rPr>
        <w:t xml:space="preserve">指标1：</w:t>
      </w:r>
      <w:r>
        <w:rPr>
          <w:rFonts w:ascii="仿宋" w:eastAsia="仿宋" w:hAnsi="仿宋" w:cs="仿宋" w:hint="eastAsia"/>
          <w:color w:val="auto"/>
          <w:highlight w:val="none"/>
          <w:lang w:val="en-US" w:eastAsia="zh-CN"/>
        </w:rPr>
        <w:t xml:space="preserve">单位电量平均电价</w:t>
      </w:r>
      <w:r>
        <w:rPr>
          <w:rFonts w:ascii="仿宋" w:eastAsia="仿宋" w:hAnsi="仿宋" w:cs="仿宋" w:hint="eastAsia"/>
          <w:color w:val="auto"/>
          <w:highlight w:val="none"/>
        </w:rPr>
        <w:t xml:space="preserve">，预期指标值</w:t>
      </w:r>
      <w:r>
        <w:rPr>
          <w:rFonts w:ascii="仿宋" w:eastAsia="仿宋" w:hAnsi="仿宋" w:cs="仿宋" w:hint="eastAsia"/>
          <w:color w:val="auto"/>
          <w:highlight w:val="none"/>
          <w:lang w:val="en-US" w:eastAsia="zh-CN"/>
        </w:rPr>
        <w:t xml:space="preserve">等于0.42元/度</w:t>
      </w:r>
      <w:r>
        <w:rPr>
          <w:rFonts w:ascii="仿宋" w:eastAsia="仿宋" w:hAnsi="仿宋" w:cs="仿宋" w:hint="eastAsia"/>
          <w:color w:val="auto"/>
          <w:highlight w:val="none"/>
        </w:rPr>
        <w:t xml:space="preserve">，指标完成值：</w:t>
      </w:r>
      <w:r>
        <w:rPr>
          <w:rFonts w:ascii="仿宋" w:eastAsia="仿宋" w:hAnsi="仿宋" w:cs="仿宋" w:hint="eastAsia"/>
          <w:color w:val="auto"/>
          <w:highlight w:val="none"/>
          <w:lang w:val="en-US" w:eastAsia="zh-CN"/>
        </w:rPr>
        <w:t xml:space="preserve">0.42元/度</w:t>
      </w:r>
      <w:r>
        <w:rPr>
          <w:rFonts w:ascii="仿宋" w:eastAsia="仿宋" w:hAnsi="仿宋" w:cs="仿宋" w:hint="eastAsia"/>
          <w:color w:val="auto"/>
          <w:highlight w:val="none"/>
        </w:rPr>
        <w:t xml:space="preserve">，完成率：</w:t>
      </w:r>
      <w:r>
        <w:rPr>
          <w:rFonts w:ascii="仿宋" w:eastAsia="仿宋" w:hAnsi="仿宋" w:cs="仿宋" w:hint="eastAsia"/>
          <w:color w:val="auto"/>
          <w:highlight w:val="none"/>
          <w:lang w:val="en-US" w:eastAsia="zh-CN"/>
        </w:rPr>
        <w:t xml:space="preserve">100%</w:t>
      </w:r>
      <w:r>
        <w:rPr>
          <w:rFonts w:ascii="仿宋" w:eastAsia="仿宋" w:hAnsi="仿宋" w:cs="仿宋" w:hint="eastAsia"/>
          <w:color w:val="auto"/>
          <w:highlight w:val="none"/>
        </w:rPr>
        <w:t xml:space="preserve">；</w:t>
      </w:r>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本项满分4分，评估得分</w:t>
      </w:r>
      <w:r>
        <w:rPr>
          <w:rFonts w:ascii="仿宋" w:eastAsia="仿宋" w:hAnsi="仿宋" w:cs="仿宋" w:hint="eastAsia"/>
          <w:color w:val="auto"/>
          <w:highlight w:val="none"/>
          <w:lang w:val="en-US" w:eastAsia="zh-CN"/>
        </w:rPr>
        <w:t xml:space="preserve">4</w:t>
      </w:r>
      <w:r>
        <w:rPr>
          <w:rFonts w:ascii="仿宋" w:eastAsia="仿宋" w:hAnsi="仿宋" w:cs="仿宋" w:hint="eastAsia"/>
          <w:color w:val="auto"/>
          <w:highlight w:val="none"/>
        </w:rPr>
        <w:t xml:space="preserve">分。</w:t>
      </w:r>
    </w:p>
    <w:p>
      <w:pPr>
        <w:pStyle w:val="Heading3"/>
        <w:bidi w:val="0"/>
        <w:jc w:val="both"/>
        <w:outlineLvl w:val="1"/>
        <w:rPr>
          <w:rFonts w:ascii="仿宋" w:eastAsia="仿宋" w:hAnsi="仿宋" w:cs="仿宋" w:hint="eastAsia"/>
          <w:color w:val="auto"/>
          <w:highlight w:val="none"/>
        </w:rPr>
      </w:pPr>
      <w:bookmarkStart w:id="143" w:name="_Toc24492"/>
      <w:bookmarkStart w:id="144" w:name="_Toc14881"/>
      <w:bookmarkStart w:id="145" w:name="_Toc18194"/>
      <w:bookmarkStart w:id="146" w:name="_Toc19222"/>
      <w:bookmarkStart w:id="147" w:name="_Toc27548"/>
      <w:r>
        <w:rPr>
          <w:rFonts w:ascii="仿宋" w:eastAsia="仿宋" w:hAnsi="仿宋" w:cs="仿宋" w:hint="eastAsia"/>
          <w:color w:val="auto"/>
          <w:highlight w:val="none"/>
        </w:rPr>
        <w:t xml:space="preserve">（四）项目效益情况</w:t>
      </w:r>
      <w:bookmarkEnd w:id="143"/>
      <w:bookmarkEnd w:id="144"/>
      <w:bookmarkEnd w:id="145"/>
      <w:bookmarkEnd w:id="146"/>
      <w:bookmarkEnd w:id="147"/>
    </w:p>
    <w:p>
      <w:pPr>
        <w:bidi w:val="0"/>
        <w:jc w:val="both"/>
        <w:rPr>
          <w:rFonts w:ascii="仿宋" w:eastAsia="仿宋" w:hAnsi="仿宋" w:cs="仿宋" w:hint="eastAsia"/>
          <w:b/>
          <w:bCs/>
          <w:color w:val="auto"/>
          <w:highlight w:val="none"/>
        </w:rPr>
      </w:pPr>
      <w:bookmarkStart w:id="148" w:name="_Toc8370"/>
      <w:bookmarkStart w:id="149" w:name="_Toc15599"/>
      <w:r>
        <w:rPr>
          <w:rFonts w:ascii="仿宋" w:eastAsia="仿宋" w:hAnsi="仿宋" w:cs="仿宋" w:hint="eastAsia"/>
          <w:b/>
          <w:bCs/>
          <w:color w:val="auto"/>
          <w:highlight w:val="none"/>
        </w:rPr>
        <w:t xml:space="preserve">1.实施效益</w:t>
      </w:r>
      <w:bookmarkEnd w:id="148"/>
      <w:bookmarkEnd w:id="149"/>
    </w:p>
    <w:p>
      <w:pPr>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rPr>
        <w:t xml:space="preserve">本项目实施所产生的效益主要包括社会效益</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项目的实施</w:t>
      </w:r>
      <w:r>
        <w:rPr>
          <w:rFonts w:ascii="仿宋" w:eastAsia="仿宋" w:hAnsi="仿宋" w:cs="仿宋" w:hint="eastAsia"/>
          <w:color w:val="auto"/>
          <w:highlight w:val="none"/>
          <w:lang w:eastAsia="zh-CN"/>
        </w:rPr>
        <w:t xml:space="preserve">，保障县城红绿灯供电</w:t>
      </w:r>
      <w:r>
        <w:rPr>
          <w:rFonts w:ascii="仿宋" w:eastAsia="仿宋" w:hAnsi="仿宋" w:cs="仿宋" w:hint="eastAsia"/>
          <w:color w:val="auto"/>
          <w:highlight w:val="none"/>
          <w:lang w:val="en-US" w:eastAsia="zh-CN"/>
        </w:rPr>
        <w:t xml:space="preserve">和</w:t>
      </w:r>
      <w:r>
        <w:rPr>
          <w:rFonts w:ascii="仿宋" w:eastAsia="仿宋" w:hAnsi="仿宋" w:cs="仿宋" w:hint="eastAsia"/>
          <w:color w:val="auto"/>
          <w:highlight w:val="none"/>
          <w:lang w:eastAsia="zh-CN"/>
        </w:rPr>
        <w:t xml:space="preserve">亮化道路供电，</w:t>
      </w:r>
      <w:r>
        <w:rPr>
          <w:rFonts w:ascii="仿宋" w:eastAsia="仿宋" w:hAnsi="仿宋" w:cs="仿宋" w:hint="eastAsia"/>
          <w:color w:val="auto"/>
          <w:highlight w:val="none"/>
          <w:lang w:val="en-US" w:eastAsia="zh-CN"/>
        </w:rPr>
        <w:t xml:space="preserve">有效保障了群众夜间出行方便</w:t>
      </w:r>
      <w:r>
        <w:rPr>
          <w:rFonts w:ascii="仿宋" w:eastAsia="仿宋" w:hAnsi="仿宋" w:cs="仿宋" w:hint="eastAsia"/>
          <w:color w:val="auto"/>
          <w:highlight w:val="none"/>
        </w:rPr>
        <w:t xml:space="preserve">。</w:t>
      </w:r>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本项满分10分，评估得分10分。</w:t>
      </w:r>
    </w:p>
    <w:p>
      <w:pPr>
        <w:bidi w:val="0"/>
        <w:jc w:val="both"/>
        <w:rPr>
          <w:rFonts w:ascii="仿宋" w:eastAsia="仿宋" w:hAnsi="仿宋" w:cs="仿宋" w:hint="eastAsia"/>
          <w:b/>
          <w:bCs/>
          <w:color w:val="auto"/>
          <w:highlight w:val="none"/>
        </w:rPr>
      </w:pPr>
      <w:bookmarkStart w:id="150" w:name="_Toc31503"/>
      <w:bookmarkStart w:id="151" w:name="_Toc20772"/>
      <w:r>
        <w:rPr>
          <w:rFonts w:ascii="仿宋" w:eastAsia="仿宋" w:hAnsi="仿宋" w:cs="仿宋" w:hint="eastAsia"/>
          <w:b/>
          <w:bCs/>
          <w:color w:val="auto"/>
          <w:highlight w:val="none"/>
        </w:rPr>
        <w:t xml:space="preserve">2.满意度</w:t>
      </w:r>
      <w:bookmarkEnd w:id="150"/>
      <w:bookmarkEnd w:id="151"/>
    </w:p>
    <w:p>
      <w:pPr>
        <w:bidi w:val="0"/>
        <w:jc w:val="both"/>
        <w:rPr>
          <w:rFonts w:ascii="仿宋" w:eastAsia="仿宋" w:hAnsi="仿宋" w:cs="仿宋" w:hint="eastAsia"/>
          <w:color w:val="auto"/>
          <w:highlight w:val="none"/>
          <w:lang w:val="en-US" w:eastAsia="zh-CN"/>
        </w:rPr>
      </w:pPr>
      <w:r>
        <w:rPr>
          <w:rFonts w:ascii="仿宋" w:eastAsia="仿宋" w:hAnsi="仿宋" w:cs="仿宋" w:hint="eastAsia"/>
          <w:color w:val="auto"/>
          <w:highlight w:val="none"/>
        </w:rPr>
        <w:t xml:space="preserve">本项目服务对象和受益群众主要是</w:t>
      </w:r>
      <w:r>
        <w:rPr>
          <w:rFonts w:ascii="仿宋" w:eastAsia="仿宋" w:hAnsi="仿宋" w:cs="仿宋" w:hint="eastAsia"/>
          <w:color w:val="auto"/>
          <w:highlight w:val="none"/>
          <w:lang w:val="en-US" w:eastAsia="zh-CN"/>
        </w:rPr>
        <w:t xml:space="preserve">尉犁县群众</w:t>
      </w:r>
      <w:r>
        <w:rPr>
          <w:rFonts w:ascii="仿宋" w:eastAsia="仿宋" w:hAnsi="仿宋" w:cs="仿宋" w:hint="eastAsia"/>
          <w:color w:val="auto"/>
          <w:highlight w:val="none"/>
        </w:rPr>
        <w:t xml:space="preserve">，通过问卷调查方式收集服务对象和受益群众对本项目实施的满意度。调查人群都表示很满意，都认为本项目实施后，</w:t>
      </w:r>
      <w:r>
        <w:rPr>
          <w:rFonts w:ascii="仿宋" w:eastAsia="仿宋" w:hAnsi="仿宋" w:cs="仿宋" w:hint="eastAsia"/>
          <w:color w:val="auto"/>
          <w:highlight w:val="none"/>
          <w:lang w:val="en-US" w:eastAsia="zh-CN"/>
        </w:rPr>
        <w:t xml:space="preserve">提高了出行效率；改善了县城居民的生活环境，保障了群众夜间出行方便。</w:t>
      </w:r>
    </w:p>
    <w:p>
      <w:pPr>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受益群众满意度，预期指标值：大于或等于95%，指标完成值95%，完成率：100%。</w:t>
      </w:r>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本项满分10分，评估得分10分。</w:t>
      </w:r>
    </w:p>
    <w:p>
      <w:pPr>
        <w:pStyle w:val="Heading2"/>
        <w:bidi w:val="0"/>
        <w:jc w:val="both"/>
        <w:outlineLvl w:val="0"/>
        <w:rPr>
          <w:rFonts w:ascii="仿宋" w:eastAsia="仿宋" w:hAnsi="仿宋" w:cs="仿宋" w:hint="eastAsia"/>
          <w:color w:val="auto"/>
          <w:highlight w:val="none"/>
        </w:rPr>
      </w:pPr>
      <w:bookmarkStart w:id="152" w:name="_Toc3310"/>
      <w:bookmarkStart w:id="153" w:name="_Toc24261"/>
      <w:bookmarkStart w:id="154" w:name="_Toc20473"/>
      <w:bookmarkStart w:id="155" w:name="_Toc17413"/>
      <w:bookmarkStart w:id="156" w:name="_Toc23114"/>
      <w:bookmarkStart w:id="157" w:name="_Toc1227"/>
      <w:r>
        <w:rPr>
          <w:rFonts w:ascii="仿宋" w:eastAsia="仿宋" w:hAnsi="仿宋" w:cs="仿宋" w:hint="eastAsia"/>
          <w:color w:val="auto"/>
          <w:highlight w:val="none"/>
        </w:rPr>
        <w:t xml:space="preserve">五、主要经验及做法、存在的问题及原因分析</w:t>
      </w:r>
      <w:bookmarkEnd w:id="152"/>
      <w:bookmarkEnd w:id="153"/>
      <w:bookmarkEnd w:id="154"/>
      <w:bookmarkEnd w:id="155"/>
      <w:bookmarkEnd w:id="156"/>
      <w:bookmarkEnd w:id="157"/>
    </w:p>
    <w:p>
      <w:pPr>
        <w:pStyle w:val="Heading3"/>
        <w:bidi w:val="0"/>
        <w:jc w:val="both"/>
        <w:outlineLvl w:val="1"/>
        <w:rPr>
          <w:rFonts w:ascii="仿宋" w:eastAsia="仿宋" w:hAnsi="仿宋" w:cs="仿宋" w:hint="eastAsia"/>
          <w:color w:val="auto"/>
          <w:highlight w:val="none"/>
        </w:rPr>
      </w:pPr>
      <w:bookmarkStart w:id="158" w:name="_Toc14362"/>
      <w:bookmarkStart w:id="159" w:name="_Toc6522"/>
      <w:bookmarkStart w:id="160" w:name="_Toc10514"/>
      <w:bookmarkStart w:id="161" w:name="_Toc6741"/>
      <w:bookmarkStart w:id="162" w:name="_Toc13691"/>
      <w:r>
        <w:rPr>
          <w:rFonts w:ascii="仿宋" w:eastAsia="仿宋" w:hAnsi="仿宋" w:cs="仿宋" w:hint="eastAsia"/>
          <w:color w:val="auto"/>
          <w:highlight w:val="none"/>
        </w:rPr>
        <w:t xml:space="preserve">（一）主要经验及做法</w:t>
      </w:r>
      <w:bookmarkEnd w:id="158"/>
      <w:bookmarkEnd w:id="159"/>
      <w:bookmarkEnd w:id="160"/>
      <w:bookmarkEnd w:id="161"/>
      <w:bookmarkEnd w:id="162"/>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尉犁县市政工服务中心1-12月路灯电费</w:t>
      </w:r>
      <w:r>
        <w:rPr>
          <w:rFonts w:ascii="仿宋" w:eastAsia="仿宋" w:hAnsi="仿宋" w:cs="仿宋" w:hint="eastAsia"/>
          <w:color w:val="auto"/>
          <w:highlight w:val="none"/>
        </w:rPr>
        <w:t xml:space="preserve">在</w:t>
      </w:r>
      <w:r>
        <w:rPr>
          <w:rFonts w:ascii="仿宋" w:eastAsia="仿宋" w:hAnsi="仿宋" w:cs="仿宋" w:hint="eastAsia"/>
          <w:color w:val="auto"/>
          <w:highlight w:val="none"/>
          <w:lang w:eastAsia="zh-CN"/>
        </w:rPr>
        <w:t xml:space="preserve">尉犁县委、县政府</w:t>
      </w:r>
      <w:r>
        <w:rPr>
          <w:rFonts w:ascii="仿宋" w:eastAsia="仿宋" w:hAnsi="仿宋" w:cs="仿宋" w:hint="eastAsia"/>
          <w:color w:val="auto"/>
          <w:highlight w:val="none"/>
        </w:rPr>
        <w:t xml:space="preserve">的支持下，在相关部门的配合下，全面顺利完成，绩效评价“优”，主要经验及做法如下：</w:t>
      </w:r>
    </w:p>
    <w:p>
      <w:pPr>
        <w:bidi w:val="0"/>
        <w:rPr>
          <w:rFonts w:ascii="仿宋" w:eastAsia="仿宋" w:hAnsi="仿宋" w:cs="仿宋" w:hint="eastAsia"/>
          <w:color w:val="auto"/>
          <w:highlight w:val="none"/>
          <w:lang w:val="en-US" w:eastAsia="zh-CN"/>
        </w:rPr>
      </w:pPr>
      <w:bookmarkStart w:id="163" w:name="_Toc27408"/>
      <w:bookmarkStart w:id="164" w:name="_Toc4673"/>
      <w:bookmarkStart w:id="165" w:name="_Toc6359"/>
      <w:bookmarkStart w:id="166" w:name="_Toc11238"/>
      <w:r>
        <w:rPr>
          <w:rFonts w:ascii="仿宋" w:eastAsia="仿宋" w:hAnsi="仿宋" w:cs="仿宋" w:hint="eastAsia"/>
          <w:color w:val="auto"/>
          <w:highlight w:val="none"/>
          <w:lang w:val="en-US" w:eastAsia="zh-CN"/>
        </w:rPr>
        <w:t xml:space="preserve">1.结合历史电费数据、城区路灯及亮化设施新增计划、季节照明时长调整等因素，细化预算测算，避免“拍脑袋”决策。</w:t>
      </w:r>
    </w:p>
    <w:p>
      <w:pPr>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2.建立“日常巡查+定期检修”机制，划分维护责任区，落实专人每日巡检（重点排查线路故障、灯具损坏、绿化遮挡等问题），发现故障24小时内响应修复，提升亮灯率和设施完好率，及时处理居民反馈问题。</w:t>
      </w:r>
    </w:p>
    <w:p>
      <w:pPr>
        <w:pStyle w:val="Heading3"/>
        <w:bidi w:val="0"/>
        <w:jc w:val="both"/>
        <w:outlineLvl w:val="1"/>
        <w:rPr>
          <w:rFonts w:ascii="仿宋" w:eastAsia="仿宋" w:hAnsi="仿宋" w:cs="仿宋" w:hint="eastAsia"/>
          <w:b w:val="0"/>
          <w:bCs/>
          <w:color w:val="auto"/>
          <w:highlight w:val="none"/>
        </w:rPr>
      </w:pPr>
      <w:bookmarkStart w:id="167" w:name="_Toc6194"/>
      <w:r>
        <w:rPr>
          <w:rFonts w:ascii="仿宋" w:eastAsia="仿宋" w:hAnsi="仿宋" w:cs="仿宋" w:hint="eastAsia"/>
          <w:b w:val="0"/>
          <w:bCs/>
          <w:color w:val="auto"/>
          <w:highlight w:val="none"/>
        </w:rPr>
        <w:t xml:space="preserve">（二）存在的问题及分析</w:t>
      </w:r>
      <w:bookmarkEnd w:id="163"/>
      <w:bookmarkEnd w:id="164"/>
      <w:bookmarkEnd w:id="165"/>
      <w:bookmarkEnd w:id="166"/>
      <w:bookmarkEnd w:id="167"/>
    </w:p>
    <w:p>
      <w:pPr>
        <w:bidi w:val="0"/>
        <w:rPr>
          <w:rFonts w:ascii="仿宋" w:eastAsia="仿宋" w:hAnsi="仿宋" w:cs="仿宋" w:hint="eastAsia"/>
          <w:color w:val="auto"/>
          <w:highlight w:val="none"/>
          <w:lang w:val="en-US"/>
        </w:rPr>
      </w:pPr>
      <w:bookmarkStart w:id="168" w:name="_Toc13270"/>
      <w:bookmarkStart w:id="169" w:name="_Toc22271"/>
      <w:bookmarkStart w:id="170" w:name="_Toc5702"/>
      <w:bookmarkStart w:id="171" w:name="_Toc13345"/>
      <w:bookmarkStart w:id="172" w:name="_Toc20116"/>
      <w:r>
        <w:rPr>
          <w:rFonts w:ascii="仿宋" w:eastAsia="仿宋" w:hAnsi="仿宋" w:cs="仿宋" w:hint="eastAsia"/>
          <w:color w:val="auto"/>
          <w:highlight w:val="none"/>
          <w:lang w:val="en-US" w:eastAsia="zh-CN"/>
        </w:rPr>
        <w:t xml:space="preserve">1.对路灯能耗、故障率等数据深度分析工作不到位，缺乏数据分析能力，难以优化管理策略。</w:t>
      </w:r>
    </w:p>
    <w:p>
      <w:pPr>
        <w:pStyle w:val="Heading3"/>
        <w:rPr>
          <w:rFonts w:ascii="仿宋" w:eastAsia="仿宋" w:hAnsi="仿宋" w:cs="仿宋" w:hint="eastAsia"/>
          <w:b w:val="0"/>
          <w:bCs w:val="0"/>
          <w:color w:val="auto"/>
          <w:kern w:val="2"/>
          <w:sz w:val="32"/>
          <w:szCs w:val="22"/>
          <w:highlight w:val="none"/>
          <w:lang w:val="en-US" w:eastAsia="zh-CN" w:bidi="ar-SA"/>
        </w:rPr>
      </w:pPr>
      <w:r>
        <w:rPr>
          <w:rFonts w:ascii="仿宋" w:eastAsia="仿宋" w:hAnsi="仿宋" w:cs="仿宋" w:hint="eastAsia"/>
          <w:b w:val="0"/>
          <w:bCs w:val="0"/>
          <w:color w:val="auto"/>
          <w:kern w:val="2"/>
          <w:sz w:val="32"/>
          <w:szCs w:val="22"/>
          <w:highlight w:val="none"/>
          <w:lang w:val="en-US" w:eastAsia="zh-CN" w:bidi="ar-SA"/>
        </w:rPr>
        <w:t xml:space="preserve">2.运维人员不足、巡检手段落后，导致故障响应延迟，维修流程冗长。</w:t>
      </w:r>
    </w:p>
    <w:p>
      <w:pPr>
        <w:bidi w:val="0"/>
        <w:jc w:val="both"/>
        <w:outlineLvl w:val="0"/>
        <w:rPr>
          <w:rFonts w:ascii="仿宋" w:eastAsia="仿宋" w:hAnsi="仿宋" w:cs="仿宋" w:hint="eastAsia"/>
          <w:bCs/>
          <w:iCs/>
          <w:color w:val="auto"/>
          <w:kern w:val="2"/>
          <w:sz w:val="32"/>
          <w:szCs w:val="21"/>
          <w:highlight w:val="none"/>
          <w:lang w:val="en-US" w:eastAsia="zh-CN" w:bidi="ar-SA"/>
        </w:rPr>
      </w:pPr>
      <w:bookmarkStart w:id="173" w:name="_Toc10025"/>
      <w:r>
        <w:rPr>
          <w:rFonts w:ascii="仿宋" w:eastAsia="仿宋" w:hAnsi="仿宋" w:cs="仿宋" w:hint="eastAsia"/>
          <w:bCs/>
          <w:iCs/>
          <w:color w:val="auto"/>
          <w:kern w:val="2"/>
          <w:sz w:val="32"/>
          <w:szCs w:val="21"/>
          <w:highlight w:val="none"/>
          <w:lang w:val="en-US" w:eastAsia="zh-CN" w:bidi="ar-SA"/>
        </w:rPr>
        <w:t xml:space="preserve">六、有关建议</w:t>
      </w:r>
      <w:bookmarkEnd w:id="168"/>
      <w:bookmarkEnd w:id="169"/>
      <w:bookmarkEnd w:id="170"/>
      <w:bookmarkEnd w:id="171"/>
      <w:bookmarkEnd w:id="172"/>
      <w:bookmarkEnd w:id="173"/>
    </w:p>
    <w:p>
      <w:pPr>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1.通过智慧城市管理平台集中管理路灯开关时间、亮度调节等，并利用大数据生成优化建议报告；对景观亮化设施推行“分时段亮灯”（如节假日全开、日常仅基础照明），避免过度照明。</w:t>
      </w:r>
    </w:p>
    <w:p>
      <w:pPr>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2.技术升级，推动智能化管理。引用无人机或车载巡检，提升巡检效率。建立路灯电子台账，实现“一灯一档”数字化管理，优化路灯维修维护规划。优化管理，提升运维效率。按优先级分区管理，合理分配人力资源。</w:t>
      </w:r>
    </w:p>
    <w:p>
      <w:pPr>
        <w:bidi w:val="0"/>
        <w:jc w:val="both"/>
        <w:outlineLvl w:val="0"/>
        <w:rPr>
          <w:rFonts w:ascii="仿宋" w:eastAsia="仿宋" w:hAnsi="仿宋" w:cs="仿宋" w:hint="eastAsia"/>
          <w:bCs/>
          <w:iCs/>
          <w:color w:val="auto"/>
          <w:kern w:val="2"/>
          <w:sz w:val="32"/>
          <w:szCs w:val="21"/>
          <w:highlight w:val="none"/>
          <w:lang w:val="en-US" w:eastAsia="zh-CN" w:bidi="ar-SA"/>
        </w:rPr>
      </w:pPr>
      <w:bookmarkStart w:id="174" w:name="_Toc5794"/>
      <w:bookmarkStart w:id="175" w:name="_Toc21621"/>
      <w:bookmarkStart w:id="176" w:name="_Toc24871"/>
      <w:bookmarkStart w:id="177" w:name="_Toc21662"/>
      <w:bookmarkStart w:id="178" w:name="_Toc22823"/>
      <w:bookmarkStart w:id="179" w:name="_Toc12100"/>
      <w:r>
        <w:rPr>
          <w:rFonts w:ascii="仿宋" w:eastAsia="仿宋" w:hAnsi="仿宋" w:cs="仿宋" w:hint="eastAsia"/>
          <w:bCs/>
          <w:iCs/>
          <w:color w:val="auto"/>
          <w:kern w:val="2"/>
          <w:sz w:val="32"/>
          <w:szCs w:val="21"/>
          <w:highlight w:val="none"/>
          <w:lang w:val="en-US" w:eastAsia="zh-CN" w:bidi="ar-SA"/>
        </w:rPr>
        <w:t xml:space="preserve">七、其他需要说明的问题</w:t>
      </w:r>
      <w:bookmarkEnd w:id="174"/>
      <w:bookmarkEnd w:id="175"/>
      <w:bookmarkEnd w:id="176"/>
      <w:bookmarkEnd w:id="177"/>
      <w:bookmarkEnd w:id="178"/>
      <w:bookmarkEnd w:id="179"/>
    </w:p>
    <w:p>
      <w:pPr>
        <w:bidi w:val="0"/>
        <w:jc w:val="both"/>
        <w:rPr>
          <w:rFonts w:ascii="仿宋" w:eastAsia="仿宋" w:hAnsi="仿宋" w:cs="仿宋" w:hint="eastAsia"/>
          <w:color w:val="auto"/>
          <w:highlight w:val="none"/>
        </w:rPr>
      </w:pPr>
      <w:bookmarkStart w:id="180" w:name="OLE_LINK6"/>
      <w:bookmarkStart w:id="181" w:name="OLE_LINK5"/>
      <w:r>
        <w:rPr>
          <w:rFonts w:ascii="仿宋" w:eastAsia="仿宋" w:hAnsi="仿宋" w:cs="仿宋" w:hint="eastAsia"/>
          <w:color w:val="auto"/>
          <w:highlight w:val="none"/>
          <w:lang w:val="en-US" w:eastAsia="zh-CN"/>
        </w:rPr>
        <w:t xml:space="preserve">1、</w:t>
      </w:r>
      <w:r>
        <w:rPr>
          <w:rFonts w:ascii="仿宋" w:eastAsia="仿宋" w:hAnsi="仿宋" w:cs="仿宋" w:hint="eastAsia"/>
          <w:color w:val="auto"/>
          <w:highlight w:val="none"/>
        </w:rPr>
        <w:t xml:space="preserve">本项目部分间接产生的效果无法准确在短期内衡量，因此很难认定项目产生的全部效果。通过指标来反映绩效，指标的科学性和全面性需要不断地完善和研究。</w:t>
      </w:r>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2、</w:t>
      </w:r>
      <w:r>
        <w:rPr>
          <w:rFonts w:ascii="仿宋" w:eastAsia="仿宋" w:hAnsi="仿宋" w:cs="仿宋" w:hint="eastAsia"/>
          <w:color w:val="auto"/>
          <w:highlight w:val="none"/>
        </w:rPr>
        <w:t xml:space="preserve">评价结果分别编入政府决算和部门预算，报送本级人民代表大会常务委员会，并依法予以公开。</w:t>
      </w:r>
      <w:bookmarkEnd w:id="180"/>
      <w:bookmarkEnd w:id="181"/>
    </w:p>
    <w:p>
      <w:pPr>
        <w:pStyle w:val="Heading2"/>
        <w:bidi w:val="0"/>
        <w:jc w:val="both"/>
        <w:outlineLvl w:val="0"/>
        <w:rPr>
          <w:rFonts w:ascii="仿宋" w:eastAsia="仿宋" w:hAnsi="仿宋" w:cs="仿宋" w:hint="eastAsia"/>
          <w:bCs/>
          <w:iCs/>
          <w:color w:val="auto"/>
          <w:highlight w:val="none"/>
        </w:rPr>
      </w:pPr>
      <w:bookmarkStart w:id="182" w:name="_Toc28493"/>
      <w:bookmarkStart w:id="183" w:name="_Toc30245"/>
      <w:bookmarkStart w:id="184" w:name="_Toc32285"/>
      <w:bookmarkStart w:id="185" w:name="_Toc4210"/>
      <w:r>
        <w:rPr>
          <w:rFonts w:ascii="仿宋" w:eastAsia="仿宋" w:hAnsi="仿宋" w:cs="仿宋" w:hint="eastAsia"/>
          <w:bCs/>
          <w:iCs/>
          <w:color w:val="auto"/>
          <w:highlight w:val="none"/>
        </w:rPr>
        <w:t xml:space="preserve">八、附件</w:t>
      </w:r>
      <w:bookmarkEnd w:id="182"/>
      <w:bookmarkEnd w:id="183"/>
      <w:bookmarkEnd w:id="184"/>
      <w:bookmarkEnd w:id="185"/>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1、项目支出绩效自评表</w:t>
      </w:r>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2、项目支出绩效评价指标体系及评分</w:t>
      </w:r>
    </w:p>
    <w:p>
      <w:pPr>
        <w:jc w:val="both"/>
        <w:rPr>
          <w:rFonts w:ascii="仿宋" w:eastAsia="仿宋" w:hAnsi="仿宋" w:cs="仿宋" w:hint="eastAsia"/>
          <w:color w:val="auto"/>
          <w:highlight w:val="none"/>
        </w:rPr>
        <w:sectPr>
          <w:footerReference w:type="default" r:id="rId4"/>
          <w:pgSz w:w="11906" w:h="16838" w:orient="portrait"/>
          <w:pgMar w:top="1440" w:right="1800" w:bottom="1440" w:left="1800" w:header="851" w:footer="992" w:gutter="0"/>
          <w:pgBorders/>
          <w:pgNumType w:fmt="decimal" w:start="1"/>
          <w:cols w:num="1" w:space="720">
            <w:col w:w="8306" w:space="720"/>
          </w:cols>
          <w:docGrid w:type="lines" w:linePitch="312" w:charSpace="0"/>
        </w:sectPr>
      </w:pPr>
    </w:p>
    <w:p>
      <w:pPr>
        <w:pStyle w:val="Heading2"/>
        <w:bidi w:val="0"/>
        <w:ind w:left="0" w:firstLine="0" w:leftChars="0" w:firstLineChars="0"/>
        <w:jc w:val="both"/>
        <w:outlineLvl w:val="0"/>
        <w:rPr>
          <w:rFonts w:ascii="仿宋" w:eastAsia="仿宋" w:hAnsi="仿宋" w:cs="仿宋" w:hint="eastAsia"/>
          <w:color w:val="auto"/>
          <w:highlight w:val="none"/>
        </w:rPr>
      </w:pPr>
      <w:bookmarkStart w:id="186" w:name="_Toc26936"/>
      <w:r>
        <w:rPr>
          <w:rFonts w:ascii="仿宋" w:eastAsia="仿宋" w:hAnsi="仿宋" w:cs="仿宋" w:hint="eastAsia"/>
          <w:bCs/>
          <w:iCs/>
          <w:color w:val="auto"/>
          <w:highlight w:val="none"/>
        </w:rPr>
        <w:t xml:space="preserve">附件1：</w:t>
      </w:r>
      <w:r>
        <w:rPr>
          <w:rFonts w:ascii="仿宋" w:eastAsia="仿宋" w:hAnsi="仿宋" w:cs="仿宋" w:hint="eastAsia"/>
          <w:color w:val="auto"/>
          <w:highlight w:val="none"/>
        </w:rPr>
        <w:t xml:space="preserve">项目支出绩效自评表</w:t>
      </w:r>
      <w:bookmarkEnd w:id="186"/>
    </w:p>
    <w:tbl>
      <w:tblPr>
        <w:tblStyle w:val="NormalTable"/>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firstRow="0" w:lastRow="0" w:firstColumn="0" w:lastColumn="0" w:noHBand="1" w:noVBand="1"/>
      </w:tblPr>
      <w:tblGrid>
        <w:gridCol w:w="889"/>
        <w:gridCol w:w="892"/>
        <w:gridCol w:w="889"/>
        <w:gridCol w:w="1102"/>
        <w:gridCol w:w="1147"/>
        <w:gridCol w:w="889"/>
        <w:gridCol w:w="872"/>
        <w:gridCol w:w="870"/>
        <w:gridCol w:w="898"/>
        <w:gridCol w:w="889"/>
        <w:gridCol w:w="1149"/>
        <w:gridCol w:w="1096"/>
        <w:gridCol w:w="1242"/>
        <w:gridCol w:w="1158"/>
      </w:tblGrid>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PrEx>
        <w:trPr>
          <w:trHeight w:val="640"/>
        </w:trPr>
        <w:tc>
          <w:tcPr>
            <w:tcW w:w="5000" w:type="pct"/>
            <w:gridSpan w:val="14"/>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标题"/>
              <w:bidi w:val="0"/>
              <w:rPr>
                <w:rFonts w:ascii="仿宋" w:eastAsia="仿宋" w:hAnsi="仿宋" w:cs="仿宋" w:hint="eastAsia"/>
                <w:color w:val="auto"/>
                <w:highlight w:val="none"/>
              </w:rPr>
            </w:pPr>
            <w:bookmarkStart w:id="187" w:name="_Toc14738"/>
            <w:r>
              <w:rPr>
                <w:rFonts w:ascii="仿宋" w:eastAsia="仿宋" w:hAnsi="仿宋" w:cs="仿宋" w:hint="eastAsia"/>
                <w:color w:val="auto"/>
                <w:highlight w:val="none"/>
                <w:lang w:val="en-US" w:eastAsia="zh-CN"/>
              </w:rPr>
              <w:t xml:space="preserve">项目支出绩效自评表</w:t>
            </w:r>
            <w:bookmarkEnd w:id="187"/>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PrEx>
        <w:trPr>
          <w:trHeight w:val="520"/>
        </w:trPr>
        <w:tc>
          <w:tcPr>
            <w:tcW w:w="5000" w:type="pct"/>
            <w:gridSpan w:val="14"/>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(2024年度)</w:t>
            </w: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PrEx>
        <w:trPr>
          <w:trHeight w:val="270"/>
        </w:trPr>
        <w:tc>
          <w:tcPr>
            <w:tcW w:w="637" w:type="pct"/>
            <w:gridSpan w:val="2"/>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项目名称</w:t>
            </w:r>
          </w:p>
        </w:tc>
        <w:tc>
          <w:tcPr>
            <w:tcW w:w="4362" w:type="pct"/>
            <w:gridSpan w:val="12"/>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1-12月路灯电费</w:t>
            </w: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PrEx>
        <w:trPr>
          <w:trHeight w:val="600"/>
        </w:trPr>
        <w:tc>
          <w:tcPr>
            <w:tcW w:w="637" w:type="pct"/>
            <w:gridSpan w:val="2"/>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主管部门</w:t>
            </w:r>
          </w:p>
        </w:tc>
        <w:tc>
          <w:tcPr>
            <w:tcW w:w="1752" w:type="pct"/>
            <w:gridSpan w:val="5"/>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尉犁县市政工程管理中心</w:t>
            </w:r>
          </w:p>
        </w:tc>
        <w:tc>
          <w:tcPr>
            <w:tcW w:w="630" w:type="pct"/>
            <w:gridSpan w:val="2"/>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实施单位</w:t>
            </w:r>
          </w:p>
        </w:tc>
        <w:tc>
          <w:tcPr>
            <w:tcW w:w="1979" w:type="pct"/>
            <w:gridSpan w:val="5"/>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尉犁县市政工程管理中心</w:t>
            </w: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PrEx>
        <w:trPr>
          <w:trHeight w:val="440"/>
        </w:trPr>
        <w:tc>
          <w:tcPr>
            <w:tcW w:w="637" w:type="pct"/>
            <w:gridSpan w:val="2"/>
            <w:vMerge w:val="restar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项目资金</w:t>
            </w:r>
            <w:r>
              <w:rPr>
                <w:rFonts w:ascii="仿宋" w:eastAsia="仿宋" w:hAnsi="仿宋" w:cs="仿宋" w:hint="eastAsia"/>
                <w:color w:val="auto"/>
                <w:highlight w:val="none"/>
                <w:lang w:val="en-US" w:eastAsia="zh-CN"/>
              </w:rPr>
              <w:br/>
            </w:r>
            <w:r>
              <w:rPr>
                <w:rFonts w:ascii="仿宋" w:eastAsia="仿宋" w:hAnsi="仿宋" w:cs="仿宋" w:hint="eastAsia"/>
                <w:color w:val="auto"/>
                <w:highlight w:val="none"/>
                <w:lang w:val="en-US" w:eastAsia="zh-CN"/>
              </w:rPr>
              <w:t xml:space="preserve">（万元）</w:t>
            </w:r>
          </w:p>
        </w:tc>
        <w:tc>
          <w:tcPr>
            <w:tcW w:w="711" w:type="pct"/>
            <w:gridSpan w:val="2"/>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资金来源</w:t>
            </w:r>
          </w:p>
        </w:tc>
        <w:tc>
          <w:tcPr>
            <w:tcW w:w="410"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年初预算数</w:t>
            </w:r>
          </w:p>
        </w:tc>
        <w:tc>
          <w:tcPr>
            <w:tcW w:w="630" w:type="pct"/>
            <w:gridSpan w:val="2"/>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全年预算数</w:t>
            </w:r>
          </w:p>
        </w:tc>
        <w:tc>
          <w:tcPr>
            <w:tcW w:w="630" w:type="pct"/>
            <w:gridSpan w:val="2"/>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全年执行数</w:t>
            </w:r>
          </w:p>
        </w:tc>
        <w:tc>
          <w:tcPr>
            <w:tcW w:w="729" w:type="pct"/>
            <w:gridSpan w:val="2"/>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分值权重</w:t>
            </w:r>
          </w:p>
        </w:tc>
        <w:tc>
          <w:tcPr>
            <w:tcW w:w="836" w:type="pct"/>
            <w:gridSpan w:val="2"/>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执行率</w:t>
            </w:r>
          </w:p>
        </w:tc>
        <w:tc>
          <w:tcPr>
            <w:tcW w:w="412"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得分</w:t>
            </w: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PrEx>
        <w:trPr>
          <w:trHeight w:val="440"/>
        </w:trPr>
        <w:tc>
          <w:tcPr>
            <w:tcW w:w="637" w:type="pct"/>
            <w:gridSpan w:val="2"/>
            <w:vMerge/>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p>
        </w:tc>
        <w:tc>
          <w:tcPr>
            <w:tcW w:w="711" w:type="pct"/>
            <w:gridSpan w:val="2"/>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年度资金总额</w:t>
            </w:r>
          </w:p>
        </w:tc>
        <w:tc>
          <w:tcPr>
            <w:tcW w:w="410"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60.00</w:t>
            </w:r>
          </w:p>
        </w:tc>
        <w:tc>
          <w:tcPr>
            <w:tcW w:w="630" w:type="pct"/>
            <w:gridSpan w:val="2"/>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190.00</w:t>
            </w:r>
          </w:p>
        </w:tc>
        <w:tc>
          <w:tcPr>
            <w:tcW w:w="630" w:type="pct"/>
            <w:gridSpan w:val="2"/>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190.00</w:t>
            </w:r>
          </w:p>
        </w:tc>
        <w:tc>
          <w:tcPr>
            <w:tcW w:w="729" w:type="pct"/>
            <w:gridSpan w:val="2"/>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10</w:t>
            </w:r>
          </w:p>
        </w:tc>
        <w:tc>
          <w:tcPr>
            <w:tcW w:w="836" w:type="pct"/>
            <w:gridSpan w:val="2"/>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100.00%</w:t>
            </w:r>
          </w:p>
        </w:tc>
        <w:tc>
          <w:tcPr>
            <w:tcW w:w="412"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10.00分</w:t>
            </w: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PrEx>
        <w:trPr>
          <w:trHeight w:val="440"/>
        </w:trPr>
        <w:tc>
          <w:tcPr>
            <w:tcW w:w="637" w:type="pct"/>
            <w:gridSpan w:val="2"/>
            <w:vMerge/>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p>
        </w:tc>
        <w:tc>
          <w:tcPr>
            <w:tcW w:w="711" w:type="pct"/>
            <w:gridSpan w:val="2"/>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其中：当年财政拨款</w:t>
            </w:r>
          </w:p>
        </w:tc>
        <w:tc>
          <w:tcPr>
            <w:tcW w:w="410"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60</w:t>
            </w:r>
          </w:p>
        </w:tc>
        <w:tc>
          <w:tcPr>
            <w:tcW w:w="630" w:type="pct"/>
            <w:gridSpan w:val="2"/>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190</w:t>
            </w:r>
          </w:p>
        </w:tc>
        <w:tc>
          <w:tcPr>
            <w:tcW w:w="630" w:type="pct"/>
            <w:gridSpan w:val="2"/>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190</w:t>
            </w:r>
          </w:p>
        </w:tc>
        <w:tc>
          <w:tcPr>
            <w:tcW w:w="729" w:type="pct"/>
            <w:gridSpan w:val="2"/>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w:t>
            </w:r>
          </w:p>
        </w:tc>
        <w:tc>
          <w:tcPr>
            <w:tcW w:w="836" w:type="pct"/>
            <w:gridSpan w:val="2"/>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w:t>
            </w:r>
          </w:p>
        </w:tc>
        <w:tc>
          <w:tcPr>
            <w:tcW w:w="412"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w:t>
            </w: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PrEx>
        <w:trPr>
          <w:trHeight w:val="440"/>
        </w:trPr>
        <w:tc>
          <w:tcPr>
            <w:tcW w:w="637" w:type="pct"/>
            <w:gridSpan w:val="2"/>
            <w:vMerge/>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p>
        </w:tc>
        <w:tc>
          <w:tcPr>
            <w:tcW w:w="711" w:type="pct"/>
            <w:gridSpan w:val="2"/>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其他资金</w:t>
            </w:r>
          </w:p>
        </w:tc>
        <w:tc>
          <w:tcPr>
            <w:tcW w:w="410"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0</w:t>
            </w:r>
          </w:p>
        </w:tc>
        <w:tc>
          <w:tcPr>
            <w:tcW w:w="630" w:type="pct"/>
            <w:gridSpan w:val="2"/>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0</w:t>
            </w:r>
          </w:p>
        </w:tc>
        <w:tc>
          <w:tcPr>
            <w:tcW w:w="630" w:type="pct"/>
            <w:gridSpan w:val="2"/>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p>
        </w:tc>
        <w:tc>
          <w:tcPr>
            <w:tcW w:w="729" w:type="pct"/>
            <w:gridSpan w:val="2"/>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w:t>
            </w:r>
          </w:p>
        </w:tc>
        <w:tc>
          <w:tcPr>
            <w:tcW w:w="836" w:type="pct"/>
            <w:gridSpan w:val="2"/>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w:t>
            </w:r>
          </w:p>
        </w:tc>
        <w:tc>
          <w:tcPr>
            <w:tcW w:w="412"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w:t>
            </w: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PrEx>
        <w:trPr>
          <w:trHeight w:val="600"/>
        </w:trPr>
        <w:tc>
          <w:tcPr>
            <w:tcW w:w="318" w:type="pct"/>
            <w:vMerge w:val="restar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年度总体目标</w:t>
            </w:r>
          </w:p>
        </w:tc>
        <w:tc>
          <w:tcPr>
            <w:tcW w:w="2702" w:type="pct"/>
            <w:gridSpan w:val="8"/>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总体目标</w:t>
            </w:r>
          </w:p>
        </w:tc>
        <w:tc>
          <w:tcPr>
            <w:tcW w:w="1979" w:type="pct"/>
            <w:gridSpan w:val="5"/>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总体目标完成情况</w:t>
            </w: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PrEx>
        <w:trPr>
          <w:trHeight w:val="920"/>
        </w:trPr>
        <w:tc>
          <w:tcPr>
            <w:tcW w:w="318" w:type="pct"/>
            <w:vMerge/>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p>
        </w:tc>
        <w:tc>
          <w:tcPr>
            <w:tcW w:w="2702" w:type="pct"/>
            <w:gridSpan w:val="8"/>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按照县委、县人民政府安排部署，负责县城市政设施运营维护管理，包括绿化供水和路灯用电保障。保障县城46处供电红绿灯站点，43条供电亮化路的正常照明。</w:t>
            </w:r>
          </w:p>
        </w:tc>
        <w:tc>
          <w:tcPr>
            <w:tcW w:w="1979" w:type="pct"/>
            <w:gridSpan w:val="5"/>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完成保障县城红绿灯供电站点46处，亮化道路供电43条；保障市政设施正常运营维护管理用电。全县正常亮化率达100%。</w:t>
            </w: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PrEx>
        <w:trPr>
          <w:trHeight w:val="1380"/>
        </w:trPr>
        <w:tc>
          <w:tcPr>
            <w:tcW w:w="318"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p>
        </w:tc>
        <w:tc>
          <w:tcPr>
            <w:tcW w:w="318"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一级指标</w:t>
            </w:r>
          </w:p>
        </w:tc>
        <w:tc>
          <w:tcPr>
            <w:tcW w:w="318"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二级指标</w:t>
            </w:r>
          </w:p>
        </w:tc>
        <w:tc>
          <w:tcPr>
            <w:tcW w:w="393"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三级指标</w:t>
            </w:r>
          </w:p>
        </w:tc>
        <w:tc>
          <w:tcPr>
            <w:tcW w:w="410"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指标值</w:t>
            </w:r>
          </w:p>
        </w:tc>
        <w:tc>
          <w:tcPr>
            <w:tcW w:w="318"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指标值设置依据</w:t>
            </w:r>
          </w:p>
        </w:tc>
        <w:tc>
          <w:tcPr>
            <w:tcW w:w="311"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上年完成值</w:t>
            </w:r>
          </w:p>
        </w:tc>
        <w:tc>
          <w:tcPr>
            <w:tcW w:w="311"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指标分值权重</w:t>
            </w:r>
          </w:p>
        </w:tc>
        <w:tc>
          <w:tcPr>
            <w:tcW w:w="318"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指标赋分规则</w:t>
            </w:r>
          </w:p>
        </w:tc>
        <w:tc>
          <w:tcPr>
            <w:tcW w:w="318"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佐证资料</w:t>
            </w:r>
          </w:p>
        </w:tc>
        <w:tc>
          <w:tcPr>
            <w:tcW w:w="411"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指标实际完成值</w:t>
            </w:r>
          </w:p>
        </w:tc>
        <w:tc>
          <w:tcPr>
            <w:tcW w:w="392"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完成率</w:t>
            </w:r>
          </w:p>
        </w:tc>
        <w:tc>
          <w:tcPr>
            <w:tcW w:w="444"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指标得分</w:t>
            </w:r>
          </w:p>
        </w:tc>
        <w:tc>
          <w:tcPr>
            <w:tcW w:w="412"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偏差原因分析及改进措施</w:t>
            </w: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PrEx>
        <w:trPr>
          <w:trHeight w:val="740"/>
        </w:trPr>
        <w:tc>
          <w:tcPr>
            <w:tcW w:w="318" w:type="pct"/>
            <w:vMerge w:val="restar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年度绩效指标完成情况</w:t>
            </w:r>
          </w:p>
        </w:tc>
        <w:tc>
          <w:tcPr>
            <w:tcW w:w="318" w:type="pct"/>
            <w:vMerge w:val="restar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产出指标</w:t>
            </w:r>
          </w:p>
        </w:tc>
        <w:tc>
          <w:tcPr>
            <w:tcW w:w="318"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数量指标</w:t>
            </w:r>
          </w:p>
        </w:tc>
        <w:tc>
          <w:tcPr>
            <w:tcW w:w="393"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县城供电红绿灯站点数量</w:t>
            </w:r>
          </w:p>
        </w:tc>
        <w:tc>
          <w:tcPr>
            <w:tcW w:w="410"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&gt;=46处</w:t>
            </w:r>
          </w:p>
        </w:tc>
        <w:tc>
          <w:tcPr>
            <w:tcW w:w="318"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计划标准</w:t>
            </w:r>
          </w:p>
        </w:tc>
        <w:tc>
          <w:tcPr>
            <w:tcW w:w="311"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w:t>
            </w:r>
          </w:p>
        </w:tc>
        <w:tc>
          <w:tcPr>
            <w:tcW w:w="311"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10</w:t>
            </w:r>
          </w:p>
        </w:tc>
        <w:tc>
          <w:tcPr>
            <w:tcW w:w="318"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按照完成比例赋分</w:t>
            </w:r>
          </w:p>
        </w:tc>
        <w:tc>
          <w:tcPr>
            <w:tcW w:w="318"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工作资料</w:t>
            </w:r>
          </w:p>
        </w:tc>
        <w:tc>
          <w:tcPr>
            <w:tcW w:w="411"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=46处</w:t>
            </w:r>
          </w:p>
        </w:tc>
        <w:tc>
          <w:tcPr>
            <w:tcW w:w="392"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100%</w:t>
            </w:r>
          </w:p>
        </w:tc>
        <w:tc>
          <w:tcPr>
            <w:tcW w:w="444"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10</w:t>
            </w:r>
          </w:p>
        </w:tc>
        <w:tc>
          <w:tcPr>
            <w:tcW w:w="412"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PrEx>
        <w:trPr>
          <w:trHeight w:val="600"/>
        </w:trPr>
        <w:tc>
          <w:tcPr>
            <w:tcW w:w="318" w:type="pct"/>
            <w:vMerge/>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p>
        </w:tc>
        <w:tc>
          <w:tcPr>
            <w:tcW w:w="318" w:type="pct"/>
            <w:vMerge/>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p>
        </w:tc>
        <w:tc>
          <w:tcPr>
            <w:tcW w:w="318"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数量指标</w:t>
            </w:r>
          </w:p>
        </w:tc>
        <w:tc>
          <w:tcPr>
            <w:tcW w:w="393"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县城供电亮化路条数</w:t>
            </w:r>
          </w:p>
        </w:tc>
        <w:tc>
          <w:tcPr>
            <w:tcW w:w="410"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&gt;=43条</w:t>
            </w:r>
          </w:p>
        </w:tc>
        <w:tc>
          <w:tcPr>
            <w:tcW w:w="318"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计划标准</w:t>
            </w:r>
          </w:p>
        </w:tc>
        <w:tc>
          <w:tcPr>
            <w:tcW w:w="311"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w:t>
            </w:r>
          </w:p>
        </w:tc>
        <w:tc>
          <w:tcPr>
            <w:tcW w:w="311"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10</w:t>
            </w:r>
          </w:p>
        </w:tc>
        <w:tc>
          <w:tcPr>
            <w:tcW w:w="318"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按照完成比例赋分</w:t>
            </w:r>
          </w:p>
        </w:tc>
        <w:tc>
          <w:tcPr>
            <w:tcW w:w="318"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工作资料</w:t>
            </w:r>
          </w:p>
        </w:tc>
        <w:tc>
          <w:tcPr>
            <w:tcW w:w="411"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=43条</w:t>
            </w:r>
          </w:p>
        </w:tc>
        <w:tc>
          <w:tcPr>
            <w:tcW w:w="392"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100%</w:t>
            </w:r>
          </w:p>
        </w:tc>
        <w:tc>
          <w:tcPr>
            <w:tcW w:w="444"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10</w:t>
            </w:r>
          </w:p>
        </w:tc>
        <w:tc>
          <w:tcPr>
            <w:tcW w:w="412"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PrEx>
        <w:trPr>
          <w:trHeight w:val="720"/>
        </w:trPr>
        <w:tc>
          <w:tcPr>
            <w:tcW w:w="318" w:type="pct"/>
            <w:vMerge/>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p>
        </w:tc>
        <w:tc>
          <w:tcPr>
            <w:tcW w:w="318" w:type="pct"/>
            <w:vMerge/>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p>
        </w:tc>
        <w:tc>
          <w:tcPr>
            <w:tcW w:w="318"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质量指标</w:t>
            </w:r>
          </w:p>
        </w:tc>
        <w:tc>
          <w:tcPr>
            <w:tcW w:w="393"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保证正常亮化率</w:t>
            </w:r>
          </w:p>
        </w:tc>
        <w:tc>
          <w:tcPr>
            <w:tcW w:w="410"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=95%</w:t>
            </w:r>
          </w:p>
        </w:tc>
        <w:tc>
          <w:tcPr>
            <w:tcW w:w="318"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计划标准</w:t>
            </w:r>
          </w:p>
        </w:tc>
        <w:tc>
          <w:tcPr>
            <w:tcW w:w="311"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w:t>
            </w:r>
          </w:p>
        </w:tc>
        <w:tc>
          <w:tcPr>
            <w:tcW w:w="311"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10</w:t>
            </w:r>
          </w:p>
        </w:tc>
        <w:tc>
          <w:tcPr>
            <w:tcW w:w="318"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按照完成比例赋分</w:t>
            </w:r>
          </w:p>
        </w:tc>
        <w:tc>
          <w:tcPr>
            <w:tcW w:w="318"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工作资料</w:t>
            </w:r>
          </w:p>
        </w:tc>
        <w:tc>
          <w:tcPr>
            <w:tcW w:w="411"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=100%</w:t>
            </w:r>
          </w:p>
        </w:tc>
        <w:tc>
          <w:tcPr>
            <w:tcW w:w="392"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100%</w:t>
            </w:r>
          </w:p>
        </w:tc>
        <w:tc>
          <w:tcPr>
            <w:tcW w:w="444"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10</w:t>
            </w:r>
          </w:p>
        </w:tc>
        <w:tc>
          <w:tcPr>
            <w:tcW w:w="412"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PrEx>
        <w:trPr>
          <w:trHeight w:val="600"/>
        </w:trPr>
        <w:tc>
          <w:tcPr>
            <w:tcW w:w="318" w:type="pct"/>
            <w:vMerge/>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p>
        </w:tc>
        <w:tc>
          <w:tcPr>
            <w:tcW w:w="318" w:type="pct"/>
            <w:vMerge/>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p>
        </w:tc>
        <w:tc>
          <w:tcPr>
            <w:tcW w:w="318"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时效指标</w:t>
            </w:r>
          </w:p>
        </w:tc>
        <w:tc>
          <w:tcPr>
            <w:tcW w:w="393"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路灯照明时长</w:t>
            </w:r>
          </w:p>
        </w:tc>
        <w:tc>
          <w:tcPr>
            <w:tcW w:w="410"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&gt;=12小时/天均</w:t>
            </w:r>
          </w:p>
        </w:tc>
        <w:tc>
          <w:tcPr>
            <w:tcW w:w="318"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计划标准</w:t>
            </w:r>
          </w:p>
        </w:tc>
        <w:tc>
          <w:tcPr>
            <w:tcW w:w="311"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w:t>
            </w:r>
          </w:p>
        </w:tc>
        <w:tc>
          <w:tcPr>
            <w:tcW w:w="311"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10</w:t>
            </w:r>
          </w:p>
        </w:tc>
        <w:tc>
          <w:tcPr>
            <w:tcW w:w="318"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按照完成比例赋分</w:t>
            </w:r>
          </w:p>
        </w:tc>
        <w:tc>
          <w:tcPr>
            <w:tcW w:w="318"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工作资料</w:t>
            </w:r>
          </w:p>
        </w:tc>
        <w:tc>
          <w:tcPr>
            <w:tcW w:w="411"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=12小时/天均</w:t>
            </w:r>
          </w:p>
        </w:tc>
        <w:tc>
          <w:tcPr>
            <w:tcW w:w="392"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100%</w:t>
            </w:r>
          </w:p>
        </w:tc>
        <w:tc>
          <w:tcPr>
            <w:tcW w:w="444"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10</w:t>
            </w:r>
          </w:p>
        </w:tc>
        <w:tc>
          <w:tcPr>
            <w:tcW w:w="412"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PrEx>
        <w:trPr>
          <w:trHeight w:val="600"/>
        </w:trPr>
        <w:tc>
          <w:tcPr>
            <w:tcW w:w="318" w:type="pct"/>
            <w:vMerge/>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p>
        </w:tc>
        <w:tc>
          <w:tcPr>
            <w:tcW w:w="318" w:type="pct"/>
            <w:vMerge w:val="restar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成本指标</w:t>
            </w:r>
          </w:p>
        </w:tc>
        <w:tc>
          <w:tcPr>
            <w:tcW w:w="318"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经济成本指标</w:t>
            </w:r>
          </w:p>
        </w:tc>
        <w:tc>
          <w:tcPr>
            <w:tcW w:w="393"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1-12月电费</w:t>
            </w:r>
          </w:p>
        </w:tc>
        <w:tc>
          <w:tcPr>
            <w:tcW w:w="410"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&lt;=190万元</w:t>
            </w:r>
          </w:p>
        </w:tc>
        <w:tc>
          <w:tcPr>
            <w:tcW w:w="318"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计划标准</w:t>
            </w:r>
          </w:p>
        </w:tc>
        <w:tc>
          <w:tcPr>
            <w:tcW w:w="311"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w:t>
            </w:r>
          </w:p>
        </w:tc>
        <w:tc>
          <w:tcPr>
            <w:tcW w:w="311"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10</w:t>
            </w:r>
          </w:p>
        </w:tc>
        <w:tc>
          <w:tcPr>
            <w:tcW w:w="318"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按照完成比例赋分</w:t>
            </w:r>
          </w:p>
        </w:tc>
        <w:tc>
          <w:tcPr>
            <w:tcW w:w="318"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工作资料</w:t>
            </w:r>
          </w:p>
        </w:tc>
        <w:tc>
          <w:tcPr>
            <w:tcW w:w="411"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=190万元</w:t>
            </w:r>
          </w:p>
        </w:tc>
        <w:tc>
          <w:tcPr>
            <w:tcW w:w="392"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100%</w:t>
            </w:r>
          </w:p>
        </w:tc>
        <w:tc>
          <w:tcPr>
            <w:tcW w:w="444"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10</w:t>
            </w:r>
          </w:p>
        </w:tc>
        <w:tc>
          <w:tcPr>
            <w:tcW w:w="412"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PrEx>
        <w:trPr>
          <w:trHeight w:val="600"/>
        </w:trPr>
        <w:tc>
          <w:tcPr>
            <w:tcW w:w="318" w:type="pct"/>
            <w:vMerge/>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p>
        </w:tc>
        <w:tc>
          <w:tcPr>
            <w:tcW w:w="318" w:type="pct"/>
            <w:vMerge/>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p>
        </w:tc>
        <w:tc>
          <w:tcPr>
            <w:tcW w:w="318"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经济成本指标</w:t>
            </w:r>
          </w:p>
        </w:tc>
        <w:tc>
          <w:tcPr>
            <w:tcW w:w="393"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单位电量平均电价</w:t>
            </w:r>
          </w:p>
        </w:tc>
        <w:tc>
          <w:tcPr>
            <w:tcW w:w="410"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=0.42元/度</w:t>
            </w:r>
          </w:p>
        </w:tc>
        <w:tc>
          <w:tcPr>
            <w:tcW w:w="318"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计划标准</w:t>
            </w:r>
          </w:p>
        </w:tc>
        <w:tc>
          <w:tcPr>
            <w:tcW w:w="311"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p>
        </w:tc>
        <w:tc>
          <w:tcPr>
            <w:tcW w:w="311"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10</w:t>
            </w:r>
          </w:p>
        </w:tc>
        <w:tc>
          <w:tcPr>
            <w:tcW w:w="318"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按照完成比例赋分</w:t>
            </w:r>
          </w:p>
        </w:tc>
        <w:tc>
          <w:tcPr>
            <w:tcW w:w="318"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工作资料</w:t>
            </w:r>
          </w:p>
        </w:tc>
        <w:tc>
          <w:tcPr>
            <w:tcW w:w="411"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=0.42元/度</w:t>
            </w:r>
          </w:p>
        </w:tc>
        <w:tc>
          <w:tcPr>
            <w:tcW w:w="392"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100%</w:t>
            </w:r>
          </w:p>
        </w:tc>
        <w:tc>
          <w:tcPr>
            <w:tcW w:w="444"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10</w:t>
            </w:r>
          </w:p>
        </w:tc>
        <w:tc>
          <w:tcPr>
            <w:tcW w:w="412"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PrEx>
        <w:trPr>
          <w:trHeight w:val="600"/>
        </w:trPr>
        <w:tc>
          <w:tcPr>
            <w:tcW w:w="318" w:type="pct"/>
            <w:vMerge/>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p>
        </w:tc>
        <w:tc>
          <w:tcPr>
            <w:tcW w:w="318"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效益指标</w:t>
            </w:r>
          </w:p>
        </w:tc>
        <w:tc>
          <w:tcPr>
            <w:tcW w:w="318"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社会效益指标</w:t>
            </w:r>
          </w:p>
        </w:tc>
        <w:tc>
          <w:tcPr>
            <w:tcW w:w="393"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保障群众夜间出行方便</w:t>
            </w:r>
          </w:p>
        </w:tc>
        <w:tc>
          <w:tcPr>
            <w:tcW w:w="410"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效果明显</w:t>
            </w:r>
          </w:p>
        </w:tc>
        <w:tc>
          <w:tcPr>
            <w:tcW w:w="318"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计划标准</w:t>
            </w:r>
          </w:p>
        </w:tc>
        <w:tc>
          <w:tcPr>
            <w:tcW w:w="311"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w:t>
            </w:r>
          </w:p>
        </w:tc>
        <w:tc>
          <w:tcPr>
            <w:tcW w:w="311"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20</w:t>
            </w:r>
          </w:p>
        </w:tc>
        <w:tc>
          <w:tcPr>
            <w:tcW w:w="318"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按评判等级赋分</w:t>
            </w:r>
          </w:p>
        </w:tc>
        <w:tc>
          <w:tcPr>
            <w:tcW w:w="318"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工作资料</w:t>
            </w:r>
          </w:p>
        </w:tc>
        <w:tc>
          <w:tcPr>
            <w:tcW w:w="411"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达到目标</w:t>
            </w:r>
          </w:p>
        </w:tc>
        <w:tc>
          <w:tcPr>
            <w:tcW w:w="392"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100%</w:t>
            </w:r>
          </w:p>
        </w:tc>
        <w:tc>
          <w:tcPr>
            <w:tcW w:w="444"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20</w:t>
            </w:r>
          </w:p>
        </w:tc>
        <w:tc>
          <w:tcPr>
            <w:tcW w:w="412"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PrEx>
        <w:trPr>
          <w:trHeight w:val="600"/>
        </w:trPr>
        <w:tc>
          <w:tcPr>
            <w:tcW w:w="318" w:type="pct"/>
            <w:vMerge/>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p>
        </w:tc>
        <w:tc>
          <w:tcPr>
            <w:tcW w:w="318"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满意度指标</w:t>
            </w:r>
          </w:p>
        </w:tc>
        <w:tc>
          <w:tcPr>
            <w:tcW w:w="318"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满意度指标</w:t>
            </w:r>
          </w:p>
        </w:tc>
        <w:tc>
          <w:tcPr>
            <w:tcW w:w="393"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受益群众满意度</w:t>
            </w:r>
          </w:p>
        </w:tc>
        <w:tc>
          <w:tcPr>
            <w:tcW w:w="410"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&gt;=95%</w:t>
            </w:r>
          </w:p>
        </w:tc>
        <w:tc>
          <w:tcPr>
            <w:tcW w:w="318"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计划标准</w:t>
            </w:r>
          </w:p>
        </w:tc>
        <w:tc>
          <w:tcPr>
            <w:tcW w:w="311"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w:t>
            </w:r>
          </w:p>
        </w:tc>
        <w:tc>
          <w:tcPr>
            <w:tcW w:w="311"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10</w:t>
            </w:r>
          </w:p>
        </w:tc>
        <w:tc>
          <w:tcPr>
            <w:tcW w:w="318"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满意度赋分</w:t>
            </w:r>
          </w:p>
        </w:tc>
        <w:tc>
          <w:tcPr>
            <w:tcW w:w="318"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工作资料</w:t>
            </w:r>
          </w:p>
        </w:tc>
        <w:tc>
          <w:tcPr>
            <w:tcW w:w="411"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=95%</w:t>
            </w:r>
          </w:p>
        </w:tc>
        <w:tc>
          <w:tcPr>
            <w:tcW w:w="392"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100%</w:t>
            </w:r>
          </w:p>
        </w:tc>
        <w:tc>
          <w:tcPr>
            <w:tcW w:w="444"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10</w:t>
            </w:r>
          </w:p>
        </w:tc>
        <w:tc>
          <w:tcPr>
            <w:tcW w:w="412"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PrEx>
        <w:trPr>
          <w:trHeight w:val="500"/>
        </w:trPr>
        <w:tc>
          <w:tcPr>
            <w:tcW w:w="1349" w:type="pct"/>
            <w:gridSpan w:val="4"/>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总分</w:t>
            </w:r>
          </w:p>
        </w:tc>
        <w:tc>
          <w:tcPr>
            <w:tcW w:w="410"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p>
        </w:tc>
        <w:tc>
          <w:tcPr>
            <w:tcW w:w="318"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p>
        </w:tc>
        <w:tc>
          <w:tcPr>
            <w:tcW w:w="311"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p>
        </w:tc>
        <w:tc>
          <w:tcPr>
            <w:tcW w:w="311"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p>
        </w:tc>
        <w:tc>
          <w:tcPr>
            <w:tcW w:w="318"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p>
        </w:tc>
        <w:tc>
          <w:tcPr>
            <w:tcW w:w="318"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p>
        </w:tc>
        <w:tc>
          <w:tcPr>
            <w:tcW w:w="411"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p>
        </w:tc>
        <w:tc>
          <w:tcPr>
            <w:tcW w:w="392"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p>
        </w:tc>
        <w:tc>
          <w:tcPr>
            <w:tcW w:w="444"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100.00分</w:t>
            </w:r>
          </w:p>
        </w:tc>
        <w:tc>
          <w:tcPr>
            <w:tcW w:w="412"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PrEx>
        <w:trPr>
          <w:trHeight w:val="400"/>
        </w:trPr>
        <w:tc>
          <w:tcPr>
            <w:tcW w:w="318" w:type="pct"/>
            <w:tcBorders>
              <w:top w:val="nil"/>
              <w:left w:val="nil"/>
              <w:bottom w:val="nil"/>
              <w:right w:val="nil"/>
            </w:tcBorders>
            <w:noWrap w:val="1"/>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p>
        </w:tc>
        <w:tc>
          <w:tcPr>
            <w:tcW w:w="318" w:type="pct"/>
            <w:tcBorders>
              <w:top w:val="nil"/>
              <w:left w:val="nil"/>
              <w:bottom w:val="nil"/>
              <w:right w:val="nil"/>
            </w:tcBorders>
            <w:noWrap w:val="1"/>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p>
        </w:tc>
        <w:tc>
          <w:tcPr>
            <w:tcW w:w="318" w:type="pct"/>
            <w:tcBorders>
              <w:top w:val="nil"/>
              <w:left w:val="nil"/>
              <w:bottom w:val="nil"/>
              <w:right w:val="nil"/>
            </w:tcBorders>
            <w:noWrap w:val="1"/>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p>
        </w:tc>
        <w:tc>
          <w:tcPr>
            <w:tcW w:w="393" w:type="pct"/>
            <w:tcBorders>
              <w:top w:val="nil"/>
              <w:left w:val="nil"/>
              <w:bottom w:val="nil"/>
              <w:right w:val="nil"/>
            </w:tcBorders>
            <w:noWrap w:val="1"/>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p>
        </w:tc>
        <w:tc>
          <w:tcPr>
            <w:tcW w:w="410" w:type="pct"/>
            <w:tcBorders>
              <w:top w:val="nil"/>
              <w:left w:val="nil"/>
              <w:bottom w:val="nil"/>
              <w:right w:val="nil"/>
            </w:tcBorders>
            <w:noWrap w:val="1"/>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p>
        </w:tc>
        <w:tc>
          <w:tcPr>
            <w:tcW w:w="318" w:type="pct"/>
            <w:tcBorders>
              <w:top w:val="nil"/>
              <w:left w:val="nil"/>
              <w:bottom w:val="nil"/>
              <w:right w:val="nil"/>
            </w:tcBorders>
            <w:noWrap w:val="1"/>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p>
        </w:tc>
        <w:tc>
          <w:tcPr>
            <w:tcW w:w="311" w:type="pct"/>
            <w:tcBorders>
              <w:top w:val="nil"/>
              <w:left w:val="nil"/>
              <w:bottom w:val="nil"/>
              <w:right w:val="nil"/>
            </w:tcBorders>
            <w:noWrap w:val="1"/>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p>
        </w:tc>
        <w:tc>
          <w:tcPr>
            <w:tcW w:w="311" w:type="pct"/>
            <w:tcBorders>
              <w:top w:val="nil"/>
              <w:left w:val="nil"/>
              <w:bottom w:val="nil"/>
              <w:right w:val="nil"/>
            </w:tcBorders>
            <w:noWrap w:val="1"/>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p>
        </w:tc>
        <w:tc>
          <w:tcPr>
            <w:tcW w:w="318" w:type="pct"/>
            <w:tcBorders>
              <w:top w:val="nil"/>
              <w:left w:val="nil"/>
              <w:bottom w:val="nil"/>
              <w:right w:val="nil"/>
            </w:tcBorders>
            <w:noWrap w:val="1"/>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p>
        </w:tc>
        <w:tc>
          <w:tcPr>
            <w:tcW w:w="318" w:type="pct"/>
            <w:tcBorders>
              <w:top w:val="nil"/>
              <w:left w:val="nil"/>
              <w:bottom w:val="nil"/>
              <w:right w:val="nil"/>
            </w:tcBorders>
            <w:noWrap w:val="1"/>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p>
        </w:tc>
        <w:tc>
          <w:tcPr>
            <w:tcW w:w="411" w:type="pct"/>
            <w:tcBorders>
              <w:top w:val="nil"/>
              <w:left w:val="nil"/>
              <w:bottom w:val="nil"/>
              <w:right w:val="nil"/>
            </w:tcBorders>
            <w:noWrap w:val="1"/>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p>
        </w:tc>
        <w:tc>
          <w:tcPr>
            <w:tcW w:w="392" w:type="pct"/>
            <w:tcBorders>
              <w:top w:val="nil"/>
              <w:left w:val="nil"/>
              <w:bottom w:val="nil"/>
              <w:right w:val="nil"/>
            </w:tcBorders>
            <w:noWrap w:val="1"/>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p>
        </w:tc>
        <w:tc>
          <w:tcPr>
            <w:tcW w:w="444" w:type="pct"/>
            <w:tcBorders>
              <w:top w:val="nil"/>
              <w:left w:val="nil"/>
              <w:bottom w:val="nil"/>
              <w:right w:val="nil"/>
            </w:tcBorders>
            <w:noWrap w:val="1"/>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p>
        </w:tc>
        <w:tc>
          <w:tcPr>
            <w:tcW w:w="412" w:type="pct"/>
            <w:tcBorders>
              <w:top w:val="nil"/>
              <w:left w:val="nil"/>
              <w:bottom w:val="nil"/>
              <w:right w:val="nil"/>
            </w:tcBorders>
            <w:noWrap w:val="1"/>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p>
        </w:tc>
      </w:tr>
    </w:tbl>
    <w:p>
      <w:pPr>
        <w:ind w:left="0" w:firstLine="0" w:leftChars="0" w:firstLineChars="0"/>
        <w:jc w:val="both"/>
        <w:rPr>
          <w:rFonts w:ascii="仿宋" w:eastAsia="仿宋" w:hAnsi="仿宋" w:cs="仿宋" w:hint="eastAsia"/>
          <w:color w:val="auto"/>
          <w:sz w:val="18"/>
          <w:szCs w:val="18"/>
          <w:highlight w:val="none"/>
        </w:rPr>
      </w:pPr>
    </w:p>
    <w:p>
      <w:pPr>
        <w:pStyle w:val="Heading3"/>
        <w:ind w:left="0" w:firstLine="0" w:leftChars="0" w:firstLineChars="0"/>
        <w:jc w:val="both"/>
        <w:outlineLvl w:val="9"/>
        <w:rPr>
          <w:rFonts w:ascii="仿宋" w:eastAsia="仿宋" w:hAnsi="仿宋" w:cs="仿宋" w:hint="eastAsia"/>
          <w:color w:val="auto"/>
          <w:highlight w:val="none"/>
        </w:rPr>
        <w:sectPr>
          <w:pgSz w:w="16838" w:h="11906" w:orient="landscape"/>
          <w:pgMar w:top="1800" w:right="1440" w:bottom="1800" w:left="1440" w:header="851" w:footer="992" w:gutter="0"/>
          <w:pgBorders/>
          <w:pgNumType w:fmt="decimal"/>
          <w:cols w:num="1" w:space="720">
            <w:col w:w="13958" w:space="720"/>
          </w:cols>
          <w:docGrid w:type="lines" w:linePitch="312" w:charSpace="0"/>
        </w:sectPr>
      </w:pPr>
      <w:bookmarkStart w:id="188" w:name="_Toc5134"/>
      <w:bookmarkStart w:id="189" w:name="_Toc28099"/>
      <w:bookmarkStart w:id="190" w:name="_Toc22143"/>
      <w:bookmarkStart w:id="191" w:name="_Toc1641"/>
    </w:p>
    <w:p>
      <w:pPr>
        <w:pStyle w:val="Heading2"/>
        <w:bidi w:val="0"/>
        <w:jc w:val="both"/>
        <w:outlineLvl w:val="0"/>
        <w:rPr>
          <w:rFonts w:ascii="仿宋" w:eastAsia="仿宋" w:hAnsi="仿宋" w:cs="仿宋" w:hint="eastAsia"/>
          <w:color w:val="auto"/>
          <w:highlight w:val="none"/>
        </w:rPr>
      </w:pPr>
      <w:bookmarkStart w:id="192" w:name="_Toc31300"/>
      <w:bookmarkStart w:id="193" w:name="_Toc29757"/>
      <w:bookmarkStart w:id="194" w:name="_Toc31286"/>
      <w:r>
        <w:rPr>
          <w:rFonts w:ascii="仿宋" w:eastAsia="仿宋" w:hAnsi="仿宋" w:cs="仿宋" w:hint="eastAsia"/>
          <w:color w:val="auto"/>
          <w:highlight w:val="none"/>
        </w:rPr>
        <w:t xml:space="preserve">附件2：</w:t>
      </w:r>
      <w:bookmarkEnd w:id="188"/>
      <w:bookmarkEnd w:id="189"/>
      <w:bookmarkEnd w:id="190"/>
      <w:bookmarkEnd w:id="191"/>
      <w:bookmarkEnd w:id="192"/>
      <w:bookmarkEnd w:id="193"/>
      <w:r>
        <w:rPr>
          <w:rFonts w:ascii="仿宋" w:eastAsia="仿宋" w:hAnsi="仿宋" w:cs="仿宋" w:hint="eastAsia"/>
          <w:color w:val="auto"/>
          <w:highlight w:val="none"/>
        </w:rPr>
        <w:t xml:space="preserve">项目支出绩效评价指标体系及评分</w:t>
      </w:r>
      <w:bookmarkEnd w:id="194"/>
    </w:p>
    <w:p>
      <w:pPr>
        <w:pStyle w:val="表格标题"/>
        <w:bidi w:val="0"/>
        <w:jc w:val="center"/>
        <w:rPr>
          <w:rFonts w:ascii="仿宋" w:eastAsia="仿宋" w:hAnsi="仿宋" w:cs="仿宋" w:hint="eastAsia"/>
          <w:color w:val="auto"/>
          <w:highlight w:val="none"/>
        </w:rPr>
      </w:pPr>
      <w:bookmarkStart w:id="195" w:name="_Toc28172"/>
      <w:bookmarkStart w:id="196" w:name="_Toc29561"/>
      <w:bookmarkStart w:id="197" w:name="_Toc12066"/>
      <w:r>
        <w:rPr>
          <w:rFonts w:ascii="仿宋" w:eastAsia="仿宋" w:hAnsi="仿宋" w:cs="仿宋" w:hint="eastAsia"/>
          <w:color w:val="auto"/>
          <w:highlight w:val="none"/>
        </w:rPr>
        <w:t xml:space="preserve">项目支出绩效评价指标体系及评分</w:t>
      </w:r>
      <w:bookmarkEnd w:id="195"/>
      <w:bookmarkEnd w:id="196"/>
      <w:bookmarkEnd w:id="197"/>
    </w:p>
    <w:tbl>
      <w:tblPr>
        <w:tblStyle w:val="NormalTable"/>
        <w:tblW w:w="5674" w:type="pct"/>
        <w:jc w:val="center"/>
        <w:tblLayout w:type="fixed"/>
        <w:tblCellMar>
          <w:top w:w="0" w:type="dxa"/>
          <w:left w:w="108" w:type="dxa"/>
          <w:bottom w:w="0" w:type="dxa"/>
          <w:right w:w="108" w:type="dxa"/>
        </w:tblCellMar>
        <w:tblLook w:firstRow="0" w:lastRow="0" w:firstColumn="0" w:lastColumn="0" w:noHBand="1" w:noVBand="1"/>
      </w:tblPr>
      <w:tblGrid>
        <w:gridCol w:w="592"/>
        <w:gridCol w:w="669"/>
        <w:gridCol w:w="816"/>
        <w:gridCol w:w="2173"/>
        <w:gridCol w:w="4183"/>
        <w:gridCol w:w="613"/>
        <w:gridCol w:w="625"/>
      </w:tblGrid>
      <w:tr>
        <w:tblPrEx>
          <w:tblW w:w="5674" w:type="pct"/>
          <w:tblLayout w:type="fixed"/>
          <w:tblCellMar>
            <w:top w:w="0" w:type="dxa"/>
            <w:left w:w="108" w:type="dxa"/>
            <w:bottom w:w="0" w:type="dxa"/>
            <w:right w:w="108" w:type="dxa"/>
          </w:tblCellMar>
        </w:tblPrEx>
        <w:trPr>
          <w:trHeight w:val="460"/>
          <w:jc w:val="center"/>
        </w:trPr>
        <w:tc>
          <w:tcPr>
            <w:tcW w:w="30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一级</w:t>
            </w:r>
          </w:p>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指标</w:t>
            </w:r>
          </w:p>
        </w:tc>
        <w:tc>
          <w:tcPr>
            <w:tcW w:w="34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二级指标</w:t>
            </w:r>
          </w:p>
        </w:tc>
        <w:tc>
          <w:tcPr>
            <w:tcW w:w="42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三级</w:t>
            </w:r>
          </w:p>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指标</w:t>
            </w:r>
          </w:p>
        </w:tc>
        <w:tc>
          <w:tcPr>
            <w:tcW w:w="1123" w:type="pc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指标解释</w:t>
            </w:r>
          </w:p>
        </w:tc>
        <w:tc>
          <w:tcPr>
            <w:tcW w:w="216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指标说明</w:t>
            </w:r>
          </w:p>
        </w:tc>
        <w:tc>
          <w:tcPr>
            <w:tcW w:w="317"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分值</w:t>
            </w:r>
          </w:p>
        </w:tc>
        <w:tc>
          <w:tcPr>
            <w:tcW w:w="323"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得分</w:t>
            </w:r>
          </w:p>
        </w:tc>
      </w:tr>
      <w:tr>
        <w:tblPrEx>
          <w:tblW w:w="5674" w:type="pct"/>
          <w:tblLayout w:type="fixed"/>
          <w:tblCellMar>
            <w:top w:w="0" w:type="dxa"/>
            <w:left w:w="108" w:type="dxa"/>
            <w:bottom w:w="0" w:type="dxa"/>
            <w:right w:w="108" w:type="dxa"/>
          </w:tblCellMar>
        </w:tblPrEx>
        <w:trPr>
          <w:trHeight w:val="90"/>
          <w:jc w:val="center"/>
        </w:trPr>
        <w:tc>
          <w:tcPr>
            <w:tcW w:w="30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决策</w:t>
            </w:r>
          </w:p>
        </w:tc>
        <w:tc>
          <w:tcPr>
            <w:tcW w:w="34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lang w:eastAsia="zh-CN"/>
              </w:rPr>
            </w:pPr>
            <w:r>
              <w:rPr>
                <w:rFonts w:ascii="仿宋" w:eastAsia="仿宋" w:hAnsi="仿宋" w:cs="仿宋" w:hint="eastAsia"/>
                <w:color w:val="auto"/>
                <w:sz w:val="18"/>
                <w:szCs w:val="18"/>
                <w:highlight w:val="none"/>
              </w:rPr>
              <w:t xml:space="preserve">项目</w:t>
            </w:r>
            <w:r>
              <w:rPr>
                <w:rFonts w:ascii="仿宋" w:eastAsia="仿宋" w:hAnsi="仿宋" w:cs="仿宋" w:hint="eastAsia"/>
                <w:color w:val="auto"/>
                <w:sz w:val="18"/>
                <w:szCs w:val="18"/>
                <w:highlight w:val="none"/>
                <w:lang w:eastAsia="zh-CN"/>
              </w:rPr>
              <w:t xml:space="preserve">实施</w:t>
            </w: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lang w:eastAsia="zh-CN"/>
              </w:rPr>
              <w:t xml:space="preserve">实施</w:t>
            </w:r>
            <w:r>
              <w:rPr>
                <w:rFonts w:ascii="仿宋" w:eastAsia="仿宋" w:hAnsi="仿宋" w:cs="仿宋" w:hint="eastAsia"/>
                <w:color w:val="auto"/>
                <w:sz w:val="18"/>
                <w:szCs w:val="18"/>
                <w:highlight w:val="none"/>
              </w:rPr>
              <w:t xml:space="preserve">依据充分性</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项目</w:t>
            </w:r>
            <w:r>
              <w:rPr>
                <w:rFonts w:ascii="仿宋" w:eastAsia="仿宋" w:hAnsi="仿宋" w:cs="仿宋" w:hint="eastAsia"/>
                <w:color w:val="auto"/>
                <w:sz w:val="18"/>
                <w:szCs w:val="18"/>
                <w:highlight w:val="none"/>
                <w:lang w:eastAsia="zh-CN"/>
              </w:rPr>
              <w:t xml:space="preserve">实施</w:t>
            </w:r>
            <w:r>
              <w:rPr>
                <w:rFonts w:ascii="仿宋" w:eastAsia="仿宋" w:hAnsi="仿宋" w:cs="仿宋" w:hint="eastAsia"/>
                <w:color w:val="auto"/>
                <w:sz w:val="18"/>
                <w:szCs w:val="18"/>
                <w:highlight w:val="none"/>
              </w:rPr>
              <w:t xml:space="preserve">是否符合法律法规、相关政策、发展规划以及部门职责，用以反映和考核项目</w:t>
            </w:r>
            <w:r>
              <w:rPr>
                <w:rFonts w:ascii="仿宋" w:eastAsia="仿宋" w:hAnsi="仿宋" w:cs="仿宋" w:hint="eastAsia"/>
                <w:color w:val="auto"/>
                <w:sz w:val="18"/>
                <w:szCs w:val="18"/>
                <w:highlight w:val="none"/>
                <w:lang w:eastAsia="zh-CN"/>
              </w:rPr>
              <w:t xml:space="preserve">实施</w:t>
            </w:r>
            <w:r>
              <w:rPr>
                <w:rFonts w:ascii="仿宋" w:eastAsia="仿宋" w:hAnsi="仿宋" w:cs="仿宋" w:hint="eastAsia"/>
                <w:color w:val="auto"/>
                <w:sz w:val="18"/>
                <w:szCs w:val="18"/>
                <w:highlight w:val="none"/>
              </w:rPr>
              <w:t xml:space="preserve">依据情况。</w:t>
            </w: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评价要点：</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3</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3</w:t>
            </w: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①项目</w:t>
            </w:r>
            <w:r>
              <w:rPr>
                <w:rFonts w:ascii="仿宋" w:eastAsia="仿宋" w:hAnsi="仿宋" w:cs="仿宋" w:hint="eastAsia"/>
                <w:color w:val="auto"/>
                <w:sz w:val="18"/>
                <w:szCs w:val="18"/>
                <w:highlight w:val="none"/>
                <w:lang w:eastAsia="zh-CN"/>
              </w:rPr>
              <w:t xml:space="preserve">实施</w:t>
            </w:r>
            <w:r>
              <w:rPr>
                <w:rFonts w:ascii="仿宋" w:eastAsia="仿宋" w:hAnsi="仿宋" w:cs="仿宋" w:hint="eastAsia"/>
                <w:color w:val="auto"/>
                <w:sz w:val="18"/>
                <w:szCs w:val="18"/>
                <w:highlight w:val="none"/>
              </w:rPr>
              <w:t xml:space="preserve">是否符合国家法律法规、国民经济发展规划和相关政策；</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r>
      <w:tr>
        <w:tblPrEx>
          <w:tblW w:w="5674" w:type="pct"/>
          <w:tblLayout w:type="fixed"/>
          <w:tblCellMar>
            <w:top w:w="0" w:type="dxa"/>
            <w:left w:w="108" w:type="dxa"/>
            <w:bottom w:w="0" w:type="dxa"/>
            <w:right w:w="108" w:type="dxa"/>
          </w:tblCellMar>
        </w:tblPrEx>
        <w:trPr>
          <w:trHeight w:val="9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②项目</w:t>
            </w:r>
            <w:r>
              <w:rPr>
                <w:rFonts w:ascii="仿宋" w:eastAsia="仿宋" w:hAnsi="仿宋" w:cs="仿宋" w:hint="eastAsia"/>
                <w:color w:val="auto"/>
                <w:sz w:val="18"/>
                <w:szCs w:val="18"/>
                <w:highlight w:val="none"/>
                <w:lang w:eastAsia="zh-CN"/>
              </w:rPr>
              <w:t xml:space="preserve">实施</w:t>
            </w:r>
            <w:r>
              <w:rPr>
                <w:rFonts w:ascii="仿宋" w:eastAsia="仿宋" w:hAnsi="仿宋" w:cs="仿宋" w:hint="eastAsia"/>
                <w:color w:val="auto"/>
                <w:sz w:val="18"/>
                <w:szCs w:val="18"/>
                <w:highlight w:val="none"/>
              </w:rPr>
              <w:t xml:space="preserve">是否符合行业发展规划和政策要求；</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③项目</w:t>
            </w:r>
            <w:r>
              <w:rPr>
                <w:rFonts w:ascii="仿宋" w:eastAsia="仿宋" w:hAnsi="仿宋" w:cs="仿宋" w:hint="eastAsia"/>
                <w:color w:val="auto"/>
                <w:sz w:val="18"/>
                <w:szCs w:val="18"/>
                <w:highlight w:val="none"/>
                <w:lang w:eastAsia="zh-CN"/>
              </w:rPr>
              <w:t xml:space="preserve">实施</w:t>
            </w:r>
            <w:r>
              <w:rPr>
                <w:rFonts w:ascii="仿宋" w:eastAsia="仿宋" w:hAnsi="仿宋" w:cs="仿宋" w:hint="eastAsia"/>
                <w:color w:val="auto"/>
                <w:sz w:val="18"/>
                <w:szCs w:val="18"/>
                <w:highlight w:val="none"/>
              </w:rPr>
              <w:t xml:space="preserve">是否与部门职责范围相符，属于部门履职所需；</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④项目是否属于公共财政支持范围，是否符合中央、地方事权支出责任划分原则；</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⑤项目是否与相关部门同类项目或部门内部相关项目重复。</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r>
      <w:tr>
        <w:tblPrEx>
          <w:tblW w:w="5674" w:type="pct"/>
          <w:tblLayout w:type="fixed"/>
          <w:tblCellMar>
            <w:top w:w="0" w:type="dxa"/>
            <w:left w:w="108" w:type="dxa"/>
            <w:bottom w:w="0" w:type="dxa"/>
            <w:right w:w="108" w:type="dxa"/>
          </w:tblCellMar>
        </w:tblPrEx>
        <w:trPr>
          <w:trHeight w:val="131"/>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lang w:eastAsia="zh-CN"/>
              </w:rPr>
              <w:t xml:space="preserve">实施</w:t>
            </w:r>
            <w:r>
              <w:rPr>
                <w:rFonts w:ascii="仿宋" w:eastAsia="仿宋" w:hAnsi="仿宋" w:cs="仿宋" w:hint="eastAsia"/>
                <w:color w:val="auto"/>
                <w:sz w:val="18"/>
                <w:szCs w:val="18"/>
                <w:highlight w:val="none"/>
              </w:rPr>
              <w:t xml:space="preserve">程序规范性</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项目申请、设立过程是否符合相关要求，用以反映和考核项目</w:t>
            </w:r>
            <w:r>
              <w:rPr>
                <w:rFonts w:ascii="仿宋" w:eastAsia="仿宋" w:hAnsi="仿宋" w:cs="仿宋" w:hint="eastAsia"/>
                <w:color w:val="auto"/>
                <w:sz w:val="18"/>
                <w:szCs w:val="18"/>
                <w:highlight w:val="none"/>
                <w:lang w:eastAsia="zh-CN"/>
              </w:rPr>
              <w:t xml:space="preserve">实施</w:t>
            </w:r>
            <w:r>
              <w:rPr>
                <w:rFonts w:ascii="仿宋" w:eastAsia="仿宋" w:hAnsi="仿宋" w:cs="仿宋" w:hint="eastAsia"/>
                <w:color w:val="auto"/>
                <w:sz w:val="18"/>
                <w:szCs w:val="18"/>
                <w:highlight w:val="none"/>
              </w:rPr>
              <w:t xml:space="preserve">的规范情况。</w:t>
            </w:r>
          </w:p>
        </w:tc>
        <w:tc>
          <w:tcPr>
            <w:tcW w:w="2160" w:type="pct"/>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评价要点：</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3</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3</w:t>
            </w:r>
          </w:p>
        </w:tc>
      </w:tr>
      <w:tr>
        <w:tblPrEx>
          <w:tblW w:w="5674" w:type="pct"/>
          <w:tblLayout w:type="fixed"/>
          <w:tblCellMar>
            <w:top w:w="0" w:type="dxa"/>
            <w:left w:w="108" w:type="dxa"/>
            <w:bottom w:w="0" w:type="dxa"/>
            <w:right w:w="108" w:type="dxa"/>
          </w:tblCellMar>
        </w:tblPrEx>
        <w:trPr>
          <w:trHeight w:val="107"/>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①项目是否按照规定的程序申请设立；</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r>
      <w:tr>
        <w:tblPrEx>
          <w:tblW w:w="5674" w:type="pct"/>
          <w:tblLayout w:type="fixed"/>
          <w:tblCellMar>
            <w:top w:w="0" w:type="dxa"/>
            <w:left w:w="108" w:type="dxa"/>
            <w:bottom w:w="0" w:type="dxa"/>
            <w:right w:w="108" w:type="dxa"/>
          </w:tblCellMar>
        </w:tblPrEx>
        <w:trPr>
          <w:trHeight w:val="254"/>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②审批文件、材料是否符合相关要求；</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③事前是否已经过必要的可行性研究、专家论证、风险评估、绩效评估、集体决策。</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r>
      <w:tr>
        <w:tblPrEx>
          <w:tblW w:w="5674" w:type="pct"/>
          <w:tblLayout w:type="fixed"/>
          <w:tblCellMar>
            <w:top w:w="0" w:type="dxa"/>
            <w:left w:w="108" w:type="dxa"/>
            <w:bottom w:w="0" w:type="dxa"/>
            <w:right w:w="108" w:type="dxa"/>
          </w:tblCellMar>
        </w:tblPrEx>
        <w:trPr>
          <w:trHeight w:val="221"/>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4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绩效目标</w:t>
            </w: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绩效目标合理性</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项目所设定的绩效目标是否依据充分，是否符合客观实际，用以反映和考核项目绩效目标与项目实施的相符情况。</w:t>
            </w:r>
          </w:p>
        </w:tc>
        <w:tc>
          <w:tcPr>
            <w:tcW w:w="2160" w:type="pct"/>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评价要点：</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4</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4</w:t>
            </w:r>
          </w:p>
        </w:tc>
      </w:tr>
      <w:tr>
        <w:tblPrEx>
          <w:tblW w:w="5674" w:type="pct"/>
          <w:tblLayout w:type="fixed"/>
          <w:tblCellMar>
            <w:top w:w="0" w:type="dxa"/>
            <w:left w:w="108" w:type="dxa"/>
            <w:bottom w:w="0" w:type="dxa"/>
            <w:right w:w="108" w:type="dxa"/>
          </w:tblCellMar>
        </w:tblPrEx>
        <w:trPr>
          <w:trHeight w:val="152"/>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①项目是否有绩效目标；</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r>
      <w:tr>
        <w:tblPrEx>
          <w:tblW w:w="5674" w:type="pct"/>
          <w:tblLayout w:type="fixed"/>
          <w:tblCellMar>
            <w:top w:w="0" w:type="dxa"/>
            <w:left w:w="108" w:type="dxa"/>
            <w:bottom w:w="0" w:type="dxa"/>
            <w:right w:w="108" w:type="dxa"/>
          </w:tblCellMar>
        </w:tblPrEx>
        <w:trPr>
          <w:trHeight w:val="198"/>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②项目绩效目标与实际工作内容是否具有相关性；</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③项目预期产出效益和效果是否符合正常的业绩水平；</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r>
      <w:tr>
        <w:tblPrEx>
          <w:tblW w:w="5674" w:type="pct"/>
          <w:tblLayout w:type="fixed"/>
          <w:tblCellMar>
            <w:top w:w="0" w:type="dxa"/>
            <w:left w:w="108" w:type="dxa"/>
            <w:bottom w:w="0" w:type="dxa"/>
            <w:right w:w="108" w:type="dxa"/>
          </w:tblCellMar>
        </w:tblPrEx>
        <w:trPr>
          <w:trHeight w:val="153"/>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④是否与预算确定的项目投资额或资金量相匹配。</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r>
      <w:tr>
        <w:tblPrEx>
          <w:tblW w:w="5674" w:type="pct"/>
          <w:tblLayout w:type="fixed"/>
          <w:tblCellMar>
            <w:top w:w="0" w:type="dxa"/>
            <w:left w:w="108" w:type="dxa"/>
            <w:bottom w:w="0" w:type="dxa"/>
            <w:right w:w="108" w:type="dxa"/>
          </w:tblCellMar>
        </w:tblPrEx>
        <w:trPr>
          <w:trHeight w:val="9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绩效指标明确性</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依据绩效目标设定的绩效指标是否清晰、细化、可衡量等，用以反映和考核项目绩效目标的明细化情况。</w:t>
            </w:r>
          </w:p>
        </w:tc>
        <w:tc>
          <w:tcPr>
            <w:tcW w:w="2160" w:type="pct"/>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评价要点：</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4</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4</w:t>
            </w: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①是否将项目绩效目标细化分解为具体的绩效指标；</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r>
      <w:tr>
        <w:tblPrEx>
          <w:tblW w:w="5674" w:type="pct"/>
          <w:tblLayout w:type="fixed"/>
          <w:tblCellMar>
            <w:top w:w="0" w:type="dxa"/>
            <w:left w:w="108" w:type="dxa"/>
            <w:bottom w:w="0" w:type="dxa"/>
            <w:right w:w="108" w:type="dxa"/>
          </w:tblCellMar>
        </w:tblPrEx>
        <w:trPr>
          <w:trHeight w:val="14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②是否通过清晰、可衡量的指标值予以体现；</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r>
      <w:tr>
        <w:tblPrEx>
          <w:tblW w:w="5674" w:type="pct"/>
          <w:tblLayout w:type="fixed"/>
          <w:tblCellMar>
            <w:top w:w="0" w:type="dxa"/>
            <w:left w:w="108" w:type="dxa"/>
            <w:bottom w:w="0" w:type="dxa"/>
            <w:right w:w="108" w:type="dxa"/>
          </w:tblCellMar>
        </w:tblPrEx>
        <w:trPr>
          <w:trHeight w:val="131"/>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③是否与项目目标任务数或计划数相对应。</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r>
      <w:tr>
        <w:tblPrEx>
          <w:tblW w:w="5674" w:type="pct"/>
          <w:tblLayout w:type="fixed"/>
          <w:tblCellMar>
            <w:top w:w="0" w:type="dxa"/>
            <w:left w:w="108" w:type="dxa"/>
            <w:bottom w:w="0" w:type="dxa"/>
            <w:right w:w="108" w:type="dxa"/>
          </w:tblCellMar>
        </w:tblPrEx>
        <w:trPr>
          <w:trHeight w:val="97"/>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4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资金投入</w:t>
            </w: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预算编制科学性</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项目预算编制是否经过科学论证、有明确标准，资金额度与年度目标是否相适应，用以反映和考核项目预算编制的科学性、合理性情况。</w:t>
            </w:r>
          </w:p>
        </w:tc>
        <w:tc>
          <w:tcPr>
            <w:tcW w:w="2160" w:type="pct"/>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评价要点：</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4</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4</w:t>
            </w:r>
          </w:p>
        </w:tc>
      </w:tr>
      <w:tr>
        <w:tblPrEx>
          <w:tblW w:w="5674" w:type="pct"/>
          <w:tblLayout w:type="fixed"/>
          <w:tblCellMar>
            <w:top w:w="0" w:type="dxa"/>
            <w:left w:w="108" w:type="dxa"/>
            <w:bottom w:w="0" w:type="dxa"/>
            <w:right w:w="108" w:type="dxa"/>
          </w:tblCellMar>
        </w:tblPrEx>
        <w:trPr>
          <w:trHeight w:val="9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①预算编制是否经过科学论证；</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r>
      <w:tr>
        <w:tblPrEx>
          <w:tblW w:w="5674" w:type="pct"/>
          <w:tblLayout w:type="fixed"/>
          <w:tblCellMar>
            <w:top w:w="0" w:type="dxa"/>
            <w:left w:w="108" w:type="dxa"/>
            <w:bottom w:w="0" w:type="dxa"/>
            <w:right w:w="108" w:type="dxa"/>
          </w:tblCellMar>
        </w:tblPrEx>
        <w:trPr>
          <w:trHeight w:val="9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②预算内容与项目内容是否匹配；</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r>
      <w:tr>
        <w:tblPrEx>
          <w:tblW w:w="5674" w:type="pct"/>
          <w:tblLayout w:type="fixed"/>
          <w:tblCellMar>
            <w:top w:w="0" w:type="dxa"/>
            <w:left w:w="108" w:type="dxa"/>
            <w:bottom w:w="0" w:type="dxa"/>
            <w:right w:w="108" w:type="dxa"/>
          </w:tblCellMar>
        </w:tblPrEx>
        <w:trPr>
          <w:trHeight w:val="9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③预算额度测算依据是否充分，是否按照标准编制；</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④预算确定的项目投资额或资金量是否与工作任务相匹配。</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r>
      <w:tr>
        <w:tblPrEx>
          <w:tblW w:w="5674" w:type="pct"/>
          <w:tblLayout w:type="fixed"/>
          <w:tblCellMar>
            <w:top w:w="0" w:type="dxa"/>
            <w:left w:w="108" w:type="dxa"/>
            <w:bottom w:w="0" w:type="dxa"/>
            <w:right w:w="108" w:type="dxa"/>
          </w:tblCellMar>
        </w:tblPrEx>
        <w:trPr>
          <w:trHeight w:val="176"/>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资金分配合理性</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项目预算资金分配是否有测算依据，与补助单位或地方实际是否相适应，用以反映和考核项目预算资金分配的科学性、合理性情况。</w:t>
            </w:r>
          </w:p>
        </w:tc>
        <w:tc>
          <w:tcPr>
            <w:tcW w:w="2160" w:type="pct"/>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评价要点：</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4</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4</w:t>
            </w:r>
          </w:p>
        </w:tc>
      </w:tr>
      <w:tr>
        <w:tblPrEx>
          <w:tblW w:w="5674" w:type="pct"/>
          <w:tblLayout w:type="fixed"/>
          <w:tblCellMar>
            <w:top w:w="0" w:type="dxa"/>
            <w:left w:w="108" w:type="dxa"/>
            <w:bottom w:w="0" w:type="dxa"/>
            <w:right w:w="108" w:type="dxa"/>
          </w:tblCellMar>
        </w:tblPrEx>
        <w:trPr>
          <w:trHeight w:val="9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①预算资金分配依据是否充分；</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r>
      <w:tr>
        <w:tblPrEx>
          <w:tblW w:w="5674" w:type="pct"/>
          <w:tblLayout w:type="fixed"/>
          <w:tblCellMar>
            <w:top w:w="0" w:type="dxa"/>
            <w:left w:w="108" w:type="dxa"/>
            <w:bottom w:w="0" w:type="dxa"/>
            <w:right w:w="108" w:type="dxa"/>
          </w:tblCellMar>
        </w:tblPrEx>
        <w:trPr>
          <w:trHeight w:val="1088"/>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top"/>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②资金分配额度是否合理，与项目单位或地方实际是否相适应。</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r>
      <w:tr>
        <w:tblPrEx>
          <w:tblW w:w="5674" w:type="pct"/>
          <w:tblLayout w:type="fixed"/>
          <w:tblCellMar>
            <w:top w:w="0" w:type="dxa"/>
            <w:left w:w="108" w:type="dxa"/>
            <w:bottom w:w="0" w:type="dxa"/>
            <w:right w:w="108" w:type="dxa"/>
          </w:tblCellMar>
        </w:tblPrEx>
        <w:trPr>
          <w:trHeight w:val="108"/>
          <w:jc w:val="center"/>
        </w:trPr>
        <w:tc>
          <w:tcPr>
            <w:tcW w:w="30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过程</w:t>
            </w:r>
          </w:p>
        </w:tc>
        <w:tc>
          <w:tcPr>
            <w:tcW w:w="34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资金管理</w:t>
            </w: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资金到位率</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实际到位资金与预算资金的比率，用以反映和考核资金落实情况对项目实施的总体保障程度。</w:t>
            </w:r>
          </w:p>
        </w:tc>
        <w:tc>
          <w:tcPr>
            <w:tcW w:w="2160" w:type="pct"/>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资金到位率=（实际到位资金/预算资金）×100%。</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4</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4</w:t>
            </w: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实际到位资金：一定时期（本年度或项目期）内落实到具体项目的资金。</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r>
      <w:tr>
        <w:tblPrEx>
          <w:tblW w:w="5674" w:type="pct"/>
          <w:tblLayout w:type="fixed"/>
          <w:tblCellMar>
            <w:top w:w="0" w:type="dxa"/>
            <w:left w:w="108" w:type="dxa"/>
            <w:bottom w:w="0" w:type="dxa"/>
            <w:right w:w="108" w:type="dxa"/>
          </w:tblCellMar>
        </w:tblPrEx>
        <w:trPr>
          <w:trHeight w:val="582"/>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预算资金：一定时期（本年度或项目期）内预算安排到具体项目的资金。</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预算执行率</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项目预算资金是否按照计划执行，用以反映或考核项目预算执行情况。</w:t>
            </w:r>
          </w:p>
        </w:tc>
        <w:tc>
          <w:tcPr>
            <w:tcW w:w="2160" w:type="pct"/>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预算执行率=（实际支出资金/实际到位资金）×100%。</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4</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lang w:eastAsia="zh-CN"/>
              </w:rPr>
            </w:pPr>
            <w:r>
              <w:rPr>
                <w:rFonts w:ascii="仿宋" w:eastAsia="仿宋" w:hAnsi="仿宋" w:cs="仿宋" w:hint="eastAsia"/>
                <w:color w:val="auto"/>
                <w:sz w:val="18"/>
                <w:szCs w:val="18"/>
                <w:highlight w:val="none"/>
                <w:lang w:val="en-US" w:eastAsia="zh-CN"/>
              </w:rPr>
              <w:t xml:space="preserve">4</w:t>
            </w:r>
          </w:p>
        </w:tc>
      </w:tr>
      <w:tr>
        <w:tblPrEx>
          <w:tblW w:w="5674" w:type="pct"/>
          <w:tblLayout w:type="fixed"/>
          <w:tblCellMar>
            <w:top w:w="0" w:type="dxa"/>
            <w:left w:w="108" w:type="dxa"/>
            <w:bottom w:w="0" w:type="dxa"/>
            <w:right w:w="108" w:type="dxa"/>
          </w:tblCellMar>
        </w:tblPrEx>
        <w:trPr>
          <w:trHeight w:val="628"/>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实际支出资金：一定时期（本年度或项目期）内项目实际拨付的资金。</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r>
      <w:tr>
        <w:tblPrEx>
          <w:tblW w:w="5674" w:type="pct"/>
          <w:tblLayout w:type="fixed"/>
          <w:tblCellMar>
            <w:top w:w="0" w:type="dxa"/>
            <w:left w:w="108" w:type="dxa"/>
            <w:bottom w:w="0" w:type="dxa"/>
            <w:right w:w="108" w:type="dxa"/>
          </w:tblCellMar>
        </w:tblPrEx>
        <w:trPr>
          <w:trHeight w:val="9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资金使用合规性</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项目资金使用是否符合相关的财务管理制度规定，用以反映和考核项目资金的规范运行情况。</w:t>
            </w:r>
          </w:p>
        </w:tc>
        <w:tc>
          <w:tcPr>
            <w:tcW w:w="2160" w:type="pct"/>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评价要点：</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4</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4</w:t>
            </w: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①是否符合国家财经法规和财务管理制度以及有关专项资金管理办法的规定；</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r>
      <w:tr>
        <w:tblPrEx>
          <w:tblW w:w="5674" w:type="pct"/>
          <w:tblLayout w:type="fixed"/>
          <w:tblCellMar>
            <w:top w:w="0" w:type="dxa"/>
            <w:left w:w="108" w:type="dxa"/>
            <w:bottom w:w="0" w:type="dxa"/>
            <w:right w:w="108" w:type="dxa"/>
          </w:tblCellMar>
        </w:tblPrEx>
        <w:trPr>
          <w:trHeight w:val="9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②资金的拨付是否有完整的审批程序和手续；</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r>
      <w:tr>
        <w:tblPrEx>
          <w:tblW w:w="5674" w:type="pct"/>
          <w:tblLayout w:type="fixed"/>
          <w:tblCellMar>
            <w:top w:w="0" w:type="dxa"/>
            <w:left w:w="108" w:type="dxa"/>
            <w:bottom w:w="0" w:type="dxa"/>
            <w:right w:w="108" w:type="dxa"/>
          </w:tblCellMar>
        </w:tblPrEx>
        <w:trPr>
          <w:trHeight w:val="9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③是否符合项目预算批复或合同规定的用途；</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r>
      <w:tr>
        <w:tblPrEx>
          <w:tblW w:w="5674" w:type="pct"/>
          <w:tblLayout w:type="fixed"/>
          <w:tblCellMar>
            <w:top w:w="0" w:type="dxa"/>
            <w:left w:w="108" w:type="dxa"/>
            <w:bottom w:w="0" w:type="dxa"/>
            <w:right w:w="108" w:type="dxa"/>
          </w:tblCellMar>
        </w:tblPrEx>
        <w:trPr>
          <w:trHeight w:val="119"/>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④是否存在截留、挤占、挪用、虚列支出等情况。</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4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组织实施</w:t>
            </w: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管理制度健全性</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项目实施单位的财务和业务管理制度是否健全，用以反映和考核财务和业务管理制度对项目顺利实施的保障情况。</w:t>
            </w:r>
          </w:p>
        </w:tc>
        <w:tc>
          <w:tcPr>
            <w:tcW w:w="2160" w:type="pct"/>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评价要点：</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3</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3</w:t>
            </w: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①是否已制定或具有相应的财务和业务管理制度；</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②财务和业务管理制度是否合法、合规、完整。</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r>
      <w:tr>
        <w:tblPrEx>
          <w:tblW w:w="5674" w:type="pct"/>
          <w:tblLayout w:type="fixed"/>
          <w:tblCellMar>
            <w:top w:w="0" w:type="dxa"/>
            <w:left w:w="108" w:type="dxa"/>
            <w:bottom w:w="0" w:type="dxa"/>
            <w:right w:w="108" w:type="dxa"/>
          </w:tblCellMar>
        </w:tblPrEx>
        <w:trPr>
          <w:trHeight w:val="233"/>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制度执行有效性</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项目实施是否符合相关管理规定，用以反映和考核相关管理制度的有效执行情况。</w:t>
            </w:r>
          </w:p>
        </w:tc>
        <w:tc>
          <w:tcPr>
            <w:tcW w:w="2160" w:type="pct"/>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评价要点：</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3</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3</w:t>
            </w:r>
          </w:p>
        </w:tc>
      </w:tr>
      <w:tr>
        <w:tblPrEx>
          <w:tblW w:w="5674" w:type="pct"/>
          <w:tblLayout w:type="fixed"/>
          <w:tblCellMar>
            <w:top w:w="0" w:type="dxa"/>
            <w:left w:w="108" w:type="dxa"/>
            <w:bottom w:w="0" w:type="dxa"/>
            <w:right w:w="108" w:type="dxa"/>
          </w:tblCellMar>
        </w:tblPrEx>
        <w:trPr>
          <w:trHeight w:val="152"/>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①是否遵守相关法律法规和相关管理规定；</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r>
      <w:tr>
        <w:tblPrEx>
          <w:tblW w:w="5674" w:type="pct"/>
          <w:tblLayout w:type="fixed"/>
          <w:tblCellMar>
            <w:top w:w="0" w:type="dxa"/>
            <w:left w:w="108" w:type="dxa"/>
            <w:bottom w:w="0" w:type="dxa"/>
            <w:right w:w="108" w:type="dxa"/>
          </w:tblCellMar>
        </w:tblPrEx>
        <w:trPr>
          <w:trHeight w:val="9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②项目调整及支出调整手续是否完备；</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③项目合同书、验收报告、技术鉴定等资料是否齐全并及时归档；</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④项目实施的人员条件、场地设备、信息支撑等是否落实到位。</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产出</w:t>
            </w:r>
          </w:p>
        </w:tc>
        <w:tc>
          <w:tcPr>
            <w:tcW w:w="34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产出数量</w:t>
            </w: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实际完成率</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项目实施的实际产出数与计划产出数的比率，用以反映和考核项目产出数量目标的实现程度。</w:t>
            </w:r>
          </w:p>
        </w:tc>
        <w:tc>
          <w:tcPr>
            <w:tcW w:w="2160" w:type="pct"/>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实际完成率=（实际产出数/计划产出数）×100%。</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12</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12</w:t>
            </w: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实际产出数：一定时期（本年度或项目期）内项目实际产出的产品或提供的服务数量。</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计划产出数：项目绩效目标确定的在一定时期（本年度或项目期）内计划产出的产品或提供的服务数量。</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r>
      <w:tr>
        <w:tblPrEx>
          <w:tblW w:w="5674" w:type="pct"/>
          <w:tblLayout w:type="fixed"/>
          <w:tblCellMar>
            <w:top w:w="0" w:type="dxa"/>
            <w:left w:w="108" w:type="dxa"/>
            <w:bottom w:w="0" w:type="dxa"/>
            <w:right w:w="108" w:type="dxa"/>
          </w:tblCellMar>
        </w:tblPrEx>
        <w:trPr>
          <w:trHeight w:val="337"/>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4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产出质量</w:t>
            </w: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质量达标率</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项目完成的质量达标产出数与实际产出数的比率，用以反映和考核项目产出质量目标的实现程度。</w:t>
            </w:r>
          </w:p>
        </w:tc>
        <w:tc>
          <w:tcPr>
            <w:tcW w:w="2160" w:type="pct"/>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质量达标率=（质量达标产出数/实际产出数）×100%。</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12</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12</w:t>
            </w:r>
          </w:p>
        </w:tc>
      </w:tr>
      <w:tr>
        <w:tblPrEx>
          <w:tblW w:w="5674" w:type="pct"/>
          <w:tblLayout w:type="fixed"/>
          <w:tblCellMar>
            <w:top w:w="0" w:type="dxa"/>
            <w:left w:w="108" w:type="dxa"/>
            <w:bottom w:w="0" w:type="dxa"/>
            <w:right w:w="108" w:type="dxa"/>
          </w:tblCellMar>
        </w:tblPrEx>
        <w:trPr>
          <w:trHeight w:val="88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4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产出时效</w:t>
            </w: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完成及时性</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项目实际完成时间与计划完成时间的比较，用以反映和考核项目产出时效目标的实现程度。</w:t>
            </w:r>
          </w:p>
        </w:tc>
        <w:tc>
          <w:tcPr>
            <w:tcW w:w="2160" w:type="pct"/>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实际完成时间：项目实施单位完成该项目实际所耗用的时间。</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12</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lang w:val="en-US" w:eastAsia="zh-CN"/>
              </w:rPr>
            </w:pPr>
            <w:r>
              <w:rPr>
                <w:rFonts w:ascii="仿宋" w:eastAsia="仿宋" w:hAnsi="仿宋" w:cs="仿宋" w:hint="eastAsia"/>
                <w:color w:val="auto"/>
                <w:sz w:val="18"/>
                <w:szCs w:val="18"/>
                <w:highlight w:val="none"/>
                <w:lang w:val="en-US" w:eastAsia="zh-CN"/>
              </w:rPr>
              <w:t xml:space="preserve">12</w:t>
            </w: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计划完成时间：按照项目实施计划或相关规定完成该项目所需的时间。</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4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产出成本</w:t>
            </w: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成本节约率</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完成项目计划工作目标的实际节约成本与计划成本的比率，用以反映和考核项目的成本节约程度。</w:t>
            </w:r>
          </w:p>
        </w:tc>
        <w:tc>
          <w:tcPr>
            <w:tcW w:w="2160" w:type="pct"/>
            <w:tcBorders>
              <w:top w:val="single" w:sz="4" w:space="0" w:color="auto"/>
              <w:left w:val="single" w:sz="4" w:space="0" w:color="auto"/>
              <w:bottom w:val="nil"/>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4</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lang w:val="en-US" w:eastAsia="zh-CN"/>
              </w:rPr>
            </w:pPr>
            <w:r>
              <w:rPr>
                <w:rFonts w:ascii="仿宋" w:eastAsia="仿宋" w:hAnsi="仿宋" w:cs="仿宋" w:hint="eastAsia"/>
                <w:color w:val="auto"/>
                <w:sz w:val="18"/>
                <w:szCs w:val="18"/>
                <w:highlight w:val="none"/>
                <w:lang w:val="en-US" w:eastAsia="zh-CN"/>
              </w:rPr>
              <w:t xml:space="preserve">4</w:t>
            </w: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成本节约率=〔（计划成本</w:t>
            </w:r>
            <w:r>
              <w:rPr>
                <w:rFonts w:ascii="仿宋" w:eastAsia="仿宋" w:hAnsi="仿宋" w:cs="仿宋" w:hint="eastAsia"/>
                <w:color w:val="auto"/>
                <w:sz w:val="18"/>
                <w:szCs w:val="18"/>
                <w:highlight w:val="none"/>
                <w:lang w:eastAsia="zh-CN"/>
              </w:rPr>
              <w:t xml:space="preserve">－</w:t>
            </w:r>
            <w:r>
              <w:rPr>
                <w:rFonts w:ascii="仿宋" w:eastAsia="仿宋" w:hAnsi="仿宋" w:cs="仿宋" w:hint="eastAsia"/>
                <w:color w:val="auto"/>
                <w:sz w:val="18"/>
                <w:szCs w:val="18"/>
                <w:highlight w:val="none"/>
              </w:rPr>
              <w:t xml:space="preserve">实际成本）/计划成本〕×100%。</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实际成本：项目实施单位如期、保质、保量完成既定工作目标实际所耗费的支出。</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计划成本：项目实施单位为完成工作目标计划安排的支出，一般以项目预算为参考。</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r>
      <w:tr>
        <w:tblPrEx>
          <w:tblW w:w="5674" w:type="pct"/>
          <w:tblLayout w:type="fixed"/>
          <w:tblCellMar>
            <w:top w:w="0" w:type="dxa"/>
            <w:left w:w="108" w:type="dxa"/>
            <w:bottom w:w="0" w:type="dxa"/>
            <w:right w:w="108" w:type="dxa"/>
          </w:tblCellMar>
        </w:tblPrEx>
        <w:trPr>
          <w:trHeight w:val="780"/>
          <w:jc w:val="center"/>
        </w:trPr>
        <w:tc>
          <w:tcPr>
            <w:tcW w:w="30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效益</w:t>
            </w:r>
          </w:p>
        </w:tc>
        <w:tc>
          <w:tcPr>
            <w:tcW w:w="34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项目效益</w:t>
            </w:r>
          </w:p>
        </w:tc>
        <w:tc>
          <w:tcPr>
            <w:tcW w:w="42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实施</w:t>
            </w:r>
          </w:p>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效益</w:t>
            </w:r>
          </w:p>
        </w:tc>
        <w:tc>
          <w:tcPr>
            <w:tcW w:w="1123" w:type="pc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项目实施所产生的效益。</w:t>
            </w:r>
          </w:p>
        </w:tc>
        <w:tc>
          <w:tcPr>
            <w:tcW w:w="216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项目实施所产生的社会效益、经济效益、生态效益、可持续影响等。可根据项目实际情况有选择地设置和细化。</w:t>
            </w:r>
          </w:p>
        </w:tc>
        <w:tc>
          <w:tcPr>
            <w:tcW w:w="317" w:type="pc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10</w:t>
            </w:r>
          </w:p>
        </w:tc>
        <w:tc>
          <w:tcPr>
            <w:tcW w:w="323" w:type="pc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10</w:t>
            </w:r>
          </w:p>
        </w:tc>
      </w:tr>
      <w:tr>
        <w:tblPrEx>
          <w:tblW w:w="5674" w:type="pct"/>
          <w:tblLayout w:type="fixed"/>
          <w:tblCellMar>
            <w:top w:w="0" w:type="dxa"/>
            <w:left w:w="108" w:type="dxa"/>
            <w:bottom w:w="0" w:type="dxa"/>
            <w:right w:w="108" w:type="dxa"/>
          </w:tblCellMar>
        </w:tblPrEx>
        <w:trPr>
          <w:trHeight w:val="8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42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满意度</w:t>
            </w:r>
          </w:p>
        </w:tc>
        <w:tc>
          <w:tcPr>
            <w:tcW w:w="1123" w:type="pc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社会公众或服务对象对项目实施效果的满意程度。</w:t>
            </w:r>
          </w:p>
        </w:tc>
        <w:tc>
          <w:tcPr>
            <w:tcW w:w="216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社会公众或服务对象是指因该项目实施而受到影响的部门（单位）、群体或个人。一般采取社会调查的方式。</w:t>
            </w:r>
          </w:p>
        </w:tc>
        <w:tc>
          <w:tcPr>
            <w:tcW w:w="317" w:type="pc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10</w:t>
            </w:r>
          </w:p>
        </w:tc>
        <w:tc>
          <w:tcPr>
            <w:tcW w:w="323" w:type="pc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10</w:t>
            </w:r>
          </w:p>
        </w:tc>
      </w:tr>
      <w:tr>
        <w:tblPrEx>
          <w:tblW w:w="5674" w:type="pct"/>
          <w:tblLayout w:type="fixed"/>
          <w:tblCellMar>
            <w:top w:w="0" w:type="dxa"/>
            <w:left w:w="108" w:type="dxa"/>
            <w:bottom w:w="0" w:type="dxa"/>
            <w:right w:w="108" w:type="dxa"/>
          </w:tblCellMar>
        </w:tblPrEx>
        <w:trPr>
          <w:trHeight w:val="460"/>
          <w:jc w:val="center"/>
        </w:trPr>
        <w:tc>
          <w:tcPr>
            <w:tcW w:w="4359" w:type="pct"/>
            <w:gridSpan w:val="5"/>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合计</w:t>
            </w:r>
          </w:p>
        </w:tc>
        <w:tc>
          <w:tcPr>
            <w:tcW w:w="317" w:type="pc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100</w:t>
            </w:r>
          </w:p>
        </w:tc>
        <w:tc>
          <w:tcPr>
            <w:tcW w:w="323" w:type="pc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lang w:val="en-US" w:eastAsia="zh-CN"/>
              </w:rPr>
            </w:pPr>
            <w:r>
              <w:rPr>
                <w:rFonts w:ascii="仿宋" w:eastAsia="仿宋" w:hAnsi="仿宋" w:cs="仿宋" w:hint="eastAsia"/>
                <w:color w:val="auto"/>
                <w:sz w:val="18"/>
                <w:szCs w:val="18"/>
                <w:highlight w:val="none"/>
                <w:lang w:val="en-US" w:eastAsia="zh-CN"/>
              </w:rPr>
              <w:t xml:space="preserve">100</w:t>
            </w:r>
            <w:bookmarkEnd w:id="0"/>
          </w:p>
        </w:tc>
      </w:tr>
    </w:tbl>
    <w:p>
      <w:pPr>
        <w:ind w:firstLine="640"/>
        <w:jc w:val="both"/>
        <w:rPr>
          <w:rFonts w:ascii="仿宋" w:eastAsia="仿宋" w:hAnsi="仿宋" w:cs="仿宋" w:hint="eastAsia"/>
          <w:color w:val="auto"/>
          <w:highlight w:val="none"/>
        </w:rPr>
      </w:pPr>
    </w:p>
    <w:sectPr>
      <w:pgSz w:w="11906" w:h="16838" w:orient="portrait"/>
      <w:pgMar w:top="1440" w:right="1800" w:bottom="1440" w:left="1800" w:header="851" w:footer="992" w:gutter="0"/>
      <w:pgBorders/>
      <w:pgNumType w:fmt="decimal"/>
      <w:cols w:num="1" w:space="720">
        <w:col w:w="8306"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_GBK">
    <w:altName w:val="微软雅黑"/>
    <w:panose1 w:val="02000000000000000000"/>
    <w:charset w:val="86"/>
    <w:family w:val="auto"/>
    <w:pitch w:val="default"/>
    <w:sig w:usb0="00000001" w:usb1="08000000" w:usb2="00000000" w:usb3="00000000" w:csb0="00040000" w:csb1="00000000"/>
  </w:font>
  <w:font w:name="楷体_GB2312">
    <w:altName w:val="楷体"/>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auto"/>
    <w:pitch w:val="default"/>
    <w:sig w:usb0="800002BF" w:usb1="38CF7CFA" w:usb2="00000016" w:usb3="00000000" w:csb0="00040001" w:csb1="00000000"/>
    <w:embedRegular r:id="rId1" w:fontKey="{15F29280-F1C1-4C6B-9B6C-CA0E3E1CD3B6}"/>
  </w:font>
  <w:font w:name="方正小标宋">
    <w:panose1 w:val="00000000000000000000"/>
    <w:charset w:val="01"/>
    <w:family w:val="auto"/>
    <w:pitch w:val="default"/>
    <w:sig w:usb0="00000000" w:usb1="00000000" w:usb2="00000000" w:usb3="00000000" w:csb0="00000000" w:csb1="00000000"/>
  </w:font>
  <w:font w:name="楷体">
    <w:panose1 w:val="00000000000000000000"/>
    <w:charset w:val="01"/>
    <w:family w:val="auto"/>
    <w:pitch w:val="default"/>
    <w:sig w:usb0="00000000" w:usb1="00000000" w:usb2="00000000" w:usb3="00000000" w:csb0="00000000"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pPr>
  </w:p>
</w:ftr>
</file>

<file path=word/footer2.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pPr>
    <w:r>
      <w:pict>
        <v:shapetype id="_x0000_t202" coordsize="21600,21600" o:spt="202" path="m,l,21600r21600,l21600,xe">
          <v:stroke joinstyle="miter"/>
          <v:path gradientshapeok="t" o:connecttype="rect"/>
        </v:shapetype>
        <v:shape id="_x0000_s2059" o:spid="_x0000_s2049" type="#_x0000_t202" style="width:2in;height:2in;margin-top:0;margin-left:0;mso-height-relative:page;mso-position-horizontal:center;mso-position-horizontal-relative:margin;mso-width-relative:page;mso-wrap-style:none;position:absolute;z-index:251658240" coordsize="21600,21600" filled="f" stroked="f">
          <o:lock v:ext="edit" aspectratio="f"/>
          <v:textbox style="mso-fit-shape-to-text:t" inset="0,0,0,0">
            <w:txbxContent>
              <w:p>
                <w:pPr>
                  <w:pStyle w:val="Footer"/>
                </w:pPr>
                <w:r>
                  <w:fldChar w:fldCharType="begin"/>
                </w:r>
                <w:r>
                  <w:instrText xml:space="preserve"> PAGE  \* MERGEFORMAT </w:instrText>
                </w:r>
                <w:r>
                  <w:fldChar w:fldCharType="separate"/>
                </w:r>
                <w:r>
                  <w:t xml:space="preserve">3</w:t>
                </w:r>
                <w:r>
                  <w:fldChar w:fldCharType="end"/>
                </w:r>
              </w:p>
            </w:txbxContent>
          </v:textbox>
          <w10:wrap anchorx="margin"/>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w:zoom w:percent="110"/>
  <w:embedTrueTypeFonts/>
  <w:saveSubsetFonts/>
  <w:bordersDoNotSurroundFooter w:val="0"/>
  <w:bordersDoNotSurroundHeader w:val="0"/>
  <w:doNotTrackMoves/>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Y2E4NTQ3OTRmYjcwMWNmY2FkZTJjNDYwNGEyMjllYmYifQ=="/>
  </w:docVars>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semiHidden="0" w:unhideWhenUsed="0" w:qFormat="1"/>
    <w:lsdException w:name="heading 3" w:semiHidden="0" w:uiPriority="9"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39" w:unhideWhenUsed="0" w:qFormat="1"/>
    <w:lsdException w:name="toc 2" w:semiHidden="0" w:uiPriority="39" w:unhideWhenUsed="0" w:qFormat="1"/>
    <w:lsdException w:name="toc 3" w:semiHidden="0" w:uiPriority="39" w:unhideWhenUsed="0" w:qFormat="1"/>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qFormat="1"/>
    <w:lsdException w:name="annotation text" w:semiHidden="0" w:uiPriority="0" w:unhideWhenUsed="0"/>
    <w:lsdException w:name="header" w:semiHidden="0"/>
    <w:lsdException w:name="footer" w:semiHidden="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semiHidden="0" w:uiPriority="1"/>
    <w:lsdException w:name="Body Text" w:semiHidden="0" w:uiPriority="1" w:unhideWhenUsed="0" w:qFormat="1"/>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qFormat="1"/>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next w:val="Heading2"/>
    <w:qFormat/>
    <w:pPr>
      <w:widowControl w:val="0"/>
      <w:spacing w:line="360" w:lineRule="auto"/>
      <w:ind w:firstLine="880" w:firstLineChars="200"/>
      <w:jc w:val="both"/>
    </w:pPr>
    <w:rPr>
      <w:rFonts w:eastAsia="仿宋_GB2312"/>
      <w:kern w:val="2"/>
      <w:sz w:val="32"/>
      <w:szCs w:val="22"/>
      <w:lang w:val="en-US" w:eastAsia="zh-CN" w:bidi="ar-SA"/>
    </w:rPr>
  </w:style>
  <w:style w:type="paragraph" w:styleId="Heading1">
    <w:name w:val="Heading 1"/>
    <w:basedOn w:val="Normal"/>
    <w:next w:val="Normal"/>
    <w:uiPriority w:val="9"/>
    <w:qFormat/>
    <w:pPr>
      <w:keepNext/>
      <w:keepLines/>
      <w:ind w:firstLine="0" w:firstLineChars="0"/>
      <w:jc w:val="center"/>
      <w:outlineLvl w:val="0"/>
    </w:pPr>
    <w:rPr>
      <w:rFonts w:eastAsia="方正小标宋_GBK"/>
      <w:kern w:val="44"/>
      <w:sz w:val="36"/>
    </w:rPr>
  </w:style>
  <w:style w:type="paragraph" w:styleId="Heading2">
    <w:name w:val="Heading 2"/>
    <w:basedOn w:val="Normal"/>
    <w:next w:val="Normal"/>
    <w:link w:val="标题2字符"/>
    <w:uiPriority w:val="99"/>
    <w:qFormat/>
    <w:pPr>
      <w:keepNext/>
      <w:outlineLvl w:val="1"/>
    </w:pPr>
    <w:rPr>
      <w:rFonts w:eastAsia="黑体" w:cs="Times New Roman"/>
      <w:bCs/>
      <w:iCs/>
      <w:szCs w:val="21"/>
    </w:rPr>
  </w:style>
  <w:style w:type="paragraph" w:styleId="Heading3">
    <w:name w:val="Heading 3"/>
    <w:basedOn w:val="Normal"/>
    <w:next w:val="Normal"/>
    <w:link w:val="标题3字符"/>
    <w:uiPriority w:val="9"/>
    <w:unhideWhenUsed/>
    <w:qFormat/>
    <w:pPr>
      <w:keepNext/>
      <w:keepLines/>
      <w:outlineLvl w:val="2"/>
    </w:pPr>
    <w:rPr>
      <w:rFonts w:eastAsia="楷体_GB2312"/>
      <w:b/>
    </w:rPr>
  </w:style>
  <w:style w:type="paragraph" w:styleId="Heading4">
    <w:name w:val="Heading 4"/>
    <w:basedOn w:val="Normal"/>
    <w:next w:val="Normal"/>
    <w:qFormat/>
    <w:pPr>
      <w:keepNext/>
      <w:keepLines/>
      <w:spacing w:before="280" w:after="290" w:line="376" w:lineRule="auto"/>
      <w:outlineLvl w:val="3"/>
    </w:pPr>
    <w:rPr>
      <w:rFonts w:ascii="Cambria" w:eastAsia="宋体" w:hAnsi="Cambria"/>
      <w:b/>
      <w:bCs/>
      <w:sz w:val="28"/>
      <w:szCs w:val="28"/>
    </w:rPr>
  </w:style>
  <w:style w:type="character" w:default="1" w:styleId="DefaultParagraphFont">
    <w:name w:val="Default Paragraph Font"/>
    <w:uiPriority w:val="1"/>
    <w:unhideWhenUsed/>
    <w:rPr/>
  </w:style>
  <w:style w:type="table" w:default="1" w:styleId="NormalTable">
    <w:name w:val="Normal Table"/>
    <w:semiHidden/>
    <w:qFormat/>
    <w:rPr/>
    <w:tblPr>
      <w:tblCellMar>
        <w:top w:w="0" w:type="dxa"/>
        <w:left w:w="108" w:type="dxa"/>
        <w:bottom w:w="0" w:type="dxa"/>
        <w:right w:w="108" w:type="dxa"/>
      </w:tblCellMar>
    </w:tblPr>
  </w:style>
  <w:style w:type="paragraph" w:styleId="CommentText">
    <w:name w:val="Comment Text"/>
    <w:basedOn w:val="Normal"/>
    <w:qFormat/>
    <w:pPr>
      <w:jc w:val="left"/>
    </w:pPr>
    <w:rPr/>
  </w:style>
  <w:style w:type="paragraph" w:styleId="TOC3">
    <w:name w:val="TOC 3"/>
    <w:basedOn w:val="Normal"/>
    <w:next w:val="Normal"/>
    <w:uiPriority w:val="39"/>
    <w:qFormat/>
    <w:pPr>
      <w:ind w:left="840" w:leftChars="400"/>
    </w:pPr>
    <w:rPr/>
  </w:style>
  <w:style w:type="paragraph" w:styleId="Footer">
    <w:name w:val="Footer"/>
    <w:basedOn w:val="Normal"/>
    <w:link w:val="页脚字符"/>
    <w:uiPriority w:val="99"/>
    <w:unhideWhenUsed/>
    <w:qFormat/>
    <w:pPr>
      <w:tabs>
        <w:tab w:val="center" w:pos="4153"/>
        <w:tab w:val="right" w:pos="8306"/>
      </w:tabs>
      <w:snapToGrid w:val="0"/>
      <w:jc w:val="left"/>
    </w:pPr>
    <w:rPr>
      <w:sz w:val="18"/>
    </w:rPr>
  </w:style>
  <w:style w:type="paragraph" w:styleId="Header">
    <w:name w:val="Header"/>
    <w:basedOn w:val="Normal"/>
    <w:link w:val="页眉字符"/>
    <w:uiPriority w:val="99"/>
    <w:unhideWhenUsed/>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pPr>
    <w:rPr>
      <w:sz w:val="18"/>
    </w:rPr>
  </w:style>
  <w:style w:type="paragraph" w:styleId="TOC1">
    <w:name w:val="TOC 1"/>
    <w:basedOn w:val="Normal"/>
    <w:next w:val="Normal"/>
    <w:uiPriority w:val="39"/>
    <w:qFormat/>
    <w:rPr/>
  </w:style>
  <w:style w:type="paragraph" w:styleId="TOC2">
    <w:name w:val="TOC 2"/>
    <w:basedOn w:val="Normal"/>
    <w:next w:val="Normal"/>
    <w:uiPriority w:val="39"/>
    <w:qFormat/>
    <w:pPr>
      <w:ind w:left="420" w:leftChars="200"/>
    </w:pPr>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customStyle="1" w:styleId="页眉字符">
    <w:name w:val="页眉 字符"/>
    <w:link w:val="Header"/>
    <w:uiPriority w:val="99"/>
    <w:rPr>
      <w:rFonts w:eastAsia="仿宋_GB2312" w:cs="Times New Roman"/>
      <w:kern w:val="2"/>
      <w:sz w:val="18"/>
      <w:szCs w:val="22"/>
    </w:rPr>
  </w:style>
  <w:style w:type="character" w:customStyle="1" w:styleId="font131">
    <w:name w:val="font131"/>
    <w:basedOn w:val="DefaultParagraphFont"/>
    <w:rPr>
      <w:rFonts w:ascii="宋体" w:eastAsia="宋体" w:hAnsi="宋体" w:cs="宋体" w:hint="eastAsia"/>
      <w:color w:val="000000"/>
      <w:sz w:val="18"/>
      <w:szCs w:val="18"/>
      <w:u w:val="none"/>
    </w:rPr>
  </w:style>
  <w:style w:type="character" w:customStyle="1" w:styleId="标题3字符">
    <w:name w:val="标题 3 字符"/>
    <w:link w:val="Heading3"/>
    <w:uiPriority w:val="9"/>
    <w:qFormat/>
    <w:rPr>
      <w:rFonts w:eastAsia="楷体_GB2312" w:cs="Times New Roman"/>
      <w:b/>
      <w:kern w:val="2"/>
      <w:sz w:val="32"/>
      <w:szCs w:val="22"/>
    </w:rPr>
  </w:style>
  <w:style w:type="character" w:customStyle="1" w:styleId="font91">
    <w:name w:val="font91"/>
    <w:basedOn w:val="DefaultParagraphFont"/>
    <w:rPr>
      <w:rFonts w:ascii="Times New Roman" w:hAnsi="Times New Roman" w:cs="Times New Roman" w:hint="default"/>
      <w:color w:val="000000"/>
      <w:sz w:val="18"/>
      <w:szCs w:val="18"/>
      <w:u w:val="none"/>
    </w:rPr>
  </w:style>
  <w:style w:type="character" w:customStyle="1" w:styleId="标题2字符">
    <w:name w:val="标题 2 字符"/>
    <w:link w:val="Heading2"/>
    <w:uiPriority w:val="99"/>
    <w:qFormat/>
    <w:rPr>
      <w:rFonts w:eastAsia="黑体"/>
      <w:bCs/>
      <w:iCs/>
      <w:kern w:val="2"/>
      <w:sz w:val="32"/>
      <w:szCs w:val="21"/>
    </w:rPr>
  </w:style>
  <w:style w:type="character" w:customStyle="1" w:styleId="页脚字符">
    <w:name w:val="页脚 字符"/>
    <w:link w:val="Footer"/>
    <w:uiPriority w:val="99"/>
    <w:rPr>
      <w:rFonts w:eastAsia="仿宋_GB2312" w:cs="Times New Roman"/>
      <w:kern w:val="2"/>
      <w:sz w:val="18"/>
      <w:szCs w:val="22"/>
    </w:rPr>
  </w:style>
  <w:style w:type="character" w:customStyle="1" w:styleId="font112">
    <w:name w:val="font112"/>
    <w:basedOn w:val="DefaultParagraphFont"/>
    <w:rPr>
      <w:rFonts w:ascii="宋体" w:eastAsia="宋体" w:hAnsi="宋体" w:cs="宋体" w:hint="eastAsia"/>
      <w:color w:val="000000"/>
      <w:sz w:val="22"/>
      <w:szCs w:val="22"/>
      <w:u w:val="none"/>
    </w:rPr>
  </w:style>
  <w:style w:type="character" w:customStyle="1" w:styleId="font71">
    <w:name w:val="font71"/>
    <w:basedOn w:val="DefaultParagraphFont"/>
    <w:rPr>
      <w:rFonts w:ascii="宋体" w:eastAsia="宋体" w:hAnsi="宋体" w:cs="宋体" w:hint="eastAsia"/>
      <w:color w:val="000000"/>
      <w:sz w:val="22"/>
      <w:szCs w:val="22"/>
      <w:u w:val="none"/>
    </w:rPr>
  </w:style>
  <w:style w:type="character" w:customStyle="1" w:styleId="font81">
    <w:name w:val="font81"/>
    <w:basedOn w:val="DefaultParagraphFont"/>
    <w:rPr>
      <w:rFonts w:ascii="宋体" w:eastAsia="宋体" w:hAnsi="宋体" w:cs="宋体" w:hint="eastAsia"/>
      <w:color w:val="000000"/>
      <w:sz w:val="22"/>
      <w:szCs w:val="22"/>
      <w:u w:val="none"/>
    </w:rPr>
  </w:style>
  <w:style w:type="character" w:customStyle="1" w:styleId="font21">
    <w:name w:val="font21"/>
    <w:basedOn w:val="DefaultParagraphFont"/>
    <w:rPr>
      <w:rFonts w:ascii="Times New Roman" w:hAnsi="Times New Roman" w:cs="Times New Roman" w:hint="default"/>
      <w:color w:val="000000"/>
      <w:sz w:val="22"/>
      <w:szCs w:val="22"/>
      <w:u w:val="none"/>
    </w:rPr>
  </w:style>
  <w:style w:type="character" w:customStyle="1" w:styleId="font41">
    <w:name w:val="font41"/>
    <w:basedOn w:val="DefaultParagraphFont"/>
    <w:rPr>
      <w:rFonts w:ascii="宋体" w:eastAsia="宋体" w:hAnsi="宋体" w:cs="宋体" w:hint="eastAsia"/>
      <w:color w:val="000000"/>
      <w:sz w:val="22"/>
      <w:szCs w:val="22"/>
      <w:u w:val="none"/>
    </w:rPr>
  </w:style>
  <w:style w:type="character" w:customStyle="1" w:styleId="font101">
    <w:name w:val="font101"/>
    <w:basedOn w:val="DefaultParagraphFont"/>
    <w:rPr>
      <w:rFonts w:ascii="宋体" w:eastAsia="宋体" w:hAnsi="宋体" w:cs="宋体" w:hint="eastAsia"/>
      <w:color w:val="000000"/>
      <w:sz w:val="18"/>
      <w:szCs w:val="18"/>
      <w:u w:val="none"/>
    </w:rPr>
  </w:style>
  <w:style w:type="paragraph" w:customStyle="1" w:styleId="WPSOffice手动目录1">
    <w:name w:val="WPSOffice手动目录 1"/>
    <w:qFormat/>
    <w:pPr>
      <w:ind w:leftChars="0"/>
    </w:pPr>
    <w:rPr>
      <w:sz w:val="20"/>
      <w:szCs w:val="20"/>
    </w:rPr>
  </w:style>
  <w:style w:type="paragraph" w:customStyle="1" w:styleId="WPSOffice手动目录2">
    <w:name w:val="WPSOffice手动目录 2"/>
    <w:qFormat/>
    <w:pPr>
      <w:ind w:leftChars="200"/>
    </w:pPr>
    <w:rPr>
      <w:sz w:val="20"/>
      <w:szCs w:val="20"/>
    </w:rPr>
  </w:style>
  <w:style w:type="paragraph" w:customStyle="1" w:styleId="表格内容">
    <w:name w:val="表格内容"/>
    <w:basedOn w:val="Normal"/>
    <w:next w:val="Normal"/>
    <w:qFormat/>
    <w:pPr>
      <w:keepNext w:val="0"/>
      <w:keepLines/>
      <w:spacing w:line="240" w:lineRule="auto"/>
      <w:ind w:firstLine="0" w:firstLineChars="0"/>
      <w:jc w:val="center"/>
      <w:outlineLvl w:val="9"/>
    </w:pPr>
    <w:rPr>
      <w:rFonts w:ascii="Times New Roman" w:hAnsi="Times New Roman" w:hint="eastAsia"/>
      <w:kern w:val="44"/>
      <w:sz w:val="21"/>
    </w:rPr>
  </w:style>
  <w:style w:type="paragraph" w:customStyle="1" w:styleId="表格标题">
    <w:name w:val="表格标题"/>
    <w:basedOn w:val="Normal"/>
    <w:next w:val="Normal"/>
    <w:qFormat/>
    <w:pPr>
      <w:keepNext/>
      <w:keepLines/>
      <w:ind w:firstLine="0" w:firstLineChars="0"/>
      <w:jc w:val="center"/>
      <w:outlineLvl w:val="0"/>
    </w:pPr>
    <w:rPr>
      <w:rFonts w:hint="eastAsia"/>
      <w:b/>
      <w:kern w:val="44"/>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footer" Target="footer1.xml"/><Relationship Id="rId4" Type="http://schemas.openxmlformats.org/officeDocument/2006/relationships/footer" Target="footer2.xml"/><Relationship Id="rId5" Type="http://schemas.openxmlformats.org/officeDocument/2006/relationships/theme" Target="theme/theme1.xml"/><Relationship Id="rId6" Type="http://schemas.openxmlformats.org/officeDocument/2006/relationships/styles" Target="styles.xml"/><Relationship Id="rId7" Type="http://schemas.openxmlformats.org/officeDocument/2006/relationships/webSettings" Target="webSettings.xml"/><Relationship Id="rId8" Type="http://schemas.openxmlformats.org/officeDocument/2006/relationships/fontTable" Target="fontTable.xml"/><Relationship Id="rId9" Type="http://schemas.openxmlformats.org/officeDocument/2006/relationships/settings" Target="setting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0A9FE342097A4EB987B754225B99C8D1_13</vt:lpwstr>
  </property>
  <property fmtid="{D5CDD505-2E9C-101B-9397-08002B2CF9AE}" pid="4" name="commondata">
    <vt:lpwstr>eyJoZGlkIjoiMzFhODQ1NGNmNGU5ZTQ0MGUxMDEzMGEzNzMxNWFjNDkifQ==</vt:lpwstr>
  </property>
  <property fmtid="{D5CDD505-2E9C-101B-9397-08002B2CF9AE}" pid="5" name="KSOTemplateDocerSaveRecord">
    <vt:lpwstr>eyJoZGlkIjoiODRhYjhkNzI4OGQ5M2E5NzE5YzFiNzg2M2ZlMzkxMWUiLCJ1c2VySWQiOiIxMTQ4NTc0MTIzIn0=</vt:lpwstr>
  </property>
</Properties>
</file>

<file path=customXml/item2.xml><?xml version="1.0" encoding="utf-8"?>
<s:customData xmlns="http://www.wps.cn/officeDocument/2013/wpsCustomData" xmlns:s="http://www.wps.cn/officeDocument/2013/wpsCustomData">
  <customSectProps>
    <customSectPr/>
    <customSectPr/>
    <customSectPr/>
    <customSectPr/>
    <customSectPr/>
  </customSectProps>
  <customShpExts>
    <customShpInfo spid="_x0000_s2059" textRotate="1"/>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19</TotalTime>
  <Pages>24</Pages>
  <Words>7803</Words>
  <Characters>8238</Characters>
  <Application>WPS Office_12.1.0.15120_F1E327BC-269C-435d-A152-05C5408002CA</Application>
  <DocSecurity>0</DocSecurity>
  <Lines>110</Lines>
  <Paragraphs>31</Paragraphs>
  <Company>Microsoft</Company>
  <CharactersWithSpaces>8262</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郭子歪</cp:lastModifiedBy>
  <cp:revision>3</cp:revision>
  <dcterms:created xsi:type="dcterms:W3CDTF">2019-11-25T12:51:00Z</dcterms:created>
  <dcterms:modified xsi:type="dcterms:W3CDTF">2025-09-04T07:42:50Z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2052-12.1.0.15120</vt:lpwstr>
  </property>
  <property fmtid="{D5CDD505-2E9C-101B-9397-08002B2CF9AE}" pid="3" name="ICV">
    <vt:lpwstr>0A9FE342097A4EB987B754225B99C8D1_13</vt:lpwstr>
  </property>
  <property fmtid="{D5CDD505-2E9C-101B-9397-08002B2CF9AE}" pid="4" name="commondata">
    <vt:lpwstr>eyJoZGlkIjoiMzFhODQ1NGNmNGU5ZTQ0MGUxMDEzMGEzNzMxNWFjNDkifQ_x003D__x003D_</vt:lpwstr>
  </property>
  <property fmtid="{D5CDD505-2E9C-101B-9397-08002B2CF9AE}" pid="5" name="KSOTemplateDocerSaveRecord">
    <vt:lpwstr>eyJoZGlkIjoiODRhYjhkNzI4OGQ5M2E5NzE5YzFiNzg2M2ZlMzkxMWUiLCJ1c2VySWQiOiIxMTQ4NTc0MTIzIn0_x003D_</vt:lpwstr>
  </property>
</Properties>
</file>