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尉犁县技工学校2024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bookmarkStart w:id="0" w:name="_GoBack"/>
      <w:bookmarkEnd w:id="0"/>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r>
        <w:br w:type="page"/>
      </w:r>
    </w:p>
    <w:p>
      <w:pPr>
        <w:spacing w:line="640" w:lineRule="exact"/>
        <w:jc w:val="center"/>
        <w:outlineLvl w:val="1"/>
      </w:pPr>
      <w:r>
        <w:rPr>
          <w:rFonts w:ascii="黑体" w:hAnsi="黑体" w:eastAsia="黑体"/>
          <w:sz w:val="32"/>
        </w:rPr>
        <w:t>第一部分 单位概况</w:t>
      </w:r>
    </w:p>
    <w:p>
      <w:pPr>
        <w:spacing w:line="640" w:lineRule="exact"/>
        <w:ind w:firstLine="640"/>
        <w:jc w:val="both"/>
        <w:outlineLvl w:val="2"/>
      </w:pPr>
      <w:r>
        <w:rPr>
          <w:rFonts w:ascii="黑体" w:hAnsi="黑体" w:eastAsia="黑体"/>
          <w:sz w:val="32"/>
        </w:rPr>
        <w:t>一、主要职能</w:t>
      </w:r>
    </w:p>
    <w:p>
      <w:pPr>
        <w:spacing w:line="580" w:lineRule="exact"/>
        <w:ind w:firstLine="640"/>
        <w:jc w:val="both"/>
      </w:pPr>
      <w:r>
        <w:rPr>
          <w:rFonts w:ascii="仿宋_GB2312" w:hAnsi="仿宋_GB2312" w:eastAsia="仿宋_GB2312"/>
          <w:sz w:val="32"/>
        </w:rPr>
        <w:t>（1）贯彻执行党和国家的教育工作方针政策和法律法规。</w:t>
      </w:r>
    </w:p>
    <w:p>
      <w:pPr>
        <w:spacing w:line="580" w:lineRule="exact"/>
        <w:ind w:firstLine="640"/>
        <w:jc w:val="both"/>
      </w:pPr>
      <w:r>
        <w:rPr>
          <w:rFonts w:ascii="仿宋_GB2312" w:hAnsi="仿宋_GB2312" w:eastAsia="仿宋_GB2312"/>
          <w:sz w:val="32"/>
        </w:rPr>
        <w:t>（2）坚持学制教育与职业培训并举，履行国家、自治区赋予的招生、教育、培训职能，完成好党委、政府安排的各项任务。</w:t>
      </w:r>
    </w:p>
    <w:p>
      <w:pPr>
        <w:spacing w:line="580" w:lineRule="exact"/>
        <w:ind w:firstLine="640"/>
        <w:jc w:val="both"/>
      </w:pPr>
      <w:r>
        <w:rPr>
          <w:rFonts w:ascii="仿宋_GB2312" w:hAnsi="仿宋_GB2312" w:eastAsia="仿宋_GB2312"/>
          <w:sz w:val="32"/>
        </w:rPr>
        <w:t>（3）组织编制和实施学校的发展规划，推进落实年度教学和人才培养计划。</w:t>
      </w:r>
    </w:p>
    <w:p>
      <w:pPr>
        <w:spacing w:line="580" w:lineRule="exact"/>
        <w:ind w:firstLine="640"/>
        <w:jc w:val="both"/>
      </w:pPr>
      <w:r>
        <w:rPr>
          <w:rFonts w:ascii="仿宋_GB2312" w:hAnsi="仿宋_GB2312" w:eastAsia="仿宋_GB2312"/>
          <w:sz w:val="32"/>
        </w:rPr>
        <w:t>（4）根据教学、培训任务要求，制定教学计划和教学大纲，加强教学实训基地建设，研究和改进教学方法，提高教学水平。加强师资队伍建设，强化一体化教师培养，提高专兼职教师的教育教学水平。</w:t>
      </w:r>
    </w:p>
    <w:p>
      <w:pPr>
        <w:spacing w:line="580" w:lineRule="exact"/>
        <w:ind w:firstLine="640"/>
        <w:jc w:val="both"/>
      </w:pPr>
      <w:r>
        <w:rPr>
          <w:rFonts w:ascii="仿宋_GB2312" w:hAnsi="仿宋_GB2312" w:eastAsia="仿宋_GB2312"/>
          <w:sz w:val="32"/>
        </w:rPr>
        <w:t>（5）开设国家通用语言文字、法律法规、思想政治、行为养成及公共安全等教学科目，拓宽学生获取现代知识和信息渠道。</w:t>
      </w:r>
    </w:p>
    <w:p>
      <w:pPr>
        <w:spacing w:line="580" w:lineRule="exact"/>
        <w:ind w:firstLine="640"/>
        <w:jc w:val="both"/>
      </w:pPr>
      <w:r>
        <w:rPr>
          <w:rFonts w:ascii="仿宋_GB2312" w:hAnsi="仿宋_GB2312" w:eastAsia="仿宋_GB2312"/>
          <w:sz w:val="32"/>
        </w:rPr>
        <w:t>（6）立足区域产业规划和市场用工需求，科学设置培训专业（工种），扎实开展职业培训，不断提升劳动者职业素质和技能水平，拓宽就业渠道。</w:t>
      </w:r>
    </w:p>
    <w:p>
      <w:pPr>
        <w:spacing w:line="580" w:lineRule="exact"/>
        <w:ind w:firstLine="640"/>
        <w:jc w:val="both"/>
      </w:pPr>
      <w:r>
        <w:rPr>
          <w:rFonts w:ascii="仿宋_GB2312" w:hAnsi="仿宋_GB2312" w:eastAsia="仿宋_GB2312"/>
          <w:sz w:val="32"/>
        </w:rPr>
        <w:t>（7）搭建培训平台，通过校企合作、校校联合、部门协作的方式，承担各行业、各部门综合培训和职业培训项目，开展职业技能等级评价认定。</w:t>
      </w:r>
    </w:p>
    <w:p>
      <w:pPr>
        <w:spacing w:line="580" w:lineRule="exact"/>
        <w:ind w:firstLine="640"/>
        <w:jc w:val="both"/>
      </w:pPr>
      <w:r>
        <w:rPr>
          <w:rFonts w:ascii="仿宋_GB2312" w:hAnsi="仿宋_GB2312" w:eastAsia="仿宋_GB2312"/>
          <w:sz w:val="32"/>
        </w:rPr>
        <w:t>（8）加强学校学生教育教学和就业安置服务管理，做好行政后勤和安全管理、卫生健康工作，维护正常校园秩序，保证教学和教研工作顺利开展。</w:t>
      </w:r>
    </w:p>
    <w:p>
      <w:pPr>
        <w:spacing w:line="580" w:lineRule="exact"/>
        <w:ind w:firstLine="640"/>
        <w:jc w:val="both"/>
      </w:pPr>
      <w:r>
        <w:rPr>
          <w:rFonts w:ascii="仿宋_GB2312" w:hAnsi="仿宋_GB2312" w:eastAsia="仿宋_GB2312"/>
          <w:sz w:val="32"/>
        </w:rPr>
        <w:t>（9）积极申请国家、自治区和对口援疆省市资金项目支持，开展技工院校合作交流。</w:t>
      </w:r>
    </w:p>
    <w:p>
      <w:pPr>
        <w:spacing w:line="580" w:lineRule="exact"/>
        <w:ind w:firstLine="640"/>
        <w:jc w:val="both"/>
      </w:pPr>
      <w:r>
        <w:rPr>
          <w:rFonts w:ascii="仿宋_GB2312" w:hAnsi="仿宋_GB2312" w:eastAsia="仿宋_GB2312"/>
          <w:sz w:val="32"/>
        </w:rPr>
        <w:t>（10）承办党委、政府交办的其他工作任务。</w:t>
      </w:r>
    </w:p>
    <w:p>
      <w:pPr>
        <w:spacing w:line="640" w:lineRule="exact"/>
        <w:ind w:firstLine="640"/>
        <w:jc w:val="both"/>
        <w:outlineLvl w:val="2"/>
      </w:pPr>
      <w:r>
        <w:rPr>
          <w:rFonts w:ascii="黑体" w:hAnsi="黑体" w:eastAsia="黑体"/>
          <w:sz w:val="32"/>
        </w:rPr>
        <w:t>二、机构设置及人员情况</w:t>
      </w:r>
    </w:p>
    <w:p>
      <w:pPr>
        <w:spacing w:line="580" w:lineRule="exact"/>
        <w:ind w:firstLine="640"/>
        <w:jc w:val="both"/>
      </w:pPr>
      <w:r>
        <w:rPr>
          <w:rFonts w:ascii="仿宋_GB2312" w:hAnsi="仿宋_GB2312" w:eastAsia="仿宋_GB2312"/>
          <w:sz w:val="32"/>
        </w:rPr>
        <w:t>尉犁县技工学校2024年度，实有人数45人，其中：在职人员40人，增加1人；离休人员0人，增加0人；退休人员5人,增加1人。</w:t>
      </w:r>
    </w:p>
    <w:p>
      <w:pPr>
        <w:spacing w:line="580" w:lineRule="exact"/>
        <w:ind w:firstLine="640"/>
        <w:jc w:val="both"/>
      </w:pPr>
      <w:r>
        <w:rPr>
          <w:rFonts w:ascii="仿宋_GB2312" w:hAnsi="仿宋_GB2312" w:eastAsia="仿宋_GB2312"/>
          <w:sz w:val="32"/>
        </w:rPr>
        <w:t>尉犁县技工学校无下属预算单位，下设5个科室，分别是：党政办公室、教务科、学生科、招生就业科、后勤管理科。</w:t>
      </w:r>
    </w:p>
    <w:p>
      <w:r>
        <w:br w:type="page"/>
      </w:r>
    </w:p>
    <w:p>
      <w:pPr>
        <w:spacing w:line="240" w:lineRule="auto"/>
        <w:jc w:val="center"/>
        <w:outlineLvl w:val="1"/>
      </w:pPr>
      <w:r>
        <w:rPr>
          <w:rFonts w:ascii="黑体" w:hAnsi="黑体" w:eastAsia="黑体"/>
          <w:sz w:val="32"/>
        </w:rPr>
        <w:t>第二部分 部门决算情况说明</w:t>
      </w:r>
    </w:p>
    <w:p>
      <w:pPr>
        <w:spacing w:line="640" w:lineRule="exact"/>
        <w:ind w:firstLine="640"/>
        <w:jc w:val="both"/>
        <w:outlineLvl w:val="2"/>
      </w:pPr>
      <w:r>
        <w:rPr>
          <w:rFonts w:ascii="黑体" w:hAnsi="黑体" w:eastAsia="黑体"/>
          <w:sz w:val="32"/>
        </w:rPr>
        <w:t>一、收入支出决算总体情况说明</w:t>
      </w:r>
    </w:p>
    <w:p>
      <w:pPr>
        <w:spacing w:line="580" w:lineRule="exact"/>
        <w:ind w:firstLine="640"/>
        <w:jc w:val="both"/>
      </w:pPr>
      <w:r>
        <w:rPr>
          <w:rFonts w:ascii="仿宋_GB2312" w:hAnsi="仿宋_GB2312" w:eastAsia="仿宋_GB2312"/>
          <w:b/>
          <w:sz w:val="32"/>
        </w:rPr>
        <w:t>2024年度收入总计733.03万元，</w:t>
      </w:r>
      <w:r>
        <w:rPr>
          <w:rFonts w:ascii="仿宋_GB2312" w:hAnsi="仿宋_GB2312" w:eastAsia="仿宋_GB2312"/>
          <w:b w:val="0"/>
          <w:sz w:val="32"/>
        </w:rPr>
        <w:t>其中：本年收入合计733.03万元，使用非财政拨款结余（含专用结余）0.00万元，年初结转和结余0.00万元。</w:t>
      </w:r>
    </w:p>
    <w:p>
      <w:pPr>
        <w:spacing w:line="580" w:lineRule="exact"/>
        <w:ind w:firstLine="640"/>
        <w:jc w:val="both"/>
      </w:pPr>
      <w:r>
        <w:rPr>
          <w:rFonts w:ascii="仿宋_GB2312" w:hAnsi="仿宋_GB2312" w:eastAsia="仿宋_GB2312"/>
          <w:b/>
          <w:sz w:val="32"/>
        </w:rPr>
        <w:t>2024年度支出总计733.03万元，</w:t>
      </w:r>
      <w:r>
        <w:rPr>
          <w:rFonts w:ascii="仿宋_GB2312" w:hAnsi="仿宋_GB2312" w:eastAsia="仿宋_GB2312"/>
          <w:b w:val="0"/>
          <w:sz w:val="32"/>
        </w:rPr>
        <w:t>其中：本年支出合计733.03万元，结余分配0.00万元，年末结转和结余0.00万元。</w:t>
      </w:r>
    </w:p>
    <w:p>
      <w:pPr>
        <w:spacing w:line="580" w:lineRule="exact"/>
        <w:ind w:firstLine="640"/>
        <w:jc w:val="both"/>
      </w:pPr>
      <w:r>
        <w:rPr>
          <w:rFonts w:ascii="仿宋_GB2312" w:hAnsi="仿宋_GB2312" w:eastAsia="仿宋_GB2312"/>
          <w:b w:val="0"/>
          <w:sz w:val="32"/>
        </w:rPr>
        <w:t>收入支出总体与上年相比，</w:t>
      </w:r>
      <w:r>
        <w:rPr>
          <w:rFonts w:ascii="仿宋_GB2312" w:hAnsi="仿宋_GB2312" w:eastAsia="仿宋_GB2312"/>
          <w:b w:val="0"/>
          <w:sz w:val="32"/>
        </w:rPr>
        <w:t>减少94.25万元，下降11.39%，主要原因是：本年减少人社局培训费补助项目资金，导致其他收入较上年减少。</w:t>
      </w:r>
    </w:p>
    <w:p>
      <w:pPr>
        <w:spacing w:line="640" w:lineRule="exact"/>
        <w:ind w:firstLine="640"/>
        <w:jc w:val="both"/>
        <w:outlineLvl w:val="2"/>
      </w:pPr>
      <w:r>
        <w:rPr>
          <w:rFonts w:ascii="黑体" w:hAnsi="黑体" w:eastAsia="黑体"/>
          <w:sz w:val="32"/>
        </w:rPr>
        <w:t>二、收入决算情况说明</w:t>
      </w:r>
    </w:p>
    <w:p>
      <w:pPr>
        <w:spacing w:line="580" w:lineRule="exact"/>
        <w:ind w:firstLine="640"/>
        <w:jc w:val="both"/>
      </w:pPr>
      <w:r>
        <w:rPr>
          <w:rFonts w:ascii="仿宋_GB2312" w:hAnsi="仿宋_GB2312" w:eastAsia="仿宋_GB2312"/>
          <w:b/>
          <w:sz w:val="32"/>
        </w:rPr>
        <w:t>本年收入733.03万元，</w:t>
      </w:r>
      <w:r>
        <w:rPr>
          <w:rFonts w:ascii="仿宋_GB2312" w:hAnsi="仿宋_GB2312" w:eastAsia="仿宋_GB2312"/>
          <w:b w:val="0"/>
          <w:sz w:val="32"/>
        </w:rPr>
        <w:t>其中：财政拨款收入733.03万元，占100.00%；上级补助收入0.00万元，占0.00%；事业收入0.00万元，占0.00%；经营收入0.00万元，占0.00%；附属单位上缴收入0.00万元，占0.00%；其他收入0.00万元，占0.00%。</w:t>
      </w:r>
    </w:p>
    <w:p>
      <w:pPr>
        <w:spacing w:line="640" w:lineRule="exact"/>
        <w:ind w:firstLine="640"/>
        <w:jc w:val="both"/>
        <w:outlineLvl w:val="2"/>
      </w:pPr>
      <w:r>
        <w:rPr>
          <w:rFonts w:ascii="黑体" w:hAnsi="黑体" w:eastAsia="黑体"/>
          <w:sz w:val="32"/>
        </w:rPr>
        <w:t>三、支出决算情况说明</w:t>
      </w:r>
    </w:p>
    <w:p>
      <w:pPr>
        <w:spacing w:line="580" w:lineRule="exact"/>
        <w:ind w:firstLine="640"/>
        <w:jc w:val="both"/>
      </w:pPr>
      <w:r>
        <w:rPr>
          <w:rFonts w:ascii="仿宋_GB2312" w:hAnsi="仿宋_GB2312" w:eastAsia="仿宋_GB2312"/>
          <w:b/>
          <w:sz w:val="32"/>
        </w:rPr>
        <w:t>本年支出733.03万元，</w:t>
      </w:r>
      <w:r>
        <w:rPr>
          <w:rFonts w:ascii="仿宋_GB2312" w:hAnsi="仿宋_GB2312" w:eastAsia="仿宋_GB2312"/>
          <w:b w:val="0"/>
          <w:sz w:val="32"/>
        </w:rPr>
        <w:t>其中：基本支出704.67万元，占96.13%；项目支出28.37万元，占3.87%；上缴上级支出0.00万元，占0.00%；经营支出0.00万元，占0.00%；对附属单位补助支出0.00万元，占0.00%。</w:t>
      </w:r>
    </w:p>
    <w:p>
      <w:pPr>
        <w:spacing w:line="640" w:lineRule="exact"/>
        <w:ind w:firstLine="640"/>
        <w:jc w:val="both"/>
        <w:outlineLvl w:val="2"/>
      </w:pPr>
      <w:r>
        <w:rPr>
          <w:rFonts w:ascii="黑体" w:hAnsi="黑体" w:eastAsia="黑体"/>
          <w:sz w:val="32"/>
        </w:rPr>
        <w:t>四、财政拨款收入支出决算总体情况说明</w:t>
      </w:r>
    </w:p>
    <w:p>
      <w:pPr>
        <w:spacing w:line="580" w:lineRule="exact"/>
        <w:ind w:firstLine="640"/>
        <w:jc w:val="both"/>
      </w:pPr>
      <w:r>
        <w:rPr>
          <w:rFonts w:ascii="仿宋_GB2312" w:hAnsi="仿宋_GB2312" w:eastAsia="仿宋_GB2312"/>
          <w:b/>
          <w:sz w:val="32"/>
        </w:rPr>
        <w:t>2024年度财政拨款收入总计733.03万元，</w:t>
      </w:r>
      <w:r>
        <w:rPr>
          <w:rFonts w:ascii="仿宋_GB2312" w:hAnsi="仿宋_GB2312" w:eastAsia="仿宋_GB2312"/>
          <w:b w:val="0"/>
          <w:sz w:val="32"/>
        </w:rPr>
        <w:t>其中：年初财政拨款结转和结余0.00万元，本年财政拨款收入733.03万元。</w:t>
      </w:r>
      <w:r>
        <w:rPr>
          <w:rFonts w:ascii="仿宋_GB2312" w:hAnsi="仿宋_GB2312" w:eastAsia="仿宋_GB2312"/>
          <w:b/>
          <w:sz w:val="32"/>
        </w:rPr>
        <w:t>财政拨款支出总计733.03万元，</w:t>
      </w:r>
      <w:r>
        <w:rPr>
          <w:rFonts w:ascii="仿宋_GB2312" w:hAnsi="仿宋_GB2312" w:eastAsia="仿宋_GB2312"/>
          <w:b w:val="0"/>
          <w:sz w:val="32"/>
        </w:rPr>
        <w:t>其中：年末财政拨款结转和结余0.00万元，本年财政拨款支出733.03万元。</w:t>
      </w:r>
    </w:p>
    <w:p>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增加131.78万元，增长21.92%，主要原因是：本年在职人员增加，在职人员工资调增、社保、公积金基数调增，人员经费增加。</w:t>
      </w:r>
      <w:r>
        <w:rPr>
          <w:rFonts w:ascii="仿宋_GB2312" w:hAnsi="仿宋_GB2312" w:eastAsia="仿宋_GB2312"/>
          <w:b/>
          <w:sz w:val="32"/>
        </w:rPr>
        <w:t>与年初预算相比，</w:t>
      </w:r>
      <w:r>
        <w:rPr>
          <w:rFonts w:ascii="仿宋_GB2312" w:hAnsi="仿宋_GB2312" w:eastAsia="仿宋_GB2312"/>
          <w:b w:val="0"/>
          <w:sz w:val="32"/>
        </w:rPr>
        <w:t>年初预算数972.07万元，决算数733.03万元，预决算差异率-24.59%，主要原因是：年中调减人社局培训费项目资金，导致预决算存在差异。</w:t>
      </w:r>
    </w:p>
    <w:p>
      <w:pPr>
        <w:spacing w:line="640" w:lineRule="exact"/>
        <w:ind w:firstLine="640"/>
        <w:jc w:val="both"/>
        <w:outlineLvl w:val="2"/>
      </w:pPr>
      <w:r>
        <w:rPr>
          <w:rFonts w:ascii="黑体" w:hAnsi="黑体" w:eastAsia="黑体"/>
          <w:sz w:val="32"/>
        </w:rPr>
        <w:t>五、一般公共预算财政拨款支出决算情况说明</w:t>
      </w:r>
    </w:p>
    <w:p>
      <w:pPr>
        <w:spacing w:line="640" w:lineRule="exact"/>
        <w:ind w:firstLine="640"/>
        <w:jc w:val="both"/>
        <w:outlineLvl w:val="3"/>
      </w:pPr>
      <w:r>
        <w:rPr>
          <w:rFonts w:ascii="楷体_GB2312" w:hAnsi="楷体_GB2312" w:eastAsia="楷体_GB2312"/>
          <w:b/>
          <w:sz w:val="32"/>
        </w:rPr>
        <w:t>（一）一般公共预算财政拨款支出决算总体情况</w:t>
      </w:r>
    </w:p>
    <w:p>
      <w:pPr>
        <w:spacing w:line="580" w:lineRule="exact"/>
        <w:ind w:firstLine="640"/>
        <w:jc w:val="both"/>
      </w:pPr>
      <w:r>
        <w:rPr>
          <w:rFonts w:ascii="仿宋_GB2312" w:hAnsi="仿宋_GB2312" w:eastAsia="仿宋_GB2312"/>
          <w:b/>
          <w:sz w:val="32"/>
        </w:rPr>
        <w:t>2024年度一般公共预算财政拨款支出733.03万元，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增加131.78万元，增长21.92%，主要原因是：本年在职人员增加，在职人员工资调增、社保、公积金基数调增，人员经费增加。</w:t>
      </w:r>
      <w:r>
        <w:rPr>
          <w:rFonts w:ascii="仿宋_GB2312" w:hAnsi="仿宋_GB2312" w:eastAsia="仿宋_GB2312"/>
          <w:b/>
          <w:sz w:val="32"/>
        </w:rPr>
        <w:t>与年初预算相比,</w:t>
      </w:r>
      <w:r>
        <w:rPr>
          <w:rFonts w:ascii="仿宋_GB2312" w:hAnsi="仿宋_GB2312" w:eastAsia="仿宋_GB2312"/>
          <w:b w:val="0"/>
          <w:sz w:val="32"/>
        </w:rPr>
        <w:t>年初预算数972.07万元，决算数733.03万元，预决算差异率-24.59%，主要原因是：年中调减人社局培训费项目资金，导致预决算存在差异。</w:t>
      </w:r>
    </w:p>
    <w:p>
      <w:pPr>
        <w:spacing w:line="640" w:lineRule="exact"/>
        <w:ind w:firstLine="640"/>
        <w:jc w:val="both"/>
        <w:outlineLvl w:val="3"/>
      </w:pPr>
      <w:r>
        <w:rPr>
          <w:rFonts w:ascii="楷体_GB2312" w:hAnsi="楷体_GB2312" w:eastAsia="楷体_GB2312"/>
          <w:b/>
          <w:sz w:val="32"/>
        </w:rPr>
        <w:t>（二）一般公共预算财政拨款支出决算结构情况</w:t>
      </w:r>
    </w:p>
    <w:p>
      <w:pPr>
        <w:spacing w:line="580" w:lineRule="exact"/>
        <w:ind w:firstLine="640"/>
        <w:jc w:val="both"/>
      </w:pPr>
      <w:r>
        <w:rPr>
          <w:rFonts w:ascii="仿宋_GB2312" w:hAnsi="仿宋_GB2312" w:eastAsia="仿宋_GB2312"/>
          <w:b w:val="0"/>
          <w:sz w:val="32"/>
        </w:rPr>
        <w:t>1.一般公共服务支出(类)0.08万元,占0.01%。</w:t>
      </w:r>
    </w:p>
    <w:p>
      <w:pPr>
        <w:spacing w:line="580" w:lineRule="exact"/>
        <w:ind w:firstLine="640"/>
        <w:jc w:val="both"/>
      </w:pPr>
      <w:r>
        <w:rPr>
          <w:rFonts w:ascii="仿宋_GB2312" w:hAnsi="仿宋_GB2312" w:eastAsia="仿宋_GB2312"/>
          <w:b w:val="0"/>
          <w:sz w:val="32"/>
        </w:rPr>
        <w:t>2.教育支出(类)731.81万元,占99.83%。</w:t>
      </w:r>
    </w:p>
    <w:p>
      <w:pPr>
        <w:spacing w:line="580" w:lineRule="exact"/>
        <w:ind w:firstLine="640"/>
        <w:jc w:val="both"/>
      </w:pPr>
      <w:r>
        <w:rPr>
          <w:rFonts w:ascii="仿宋_GB2312" w:hAnsi="仿宋_GB2312" w:eastAsia="仿宋_GB2312"/>
          <w:b w:val="0"/>
          <w:sz w:val="32"/>
        </w:rPr>
        <w:t>3.社会保障和就业支出(类)1.15万元,占0.16%。</w:t>
      </w:r>
    </w:p>
    <w:p>
      <w:pPr>
        <w:spacing w:line="640" w:lineRule="exact"/>
        <w:ind w:firstLine="640"/>
        <w:jc w:val="both"/>
        <w:outlineLvl w:val="3"/>
      </w:pPr>
      <w:r>
        <w:rPr>
          <w:rFonts w:ascii="楷体_GB2312" w:hAnsi="楷体_GB2312" w:eastAsia="楷体_GB2312"/>
          <w:b/>
          <w:sz w:val="32"/>
        </w:rPr>
        <w:t>（三）一般公共预算财政拨款支出决算具体情况</w:t>
      </w:r>
    </w:p>
    <w:p>
      <w:pPr>
        <w:spacing w:line="580" w:lineRule="exact"/>
        <w:ind w:firstLine="640"/>
        <w:jc w:val="both"/>
      </w:pPr>
      <w:r>
        <w:rPr>
          <w:rFonts w:ascii="仿宋_GB2312" w:hAnsi="仿宋_GB2312" w:eastAsia="仿宋_GB2312"/>
          <w:b w:val="0"/>
          <w:sz w:val="32"/>
        </w:rPr>
        <w:t>1.一般公共服务支出(类)组织事务(款)其他组织事务支出(项):支出决算数为0.08万元，比上年决算增加0.08万元，增长100.00%,主要原因是：2024年增加老干部慰问费支出。</w:t>
      </w:r>
    </w:p>
    <w:p>
      <w:pPr>
        <w:spacing w:line="580" w:lineRule="exact"/>
        <w:ind w:firstLine="640"/>
        <w:jc w:val="both"/>
      </w:pPr>
      <w:r>
        <w:rPr>
          <w:rFonts w:ascii="仿宋_GB2312" w:hAnsi="仿宋_GB2312" w:eastAsia="仿宋_GB2312"/>
          <w:b w:val="0"/>
          <w:sz w:val="32"/>
        </w:rPr>
        <w:t>2.教育支出(类)职业教育(款)中等职业教育(项):支出决算数为0.00万元，比上年决算减少0.78万元，下降100.00%,主要原因是：本年减少2022年技工学校学生资助补助资金项目资金。</w:t>
      </w:r>
    </w:p>
    <w:p>
      <w:pPr>
        <w:spacing w:line="580" w:lineRule="exact"/>
        <w:ind w:firstLine="640"/>
        <w:jc w:val="both"/>
      </w:pPr>
      <w:r>
        <w:rPr>
          <w:rFonts w:ascii="仿宋_GB2312" w:hAnsi="仿宋_GB2312" w:eastAsia="仿宋_GB2312"/>
          <w:b w:val="0"/>
          <w:sz w:val="32"/>
        </w:rPr>
        <w:t>3.教育支出(类)职业教育(款)技校教育(项):支出决算数为28.37万元，比上年决算增加0.17万元，增长0.60%,主要原因是：本年增加2024年学生资金补助经费（直达资金）等项目资金。</w:t>
      </w:r>
    </w:p>
    <w:p>
      <w:pPr>
        <w:spacing w:line="580" w:lineRule="exact"/>
        <w:ind w:firstLine="640"/>
        <w:jc w:val="both"/>
      </w:pPr>
      <w:r>
        <w:rPr>
          <w:rFonts w:ascii="仿宋_GB2312" w:hAnsi="仿宋_GB2312" w:eastAsia="仿宋_GB2312"/>
          <w:b w:val="0"/>
          <w:sz w:val="32"/>
        </w:rPr>
        <w:t>4.教育支出(类)职业教育(款)其他职业教育支出(项):支出决算数为527.49万元，比上年决算增加94.83万元，增长21.92%,主要原因是：本年在职人员增加，在职人员工资基数上调，导致相关人员经费较上年增加。</w:t>
      </w:r>
    </w:p>
    <w:p>
      <w:pPr>
        <w:spacing w:line="580" w:lineRule="exact"/>
        <w:ind w:firstLine="640"/>
        <w:jc w:val="both"/>
      </w:pPr>
      <w:r>
        <w:rPr>
          <w:rFonts w:ascii="仿宋_GB2312" w:hAnsi="仿宋_GB2312" w:eastAsia="仿宋_GB2312"/>
          <w:b w:val="0"/>
          <w:sz w:val="32"/>
        </w:rPr>
        <w:t>5.教育支出(类)进修及培训(款)培训支出(项):支出决算数为2.33万元，比上年决算增加1.90万元，增长441.86%,主要原因是：本年度新增教育培训类经费，培训次数增加。</w:t>
      </w:r>
    </w:p>
    <w:p>
      <w:pPr>
        <w:spacing w:line="580" w:lineRule="exact"/>
        <w:ind w:firstLine="640"/>
        <w:jc w:val="both"/>
      </w:pPr>
      <w:r>
        <w:rPr>
          <w:rFonts w:ascii="仿宋_GB2312" w:hAnsi="仿宋_GB2312" w:eastAsia="仿宋_GB2312"/>
          <w:b w:val="0"/>
          <w:sz w:val="32"/>
        </w:rPr>
        <w:t>6.教育支出(类)其他教育支出(款)其他教育支出(项):支出决算数为173.62万元，比上年决算增加173.62万元，增长100.00%,主要原因是：本年功能科目调整，医疗，养老，公积金，职业年金调整至其他教育支出科目列支，导致经费较上年增加。</w:t>
      </w:r>
    </w:p>
    <w:p>
      <w:pPr>
        <w:spacing w:line="580" w:lineRule="exact"/>
        <w:ind w:firstLine="640"/>
        <w:jc w:val="both"/>
      </w:pPr>
      <w:r>
        <w:rPr>
          <w:rFonts w:ascii="仿宋_GB2312" w:hAnsi="仿宋_GB2312" w:eastAsia="仿宋_GB2312"/>
          <w:b w:val="0"/>
          <w:sz w:val="32"/>
        </w:rPr>
        <w:t>7.社会保障和就业支出(类)行政事业单位养老支出(款)事业单位离退休(项):支出决算数为1.15万元，比上年决算减少2.89万元，下降71.53%,主要原因是：上年存在补发退休人员2022年绩效奖金，本年未存在补发情况，导致经费较上年减少。</w:t>
      </w:r>
    </w:p>
    <w:p>
      <w:pPr>
        <w:spacing w:line="580" w:lineRule="exact"/>
        <w:ind w:firstLine="640"/>
        <w:jc w:val="both"/>
      </w:pPr>
      <w:r>
        <w:rPr>
          <w:rFonts w:ascii="仿宋_GB2312" w:hAnsi="仿宋_GB2312" w:eastAsia="仿宋_GB2312"/>
          <w:b w:val="0"/>
          <w:sz w:val="32"/>
        </w:rPr>
        <w:t>8.社会保障和就业支出(类)行政事业单位养老支出(款)机关事业单位基本养老保险缴费支出(项):支出决算数为0.00万元，比上年决算减少55.31万元，下降100.00%,主要原因是：本年功能科目调整，养老保险缴费上年度单独列支，本年调整至其他教育支出科目列支，导致经费较上年减少。</w:t>
      </w:r>
    </w:p>
    <w:p>
      <w:pPr>
        <w:spacing w:line="580" w:lineRule="exact"/>
        <w:ind w:firstLine="640"/>
        <w:jc w:val="both"/>
      </w:pPr>
      <w:r>
        <w:rPr>
          <w:rFonts w:ascii="仿宋_GB2312" w:hAnsi="仿宋_GB2312" w:eastAsia="仿宋_GB2312"/>
          <w:b w:val="0"/>
          <w:sz w:val="32"/>
        </w:rPr>
        <w:t>9.社会保障和就业支出(类)行政事业单位养老支出(款)机关事业单位职业年金缴费支出(项):支出决算数为0.00万元，比上年决算减少11.80万元，下降100.00%,主要原因是：本年功能科目调整，机关事业单位职业年金缴费上年度单独列支，本年调整至其他教育支出科目列支，导致经费较上年减少。</w:t>
      </w:r>
    </w:p>
    <w:p>
      <w:pPr>
        <w:spacing w:line="580" w:lineRule="exact"/>
        <w:ind w:firstLine="640"/>
        <w:jc w:val="both"/>
      </w:pPr>
      <w:r>
        <w:rPr>
          <w:rFonts w:ascii="仿宋_GB2312" w:hAnsi="仿宋_GB2312" w:eastAsia="仿宋_GB2312"/>
          <w:b w:val="0"/>
          <w:sz w:val="32"/>
        </w:rPr>
        <w:t>10.卫生健康支出(类)行政事业单位医疗(款)事业单位医疗(项):支出决算数为0.00万元，比上年决算减少25.58万元，下降100.00%,主要原因是：本年功能科目调整，事业单位医疗上年度单独列支，本年调整至其他教育支出科目列支，导致经费较上年减少。</w:t>
      </w:r>
    </w:p>
    <w:p>
      <w:pPr>
        <w:spacing w:line="580" w:lineRule="exact"/>
        <w:ind w:firstLine="640"/>
        <w:jc w:val="both"/>
      </w:pPr>
      <w:r>
        <w:rPr>
          <w:rFonts w:ascii="仿宋_GB2312" w:hAnsi="仿宋_GB2312" w:eastAsia="仿宋_GB2312"/>
          <w:b w:val="0"/>
          <w:sz w:val="32"/>
        </w:rPr>
        <w:t>11.农林水支出(类)巩固脱贫攻坚成果衔接乡村振兴(款)社会发展(项):支出决算数为0.00万元，比上年决算减少0.60万元，下降100.00%,主要原因是：本年减少脱贫及监测学生助学金项目资金。</w:t>
      </w:r>
    </w:p>
    <w:p>
      <w:pPr>
        <w:spacing w:line="580" w:lineRule="exact"/>
        <w:ind w:firstLine="640"/>
        <w:jc w:val="both"/>
      </w:pPr>
      <w:r>
        <w:rPr>
          <w:rFonts w:ascii="仿宋_GB2312" w:hAnsi="仿宋_GB2312" w:eastAsia="仿宋_GB2312"/>
          <w:b w:val="0"/>
          <w:sz w:val="32"/>
        </w:rPr>
        <w:t>12.住房保障支出(类)住房改革支出(款)住房公积金(项):支出决算数为0.00万元，比上年决算减少41.84万元，下降100.00%,主要原因是：本年功能科目调整，住房公积金上年度单独列支，本年调整至其他教育支出科目列支，导致经费较上年减少。</w:t>
      </w:r>
    </w:p>
    <w:p>
      <w:pPr>
        <w:spacing w:line="640" w:lineRule="exact"/>
        <w:ind w:firstLine="640"/>
        <w:jc w:val="both"/>
        <w:outlineLvl w:val="2"/>
      </w:pPr>
      <w:r>
        <w:rPr>
          <w:rFonts w:ascii="黑体" w:hAnsi="黑体" w:eastAsia="黑体"/>
          <w:sz w:val="32"/>
        </w:rPr>
        <w:t>六、一般公共预算财政拨款基本支出决算情况说明</w:t>
      </w:r>
    </w:p>
    <w:p>
      <w:pPr>
        <w:spacing w:line="580" w:lineRule="exact"/>
        <w:ind w:firstLine="640"/>
        <w:jc w:val="both"/>
      </w:pPr>
      <w:r>
        <w:rPr>
          <w:rFonts w:ascii="仿宋_GB2312" w:hAnsi="仿宋_GB2312" w:eastAsia="仿宋_GB2312"/>
          <w:b w:val="0"/>
          <w:sz w:val="32"/>
        </w:rPr>
        <w:t>2024年度一般公共预算财政拨款基本支出704.67万元，其中：</w:t>
      </w:r>
      <w:r>
        <w:rPr>
          <w:rFonts w:ascii="仿宋_GB2312" w:hAnsi="仿宋_GB2312" w:eastAsia="仿宋_GB2312"/>
          <w:b/>
          <w:sz w:val="32"/>
        </w:rPr>
        <w:t>人员经费689.32万元，</w:t>
      </w:r>
      <w:r>
        <w:rPr>
          <w:rFonts w:ascii="仿宋_GB2312" w:hAnsi="仿宋_GB2312" w:eastAsia="仿宋_GB2312"/>
          <w:b w:val="0"/>
          <w:sz w:val="32"/>
        </w:rPr>
        <w:t>包括：基本工资、津贴补贴、奖金、绩效工资、机关事业单位基本养老保险缴费、职业年金缴费、职工基本医疗保险缴费、其他社会保障缴费、住房公积金、医疗费、退休费、生活补助、医疗费补助、奖励金。</w:t>
      </w:r>
    </w:p>
    <w:p>
      <w:pPr>
        <w:spacing w:line="580" w:lineRule="exact"/>
        <w:ind w:firstLine="640"/>
        <w:jc w:val="both"/>
      </w:pPr>
      <w:r>
        <w:rPr>
          <w:rFonts w:ascii="仿宋_GB2312" w:hAnsi="仿宋_GB2312" w:eastAsia="仿宋_GB2312"/>
          <w:b/>
          <w:sz w:val="32"/>
        </w:rPr>
        <w:t>公用经费15.35万元，</w:t>
      </w:r>
      <w:r>
        <w:rPr>
          <w:rFonts w:ascii="仿宋_GB2312" w:hAnsi="仿宋_GB2312" w:eastAsia="仿宋_GB2312"/>
          <w:b w:val="0"/>
          <w:sz w:val="32"/>
        </w:rPr>
        <w:t>包括：办公费、印刷费、差旅费、维修（护）费、培训费、劳务费、工会经费、福利费。</w:t>
      </w:r>
    </w:p>
    <w:p>
      <w:pPr>
        <w:spacing w:line="640" w:lineRule="exact"/>
        <w:ind w:firstLine="640"/>
        <w:jc w:val="both"/>
        <w:outlineLvl w:val="2"/>
      </w:pPr>
      <w:r>
        <w:rPr>
          <w:rFonts w:ascii="黑体" w:hAnsi="黑体" w:eastAsia="黑体"/>
          <w:sz w:val="32"/>
        </w:rPr>
        <w:t>七、政府性基金预算财政拨款收入支出决算情况说明</w:t>
      </w:r>
    </w:p>
    <w:p>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pPr>
        <w:spacing w:line="640" w:lineRule="exact"/>
        <w:ind w:firstLine="640"/>
        <w:jc w:val="both"/>
        <w:outlineLvl w:val="2"/>
      </w:pPr>
      <w:r>
        <w:rPr>
          <w:rFonts w:ascii="黑体" w:hAnsi="黑体" w:eastAsia="黑体"/>
          <w:sz w:val="32"/>
        </w:rPr>
        <w:t>八、国有资本经营预算财政拨款收入支出决算情况说明</w:t>
      </w:r>
    </w:p>
    <w:p>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pPr>
        <w:spacing w:line="640" w:lineRule="exact"/>
        <w:ind w:firstLine="640"/>
        <w:jc w:val="both"/>
        <w:outlineLvl w:val="2"/>
      </w:pPr>
      <w:r>
        <w:rPr>
          <w:rFonts w:ascii="黑体" w:hAnsi="黑体" w:eastAsia="黑体"/>
          <w:sz w:val="32"/>
        </w:rPr>
        <w:t>九、财政拨款“三公”经费支出决算情况说明</w:t>
      </w:r>
    </w:p>
    <w:p>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w:t>
      </w:r>
      <w:r>
        <w:rPr>
          <w:rFonts w:ascii="仿宋_GB2312" w:hAnsi="仿宋_GB2312" w:eastAsia="仿宋_GB2312"/>
          <w:b w:val="0"/>
          <w:sz w:val="32"/>
        </w:rPr>
        <w:t>其中：因公出国（境）费支出0.00万元，占0.00%，比上年增加0.00万元，增长0.00%，主要原因是：2023年与2024年均未安排因公出国（境）费支出。</w:t>
      </w:r>
      <w:r>
        <w:rPr>
          <w:rFonts w:ascii="仿宋_GB2312" w:hAnsi="仿宋_GB2312" w:eastAsia="仿宋_GB2312"/>
          <w:b w:val="0"/>
          <w:sz w:val="32"/>
        </w:rPr>
        <w:t>公务用车购置及运行维护费支出0.00万元，占0.00%，比上年增加0.00万元，增长0.00%，主要原因是：2023年与2024年均未安排公务用车购置及运行维护费支出。</w:t>
      </w:r>
      <w:r>
        <w:rPr>
          <w:rFonts w:ascii="仿宋_GB2312" w:hAnsi="仿宋_GB2312" w:eastAsia="仿宋_GB2312"/>
          <w:b w:val="0"/>
          <w:sz w:val="32"/>
        </w:rPr>
        <w:t>公务接待费支出0.00万元，占0.00%，比上年增加0.00万元，增长0.00%，主要原因是：2023年与2024年均未安排公务接待费支出。</w:t>
      </w:r>
    </w:p>
    <w:p>
      <w:pPr>
        <w:spacing w:line="580" w:lineRule="exact"/>
        <w:ind w:firstLine="640"/>
        <w:jc w:val="both"/>
      </w:pPr>
      <w:r>
        <w:rPr>
          <w:rFonts w:ascii="仿宋_GB2312" w:hAnsi="仿宋_GB2312" w:eastAsia="仿宋_GB2312"/>
          <w:b/>
          <w:sz w:val="32"/>
        </w:rPr>
        <w:t>具体情况如下：</w:t>
      </w:r>
    </w:p>
    <w:p>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0辆，与公务用车保有量差异原因是：本单位无固定资产车辆。</w:t>
      </w:r>
    </w:p>
    <w:p>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pPr>
        <w:spacing w:line="640" w:lineRule="exact"/>
        <w:ind w:firstLine="640"/>
        <w:jc w:val="both"/>
        <w:outlineLvl w:val="2"/>
      </w:pPr>
      <w:r>
        <w:rPr>
          <w:rFonts w:ascii="黑体" w:hAnsi="黑体" w:eastAsia="黑体"/>
          <w:sz w:val="32"/>
        </w:rPr>
        <w:t>十、其他重要事项的情况说明</w:t>
      </w:r>
    </w:p>
    <w:p>
      <w:pPr>
        <w:spacing w:line="640" w:lineRule="exact"/>
        <w:ind w:firstLine="640"/>
        <w:jc w:val="both"/>
        <w:outlineLvl w:val="3"/>
      </w:pPr>
      <w:r>
        <w:rPr>
          <w:rFonts w:ascii="楷体_GB2312" w:hAnsi="楷体_GB2312" w:eastAsia="楷体_GB2312"/>
          <w:b/>
          <w:sz w:val="32"/>
        </w:rPr>
        <w:t>（一）机关运行经费及公用经费支出情况</w:t>
      </w:r>
    </w:p>
    <w:p>
      <w:pPr>
        <w:spacing w:line="580" w:lineRule="exact"/>
        <w:ind w:firstLine="640"/>
        <w:jc w:val="both"/>
      </w:pPr>
      <w:r>
        <w:rPr>
          <w:rFonts w:ascii="仿宋_GB2312" w:hAnsi="仿宋_GB2312" w:eastAsia="仿宋_GB2312"/>
          <w:b w:val="0"/>
          <w:sz w:val="32"/>
        </w:rPr>
        <w:t>2024年度尉犁县技工学校（事业单位）公用经费支出15.35万元，比上年减少12.27万元，下降44.42%，主要原因是：我单位本年度厉行节俭，减少非必要办公用品、维护费用等支出。</w:t>
      </w:r>
    </w:p>
    <w:p>
      <w:pPr>
        <w:spacing w:line="640" w:lineRule="exact"/>
        <w:ind w:firstLine="640"/>
        <w:jc w:val="both"/>
        <w:outlineLvl w:val="3"/>
      </w:pPr>
      <w:r>
        <w:rPr>
          <w:rFonts w:ascii="楷体_GB2312" w:hAnsi="楷体_GB2312" w:eastAsia="楷体_GB2312"/>
          <w:b/>
          <w:sz w:val="32"/>
        </w:rPr>
        <w:t>（二）政府采购情况</w:t>
      </w:r>
    </w:p>
    <w:p>
      <w:pPr>
        <w:spacing w:line="580" w:lineRule="exact"/>
        <w:ind w:firstLine="640"/>
        <w:jc w:val="both"/>
      </w:pPr>
      <w:r>
        <w:rPr>
          <w:rFonts w:ascii="仿宋_GB2312" w:hAnsi="仿宋_GB2312" w:eastAsia="仿宋_GB2312"/>
          <w:b w:val="0"/>
          <w:sz w:val="32"/>
        </w:rPr>
        <w:t>2024年度政府采购支出总额33.10万元，其中：政府采购货物支出28.12万元、政府采购工程支出3.45万元、政府采购服务支出1.53万元。</w:t>
      </w:r>
    </w:p>
    <w:p>
      <w:pPr>
        <w:spacing w:line="580" w:lineRule="exact"/>
        <w:ind w:firstLine="640"/>
        <w:jc w:val="both"/>
      </w:pPr>
      <w:r>
        <w:rPr>
          <w:rFonts w:ascii="仿宋_GB2312" w:hAnsi="仿宋_GB2312" w:eastAsia="仿宋_GB2312"/>
          <w:b w:val="0"/>
          <w:sz w:val="32"/>
        </w:rPr>
        <w:t>授予中小企业合同金额33.10万元，占政府采购支出总额的100.00%，其中：授予小微企业合同金额33.10万元，占政府采购支出总额的100.00%。</w:t>
      </w:r>
    </w:p>
    <w:p>
      <w:pPr>
        <w:spacing w:line="640" w:lineRule="exact"/>
        <w:ind w:firstLine="640"/>
        <w:jc w:val="both"/>
        <w:outlineLvl w:val="3"/>
      </w:pPr>
      <w:r>
        <w:rPr>
          <w:rFonts w:ascii="楷体_GB2312" w:hAnsi="楷体_GB2312" w:eastAsia="楷体_GB2312"/>
          <w:b/>
          <w:sz w:val="32"/>
        </w:rPr>
        <w:t>（三）国有资产占用情况说明</w:t>
      </w:r>
    </w:p>
    <w:p>
      <w:pPr>
        <w:spacing w:line="580" w:lineRule="exact"/>
        <w:ind w:firstLine="640"/>
        <w:jc w:val="both"/>
      </w:pPr>
      <w:r>
        <w:rPr>
          <w:rFonts w:ascii="仿宋_GB2312" w:hAnsi="仿宋_GB2312" w:eastAsia="仿宋_GB2312"/>
          <w:b w:val="0"/>
          <w:sz w:val="32"/>
        </w:rPr>
        <w:t>截至2024年12月31日，房屋0.00平方米，价值0.00万元。车辆0辆，价值0.00万元，其中：副部（省）级及以上领导用车0辆、主要负责人用车0辆、机要通信用车0辆、应急保障用车0辆、执法执勤用车0辆、特种专业技术用车0辆、离退休干部服务用车0辆、其他用车0辆，其他用车主要是：本单位无其他用车。单价100万元（含）以上设备（不含车辆）0台（套）。</w:t>
      </w:r>
    </w:p>
    <w:p>
      <w:pPr>
        <w:spacing w:line="640" w:lineRule="exact"/>
        <w:ind w:firstLine="640"/>
        <w:jc w:val="both"/>
        <w:outlineLvl w:val="2"/>
      </w:pPr>
      <w:r>
        <w:rPr>
          <w:rFonts w:ascii="黑体" w:hAnsi="黑体" w:eastAsia="黑体"/>
          <w:sz w:val="32"/>
        </w:rPr>
        <w:t>十一、预算绩效的情况说明</w:t>
      </w:r>
    </w:p>
    <w:p>
      <w:pPr>
        <w:spacing w:line="580" w:lineRule="exact"/>
        <w:ind w:firstLine="640"/>
        <w:jc w:val="both"/>
      </w:pPr>
      <w:r>
        <w:rPr>
          <w:rFonts w:ascii="仿宋_GB2312" w:hAnsi="仿宋_GB2312" w:eastAsia="仿宋_GB2312"/>
          <w:b w:val="0"/>
          <w:sz w:val="32"/>
        </w:rPr>
        <w:t>根据预算绩效管理要求，本单位预算绩效评价项目8个，全年预算数657.61万元，全年执行数516.73万元。预算绩效管理取得的成效：一是做好项目实施的跟踪检查工作，定期不定期地对项目实施情况和经费使用情况进行跟踪检查；二是对进展缓慢的项目绩效工作，及时进行协调和提出整改措施，确保项目实施工作正常运行，达到预期绩效目标。发现的问题及原因：一是我校实施绩效管理后财政预算资金管理精细化水平已有提高，但是依然存在一些不足；二是绩效指标设置的精准性、合理性有待进一步改善。下一步改进措施：一是加强预算编制准确性，提高资金执行效率。之后我委在编制项目支出预算时，充分借鉴以往经验，进一步完善、细化预算科目，强化预算编制的准确性、科学性；二是加强绩效管理，提高绩效管理水平。分管领导亲自主持召开专题会议，对预算绩效管理工作进行安排部署。聘请专业人员组织开展预算绩效管理相关培训，强化预算绩效管理意识，提高人员绩效管理水平。对项目绩效目标和指标设置把关，加强绩效目标和指标设置的科学性、合理性和规范性。具体附项目支出绩效自评表和评价报告。</w:t>
      </w:r>
    </w:p>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2024年教育及培训经费（ 自有资金 ）</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尉犁县技工学校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尉犁县技工学校</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280.00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289.21</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289.21</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280.00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289.21</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年度总体目标</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全年目标：外聘教师人数达到15人以上，开设培训期数超过5期，技能等级鉴定人次超过2000人，从而保障技工学校业务工作正常开展，提升教学水平，满足培训各项硬件刚需，提升学员技术水平，提高学员对我校的满意度。</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为了保障技工学校业务工作正常开展，提升教学水平，满足培训各项硬件刚需，提升学员技术水平，提高学员对我校的满意度。已完成外聘教师人数达到15人以上，开设培训期数超过5期，技能等级鉴定人次超过2000人。</w:t>
            </w:r>
          </w:p>
        </w:tc>
      </w:tr>
      <w:tr>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指标分值权重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外聘教师人数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&gt;=15人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开设培训期数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&gt;=5期</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=5期</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技能鉴定等级人次数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&gt;=2000人次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=2001人次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学员培训合格率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&gt;=80%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培训任务完成及时率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外聘教师工资成本</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&lt;=94.38万元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=94.38万元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培训费用成本</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&lt;=134.67万元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=134.67万元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水电、维修维护等成本</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&lt;=60.16万元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=60.16万元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提升职业技术教育水平</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有效提升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有效提升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学员满意度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2528"/>
            <w:gridSpan w:val="4"/>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100.00分</w:t>
            </w:r>
          </w:p>
        </w:tc>
        <w:tc>
          <w:tcPr>
            <w:tcW w:type="dxa" w:w="632"/>
            <w:tcBorders>
              <w:start w:sz="10" w:val="single"/>
              <w:top w:sz="10" w:val="single"/>
              <w:end w:sz="10" w:val="single"/>
              <w:bottom w:sz="10" w:val="single"/>
              <w:insideV w:sz="10" w:val="single"/>
            </w:tcBorders>
          </w:tcP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2023年学生资助补助项目</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尉犁县技工学校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尉犁县技工学校</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5.33</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5.33</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5.30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99.44%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9.86</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5.33</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5.33</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5.30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年度总体目标</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目标1：技工学校助学金资助学生50人，技工学校免学费116人，激励技工学校学生勤奋学习、努力进取，提高学生思想道德素质和专业技能水平。</w:t>
              <w:br/>
              <w:t>目标2：教育公平显著提升，满足家庭经济困难学生基本学习生活需要。</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激励技工学校学生勤奋学习、努力进取，提高学生思想道德素质和专业技能水平，教育公平显著提升，满足家庭经济困难学生基本学习生活需要，已完成技工学校助学金资助学生50人，技工学校免学费116人。</w:t>
              <w:br/>
              <w:t>。</w:t>
            </w:r>
          </w:p>
        </w:tc>
      </w:tr>
      <w:tr>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指标分值权重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技工学校助学金资助学生人数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=50人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=50人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技工学校免学费学生人数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=116人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=116人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应受助学生资助比例</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资助标准达标率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资助发放到位及时率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助学金资助成本</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&lt;=1.57万元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=1.535万元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97.78%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9.45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按助学金资助标准资助后结余350元，留作下年继续使用</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免学费资助成本</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=3.76万元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=3.76万元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减轻家庭经济困难学生负担</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有效减轻</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达成目标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在技工学生分配助学金名额时，适当向农村和脱贫家庭学生倾斜</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是</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直接赋分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是</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受助学生满意度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2528"/>
            <w:gridSpan w:val="4"/>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99.31分</w:t>
            </w:r>
          </w:p>
        </w:tc>
        <w:tc>
          <w:tcPr>
            <w:tcW w:type="dxa" w:w="632"/>
            <w:tcBorders>
              <w:start w:sz="10" w:val="single"/>
              <w:top w:sz="10" w:val="single"/>
              <w:end w:sz="10" w:val="single"/>
              <w:bottom w:sz="10" w:val="single"/>
              <w:insideV w:sz="10" w:val="single"/>
            </w:tcBorders>
          </w:tcP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2023年教育非直达项目</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尉犁县技工学校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尉犁县技工学校</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0.12</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0.12</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0.12</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0.12</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0.12</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0.12</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年度总体目标</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为南疆四地州学生中等职业教育2名学生免费提供住宿，减轻家庭经济困难学生负担。</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为减轻家庭经济困难学生负担，已完成南疆四地州2名学生中等职业教育免费提供住宿600元/人/年。</w:t>
            </w:r>
          </w:p>
        </w:tc>
      </w:tr>
      <w:tr>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指标分值权重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享受免费住宿学生人数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应受助学生受助比例</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资助政策覆盖率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资金到位及时率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技工学生住宿人均补助标准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&lt;=600元/人/年</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=600元/人/年</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减轻家庭经济困难学生负担</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有效减轻</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达成目标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受助学生满意度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2528"/>
            <w:gridSpan w:val="4"/>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100.00分</w:t>
            </w:r>
          </w:p>
        </w:tc>
        <w:tc>
          <w:tcPr>
            <w:tcW w:type="dxa" w:w="632"/>
            <w:tcBorders>
              <w:start w:sz="10" w:val="single"/>
              <w:top w:sz="10" w:val="single"/>
              <w:end w:sz="10" w:val="single"/>
              <w:bottom w:sz="10" w:val="single"/>
              <w:insideV w:sz="10" w:val="single"/>
            </w:tcBorders>
          </w:tcP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2024年技工学校教育特殊补助</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尉犁县技工学校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尉犁县技工学校</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0.06</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0.06</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0.06</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0.06</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0.06</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0.06</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年度总体目标</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1：激励技工学校学生勤奋学习、努力进取，提高学生思想道德素质和专业技能水平。</w:t>
              <w:br/>
              <w:t>2：教育公平显著提升，满足家庭经济困难学生基本学习生活需要。</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激励技工学校学生勤奋学习、努力进取，提高学生思想道德素质和专业技能水平，教育公平显著提升，满足家庭经济困难学生基本学习生活需要，已完成南疆四地州学生2人免教材资助300元/人。</w:t>
              <w:br/>
              <w:t>2：。</w:t>
            </w:r>
          </w:p>
        </w:tc>
      </w:tr>
      <w:tr>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指标分值权重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南疆四地州学生人数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&gt;=2人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南疆四地州中等职业学生覆盖率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教材合格率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课前到书率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技工学生免教材资助成本</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=300元/人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=300元/人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减轻家庭经济困难学生负担</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有效减轻</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达成目标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在技工学生分配助学金名额时，适当向农村和脱贫家庭学生倾斜</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是</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受助学生满意度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2528"/>
            <w:gridSpan w:val="4"/>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100.00分</w:t>
            </w:r>
          </w:p>
        </w:tc>
        <w:tc>
          <w:tcPr>
            <w:tcW w:type="dxa" w:w="632"/>
            <w:tcBorders>
              <w:start w:sz="10" w:val="single"/>
              <w:top w:sz="10" w:val="single"/>
              <w:end w:sz="10" w:val="single"/>
              <w:bottom w:sz="10" w:val="single"/>
              <w:insideV w:sz="10" w:val="single"/>
            </w:tcBorders>
          </w:tcP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2024年技工学校学生免教材费</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尉犁县技工学校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尉犁县技工学校</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0.01</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0.01</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0.01</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0.01</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0.01</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0.01</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年度总体目标</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目标1：为1名南疆四地州中等职业学生免教材费，激励技工学校学生勤奋学习、努力进取，提高学生思想道德素质和专业技能水平。</w:t>
              <w:br/>
              <w:t>目标2：教育公平显著提升，满足家庭经济困难学生基本学习生活需要。</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为了激励技工学校学生勤奋学习、努力进取，提高学生思想道德素质和专业技能水平，已完成为1名南疆四地州中等职业学生免教材资助100元/生/年。</w:t>
            </w:r>
          </w:p>
        </w:tc>
      </w:tr>
      <w:tr>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指标分值权重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享受免教材费学生人数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教材合格率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课本按期发放率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技工学生免教材资助成本</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=100元/生/年</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=100元/生/年</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减轻家庭经济困难学生负担</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有效减轻</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达成目标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受助学生满意度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家长满意度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2528"/>
            <w:gridSpan w:val="4"/>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100.00分</w:t>
            </w:r>
          </w:p>
        </w:tc>
        <w:tc>
          <w:tcPr>
            <w:tcW w:type="dxa" w:w="632"/>
            <w:tcBorders>
              <w:start w:sz="10" w:val="single"/>
              <w:top w:sz="10" w:val="single"/>
              <w:end w:sz="10" w:val="single"/>
              <w:bottom w:sz="10" w:val="single"/>
              <w:insideV w:sz="10" w:val="single"/>
            </w:tcBorders>
          </w:tcP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2024年学生资金补助经费（直达资金）</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尉犁县技工学校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尉犁县技工学校</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21.12</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21.12</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21.12</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21.12</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21.12</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21.12</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年度总体目标</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1：激励技工学校学生勤奋学习、努力进取，提高学生思想道德素质和专业技能水平。</w:t>
              <w:br/>
              <w:t>2：教育公平显著提升，满足家庭经济困难学生基本学习生活需要。</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激励技工学校学生勤奋学习、努力进取，提高学生思想道德素质和专业技能水平，教育公平显著提升，满足家庭经济困难学生基本学习生活需要，已完成技工学校助学金资助学生50人，技工学校免学费116人。</w:t>
              <w:br/>
              <w:t>。</w:t>
            </w:r>
          </w:p>
        </w:tc>
      </w:tr>
      <w:tr>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指标分值权重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技工学校助学金资助学生人数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&gt;=50人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=50人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技工学校免学费学生人数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&gt;=116人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=116人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技工应受助学生资助比例</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资助标准达标率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资助发放到位及时率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助学金资助成本</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&lt;=7.84万元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=7.84万元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免学费资助成本</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&lt;=13.28万元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=13.28万元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经济效益指标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减轻家庭经济困难学生负担</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有效减轻</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ab/>
              <w:t>达成目标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在技工学生分配助学金名额时，适当向农村和脱贫家庭学生倾斜</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是</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受助学生满意度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2528"/>
            <w:gridSpan w:val="4"/>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100.00分</w:t>
            </w:r>
          </w:p>
        </w:tc>
        <w:tc>
          <w:tcPr>
            <w:tcW w:type="dxa" w:w="632"/>
            <w:tcBorders>
              <w:start w:sz="10" w:val="single"/>
              <w:top w:sz="10" w:val="single"/>
              <w:end w:sz="10" w:val="single"/>
              <w:bottom w:sz="10" w:val="single"/>
              <w:insideV w:sz="10" w:val="single"/>
            </w:tcBorders>
          </w:tcP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2024年学生资助补助经费</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尉犁县技工学校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尉犁县技工学校</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1.76</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1.76</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1.76</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1.76</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1.76</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1.76</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年度总体目标</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目标1：为技工学校116名学生免学费，激励技工学校学生勤奋学习、努力进取，提高学生思想道德素质和专业技能水平。</w:t>
              <w:br/>
              <w:t>目标2：教育公平显著提升，满足家庭经济困难学生基本学习生活需要。</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激励技工学校学生勤奋学习、努力进取，提高学生思想道德素质和专业技能水平，教育公平显著提升，满足家庭经济困难学生基本学习生活需要，为技工学校116名学生免学费0.2万元/人/年。</w:t>
              <w:br/>
              <w:t>。</w:t>
            </w:r>
          </w:p>
        </w:tc>
      </w:tr>
      <w:tr>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指标分值权重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技工学校免学费学生人数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=116人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=116人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应受助学生资助比例</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资助标准达标率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资助发放到位及时率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免学费资助平均补助标准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&lt;=0.2万元/人/年</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=0.2万元/人/年</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减轻家庭经济困难学生负担</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有效减轻</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ab/>
              <w:t>达成目标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受助学生满意度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2528"/>
            <w:gridSpan w:val="4"/>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100.00分</w:t>
            </w:r>
          </w:p>
        </w:tc>
        <w:tc>
          <w:tcPr>
            <w:tcW w:type="dxa" w:w="632"/>
            <w:tcBorders>
              <w:start w:sz="10" w:val="single"/>
              <w:top w:sz="10" w:val="single"/>
              <w:end w:sz="10" w:val="single"/>
              <w:bottom w:sz="10" w:val="single"/>
              <w:insideV w:sz="10" w:val="single"/>
            </w:tcBorders>
          </w:tcP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2024年尉犁县技工学校实训基地建设项目</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尉犁县技工学校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尉犁县技工学校</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340.00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340.00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199.15</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58.57%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340.00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340.00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年度总体目标</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1.2025年6月完成实训基地设施建设（卫生间建设、操作间建设、门厅建设、大厅建设等）装修面积1000㎡，每平方米2000元，装修费200万元；基地设备采购费140万元 。2.保障业务工作正常开展。</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为了保障业务工作正常开展，基地设备采购费139.21万元 ，已完成实训基地设施建设（卫生间建设、操作间建设、门厅建设、大厅建设等）装修面积300㎡，平均每平方米1998元，装修费59.937万元</w:t>
            </w:r>
          </w:p>
        </w:tc>
      </w:tr>
      <w:tr>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指标分值权重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建设实训基地装修面积</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=1000平方米</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=300平方米</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项目为跨年项目，项目完成时间为2025年6月，还未完成</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实训基地装修达标率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项目为跨年项目，项目完成时间为2025年6月，还未验收</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采购设备合格率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项目完成时间</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=2025年6月</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=2025年6月</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未达监控节点</w:t>
            </w:r>
          </w:p>
        </w:tc>
      </w:tr>
      <w:tr>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采购实训基地专业实训设备及耗材</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&lt;=140万元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=139.21万元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99.43%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9.86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指标设置不精准、实际完成未达成目标值</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实训基地装修费用</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&lt;=2000元/每平方米</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=1998元/每平方米</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99.9%</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9.98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项目为跨年项目，项目完成时间为2025年6月，实际装修还未100%完成</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改善实训基地条件</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大力改善</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部分达成目标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61.4%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0.7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装修完成了30%，还未全部完成</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学员满意度（%）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项目为跨年项目，未到做学员满意度调查节点</w:t>
            </w:r>
          </w:p>
        </w:tc>
      </w:tr>
      <w:tr>
        <w:tc>
          <w:tcPr>
            <w:tcW w:type="dxa" w:w="2528"/>
            <w:gridSpan w:val="4"/>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40.54分</w:t>
            </w:r>
          </w:p>
        </w:tc>
        <w:tc>
          <w:tcPr>
            <w:tcW w:type="dxa" w:w="632"/>
            <w:tcBorders>
              <w:start w:sz="10" w:val="single"/>
              <w:top w:sz="10" w:val="single"/>
              <w:end w:sz="10" w:val="single"/>
              <w:bottom w:sz="10" w:val="single"/>
              <w:insideV w:sz="10" w:val="single"/>
            </w:tcBorders>
          </w:tcPr>
          <w:p/>
        </w:tc>
      </w:tr>
    </w:tbl>
    <w:p>
      <w:r>
        <w:br w:type="page"/>
      </w:r>
    </w:p>
    <w:p>
      <w:pPr>
        <w:spacing w:line="640" w:lineRule="exact"/>
        <w:ind w:firstLine="640"/>
        <w:jc w:val="both"/>
        <w:outlineLvl w:val="2"/>
      </w:pPr>
      <w:r>
        <w:rPr>
          <w:rFonts w:ascii="黑体" w:hAnsi="黑体" w:eastAsia="黑体"/>
          <w:sz w:val="32"/>
        </w:rPr>
        <w:t>十二、其他需说明的事项</w:t>
      </w:r>
    </w:p>
    <w:p>
      <w:pPr>
        <w:spacing w:line="580" w:lineRule="exact"/>
        <w:ind w:firstLine="640"/>
        <w:jc w:val="both"/>
      </w:pPr>
      <w:r>
        <w:rPr>
          <w:rFonts w:ascii="仿宋_GB2312" w:hAnsi="仿宋_GB2312" w:eastAsia="仿宋_GB2312"/>
          <w:b w:val="0"/>
          <w:sz w:val="32"/>
        </w:rPr>
        <w:t>本年度本单位整体绩效自评表由主管部门编报并公开。</w:t>
      </w:r>
    </w:p>
    <w:p>
      <w:r>
        <w:br w:type="page"/>
      </w:r>
    </w:p>
    <w:p>
      <w:pPr>
        <w:spacing w:line="240" w:lineRule="auto"/>
        <w:jc w:val="center"/>
        <w:outlineLvl w:val="1"/>
      </w:pPr>
      <w:r>
        <w:rPr>
          <w:rFonts w:ascii="黑体" w:hAnsi="黑体" w:eastAsia="黑体"/>
          <w:sz w:val="32"/>
        </w:rPr>
        <w:t>第三部分 专业名词解释</w:t>
      </w:r>
    </w:p>
    <w:p>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r>
        <w:br w:type="page"/>
      </w:r>
    </w:p>
    <w:p>
      <w:pPr>
        <w:spacing w:line="240" w:lineRule="auto"/>
        <w:jc w:val="center"/>
        <w:outlineLvl w:val="1"/>
      </w:pPr>
      <w:r>
        <w:rPr>
          <w:rFonts w:ascii="黑体" w:hAnsi="黑体" w:eastAsia="黑体"/>
          <w:sz w:val="32"/>
        </w:rPr>
        <w:t>第四部分 部门决算报表（见附表）</w:t>
      </w:r>
    </w:p>
    <w:p>
      <w:pPr>
        <w:spacing w:line="240" w:lineRule="auto"/>
        <w:ind w:firstLine="640"/>
        <w:jc w:val="both"/>
      </w:pPr>
      <w:r>
        <w:rPr>
          <w:rFonts w:ascii="仿宋_GB2312" w:hAnsi="仿宋_GB2312" w:eastAsia="仿宋_GB2312"/>
          <w:b w:val="0"/>
          <w:sz w:val="32"/>
        </w:rPr>
        <w:t>一、《收入支出决算总表》</w:t>
      </w:r>
    </w:p>
    <w:p>
      <w:pPr>
        <w:spacing w:line="240" w:lineRule="auto"/>
        <w:ind w:firstLine="640"/>
        <w:jc w:val="both"/>
      </w:pPr>
      <w:r>
        <w:rPr>
          <w:rFonts w:ascii="仿宋_GB2312" w:hAnsi="仿宋_GB2312" w:eastAsia="仿宋_GB2312"/>
          <w:b w:val="0"/>
          <w:sz w:val="32"/>
        </w:rPr>
        <w:t>二、《收入决算表》</w:t>
      </w:r>
    </w:p>
    <w:p>
      <w:pPr>
        <w:spacing w:line="240" w:lineRule="auto"/>
        <w:ind w:firstLine="640"/>
        <w:jc w:val="both"/>
      </w:pPr>
      <w:r>
        <w:rPr>
          <w:rFonts w:ascii="仿宋_GB2312" w:hAnsi="仿宋_GB2312" w:eastAsia="仿宋_GB2312"/>
          <w:b w:val="0"/>
          <w:sz w:val="32"/>
        </w:rPr>
        <w:t>三、《支出决算表》</w:t>
      </w:r>
    </w:p>
    <w:p>
      <w:pPr>
        <w:spacing w:line="240" w:lineRule="auto"/>
        <w:ind w:firstLine="640"/>
        <w:jc w:val="both"/>
      </w:pPr>
      <w:r>
        <w:rPr>
          <w:rFonts w:ascii="仿宋_GB2312" w:hAnsi="仿宋_GB2312" w:eastAsia="仿宋_GB2312"/>
          <w:b w:val="0"/>
          <w:sz w:val="32"/>
        </w:rPr>
        <w:t>四、《财政拨款收入支出决算总表》</w:t>
      </w:r>
    </w:p>
    <w:p>
      <w:pPr>
        <w:spacing w:line="240" w:lineRule="auto"/>
        <w:ind w:firstLine="640"/>
        <w:jc w:val="both"/>
      </w:pPr>
      <w:r>
        <w:rPr>
          <w:rFonts w:ascii="仿宋_GB2312" w:hAnsi="仿宋_GB2312" w:eastAsia="仿宋_GB2312"/>
          <w:b w:val="0"/>
          <w:sz w:val="32"/>
        </w:rPr>
        <w:t>五、《一般公共预算财政拨款支出决算表》</w:t>
      </w:r>
    </w:p>
    <w:p>
      <w:pPr>
        <w:spacing w:line="240" w:lineRule="auto"/>
        <w:ind w:firstLine="640"/>
        <w:jc w:val="both"/>
      </w:pPr>
      <w:r>
        <w:rPr>
          <w:rFonts w:ascii="仿宋_GB2312" w:hAnsi="仿宋_GB2312" w:eastAsia="仿宋_GB2312"/>
          <w:b w:val="0"/>
          <w:sz w:val="32"/>
        </w:rPr>
        <w:t>六、《一般公共预算财政拨款基本支出决算表》</w:t>
      </w:r>
    </w:p>
    <w:p>
      <w:pPr>
        <w:spacing w:line="240" w:lineRule="auto"/>
        <w:ind w:firstLine="640"/>
        <w:jc w:val="both"/>
      </w:pPr>
      <w:r>
        <w:rPr>
          <w:rFonts w:ascii="仿宋_GB2312" w:hAnsi="仿宋_GB2312" w:eastAsia="仿宋_GB2312"/>
          <w:b w:val="0"/>
          <w:sz w:val="32"/>
        </w:rPr>
        <w:t>七、《政府性基金预算财政拨款收入支出决算表》</w:t>
      </w:r>
    </w:p>
    <w:p>
      <w:pPr>
        <w:spacing w:line="240" w:lineRule="auto"/>
        <w:ind w:firstLine="640"/>
        <w:jc w:val="both"/>
      </w:pPr>
      <w:r>
        <w:rPr>
          <w:rFonts w:ascii="仿宋_GB2312" w:hAnsi="仿宋_GB2312" w:eastAsia="仿宋_GB2312"/>
          <w:b w:val="0"/>
          <w:sz w:val="32"/>
        </w:rPr>
        <w:t>八、《国有资本经营预算财政拨款收入支出决算表》</w:t>
      </w:r>
    </w:p>
    <w:p>
      <w:pPr>
        <w:spacing w:line="240" w:lineRule="auto"/>
        <w:ind w:firstLine="640"/>
        <w:jc w:val="both"/>
      </w:pPr>
      <w:r>
        <w:rPr>
          <w:rFonts w:ascii="仿宋_GB2312" w:hAnsi="仿宋_GB2312" w:eastAsia="仿宋_GB2312"/>
          <w:b w:val="0"/>
          <w:sz w:val="32"/>
        </w:rPr>
        <w:t>九、《财政拨款“三公”经费支出决算表》</w:t>
      </w: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523</Words>
  <Characters>541</Characters>
  <Lines>0</Lines>
  <Paragraphs>0</Paragraphs>
  <TotalTime>0</TotalTime>
  <ScaleCrop>false</ScaleCrop>
  <LinksUpToDate>false</LinksUpToDate>
  <CharactersWithSpaces>547</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郭子歪</cp:lastModifiedBy>
  <cp:lastPrinted>2024-07-22T11:58:00Z</cp:lastPrinted>
  <dcterms:modified xsi:type="dcterms:W3CDTF">2025-08-08T11:56:24Z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B858A68E913346F885B5BC17D4DBEB06_13</vt:lpwstr>
  </property>
  <property fmtid="{D5CDD505-2E9C-101B-9397-08002B2CF9AE}" pid="4" name="KSOTemplateDocerSaveRecord">
    <vt:lpwstr>eyJoZGlkIjoiODY5ZWEwNzk5MThkZjUwOTQxNjE1MDdiYWJiNGU5YzAiLCJ1c2VySWQiOiI0Nzg3NDM5MjgifQ==</vt:lpwstr>
  </property>
</Properties>
</file>