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pPr>
    </w:p>
    <w:p>
      <w:pPr>
        <w:ind w:firstLine="640"/>
        <w:rPr>
          <w:rFonts w:ascii="仿宋" w:hAnsi="仿宋" w:eastAsia="仿宋" w:cs="仿宋"/>
        </w:rPr>
      </w:pPr>
      <w:bookmarkStart w:id="0" w:name="OLE_LINK1"/>
    </w:p>
    <w:p>
      <w:pPr>
        <w:ind w:firstLine="640"/>
        <w:rPr>
          <w:rFonts w:ascii="仿宋" w:hAnsi="仿宋" w:eastAsia="仿宋" w:cs="仿宋"/>
        </w:rPr>
      </w:pPr>
    </w:p>
    <w:p>
      <w:pPr>
        <w:ind w:firstLine="640"/>
        <w:rPr>
          <w:rFonts w:ascii="仿宋" w:hAnsi="仿宋" w:eastAsia="仿宋" w:cs="仿宋"/>
        </w:rPr>
      </w:pPr>
    </w:p>
    <w:p>
      <w:pPr>
        <w:pStyle w:val="3"/>
        <w:rPr>
          <w:rFonts w:ascii="仿宋" w:hAnsi="仿宋" w:eastAsia="仿宋" w:cs="仿宋"/>
          <w:sz w:val="44"/>
          <w:szCs w:val="44"/>
        </w:rPr>
      </w:pPr>
      <w:bookmarkStart w:id="1" w:name="_Toc24054"/>
      <w:bookmarkStart w:id="2" w:name="_Toc1585"/>
      <w:bookmarkStart w:id="3" w:name="_Toc28201"/>
      <w:r>
        <w:rPr>
          <w:rFonts w:hint="eastAsia" w:ascii="仿宋" w:hAnsi="仿宋" w:eastAsia="仿宋" w:cs="仿宋"/>
          <w:sz w:val="44"/>
          <w:szCs w:val="44"/>
        </w:rPr>
        <w:t>项目支出绩效评价报告</w:t>
      </w:r>
      <w:bookmarkEnd w:id="1"/>
      <w:bookmarkEnd w:id="2"/>
      <w:bookmarkEnd w:id="3"/>
    </w:p>
    <w:p>
      <w:pPr>
        <w:ind w:firstLine="883"/>
        <w:rPr>
          <w:rFonts w:ascii="仿宋" w:hAnsi="仿宋" w:eastAsia="仿宋" w:cs="仿宋"/>
          <w:b/>
          <w:bCs/>
          <w:sz w:val="44"/>
          <w:szCs w:val="44"/>
          <w:highlight w:val="yellow"/>
        </w:rPr>
      </w:pPr>
    </w:p>
    <w:p>
      <w:pPr>
        <w:ind w:firstLine="640"/>
        <w:rPr>
          <w:rFonts w:ascii="仿宋" w:hAnsi="仿宋" w:eastAsia="仿宋" w:cs="仿宋"/>
        </w:rPr>
      </w:pPr>
    </w:p>
    <w:p>
      <w:pPr>
        <w:ind w:firstLine="0" w:firstLineChars="0"/>
        <w:jc w:val="center"/>
        <w:rPr>
          <w:rFonts w:ascii="仿宋" w:hAnsi="仿宋" w:eastAsia="仿宋" w:cs="仿宋"/>
        </w:rPr>
      </w:pPr>
      <w:r>
        <w:rPr>
          <w:rFonts w:hint="eastAsia" w:ascii="仿宋" w:hAnsi="仿宋" w:eastAsia="仿宋" w:cs="仿宋"/>
          <w:sz w:val="28"/>
          <w:szCs w:val="28"/>
        </w:rPr>
        <w:t>（2024年度）</w:t>
      </w:r>
    </w:p>
    <w:p>
      <w:pPr>
        <w:ind w:firstLine="640"/>
        <w:rPr>
          <w:rFonts w:ascii="仿宋" w:hAnsi="仿宋" w:eastAsia="仿宋" w:cs="仿宋"/>
        </w:rPr>
      </w:pPr>
    </w:p>
    <w:p>
      <w:pPr>
        <w:ind w:firstLine="640"/>
        <w:rPr>
          <w:rFonts w:ascii="仿宋" w:hAnsi="仿宋" w:eastAsia="仿宋" w:cs="仿宋"/>
        </w:rPr>
      </w:pPr>
    </w:p>
    <w:p>
      <w:pPr>
        <w:ind w:firstLine="640"/>
        <w:rPr>
          <w:rFonts w:ascii="仿宋" w:hAnsi="仿宋" w:eastAsia="仿宋" w:cs="仿宋"/>
        </w:rPr>
      </w:pPr>
    </w:p>
    <w:p>
      <w:pPr>
        <w:ind w:firstLine="640"/>
        <w:rPr>
          <w:rFonts w:ascii="仿宋" w:hAnsi="仿宋" w:eastAsia="仿宋" w:cs="仿宋"/>
        </w:rPr>
      </w:pPr>
    </w:p>
    <w:p>
      <w:pPr>
        <w:ind w:firstLine="640"/>
        <w:rPr>
          <w:rFonts w:ascii="仿宋" w:hAnsi="仿宋" w:eastAsia="仿宋" w:cs="仿宋"/>
        </w:rPr>
      </w:pPr>
    </w:p>
    <w:p>
      <w:pPr>
        <w:ind w:left="2240" w:leftChars="200" w:hanging="1600" w:hangingChars="500"/>
        <w:rPr>
          <w:rFonts w:ascii="仿宋" w:hAnsi="仿宋" w:eastAsia="仿宋" w:cs="仿宋"/>
        </w:rPr>
      </w:pPr>
      <w:r>
        <w:rPr>
          <w:rFonts w:hint="eastAsia" w:ascii="仿宋" w:hAnsi="仿宋" w:eastAsia="仿宋" w:cs="仿宋"/>
        </w:rPr>
        <w:t>项目名称：孔雀河烽燧群遗址保护利用项目人防易地建设费及基础设施配套费</w:t>
      </w:r>
    </w:p>
    <w:p>
      <w:pPr>
        <w:ind w:firstLine="640"/>
        <w:rPr>
          <w:rFonts w:ascii="仿宋" w:hAnsi="仿宋" w:eastAsia="仿宋" w:cs="仿宋"/>
          <w:sz w:val="30"/>
          <w:szCs w:val="30"/>
        </w:rPr>
      </w:pPr>
      <w:r>
        <w:rPr>
          <w:rFonts w:hint="eastAsia" w:ascii="仿宋" w:hAnsi="仿宋" w:eastAsia="仿宋" w:cs="仿宋"/>
        </w:rPr>
        <w:t>实施单位（公章）：</w:t>
      </w:r>
      <w:r>
        <w:rPr>
          <w:rFonts w:hint="eastAsia" w:ascii="仿宋" w:hAnsi="仿宋" w:eastAsia="仿宋" w:cs="仿宋"/>
          <w:sz w:val="30"/>
          <w:szCs w:val="30"/>
        </w:rPr>
        <w:t>尉犁县文化体育广播影视局(旅游局)</w:t>
      </w:r>
    </w:p>
    <w:p>
      <w:pPr>
        <w:ind w:firstLine="640"/>
        <w:rPr>
          <w:rFonts w:ascii="仿宋" w:hAnsi="仿宋" w:eastAsia="仿宋" w:cs="仿宋"/>
          <w:sz w:val="30"/>
          <w:szCs w:val="30"/>
        </w:rPr>
      </w:pPr>
      <w:r>
        <w:rPr>
          <w:rFonts w:hint="eastAsia" w:ascii="仿宋" w:hAnsi="仿宋" w:eastAsia="仿宋" w:cs="仿宋"/>
        </w:rPr>
        <w:t>主管部门（公章）：</w:t>
      </w:r>
      <w:r>
        <w:rPr>
          <w:rFonts w:hint="eastAsia" w:ascii="仿宋" w:hAnsi="仿宋" w:eastAsia="仿宋" w:cs="仿宋"/>
          <w:sz w:val="30"/>
          <w:szCs w:val="30"/>
        </w:rPr>
        <w:t>尉犁县文化体育广播影视局(旅游局)</w:t>
      </w:r>
    </w:p>
    <w:p>
      <w:pPr>
        <w:ind w:firstLine="640"/>
        <w:rPr>
          <w:rFonts w:ascii="仿宋" w:hAnsi="仿宋" w:eastAsia="仿宋" w:cs="仿宋"/>
        </w:rPr>
      </w:pPr>
      <w:r>
        <w:rPr>
          <w:rFonts w:hint="eastAsia" w:ascii="仿宋" w:hAnsi="仿宋" w:eastAsia="仿宋" w:cs="仿宋"/>
        </w:rPr>
        <w:t>项目负责人（签章）：罗亚君</w:t>
      </w:r>
    </w:p>
    <w:p>
      <w:pPr>
        <w:ind w:firstLine="640"/>
        <w:rPr>
          <w:rFonts w:ascii="仿宋" w:hAnsi="仿宋" w:eastAsia="仿宋" w:cs="仿宋"/>
        </w:rPr>
      </w:pPr>
      <w:r>
        <w:rPr>
          <w:rFonts w:hint="eastAsia" w:ascii="仿宋" w:hAnsi="仿宋" w:eastAsia="仿宋" w:cs="仿宋"/>
        </w:rPr>
        <w:t>填报时间：2024年3月31日</w:t>
      </w:r>
    </w:p>
    <w:p>
      <w:pPr>
        <w:ind w:firstLine="640"/>
        <w:rPr>
          <w:rFonts w:ascii="仿宋" w:hAnsi="仿宋" w:eastAsia="仿宋" w:cs="仿宋"/>
        </w:rPr>
      </w:pPr>
    </w:p>
    <w:p>
      <w:pPr>
        <w:ind w:firstLine="640"/>
        <w:rPr>
          <w:rFonts w:ascii="仿宋" w:hAnsi="仿宋" w:eastAsia="仿宋" w:cs="仿宋"/>
        </w:rPr>
        <w:sectPr>
          <w:pgSz w:w="11906" w:h="16838"/>
          <w:pgMar w:top="1440" w:right="1800" w:bottom="1440" w:left="1800" w:header="851" w:footer="992" w:gutter="0"/>
          <w:pgNumType w:start="1"/>
          <w:cols w:space="720" w:num="1"/>
          <w:docGrid w:type="lines" w:linePitch="312" w:charSpace="0"/>
        </w:sectPr>
      </w:pPr>
    </w:p>
    <w:p>
      <w:pPr>
        <w:spacing w:line="500" w:lineRule="exact"/>
        <w:ind w:firstLine="0" w:firstLineChars="0"/>
        <w:jc w:val="center"/>
        <w:outlineLvl w:val="0"/>
        <w:rPr>
          <w:rFonts w:ascii="仿宋" w:hAnsi="仿宋" w:eastAsia="仿宋" w:cs="仿宋"/>
          <w:bCs/>
          <w:iCs/>
          <w:szCs w:val="21"/>
        </w:rPr>
      </w:pPr>
      <w:bookmarkStart w:id="4" w:name="_Toc14578"/>
      <w:bookmarkStart w:id="5" w:name="_Toc14721"/>
      <w:bookmarkStart w:id="6" w:name="_Toc15542"/>
      <w:bookmarkStart w:id="7" w:name="_Toc18707"/>
      <w:bookmarkStart w:id="8" w:name="_Toc1891"/>
      <w:bookmarkStart w:id="9" w:name="_Toc11827"/>
      <w:bookmarkStart w:id="10" w:name="_Toc5473"/>
      <w:r>
        <w:rPr>
          <w:rFonts w:hint="eastAsia" w:ascii="仿宋" w:hAnsi="仿宋" w:eastAsia="仿宋" w:cs="仿宋"/>
          <w:bCs/>
          <w:iCs/>
          <w:szCs w:val="21"/>
        </w:rPr>
        <w:t>目  录</w:t>
      </w:r>
      <w:bookmarkEnd w:id="4"/>
    </w:p>
    <w:p>
      <w:pPr>
        <w:pStyle w:val="31"/>
        <w:tabs>
          <w:tab w:val="right" w:leader="dot" w:pos="8306"/>
        </w:tabs>
        <w:rPr>
          <w:rFonts w:ascii="仿宋" w:hAnsi="仿宋" w:eastAsia="仿宋" w:cs="仿宋"/>
          <w:b/>
        </w:rPr>
      </w:pPr>
      <w:r>
        <w:rPr>
          <w:rFonts w:hint="eastAsia" w:ascii="仿宋" w:hAnsi="仿宋" w:eastAsia="仿宋" w:cs="仿宋"/>
        </w:rPr>
        <w:fldChar w:fldCharType="begin"/>
      </w:r>
      <w:r>
        <w:rPr>
          <w:rFonts w:hint="eastAsia" w:ascii="仿宋" w:hAnsi="仿宋" w:eastAsia="仿宋" w:cs="仿宋"/>
        </w:rPr>
        <w:instrText xml:space="preserve">TOC \o "1-2" \h \u</w:instrText>
      </w:r>
      <w:r>
        <w:rPr>
          <w:rFonts w:hint="eastAsia" w:ascii="仿宋" w:hAnsi="仿宋" w:eastAsia="仿宋" w:cs="仿宋"/>
        </w:rPr>
        <w:fldChar w:fldCharType="separate"/>
      </w:r>
    </w:p>
    <w:p>
      <w:pPr>
        <w:pStyle w:val="31"/>
        <w:tabs>
          <w:tab w:val="right" w:leader="dot" w:pos="8306"/>
        </w:tabs>
        <w:rPr>
          <w:rFonts w:ascii="仿宋" w:hAnsi="仿宋" w:eastAsia="仿宋" w:cs="仿宋"/>
          <w:b/>
          <w:sz w:val="32"/>
          <w:szCs w:val="32"/>
        </w:rPr>
      </w:pPr>
      <w:r>
        <w:fldChar w:fldCharType="begin"/>
      </w:r>
      <w:r>
        <w:instrText xml:space="preserve"> HYPERLINK \l "_Toc23894" </w:instrText>
      </w:r>
      <w:r>
        <w:fldChar w:fldCharType="separate"/>
      </w:r>
      <w:r>
        <w:rPr>
          <w:rFonts w:hint="eastAsia" w:ascii="仿宋" w:hAnsi="仿宋" w:eastAsia="仿宋" w:cs="仿宋"/>
          <w:b/>
          <w:bCs/>
          <w:iCs/>
          <w:kern w:val="2"/>
          <w:sz w:val="32"/>
          <w:szCs w:val="32"/>
        </w:rPr>
        <w:t>一、基本情况</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_Toc23894 \h </w:instrText>
      </w:r>
      <w:r>
        <w:rPr>
          <w:rFonts w:hint="eastAsia" w:ascii="仿宋" w:hAnsi="仿宋" w:eastAsia="仿宋" w:cs="仿宋"/>
          <w:b/>
          <w:sz w:val="32"/>
          <w:szCs w:val="32"/>
        </w:rPr>
        <w:fldChar w:fldCharType="separate"/>
      </w:r>
      <w:r>
        <w:rPr>
          <w:rFonts w:hint="eastAsia" w:ascii="仿宋" w:hAnsi="仿宋" w:eastAsia="仿宋" w:cs="仿宋"/>
          <w:b/>
          <w:sz w:val="32"/>
          <w:szCs w:val="32"/>
        </w:rPr>
        <w:t>1</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"_Toc13730" </w:instrText>
      </w:r>
      <w:r>
        <w:fldChar w:fldCharType="separate"/>
      </w:r>
      <w:r>
        <w:rPr>
          <w:rFonts w:hint="eastAsia" w:ascii="仿宋" w:hAnsi="仿宋" w:eastAsia="仿宋" w:cs="仿宋"/>
          <w:sz w:val="32"/>
          <w:szCs w:val="32"/>
        </w:rPr>
        <w:t>（一）项目概况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_Toc13730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"_Toc10758" </w:instrText>
      </w:r>
      <w:r>
        <w:fldChar w:fldCharType="separate"/>
      </w:r>
      <w:r>
        <w:rPr>
          <w:rFonts w:hint="eastAsia" w:ascii="仿宋" w:hAnsi="仿宋" w:eastAsia="仿宋" w:cs="仿宋"/>
          <w:sz w:val="32"/>
          <w:szCs w:val="32"/>
        </w:rPr>
        <w:t>（二）项目绩效目标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_Toc10758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1"/>
        <w:tabs>
          <w:tab w:val="right" w:leader="dot" w:pos="8306"/>
        </w:tabs>
        <w:rPr>
          <w:rFonts w:ascii="仿宋" w:hAnsi="仿宋" w:eastAsia="仿宋" w:cs="仿宋"/>
          <w:b/>
          <w:sz w:val="32"/>
          <w:szCs w:val="32"/>
        </w:rPr>
      </w:pPr>
      <w:r>
        <w:fldChar w:fldCharType="begin"/>
      </w:r>
      <w:r>
        <w:instrText xml:space="preserve"> HYPERLINK \l "_Toc11248" </w:instrText>
      </w:r>
      <w:r>
        <w:fldChar w:fldCharType="separate"/>
      </w:r>
      <w:r>
        <w:rPr>
          <w:rFonts w:hint="eastAsia" w:ascii="仿宋" w:hAnsi="仿宋" w:eastAsia="仿宋" w:cs="仿宋"/>
          <w:b/>
          <w:sz w:val="32"/>
          <w:szCs w:val="32"/>
        </w:rPr>
        <w:t>二、绩效评价工作开展情况</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_Toc11248 \h </w:instrText>
      </w:r>
      <w:r>
        <w:rPr>
          <w:rFonts w:hint="eastAsia" w:ascii="仿宋" w:hAnsi="仿宋" w:eastAsia="仿宋" w:cs="仿宋"/>
          <w:b/>
          <w:sz w:val="32"/>
          <w:szCs w:val="32"/>
        </w:rPr>
        <w:fldChar w:fldCharType="separate"/>
      </w:r>
      <w:r>
        <w:rPr>
          <w:rFonts w:hint="eastAsia" w:ascii="仿宋" w:hAnsi="仿宋" w:eastAsia="仿宋" w:cs="仿宋"/>
          <w:b/>
          <w:sz w:val="32"/>
          <w:szCs w:val="32"/>
        </w:rPr>
        <w:t>3</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"_Toc17443" </w:instrText>
      </w:r>
      <w:r>
        <w:fldChar w:fldCharType="separate"/>
      </w:r>
      <w:r>
        <w:rPr>
          <w:rFonts w:hint="eastAsia" w:ascii="仿宋" w:hAnsi="仿宋" w:eastAsia="仿宋" w:cs="仿宋"/>
          <w:sz w:val="32"/>
          <w:szCs w:val="32"/>
        </w:rPr>
        <w:t>（一）绩效评价目的、对象和范围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_Toc17443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"_Toc12325" </w:instrText>
      </w:r>
      <w:r>
        <w:fldChar w:fldCharType="separate"/>
      </w:r>
      <w:r>
        <w:rPr>
          <w:rFonts w:hint="eastAsia" w:ascii="仿宋" w:hAnsi="仿宋" w:eastAsia="仿宋" w:cs="仿宋"/>
          <w:sz w:val="32"/>
          <w:szCs w:val="32"/>
        </w:rPr>
        <w:t>（二）绩效评价原则、评价指标体系、评价方法、评价标准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_Toc12325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"_Toc25335" </w:instrText>
      </w:r>
      <w:r>
        <w:fldChar w:fldCharType="separate"/>
      </w:r>
      <w:r>
        <w:rPr>
          <w:rFonts w:hint="eastAsia" w:ascii="仿宋" w:hAnsi="仿宋" w:eastAsia="仿宋" w:cs="仿宋"/>
          <w:sz w:val="32"/>
          <w:szCs w:val="32"/>
        </w:rPr>
        <w:t>（三）绩效评价工作过程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_Toc25335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1"/>
        <w:tabs>
          <w:tab w:val="right" w:leader="dot" w:pos="8306"/>
        </w:tabs>
        <w:rPr>
          <w:rFonts w:ascii="仿宋" w:hAnsi="仿宋" w:eastAsia="仿宋" w:cs="仿宋"/>
          <w:b/>
          <w:sz w:val="32"/>
          <w:szCs w:val="32"/>
        </w:rPr>
      </w:pPr>
      <w:r>
        <w:fldChar w:fldCharType="begin"/>
      </w:r>
      <w:r>
        <w:instrText xml:space="preserve"> HYPERLINK \l "_Toc26603" </w:instrText>
      </w:r>
      <w:r>
        <w:fldChar w:fldCharType="separate"/>
      </w:r>
      <w:r>
        <w:rPr>
          <w:rFonts w:hint="eastAsia" w:ascii="仿宋" w:hAnsi="仿宋" w:eastAsia="仿宋" w:cs="仿宋"/>
          <w:b/>
          <w:sz w:val="32"/>
          <w:szCs w:val="32"/>
        </w:rPr>
        <w:t>三、综合评价情况及评价结论</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_Toc26603 \h </w:instrText>
      </w:r>
      <w:r>
        <w:rPr>
          <w:rFonts w:hint="eastAsia" w:ascii="仿宋" w:hAnsi="仿宋" w:eastAsia="仿宋" w:cs="仿宋"/>
          <w:b/>
          <w:sz w:val="32"/>
          <w:szCs w:val="32"/>
        </w:rPr>
        <w:fldChar w:fldCharType="separate"/>
      </w:r>
      <w:r>
        <w:rPr>
          <w:rFonts w:hint="eastAsia" w:ascii="仿宋" w:hAnsi="仿宋" w:eastAsia="仿宋" w:cs="仿宋"/>
          <w:b/>
          <w:sz w:val="32"/>
          <w:szCs w:val="32"/>
        </w:rPr>
        <w:t>11</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pPr>
        <w:pStyle w:val="31"/>
        <w:tabs>
          <w:tab w:val="right" w:leader="dot" w:pos="8306"/>
        </w:tabs>
        <w:rPr>
          <w:rFonts w:ascii="仿宋" w:hAnsi="仿宋" w:eastAsia="仿宋" w:cs="仿宋"/>
          <w:b/>
          <w:sz w:val="32"/>
          <w:szCs w:val="32"/>
        </w:rPr>
      </w:pPr>
      <w:r>
        <w:fldChar w:fldCharType="begin"/>
      </w:r>
      <w:r>
        <w:instrText xml:space="preserve"> HYPERLINK \l "_Toc8078" </w:instrText>
      </w:r>
      <w:r>
        <w:fldChar w:fldCharType="separate"/>
      </w:r>
      <w:r>
        <w:rPr>
          <w:rFonts w:hint="eastAsia" w:ascii="仿宋" w:hAnsi="仿宋" w:eastAsia="仿宋" w:cs="仿宋"/>
          <w:b/>
          <w:sz w:val="32"/>
          <w:szCs w:val="32"/>
        </w:rPr>
        <w:t>四、绩效评价指标分析</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_Toc8078 \h </w:instrText>
      </w:r>
      <w:r>
        <w:rPr>
          <w:rFonts w:hint="eastAsia" w:ascii="仿宋" w:hAnsi="仿宋" w:eastAsia="仿宋" w:cs="仿宋"/>
          <w:b/>
          <w:sz w:val="32"/>
          <w:szCs w:val="32"/>
        </w:rPr>
        <w:fldChar w:fldCharType="separate"/>
      </w:r>
      <w:r>
        <w:rPr>
          <w:rFonts w:hint="eastAsia" w:ascii="仿宋" w:hAnsi="仿宋" w:eastAsia="仿宋" w:cs="仿宋"/>
          <w:b/>
          <w:sz w:val="32"/>
          <w:szCs w:val="32"/>
        </w:rPr>
        <w:t>11</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"_Toc2709" </w:instrText>
      </w:r>
      <w:r>
        <w:fldChar w:fldCharType="separate"/>
      </w:r>
      <w:r>
        <w:rPr>
          <w:rFonts w:hint="eastAsia" w:ascii="仿宋" w:hAnsi="仿宋" w:eastAsia="仿宋" w:cs="仿宋"/>
          <w:sz w:val="32"/>
          <w:szCs w:val="32"/>
        </w:rPr>
        <w:t>（一）项目决策情况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_Toc2709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"_Toc27896" </w:instrText>
      </w:r>
      <w:r>
        <w:fldChar w:fldCharType="separate"/>
      </w:r>
      <w:r>
        <w:rPr>
          <w:rFonts w:hint="eastAsia" w:ascii="仿宋" w:hAnsi="仿宋" w:eastAsia="仿宋" w:cs="仿宋"/>
          <w:sz w:val="32"/>
          <w:szCs w:val="32"/>
        </w:rPr>
        <w:t>（二）项目过程情况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_Toc27896 \h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"_Toc24539" </w:instrText>
      </w:r>
      <w:r>
        <w:fldChar w:fldCharType="separate"/>
      </w:r>
      <w:r>
        <w:rPr>
          <w:rFonts w:hint="eastAsia" w:ascii="仿宋" w:hAnsi="仿宋" w:eastAsia="仿宋" w:cs="仿宋"/>
          <w:sz w:val="32"/>
          <w:szCs w:val="32"/>
        </w:rPr>
        <w:t>（三）项目产出情况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_Toc24539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"_Toc27580" </w:instrText>
      </w:r>
      <w:r>
        <w:fldChar w:fldCharType="separate"/>
      </w:r>
      <w:r>
        <w:rPr>
          <w:rFonts w:hint="eastAsia" w:ascii="仿宋" w:hAnsi="仿宋" w:eastAsia="仿宋" w:cs="仿宋"/>
          <w:sz w:val="32"/>
          <w:szCs w:val="32"/>
        </w:rPr>
        <w:t>（四）项目效益情况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_Toc27580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1"/>
        <w:tabs>
          <w:tab w:val="right" w:leader="dot" w:pos="8306"/>
        </w:tabs>
        <w:rPr>
          <w:rFonts w:ascii="仿宋" w:hAnsi="仿宋" w:eastAsia="仿宋" w:cs="仿宋"/>
          <w:b/>
          <w:sz w:val="32"/>
          <w:szCs w:val="32"/>
        </w:rPr>
      </w:pPr>
      <w:r>
        <w:fldChar w:fldCharType="begin"/>
      </w:r>
      <w:r>
        <w:instrText xml:space="preserve"> HYPERLINK \l "_Toc17005" </w:instrText>
      </w:r>
      <w:r>
        <w:fldChar w:fldCharType="separate"/>
      </w:r>
      <w:r>
        <w:rPr>
          <w:rFonts w:hint="eastAsia" w:ascii="仿宋" w:hAnsi="仿宋" w:eastAsia="仿宋" w:cs="仿宋"/>
          <w:b/>
          <w:sz w:val="32"/>
          <w:szCs w:val="32"/>
        </w:rPr>
        <w:t>五、主要经验及做法、存在的问题及原因分析</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_Toc17005 \h </w:instrText>
      </w:r>
      <w:r>
        <w:rPr>
          <w:rFonts w:hint="eastAsia" w:ascii="仿宋" w:hAnsi="仿宋" w:eastAsia="仿宋" w:cs="仿宋"/>
          <w:b/>
          <w:sz w:val="32"/>
          <w:szCs w:val="32"/>
        </w:rPr>
        <w:fldChar w:fldCharType="separate"/>
      </w:r>
      <w:r>
        <w:rPr>
          <w:rFonts w:hint="eastAsia" w:ascii="仿宋" w:hAnsi="仿宋" w:eastAsia="仿宋" w:cs="仿宋"/>
          <w:b/>
          <w:sz w:val="32"/>
          <w:szCs w:val="32"/>
        </w:rPr>
        <w:t>16</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"_Toc6029" </w:instrText>
      </w:r>
      <w:r>
        <w:fldChar w:fldCharType="separate"/>
      </w:r>
      <w:r>
        <w:rPr>
          <w:rFonts w:hint="eastAsia" w:ascii="仿宋" w:hAnsi="仿宋" w:eastAsia="仿宋" w:cs="仿宋"/>
          <w:sz w:val="32"/>
          <w:szCs w:val="32"/>
        </w:rPr>
        <w:t>（一）主要经验及做法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_Toc6029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2"/>
        <w:tabs>
          <w:tab w:val="right" w:leader="dot" w:pos="8306"/>
        </w:tabs>
        <w:ind w:left="640"/>
        <w:rPr>
          <w:rFonts w:ascii="仿宋" w:hAnsi="仿宋" w:eastAsia="仿宋" w:cs="仿宋"/>
          <w:sz w:val="32"/>
          <w:szCs w:val="32"/>
        </w:rPr>
      </w:pPr>
      <w:r>
        <w:fldChar w:fldCharType="begin"/>
      </w:r>
      <w:r>
        <w:instrText xml:space="preserve"> HYPERLINK \l "_Toc21706" </w:instrText>
      </w:r>
      <w:r>
        <w:fldChar w:fldCharType="separate"/>
      </w:r>
      <w:r>
        <w:rPr>
          <w:rFonts w:hint="eastAsia" w:ascii="仿宋" w:hAnsi="仿宋" w:eastAsia="仿宋" w:cs="仿宋"/>
          <w:sz w:val="32"/>
          <w:szCs w:val="32"/>
        </w:rPr>
        <w:t>（二）存在的问题及分析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_Toc21706 \h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31"/>
        <w:tabs>
          <w:tab w:val="right" w:leader="dot" w:pos="8306"/>
        </w:tabs>
        <w:rPr>
          <w:rFonts w:ascii="仿宋" w:hAnsi="仿宋" w:eastAsia="仿宋" w:cs="仿宋"/>
          <w:b/>
          <w:sz w:val="32"/>
          <w:szCs w:val="32"/>
        </w:rPr>
      </w:pPr>
      <w:r>
        <w:fldChar w:fldCharType="begin"/>
      </w:r>
      <w:r>
        <w:instrText xml:space="preserve"> HYPERLINK \l "_Toc29412" </w:instrText>
      </w:r>
      <w:r>
        <w:fldChar w:fldCharType="separate"/>
      </w:r>
      <w:r>
        <w:rPr>
          <w:rFonts w:hint="eastAsia" w:ascii="仿宋" w:hAnsi="仿宋" w:eastAsia="仿宋" w:cs="仿宋"/>
          <w:b/>
          <w:sz w:val="32"/>
          <w:szCs w:val="32"/>
        </w:rPr>
        <w:t>六、有关建议</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_Toc29412 \h </w:instrText>
      </w:r>
      <w:r>
        <w:rPr>
          <w:rFonts w:hint="eastAsia" w:ascii="仿宋" w:hAnsi="仿宋" w:eastAsia="仿宋" w:cs="仿宋"/>
          <w:b/>
          <w:sz w:val="32"/>
          <w:szCs w:val="32"/>
        </w:rPr>
        <w:fldChar w:fldCharType="separate"/>
      </w:r>
      <w:r>
        <w:rPr>
          <w:rFonts w:hint="eastAsia" w:ascii="仿宋" w:hAnsi="仿宋" w:eastAsia="仿宋" w:cs="仿宋"/>
          <w:b/>
          <w:sz w:val="32"/>
          <w:szCs w:val="32"/>
        </w:rPr>
        <w:t>18</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pPr>
        <w:pStyle w:val="31"/>
        <w:tabs>
          <w:tab w:val="right" w:leader="dot" w:pos="8306"/>
        </w:tabs>
        <w:rPr>
          <w:rFonts w:ascii="仿宋" w:hAnsi="仿宋" w:eastAsia="仿宋" w:cs="仿宋"/>
          <w:b/>
          <w:sz w:val="32"/>
          <w:szCs w:val="32"/>
        </w:rPr>
      </w:pPr>
      <w:r>
        <w:fldChar w:fldCharType="begin"/>
      </w:r>
      <w:r>
        <w:instrText xml:space="preserve"> HYPERLINK \l "_Toc11907" </w:instrText>
      </w:r>
      <w:r>
        <w:fldChar w:fldCharType="separate"/>
      </w:r>
      <w:r>
        <w:rPr>
          <w:rFonts w:hint="eastAsia" w:ascii="仿宋" w:hAnsi="仿宋" w:eastAsia="仿宋" w:cs="仿宋"/>
          <w:b/>
          <w:bCs/>
          <w:iCs/>
          <w:sz w:val="32"/>
          <w:szCs w:val="32"/>
        </w:rPr>
        <w:t>七、其他需要说明的问题</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_Toc11907 \h </w:instrText>
      </w:r>
      <w:r>
        <w:rPr>
          <w:rFonts w:hint="eastAsia" w:ascii="仿宋" w:hAnsi="仿宋" w:eastAsia="仿宋" w:cs="仿宋"/>
          <w:b/>
          <w:sz w:val="32"/>
          <w:szCs w:val="32"/>
        </w:rPr>
        <w:fldChar w:fldCharType="separate"/>
      </w:r>
      <w:r>
        <w:rPr>
          <w:rFonts w:hint="eastAsia" w:ascii="仿宋" w:hAnsi="仿宋" w:eastAsia="仿宋" w:cs="仿宋"/>
          <w:b/>
          <w:sz w:val="32"/>
          <w:szCs w:val="32"/>
        </w:rPr>
        <w:t>18</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pPr>
        <w:pStyle w:val="31"/>
        <w:tabs>
          <w:tab w:val="right" w:leader="dot" w:pos="8306"/>
        </w:tabs>
        <w:rPr>
          <w:rFonts w:ascii="仿宋" w:hAnsi="仿宋" w:eastAsia="仿宋" w:cs="仿宋"/>
          <w:b/>
          <w:sz w:val="32"/>
          <w:szCs w:val="32"/>
        </w:rPr>
      </w:pPr>
      <w:r>
        <w:fldChar w:fldCharType="begin"/>
      </w:r>
      <w:r>
        <w:instrText xml:space="preserve"> HYPERLINK \l "_Toc29777" </w:instrText>
      </w:r>
      <w:r>
        <w:fldChar w:fldCharType="separate"/>
      </w:r>
      <w:r>
        <w:rPr>
          <w:rFonts w:hint="eastAsia" w:ascii="仿宋" w:hAnsi="仿宋" w:eastAsia="仿宋" w:cs="仿宋"/>
          <w:b/>
          <w:bCs/>
          <w:iCs/>
          <w:sz w:val="32"/>
          <w:szCs w:val="32"/>
        </w:rPr>
        <w:t>八、附件</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_Toc29777 \h </w:instrText>
      </w:r>
      <w:r>
        <w:rPr>
          <w:rFonts w:hint="eastAsia" w:ascii="仿宋" w:hAnsi="仿宋" w:eastAsia="仿宋" w:cs="仿宋"/>
          <w:b/>
          <w:sz w:val="32"/>
          <w:szCs w:val="32"/>
        </w:rPr>
        <w:fldChar w:fldCharType="separate"/>
      </w:r>
      <w:r>
        <w:rPr>
          <w:rFonts w:hint="eastAsia" w:ascii="仿宋" w:hAnsi="仿宋" w:eastAsia="仿宋" w:cs="仿宋"/>
          <w:b/>
          <w:sz w:val="32"/>
          <w:szCs w:val="32"/>
        </w:rPr>
        <w:t>18</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pPr>
        <w:ind w:firstLine="643"/>
        <w:rPr>
          <w:rFonts w:ascii="仿宋" w:hAnsi="仿宋" w:eastAsia="仿宋" w:cs="仿宋"/>
          <w:b/>
        </w:rPr>
      </w:pPr>
      <w:r>
        <w:rPr>
          <w:rFonts w:hint="eastAsia" w:ascii="仿宋" w:hAnsi="仿宋" w:eastAsia="仿宋" w:cs="仿宋"/>
          <w:b/>
        </w:rPr>
        <w:fldChar w:fldCharType="end"/>
      </w:r>
    </w:p>
    <w:p>
      <w:pPr>
        <w:spacing w:line="500" w:lineRule="exact"/>
        <w:ind w:firstLine="640"/>
        <w:outlineLvl w:val="0"/>
        <w:rPr>
          <w:rFonts w:ascii="仿宋" w:hAnsi="仿宋" w:eastAsia="仿宋" w:cs="仿宋"/>
          <w:bCs/>
          <w:iCs/>
          <w:szCs w:val="21"/>
        </w:rPr>
        <w:sectPr>
          <w:footerReference r:id="rId3" w:type="default"/>
          <w:pgSz w:w="11906" w:h="16838"/>
          <w:pgMar w:top="1440" w:right="1800" w:bottom="1440" w:left="1800" w:header="851" w:footer="992" w:gutter="0"/>
          <w:pgNumType w:start="1"/>
          <w:cols w:space="720" w:num="1"/>
          <w:docGrid w:type="lines" w:linePitch="312" w:charSpace="0"/>
        </w:sectPr>
      </w:pPr>
      <w:bookmarkStart w:id="11" w:name="_Toc23894"/>
    </w:p>
    <w:p>
      <w:pPr>
        <w:spacing w:line="500" w:lineRule="exact"/>
        <w:ind w:firstLine="640"/>
        <w:outlineLvl w:val="0"/>
        <w:rPr>
          <w:rFonts w:ascii="仿宋" w:hAnsi="仿宋" w:eastAsia="仿宋" w:cs="仿宋"/>
          <w:bCs/>
          <w:iCs/>
          <w:szCs w:val="21"/>
        </w:rPr>
      </w:pPr>
      <w:r>
        <w:rPr>
          <w:rFonts w:hint="eastAsia" w:ascii="仿宋" w:hAnsi="仿宋" w:eastAsia="仿宋" w:cs="仿宋"/>
          <w:bCs/>
          <w:iCs/>
          <w:szCs w:val="21"/>
        </w:rPr>
        <w:t>一、基本情况</w:t>
      </w:r>
      <w:bookmarkEnd w:id="5"/>
      <w:bookmarkEnd w:id="6"/>
      <w:bookmarkEnd w:id="7"/>
      <w:bookmarkEnd w:id="8"/>
      <w:bookmarkEnd w:id="9"/>
      <w:bookmarkEnd w:id="10"/>
      <w:bookmarkEnd w:id="11"/>
      <w:bookmarkStart w:id="12" w:name="_Toc27593"/>
    </w:p>
    <w:p>
      <w:pPr>
        <w:pStyle w:val="5"/>
        <w:ind w:firstLine="643"/>
        <w:rPr>
          <w:rFonts w:ascii="仿宋" w:hAnsi="仿宋" w:eastAsia="仿宋" w:cs="仿宋"/>
        </w:rPr>
      </w:pPr>
      <w:bookmarkStart w:id="13" w:name="_Toc26183"/>
      <w:bookmarkStart w:id="14" w:name="_Toc9236"/>
      <w:bookmarkStart w:id="15" w:name="_Toc24706"/>
      <w:bookmarkStart w:id="16" w:name="_Toc24048"/>
      <w:bookmarkStart w:id="17" w:name="_Toc13730"/>
      <w:r>
        <w:rPr>
          <w:rFonts w:hint="eastAsia" w:ascii="仿宋" w:hAnsi="仿宋" w:eastAsia="仿宋" w:cs="仿宋"/>
        </w:rPr>
        <w:t>（一）项目概况</w:t>
      </w:r>
      <w:bookmarkEnd w:id="12"/>
      <w:bookmarkEnd w:id="13"/>
      <w:bookmarkEnd w:id="14"/>
      <w:bookmarkEnd w:id="15"/>
      <w:bookmarkEnd w:id="16"/>
      <w:bookmarkEnd w:id="17"/>
    </w:p>
    <w:p>
      <w:pPr>
        <w:ind w:firstLine="643"/>
        <w:rPr>
          <w:rFonts w:ascii="仿宋" w:hAnsi="仿宋" w:eastAsia="仿宋" w:cs="仿宋"/>
          <w:b/>
          <w:bCs/>
        </w:rPr>
      </w:pPr>
      <w:bookmarkStart w:id="18" w:name="_Toc11427"/>
      <w:bookmarkStart w:id="19" w:name="_Toc19984"/>
      <w:r>
        <w:rPr>
          <w:rFonts w:hint="eastAsia" w:ascii="仿宋" w:hAnsi="仿宋" w:eastAsia="仿宋" w:cs="仿宋"/>
          <w:b/>
          <w:bCs/>
        </w:rPr>
        <w:t>1.项目背景</w:t>
      </w:r>
      <w:bookmarkEnd w:id="18"/>
      <w:bookmarkEnd w:id="19"/>
    </w:p>
    <w:p>
      <w:pPr>
        <w:ind w:firstLine="640"/>
        <w:rPr>
          <w:rFonts w:ascii="仿宋" w:hAnsi="仿宋" w:eastAsia="仿宋" w:cs="仿宋"/>
        </w:rPr>
      </w:pPr>
      <w:bookmarkStart w:id="20" w:name="_Toc22079"/>
      <w:bookmarkStart w:id="21" w:name="_Toc22216"/>
      <w:r>
        <w:rPr>
          <w:rFonts w:hint="eastAsia" w:ascii="仿宋" w:hAnsi="仿宋" w:eastAsia="仿宋" w:cs="仿宋"/>
        </w:rPr>
        <w:t>孔雀河烽燧群遗址增强了历史信度，活化了历史场景，是唐代中央政权从政治、经济、军事、文化等方面有效管辖和治理边疆的生动缩影。对于深化边疆治理研究、中华民族共同体历史研究，弘扬中华优秀传统文化、铸牢中华民族共同体意识等方面，都有着十分重要的作用。</w:t>
      </w:r>
    </w:p>
    <w:p>
      <w:pPr>
        <w:pStyle w:val="5"/>
        <w:ind w:firstLine="640"/>
        <w:rPr>
          <w:rFonts w:ascii="仿宋" w:hAnsi="仿宋" w:eastAsia="仿宋" w:cs="仿宋"/>
          <w:b w:val="0"/>
        </w:rPr>
      </w:pPr>
      <w:r>
        <w:rPr>
          <w:rFonts w:hint="eastAsia" w:ascii="仿宋" w:hAnsi="仿宋" w:eastAsia="仿宋" w:cs="仿宋"/>
          <w:b w:val="0"/>
        </w:rPr>
        <w:t>孔雀河烽燧群遗址保护项目的规划与建设，占地面积180.24亩，起到弘扬尉犁悠久历史和文化传统的独特功能，使其成为巴州一个重要的社会主义、爱国主义教育基地，成为对外文化交流的窗口，成为独具特色的旅游景点，成为群众喜闻乐见的文化休闲场所，促进尉犁县文化建设与经济建设协调发展。</w:t>
      </w:r>
    </w:p>
    <w:p>
      <w:pPr>
        <w:ind w:firstLine="643"/>
        <w:rPr>
          <w:rFonts w:ascii="仿宋" w:hAnsi="仿宋" w:eastAsia="仿宋" w:cs="仿宋"/>
          <w:b/>
          <w:bCs/>
        </w:rPr>
      </w:pPr>
      <w:r>
        <w:rPr>
          <w:rFonts w:hint="eastAsia" w:ascii="仿宋" w:hAnsi="仿宋" w:eastAsia="仿宋" w:cs="仿宋"/>
          <w:b/>
          <w:bCs/>
        </w:rPr>
        <w:t>2.项目主要内容</w:t>
      </w:r>
      <w:bookmarkEnd w:id="20"/>
      <w:bookmarkEnd w:id="21"/>
    </w:p>
    <w:p>
      <w:pPr>
        <w:ind w:firstLine="640"/>
        <w:rPr>
          <w:rFonts w:ascii="仿宋" w:hAnsi="仿宋" w:eastAsia="仿宋" w:cs="仿宋"/>
        </w:rPr>
      </w:pPr>
      <w:bookmarkStart w:id="22" w:name="_Toc21529"/>
      <w:bookmarkStart w:id="23" w:name="_Toc31519"/>
      <w:r>
        <w:rPr>
          <w:rFonts w:hint="eastAsia" w:ascii="仿宋" w:hAnsi="仿宋" w:eastAsia="仿宋" w:cs="仿宋"/>
        </w:rPr>
        <w:t>2024年尉犁县文旅局在县委、县人民政府的坚强领导下，扎实推进各项工作，充分发挥配套项目资金效能，致力于尉犁县孔雀河烽燧群遗址保护利用项目提质增效，完成支付孔雀河烽燧群遗址保护项目人防易地建设费，计容面积4995平方米，基础设施配套费。</w:t>
      </w:r>
    </w:p>
    <w:p>
      <w:pPr>
        <w:ind w:firstLine="643"/>
        <w:rPr>
          <w:rFonts w:ascii="仿宋" w:hAnsi="仿宋" w:eastAsia="仿宋" w:cs="仿宋"/>
          <w:b/>
          <w:bCs/>
        </w:rPr>
      </w:pPr>
      <w:r>
        <w:rPr>
          <w:rFonts w:hint="eastAsia" w:ascii="仿宋" w:hAnsi="仿宋" w:eastAsia="仿宋" w:cs="仿宋"/>
          <w:b/>
          <w:bCs/>
        </w:rPr>
        <w:t>3.项目实施情况</w:t>
      </w:r>
      <w:bookmarkEnd w:id="22"/>
      <w:bookmarkEnd w:id="23"/>
      <w:bookmarkStart w:id="24" w:name="_Toc20138"/>
    </w:p>
    <w:p>
      <w:pPr>
        <w:ind w:firstLine="640"/>
        <w:rPr>
          <w:rFonts w:ascii="仿宋" w:hAnsi="仿宋" w:eastAsia="仿宋" w:cs="仿宋"/>
          <w:sz w:val="30"/>
          <w:szCs w:val="30"/>
          <w:highlight w:val="yellow"/>
        </w:rPr>
      </w:pPr>
      <w:bookmarkStart w:id="25" w:name="_Toc1111"/>
      <w:r>
        <w:rPr>
          <w:rFonts w:hint="eastAsia" w:ascii="仿宋" w:hAnsi="仿宋" w:eastAsia="仿宋" w:cs="仿宋"/>
        </w:rPr>
        <w:t>在孔雀河烽燧群遗址保护项目中，首先依据计容面积4995平方米，确定人防易地建设费的核算标准。与相关部门积极沟通协调费用细节，达成一致后筹备资金。在支付阶段，严格按照财务流程，对270.87万元费用进行审核与拨付。同时，同步推进1个基础设施配套建设，确保项目顺利实施，保障遗址保护工作有序开展，有效提升了公众休闲参观体验感。</w:t>
      </w:r>
    </w:p>
    <w:p>
      <w:pPr>
        <w:ind w:firstLine="643"/>
        <w:rPr>
          <w:rFonts w:ascii="仿宋" w:hAnsi="仿宋" w:eastAsia="仿宋" w:cs="仿宋"/>
          <w:b/>
          <w:bCs/>
        </w:rPr>
      </w:pPr>
      <w:r>
        <w:rPr>
          <w:rFonts w:hint="eastAsia" w:ascii="仿宋" w:hAnsi="仿宋" w:eastAsia="仿宋" w:cs="仿宋"/>
          <w:b/>
          <w:bCs/>
        </w:rPr>
        <w:t>4.资金投入情况</w:t>
      </w:r>
      <w:bookmarkEnd w:id="24"/>
      <w:bookmarkEnd w:id="25"/>
    </w:p>
    <w:p>
      <w:pPr>
        <w:ind w:firstLine="640"/>
        <w:rPr>
          <w:rFonts w:ascii="仿宋" w:hAnsi="仿宋" w:eastAsia="仿宋" w:cs="仿宋"/>
        </w:rPr>
      </w:pPr>
      <w:bookmarkStart w:id="26" w:name="_Toc7324"/>
      <w:r>
        <w:rPr>
          <w:rFonts w:hint="eastAsia" w:ascii="仿宋" w:hAnsi="仿宋" w:eastAsia="仿宋" w:cs="仿宋"/>
        </w:rPr>
        <w:t>本项目由尉犁县财政局下达272.86万元。其中人防易地建设费支出11.99万元，基础设施配套费支出260.87万元。</w:t>
      </w:r>
    </w:p>
    <w:p>
      <w:pPr>
        <w:ind w:firstLine="640"/>
        <w:rPr>
          <w:rFonts w:ascii="仿宋" w:hAnsi="仿宋" w:eastAsia="仿宋" w:cs="仿宋"/>
        </w:rPr>
      </w:pPr>
      <w:r>
        <w:rPr>
          <w:rFonts w:hint="eastAsia" w:ascii="仿宋" w:hAnsi="仿宋" w:eastAsia="仿宋" w:cs="仿宋"/>
        </w:rPr>
        <w:t>实施孔雀河烽燧群遗址保护利用项目人防易地建设费及基础设施配套费投入272.86万元，其中县级资金272.86万元。</w:t>
      </w:r>
    </w:p>
    <w:p>
      <w:pPr>
        <w:ind w:firstLine="640"/>
        <w:rPr>
          <w:rFonts w:ascii="仿宋" w:hAnsi="仿宋" w:eastAsia="仿宋" w:cs="仿宋"/>
        </w:rPr>
      </w:pPr>
      <w:bookmarkStart w:id="27" w:name="_Toc10837"/>
      <w:r>
        <w:rPr>
          <w:rFonts w:hint="eastAsia" w:ascii="仿宋" w:hAnsi="仿宋" w:eastAsia="仿宋" w:cs="仿宋"/>
        </w:rPr>
        <w:t>5.资金使用情况</w:t>
      </w:r>
      <w:bookmarkEnd w:id="26"/>
      <w:bookmarkEnd w:id="27"/>
    </w:p>
    <w:p>
      <w:pPr>
        <w:ind w:firstLine="640"/>
        <w:rPr>
          <w:rFonts w:ascii="仿宋" w:hAnsi="仿宋" w:eastAsia="仿宋" w:cs="仿宋"/>
        </w:rPr>
      </w:pPr>
      <w:r>
        <w:rPr>
          <w:rFonts w:hint="eastAsia" w:ascii="仿宋" w:hAnsi="仿宋" w:eastAsia="仿宋" w:cs="仿宋"/>
        </w:rPr>
        <w:t>2024</w:t>
      </w:r>
      <w:r>
        <w:rPr>
          <w:rFonts w:hint="eastAsia" w:ascii="仿宋" w:hAnsi="仿宋" w:eastAsia="仿宋" w:cs="仿宋"/>
          <w:szCs w:val="32"/>
        </w:rPr>
        <w:t>年初预算数</w:t>
      </w:r>
      <w:r>
        <w:rPr>
          <w:rFonts w:hint="eastAsia" w:ascii="仿宋" w:hAnsi="仿宋" w:eastAsia="仿宋" w:cs="仿宋"/>
        </w:rPr>
        <w:t>272.86万元，实际到位资金272.86万元。截止2024年12月31日，项目实际使用资金272.86万元，资金使用率达到了100%。具体资金支付情况：</w:t>
      </w:r>
    </w:p>
    <w:p>
      <w:pPr>
        <w:ind w:firstLine="640"/>
        <w:rPr>
          <w:rFonts w:ascii="仿宋" w:hAnsi="仿宋" w:eastAsia="仿宋" w:cs="仿宋"/>
        </w:rPr>
      </w:pPr>
      <w:r>
        <w:rPr>
          <w:rFonts w:hint="eastAsia" w:ascii="仿宋" w:hAnsi="仿宋" w:eastAsia="仿宋" w:cs="仿宋"/>
        </w:rPr>
        <w:t>2024年6月12日，支付报解预算收入11.988万元，</w:t>
      </w:r>
    </w:p>
    <w:p>
      <w:pPr>
        <w:ind w:firstLine="640"/>
        <w:rPr>
          <w:rFonts w:ascii="仿宋" w:hAnsi="仿宋" w:eastAsia="仿宋" w:cs="仿宋"/>
        </w:rPr>
      </w:pPr>
      <w:r>
        <w:rPr>
          <w:rFonts w:hint="eastAsia" w:ascii="仿宋" w:hAnsi="仿宋" w:eastAsia="仿宋" w:cs="仿宋"/>
        </w:rPr>
        <w:t>2024年6月12日，支付尉犁县财政局107.48635万元（支付基础设施配套费），</w:t>
      </w:r>
    </w:p>
    <w:p>
      <w:pPr>
        <w:ind w:firstLine="640"/>
        <w:rPr>
          <w:rFonts w:ascii="仿宋" w:hAnsi="仿宋" w:eastAsia="仿宋" w:cs="仿宋"/>
        </w:rPr>
      </w:pPr>
      <w:r>
        <w:rPr>
          <w:rFonts w:hint="eastAsia" w:ascii="仿宋" w:hAnsi="仿宋" w:eastAsia="仿宋" w:cs="仿宋"/>
        </w:rPr>
        <w:t>2024年6月12日，支付尉犁县财政局3.385439万元（支付基础设施配套费），</w:t>
      </w:r>
    </w:p>
    <w:p>
      <w:pPr>
        <w:ind w:firstLine="640"/>
        <w:rPr>
          <w:rFonts w:ascii="仿宋" w:hAnsi="仿宋" w:eastAsia="仿宋" w:cs="仿宋"/>
        </w:rPr>
      </w:pPr>
      <w:r>
        <w:rPr>
          <w:rFonts w:hint="eastAsia" w:ascii="仿宋" w:hAnsi="仿宋" w:eastAsia="仿宋" w:cs="仿宋"/>
        </w:rPr>
        <w:t>2024年6月12日，支付尉犁县财政局150万元（支付基础设施配套费）。</w:t>
      </w:r>
    </w:p>
    <w:p>
      <w:pPr>
        <w:pStyle w:val="5"/>
        <w:ind w:firstLine="643"/>
        <w:rPr>
          <w:rFonts w:ascii="仿宋" w:hAnsi="仿宋" w:eastAsia="仿宋" w:cs="仿宋"/>
        </w:rPr>
      </w:pPr>
      <w:bookmarkStart w:id="28" w:name="_Toc10758"/>
      <w:bookmarkStart w:id="29" w:name="_Toc11967"/>
      <w:bookmarkStart w:id="30" w:name="_Toc9567"/>
      <w:bookmarkStart w:id="31" w:name="_Toc14296"/>
      <w:bookmarkStart w:id="32" w:name="_Toc31302"/>
      <w:bookmarkStart w:id="33" w:name="_Toc26395"/>
      <w:r>
        <w:rPr>
          <w:rFonts w:hint="eastAsia" w:ascii="仿宋" w:hAnsi="仿宋" w:eastAsia="仿宋" w:cs="仿宋"/>
        </w:rPr>
        <w:t>（二）项目绩效目标</w:t>
      </w:r>
      <w:bookmarkEnd w:id="28"/>
      <w:bookmarkEnd w:id="29"/>
      <w:bookmarkEnd w:id="30"/>
      <w:bookmarkEnd w:id="31"/>
      <w:bookmarkEnd w:id="32"/>
      <w:bookmarkEnd w:id="33"/>
    </w:p>
    <w:p>
      <w:pPr>
        <w:ind w:firstLine="643"/>
        <w:rPr>
          <w:rFonts w:ascii="仿宋" w:hAnsi="仿宋" w:eastAsia="仿宋" w:cs="仿宋"/>
          <w:b/>
          <w:bCs/>
        </w:rPr>
      </w:pPr>
      <w:bookmarkStart w:id="34" w:name="_Toc18809"/>
      <w:bookmarkStart w:id="35" w:name="_Toc905"/>
      <w:r>
        <w:rPr>
          <w:rFonts w:hint="eastAsia" w:ascii="仿宋" w:hAnsi="仿宋" w:eastAsia="仿宋" w:cs="仿宋"/>
          <w:b/>
          <w:bCs/>
        </w:rPr>
        <w:t>1.总体目标</w:t>
      </w:r>
      <w:bookmarkEnd w:id="34"/>
      <w:bookmarkEnd w:id="35"/>
    </w:p>
    <w:p>
      <w:pPr>
        <w:ind w:firstLine="640"/>
        <w:rPr>
          <w:rFonts w:ascii="仿宋" w:hAnsi="仿宋" w:eastAsia="仿宋" w:cs="仿宋"/>
        </w:rPr>
      </w:pPr>
      <w:bookmarkStart w:id="36" w:name="_Toc10045"/>
      <w:bookmarkStart w:id="37" w:name="_Toc11195"/>
      <w:r>
        <w:rPr>
          <w:rFonts w:hint="eastAsia" w:ascii="仿宋" w:hAnsi="仿宋" w:eastAsia="仿宋" w:cs="仿宋"/>
        </w:rPr>
        <w:t>完成支付孔雀河烽燧群遗址保护项目人防易地建设费，计容面积4995平方米，基础设施配套费。</w:t>
      </w:r>
    </w:p>
    <w:p>
      <w:pPr>
        <w:ind w:firstLine="643"/>
        <w:rPr>
          <w:rFonts w:ascii="仿宋" w:hAnsi="仿宋" w:eastAsia="仿宋" w:cs="仿宋"/>
          <w:b/>
          <w:bCs/>
        </w:rPr>
      </w:pPr>
      <w:r>
        <w:rPr>
          <w:rFonts w:hint="eastAsia" w:ascii="仿宋" w:hAnsi="仿宋" w:eastAsia="仿宋" w:cs="仿宋"/>
          <w:b/>
          <w:bCs/>
        </w:rPr>
        <w:t>2.阶段性目标</w:t>
      </w:r>
      <w:bookmarkEnd w:id="36"/>
      <w:bookmarkEnd w:id="37"/>
    </w:p>
    <w:p>
      <w:pPr>
        <w:ind w:firstLine="640"/>
        <w:rPr>
          <w:rFonts w:ascii="仿宋" w:hAnsi="仿宋" w:eastAsia="仿宋" w:cs="仿宋"/>
        </w:rPr>
      </w:pPr>
      <w:bookmarkStart w:id="38" w:name="_Toc31122"/>
      <w:bookmarkStart w:id="39" w:name="_Toc857"/>
      <w:bookmarkStart w:id="40" w:name="_Toc6156"/>
      <w:bookmarkStart w:id="41" w:name="_Toc6534"/>
      <w:bookmarkStart w:id="42" w:name="_Toc25321"/>
      <w:r>
        <w:rPr>
          <w:rFonts w:hint="eastAsia" w:ascii="仿宋" w:hAnsi="仿宋" w:eastAsia="仿宋" w:cs="仿宋"/>
        </w:rPr>
        <w:t>（1）预计2024年6月支付人防易地建设费支出11.99万元，基础设施配套费支出260.87万元，合计272.86万元。</w:t>
      </w:r>
    </w:p>
    <w:p>
      <w:pPr>
        <w:ind w:firstLine="640"/>
        <w:rPr>
          <w:rFonts w:ascii="仿宋" w:hAnsi="仿宋" w:eastAsia="仿宋" w:cs="仿宋"/>
        </w:rPr>
      </w:pPr>
      <w:r>
        <w:rPr>
          <w:rFonts w:hint="eastAsia" w:ascii="仿宋" w:hAnsi="仿宋" w:eastAsia="仿宋" w:cs="仿宋"/>
        </w:rPr>
        <w:t>（2）预计2024年11月完成孔雀河烽燧群遗址保护利用项目验收。</w:t>
      </w:r>
    </w:p>
    <w:p>
      <w:pPr>
        <w:pStyle w:val="4"/>
        <w:ind w:firstLine="640"/>
        <w:rPr>
          <w:rFonts w:ascii="仿宋" w:hAnsi="仿宋" w:eastAsia="仿宋" w:cs="仿宋"/>
        </w:rPr>
      </w:pPr>
      <w:bookmarkStart w:id="43" w:name="_Toc11248"/>
      <w:r>
        <w:rPr>
          <w:rFonts w:hint="eastAsia" w:ascii="仿宋" w:hAnsi="仿宋" w:eastAsia="仿宋" w:cs="仿宋"/>
        </w:rPr>
        <w:t>二、绩效评价工作开展情况</w:t>
      </w:r>
      <w:bookmarkEnd w:id="38"/>
      <w:bookmarkEnd w:id="39"/>
      <w:bookmarkEnd w:id="40"/>
      <w:bookmarkEnd w:id="41"/>
      <w:bookmarkEnd w:id="42"/>
      <w:bookmarkEnd w:id="43"/>
    </w:p>
    <w:p>
      <w:pPr>
        <w:pStyle w:val="5"/>
        <w:ind w:firstLine="643"/>
        <w:rPr>
          <w:rFonts w:ascii="仿宋" w:hAnsi="仿宋" w:eastAsia="仿宋" w:cs="仿宋"/>
        </w:rPr>
      </w:pPr>
      <w:bookmarkStart w:id="44" w:name="_Toc17443"/>
      <w:bookmarkStart w:id="45" w:name="_Toc30569"/>
      <w:bookmarkStart w:id="46" w:name="_Toc10300"/>
      <w:bookmarkStart w:id="47" w:name="_Toc32557"/>
      <w:bookmarkStart w:id="48" w:name="_Toc17516"/>
      <w:r>
        <w:rPr>
          <w:rFonts w:hint="eastAsia" w:ascii="仿宋" w:hAnsi="仿宋" w:eastAsia="仿宋" w:cs="仿宋"/>
        </w:rPr>
        <w:t>（一）绩效评价目的、对象和范围</w:t>
      </w:r>
      <w:bookmarkEnd w:id="44"/>
      <w:bookmarkEnd w:id="45"/>
      <w:bookmarkEnd w:id="46"/>
      <w:bookmarkEnd w:id="47"/>
      <w:bookmarkEnd w:id="48"/>
    </w:p>
    <w:p>
      <w:pPr>
        <w:ind w:firstLine="643"/>
        <w:rPr>
          <w:rFonts w:ascii="仿宋" w:hAnsi="仿宋" w:eastAsia="仿宋" w:cs="仿宋"/>
          <w:b/>
          <w:bCs/>
        </w:rPr>
      </w:pPr>
      <w:bookmarkStart w:id="49" w:name="_Toc12440"/>
      <w:bookmarkStart w:id="50" w:name="_Toc11562"/>
      <w:r>
        <w:rPr>
          <w:rFonts w:hint="eastAsia" w:ascii="仿宋" w:hAnsi="仿宋" w:eastAsia="仿宋" w:cs="仿宋"/>
          <w:b/>
          <w:bCs/>
        </w:rPr>
        <w:t>1.绩效评价目的</w:t>
      </w:r>
      <w:bookmarkEnd w:id="49"/>
      <w:bookmarkEnd w:id="50"/>
    </w:p>
    <w:p>
      <w:pPr>
        <w:ind w:firstLine="640"/>
        <w:rPr>
          <w:rFonts w:ascii="仿宋" w:hAnsi="仿宋" w:eastAsia="仿宋" w:cs="仿宋"/>
        </w:rPr>
      </w:pPr>
      <w:r>
        <w:rPr>
          <w:rFonts w:hint="eastAsia" w:ascii="仿宋" w:hAnsi="仿宋" w:eastAsia="仿宋" w:cs="仿宋"/>
        </w:rPr>
        <w:t>本次绩效评价遵循财政部《关于印发〈项目支出绩效评价管理办法〉的通知》（财预〔2020〕10号）文件精神，对孔雀河烽燧群遗址保护利用项目人防易地建设费及基础设施配套费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ind w:firstLine="640"/>
        <w:rPr>
          <w:rFonts w:ascii="仿宋" w:hAnsi="仿宋" w:eastAsia="仿宋" w:cs="仿宋"/>
        </w:rPr>
      </w:pPr>
      <w:r>
        <w:rPr>
          <w:rFonts w:hint="eastAsia" w:ascii="仿宋" w:hAnsi="仿宋" w:eastAsia="仿宋" w:cs="仿宋"/>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640"/>
        <w:rPr>
          <w:rFonts w:ascii="仿宋" w:hAnsi="仿宋" w:eastAsia="仿宋" w:cs="仿宋"/>
        </w:rPr>
      </w:pPr>
      <w:r>
        <w:rPr>
          <w:rFonts w:hint="eastAsia" w:ascii="仿宋" w:hAnsi="仿宋" w:eastAsia="仿宋" w:cs="仿宋"/>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640"/>
        <w:rPr>
          <w:rFonts w:ascii="仿宋" w:hAnsi="仿宋" w:eastAsia="仿宋" w:cs="仿宋"/>
        </w:rPr>
      </w:pPr>
      <w:r>
        <w:rPr>
          <w:rFonts w:hint="eastAsia" w:ascii="仿宋" w:hAnsi="仿宋" w:eastAsia="仿宋" w:cs="仿宋"/>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640"/>
        <w:rPr>
          <w:rFonts w:ascii="仿宋" w:hAnsi="仿宋" w:eastAsia="仿宋" w:cs="仿宋"/>
        </w:rPr>
      </w:pPr>
      <w:r>
        <w:rPr>
          <w:rFonts w:hint="eastAsia" w:ascii="仿宋" w:hAnsi="仿宋" w:eastAsia="仿宋" w:cs="仿宋"/>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ind w:firstLine="643"/>
        <w:rPr>
          <w:rFonts w:ascii="仿宋" w:hAnsi="仿宋" w:eastAsia="仿宋" w:cs="仿宋"/>
          <w:b/>
          <w:bCs/>
        </w:rPr>
      </w:pPr>
      <w:bookmarkStart w:id="51" w:name="_Toc8924"/>
      <w:bookmarkStart w:id="52" w:name="_Toc2159"/>
      <w:r>
        <w:rPr>
          <w:rFonts w:hint="eastAsia" w:ascii="仿宋" w:hAnsi="仿宋" w:eastAsia="仿宋" w:cs="仿宋"/>
          <w:b/>
          <w:bCs/>
        </w:rPr>
        <w:t>2.绩效评价对象</w:t>
      </w:r>
      <w:bookmarkEnd w:id="51"/>
      <w:r>
        <w:rPr>
          <w:rFonts w:hint="eastAsia" w:ascii="仿宋" w:hAnsi="仿宋" w:eastAsia="仿宋" w:cs="仿宋"/>
          <w:b/>
          <w:bCs/>
        </w:rPr>
        <w:t>和范围</w:t>
      </w:r>
      <w:bookmarkEnd w:id="52"/>
    </w:p>
    <w:p>
      <w:pPr>
        <w:ind w:firstLine="640"/>
        <w:rPr>
          <w:rFonts w:ascii="仿宋" w:hAnsi="仿宋" w:eastAsia="仿宋" w:cs="仿宋"/>
        </w:rPr>
      </w:pPr>
      <w:r>
        <w:rPr>
          <w:rFonts w:hint="eastAsia" w:ascii="仿宋" w:hAnsi="仿宋" w:eastAsia="仿宋" w:cs="仿宋"/>
        </w:rPr>
        <w:t>根据《财政支出绩效评价管理办法》（财预〔2020〕10号）文件要求，对孔雀河烽燧群遗址保护利用项目人防易地建设费及基础设施配套费开展绩效评价，本次绩效评价范围主要围绕项目决策（包括项目立项、绩效目标、资金投入）、项目过程（包括资金管理、组织实施）、项目产出（包括产出数量、质量、时效、成本）和项目效益等进行评价。</w:t>
      </w:r>
    </w:p>
    <w:p>
      <w:pPr>
        <w:pStyle w:val="5"/>
        <w:ind w:firstLine="643"/>
        <w:rPr>
          <w:rFonts w:ascii="仿宋" w:hAnsi="仿宋" w:eastAsia="仿宋" w:cs="仿宋"/>
        </w:rPr>
      </w:pPr>
      <w:bookmarkStart w:id="53" w:name="_Toc12325"/>
      <w:bookmarkStart w:id="54" w:name="_Toc19566"/>
      <w:bookmarkStart w:id="55" w:name="_Toc15409"/>
      <w:bookmarkStart w:id="56" w:name="_Toc13496"/>
      <w:bookmarkStart w:id="57" w:name="_Toc17158"/>
      <w:r>
        <w:rPr>
          <w:rFonts w:hint="eastAsia" w:ascii="仿宋" w:hAnsi="仿宋" w:eastAsia="仿宋" w:cs="仿宋"/>
        </w:rPr>
        <w:t>（二）绩效评价原则、评价指标体系、评价方法、评价标准</w:t>
      </w:r>
      <w:bookmarkEnd w:id="53"/>
      <w:bookmarkEnd w:id="54"/>
      <w:bookmarkEnd w:id="55"/>
      <w:bookmarkEnd w:id="56"/>
      <w:bookmarkEnd w:id="57"/>
    </w:p>
    <w:p>
      <w:pPr>
        <w:ind w:firstLine="643"/>
        <w:rPr>
          <w:rFonts w:ascii="仿宋" w:hAnsi="仿宋" w:eastAsia="仿宋" w:cs="仿宋"/>
          <w:b/>
          <w:bCs/>
        </w:rPr>
      </w:pPr>
      <w:bookmarkStart w:id="58" w:name="_Toc23487"/>
      <w:bookmarkStart w:id="59" w:name="_Toc18268"/>
      <w:r>
        <w:rPr>
          <w:rFonts w:hint="eastAsia" w:ascii="仿宋" w:hAnsi="仿宋" w:eastAsia="仿宋" w:cs="仿宋"/>
          <w:b/>
          <w:bCs/>
        </w:rPr>
        <w:t>1.绩效评价原则</w:t>
      </w:r>
      <w:bookmarkEnd w:id="58"/>
      <w:bookmarkEnd w:id="59"/>
    </w:p>
    <w:p>
      <w:pPr>
        <w:ind w:firstLine="640"/>
        <w:rPr>
          <w:rFonts w:ascii="仿宋" w:hAnsi="仿宋" w:eastAsia="仿宋" w:cs="仿宋"/>
        </w:rPr>
      </w:pPr>
      <w:r>
        <w:rPr>
          <w:rFonts w:hint="eastAsia" w:ascii="仿宋" w:hAnsi="仿宋" w:eastAsia="仿宋" w:cs="仿宋"/>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640"/>
        <w:rPr>
          <w:rFonts w:ascii="仿宋" w:hAnsi="仿宋" w:eastAsia="仿宋" w:cs="仿宋"/>
        </w:rPr>
      </w:pPr>
      <w:r>
        <w:rPr>
          <w:rFonts w:hint="eastAsia" w:ascii="仿宋" w:hAnsi="仿宋" w:eastAsia="仿宋" w:cs="仿宋"/>
        </w:rPr>
        <w:t>（1）科学公正。绩效评价应当运用科学合理的方法，按照规范的程序，对项目绩效进行客观、公正地反映。</w:t>
      </w:r>
    </w:p>
    <w:p>
      <w:pPr>
        <w:ind w:firstLine="640"/>
        <w:rPr>
          <w:rFonts w:ascii="仿宋" w:hAnsi="仿宋" w:eastAsia="仿宋" w:cs="仿宋"/>
        </w:rPr>
      </w:pPr>
      <w:r>
        <w:rPr>
          <w:rFonts w:hint="eastAsia" w:ascii="仿宋" w:hAnsi="仿宋" w:eastAsia="仿宋" w:cs="仿宋"/>
        </w:rPr>
        <w:t>（2）统筹兼顾。单位自评应由项目单位自主实施，即“谁支出、谁自评”。</w:t>
      </w:r>
    </w:p>
    <w:p>
      <w:pPr>
        <w:ind w:firstLine="640"/>
        <w:rPr>
          <w:rFonts w:ascii="仿宋" w:hAnsi="仿宋" w:eastAsia="仿宋" w:cs="仿宋"/>
        </w:rPr>
      </w:pPr>
      <w:r>
        <w:rPr>
          <w:rFonts w:hint="eastAsia" w:ascii="仿宋" w:hAnsi="仿宋" w:eastAsia="仿宋" w:cs="仿宋"/>
        </w:rPr>
        <w:t>（3）激励约束。绩效评价结果应与预算安排、政策调整、改进管理实质性挂钩，体现奖优罚劣和激励相容导向，有效要安排、低效要压减、无效要问责。</w:t>
      </w:r>
    </w:p>
    <w:p>
      <w:pPr>
        <w:ind w:firstLine="640"/>
        <w:rPr>
          <w:rFonts w:ascii="仿宋" w:hAnsi="仿宋" w:eastAsia="仿宋" w:cs="仿宋"/>
        </w:rPr>
      </w:pPr>
      <w:r>
        <w:rPr>
          <w:rFonts w:hint="eastAsia" w:ascii="仿宋" w:hAnsi="仿宋" w:eastAsia="仿宋" w:cs="仿宋"/>
        </w:rPr>
        <w:t>（4）公开透明。本次项目支出绩效评价结果已依法依规在尉犁县人民政府网站上公开，并自觉接受社会监督。</w:t>
      </w:r>
    </w:p>
    <w:p>
      <w:pPr>
        <w:ind w:firstLine="640"/>
        <w:rPr>
          <w:rFonts w:ascii="仿宋" w:hAnsi="仿宋" w:eastAsia="仿宋" w:cs="仿宋"/>
        </w:rPr>
      </w:pPr>
      <w:r>
        <w:rPr>
          <w:rFonts w:hint="eastAsia" w:ascii="仿宋" w:hAnsi="仿宋" w:eastAsia="仿宋" w:cs="仿宋"/>
        </w:rPr>
        <w:t>根据以上原则，绩效评价应遵循如下要求:</w:t>
      </w:r>
    </w:p>
    <w:p>
      <w:pPr>
        <w:ind w:firstLine="640"/>
        <w:rPr>
          <w:rFonts w:ascii="仿宋" w:hAnsi="仿宋" w:eastAsia="仿宋" w:cs="仿宋"/>
        </w:rPr>
      </w:pPr>
      <w:r>
        <w:rPr>
          <w:rFonts w:hint="eastAsia" w:ascii="仿宋" w:hAnsi="仿宋" w:eastAsia="仿宋" w:cs="仿宋"/>
        </w:rPr>
        <w:t>（1）在数据采集时，采取客观数据，主管部门审查、社会中介组织复查，与问卷调查相结合的形式，以保证各项指标的真实性。</w:t>
      </w:r>
    </w:p>
    <w:p>
      <w:pPr>
        <w:ind w:firstLine="640"/>
        <w:rPr>
          <w:rFonts w:ascii="仿宋" w:hAnsi="仿宋" w:eastAsia="仿宋" w:cs="仿宋"/>
        </w:rPr>
      </w:pPr>
      <w:r>
        <w:rPr>
          <w:rFonts w:hint="eastAsia" w:ascii="仿宋" w:hAnsi="仿宋" w:eastAsia="仿宋" w:cs="仿宋"/>
        </w:rPr>
        <w:t>（2）保证评价结果的真实性、公正性，提高评价报告的公信力。</w:t>
      </w:r>
    </w:p>
    <w:p>
      <w:pPr>
        <w:ind w:firstLine="640"/>
        <w:rPr>
          <w:rFonts w:ascii="仿宋" w:hAnsi="仿宋" w:eastAsia="仿宋" w:cs="仿宋"/>
        </w:rPr>
      </w:pPr>
      <w:r>
        <w:rPr>
          <w:rFonts w:hint="eastAsia" w:ascii="仿宋" w:hAnsi="仿宋" w:eastAsia="仿宋" w:cs="仿宋"/>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ind w:firstLine="643"/>
        <w:rPr>
          <w:rFonts w:ascii="仿宋" w:hAnsi="仿宋" w:eastAsia="仿宋" w:cs="仿宋"/>
          <w:b/>
          <w:bCs/>
        </w:rPr>
      </w:pPr>
      <w:bookmarkStart w:id="60" w:name="_Toc23112"/>
      <w:bookmarkStart w:id="61" w:name="_Toc28342"/>
      <w:r>
        <w:rPr>
          <w:rFonts w:hint="eastAsia" w:ascii="仿宋" w:hAnsi="仿宋" w:eastAsia="仿宋" w:cs="仿宋"/>
          <w:b/>
          <w:bCs/>
        </w:rPr>
        <w:t>2.评价指标体系</w:t>
      </w:r>
      <w:bookmarkEnd w:id="60"/>
      <w:bookmarkEnd w:id="61"/>
    </w:p>
    <w:p>
      <w:pPr>
        <w:ind w:firstLine="640"/>
        <w:rPr>
          <w:rFonts w:ascii="仿宋" w:hAnsi="仿宋" w:eastAsia="仿宋" w:cs="仿宋"/>
        </w:rPr>
      </w:pPr>
      <w:r>
        <w:rPr>
          <w:rFonts w:hint="eastAsia" w:ascii="仿宋" w:hAnsi="仿宋" w:eastAsia="仿宋" w:cs="仿宋"/>
        </w:rPr>
        <w:t>孔雀河烽燧群遗址保护利用项目人防易地建设费及基础设施配套费绩效评价（部门自评）指标体系的设计，是在充分掌握项目状况的基础上，形成了孔雀河烽燧群遗址保护利用项目人防易地建设费及基础设施配套费支出绩效评价指标体系（部门自评）。本项目设计绩效评价指标体系满分100分。四个级别分别是：优、良、中、差，90（含）-100分为优、80（含）-90分为良、60（含）-80分为中、60分以下为差。</w:t>
      </w:r>
    </w:p>
    <w:p>
      <w:pPr>
        <w:ind w:firstLine="640"/>
        <w:rPr>
          <w:rFonts w:ascii="仿宋" w:hAnsi="仿宋" w:eastAsia="仿宋" w:cs="仿宋"/>
        </w:rPr>
      </w:pPr>
      <w:r>
        <w:rPr>
          <w:rFonts w:hint="eastAsia" w:ascii="仿宋" w:hAnsi="仿宋" w:eastAsia="仿宋" w:cs="仿宋"/>
        </w:rPr>
        <w:t>按照财预〔2020〕10号文件关于“原则上产出、效益指标权重不低于60%”的要求，本项目产出、效益指标权重60%（即60分）。</w:t>
      </w:r>
      <w:bookmarkStart w:id="62" w:name="_Toc10631"/>
      <w:bookmarkStart w:id="63" w:name="_Toc15680"/>
      <w:r>
        <w:rPr>
          <w:rFonts w:hint="eastAsia" w:ascii="仿宋" w:hAnsi="仿宋" w:eastAsia="仿宋" w:cs="仿宋"/>
        </w:rPr>
        <w:t>（详见：附表2）</w:t>
      </w:r>
    </w:p>
    <w:p>
      <w:pPr>
        <w:ind w:firstLine="643"/>
        <w:rPr>
          <w:rFonts w:ascii="仿宋" w:hAnsi="仿宋" w:eastAsia="仿宋" w:cs="仿宋"/>
          <w:b/>
          <w:bCs/>
        </w:rPr>
      </w:pPr>
      <w:r>
        <w:rPr>
          <w:rFonts w:hint="eastAsia" w:ascii="仿宋" w:hAnsi="仿宋" w:eastAsia="仿宋" w:cs="仿宋"/>
          <w:b/>
          <w:bCs/>
        </w:rPr>
        <w:t>3.绩效评价方法</w:t>
      </w:r>
      <w:bookmarkEnd w:id="62"/>
      <w:bookmarkEnd w:id="63"/>
    </w:p>
    <w:p>
      <w:pPr>
        <w:ind w:firstLine="640"/>
        <w:rPr>
          <w:rFonts w:ascii="仿宋" w:hAnsi="仿宋" w:eastAsia="仿宋" w:cs="仿宋"/>
        </w:rPr>
      </w:pPr>
      <w:r>
        <w:rPr>
          <w:rFonts w:hint="eastAsia" w:ascii="仿宋" w:hAnsi="仿宋" w:eastAsia="仿宋" w:cs="仿宋"/>
        </w:rPr>
        <w:t>结合孔雀河烽燧群遗址保护利用项目人防易地建设费及基础设施配套费项目的特点，本次评价主要运用比较法、公众评判法、因素分析法，原因是：</w:t>
      </w:r>
    </w:p>
    <w:p>
      <w:pPr>
        <w:ind w:firstLine="640"/>
        <w:rPr>
          <w:rFonts w:ascii="仿宋" w:hAnsi="仿宋" w:eastAsia="仿宋" w:cs="仿宋"/>
        </w:rPr>
      </w:pPr>
      <w:r>
        <w:rPr>
          <w:rFonts w:hint="eastAsia" w:ascii="仿宋" w:hAnsi="仿宋" w:eastAsia="仿宋" w:cs="仿宋"/>
        </w:rPr>
        <w:t>比较法：本项目绩效评价将项目实施情况即实际完成的计容面积、基础设施配套个数等指标与年初设定的目标值进行比较。</w:t>
      </w:r>
    </w:p>
    <w:p>
      <w:pPr>
        <w:ind w:firstLine="640"/>
        <w:rPr>
          <w:rFonts w:ascii="仿宋" w:hAnsi="仿宋" w:eastAsia="仿宋" w:cs="仿宋"/>
        </w:rPr>
      </w:pPr>
      <w:r>
        <w:rPr>
          <w:rFonts w:hint="eastAsia" w:ascii="仿宋" w:hAnsi="仿宋" w:eastAsia="仿宋" w:cs="仿宋"/>
        </w:rPr>
        <w:t>公共评判法：通过对孔雀河烽燧群遗址保护利用项目人防易地建设费及基础设施配套费进行问卷及抽样调查等方式，评价本项目实施后受益对象对项目实施效果的满意程度，对财政资金使用效果进行评判，评价绩效目标实现程度。</w:t>
      </w:r>
    </w:p>
    <w:p>
      <w:pPr>
        <w:ind w:firstLine="640"/>
        <w:rPr>
          <w:rFonts w:ascii="仿宋" w:hAnsi="仿宋" w:eastAsia="仿宋" w:cs="仿宋"/>
        </w:rPr>
      </w:pPr>
      <w:r>
        <w:rPr>
          <w:rFonts w:hint="eastAsia" w:ascii="仿宋" w:hAnsi="仿宋" w:eastAsia="仿宋" w:cs="仿宋"/>
        </w:rPr>
        <w:t>因素分析法：综合考量影响绩效目标实现、产出与效果的孔雀河烽燧群遗址保护利用项目人防易地建设费及基础设施配套费外部和内部因素，以进行全面的项目绩效评价。根据具体项目情况，精心确定需要分析的因素，从而为项目决策提供有力支持。</w:t>
      </w:r>
    </w:p>
    <w:p>
      <w:pPr>
        <w:ind w:firstLine="643"/>
        <w:rPr>
          <w:rFonts w:ascii="仿宋" w:hAnsi="仿宋" w:eastAsia="仿宋" w:cs="仿宋"/>
          <w:b/>
          <w:bCs/>
        </w:rPr>
      </w:pPr>
      <w:bookmarkStart w:id="64" w:name="_Toc3155"/>
      <w:bookmarkStart w:id="65" w:name="_Toc15525"/>
      <w:r>
        <w:rPr>
          <w:rFonts w:hint="eastAsia" w:ascii="仿宋" w:hAnsi="仿宋" w:eastAsia="仿宋" w:cs="仿宋"/>
          <w:b/>
          <w:bCs/>
        </w:rPr>
        <w:t>4.绩效评价标准</w:t>
      </w:r>
      <w:bookmarkEnd w:id="64"/>
      <w:bookmarkEnd w:id="65"/>
    </w:p>
    <w:p>
      <w:pPr>
        <w:ind w:firstLine="640"/>
        <w:rPr>
          <w:rFonts w:ascii="仿宋" w:hAnsi="仿宋" w:eastAsia="仿宋" w:cs="仿宋"/>
        </w:rPr>
      </w:pPr>
      <w:r>
        <w:rPr>
          <w:rFonts w:hint="eastAsia" w:ascii="仿宋" w:hAnsi="仿宋" w:eastAsia="仿宋" w:cs="仿宋"/>
        </w:rPr>
        <w:t>绩效评价标准通常包括计划标准、行业标准、历史标准等，用于对绩效指标完成情况进行比较。</w:t>
      </w:r>
    </w:p>
    <w:p>
      <w:pPr>
        <w:pStyle w:val="18"/>
        <w:ind w:firstLine="640"/>
        <w:jc w:val="both"/>
        <w:rPr>
          <w:rFonts w:ascii="仿宋" w:hAnsi="仿宋" w:eastAsia="仿宋" w:cs="仿宋"/>
        </w:rPr>
      </w:pPr>
      <w:r>
        <w:rPr>
          <w:rFonts w:hint="eastAsia" w:ascii="仿宋" w:hAnsi="仿宋" w:eastAsia="仿宋" w:cs="仿宋"/>
        </w:rPr>
        <w:t>结合孔雀河烽燧群遗址保护利用项目人防易地建设费及基础设施配套费的特点，</w:t>
      </w:r>
      <w:bookmarkStart w:id="66" w:name="_Toc15381"/>
      <w:bookmarkStart w:id="67" w:name="_Toc30219"/>
      <w:bookmarkStart w:id="68" w:name="_Toc26411"/>
      <w:bookmarkStart w:id="69" w:name="_Toc17851"/>
      <w:r>
        <w:rPr>
          <w:rFonts w:hint="eastAsia" w:ascii="仿宋" w:hAnsi="仿宋" w:eastAsia="仿宋" w:cs="仿宋"/>
          <w:bCs/>
          <w:szCs w:val="32"/>
        </w:rPr>
        <w:t>本项目绩效评价以预先制定的</w:t>
      </w:r>
      <w:r>
        <w:rPr>
          <w:rFonts w:hint="eastAsia" w:ascii="仿宋" w:hAnsi="仿宋" w:eastAsia="仿宋" w:cs="仿宋"/>
        </w:rPr>
        <w:t>计容面积、基础设施配套个数</w:t>
      </w:r>
      <w:r>
        <w:rPr>
          <w:rFonts w:hint="eastAsia" w:ascii="仿宋" w:hAnsi="仿宋" w:eastAsia="仿宋" w:cs="仿宋"/>
          <w:bCs/>
          <w:szCs w:val="32"/>
        </w:rPr>
        <w:t>为计划数作为评价标准；</w:t>
      </w:r>
      <w:r>
        <w:rPr>
          <w:rFonts w:hint="eastAsia" w:ascii="仿宋" w:hAnsi="仿宋" w:eastAsia="仿宋" w:cs="仿宋"/>
        </w:rPr>
        <w:t>同时参照有关政策等同类项目建设的行业标准来制定评价标准。因此，采取的绩效评价标准为：计划标准、行业标准。</w:t>
      </w:r>
    </w:p>
    <w:p>
      <w:pPr>
        <w:pStyle w:val="5"/>
        <w:ind w:firstLine="643"/>
        <w:rPr>
          <w:rFonts w:ascii="仿宋" w:hAnsi="仿宋" w:eastAsia="仿宋" w:cs="仿宋"/>
        </w:rPr>
      </w:pPr>
      <w:bookmarkStart w:id="70" w:name="_Toc25335"/>
      <w:r>
        <w:rPr>
          <w:rFonts w:hint="eastAsia" w:ascii="仿宋" w:hAnsi="仿宋" w:eastAsia="仿宋" w:cs="仿宋"/>
        </w:rPr>
        <w:t>（三）绩效评价工作过程</w:t>
      </w:r>
      <w:bookmarkEnd w:id="66"/>
      <w:bookmarkEnd w:id="67"/>
      <w:bookmarkEnd w:id="68"/>
      <w:bookmarkEnd w:id="69"/>
      <w:bookmarkEnd w:id="70"/>
    </w:p>
    <w:p>
      <w:pPr>
        <w:ind w:firstLine="643"/>
        <w:rPr>
          <w:rFonts w:ascii="仿宋" w:hAnsi="仿宋" w:eastAsia="仿宋" w:cs="仿宋"/>
          <w:b/>
          <w:bCs/>
        </w:rPr>
      </w:pPr>
      <w:bookmarkStart w:id="71" w:name="_Toc17595"/>
      <w:bookmarkStart w:id="72" w:name="_Toc30911"/>
      <w:bookmarkStart w:id="73" w:name="_Toc31054"/>
      <w:bookmarkStart w:id="74" w:name="_Toc27442"/>
      <w:bookmarkStart w:id="75" w:name="_Toc22987"/>
      <w:r>
        <w:rPr>
          <w:rFonts w:hint="eastAsia" w:ascii="仿宋" w:hAnsi="仿宋" w:eastAsia="仿宋" w:cs="仿宋"/>
          <w:b/>
          <w:bCs/>
        </w:rPr>
        <w:t>1.前期准备</w:t>
      </w:r>
      <w:bookmarkEnd w:id="71"/>
      <w:bookmarkEnd w:id="72"/>
      <w:bookmarkEnd w:id="73"/>
      <w:bookmarkEnd w:id="74"/>
      <w:bookmarkEnd w:id="75"/>
      <w:r>
        <w:rPr>
          <w:rFonts w:hint="eastAsia" w:ascii="仿宋" w:hAnsi="仿宋" w:eastAsia="仿宋" w:cs="仿宋"/>
          <w:b/>
          <w:bCs/>
        </w:rPr>
        <w:t>（2025年2月10日-2025年2月28日）</w:t>
      </w:r>
    </w:p>
    <w:p>
      <w:pPr>
        <w:ind w:firstLine="640"/>
        <w:rPr>
          <w:rFonts w:ascii="仿宋" w:hAnsi="仿宋" w:eastAsia="仿宋" w:cs="仿宋"/>
        </w:rPr>
      </w:pPr>
      <w:bookmarkStart w:id="76" w:name="_Toc2579"/>
      <w:r>
        <w:rPr>
          <w:rFonts w:hint="eastAsia" w:ascii="仿宋" w:hAnsi="仿宋" w:eastAsia="仿宋" w:cs="仿宋"/>
          <w:bCs/>
          <w:szCs w:val="32"/>
        </w:rPr>
        <w:t>按照《项目支出绩效评价管理办法》（财预〔2020〕10号）文件要求，</w:t>
      </w:r>
      <w:r>
        <w:rPr>
          <w:rFonts w:hint="eastAsia" w:ascii="仿宋" w:hAnsi="仿宋" w:eastAsia="仿宋" w:cs="仿宋"/>
        </w:rPr>
        <w:t>尉犁县文化体育广播影视局(旅游局)</w:t>
      </w:r>
      <w:r>
        <w:rPr>
          <w:rFonts w:hint="eastAsia" w:ascii="仿宋" w:hAnsi="仿宋" w:eastAsia="仿宋" w:cs="仿宋"/>
          <w:bCs/>
          <w:szCs w:val="32"/>
        </w:rPr>
        <w:t>成立了绩效评价小组，对项目实施的全过程，收集、整理项目实施的</w:t>
      </w:r>
      <w:r>
        <w:rPr>
          <w:rFonts w:hint="eastAsia" w:ascii="仿宋" w:hAnsi="仿宋" w:eastAsia="仿宋" w:cs="仿宋"/>
        </w:rPr>
        <w:t>相关资料，了解项目实施情况和资金支付情况。从项目内容出发，结合项目预期目标，制定绩效评价的指标体系。绩效评价工作小组人员名单及分工如下：</w:t>
      </w:r>
    </w:p>
    <w:p>
      <w:pPr>
        <w:ind w:firstLine="640"/>
        <w:rPr>
          <w:rFonts w:ascii="仿宋" w:hAnsi="仿宋" w:eastAsia="仿宋" w:cs="仿宋"/>
        </w:rPr>
      </w:pPr>
      <w:r>
        <w:rPr>
          <w:rFonts w:hint="eastAsia" w:ascii="仿宋" w:hAnsi="仿宋" w:eastAsia="仿宋" w:cs="仿宋"/>
        </w:rPr>
        <w:t>评价小组组长：阿依古再丽，主要负责协调相关科室、部门对项目整体运行情况进行验收、评估。</w:t>
      </w:r>
    </w:p>
    <w:p>
      <w:pPr>
        <w:ind w:firstLine="640"/>
        <w:rPr>
          <w:rFonts w:ascii="仿宋" w:hAnsi="仿宋" w:eastAsia="仿宋" w:cs="仿宋"/>
        </w:rPr>
      </w:pPr>
      <w:r>
        <w:rPr>
          <w:rFonts w:hint="eastAsia" w:ascii="仿宋" w:hAnsi="仿宋" w:eastAsia="仿宋" w:cs="仿宋"/>
        </w:rPr>
        <w:t>评价小组组员：涂小雪，主要负责制定评价指标体系及评价标准。</w:t>
      </w:r>
    </w:p>
    <w:p>
      <w:pPr>
        <w:ind w:firstLine="640"/>
        <w:rPr>
          <w:rFonts w:ascii="仿宋" w:hAnsi="仿宋" w:eastAsia="仿宋" w:cs="仿宋"/>
        </w:rPr>
      </w:pPr>
      <w:r>
        <w:rPr>
          <w:rFonts w:hint="eastAsia" w:ascii="仿宋" w:hAnsi="仿宋" w:eastAsia="仿宋" w:cs="仿宋"/>
        </w:rPr>
        <w:t>评价小组组员：帕提古丽·阿西木，主要负责孔雀河烽燧群遗址保护利用项目人防易地建设费及基础设施配套费项目实施、监督、评估工作。</w:t>
      </w:r>
    </w:p>
    <w:p>
      <w:pPr>
        <w:ind w:firstLine="643"/>
        <w:rPr>
          <w:rFonts w:ascii="仿宋" w:hAnsi="仿宋" w:eastAsia="仿宋" w:cs="仿宋"/>
          <w:b/>
          <w:bCs/>
        </w:rPr>
      </w:pPr>
      <w:r>
        <w:rPr>
          <w:rFonts w:hint="eastAsia" w:ascii="仿宋" w:hAnsi="仿宋" w:eastAsia="仿宋" w:cs="仿宋"/>
          <w:b/>
          <w:bCs/>
        </w:rPr>
        <w:t>2.组织实施</w:t>
      </w:r>
      <w:bookmarkEnd w:id="76"/>
      <w:r>
        <w:rPr>
          <w:rFonts w:hint="eastAsia" w:ascii="仿宋" w:hAnsi="仿宋" w:eastAsia="仿宋" w:cs="仿宋"/>
          <w:b/>
          <w:bCs/>
        </w:rPr>
        <w:t>（2025年3月1日-2025年3月10日）</w:t>
      </w:r>
    </w:p>
    <w:p>
      <w:pPr>
        <w:ind w:firstLine="640"/>
        <w:rPr>
          <w:rFonts w:ascii="仿宋" w:hAnsi="仿宋" w:eastAsia="仿宋" w:cs="仿宋"/>
        </w:rPr>
      </w:pPr>
      <w:r>
        <w:rPr>
          <w:rFonts w:hint="eastAsia" w:ascii="仿宋" w:hAnsi="仿宋" w:eastAsia="仿宋" w:cs="仿宋"/>
        </w:rPr>
        <w:t>评价的具体实施根据评价指标及评价工作要求，对具体评价内容和不同环节，采用以下取得的资料与评价方式。</w:t>
      </w:r>
    </w:p>
    <w:p>
      <w:pPr>
        <w:ind w:firstLine="640"/>
        <w:rPr>
          <w:rFonts w:ascii="仿宋" w:hAnsi="仿宋" w:eastAsia="仿宋" w:cs="仿宋"/>
        </w:rPr>
      </w:pPr>
      <w:r>
        <w:rPr>
          <w:rFonts w:hint="eastAsia" w:ascii="仿宋" w:hAnsi="仿宋" w:eastAsia="仿宋" w:cs="仿宋"/>
        </w:rPr>
        <w:t>（1）根据绩效管理的要求，本单位成立项目评价小组，全过程跟踪监管项目实施过程，包括项目资金到位时绩效工作的安排、年中2次绩效监控工作的监督，项目实施完成之后收集资料开展项目绩效评价。</w:t>
      </w:r>
    </w:p>
    <w:p>
      <w:pPr>
        <w:ind w:firstLine="640"/>
        <w:rPr>
          <w:rFonts w:ascii="仿宋" w:hAnsi="仿宋" w:eastAsia="仿宋" w:cs="仿宋"/>
        </w:rPr>
      </w:pPr>
      <w:r>
        <w:rPr>
          <w:rFonts w:hint="eastAsia" w:ascii="仿宋" w:hAnsi="仿宋" w:eastAsia="仿宋" w:cs="仿宋"/>
        </w:rPr>
        <w:t>（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ind w:firstLine="640"/>
        <w:rPr>
          <w:rFonts w:ascii="仿宋" w:hAnsi="仿宋" w:eastAsia="仿宋" w:cs="仿宋"/>
        </w:rPr>
      </w:pPr>
      <w:r>
        <w:rPr>
          <w:rFonts w:hint="eastAsia" w:ascii="仿宋" w:hAnsi="仿宋" w:eastAsia="仿宋" w:cs="仿宋"/>
        </w:rPr>
        <w:t>（3）问卷调查。选择与项目评价有关的调查对象，设计调查问卷。通过问卷调查，对有关评价内容完成情况进行打分，并根据分值评价绩效目标完成情况，作为对项目评价的依据。</w:t>
      </w:r>
    </w:p>
    <w:p>
      <w:pPr>
        <w:ind w:firstLine="640"/>
        <w:rPr>
          <w:rFonts w:ascii="仿宋" w:hAnsi="仿宋" w:eastAsia="仿宋" w:cs="仿宋"/>
        </w:rPr>
      </w:pPr>
      <w:r>
        <w:rPr>
          <w:rFonts w:hint="eastAsia" w:ascii="仿宋" w:hAnsi="仿宋" w:eastAsia="仿宋" w:cs="仿宋"/>
        </w:rPr>
        <w:t>（4）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ind w:left="640" w:leftChars="200" w:firstLine="0" w:firstLineChars="0"/>
        <w:rPr>
          <w:rFonts w:ascii="仿宋" w:hAnsi="仿宋" w:eastAsia="仿宋" w:cs="仿宋"/>
        </w:rPr>
      </w:pPr>
      <w:bookmarkStart w:id="77" w:name="_Toc19781"/>
      <w:r>
        <w:rPr>
          <w:rFonts w:hint="eastAsia" w:ascii="仿宋" w:hAnsi="仿宋" w:eastAsia="仿宋" w:cs="仿宋"/>
          <w:b/>
          <w:bCs/>
        </w:rPr>
        <w:t>3.数据集中分析</w:t>
      </w:r>
      <w:bookmarkEnd w:id="77"/>
      <w:r>
        <w:rPr>
          <w:rFonts w:hint="eastAsia" w:ascii="仿宋" w:hAnsi="仿宋" w:eastAsia="仿宋" w:cs="仿宋"/>
          <w:b/>
          <w:bCs/>
        </w:rPr>
        <w:t>（2025年3月11日-2025年3月20日）</w:t>
      </w:r>
      <w:r>
        <w:rPr>
          <w:rFonts w:hint="eastAsia" w:ascii="仿宋" w:hAnsi="仿宋" w:eastAsia="仿宋" w:cs="仿宋"/>
        </w:rPr>
        <w:t>对相关资料，包括资金文件、项目实施方案、相关管理办法，问卷调查等进行集中分析。在查阅大量项目资料的基础上，根据考察、考评的结果进行整理、分析。</w:t>
      </w:r>
    </w:p>
    <w:p>
      <w:pPr>
        <w:ind w:firstLine="643"/>
        <w:rPr>
          <w:rFonts w:ascii="仿宋" w:hAnsi="仿宋" w:eastAsia="仿宋" w:cs="仿宋"/>
          <w:b/>
          <w:bCs/>
        </w:rPr>
      </w:pPr>
      <w:bookmarkStart w:id="78" w:name="_Toc5021"/>
      <w:r>
        <w:rPr>
          <w:rFonts w:hint="eastAsia" w:ascii="仿宋" w:hAnsi="仿宋" w:eastAsia="仿宋" w:cs="仿宋"/>
          <w:b/>
          <w:bCs/>
        </w:rPr>
        <w:t>4.分析总结</w:t>
      </w:r>
      <w:bookmarkEnd w:id="78"/>
      <w:r>
        <w:rPr>
          <w:rFonts w:hint="eastAsia" w:ascii="仿宋" w:hAnsi="仿宋" w:eastAsia="仿宋" w:cs="仿宋"/>
          <w:b/>
          <w:bCs/>
        </w:rPr>
        <w:t>（2025年3月21日-2025年3月31日）</w:t>
      </w:r>
    </w:p>
    <w:p>
      <w:pPr>
        <w:ind w:firstLine="640"/>
        <w:rPr>
          <w:rFonts w:ascii="仿宋" w:hAnsi="仿宋" w:eastAsia="仿宋" w:cs="仿宋"/>
        </w:rPr>
      </w:pPr>
      <w:r>
        <w:rPr>
          <w:rFonts w:hint="eastAsia" w:ascii="仿宋" w:hAnsi="仿宋" w:eastAsia="仿宋" w:cs="仿宋"/>
        </w:rPr>
        <w:t>（1）根据部门自评的意见及考察、考评的结果进行整理、分析，撰写绩效评价报告初稿；</w:t>
      </w:r>
    </w:p>
    <w:p>
      <w:pPr>
        <w:ind w:firstLine="640"/>
        <w:rPr>
          <w:rFonts w:ascii="仿宋" w:hAnsi="仿宋" w:eastAsia="仿宋" w:cs="仿宋"/>
        </w:rPr>
      </w:pPr>
      <w:r>
        <w:rPr>
          <w:rFonts w:hint="eastAsia" w:ascii="仿宋" w:hAnsi="仿宋" w:eastAsia="仿宋" w:cs="仿宋"/>
        </w:rPr>
        <w:t>（2）就部门自评报告与部门具体有关股室征求意见，形成最终的绩效评价报告。</w:t>
      </w:r>
    </w:p>
    <w:p>
      <w:pPr>
        <w:ind w:firstLine="643"/>
        <w:rPr>
          <w:rFonts w:ascii="仿宋" w:hAnsi="仿宋" w:eastAsia="仿宋" w:cs="仿宋"/>
          <w:b/>
          <w:bCs/>
        </w:rPr>
      </w:pPr>
      <w:r>
        <w:rPr>
          <w:rFonts w:hint="eastAsia" w:ascii="仿宋" w:hAnsi="仿宋" w:eastAsia="仿宋" w:cs="仿宋"/>
          <w:b/>
          <w:bCs/>
        </w:rPr>
        <w:t>5.问题整改</w:t>
      </w:r>
    </w:p>
    <w:p>
      <w:pPr>
        <w:ind w:firstLine="640"/>
        <w:rPr>
          <w:rFonts w:ascii="仿宋" w:hAnsi="仿宋" w:eastAsia="仿宋" w:cs="仿宋"/>
        </w:rPr>
      </w:pPr>
      <w:r>
        <w:rPr>
          <w:rFonts w:hint="eastAsia" w:ascii="仿宋" w:hAnsi="仿宋" w:eastAsia="仿宋" w:cs="仿宋"/>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ind w:firstLine="643"/>
        <w:rPr>
          <w:rFonts w:ascii="仿宋" w:hAnsi="仿宋" w:eastAsia="仿宋" w:cs="仿宋"/>
          <w:b/>
          <w:bCs/>
        </w:rPr>
      </w:pPr>
      <w:r>
        <w:rPr>
          <w:rFonts w:hint="eastAsia" w:ascii="仿宋" w:hAnsi="仿宋" w:eastAsia="仿宋" w:cs="仿宋"/>
          <w:b/>
          <w:bCs/>
        </w:rPr>
        <w:t>6.档案整理</w:t>
      </w:r>
    </w:p>
    <w:p>
      <w:pPr>
        <w:ind w:firstLine="640"/>
        <w:rPr>
          <w:rFonts w:ascii="仿宋" w:hAnsi="仿宋" w:eastAsia="仿宋" w:cs="仿宋"/>
        </w:rPr>
      </w:pPr>
      <w:r>
        <w:rPr>
          <w:rFonts w:hint="eastAsia" w:ascii="仿宋" w:hAnsi="仿宋" w:eastAsia="仿宋" w:cs="仿宋"/>
        </w:rPr>
        <w:t>建立和落实档案管理制度，将项目相关资料存档，包括但不限于：评价项目基本情况和相关文件、评价实施方案、项目支付资料等相关档案。</w:t>
      </w:r>
    </w:p>
    <w:p>
      <w:pPr>
        <w:pStyle w:val="4"/>
        <w:ind w:firstLine="640"/>
        <w:rPr>
          <w:rFonts w:ascii="仿宋" w:hAnsi="仿宋" w:eastAsia="仿宋" w:cs="仿宋"/>
        </w:rPr>
      </w:pPr>
      <w:bookmarkStart w:id="79" w:name="_Toc21627"/>
      <w:bookmarkStart w:id="80" w:name="_Toc25201"/>
      <w:bookmarkStart w:id="81" w:name="_Toc31058"/>
      <w:bookmarkStart w:id="82" w:name="_Toc32641"/>
      <w:bookmarkStart w:id="83" w:name="_Toc26603"/>
      <w:bookmarkStart w:id="84" w:name="_Toc1808"/>
      <w:r>
        <w:rPr>
          <w:rFonts w:hint="eastAsia" w:ascii="仿宋" w:hAnsi="仿宋" w:eastAsia="仿宋" w:cs="仿宋"/>
        </w:rPr>
        <w:t>三、综合评价情况及评价结论</w:t>
      </w:r>
      <w:bookmarkEnd w:id="79"/>
      <w:bookmarkEnd w:id="80"/>
      <w:bookmarkEnd w:id="81"/>
      <w:bookmarkEnd w:id="82"/>
      <w:bookmarkEnd w:id="83"/>
      <w:bookmarkEnd w:id="84"/>
    </w:p>
    <w:p>
      <w:pPr>
        <w:ind w:firstLine="640"/>
        <w:rPr>
          <w:rFonts w:ascii="仿宋" w:hAnsi="仿宋" w:eastAsia="仿宋" w:cs="仿宋"/>
        </w:rPr>
      </w:pPr>
      <w:r>
        <w:rPr>
          <w:rFonts w:hint="eastAsia" w:ascii="仿宋" w:hAnsi="仿宋" w:eastAsia="仿宋" w:cs="仿宋"/>
        </w:rPr>
        <w:t>本项目的绩效评价结果为“优”，综合评分100分。其中项目决策22分，项目过程18分，项目产出管理得分40分，项目效益20分。各部分权重和绩效汇总分值如下表所示：</w:t>
      </w:r>
    </w:p>
    <w:tbl>
      <w:tblPr>
        <w:tblStyle w:val="15"/>
        <w:tblW w:w="0" w:type="auto"/>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tcMar>
              <w:top w:w="15" w:type="dxa"/>
              <w:left w:w="15" w:type="dxa"/>
              <w:bottom w:w="0" w:type="dxa"/>
              <w:right w:w="15" w:type="dxa"/>
            </w:tcMar>
            <w:vAlign w:val="center"/>
          </w:tcPr>
          <w:p>
            <w:pPr>
              <w:pStyle w:val="33"/>
              <w:rPr>
                <w:rFonts w:hint="default" w:ascii="仿宋" w:hAnsi="仿宋" w:eastAsia="仿宋" w:cs="仿宋"/>
              </w:rPr>
            </w:pPr>
            <w:bookmarkStart w:id="85" w:name="_Toc15110"/>
            <w:bookmarkStart w:id="86" w:name="_Toc30727"/>
            <w:bookmarkStart w:id="87" w:name="_Toc17356"/>
            <w:r>
              <w:rPr>
                <w:rFonts w:ascii="仿宋" w:hAnsi="仿宋" w:eastAsia="仿宋" w:cs="仿宋"/>
              </w:rPr>
              <w:t>孔雀河烽燧群遗址保护利用项目人防易地建设费及基础</w:t>
            </w:r>
            <w:bookmarkEnd w:id="85"/>
          </w:p>
          <w:p>
            <w:pPr>
              <w:pStyle w:val="33"/>
              <w:rPr>
                <w:rFonts w:hint="default" w:ascii="仿宋" w:hAnsi="仿宋" w:eastAsia="仿宋" w:cs="仿宋"/>
              </w:rPr>
            </w:pPr>
            <w:bookmarkStart w:id="88" w:name="_Toc11587"/>
            <w:r>
              <w:rPr>
                <w:rFonts w:ascii="仿宋" w:hAnsi="仿宋" w:eastAsia="仿宋" w:cs="仿宋"/>
              </w:rPr>
              <w:t>设施配套费</w:t>
            </w:r>
            <w:bookmarkStart w:id="89" w:name="_Toc16086"/>
            <w:bookmarkStart w:id="90" w:name="_Toc3703"/>
            <w:r>
              <w:rPr>
                <w:rFonts w:ascii="仿宋" w:hAnsi="仿宋" w:eastAsia="仿宋" w:cs="仿宋"/>
              </w:rPr>
              <w:t>绩效评价</w:t>
            </w:r>
            <w:r>
              <w:rPr>
                <w:rFonts w:ascii="仿宋" w:hAnsi="仿宋" w:eastAsia="仿宋" w:cs="仿宋"/>
                <w:lang w:val="zh-TW" w:eastAsia="zh-TW"/>
              </w:rPr>
              <w:t>得分表</w:t>
            </w:r>
            <w:bookmarkEnd w:id="88"/>
            <w:bookmarkEnd w:id="89"/>
            <w:bookmarkEnd w:id="90"/>
          </w:p>
        </w:tc>
      </w:tr>
      <w:tr>
        <w:tblPrEx>
          <w:tblCellMar>
            <w:top w:w="0" w:type="dxa"/>
            <w:left w:w="0" w:type="dxa"/>
            <w:bottom w:w="0" w:type="dxa"/>
            <w:right w:w="0" w:type="dxa"/>
          </w:tblCellMar>
        </w:tblPrEx>
        <w:trPr>
          <w:trHeight w:val="140" w:hRule="atLeast"/>
          <w:jc w:val="center"/>
        </w:trPr>
        <w:tc>
          <w:tcPr>
            <w:tcW w:w="10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指标类别</w:t>
            </w:r>
          </w:p>
        </w:tc>
        <w:tc>
          <w:tcPr>
            <w:tcW w:w="15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1.项目决策</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2.过程管理</w:t>
            </w:r>
          </w:p>
        </w:tc>
        <w:tc>
          <w:tcPr>
            <w:tcW w:w="153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3.项目产出</w:t>
            </w:r>
          </w:p>
        </w:tc>
        <w:tc>
          <w:tcPr>
            <w:tcW w:w="15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4.项目效益</w:t>
            </w:r>
          </w:p>
        </w:tc>
        <w:tc>
          <w:tcPr>
            <w:tcW w:w="10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合计</w:t>
            </w:r>
          </w:p>
        </w:tc>
      </w:tr>
      <w:tr>
        <w:tblPrEx>
          <w:tblCellMar>
            <w:top w:w="0" w:type="dxa"/>
            <w:left w:w="0" w:type="dxa"/>
            <w:bottom w:w="0" w:type="dxa"/>
            <w:right w:w="0" w:type="dxa"/>
          </w:tblCellMar>
        </w:tblPrEx>
        <w:trPr>
          <w:trHeight w:val="206" w:hRule="atLeast"/>
          <w:jc w:val="center"/>
        </w:trPr>
        <w:tc>
          <w:tcPr>
            <w:tcW w:w="10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权重</w:t>
            </w:r>
          </w:p>
        </w:tc>
        <w:tc>
          <w:tcPr>
            <w:tcW w:w="15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22%</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18%</w:t>
            </w:r>
          </w:p>
        </w:tc>
        <w:tc>
          <w:tcPr>
            <w:tcW w:w="153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40%</w:t>
            </w:r>
          </w:p>
        </w:tc>
        <w:tc>
          <w:tcPr>
            <w:tcW w:w="15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20%</w:t>
            </w:r>
          </w:p>
        </w:tc>
        <w:tc>
          <w:tcPr>
            <w:tcW w:w="10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100</w:t>
            </w:r>
          </w:p>
        </w:tc>
      </w:tr>
      <w:tr>
        <w:tblPrEx>
          <w:tblCellMar>
            <w:top w:w="0" w:type="dxa"/>
            <w:left w:w="0" w:type="dxa"/>
            <w:bottom w:w="0" w:type="dxa"/>
            <w:right w:w="0" w:type="dxa"/>
          </w:tblCellMar>
        </w:tblPrEx>
        <w:trPr>
          <w:trHeight w:val="90" w:hRule="atLeast"/>
          <w:jc w:val="center"/>
        </w:trPr>
        <w:tc>
          <w:tcPr>
            <w:tcW w:w="10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分值</w:t>
            </w:r>
          </w:p>
        </w:tc>
        <w:tc>
          <w:tcPr>
            <w:tcW w:w="15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22</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18</w:t>
            </w:r>
          </w:p>
        </w:tc>
        <w:tc>
          <w:tcPr>
            <w:tcW w:w="153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40</w:t>
            </w:r>
          </w:p>
        </w:tc>
        <w:tc>
          <w:tcPr>
            <w:tcW w:w="15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20</w:t>
            </w:r>
          </w:p>
        </w:tc>
        <w:tc>
          <w:tcPr>
            <w:tcW w:w="10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100</w:t>
            </w:r>
          </w:p>
        </w:tc>
      </w:tr>
      <w:tr>
        <w:tblPrEx>
          <w:tblCellMar>
            <w:top w:w="0" w:type="dxa"/>
            <w:left w:w="0" w:type="dxa"/>
            <w:bottom w:w="0" w:type="dxa"/>
            <w:right w:w="0" w:type="dxa"/>
          </w:tblCellMar>
        </w:tblPrEx>
        <w:trPr>
          <w:trHeight w:val="150" w:hRule="atLeast"/>
          <w:jc w:val="center"/>
        </w:trPr>
        <w:tc>
          <w:tcPr>
            <w:tcW w:w="10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rPr>
            </w:pPr>
            <w:r>
              <w:rPr>
                <w:rFonts w:ascii="仿宋" w:hAnsi="仿宋" w:eastAsia="仿宋" w:cs="仿宋"/>
              </w:rPr>
              <w:t>得分</w:t>
            </w:r>
          </w:p>
        </w:tc>
        <w:tc>
          <w:tcPr>
            <w:tcW w:w="154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highlight w:val="yellow"/>
              </w:rPr>
            </w:pPr>
            <w:r>
              <w:rPr>
                <w:rFonts w:ascii="仿宋" w:hAnsi="仿宋" w:eastAsia="仿宋" w:cs="仿宋"/>
              </w:rPr>
              <w:t>22</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highlight w:val="yellow"/>
              </w:rPr>
            </w:pPr>
            <w:r>
              <w:rPr>
                <w:rFonts w:ascii="仿宋" w:hAnsi="仿宋" w:eastAsia="仿宋" w:cs="仿宋"/>
              </w:rPr>
              <w:t>18</w:t>
            </w:r>
          </w:p>
        </w:tc>
        <w:tc>
          <w:tcPr>
            <w:tcW w:w="153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highlight w:val="yellow"/>
              </w:rPr>
            </w:pPr>
            <w:r>
              <w:rPr>
                <w:rFonts w:ascii="仿宋" w:hAnsi="仿宋" w:eastAsia="仿宋" w:cs="仿宋"/>
              </w:rPr>
              <w:t>40</w:t>
            </w:r>
          </w:p>
        </w:tc>
        <w:tc>
          <w:tcPr>
            <w:tcW w:w="15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highlight w:val="yellow"/>
              </w:rPr>
            </w:pPr>
            <w:r>
              <w:rPr>
                <w:rFonts w:ascii="仿宋" w:hAnsi="仿宋" w:eastAsia="仿宋" w:cs="仿宋"/>
              </w:rPr>
              <w:t>20</w:t>
            </w:r>
          </w:p>
        </w:tc>
        <w:tc>
          <w:tcPr>
            <w:tcW w:w="109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34"/>
              <w:rPr>
                <w:rFonts w:hint="default" w:ascii="仿宋" w:hAnsi="仿宋" w:eastAsia="仿宋" w:cs="仿宋"/>
                <w:highlight w:val="yellow"/>
              </w:rPr>
            </w:pPr>
            <w:r>
              <w:rPr>
                <w:rFonts w:ascii="仿宋" w:hAnsi="仿宋" w:eastAsia="仿宋" w:cs="仿宋"/>
              </w:rPr>
              <w:t>100</w:t>
            </w:r>
          </w:p>
        </w:tc>
      </w:tr>
    </w:tbl>
    <w:p>
      <w:pPr>
        <w:pStyle w:val="4"/>
        <w:ind w:firstLine="640"/>
        <w:rPr>
          <w:rFonts w:ascii="仿宋" w:hAnsi="仿宋" w:eastAsia="仿宋" w:cs="仿宋"/>
        </w:rPr>
      </w:pPr>
      <w:bookmarkStart w:id="91" w:name="_Toc4904"/>
      <w:bookmarkStart w:id="92" w:name="_Toc8078"/>
      <w:bookmarkStart w:id="93" w:name="_Toc29439"/>
      <w:bookmarkStart w:id="94" w:name="_Toc13630"/>
      <w:r>
        <w:rPr>
          <w:rFonts w:hint="eastAsia" w:ascii="仿宋" w:hAnsi="仿宋" w:eastAsia="仿宋" w:cs="仿宋"/>
        </w:rPr>
        <w:t>四、绩效评价指标分析</w:t>
      </w:r>
      <w:bookmarkEnd w:id="86"/>
      <w:bookmarkEnd w:id="87"/>
      <w:bookmarkEnd w:id="91"/>
      <w:bookmarkEnd w:id="92"/>
      <w:bookmarkEnd w:id="93"/>
      <w:bookmarkEnd w:id="94"/>
    </w:p>
    <w:p>
      <w:pPr>
        <w:pStyle w:val="5"/>
        <w:ind w:firstLine="643"/>
        <w:rPr>
          <w:rFonts w:ascii="仿宋" w:hAnsi="仿宋" w:eastAsia="仿宋" w:cs="仿宋"/>
        </w:rPr>
      </w:pPr>
      <w:bookmarkStart w:id="95" w:name="_Toc2901"/>
      <w:bookmarkStart w:id="96" w:name="_Toc1968"/>
      <w:bookmarkStart w:id="97" w:name="_Toc22323"/>
      <w:bookmarkStart w:id="98" w:name="_Toc28477"/>
      <w:bookmarkStart w:id="99" w:name="_Toc2709"/>
      <w:r>
        <w:rPr>
          <w:rFonts w:hint="eastAsia" w:ascii="仿宋" w:hAnsi="仿宋" w:eastAsia="仿宋" w:cs="仿宋"/>
        </w:rPr>
        <w:t>（一）项目决策情况</w:t>
      </w:r>
      <w:bookmarkEnd w:id="95"/>
      <w:bookmarkEnd w:id="96"/>
      <w:bookmarkEnd w:id="97"/>
      <w:bookmarkEnd w:id="98"/>
      <w:bookmarkEnd w:id="99"/>
    </w:p>
    <w:p>
      <w:pPr>
        <w:ind w:firstLine="643"/>
        <w:rPr>
          <w:rFonts w:ascii="仿宋" w:hAnsi="仿宋" w:eastAsia="仿宋" w:cs="仿宋"/>
          <w:b/>
          <w:bCs/>
        </w:rPr>
      </w:pPr>
      <w:bookmarkStart w:id="100" w:name="_Toc22511"/>
      <w:bookmarkStart w:id="101" w:name="_Toc510"/>
      <w:r>
        <w:rPr>
          <w:rFonts w:hint="eastAsia" w:ascii="仿宋" w:hAnsi="仿宋" w:eastAsia="仿宋" w:cs="仿宋"/>
          <w:b/>
          <w:bCs/>
        </w:rPr>
        <w:t>1.立项依据充分性</w:t>
      </w:r>
      <w:bookmarkEnd w:id="100"/>
      <w:bookmarkEnd w:id="101"/>
    </w:p>
    <w:p>
      <w:pPr>
        <w:ind w:firstLine="640"/>
        <w:rPr>
          <w:rFonts w:ascii="仿宋" w:hAnsi="仿宋" w:eastAsia="仿宋" w:cs="仿宋"/>
        </w:rPr>
      </w:pPr>
      <w:r>
        <w:rPr>
          <w:rFonts w:hint="eastAsia" w:ascii="仿宋" w:hAnsi="仿宋" w:eastAsia="仿宋" w:cs="仿宋"/>
        </w:rPr>
        <w:t>根据《关于下达2023年文化保护传承利用工程（第一批）中央基建投资预算（拨款）的通知》（新财建〔2023〕77号）《关于巴音郭楞蒙古自治州尉犁孔雀河烽燧群遗址保护利用项目可行性研究报告（代项目建议书）的批复》（巴发改项目（2022）109号）实施本项目。项目实施符合国家法律法规、国民经济发展规划和相关政策；符合行业发展规划和政策要求；与部门职责范围相符，属</w:t>
      </w:r>
      <w:r>
        <w:rPr>
          <w:rFonts w:hint="eastAsia" w:ascii="仿宋" w:hAnsi="仿宋" w:eastAsia="仿宋" w:cs="仿宋"/>
          <w:lang w:val="en-US" w:eastAsia="zh-CN"/>
        </w:rPr>
        <w:t>于</w:t>
      </w:r>
      <w:bookmarkStart w:id="196" w:name="_GoBack"/>
      <w:bookmarkEnd w:id="196"/>
      <w:r>
        <w:rPr>
          <w:rFonts w:hint="eastAsia" w:ascii="仿宋" w:hAnsi="仿宋" w:eastAsia="仿宋" w:cs="仿宋"/>
        </w:rPr>
        <w:t>部门履职所需；属于公共财政支持范围，符合中央、地方事权支出责任划分原则；不存在与相关部门同类项目或部门内部相关项目重复的现象。项目立项依据充分。</w:t>
      </w:r>
    </w:p>
    <w:p>
      <w:pPr>
        <w:ind w:firstLine="640"/>
        <w:rPr>
          <w:rFonts w:ascii="仿宋" w:hAnsi="仿宋" w:eastAsia="仿宋" w:cs="仿宋"/>
        </w:rPr>
      </w:pPr>
      <w:r>
        <w:rPr>
          <w:rFonts w:hint="eastAsia" w:ascii="仿宋" w:hAnsi="仿宋" w:eastAsia="仿宋" w:cs="仿宋"/>
        </w:rPr>
        <w:t>本项满分3分，评估得分3分。</w:t>
      </w:r>
    </w:p>
    <w:p>
      <w:pPr>
        <w:ind w:firstLine="643"/>
        <w:rPr>
          <w:rFonts w:ascii="仿宋" w:hAnsi="仿宋" w:eastAsia="仿宋" w:cs="仿宋"/>
          <w:b/>
          <w:bCs/>
        </w:rPr>
      </w:pPr>
      <w:bookmarkStart w:id="102" w:name="_Toc27895"/>
      <w:bookmarkStart w:id="103" w:name="_Toc283"/>
      <w:r>
        <w:rPr>
          <w:rFonts w:hint="eastAsia" w:ascii="仿宋" w:hAnsi="仿宋" w:eastAsia="仿宋" w:cs="仿宋"/>
          <w:b/>
          <w:bCs/>
        </w:rPr>
        <w:t>2.立项程序规范性</w:t>
      </w:r>
      <w:bookmarkEnd w:id="102"/>
      <w:bookmarkEnd w:id="103"/>
    </w:p>
    <w:p>
      <w:pPr>
        <w:ind w:firstLine="640"/>
        <w:rPr>
          <w:rFonts w:ascii="仿宋" w:hAnsi="仿宋" w:eastAsia="仿宋" w:cs="仿宋"/>
        </w:rPr>
      </w:pPr>
      <w:r>
        <w:rPr>
          <w:rFonts w:hint="eastAsia" w:ascii="仿宋" w:hAnsi="仿宋" w:eastAsia="仿宋" w:cs="仿宋"/>
        </w:rPr>
        <w:t>本项目实施单位尉犁县文化体育广播影视局(旅游局)编制了《巴音郭楞蒙古自治州尉犁孔雀河烽燧群遗址保护利用项目可行性研究报告(代项目建议书)》，2021年11月完成可行性研究报告编制。得到了巴州发展和改革委员会《关于巴音郭楞蒙古自治州尉犁孔雀河烽燧群遗址保护利用项目可行性研究报告(代项目建议书)的批复》（巴发改项目〔2022〕109号），批复时间2022年3月29日，立项程序规范。</w:t>
      </w:r>
    </w:p>
    <w:p>
      <w:pPr>
        <w:ind w:firstLine="640"/>
        <w:rPr>
          <w:rFonts w:ascii="仿宋" w:hAnsi="仿宋" w:eastAsia="仿宋" w:cs="仿宋"/>
        </w:rPr>
      </w:pPr>
      <w:r>
        <w:rPr>
          <w:rFonts w:hint="eastAsia" w:ascii="仿宋" w:hAnsi="仿宋" w:eastAsia="仿宋" w:cs="仿宋"/>
        </w:rPr>
        <w:t>本项满分3分，评估得分3分。</w:t>
      </w:r>
    </w:p>
    <w:p>
      <w:pPr>
        <w:ind w:firstLine="643"/>
        <w:rPr>
          <w:rFonts w:ascii="仿宋" w:hAnsi="仿宋" w:eastAsia="仿宋" w:cs="仿宋"/>
          <w:b/>
          <w:bCs/>
        </w:rPr>
      </w:pPr>
      <w:bookmarkStart w:id="104" w:name="_Toc20471"/>
      <w:bookmarkStart w:id="105" w:name="_Toc13368"/>
      <w:r>
        <w:rPr>
          <w:rFonts w:hint="eastAsia" w:ascii="仿宋" w:hAnsi="仿宋" w:eastAsia="仿宋" w:cs="仿宋"/>
          <w:b/>
          <w:bCs/>
        </w:rPr>
        <w:t>3.绩效目标合理性</w:t>
      </w:r>
      <w:bookmarkEnd w:id="104"/>
      <w:bookmarkEnd w:id="105"/>
    </w:p>
    <w:p>
      <w:pPr>
        <w:ind w:firstLine="640"/>
        <w:rPr>
          <w:rFonts w:ascii="仿宋" w:hAnsi="仿宋" w:eastAsia="仿宋" w:cs="仿宋"/>
        </w:rPr>
      </w:pPr>
      <w:r>
        <w:rPr>
          <w:rFonts w:hint="eastAsia" w:ascii="仿宋" w:hAnsi="仿宋" w:eastAsia="仿宋" w:cs="仿宋"/>
        </w:rPr>
        <w:t>孔雀河烽燧群遗址保护利用项目人防易地建设费及基础设施配套费设立了项目绩效目标，绩效目标指标设置合理，项目绩效目标与实际工作内容相关性较强；项目预期产出效益和效果符合正常的业绩水平；绩效目标与预算确定的项目投资额相匹配。</w:t>
      </w:r>
    </w:p>
    <w:p>
      <w:pPr>
        <w:ind w:firstLine="640"/>
        <w:rPr>
          <w:rFonts w:ascii="仿宋" w:hAnsi="仿宋" w:eastAsia="仿宋" w:cs="仿宋"/>
        </w:rPr>
      </w:pPr>
      <w:r>
        <w:rPr>
          <w:rFonts w:hint="eastAsia" w:ascii="仿宋" w:hAnsi="仿宋" w:eastAsia="仿宋" w:cs="仿宋"/>
        </w:rPr>
        <w:t>本项满分4分，评估得分4分。</w:t>
      </w:r>
    </w:p>
    <w:p>
      <w:pPr>
        <w:ind w:firstLine="643"/>
        <w:rPr>
          <w:rFonts w:ascii="仿宋" w:hAnsi="仿宋" w:eastAsia="仿宋" w:cs="仿宋"/>
          <w:b/>
          <w:bCs/>
        </w:rPr>
      </w:pPr>
      <w:bookmarkStart w:id="106" w:name="_Toc21087"/>
      <w:bookmarkStart w:id="107" w:name="_Toc15543"/>
      <w:r>
        <w:rPr>
          <w:rFonts w:hint="eastAsia" w:ascii="仿宋" w:hAnsi="仿宋" w:eastAsia="仿宋" w:cs="仿宋"/>
          <w:b/>
          <w:bCs/>
        </w:rPr>
        <w:t>4.绩效指标明确性</w:t>
      </w:r>
      <w:bookmarkEnd w:id="106"/>
      <w:bookmarkEnd w:id="107"/>
    </w:p>
    <w:p>
      <w:pPr>
        <w:ind w:firstLine="640"/>
        <w:rPr>
          <w:rFonts w:ascii="仿宋" w:hAnsi="仿宋" w:eastAsia="仿宋" w:cs="仿宋"/>
        </w:rPr>
      </w:pPr>
      <w:r>
        <w:rPr>
          <w:rFonts w:hint="eastAsia" w:ascii="仿宋" w:hAnsi="仿宋" w:eastAsia="仿宋" w:cs="仿宋"/>
        </w:rPr>
        <w:t>孔雀河烽燧群遗址保护利用项目人防易地建设费及基础设施配套费，设置一级指标4条，二级指标6条，三级指标8条，其中量化指标7条，绩效目标指标设定清晰、可衡量性较强，与项目目标任务计划数对应性较强。</w:t>
      </w:r>
    </w:p>
    <w:p>
      <w:pPr>
        <w:ind w:firstLine="640"/>
        <w:rPr>
          <w:rFonts w:ascii="仿宋" w:hAnsi="仿宋" w:eastAsia="仿宋" w:cs="仿宋"/>
        </w:rPr>
      </w:pPr>
      <w:r>
        <w:rPr>
          <w:rFonts w:hint="eastAsia" w:ascii="仿宋" w:hAnsi="仿宋" w:eastAsia="仿宋" w:cs="仿宋"/>
        </w:rPr>
        <w:t>本项满分4分，评估得分4分。</w:t>
      </w:r>
    </w:p>
    <w:p>
      <w:pPr>
        <w:ind w:firstLine="643"/>
        <w:rPr>
          <w:rFonts w:ascii="仿宋" w:hAnsi="仿宋" w:eastAsia="仿宋" w:cs="仿宋"/>
          <w:b/>
          <w:bCs/>
        </w:rPr>
      </w:pPr>
      <w:bookmarkStart w:id="108" w:name="_Toc21476"/>
      <w:bookmarkStart w:id="109" w:name="_Toc25638"/>
      <w:r>
        <w:rPr>
          <w:rFonts w:hint="eastAsia" w:ascii="仿宋" w:hAnsi="仿宋" w:eastAsia="仿宋" w:cs="仿宋"/>
          <w:b/>
          <w:bCs/>
        </w:rPr>
        <w:t>5.预算编制科学性</w:t>
      </w:r>
      <w:bookmarkEnd w:id="108"/>
      <w:bookmarkEnd w:id="109"/>
    </w:p>
    <w:p>
      <w:pPr>
        <w:ind w:firstLine="640"/>
        <w:rPr>
          <w:rFonts w:ascii="仿宋" w:hAnsi="仿宋" w:eastAsia="仿宋" w:cs="仿宋"/>
        </w:rPr>
      </w:pPr>
      <w:r>
        <w:rPr>
          <w:rFonts w:hint="eastAsia" w:ascii="仿宋" w:hAnsi="仿宋" w:eastAsia="仿宋" w:cs="仿宋"/>
        </w:rPr>
        <w:t>本项目预算资金272.86万元，来源为当年财政拨款资金272.86万元，预算编制较为科学，预算内容与项目建设内容相匹配，预算额度测算依据充分，预算确定的资金量与工程量相匹配。</w:t>
      </w:r>
    </w:p>
    <w:p>
      <w:pPr>
        <w:ind w:firstLine="640"/>
        <w:rPr>
          <w:rFonts w:ascii="仿宋" w:hAnsi="仿宋" w:eastAsia="仿宋" w:cs="仿宋"/>
        </w:rPr>
      </w:pPr>
      <w:r>
        <w:rPr>
          <w:rFonts w:hint="eastAsia" w:ascii="仿宋" w:hAnsi="仿宋" w:eastAsia="仿宋" w:cs="仿宋"/>
        </w:rPr>
        <w:t>本项满分4分，评估得分4分。</w:t>
      </w:r>
    </w:p>
    <w:p>
      <w:pPr>
        <w:ind w:firstLine="643"/>
        <w:rPr>
          <w:rFonts w:ascii="仿宋" w:hAnsi="仿宋" w:eastAsia="仿宋" w:cs="仿宋"/>
          <w:b/>
          <w:bCs/>
        </w:rPr>
      </w:pPr>
      <w:bookmarkStart w:id="110" w:name="_Toc30661"/>
      <w:bookmarkStart w:id="111" w:name="_Toc21577"/>
      <w:r>
        <w:rPr>
          <w:rFonts w:hint="eastAsia" w:ascii="仿宋" w:hAnsi="仿宋" w:eastAsia="仿宋" w:cs="仿宋"/>
          <w:b/>
          <w:bCs/>
        </w:rPr>
        <w:t>6.资金分配合理性</w:t>
      </w:r>
      <w:bookmarkEnd w:id="110"/>
      <w:bookmarkEnd w:id="111"/>
    </w:p>
    <w:p>
      <w:pPr>
        <w:ind w:firstLine="640"/>
        <w:rPr>
          <w:rFonts w:ascii="仿宋" w:hAnsi="仿宋" w:eastAsia="仿宋" w:cs="仿宋"/>
        </w:rPr>
      </w:pPr>
      <w:r>
        <w:rPr>
          <w:rFonts w:hint="eastAsia" w:ascii="仿宋" w:hAnsi="仿宋" w:eastAsia="仿宋" w:cs="仿宋"/>
        </w:rPr>
        <w:t>本项目预算资金分配依据充分；资金分配额度合理，与项目单位实际相适应。</w:t>
      </w:r>
    </w:p>
    <w:p>
      <w:pPr>
        <w:ind w:firstLine="640"/>
        <w:rPr>
          <w:rFonts w:ascii="仿宋" w:hAnsi="仿宋" w:eastAsia="仿宋" w:cs="仿宋"/>
        </w:rPr>
      </w:pPr>
      <w:r>
        <w:rPr>
          <w:rFonts w:hint="eastAsia" w:ascii="仿宋" w:hAnsi="仿宋" w:eastAsia="仿宋" w:cs="仿宋"/>
        </w:rPr>
        <w:t>本项满分4分，评估得分4分。</w:t>
      </w:r>
    </w:p>
    <w:p>
      <w:pPr>
        <w:pStyle w:val="5"/>
        <w:ind w:firstLine="643"/>
        <w:rPr>
          <w:rFonts w:ascii="仿宋" w:hAnsi="仿宋" w:eastAsia="仿宋" w:cs="仿宋"/>
        </w:rPr>
      </w:pPr>
      <w:bookmarkStart w:id="112" w:name="_Toc13442"/>
      <w:bookmarkStart w:id="113" w:name="_Toc9897"/>
      <w:bookmarkStart w:id="114" w:name="_Toc30992"/>
      <w:bookmarkStart w:id="115" w:name="_Toc27896"/>
      <w:bookmarkStart w:id="116" w:name="_Toc27855"/>
      <w:r>
        <w:rPr>
          <w:rFonts w:hint="eastAsia" w:ascii="仿宋" w:hAnsi="仿宋" w:eastAsia="仿宋" w:cs="仿宋"/>
        </w:rPr>
        <w:t>（二）项目过程情况</w:t>
      </w:r>
      <w:bookmarkEnd w:id="112"/>
      <w:bookmarkEnd w:id="113"/>
      <w:bookmarkEnd w:id="114"/>
      <w:bookmarkEnd w:id="115"/>
      <w:bookmarkEnd w:id="116"/>
    </w:p>
    <w:p>
      <w:pPr>
        <w:ind w:firstLine="643"/>
        <w:rPr>
          <w:rFonts w:ascii="仿宋" w:hAnsi="仿宋" w:eastAsia="仿宋" w:cs="仿宋"/>
          <w:b/>
          <w:bCs/>
        </w:rPr>
      </w:pPr>
      <w:bookmarkStart w:id="117" w:name="_Toc29417"/>
      <w:bookmarkStart w:id="118" w:name="_Toc19854"/>
      <w:r>
        <w:rPr>
          <w:rFonts w:hint="eastAsia" w:ascii="仿宋" w:hAnsi="仿宋" w:eastAsia="仿宋" w:cs="仿宋"/>
          <w:b/>
          <w:bCs/>
        </w:rPr>
        <w:t>1.资金到位率</w:t>
      </w:r>
      <w:bookmarkEnd w:id="117"/>
      <w:bookmarkEnd w:id="118"/>
    </w:p>
    <w:p>
      <w:pPr>
        <w:ind w:firstLine="640"/>
        <w:rPr>
          <w:rFonts w:ascii="仿宋" w:hAnsi="仿宋" w:eastAsia="仿宋" w:cs="仿宋"/>
        </w:rPr>
      </w:pPr>
      <w:r>
        <w:rPr>
          <w:rFonts w:hint="eastAsia" w:ascii="仿宋" w:hAnsi="仿宋" w:eastAsia="仿宋" w:cs="仿宋"/>
        </w:rPr>
        <w:t>本项目预算资金272.86万元，实际到位资金272.86万元，资金到位率100%。</w:t>
      </w:r>
    </w:p>
    <w:p>
      <w:pPr>
        <w:ind w:firstLine="640"/>
        <w:rPr>
          <w:rFonts w:ascii="仿宋" w:hAnsi="仿宋" w:eastAsia="仿宋" w:cs="仿宋"/>
        </w:rPr>
      </w:pPr>
      <w:r>
        <w:rPr>
          <w:rFonts w:hint="eastAsia" w:ascii="仿宋" w:hAnsi="仿宋" w:eastAsia="仿宋" w:cs="仿宋"/>
        </w:rPr>
        <w:t>本项满分4分，评估得分4分。</w:t>
      </w:r>
    </w:p>
    <w:p>
      <w:pPr>
        <w:ind w:firstLine="643"/>
        <w:rPr>
          <w:rFonts w:ascii="仿宋" w:hAnsi="仿宋" w:eastAsia="仿宋" w:cs="仿宋"/>
          <w:b/>
          <w:bCs/>
        </w:rPr>
      </w:pPr>
      <w:bookmarkStart w:id="119" w:name="_Toc13724"/>
      <w:bookmarkStart w:id="120" w:name="_Toc29889"/>
      <w:r>
        <w:rPr>
          <w:rFonts w:hint="eastAsia" w:ascii="仿宋" w:hAnsi="仿宋" w:eastAsia="仿宋" w:cs="仿宋"/>
          <w:b/>
          <w:bCs/>
        </w:rPr>
        <w:t>2.预算执行率</w:t>
      </w:r>
      <w:bookmarkEnd w:id="119"/>
      <w:bookmarkEnd w:id="120"/>
    </w:p>
    <w:p>
      <w:pPr>
        <w:ind w:firstLine="640"/>
        <w:rPr>
          <w:rFonts w:ascii="仿宋" w:hAnsi="仿宋" w:eastAsia="仿宋" w:cs="仿宋"/>
        </w:rPr>
      </w:pPr>
      <w:r>
        <w:rPr>
          <w:rFonts w:hint="eastAsia" w:ascii="仿宋" w:hAnsi="仿宋" w:eastAsia="仿宋" w:cs="仿宋"/>
        </w:rPr>
        <w:t>本项目到位资金272.86万元，实际支付资金272.86万元，预算执行率为100%。</w:t>
      </w:r>
    </w:p>
    <w:p>
      <w:pPr>
        <w:ind w:firstLine="640"/>
        <w:rPr>
          <w:rFonts w:ascii="仿宋" w:hAnsi="仿宋" w:eastAsia="仿宋" w:cs="仿宋"/>
        </w:rPr>
      </w:pPr>
      <w:r>
        <w:rPr>
          <w:rFonts w:hint="eastAsia" w:ascii="仿宋" w:hAnsi="仿宋" w:eastAsia="仿宋" w:cs="仿宋"/>
        </w:rPr>
        <w:t>本项满分4分，评估得分4分。</w:t>
      </w:r>
    </w:p>
    <w:p>
      <w:pPr>
        <w:ind w:firstLine="643"/>
        <w:rPr>
          <w:rFonts w:ascii="仿宋" w:hAnsi="仿宋" w:eastAsia="仿宋" w:cs="仿宋"/>
          <w:b/>
          <w:bCs/>
        </w:rPr>
      </w:pPr>
      <w:bookmarkStart w:id="121" w:name="_Toc2484"/>
      <w:bookmarkStart w:id="122" w:name="_Toc8316"/>
      <w:r>
        <w:rPr>
          <w:rFonts w:hint="eastAsia" w:ascii="仿宋" w:hAnsi="仿宋" w:eastAsia="仿宋" w:cs="仿宋"/>
          <w:b/>
          <w:bCs/>
        </w:rPr>
        <w:t>3.资金使用合规性</w:t>
      </w:r>
      <w:bookmarkEnd w:id="121"/>
      <w:bookmarkEnd w:id="122"/>
    </w:p>
    <w:p>
      <w:pPr>
        <w:ind w:firstLine="640"/>
        <w:rPr>
          <w:rFonts w:ascii="仿宋" w:hAnsi="仿宋" w:eastAsia="仿宋" w:cs="仿宋"/>
        </w:rPr>
      </w:pPr>
      <w:r>
        <w:rPr>
          <w:rFonts w:hint="eastAsia" w:ascii="仿宋" w:hAnsi="仿宋" w:eastAsia="仿宋" w:cs="仿宋"/>
        </w:rPr>
        <w:t>本项目资金的使用符合《中华人民共和国预算法》《中华人民共和国会计法》《中华人民共和国招标投标法》等国家有关财经法规以及预算管理制度。资金的审批和拨付按照《尉犁县财政资金审批管理办法》执行。资金的拨付有完整的审批程序和手续；资金使用符合专项资金支持的范围。不存在截留、挤占、挪用、虚列支出等情况。</w:t>
      </w:r>
    </w:p>
    <w:p>
      <w:pPr>
        <w:ind w:firstLine="640"/>
        <w:rPr>
          <w:rFonts w:ascii="仿宋" w:hAnsi="仿宋" w:eastAsia="仿宋" w:cs="仿宋"/>
        </w:rPr>
      </w:pPr>
      <w:r>
        <w:rPr>
          <w:rFonts w:hint="eastAsia" w:ascii="仿宋" w:hAnsi="仿宋" w:eastAsia="仿宋" w:cs="仿宋"/>
        </w:rPr>
        <w:t>本项满分4分，评估得分4分。</w:t>
      </w:r>
    </w:p>
    <w:p>
      <w:pPr>
        <w:ind w:firstLine="643"/>
        <w:rPr>
          <w:rFonts w:ascii="仿宋" w:hAnsi="仿宋" w:eastAsia="仿宋" w:cs="仿宋"/>
          <w:b/>
          <w:bCs/>
        </w:rPr>
      </w:pPr>
      <w:bookmarkStart w:id="123" w:name="_Toc15332"/>
      <w:bookmarkStart w:id="124" w:name="_Toc20651"/>
      <w:r>
        <w:rPr>
          <w:rFonts w:hint="eastAsia" w:ascii="仿宋" w:hAnsi="仿宋" w:eastAsia="仿宋" w:cs="仿宋"/>
          <w:b/>
          <w:bCs/>
        </w:rPr>
        <w:t>4.管理制度健全性</w:t>
      </w:r>
      <w:bookmarkEnd w:id="123"/>
      <w:bookmarkEnd w:id="124"/>
    </w:p>
    <w:p>
      <w:pPr>
        <w:ind w:firstLine="640"/>
        <w:rPr>
          <w:rFonts w:ascii="仿宋" w:hAnsi="仿宋" w:eastAsia="仿宋" w:cs="仿宋"/>
        </w:rPr>
      </w:pPr>
      <w:r>
        <w:rPr>
          <w:rFonts w:hint="eastAsia" w:ascii="仿宋" w:hAnsi="仿宋" w:eastAsia="仿宋" w:cs="仿宋"/>
        </w:rPr>
        <w:t>尉犁县文化体育广播影视局(旅游局)制定了《尉犁县文化体育广播影视局(旅游局)财务管理制度》和《尉犁县文化体育广播影视局(旅游局)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pPr>
        <w:ind w:firstLine="640"/>
        <w:rPr>
          <w:rFonts w:ascii="仿宋" w:hAnsi="仿宋" w:eastAsia="仿宋" w:cs="仿宋"/>
        </w:rPr>
      </w:pPr>
      <w:r>
        <w:rPr>
          <w:rFonts w:hint="eastAsia" w:ascii="仿宋" w:hAnsi="仿宋" w:eastAsia="仿宋" w:cs="仿宋"/>
        </w:rPr>
        <w:t>本项满分3分，评估得分3分。</w:t>
      </w:r>
    </w:p>
    <w:p>
      <w:pPr>
        <w:ind w:firstLine="643"/>
        <w:rPr>
          <w:rFonts w:ascii="仿宋" w:hAnsi="仿宋" w:eastAsia="仿宋" w:cs="仿宋"/>
          <w:b/>
          <w:bCs/>
        </w:rPr>
      </w:pPr>
      <w:bookmarkStart w:id="125" w:name="_Toc14023"/>
      <w:bookmarkStart w:id="126" w:name="_Toc14853"/>
      <w:r>
        <w:rPr>
          <w:rFonts w:hint="eastAsia" w:ascii="仿宋" w:hAnsi="仿宋" w:eastAsia="仿宋" w:cs="仿宋"/>
          <w:b/>
          <w:bCs/>
        </w:rPr>
        <w:t>5.制度执行有效性</w:t>
      </w:r>
      <w:bookmarkEnd w:id="125"/>
      <w:bookmarkEnd w:id="126"/>
    </w:p>
    <w:p>
      <w:pPr>
        <w:ind w:firstLine="640"/>
        <w:rPr>
          <w:rFonts w:ascii="仿宋" w:hAnsi="仿宋" w:eastAsia="仿宋" w:cs="仿宋"/>
        </w:rPr>
      </w:pPr>
      <w:r>
        <w:rPr>
          <w:rFonts w:hint="eastAsia" w:ascii="仿宋" w:hAnsi="仿宋" w:eastAsia="仿宋" w:cs="仿宋"/>
        </w:rPr>
        <w:t>本项目在实施过程中严格遵守相关法律法规和相关管理规定，如《中华人民共和国预算法》《中华人民共和国会计法》《中华人民共和国政府采购法》等，严格执行基财务规范，有关资料齐全，并及时整理归档。本项目无项目调整及支出调整，制度执行有效性较高。</w:t>
      </w:r>
    </w:p>
    <w:p>
      <w:pPr>
        <w:ind w:firstLine="640"/>
        <w:rPr>
          <w:rFonts w:ascii="仿宋" w:hAnsi="仿宋" w:eastAsia="仿宋" w:cs="仿宋"/>
        </w:rPr>
      </w:pPr>
      <w:r>
        <w:rPr>
          <w:rFonts w:hint="eastAsia" w:ascii="仿宋" w:hAnsi="仿宋" w:eastAsia="仿宋" w:cs="仿宋"/>
        </w:rPr>
        <w:t>本项满分3分，评估得分3分。</w:t>
      </w:r>
    </w:p>
    <w:p>
      <w:pPr>
        <w:pStyle w:val="5"/>
        <w:ind w:firstLine="643"/>
        <w:rPr>
          <w:rFonts w:ascii="仿宋" w:hAnsi="仿宋" w:eastAsia="仿宋" w:cs="仿宋"/>
        </w:rPr>
      </w:pPr>
      <w:bookmarkStart w:id="127" w:name="_Toc6865"/>
      <w:bookmarkStart w:id="128" w:name="_Toc22156"/>
      <w:bookmarkStart w:id="129" w:name="_Toc31545"/>
      <w:bookmarkStart w:id="130" w:name="_Toc24539"/>
      <w:bookmarkStart w:id="131" w:name="_Toc5161"/>
      <w:r>
        <w:rPr>
          <w:rFonts w:hint="eastAsia" w:ascii="仿宋" w:hAnsi="仿宋" w:eastAsia="仿宋" w:cs="仿宋"/>
        </w:rPr>
        <w:t>（三）项目产出情况</w:t>
      </w:r>
      <w:bookmarkEnd w:id="127"/>
      <w:bookmarkEnd w:id="128"/>
      <w:bookmarkEnd w:id="129"/>
      <w:bookmarkEnd w:id="130"/>
      <w:bookmarkEnd w:id="131"/>
    </w:p>
    <w:p>
      <w:pPr>
        <w:ind w:firstLine="643"/>
        <w:rPr>
          <w:rFonts w:ascii="仿宋" w:hAnsi="仿宋" w:eastAsia="仿宋" w:cs="仿宋"/>
          <w:b/>
          <w:bCs/>
        </w:rPr>
      </w:pPr>
      <w:bookmarkStart w:id="132" w:name="_Toc4184"/>
      <w:bookmarkStart w:id="133" w:name="_Toc31041"/>
      <w:r>
        <w:rPr>
          <w:rFonts w:hint="eastAsia" w:ascii="仿宋" w:hAnsi="仿宋" w:eastAsia="仿宋" w:cs="仿宋"/>
          <w:b/>
          <w:bCs/>
        </w:rPr>
        <w:t>1.产出数量</w:t>
      </w:r>
      <w:bookmarkEnd w:id="132"/>
      <w:bookmarkEnd w:id="133"/>
    </w:p>
    <w:p>
      <w:pPr>
        <w:ind w:firstLine="640"/>
        <w:rPr>
          <w:rFonts w:ascii="仿宋" w:hAnsi="仿宋" w:eastAsia="仿宋" w:cs="仿宋"/>
        </w:rPr>
      </w:pPr>
      <w:r>
        <w:rPr>
          <w:rFonts w:hint="eastAsia" w:ascii="仿宋" w:hAnsi="仿宋" w:eastAsia="仿宋" w:cs="仿宋"/>
        </w:rPr>
        <w:t>指标1：计容面积，预期指标值等于4995平方米，指标完成值：等于4995平方米，完成率：100%；</w:t>
      </w:r>
    </w:p>
    <w:p>
      <w:pPr>
        <w:ind w:firstLine="640"/>
        <w:rPr>
          <w:rFonts w:ascii="仿宋" w:hAnsi="仿宋" w:eastAsia="仿宋" w:cs="仿宋"/>
        </w:rPr>
      </w:pPr>
      <w:r>
        <w:rPr>
          <w:rFonts w:hint="eastAsia" w:ascii="仿宋" w:hAnsi="仿宋" w:eastAsia="仿宋" w:cs="仿宋"/>
        </w:rPr>
        <w:t>指标2：基础设施配套个数，预期指标值等于1个，指标完成值：等于1个，完成率：100％；</w:t>
      </w:r>
    </w:p>
    <w:p>
      <w:pPr>
        <w:ind w:firstLine="640"/>
        <w:rPr>
          <w:rFonts w:ascii="仿宋" w:hAnsi="仿宋" w:eastAsia="仿宋" w:cs="仿宋"/>
        </w:rPr>
      </w:pPr>
      <w:r>
        <w:rPr>
          <w:rFonts w:hint="eastAsia" w:ascii="仿宋" w:hAnsi="仿宋" w:eastAsia="仿宋" w:cs="仿宋"/>
        </w:rPr>
        <w:t>本项满分12分，评估得分12分。</w:t>
      </w:r>
    </w:p>
    <w:p>
      <w:pPr>
        <w:ind w:firstLine="643"/>
        <w:rPr>
          <w:rFonts w:ascii="仿宋" w:hAnsi="仿宋" w:eastAsia="仿宋" w:cs="仿宋"/>
          <w:b/>
          <w:bCs/>
        </w:rPr>
      </w:pPr>
      <w:bookmarkStart w:id="134" w:name="_Toc7420"/>
      <w:bookmarkStart w:id="135" w:name="_Toc21607"/>
      <w:r>
        <w:rPr>
          <w:rFonts w:hint="eastAsia" w:ascii="仿宋" w:hAnsi="仿宋" w:eastAsia="仿宋" w:cs="仿宋"/>
          <w:b/>
          <w:bCs/>
        </w:rPr>
        <w:t>2.产出质量</w:t>
      </w:r>
      <w:bookmarkEnd w:id="134"/>
      <w:bookmarkEnd w:id="135"/>
    </w:p>
    <w:p>
      <w:pPr>
        <w:ind w:firstLine="640"/>
        <w:rPr>
          <w:rFonts w:ascii="仿宋" w:hAnsi="仿宋" w:eastAsia="仿宋" w:cs="仿宋"/>
        </w:rPr>
      </w:pPr>
      <w:r>
        <w:rPr>
          <w:rFonts w:hint="eastAsia" w:ascii="仿宋" w:hAnsi="仿宋" w:eastAsia="仿宋" w:cs="仿宋"/>
          <w:bCs/>
          <w:szCs w:val="32"/>
        </w:rPr>
        <w:t>指标1：</w:t>
      </w:r>
      <w:r>
        <w:rPr>
          <w:rFonts w:hint="eastAsia" w:ascii="仿宋" w:hAnsi="仿宋" w:eastAsia="仿宋" w:cs="仿宋"/>
        </w:rPr>
        <w:t>项目验收合格率，预期指标值大于或等于90%，指标完成值：等于100％，完成率：111.11%；</w:t>
      </w:r>
    </w:p>
    <w:p>
      <w:pPr>
        <w:ind w:firstLine="640"/>
        <w:rPr>
          <w:rFonts w:ascii="仿宋" w:hAnsi="仿宋" w:eastAsia="仿宋" w:cs="仿宋"/>
        </w:rPr>
      </w:pPr>
      <w:r>
        <w:rPr>
          <w:rFonts w:hint="eastAsia" w:ascii="仿宋" w:hAnsi="仿宋" w:eastAsia="仿宋" w:cs="仿宋"/>
        </w:rPr>
        <w:t>本项满分12分，评估得分12分。</w:t>
      </w:r>
    </w:p>
    <w:p>
      <w:pPr>
        <w:ind w:firstLine="643"/>
        <w:rPr>
          <w:rFonts w:ascii="仿宋" w:hAnsi="仿宋" w:eastAsia="仿宋" w:cs="仿宋"/>
          <w:b/>
          <w:bCs/>
        </w:rPr>
      </w:pPr>
      <w:bookmarkStart w:id="136" w:name="_Toc6277"/>
      <w:bookmarkStart w:id="137" w:name="_Toc5394"/>
      <w:r>
        <w:rPr>
          <w:rFonts w:hint="eastAsia" w:ascii="仿宋" w:hAnsi="仿宋" w:eastAsia="仿宋" w:cs="仿宋"/>
          <w:b/>
          <w:bCs/>
        </w:rPr>
        <w:t>3.产出时效</w:t>
      </w:r>
      <w:bookmarkEnd w:id="136"/>
      <w:bookmarkEnd w:id="137"/>
    </w:p>
    <w:p>
      <w:pPr>
        <w:ind w:firstLine="640"/>
        <w:rPr>
          <w:rFonts w:ascii="仿宋" w:hAnsi="仿宋" w:eastAsia="仿宋" w:cs="仿宋"/>
        </w:rPr>
      </w:pPr>
      <w:r>
        <w:rPr>
          <w:rFonts w:hint="eastAsia" w:ascii="仿宋" w:hAnsi="仿宋" w:eastAsia="仿宋" w:cs="仿宋"/>
          <w:bCs/>
          <w:szCs w:val="32"/>
        </w:rPr>
        <w:t>指标1：</w:t>
      </w:r>
      <w:r>
        <w:rPr>
          <w:rFonts w:hint="eastAsia" w:ascii="仿宋" w:hAnsi="仿宋" w:eastAsia="仿宋" w:cs="仿宋"/>
        </w:rPr>
        <w:t>工程完工及时率，预期指标值大于或等于90%，指标完成值：等于100％，完成率：111.11%；</w:t>
      </w:r>
    </w:p>
    <w:p>
      <w:pPr>
        <w:ind w:firstLine="640"/>
        <w:rPr>
          <w:rFonts w:ascii="仿宋" w:hAnsi="仿宋" w:eastAsia="仿宋" w:cs="仿宋"/>
        </w:rPr>
      </w:pPr>
      <w:r>
        <w:rPr>
          <w:rFonts w:hint="eastAsia" w:ascii="仿宋" w:hAnsi="仿宋" w:eastAsia="仿宋" w:cs="仿宋"/>
        </w:rPr>
        <w:t>本项满分12分，评估得分12分。</w:t>
      </w:r>
    </w:p>
    <w:p>
      <w:pPr>
        <w:ind w:firstLine="643"/>
        <w:rPr>
          <w:rFonts w:ascii="仿宋" w:hAnsi="仿宋" w:eastAsia="仿宋" w:cs="仿宋"/>
          <w:b/>
          <w:bCs/>
        </w:rPr>
      </w:pPr>
      <w:bookmarkStart w:id="138" w:name="_Toc28975"/>
      <w:bookmarkStart w:id="139" w:name="_Toc18558"/>
      <w:r>
        <w:rPr>
          <w:rFonts w:hint="eastAsia" w:ascii="仿宋" w:hAnsi="仿宋" w:eastAsia="仿宋" w:cs="仿宋"/>
          <w:b/>
          <w:bCs/>
        </w:rPr>
        <w:t>4.产出成本</w:t>
      </w:r>
      <w:bookmarkEnd w:id="138"/>
      <w:bookmarkEnd w:id="139"/>
    </w:p>
    <w:p>
      <w:pPr>
        <w:ind w:firstLine="640"/>
        <w:rPr>
          <w:rFonts w:ascii="仿宋" w:hAnsi="仿宋" w:eastAsia="仿宋" w:cs="仿宋"/>
          <w:bCs/>
        </w:rPr>
      </w:pPr>
      <w:r>
        <w:rPr>
          <w:rFonts w:hint="eastAsia" w:ascii="仿宋" w:hAnsi="仿宋" w:eastAsia="仿宋" w:cs="仿宋"/>
          <w:bCs/>
          <w:szCs w:val="32"/>
        </w:rPr>
        <w:t>指标1：</w:t>
      </w:r>
      <w:r>
        <w:rPr>
          <w:rFonts w:hint="eastAsia" w:ascii="仿宋" w:hAnsi="仿宋" w:eastAsia="仿宋" w:cs="仿宋"/>
          <w:bCs/>
        </w:rPr>
        <w:t>人防易地建设费支出，预期指标值小于或等于11.99万元，指标完成值：等于11.99万元，完成率：100%；</w:t>
      </w:r>
    </w:p>
    <w:p>
      <w:pPr>
        <w:ind w:firstLine="640"/>
        <w:rPr>
          <w:rFonts w:ascii="仿宋" w:hAnsi="仿宋" w:eastAsia="仿宋" w:cs="仿宋"/>
          <w:bCs/>
        </w:rPr>
      </w:pPr>
      <w:r>
        <w:rPr>
          <w:rFonts w:hint="eastAsia" w:ascii="仿宋" w:hAnsi="仿宋" w:eastAsia="仿宋" w:cs="仿宋"/>
          <w:bCs/>
          <w:szCs w:val="32"/>
        </w:rPr>
        <w:t>指标1：</w:t>
      </w:r>
      <w:r>
        <w:rPr>
          <w:rFonts w:hint="eastAsia" w:ascii="仿宋" w:hAnsi="仿宋" w:eastAsia="仿宋" w:cs="仿宋"/>
          <w:bCs/>
        </w:rPr>
        <w:t>基础设施配套费支出，预期指标值小于或等于260.87万元，指标完成值：等于260.87万元，完成率：100%；</w:t>
      </w:r>
    </w:p>
    <w:p>
      <w:pPr>
        <w:ind w:firstLine="640"/>
        <w:rPr>
          <w:rFonts w:ascii="仿宋" w:hAnsi="仿宋" w:eastAsia="仿宋" w:cs="仿宋"/>
          <w:bCs/>
        </w:rPr>
      </w:pPr>
      <w:r>
        <w:rPr>
          <w:rFonts w:hint="eastAsia" w:ascii="仿宋" w:hAnsi="仿宋" w:eastAsia="仿宋" w:cs="仿宋"/>
          <w:bCs/>
        </w:rPr>
        <w:t>本项满分4分，评估得分4分。</w:t>
      </w:r>
    </w:p>
    <w:p>
      <w:pPr>
        <w:pStyle w:val="5"/>
        <w:ind w:firstLine="643"/>
        <w:rPr>
          <w:rFonts w:ascii="仿宋" w:hAnsi="仿宋" w:eastAsia="仿宋" w:cs="仿宋"/>
        </w:rPr>
      </w:pPr>
      <w:bookmarkStart w:id="140" w:name="_Toc27548"/>
      <w:bookmarkStart w:id="141" w:name="_Toc27580"/>
      <w:bookmarkStart w:id="142" w:name="_Toc18194"/>
      <w:bookmarkStart w:id="143" w:name="_Toc24492"/>
      <w:bookmarkStart w:id="144" w:name="_Toc14881"/>
      <w:r>
        <w:rPr>
          <w:rFonts w:hint="eastAsia" w:ascii="仿宋" w:hAnsi="仿宋" w:eastAsia="仿宋" w:cs="仿宋"/>
        </w:rPr>
        <w:t>（四）项目效益情况</w:t>
      </w:r>
      <w:bookmarkEnd w:id="140"/>
      <w:bookmarkEnd w:id="141"/>
      <w:bookmarkEnd w:id="142"/>
      <w:bookmarkEnd w:id="143"/>
      <w:bookmarkEnd w:id="144"/>
    </w:p>
    <w:p>
      <w:pPr>
        <w:ind w:firstLine="643"/>
        <w:rPr>
          <w:rFonts w:ascii="仿宋" w:hAnsi="仿宋" w:eastAsia="仿宋" w:cs="仿宋"/>
          <w:b/>
          <w:bCs/>
        </w:rPr>
      </w:pPr>
      <w:bookmarkStart w:id="145" w:name="_Toc15599"/>
      <w:bookmarkStart w:id="146" w:name="_Toc8370"/>
      <w:r>
        <w:rPr>
          <w:rFonts w:hint="eastAsia" w:ascii="仿宋" w:hAnsi="仿宋" w:eastAsia="仿宋" w:cs="仿宋"/>
          <w:b/>
          <w:bCs/>
        </w:rPr>
        <w:t>1.实施效益</w:t>
      </w:r>
      <w:bookmarkEnd w:id="145"/>
      <w:bookmarkEnd w:id="146"/>
    </w:p>
    <w:p>
      <w:pPr>
        <w:ind w:firstLine="640"/>
        <w:rPr>
          <w:rFonts w:ascii="仿宋" w:hAnsi="仿宋" w:eastAsia="仿宋" w:cs="仿宋"/>
        </w:rPr>
      </w:pPr>
      <w:r>
        <w:rPr>
          <w:rFonts w:hint="eastAsia" w:ascii="仿宋" w:hAnsi="仿宋" w:eastAsia="仿宋" w:cs="仿宋"/>
        </w:rPr>
        <w:t>本项目实施所产生的效益主要包括社会效益。</w:t>
      </w:r>
    </w:p>
    <w:p>
      <w:pPr>
        <w:ind w:firstLine="640"/>
        <w:rPr>
          <w:rFonts w:ascii="仿宋" w:hAnsi="仿宋" w:eastAsia="仿宋" w:cs="仿宋"/>
        </w:rPr>
      </w:pPr>
      <w:r>
        <w:rPr>
          <w:rFonts w:hint="eastAsia" w:ascii="仿宋" w:hAnsi="仿宋" w:eastAsia="仿宋" w:cs="仿宋"/>
        </w:rPr>
        <w:t>指标1：提升文化休闲场所参观体验，预期指标值显著提升，指标完成值：达成目标，完成率：100%；</w:t>
      </w:r>
    </w:p>
    <w:p>
      <w:pPr>
        <w:ind w:firstLine="640"/>
        <w:rPr>
          <w:rFonts w:ascii="仿宋" w:hAnsi="仿宋" w:eastAsia="仿宋" w:cs="仿宋"/>
        </w:rPr>
      </w:pPr>
      <w:r>
        <w:rPr>
          <w:rFonts w:hint="eastAsia" w:ascii="仿宋" w:hAnsi="仿宋" w:eastAsia="仿宋" w:cs="仿宋"/>
        </w:rPr>
        <w:t>本项满分10分，评估得分10分。</w:t>
      </w:r>
    </w:p>
    <w:p>
      <w:pPr>
        <w:ind w:firstLine="643"/>
        <w:rPr>
          <w:rFonts w:ascii="仿宋" w:hAnsi="仿宋" w:eastAsia="仿宋" w:cs="仿宋"/>
          <w:b/>
          <w:bCs/>
        </w:rPr>
      </w:pPr>
      <w:bookmarkStart w:id="147" w:name="_Toc20772"/>
      <w:bookmarkStart w:id="148" w:name="_Toc31503"/>
      <w:r>
        <w:rPr>
          <w:rFonts w:hint="eastAsia" w:ascii="仿宋" w:hAnsi="仿宋" w:eastAsia="仿宋" w:cs="仿宋"/>
          <w:b/>
          <w:bCs/>
        </w:rPr>
        <w:t>2.满意度</w:t>
      </w:r>
      <w:bookmarkEnd w:id="147"/>
      <w:bookmarkEnd w:id="148"/>
    </w:p>
    <w:p>
      <w:pPr>
        <w:ind w:firstLine="640"/>
        <w:rPr>
          <w:rFonts w:ascii="仿宋" w:hAnsi="仿宋" w:eastAsia="仿宋" w:cs="仿宋"/>
        </w:rPr>
      </w:pPr>
      <w:r>
        <w:rPr>
          <w:rFonts w:hint="eastAsia" w:ascii="仿宋" w:hAnsi="仿宋" w:eastAsia="仿宋" w:cs="仿宋"/>
        </w:rPr>
        <w:t>本项目服务对象和受益群众主要是游客，通过问卷调查方式收集服务对象和受益群众对本项目实施的满意度。调查人群都表示很满意，都认为本项目实施后，提高了游客对历史文化的认识；改善了游客的文化休闲场所。</w:t>
      </w:r>
    </w:p>
    <w:p>
      <w:pPr>
        <w:ind w:firstLine="640"/>
        <w:rPr>
          <w:rFonts w:ascii="仿宋" w:hAnsi="仿宋" w:eastAsia="仿宋" w:cs="仿宋"/>
        </w:rPr>
      </w:pPr>
      <w:r>
        <w:rPr>
          <w:rFonts w:hint="eastAsia" w:ascii="仿宋" w:hAnsi="仿宋" w:eastAsia="仿宋" w:cs="仿宋"/>
        </w:rPr>
        <w:t>本项满分10分，评估得分10分。</w:t>
      </w:r>
    </w:p>
    <w:p>
      <w:pPr>
        <w:pStyle w:val="4"/>
        <w:ind w:firstLine="640"/>
        <w:rPr>
          <w:rFonts w:ascii="仿宋" w:hAnsi="仿宋" w:eastAsia="仿宋" w:cs="仿宋"/>
        </w:rPr>
      </w:pPr>
      <w:bookmarkStart w:id="149" w:name="_Toc17005"/>
      <w:bookmarkStart w:id="150" w:name="_Toc23114"/>
      <w:bookmarkStart w:id="151" w:name="_Toc3310"/>
      <w:bookmarkStart w:id="152" w:name="_Toc17413"/>
      <w:bookmarkStart w:id="153" w:name="_Toc20473"/>
      <w:bookmarkStart w:id="154" w:name="_Toc24261"/>
      <w:r>
        <w:rPr>
          <w:rFonts w:hint="eastAsia" w:ascii="仿宋" w:hAnsi="仿宋" w:eastAsia="仿宋" w:cs="仿宋"/>
        </w:rPr>
        <w:t>五、主要经验及做法、存在的问题及原因分析</w:t>
      </w:r>
      <w:bookmarkEnd w:id="149"/>
      <w:bookmarkEnd w:id="150"/>
      <w:bookmarkEnd w:id="151"/>
      <w:bookmarkEnd w:id="152"/>
      <w:bookmarkEnd w:id="153"/>
      <w:bookmarkEnd w:id="154"/>
    </w:p>
    <w:p>
      <w:pPr>
        <w:pStyle w:val="5"/>
        <w:ind w:firstLine="643"/>
        <w:rPr>
          <w:rFonts w:ascii="仿宋" w:hAnsi="仿宋" w:eastAsia="仿宋" w:cs="仿宋"/>
        </w:rPr>
      </w:pPr>
      <w:bookmarkStart w:id="155" w:name="_Toc6741"/>
      <w:bookmarkStart w:id="156" w:name="_Toc10514"/>
      <w:bookmarkStart w:id="157" w:name="_Toc6522"/>
      <w:bookmarkStart w:id="158" w:name="_Toc6029"/>
      <w:bookmarkStart w:id="159" w:name="_Toc14362"/>
      <w:r>
        <w:rPr>
          <w:rFonts w:hint="eastAsia" w:ascii="仿宋" w:hAnsi="仿宋" w:eastAsia="仿宋" w:cs="仿宋"/>
        </w:rPr>
        <w:t>（一）主要经验及做法</w:t>
      </w:r>
      <w:bookmarkEnd w:id="155"/>
      <w:bookmarkEnd w:id="156"/>
      <w:bookmarkEnd w:id="157"/>
      <w:bookmarkEnd w:id="158"/>
      <w:bookmarkEnd w:id="159"/>
    </w:p>
    <w:p>
      <w:pPr>
        <w:ind w:firstLine="640"/>
        <w:rPr>
          <w:rFonts w:ascii="仿宋" w:hAnsi="仿宋" w:eastAsia="仿宋" w:cs="仿宋"/>
        </w:rPr>
      </w:pPr>
      <w:r>
        <w:rPr>
          <w:rFonts w:hint="eastAsia" w:ascii="仿宋" w:hAnsi="仿宋" w:eastAsia="仿宋" w:cs="仿宋"/>
        </w:rPr>
        <w:t>孔雀河烽燧群遗址保护利用项目人防易地建设费及基础设施配套费项目在尉犁县委、县政府的支持下，在相关部门的配合下全面顺利完成，绩效评价“优”，主要经验及做法如下：</w:t>
      </w:r>
    </w:p>
    <w:p>
      <w:pPr>
        <w:ind w:firstLine="640"/>
        <w:rPr>
          <w:rFonts w:ascii="仿宋" w:hAnsi="仿宋" w:eastAsia="仿宋" w:cs="仿宋"/>
          <w:szCs w:val="32"/>
        </w:rPr>
      </w:pPr>
      <w:r>
        <w:rPr>
          <w:rFonts w:hint="eastAsia" w:ascii="仿宋" w:hAnsi="仿宋" w:eastAsia="仿宋" w:cs="仿宋"/>
          <w:szCs w:val="32"/>
        </w:rPr>
        <w:t>1.为确保本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ind w:firstLine="640"/>
        <w:rPr>
          <w:rFonts w:ascii="仿宋" w:hAnsi="仿宋" w:eastAsia="仿宋" w:cs="仿宋"/>
        </w:rPr>
      </w:pPr>
      <w:bookmarkStart w:id="160" w:name="_Toc29700"/>
      <w:r>
        <w:rPr>
          <w:rFonts w:hint="eastAsia" w:ascii="仿宋" w:hAnsi="仿宋" w:eastAsia="仿宋" w:cs="仿宋"/>
        </w:rPr>
        <w:t>2.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bookmarkEnd w:id="160"/>
    </w:p>
    <w:p>
      <w:pPr>
        <w:pStyle w:val="5"/>
        <w:ind w:firstLine="643"/>
        <w:rPr>
          <w:rFonts w:ascii="仿宋" w:hAnsi="仿宋" w:eastAsia="仿宋" w:cs="仿宋"/>
          <w:highlight w:val="yellow"/>
        </w:rPr>
      </w:pPr>
      <w:bookmarkStart w:id="161" w:name="_Toc6359"/>
      <w:bookmarkStart w:id="162" w:name="_Toc11238"/>
      <w:bookmarkStart w:id="163" w:name="_Toc21706"/>
      <w:bookmarkStart w:id="164" w:name="_Toc4673"/>
      <w:bookmarkStart w:id="165" w:name="_Toc27408"/>
      <w:r>
        <w:rPr>
          <w:rFonts w:hint="eastAsia" w:ascii="仿宋" w:hAnsi="仿宋" w:eastAsia="仿宋" w:cs="仿宋"/>
        </w:rPr>
        <w:t>（二）存在的问题及分析</w:t>
      </w:r>
      <w:bookmarkEnd w:id="161"/>
      <w:bookmarkEnd w:id="162"/>
      <w:bookmarkEnd w:id="163"/>
      <w:bookmarkEnd w:id="164"/>
      <w:bookmarkEnd w:id="165"/>
      <w:bookmarkStart w:id="166" w:name="_Toc13345"/>
      <w:bookmarkStart w:id="167" w:name="_Toc20116"/>
      <w:bookmarkStart w:id="168" w:name="_Toc13270"/>
      <w:bookmarkStart w:id="169" w:name="_Toc22271"/>
      <w:bookmarkStart w:id="170" w:name="_Toc5702"/>
    </w:p>
    <w:p>
      <w:pPr>
        <w:ind w:firstLine="640"/>
        <w:rPr>
          <w:rFonts w:ascii="仿宋" w:hAnsi="仿宋" w:eastAsia="仿宋" w:cs="仿宋"/>
          <w:szCs w:val="32"/>
        </w:rPr>
      </w:pPr>
      <w:r>
        <w:rPr>
          <w:rFonts w:hint="eastAsia" w:ascii="仿宋" w:hAnsi="仿宋" w:eastAsia="仿宋" w:cs="仿宋"/>
          <w:szCs w:val="32"/>
        </w:rPr>
        <w:t>1. 绩效管理专业知识学习不足：在</w:t>
      </w:r>
      <w:r>
        <w:rPr>
          <w:rFonts w:hint="eastAsia" w:ascii="仿宋" w:hAnsi="仿宋" w:eastAsia="仿宋" w:cs="仿宋"/>
        </w:rPr>
        <w:t>雀河烽燧群遗址保护利用项目人防易地建设费及基础设施配套费项目</w:t>
      </w:r>
      <w:r>
        <w:rPr>
          <w:rFonts w:hint="eastAsia" w:ascii="仿宋" w:hAnsi="仿宋" w:eastAsia="仿宋" w:cs="仿宋"/>
          <w:szCs w:val="32"/>
        </w:rPr>
        <w:t>的绩效管理工作中，相关人员对绩效管理专业知识的系统性学习有待提升。绩效指标的设置需进一步优化完善，尤其在细化和量化方面亟需改进。在绩效自评环节，部分人员因缺乏专业知识储备，导致自评价工作存在局限性，难以全面、客观地评估项目绩效，进而影响了整体评价质量。</w:t>
      </w:r>
    </w:p>
    <w:p>
      <w:pPr>
        <w:ind w:firstLine="640"/>
        <w:rPr>
          <w:rFonts w:ascii="仿宋" w:hAnsi="仿宋" w:eastAsia="仿宋" w:cs="仿宋"/>
          <w:szCs w:val="32"/>
        </w:rPr>
      </w:pPr>
      <w:r>
        <w:rPr>
          <w:rFonts w:hint="eastAsia" w:ascii="仿宋" w:hAnsi="仿宋" w:eastAsia="仿宋" w:cs="仿宋"/>
          <w:szCs w:val="32"/>
        </w:rPr>
        <w:t>2. 绩效工作人员流动问题：受轮岗、调动等因素影响，单位负责奖补资金项目绩效工作的人员变动频繁，工作交接难以做到无缝衔接，导致工作流程出现断点，影响了绩效工作的连续性和高效性。</w:t>
      </w:r>
    </w:p>
    <w:p>
      <w:pPr>
        <w:pStyle w:val="4"/>
        <w:ind w:firstLine="640"/>
        <w:rPr>
          <w:rFonts w:ascii="仿宋" w:hAnsi="仿宋" w:eastAsia="仿宋" w:cs="仿宋"/>
        </w:rPr>
      </w:pPr>
      <w:bookmarkStart w:id="171" w:name="_Toc29412"/>
      <w:r>
        <w:rPr>
          <w:rFonts w:hint="eastAsia" w:ascii="仿宋" w:hAnsi="仿宋" w:eastAsia="仿宋" w:cs="仿宋"/>
        </w:rPr>
        <w:t>六、有关建议</w:t>
      </w:r>
      <w:bookmarkEnd w:id="166"/>
      <w:bookmarkEnd w:id="167"/>
      <w:bookmarkEnd w:id="168"/>
      <w:bookmarkEnd w:id="169"/>
      <w:bookmarkEnd w:id="170"/>
      <w:bookmarkEnd w:id="171"/>
    </w:p>
    <w:p>
      <w:pPr>
        <w:ind w:firstLine="640"/>
        <w:rPr>
          <w:rFonts w:ascii="仿宋" w:hAnsi="仿宋" w:eastAsia="仿宋" w:cs="仿宋"/>
          <w:szCs w:val="32"/>
        </w:rPr>
      </w:pPr>
      <w:bookmarkStart w:id="172" w:name="_Toc24871"/>
      <w:bookmarkStart w:id="173" w:name="_Toc22823"/>
      <w:bookmarkStart w:id="174" w:name="_Toc12100"/>
      <w:bookmarkStart w:id="175" w:name="_Toc21621"/>
      <w:bookmarkStart w:id="176" w:name="_Toc5794"/>
      <w:r>
        <w:rPr>
          <w:rFonts w:hint="eastAsia" w:ascii="仿宋" w:hAnsi="仿宋" w:eastAsia="仿宋" w:cs="仿宋"/>
          <w:szCs w:val="32"/>
        </w:rPr>
        <w:t xml:space="preserve">1. 加强专业知识培训：定期组织针对绩效管理专业知识的培训课程，邀请行业专家或资深从业者授课，内容涵盖绩效指标设计、绩效评价方法、数据分析等方面。鼓励相关人员参加专业资格考试，提升专业素养。同时，建立学习交流小组，促进经验分享与知识互补。 </w:t>
      </w:r>
    </w:p>
    <w:p>
      <w:pPr>
        <w:ind w:firstLine="640"/>
        <w:rPr>
          <w:rFonts w:ascii="仿宋" w:hAnsi="仿宋" w:eastAsia="仿宋" w:cs="仿宋"/>
          <w:szCs w:val="32"/>
        </w:rPr>
      </w:pPr>
      <w:r>
        <w:rPr>
          <w:rFonts w:hint="eastAsia" w:ascii="仿宋" w:hAnsi="仿宋" w:eastAsia="仿宋" w:cs="仿宋"/>
          <w:szCs w:val="32"/>
        </w:rPr>
        <w:t>2. 优化人员管理机制：建立稳定的绩效工作团队，尽量减少不必要的人员轮岗和调动。制定完善的工作交接制度，明确交接流程和责任，确保新老员工交接时，工作内容、进度、关键信息等完整传递。对新接手工作的人员，安排导师进行一对一指导，帮助其快速熟悉工作，保障绩效工作的平稳推进。</w:t>
      </w:r>
    </w:p>
    <w:p>
      <w:pPr>
        <w:pStyle w:val="4"/>
        <w:ind w:firstLine="640"/>
        <w:rPr>
          <w:rFonts w:ascii="仿宋" w:hAnsi="仿宋" w:eastAsia="仿宋" w:cs="仿宋"/>
        </w:rPr>
      </w:pPr>
      <w:bookmarkStart w:id="177" w:name="_Toc11907"/>
      <w:r>
        <w:rPr>
          <w:rFonts w:hint="eastAsia" w:ascii="仿宋" w:hAnsi="仿宋" w:eastAsia="仿宋" w:cs="仿宋"/>
        </w:rPr>
        <w:t>七、其他需要说明的问题</w:t>
      </w:r>
      <w:bookmarkEnd w:id="172"/>
      <w:bookmarkEnd w:id="173"/>
      <w:bookmarkEnd w:id="174"/>
      <w:bookmarkEnd w:id="175"/>
      <w:bookmarkEnd w:id="176"/>
      <w:bookmarkEnd w:id="177"/>
    </w:p>
    <w:p>
      <w:pPr>
        <w:ind w:firstLine="640"/>
        <w:rPr>
          <w:rFonts w:ascii="仿宋" w:hAnsi="仿宋" w:eastAsia="仿宋" w:cs="仿宋"/>
        </w:rPr>
      </w:pPr>
      <w:r>
        <w:rPr>
          <w:rFonts w:hint="eastAsia" w:ascii="仿宋" w:hAnsi="仿宋" w:eastAsia="仿宋" w:cs="仿宋"/>
        </w:rPr>
        <w:t>（一）本项目部分间接产生的效果无法准确在短期内衡量，因此很难认定项目产生的全部效果。通过指标来反映绩效，指标的科学性和全面性需要不断地完善和研究。</w:t>
      </w:r>
    </w:p>
    <w:p>
      <w:pPr>
        <w:ind w:firstLine="640"/>
        <w:rPr>
          <w:rFonts w:ascii="仿宋" w:hAnsi="仿宋" w:eastAsia="仿宋" w:cs="仿宋"/>
        </w:rPr>
      </w:pPr>
      <w:r>
        <w:rPr>
          <w:rFonts w:hint="eastAsia" w:ascii="仿宋" w:hAnsi="仿宋" w:eastAsia="仿宋" w:cs="仿宋"/>
        </w:rPr>
        <w:t>（二）评价结果分别编入政府决算和部门预算，报送本级人民代表大会常务委员会，并依法予以公开。</w:t>
      </w:r>
    </w:p>
    <w:p>
      <w:pPr>
        <w:pStyle w:val="4"/>
        <w:ind w:firstLine="640"/>
        <w:rPr>
          <w:rFonts w:ascii="仿宋" w:hAnsi="仿宋" w:eastAsia="仿宋" w:cs="仿宋"/>
        </w:rPr>
      </w:pPr>
      <w:bookmarkStart w:id="178" w:name="_Toc30245"/>
      <w:bookmarkStart w:id="179" w:name="_Toc4210"/>
      <w:bookmarkStart w:id="180" w:name="_Toc28493"/>
      <w:bookmarkStart w:id="181" w:name="_Toc29777"/>
      <w:r>
        <w:rPr>
          <w:rFonts w:hint="eastAsia" w:ascii="仿宋" w:hAnsi="仿宋" w:eastAsia="仿宋" w:cs="仿宋"/>
        </w:rPr>
        <w:t>八、附件</w:t>
      </w:r>
      <w:bookmarkEnd w:id="178"/>
      <w:bookmarkEnd w:id="179"/>
      <w:bookmarkEnd w:id="180"/>
      <w:bookmarkEnd w:id="181"/>
    </w:p>
    <w:p>
      <w:pPr>
        <w:ind w:firstLine="640"/>
        <w:rPr>
          <w:rFonts w:ascii="仿宋" w:hAnsi="仿宋" w:eastAsia="仿宋" w:cs="仿宋"/>
        </w:rPr>
      </w:pPr>
      <w:r>
        <w:rPr>
          <w:rFonts w:hint="eastAsia" w:ascii="仿宋" w:hAnsi="仿宋" w:eastAsia="仿宋" w:cs="仿宋"/>
        </w:rPr>
        <w:t>1、项目支出绩效自评表</w:t>
      </w:r>
    </w:p>
    <w:p>
      <w:pPr>
        <w:ind w:firstLine="640"/>
        <w:rPr>
          <w:rFonts w:ascii="仿宋" w:hAnsi="仿宋" w:eastAsia="仿宋" w:cs="仿宋"/>
        </w:rPr>
      </w:pPr>
      <w:r>
        <w:rPr>
          <w:rFonts w:hint="eastAsia" w:ascii="仿宋" w:hAnsi="仿宋" w:eastAsia="仿宋" w:cs="仿宋"/>
        </w:rPr>
        <w:t>2、项目支出绩效评价指标体系及评分</w:t>
      </w:r>
    </w:p>
    <w:p>
      <w:pPr>
        <w:pStyle w:val="4"/>
        <w:ind w:firstLine="0" w:firstLineChars="0"/>
        <w:rPr>
          <w:rFonts w:ascii="仿宋" w:hAnsi="仿宋" w:eastAsia="仿宋" w:cs="仿宋"/>
        </w:rPr>
      </w:pPr>
      <w:bookmarkStart w:id="182" w:name="_Toc28598"/>
      <w:bookmarkStart w:id="183" w:name="_Toc15698"/>
      <w:r>
        <w:br w:type="page"/>
      </w:r>
      <w:bookmarkStart w:id="184" w:name="_Toc18834"/>
      <w:r>
        <w:rPr>
          <w:rFonts w:hint="eastAsia" w:ascii="仿宋" w:hAnsi="仿宋" w:eastAsia="仿宋" w:cs="仿宋"/>
        </w:rPr>
        <w:t>附件1：</w:t>
      </w:r>
      <w:bookmarkEnd w:id="182"/>
      <w:bookmarkEnd w:id="183"/>
      <w:r>
        <w:rPr>
          <w:rFonts w:hint="eastAsia" w:ascii="仿宋" w:hAnsi="仿宋" w:eastAsia="仿宋" w:cs="仿宋"/>
        </w:rPr>
        <w:t>项目支出绩效自评表</w:t>
      </w:r>
      <w:bookmarkEnd w:id="184"/>
    </w:p>
    <w:tbl>
      <w:tblPr>
        <w:tblStyle w:val="15"/>
        <w:tblW w:w="5720" w:type="pct"/>
        <w:tblInd w:w="-852" w:type="dxa"/>
        <w:tblLayout w:type="fixed"/>
        <w:tblCellMar>
          <w:top w:w="0" w:type="dxa"/>
          <w:left w:w="108" w:type="dxa"/>
          <w:bottom w:w="0" w:type="dxa"/>
          <w:right w:w="108" w:type="dxa"/>
        </w:tblCellMar>
      </w:tblPr>
      <w:tblGrid>
        <w:gridCol w:w="594"/>
        <w:gridCol w:w="608"/>
        <w:gridCol w:w="565"/>
        <w:gridCol w:w="1193"/>
        <w:gridCol w:w="840"/>
        <w:gridCol w:w="630"/>
        <w:gridCol w:w="519"/>
        <w:gridCol w:w="585"/>
        <w:gridCol w:w="647"/>
        <w:gridCol w:w="597"/>
        <w:gridCol w:w="751"/>
        <w:gridCol w:w="838"/>
        <w:gridCol w:w="610"/>
        <w:gridCol w:w="772"/>
      </w:tblGrid>
      <w:tr>
        <w:tblPrEx>
          <w:tblCellMar>
            <w:top w:w="0" w:type="dxa"/>
            <w:left w:w="108" w:type="dxa"/>
            <w:bottom w:w="0" w:type="dxa"/>
            <w:right w:w="108" w:type="dxa"/>
          </w:tblCellMar>
        </w:tblPrEx>
        <w:trPr>
          <w:trHeight w:val="420"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pPr>
              <w:pStyle w:val="33"/>
              <w:rPr>
                <w:rFonts w:hint="default" w:ascii="仿宋" w:hAnsi="仿宋" w:eastAsia="仿宋" w:cs="仿宋"/>
                <w:szCs w:val="15"/>
              </w:rPr>
            </w:pPr>
            <w:bookmarkStart w:id="185" w:name="_Toc25534"/>
            <w:bookmarkStart w:id="186" w:name="_Toc1641"/>
            <w:bookmarkStart w:id="187" w:name="_Toc22143"/>
            <w:bookmarkStart w:id="188" w:name="_Toc28099"/>
            <w:bookmarkStart w:id="189" w:name="_Toc5134"/>
            <w:r>
              <w:rPr>
                <w:rFonts w:ascii="仿宋" w:hAnsi="仿宋" w:eastAsia="仿宋" w:cs="仿宋"/>
              </w:rPr>
              <w:t>项目支出绩效自评表</w:t>
            </w:r>
            <w:bookmarkEnd w:id="185"/>
          </w:p>
        </w:tc>
      </w:tr>
      <w:tr>
        <w:tblPrEx>
          <w:tblCellMar>
            <w:top w:w="0" w:type="dxa"/>
            <w:left w:w="108" w:type="dxa"/>
            <w:bottom w:w="0" w:type="dxa"/>
            <w:right w:w="108" w:type="dxa"/>
          </w:tblCellMar>
        </w:tblPrEx>
        <w:trPr>
          <w:trHeight w:val="90" w:hRule="atLeast"/>
        </w:trPr>
        <w:tc>
          <w:tcPr>
            <w:tcW w:w="5000" w:type="pct"/>
            <w:gridSpan w:val="14"/>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(2024年度)</w:t>
            </w:r>
          </w:p>
        </w:tc>
      </w:tr>
      <w:tr>
        <w:tblPrEx>
          <w:tblCellMar>
            <w:top w:w="0" w:type="dxa"/>
            <w:left w:w="108" w:type="dxa"/>
            <w:bottom w:w="0" w:type="dxa"/>
            <w:right w:w="108" w:type="dxa"/>
          </w:tblCellMar>
        </w:tblPrEx>
        <w:trPr>
          <w:trHeight w:val="270" w:hRule="atLeast"/>
        </w:trPr>
        <w:tc>
          <w:tcPr>
            <w:tcW w:w="616"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项目名称</w:t>
            </w:r>
          </w:p>
        </w:tc>
        <w:tc>
          <w:tcPr>
            <w:tcW w:w="4383" w:type="pct"/>
            <w:gridSpan w:val="1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孔雀河烽燧群遗址保护利用项目人防易地建设费及基础设施配套费</w:t>
            </w:r>
          </w:p>
        </w:tc>
      </w:tr>
      <w:tr>
        <w:tblPrEx>
          <w:tblCellMar>
            <w:top w:w="0" w:type="dxa"/>
            <w:left w:w="108" w:type="dxa"/>
            <w:bottom w:w="0" w:type="dxa"/>
            <w:right w:w="108" w:type="dxa"/>
          </w:tblCellMar>
        </w:tblPrEx>
        <w:trPr>
          <w:trHeight w:val="275" w:hRule="atLeast"/>
        </w:trPr>
        <w:tc>
          <w:tcPr>
            <w:tcW w:w="616"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主管部门</w:t>
            </w:r>
          </w:p>
        </w:tc>
        <w:tc>
          <w:tcPr>
            <w:tcW w:w="1922" w:type="pct"/>
            <w:gridSpan w:val="5"/>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尉犁县文化体育广播影视局(旅游局)</w:t>
            </w:r>
          </w:p>
        </w:tc>
        <w:tc>
          <w:tcPr>
            <w:tcW w:w="63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实施单位</w:t>
            </w:r>
          </w:p>
        </w:tc>
        <w:tc>
          <w:tcPr>
            <w:tcW w:w="1829" w:type="pct"/>
            <w:gridSpan w:val="5"/>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尉犁县文化体育广播影视局(旅游局)</w:t>
            </w:r>
          </w:p>
        </w:tc>
      </w:tr>
      <w:tr>
        <w:tblPrEx>
          <w:tblCellMar>
            <w:top w:w="0" w:type="dxa"/>
            <w:left w:w="108" w:type="dxa"/>
            <w:bottom w:w="0" w:type="dxa"/>
            <w:right w:w="108" w:type="dxa"/>
          </w:tblCellMar>
        </w:tblPrEx>
        <w:trPr>
          <w:trHeight w:val="440" w:hRule="atLeast"/>
        </w:trPr>
        <w:tc>
          <w:tcPr>
            <w:tcW w:w="616" w:type="pct"/>
            <w:gridSpan w:val="2"/>
            <w:vMerge w:val="restar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项目资金</w:t>
            </w:r>
            <w:r>
              <w:rPr>
                <w:rFonts w:ascii="仿宋" w:hAnsi="仿宋" w:eastAsia="仿宋" w:cs="仿宋"/>
                <w:sz w:val="15"/>
                <w:szCs w:val="15"/>
              </w:rPr>
              <w:br w:type="textWrapping"/>
            </w:r>
            <w:r>
              <w:rPr>
                <w:rFonts w:ascii="仿宋" w:hAnsi="仿宋" w:eastAsia="仿宋" w:cs="仿宋"/>
                <w:sz w:val="15"/>
                <w:szCs w:val="15"/>
              </w:rPr>
              <w:t>（万元）</w:t>
            </w:r>
          </w:p>
        </w:tc>
        <w:tc>
          <w:tcPr>
            <w:tcW w:w="90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资金来源</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年初预算数</w:t>
            </w:r>
          </w:p>
        </w:tc>
        <w:tc>
          <w:tcPr>
            <w:tcW w:w="588"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全年预算数</w:t>
            </w:r>
          </w:p>
        </w:tc>
        <w:tc>
          <w:tcPr>
            <w:tcW w:w="63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全年执行数</w:t>
            </w:r>
          </w:p>
        </w:tc>
        <w:tc>
          <w:tcPr>
            <w:tcW w:w="69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分值权重</w:t>
            </w:r>
          </w:p>
        </w:tc>
        <w:tc>
          <w:tcPr>
            <w:tcW w:w="743"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执行率</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得分</w:t>
            </w:r>
          </w:p>
        </w:tc>
      </w:tr>
      <w:tr>
        <w:tblPrEx>
          <w:tblCellMar>
            <w:top w:w="0" w:type="dxa"/>
            <w:left w:w="108" w:type="dxa"/>
            <w:bottom w:w="0" w:type="dxa"/>
            <w:right w:w="108" w:type="dxa"/>
          </w:tblCellMar>
        </w:tblPrEx>
        <w:trPr>
          <w:trHeight w:val="295" w:hRule="atLeast"/>
        </w:trPr>
        <w:tc>
          <w:tcPr>
            <w:tcW w:w="616" w:type="pct"/>
            <w:gridSpan w:val="2"/>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90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年度资金总额</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272.86</w:t>
            </w:r>
          </w:p>
        </w:tc>
        <w:tc>
          <w:tcPr>
            <w:tcW w:w="588"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272.86</w:t>
            </w:r>
          </w:p>
        </w:tc>
        <w:tc>
          <w:tcPr>
            <w:tcW w:w="63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272.86</w:t>
            </w:r>
          </w:p>
        </w:tc>
        <w:tc>
          <w:tcPr>
            <w:tcW w:w="69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743"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100.00%</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10.00分</w:t>
            </w:r>
          </w:p>
        </w:tc>
      </w:tr>
      <w:tr>
        <w:tblPrEx>
          <w:tblCellMar>
            <w:top w:w="0" w:type="dxa"/>
            <w:left w:w="108" w:type="dxa"/>
            <w:bottom w:w="0" w:type="dxa"/>
            <w:right w:w="108" w:type="dxa"/>
          </w:tblCellMar>
        </w:tblPrEx>
        <w:trPr>
          <w:trHeight w:val="250" w:hRule="atLeast"/>
        </w:trPr>
        <w:tc>
          <w:tcPr>
            <w:tcW w:w="616" w:type="pct"/>
            <w:gridSpan w:val="2"/>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90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其中：当年财政拨款</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272.86</w:t>
            </w:r>
          </w:p>
        </w:tc>
        <w:tc>
          <w:tcPr>
            <w:tcW w:w="588"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272.86</w:t>
            </w:r>
          </w:p>
        </w:tc>
        <w:tc>
          <w:tcPr>
            <w:tcW w:w="63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272.86</w:t>
            </w:r>
          </w:p>
        </w:tc>
        <w:tc>
          <w:tcPr>
            <w:tcW w:w="69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743"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r>
      <w:tr>
        <w:tblPrEx>
          <w:tblCellMar>
            <w:top w:w="0" w:type="dxa"/>
            <w:left w:w="108" w:type="dxa"/>
            <w:bottom w:w="0" w:type="dxa"/>
            <w:right w:w="108" w:type="dxa"/>
          </w:tblCellMar>
        </w:tblPrEx>
        <w:trPr>
          <w:trHeight w:val="235" w:hRule="atLeast"/>
        </w:trPr>
        <w:tc>
          <w:tcPr>
            <w:tcW w:w="616" w:type="pct"/>
            <w:gridSpan w:val="2"/>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90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其他资金</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0.00</w:t>
            </w:r>
          </w:p>
        </w:tc>
        <w:tc>
          <w:tcPr>
            <w:tcW w:w="588"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0.00</w:t>
            </w:r>
          </w:p>
        </w:tc>
        <w:tc>
          <w:tcPr>
            <w:tcW w:w="63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0</w:t>
            </w:r>
          </w:p>
        </w:tc>
        <w:tc>
          <w:tcPr>
            <w:tcW w:w="691"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743" w:type="pct"/>
            <w:gridSpan w:val="2"/>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r>
      <w:tr>
        <w:tblPrEx>
          <w:tblCellMar>
            <w:top w:w="0" w:type="dxa"/>
            <w:left w:w="108" w:type="dxa"/>
            <w:bottom w:w="0" w:type="dxa"/>
            <w:right w:w="108" w:type="dxa"/>
          </w:tblCellMar>
        </w:tblPrEx>
        <w:trPr>
          <w:trHeight w:val="200" w:hRule="atLeast"/>
        </w:trPr>
        <w:tc>
          <w:tcPr>
            <w:tcW w:w="304" w:type="pct"/>
            <w:vMerge w:val="restar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年度总体目标</w:t>
            </w:r>
          </w:p>
        </w:tc>
        <w:tc>
          <w:tcPr>
            <w:tcW w:w="2866" w:type="pct"/>
            <w:gridSpan w:val="8"/>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总体目标</w:t>
            </w:r>
          </w:p>
        </w:tc>
        <w:tc>
          <w:tcPr>
            <w:tcW w:w="1829" w:type="pct"/>
            <w:gridSpan w:val="5"/>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总体目标完成情况</w:t>
            </w:r>
          </w:p>
        </w:tc>
      </w:tr>
      <w:tr>
        <w:tblPrEx>
          <w:tblCellMar>
            <w:top w:w="0" w:type="dxa"/>
            <w:left w:w="108" w:type="dxa"/>
            <w:bottom w:w="0" w:type="dxa"/>
            <w:right w:w="108" w:type="dxa"/>
          </w:tblCellMar>
        </w:tblPrEx>
        <w:trPr>
          <w:trHeight w:val="600" w:hRule="atLeast"/>
        </w:trPr>
        <w:tc>
          <w:tcPr>
            <w:tcW w:w="304"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2866" w:type="pct"/>
            <w:gridSpan w:val="8"/>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完成支付孔雀河烽燧群遗址保护项目人防易地建设费，计容面积4995平方米，基础设施配套费。</w:t>
            </w:r>
          </w:p>
        </w:tc>
        <w:tc>
          <w:tcPr>
            <w:tcW w:w="1829" w:type="pct"/>
            <w:gridSpan w:val="5"/>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完成支付孔雀河烽燧群遗址保护项目人防易地建设费，计容面积4995平方米，配套1个基础设施，有效提升了公众休闲参观体验感。</w:t>
            </w:r>
          </w:p>
        </w:tc>
      </w:tr>
      <w:tr>
        <w:tblPrEx>
          <w:tblCellMar>
            <w:top w:w="0" w:type="dxa"/>
            <w:left w:w="108" w:type="dxa"/>
            <w:bottom w:w="0" w:type="dxa"/>
            <w:right w:w="108" w:type="dxa"/>
          </w:tblCellMar>
        </w:tblPrEx>
        <w:trPr>
          <w:trHeight w:val="875" w:hRule="atLeast"/>
        </w:trPr>
        <w:tc>
          <w:tcPr>
            <w:tcW w:w="30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一级指标</w:t>
            </w: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二级指标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三级指标</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指标值</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指标值设置依据</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上年完成值</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指标分值权重</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指标赋分规则</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佐证资料</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指标实际完成值</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完成率</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指标得分</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偏差原因分析及改进措施</w:t>
            </w:r>
          </w:p>
        </w:tc>
      </w:tr>
      <w:tr>
        <w:tblPrEx>
          <w:tblCellMar>
            <w:top w:w="0" w:type="dxa"/>
            <w:left w:w="108" w:type="dxa"/>
            <w:bottom w:w="0" w:type="dxa"/>
            <w:right w:w="108" w:type="dxa"/>
          </w:tblCellMar>
        </w:tblPrEx>
        <w:trPr>
          <w:trHeight w:val="600" w:hRule="atLeast"/>
        </w:trPr>
        <w:tc>
          <w:tcPr>
            <w:tcW w:w="304" w:type="pct"/>
            <w:vMerge w:val="restar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年度绩效指标完成情况</w:t>
            </w:r>
          </w:p>
        </w:tc>
        <w:tc>
          <w:tcPr>
            <w:tcW w:w="312" w:type="pct"/>
            <w:vMerge w:val="restar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产出指标</w:t>
            </w: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数量指标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计容面积</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=4995平方米</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计划标准</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按照正常比例赋分</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工作资料</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=4995平方米</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r>
      <w:tr>
        <w:tblPrEx>
          <w:tblCellMar>
            <w:top w:w="0" w:type="dxa"/>
            <w:left w:w="108" w:type="dxa"/>
            <w:bottom w:w="0" w:type="dxa"/>
            <w:right w:w="108" w:type="dxa"/>
          </w:tblCellMar>
        </w:tblPrEx>
        <w:trPr>
          <w:trHeight w:val="600" w:hRule="atLeast"/>
        </w:trPr>
        <w:tc>
          <w:tcPr>
            <w:tcW w:w="304"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数量指标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基础设施配套个数</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=1个</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计划标准</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按照正常比例赋分</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工作资料</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=1个</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r>
      <w:tr>
        <w:tblPrEx>
          <w:tblCellMar>
            <w:top w:w="0" w:type="dxa"/>
            <w:left w:w="108" w:type="dxa"/>
            <w:bottom w:w="0" w:type="dxa"/>
            <w:right w:w="108" w:type="dxa"/>
          </w:tblCellMar>
        </w:tblPrEx>
        <w:trPr>
          <w:trHeight w:val="600" w:hRule="atLeast"/>
        </w:trPr>
        <w:tc>
          <w:tcPr>
            <w:tcW w:w="304"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质量指标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项目验收合格率</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&gt;=90%</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计划标准</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按照正常比例赋分</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工作资料</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111.11%</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8.89</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项目按照计划执行，完成率100%，因此产生偏差。</w:t>
            </w:r>
          </w:p>
        </w:tc>
      </w:tr>
      <w:tr>
        <w:tblPrEx>
          <w:tblCellMar>
            <w:top w:w="0" w:type="dxa"/>
            <w:left w:w="108" w:type="dxa"/>
            <w:bottom w:w="0" w:type="dxa"/>
            <w:right w:w="108" w:type="dxa"/>
          </w:tblCellMar>
        </w:tblPrEx>
        <w:trPr>
          <w:trHeight w:val="600" w:hRule="atLeast"/>
        </w:trPr>
        <w:tc>
          <w:tcPr>
            <w:tcW w:w="304"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时效指标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工程完工及时率</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&gt;=90%</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计划标准</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按照正常比例赋分</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工作资料</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111.11%</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8.89</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项目按照计划执行，完成率100%，因此产生偏差。</w:t>
            </w:r>
          </w:p>
        </w:tc>
      </w:tr>
      <w:tr>
        <w:tblPrEx>
          <w:tblCellMar>
            <w:top w:w="0" w:type="dxa"/>
            <w:left w:w="108" w:type="dxa"/>
            <w:bottom w:w="0" w:type="dxa"/>
            <w:right w:w="108" w:type="dxa"/>
          </w:tblCellMar>
        </w:tblPrEx>
        <w:trPr>
          <w:trHeight w:val="600" w:hRule="atLeast"/>
        </w:trPr>
        <w:tc>
          <w:tcPr>
            <w:tcW w:w="304"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vMerge w:val="restar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成本指标</w:t>
            </w: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经济成本指标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人防易地建设费支出</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&lt;=11.99万元</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计划标准</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按照正常比例赋分</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原始凭证</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=11.99万元</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r>
      <w:tr>
        <w:tblPrEx>
          <w:tblCellMar>
            <w:top w:w="0" w:type="dxa"/>
            <w:left w:w="108" w:type="dxa"/>
            <w:bottom w:w="0" w:type="dxa"/>
            <w:right w:w="108" w:type="dxa"/>
          </w:tblCellMar>
        </w:tblPrEx>
        <w:trPr>
          <w:trHeight w:val="600" w:hRule="atLeast"/>
        </w:trPr>
        <w:tc>
          <w:tcPr>
            <w:tcW w:w="304"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经济成本指标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基础设施配套费支出</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&lt;=260.87万元</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计划标准</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按照正常比例赋分</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原始凭证</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=260.87万元</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r>
      <w:tr>
        <w:tblPrEx>
          <w:tblCellMar>
            <w:top w:w="0" w:type="dxa"/>
            <w:left w:w="108" w:type="dxa"/>
            <w:bottom w:w="0" w:type="dxa"/>
            <w:right w:w="108" w:type="dxa"/>
          </w:tblCellMar>
        </w:tblPrEx>
        <w:trPr>
          <w:trHeight w:val="600" w:hRule="atLeast"/>
        </w:trPr>
        <w:tc>
          <w:tcPr>
            <w:tcW w:w="304"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效益指标</w:t>
            </w: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社会效益指标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提升文化休闲场所参观体验</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显著提升</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计划标准</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20</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按评判等级赋分</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工作资料</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达成目标</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20</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r>
      <w:tr>
        <w:tblPrEx>
          <w:tblCellMar>
            <w:top w:w="0" w:type="dxa"/>
            <w:left w:w="108" w:type="dxa"/>
            <w:bottom w:w="0" w:type="dxa"/>
            <w:right w:w="108" w:type="dxa"/>
          </w:tblCellMar>
        </w:tblPrEx>
        <w:trPr>
          <w:trHeight w:val="600" w:hRule="atLeast"/>
        </w:trPr>
        <w:tc>
          <w:tcPr>
            <w:tcW w:w="304" w:type="pct"/>
            <w:vMerge w:val="continue"/>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满意度指标</w:t>
            </w:r>
          </w:p>
        </w:tc>
        <w:tc>
          <w:tcPr>
            <w:tcW w:w="29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满意度指标</w:t>
            </w:r>
          </w:p>
        </w:tc>
        <w:tc>
          <w:tcPr>
            <w:tcW w:w="61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游客满意度</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&gt;=90%</w:t>
            </w: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计划标准</w:t>
            </w: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w:t>
            </w: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满意度赋分</w:t>
            </w: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工作资料</w:t>
            </w: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=90%</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100%</w:t>
            </w: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10</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r>
      <w:tr>
        <w:tblPrEx>
          <w:tblCellMar>
            <w:top w:w="0" w:type="dxa"/>
            <w:left w:w="108" w:type="dxa"/>
            <w:bottom w:w="0" w:type="dxa"/>
            <w:right w:w="108" w:type="dxa"/>
          </w:tblCellMar>
        </w:tblPrEx>
        <w:trPr>
          <w:trHeight w:val="500" w:hRule="atLeast"/>
        </w:trPr>
        <w:tc>
          <w:tcPr>
            <w:tcW w:w="1518" w:type="pct"/>
            <w:gridSpan w:val="4"/>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总分</w:t>
            </w:r>
          </w:p>
        </w:tc>
        <w:tc>
          <w:tcPr>
            <w:tcW w:w="431"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23"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265"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0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06"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8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430"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c>
          <w:tcPr>
            <w:tcW w:w="312"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r>
              <w:rPr>
                <w:rFonts w:ascii="仿宋" w:hAnsi="仿宋" w:eastAsia="仿宋" w:cs="仿宋"/>
                <w:sz w:val="15"/>
                <w:szCs w:val="15"/>
              </w:rPr>
              <w:t>97.78分</w:t>
            </w:r>
          </w:p>
        </w:tc>
        <w:tc>
          <w:tcPr>
            <w:tcW w:w="394" w:type="pct"/>
            <w:tcBorders>
              <w:top w:val="single" w:color="auto" w:sz="4" w:space="0"/>
              <w:left w:val="single" w:color="auto" w:sz="4" w:space="0"/>
              <w:bottom w:val="single" w:color="auto" w:sz="4" w:space="0"/>
              <w:right w:val="single" w:color="auto" w:sz="4" w:space="0"/>
            </w:tcBorders>
            <w:vAlign w:val="center"/>
          </w:tcPr>
          <w:p>
            <w:pPr>
              <w:pStyle w:val="34"/>
              <w:spacing w:line="200" w:lineRule="exact"/>
              <w:rPr>
                <w:rFonts w:hint="default" w:ascii="仿宋" w:hAnsi="仿宋" w:eastAsia="仿宋" w:cs="仿宋"/>
                <w:sz w:val="15"/>
                <w:szCs w:val="15"/>
              </w:rPr>
            </w:pPr>
          </w:p>
        </w:tc>
      </w:tr>
    </w:tbl>
    <w:p>
      <w:pPr>
        <w:ind w:firstLine="640"/>
        <w:rPr>
          <w:rFonts w:ascii="仿宋" w:hAnsi="仿宋" w:eastAsia="仿宋" w:cs="仿宋"/>
        </w:rPr>
      </w:pPr>
    </w:p>
    <w:p>
      <w:pPr>
        <w:pStyle w:val="5"/>
        <w:ind w:firstLine="643"/>
        <w:rPr>
          <w:rFonts w:ascii="仿宋" w:hAnsi="仿宋" w:eastAsia="仿宋" w:cs="仿宋"/>
        </w:rPr>
        <w:sectPr>
          <w:footerReference r:id="rId4" w:type="default"/>
          <w:pgSz w:w="11906" w:h="16838"/>
          <w:pgMar w:top="1440" w:right="1800" w:bottom="1440" w:left="1800" w:header="851" w:footer="992" w:gutter="0"/>
          <w:pgNumType w:start="1"/>
          <w:cols w:space="720" w:num="1"/>
          <w:docGrid w:type="lines" w:linePitch="312" w:charSpace="0"/>
        </w:sectPr>
      </w:pPr>
    </w:p>
    <w:p>
      <w:pPr>
        <w:pStyle w:val="4"/>
        <w:ind w:firstLine="640"/>
        <w:rPr>
          <w:rFonts w:ascii="仿宋" w:hAnsi="仿宋" w:eastAsia="仿宋" w:cs="仿宋"/>
        </w:rPr>
      </w:pPr>
      <w:bookmarkStart w:id="190" w:name="_Toc23963"/>
      <w:bookmarkStart w:id="191" w:name="_Toc31300"/>
      <w:bookmarkStart w:id="192" w:name="_Toc29757"/>
      <w:r>
        <w:rPr>
          <w:rFonts w:hint="eastAsia" w:ascii="仿宋" w:hAnsi="仿宋" w:eastAsia="仿宋" w:cs="仿宋"/>
        </w:rPr>
        <w:t>附件2：</w:t>
      </w:r>
      <w:bookmarkEnd w:id="186"/>
      <w:bookmarkEnd w:id="187"/>
      <w:bookmarkEnd w:id="188"/>
      <w:bookmarkEnd w:id="189"/>
      <w:bookmarkEnd w:id="190"/>
      <w:bookmarkEnd w:id="191"/>
      <w:bookmarkEnd w:id="192"/>
    </w:p>
    <w:p>
      <w:pPr>
        <w:pStyle w:val="33"/>
        <w:rPr>
          <w:rFonts w:hint="default" w:ascii="仿宋" w:hAnsi="仿宋" w:eastAsia="仿宋" w:cs="仿宋"/>
        </w:rPr>
      </w:pPr>
      <w:bookmarkStart w:id="193" w:name="_Toc29561"/>
      <w:bookmarkStart w:id="194" w:name="_Toc5204"/>
      <w:bookmarkStart w:id="195" w:name="_Toc28172"/>
      <w:r>
        <w:rPr>
          <w:rFonts w:ascii="仿宋" w:hAnsi="仿宋" w:eastAsia="仿宋" w:cs="仿宋"/>
        </w:rPr>
        <w:t>项目支出绩效评价指标体系及评分</w:t>
      </w:r>
      <w:bookmarkEnd w:id="193"/>
      <w:bookmarkEnd w:id="194"/>
      <w:bookmarkEnd w:id="195"/>
    </w:p>
    <w:tbl>
      <w:tblPr>
        <w:tblStyle w:val="15"/>
        <w:tblW w:w="0" w:type="auto"/>
        <w:jc w:val="center"/>
        <w:tblLayout w:type="fixed"/>
        <w:tblCellMar>
          <w:top w:w="0" w:type="dxa"/>
          <w:left w:w="108" w:type="dxa"/>
          <w:bottom w:w="0" w:type="dxa"/>
          <w:right w:w="108" w:type="dxa"/>
        </w:tblCellMar>
      </w:tblPr>
      <w:tblGrid>
        <w:gridCol w:w="592"/>
        <w:gridCol w:w="670"/>
        <w:gridCol w:w="818"/>
        <w:gridCol w:w="2173"/>
        <w:gridCol w:w="4179"/>
        <w:gridCol w:w="614"/>
        <w:gridCol w:w="625"/>
      </w:tblGrid>
      <w:tr>
        <w:tblPrEx>
          <w:tblCellMar>
            <w:top w:w="0" w:type="dxa"/>
            <w:left w:w="108" w:type="dxa"/>
            <w:bottom w:w="0" w:type="dxa"/>
            <w:right w:w="108" w:type="dxa"/>
          </w:tblCellMar>
        </w:tblPrEx>
        <w:trPr>
          <w:trHeight w:val="460" w:hRule="atLeast"/>
          <w:jc w:val="center"/>
        </w:trPr>
        <w:tc>
          <w:tcPr>
            <w:tcW w:w="592"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一级</w:t>
            </w:r>
          </w:p>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指标</w:t>
            </w:r>
          </w:p>
        </w:tc>
        <w:tc>
          <w:tcPr>
            <w:tcW w:w="670"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二级指标</w:t>
            </w:r>
          </w:p>
        </w:tc>
        <w:tc>
          <w:tcPr>
            <w:tcW w:w="818"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三级</w:t>
            </w:r>
          </w:p>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指标</w:t>
            </w:r>
          </w:p>
        </w:tc>
        <w:tc>
          <w:tcPr>
            <w:tcW w:w="2173" w:type="dxa"/>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指标解释</w:t>
            </w:r>
          </w:p>
        </w:tc>
        <w:tc>
          <w:tcPr>
            <w:tcW w:w="4179"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指标说明</w:t>
            </w:r>
          </w:p>
        </w:tc>
        <w:tc>
          <w:tcPr>
            <w:tcW w:w="614"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分值</w:t>
            </w:r>
          </w:p>
        </w:tc>
        <w:tc>
          <w:tcPr>
            <w:tcW w:w="625"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得分</w:t>
            </w:r>
          </w:p>
        </w:tc>
      </w:tr>
      <w:tr>
        <w:tblPrEx>
          <w:tblCellMar>
            <w:top w:w="0" w:type="dxa"/>
            <w:left w:w="108" w:type="dxa"/>
            <w:bottom w:w="0" w:type="dxa"/>
            <w:right w:w="108" w:type="dxa"/>
          </w:tblCellMar>
        </w:tblPrEx>
        <w:trPr>
          <w:trHeight w:val="90" w:hRule="atLeast"/>
          <w:jc w:val="center"/>
        </w:trPr>
        <w:tc>
          <w:tcPr>
            <w:tcW w:w="592"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决策</w:t>
            </w: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项目立项</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立项依据充分性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项目立项是否符合法律法规、相关政策、发展规划以及部门职责，用以反映和考核项目立项依据情况。</w:t>
            </w: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3</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3</w:t>
            </w: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①项目立项是否符合国家法律法规、国民经济发展规划和相关政策；</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②项目立项是否符合行业发展规划和政策要求；</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③项目立项是否与部门职责范围相符，属于部门履职所需；</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④项目是否属于公共财政支持范围，是否符合中央、地方事权支出责任划分原则；</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⑤项目是否与相关部门同类项目或部门内部相关项目重复。</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31"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立项程序规范性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项目申请、设立过程是否符合相关要求，用以反映和考核项目立项的规范情况。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3</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3</w:t>
            </w:r>
          </w:p>
        </w:tc>
      </w:tr>
      <w:tr>
        <w:tblPrEx>
          <w:tblCellMar>
            <w:top w:w="0" w:type="dxa"/>
            <w:left w:w="108" w:type="dxa"/>
            <w:bottom w:w="0" w:type="dxa"/>
            <w:right w:w="108" w:type="dxa"/>
          </w:tblCellMar>
        </w:tblPrEx>
        <w:trPr>
          <w:trHeight w:val="107"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①项目是否按照规定的程序申请设立；</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254"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②审批文件、材料是否符合相关要求；</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③事前是否已经过必要的可行性研究、专家论证、风险评估、绩效评估、集体决策。</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221"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绩效目标</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绩效目标合理性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项目所设定的绩效目标是否依据充分，是否符合客观实际，用以反映和考核项目绩效目标与项目实施的相符情况。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r>
      <w:tr>
        <w:tblPrEx>
          <w:tblCellMar>
            <w:top w:w="0" w:type="dxa"/>
            <w:left w:w="108" w:type="dxa"/>
            <w:bottom w:w="0" w:type="dxa"/>
            <w:right w:w="108" w:type="dxa"/>
          </w:tblCellMar>
        </w:tblPrEx>
        <w:trPr>
          <w:trHeight w:val="152"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①项目是否有绩效目标；</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98"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②项目绩效目标与实际工作内容是否具有相关性；</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③项目预期产出效益和效果是否符合正常的业绩水平；</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53"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④是否与预算确定的项目投资额或资金量相匹配。</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绩效指标明确性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依据绩效目标设定的绩效指标是否清晰、细化、可衡量等，用以反映和考核项目绩效目标的明细化情况。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①是否将项目绩效目标细化分解为具体的绩效指标；</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4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②是否通过清晰、可衡量的指标值予以体现；</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31"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③是否与项目目标任务数或计划数相对应。</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7"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资金投入</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预算编制科学性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项目预算编制是否经过科学论证、有明确标准，资金额度与年度目标是否相适应，用以反映和考核项目预算编制的科学性、合理性情况。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①预算编制是否经过科学论证；</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②预算内容与项目内容是否匹配；</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③预算额度测算依据是否充分，是否按照标准编制；</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④预算确定的项目投资额或资金量是否与工作任务相匹配。</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76"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资金分配合理性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项目预算资金分配是否有测算依据，与补助单位或地方实际是否相适应，用以反映和考核项目预算资金分配的科学性、合理性情况。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①预算资金分配依据是否充分；</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088"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②资金分配额度是否合理，与项目单位或地方实际是否相适应。</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08" w:hRule="atLeast"/>
          <w:jc w:val="center"/>
        </w:trPr>
        <w:tc>
          <w:tcPr>
            <w:tcW w:w="592"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过程</w:t>
            </w: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资金管理</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资金到位率</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实际到位资金与预算资金的比率，用以反映和考核资金落实情况对项目实施的总体保障程度。</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资金到位率=（实际到位资金/预算资金）×100%。</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实际到位资金：一定时期（本年度或项目期）内落实到具体项目的资金。</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582"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预算资金：一定时期（本年度或项目期）内预算安排到具体项目的资金。</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预算执行率</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项目预算资金是否按照计划执行，用以反映或考核项目预算执行情况。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预算执行率=（实际支出资金/实际到位资金）×100%。</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r>
      <w:tr>
        <w:tblPrEx>
          <w:tblCellMar>
            <w:top w:w="0" w:type="dxa"/>
            <w:left w:w="108" w:type="dxa"/>
            <w:bottom w:w="0" w:type="dxa"/>
            <w:right w:w="108" w:type="dxa"/>
          </w:tblCellMar>
        </w:tblPrEx>
        <w:trPr>
          <w:trHeight w:val="628"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实际支出资金：一定时期（本年度或项目期）内项目实际拨付的资金。</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资金使用合规性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项目资金使用是否符合相关的财务管理制度规定，用以反映和考核项目资金的规范运行情况。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①是否符合国家财经法规和财务管理制度以及有关专项资金管理办法的规定；</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②资金的拨付是否有完整的审批程序和手续；</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③是否符合项目预算批复或合同规定的用途；</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119"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④是否存在截留、挤占、挪用、虚列支出等情况。</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组织实施</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管理制度健全性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项目实施单位的财务和业务管理制度是否健全，用以反映和考核财务和业务管理制度对项目顺利实施的保障情况。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3</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3</w:t>
            </w: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①是否已制定或具有相应的财务和业务管理制度；</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②财务和业务管理制度是否合法、合规、完整。</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233"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制度执行有效性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项目实施是否符合相关管理规定，用以反映和考核相关管理制度的有效执行情况。</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评价要点：</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3</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3</w:t>
            </w:r>
          </w:p>
        </w:tc>
      </w:tr>
      <w:tr>
        <w:tblPrEx>
          <w:tblCellMar>
            <w:top w:w="0" w:type="dxa"/>
            <w:left w:w="108" w:type="dxa"/>
            <w:bottom w:w="0" w:type="dxa"/>
            <w:right w:w="108" w:type="dxa"/>
          </w:tblCellMar>
        </w:tblPrEx>
        <w:trPr>
          <w:trHeight w:val="152"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①是否遵守相关法律法规和相关管理规定；</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9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②项目调整及支出调整手续是否完备；</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③项目合同书、验收报告、技术鉴定等资料是否齐全并及时归档；</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④项目实施的人员条件、场地设备、信息支撑等是否落实到位。</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产出</w:t>
            </w: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产出数量</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实际完成率</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项目实施的实际产出数与计划产出数的比率，用以反映和考核项目产出数量目标的实现程度。</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实际完成率=（实际产出数/计划产出数）×100%。</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12</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12</w:t>
            </w: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实际产出数：一定时期（本年度或项目期）内项目实际产出的产品或提供的服务数量。</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计划产出数：项目绩效目标确定的在一定时期（本年度或项目期）内计划产出的产品或提供的服务数量。</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337"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产出质量</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质量达标率</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项目完成的质量达标产出数与实际产出数的比率，用以反映和考核项目产出质量目标的实现程度。</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质量达标率=（质量达标产出数/实际产出数）×100%。</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4</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0</w:t>
            </w:r>
          </w:p>
        </w:tc>
      </w:tr>
      <w:tr>
        <w:tblPrEx>
          <w:tblCellMar>
            <w:top w:w="0" w:type="dxa"/>
            <w:left w:w="108" w:type="dxa"/>
            <w:bottom w:w="0" w:type="dxa"/>
            <w:right w:w="108" w:type="dxa"/>
          </w:tblCellMar>
        </w:tblPrEx>
        <w:trPr>
          <w:trHeight w:val="88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产出时效</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完成及时性</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项目实际完成时间与计划完成时间的比较，用以反映和考核项目产出时效目标的实现程度。</w:t>
            </w:r>
          </w:p>
        </w:tc>
        <w:tc>
          <w:tcPr>
            <w:tcW w:w="4179" w:type="dxa"/>
            <w:tcBorders>
              <w:top w:val="single" w:color="auto" w:sz="4" w:space="0"/>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实际完成时间：项目实施单位完成该项目实际所耗用的时间。</w:t>
            </w: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12</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12</w:t>
            </w: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计划完成时间：按照项目实施计划或相关规定完成该项目所需的时间。</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产出成本</w:t>
            </w:r>
          </w:p>
        </w:tc>
        <w:tc>
          <w:tcPr>
            <w:tcW w:w="818"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成本节约率</w:t>
            </w:r>
          </w:p>
        </w:tc>
        <w:tc>
          <w:tcPr>
            <w:tcW w:w="2173" w:type="dxa"/>
            <w:vMerge w:val="restart"/>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完成项目计划工作目标的实际节约成本与计划成本的比率，用以反映和考核项目的成本节约程度。</w:t>
            </w:r>
          </w:p>
        </w:tc>
        <w:tc>
          <w:tcPr>
            <w:tcW w:w="4179" w:type="dxa"/>
            <w:tcBorders>
              <w:top w:val="single" w:color="auto" w:sz="4" w:space="0"/>
              <w:left w:val="single" w:color="auto" w:sz="4" w:space="0"/>
              <w:bottom w:val="nil"/>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14"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12</w:t>
            </w:r>
          </w:p>
        </w:tc>
        <w:tc>
          <w:tcPr>
            <w:tcW w:w="625" w:type="dxa"/>
            <w:vMerge w:val="restart"/>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11.4</w:t>
            </w: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成本节约率=〔（计划成本－实际成本）/计划成本〕×100%。</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nil"/>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实际成本：项目实施单位如期、保质、保量完成既定工作目标实际所耗费的支出。</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4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2173" w:type="dxa"/>
            <w:vMerge w:val="continue"/>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p>
        </w:tc>
        <w:tc>
          <w:tcPr>
            <w:tcW w:w="4179" w:type="dxa"/>
            <w:tcBorders>
              <w:top w:val="nil"/>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计划成本：项目实施单位为完成工作目标计划安排的支出，一般以项目预算为参考。</w:t>
            </w:r>
          </w:p>
        </w:tc>
        <w:tc>
          <w:tcPr>
            <w:tcW w:w="614"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c>
          <w:tcPr>
            <w:tcW w:w="625" w:type="dxa"/>
            <w:vMerge w:val="continue"/>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p>
        </w:tc>
      </w:tr>
      <w:tr>
        <w:tblPrEx>
          <w:tblCellMar>
            <w:top w:w="0" w:type="dxa"/>
            <w:left w:w="108" w:type="dxa"/>
            <w:bottom w:w="0" w:type="dxa"/>
            <w:right w:w="108" w:type="dxa"/>
          </w:tblCellMar>
        </w:tblPrEx>
        <w:trPr>
          <w:trHeight w:val="780" w:hRule="atLeast"/>
          <w:jc w:val="center"/>
        </w:trPr>
        <w:tc>
          <w:tcPr>
            <w:tcW w:w="592"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效益</w:t>
            </w:r>
          </w:p>
        </w:tc>
        <w:tc>
          <w:tcPr>
            <w:tcW w:w="670" w:type="dxa"/>
            <w:vMerge w:val="restart"/>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项目效益</w:t>
            </w:r>
          </w:p>
        </w:tc>
        <w:tc>
          <w:tcPr>
            <w:tcW w:w="818"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实施</w:t>
            </w:r>
          </w:p>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效益</w:t>
            </w:r>
          </w:p>
        </w:tc>
        <w:tc>
          <w:tcPr>
            <w:tcW w:w="2173" w:type="dxa"/>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项目实施所产生的效益。</w:t>
            </w:r>
          </w:p>
        </w:tc>
        <w:tc>
          <w:tcPr>
            <w:tcW w:w="4179"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项目实施所产生的社会效益、经济效益、生态效益、可持续影响等。可根据项目实际情况有选择地设置和细化。</w:t>
            </w:r>
          </w:p>
        </w:tc>
        <w:tc>
          <w:tcPr>
            <w:tcW w:w="614" w:type="dxa"/>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10</w:t>
            </w:r>
          </w:p>
        </w:tc>
        <w:tc>
          <w:tcPr>
            <w:tcW w:w="625" w:type="dxa"/>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10</w:t>
            </w:r>
          </w:p>
        </w:tc>
      </w:tr>
      <w:tr>
        <w:tblPrEx>
          <w:tblCellMar>
            <w:top w:w="0" w:type="dxa"/>
            <w:left w:w="108" w:type="dxa"/>
            <w:bottom w:w="0" w:type="dxa"/>
            <w:right w:w="108" w:type="dxa"/>
          </w:tblCellMar>
        </w:tblPrEx>
        <w:trPr>
          <w:trHeight w:val="860" w:hRule="atLeast"/>
          <w:jc w:val="center"/>
        </w:trPr>
        <w:tc>
          <w:tcPr>
            <w:tcW w:w="592"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670" w:type="dxa"/>
            <w:vMerge w:val="continue"/>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p>
        </w:tc>
        <w:tc>
          <w:tcPr>
            <w:tcW w:w="818"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满意度</w:t>
            </w:r>
          </w:p>
        </w:tc>
        <w:tc>
          <w:tcPr>
            <w:tcW w:w="2173" w:type="dxa"/>
            <w:tcBorders>
              <w:top w:val="single" w:color="auto" w:sz="4" w:space="0"/>
              <w:left w:val="single" w:color="auto" w:sz="4" w:space="0"/>
              <w:bottom w:val="single" w:color="auto" w:sz="4" w:space="0"/>
              <w:right w:val="nil"/>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社会公众或服务对象对项目实施效果的满意程度。</w:t>
            </w:r>
          </w:p>
        </w:tc>
        <w:tc>
          <w:tcPr>
            <w:tcW w:w="4179" w:type="dxa"/>
            <w:tcBorders>
              <w:top w:val="single" w:color="auto" w:sz="4" w:space="0"/>
              <w:left w:val="single" w:color="auto" w:sz="4" w:space="0"/>
              <w:bottom w:val="single" w:color="auto" w:sz="4" w:space="0"/>
              <w:right w:val="single" w:color="auto" w:sz="4" w:space="0"/>
            </w:tcBorders>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社会公众或服务对象是指因该项目实施而受到影响的部门（单位）、群体或个人。一般采取社会调查的方式。</w:t>
            </w:r>
          </w:p>
        </w:tc>
        <w:tc>
          <w:tcPr>
            <w:tcW w:w="614" w:type="dxa"/>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10</w:t>
            </w:r>
          </w:p>
        </w:tc>
        <w:tc>
          <w:tcPr>
            <w:tcW w:w="625" w:type="dxa"/>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10</w:t>
            </w:r>
          </w:p>
        </w:tc>
      </w:tr>
      <w:tr>
        <w:tblPrEx>
          <w:tblCellMar>
            <w:top w:w="0" w:type="dxa"/>
            <w:left w:w="108" w:type="dxa"/>
            <w:bottom w:w="0" w:type="dxa"/>
            <w:right w:w="108" w:type="dxa"/>
          </w:tblCellMar>
        </w:tblPrEx>
        <w:trPr>
          <w:trHeight w:val="460" w:hRule="atLeast"/>
          <w:jc w:val="center"/>
        </w:trPr>
        <w:tc>
          <w:tcPr>
            <w:tcW w:w="8432" w:type="dxa"/>
            <w:gridSpan w:val="5"/>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合计</w:t>
            </w:r>
          </w:p>
        </w:tc>
        <w:tc>
          <w:tcPr>
            <w:tcW w:w="614" w:type="dxa"/>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100</w:t>
            </w:r>
          </w:p>
        </w:tc>
        <w:tc>
          <w:tcPr>
            <w:tcW w:w="625" w:type="dxa"/>
            <w:tcBorders>
              <w:top w:val="single" w:color="auto" w:sz="4" w:space="0"/>
              <w:left w:val="single" w:color="auto" w:sz="4" w:space="0"/>
              <w:bottom w:val="single" w:color="auto" w:sz="4" w:space="0"/>
              <w:right w:val="single" w:color="auto" w:sz="4" w:space="0"/>
            </w:tcBorders>
            <w:noWrap/>
            <w:vAlign w:val="center"/>
          </w:tcPr>
          <w:p>
            <w:pPr>
              <w:pStyle w:val="34"/>
              <w:spacing w:line="240" w:lineRule="exact"/>
              <w:jc w:val="both"/>
              <w:rPr>
                <w:rFonts w:hint="default" w:ascii="仿宋" w:hAnsi="仿宋" w:eastAsia="仿宋" w:cs="仿宋"/>
                <w:sz w:val="18"/>
                <w:szCs w:val="18"/>
              </w:rPr>
            </w:pPr>
            <w:r>
              <w:rPr>
                <w:rFonts w:ascii="仿宋" w:hAnsi="仿宋" w:eastAsia="仿宋" w:cs="仿宋"/>
                <w:sz w:val="18"/>
                <w:szCs w:val="18"/>
              </w:rPr>
              <w:t>100</w:t>
            </w:r>
            <w:bookmarkEnd w:id="0"/>
          </w:p>
        </w:tc>
      </w:tr>
    </w:tbl>
    <w:p>
      <w:pPr>
        <w:pStyle w:val="5"/>
        <w:ind w:firstLine="0" w:firstLineChars="0"/>
        <w:rPr>
          <w:rFonts w:ascii="仿宋" w:hAnsi="仿宋" w:eastAsia="仿宋" w:cs="仿宋"/>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pict>
        <v:shape id="_x0000_s3084" o:spid="_x0000_s308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0"/>
                  <w:ind w:firstLine="360"/>
                </w:pPr>
                <w:r>
                  <w:fldChar w:fldCharType="begin"/>
                </w:r>
                <w:r>
                  <w:instrText xml:space="preserve"> PAGE  \* MERGEFORMAT </w:instrText>
                </w:r>
                <w:r>
                  <w:fldChar w:fldCharType="separate"/>
                </w:r>
                <w:r>
                  <w:t>11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cumentProtection w:enforcement="0"/>
  <w:defaultTabStop w:val="420"/>
  <w:drawingGridVerticalSpacing w:val="156"/>
  <w:noPunctuationKerning w:val="1"/>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383CB0"/>
    <w:rsid w:val="00383CB0"/>
    <w:rsid w:val="006D0B00"/>
    <w:rsid w:val="00BD0488"/>
    <w:rsid w:val="196266D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24"/>
    <w:qFormat/>
    <w:uiPriority w:val="99"/>
    <w:pPr>
      <w:keepNext/>
      <w:outlineLvl w:val="1"/>
    </w:pPr>
    <w:rPr>
      <w:rFonts w:eastAsia="黑体"/>
      <w:bCs/>
      <w:iCs/>
      <w:szCs w:val="21"/>
    </w:rPr>
  </w:style>
  <w:style w:type="paragraph" w:styleId="5">
    <w:name w:val="heading 3"/>
    <w:basedOn w:val="1"/>
    <w:next w:val="1"/>
    <w:link w:val="22"/>
    <w:unhideWhenUsed/>
    <w:qFormat/>
    <w:uiPriority w:val="9"/>
    <w:pPr>
      <w:keepNext/>
      <w:keepLines/>
      <w:outlineLvl w:val="2"/>
    </w:pPr>
    <w:rPr>
      <w:rFonts w:eastAsia="楷体_GB2312"/>
      <w:b/>
    </w:rPr>
  </w:style>
  <w:style w:type="paragraph" w:styleId="6">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Calibri Light" w:hAnsi="Calibri Light" w:eastAsia="宋体"/>
      <w:b/>
      <w:bCs/>
      <w:kern w:val="28"/>
      <w:szCs w:val="32"/>
    </w:r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eastAsia="宋体"/>
    </w:rPr>
  </w:style>
  <w:style w:type="paragraph" w:styleId="9">
    <w:name w:val="toc 3"/>
    <w:basedOn w:val="1"/>
    <w:next w:val="1"/>
    <w:qFormat/>
    <w:uiPriority w:val="39"/>
    <w:pPr>
      <w:ind w:left="840" w:leftChars="400"/>
    </w:pPr>
  </w:style>
  <w:style w:type="paragraph" w:styleId="10">
    <w:name w:val="footer"/>
    <w:basedOn w:val="1"/>
    <w:link w:val="26"/>
    <w:unhideWhenUsed/>
    <w:qFormat/>
    <w:uiPriority w:val="99"/>
    <w:pPr>
      <w:tabs>
        <w:tab w:val="center" w:pos="4153"/>
        <w:tab w:val="right" w:pos="8306"/>
      </w:tabs>
      <w:snapToGrid w:val="0"/>
      <w:jc w:val="left"/>
    </w:pPr>
    <w:rPr>
      <w:sz w:val="18"/>
    </w:rPr>
  </w:style>
  <w:style w:type="paragraph" w:styleId="11">
    <w:name w:val="header"/>
    <w:basedOn w:val="1"/>
    <w:link w:val="20"/>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toc 1"/>
    <w:basedOn w:val="1"/>
    <w:next w:val="1"/>
    <w:qFormat/>
    <w:uiPriority w:val="39"/>
  </w:style>
  <w:style w:type="paragraph" w:styleId="13">
    <w:name w:val="toc 2"/>
    <w:basedOn w:val="1"/>
    <w:next w:val="1"/>
    <w:qFormat/>
    <w:uiPriority w:val="39"/>
    <w:pPr>
      <w:ind w:left="420" w:leftChars="200"/>
    </w:pPr>
  </w:style>
  <w:style w:type="paragraph" w:styleId="1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6">
    <w:name w:val="Table Grid"/>
    <w:uiPriority w:val="0"/>
    <w:tblPr>
      <w:tblBorders>
        <w:top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
  </w:style>
  <w:style w:type="paragraph" w:customStyle="1" w:styleId="18">
    <w:name w:val="Comment Text"/>
    <w:basedOn w:val="1"/>
    <w:qFormat/>
    <w:uiPriority w:val="0"/>
    <w:pPr>
      <w:jc w:val="left"/>
    </w:pPr>
  </w:style>
  <w:style w:type="character" w:customStyle="1" w:styleId="19">
    <w:name w:val="font91"/>
    <w:basedOn w:val="17"/>
    <w:uiPriority w:val="0"/>
    <w:rPr>
      <w:rFonts w:hint="default" w:ascii="Times New Roman" w:hAnsi="Times New Roman" w:cs="Times New Roman"/>
      <w:color w:val="000000"/>
      <w:sz w:val="18"/>
      <w:szCs w:val="18"/>
      <w:u w:val="none"/>
    </w:rPr>
  </w:style>
  <w:style w:type="character" w:customStyle="1" w:styleId="20">
    <w:name w:val="页眉 Char"/>
    <w:link w:val="11"/>
    <w:uiPriority w:val="99"/>
    <w:rPr>
      <w:rFonts w:eastAsia="仿宋_GB2312" w:cs="Times New Roman"/>
      <w:kern w:val="2"/>
      <w:sz w:val="18"/>
      <w:szCs w:val="22"/>
    </w:rPr>
  </w:style>
  <w:style w:type="character" w:customStyle="1" w:styleId="21">
    <w:name w:val="font101"/>
    <w:basedOn w:val="17"/>
    <w:uiPriority w:val="0"/>
    <w:rPr>
      <w:rFonts w:hint="eastAsia" w:ascii="宋体" w:hAnsi="宋体" w:eastAsia="宋体" w:cs="宋体"/>
      <w:color w:val="000000"/>
      <w:sz w:val="18"/>
      <w:szCs w:val="18"/>
      <w:u w:val="none"/>
    </w:rPr>
  </w:style>
  <w:style w:type="character" w:customStyle="1" w:styleId="22">
    <w:name w:val="标题 3 Char"/>
    <w:link w:val="5"/>
    <w:qFormat/>
    <w:uiPriority w:val="9"/>
    <w:rPr>
      <w:rFonts w:eastAsia="楷体_GB2312" w:cs="Times New Roman"/>
      <w:b/>
      <w:kern w:val="2"/>
      <w:sz w:val="32"/>
      <w:szCs w:val="22"/>
    </w:rPr>
  </w:style>
  <w:style w:type="character" w:customStyle="1" w:styleId="23">
    <w:name w:val="font21"/>
    <w:basedOn w:val="17"/>
    <w:uiPriority w:val="0"/>
    <w:rPr>
      <w:rFonts w:hint="default" w:ascii="Times New Roman" w:hAnsi="Times New Roman" w:cs="Times New Roman"/>
      <w:color w:val="000000"/>
      <w:sz w:val="22"/>
      <w:szCs w:val="22"/>
      <w:u w:val="none"/>
    </w:rPr>
  </w:style>
  <w:style w:type="character" w:customStyle="1" w:styleId="24">
    <w:name w:val="标题 2 Char"/>
    <w:link w:val="4"/>
    <w:qFormat/>
    <w:uiPriority w:val="99"/>
    <w:rPr>
      <w:rFonts w:eastAsia="黑体"/>
      <w:bCs/>
      <w:iCs/>
      <w:kern w:val="2"/>
      <w:sz w:val="32"/>
      <w:szCs w:val="21"/>
    </w:rPr>
  </w:style>
  <w:style w:type="character" w:customStyle="1" w:styleId="25">
    <w:name w:val="font71"/>
    <w:basedOn w:val="17"/>
    <w:uiPriority w:val="0"/>
    <w:rPr>
      <w:rFonts w:hint="eastAsia" w:ascii="宋体" w:hAnsi="宋体" w:eastAsia="宋体" w:cs="宋体"/>
      <w:color w:val="000000"/>
      <w:sz w:val="22"/>
      <w:szCs w:val="22"/>
      <w:u w:val="none"/>
    </w:rPr>
  </w:style>
  <w:style w:type="character" w:customStyle="1" w:styleId="26">
    <w:name w:val="页脚 Char"/>
    <w:link w:val="10"/>
    <w:uiPriority w:val="99"/>
    <w:rPr>
      <w:rFonts w:eastAsia="仿宋_GB2312" w:cs="Times New Roman"/>
      <w:kern w:val="2"/>
      <w:sz w:val="18"/>
      <w:szCs w:val="22"/>
    </w:rPr>
  </w:style>
  <w:style w:type="character" w:customStyle="1" w:styleId="27">
    <w:name w:val="font131"/>
    <w:basedOn w:val="17"/>
    <w:uiPriority w:val="0"/>
    <w:rPr>
      <w:rFonts w:hint="eastAsia" w:ascii="宋体" w:hAnsi="宋体" w:eastAsia="宋体" w:cs="宋体"/>
      <w:color w:val="000000"/>
      <w:sz w:val="18"/>
      <w:szCs w:val="18"/>
      <w:u w:val="none"/>
    </w:rPr>
  </w:style>
  <w:style w:type="character" w:customStyle="1" w:styleId="28">
    <w:name w:val="font81"/>
    <w:basedOn w:val="17"/>
    <w:uiPriority w:val="0"/>
    <w:rPr>
      <w:rFonts w:hint="eastAsia" w:ascii="宋体" w:hAnsi="宋体" w:eastAsia="宋体" w:cs="宋体"/>
      <w:color w:val="000000"/>
      <w:sz w:val="22"/>
      <w:szCs w:val="22"/>
      <w:u w:val="none"/>
    </w:rPr>
  </w:style>
  <w:style w:type="character" w:customStyle="1" w:styleId="29">
    <w:name w:val="font41"/>
    <w:basedOn w:val="17"/>
    <w:uiPriority w:val="0"/>
    <w:rPr>
      <w:rFonts w:hint="eastAsia" w:ascii="宋体" w:hAnsi="宋体" w:eastAsia="宋体" w:cs="宋体"/>
      <w:color w:val="000000"/>
      <w:sz w:val="22"/>
      <w:szCs w:val="22"/>
      <w:u w:val="none"/>
    </w:rPr>
  </w:style>
  <w:style w:type="character" w:customStyle="1" w:styleId="30">
    <w:name w:val="font112"/>
    <w:basedOn w:val="17"/>
    <w:uiPriority w:val="0"/>
    <w:rPr>
      <w:rFonts w:hint="eastAsia" w:ascii="宋体" w:hAnsi="宋体" w:eastAsia="宋体" w:cs="宋体"/>
      <w:color w:val="000000"/>
      <w:sz w:val="22"/>
      <w:szCs w:val="22"/>
      <w:u w:val="none"/>
    </w:rPr>
  </w:style>
  <w:style w:type="paragraph" w:customStyle="1" w:styleId="31">
    <w:name w:val="WPSOffice手动目录 1"/>
    <w:qFormat/>
    <w:uiPriority w:val="0"/>
    <w:rPr>
      <w:rFonts w:ascii="Times New Roman" w:hAnsi="Times New Roman" w:eastAsia="宋体" w:cs="Times New Roman"/>
      <w:lang w:val="en-US" w:eastAsia="zh-CN" w:bidi="ar-SA"/>
    </w:rPr>
  </w:style>
  <w:style w:type="paragraph" w:customStyle="1" w:styleId="3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3">
    <w:name w:val="表格标题"/>
    <w:basedOn w:val="1"/>
    <w:next w:val="1"/>
    <w:qFormat/>
    <w:uiPriority w:val="0"/>
    <w:pPr>
      <w:keepNext/>
      <w:keepLines/>
      <w:ind w:firstLine="0" w:firstLineChars="0"/>
      <w:jc w:val="center"/>
      <w:outlineLvl w:val="0"/>
    </w:pPr>
    <w:rPr>
      <w:rFonts w:hint="eastAsia"/>
      <w:b/>
      <w:kern w:val="44"/>
    </w:rPr>
  </w:style>
  <w:style w:type="paragraph" w:customStyle="1" w:styleId="34">
    <w:name w:val="表格内容"/>
    <w:basedOn w:val="1"/>
    <w:next w:val="1"/>
    <w:qFormat/>
    <w:uiPriority w:val="0"/>
    <w:pPr>
      <w:keepLines/>
      <w:spacing w:line="240" w:lineRule="auto"/>
      <w:ind w:firstLine="0" w:firstLineChars="0"/>
      <w:jc w:val="center"/>
    </w:pPr>
    <w:rPr>
      <w:rFonts w:hint="eastAsia"/>
      <w:kern w:val="44"/>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84"/>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1B068D5089FB4F3B91527BE7AB8E4419_13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63AB5B-CC59-41CD-B70F-C2A0E9F02B2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2062</Words>
  <Characters>11758</Characters>
  <Lines>97</Lines>
  <Paragraphs>27</Paragraphs>
  <TotalTime>6</TotalTime>
  <ScaleCrop>false</ScaleCrop>
  <LinksUpToDate>false</LinksUpToDate>
  <CharactersWithSpaces>13793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2019-11-25T16:51:00Z</dcterms:created>
  <dc:creator>Administrator</dc:creator>
  <cp:lastModifiedBy>Administrator</cp:lastModifiedBy>
  <dcterms:modified xsi:type="dcterms:W3CDTF">2025-09-23T11:49:49Z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1B068D5089FB4F3B91527BE7AB8E4419_13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