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7"/>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ind w:firstLine="1760" w:firstLineChars="400"/>
        <w:rPr>
          <w:rFonts w:ascii="仿宋" w:eastAsia="仿宋" w:hAnsi="仿宋" w:cs="仿宋" w:hint="eastAsia"/>
          <w:b/>
          <w:bCs/>
          <w:color w:val="auto"/>
          <w:sz w:val="44"/>
          <w:szCs w:val="44"/>
          <w:highlight w:val="none"/>
        </w:rPr>
      </w:pPr>
      <w:bookmarkStart w:id="2" w:name="_Toc28201"/>
      <w:bookmarkStart w:id="3" w:name="_Toc3658"/>
      <w:bookmarkStart w:id="4" w:name="_Toc22704"/>
      <w:bookmarkStart w:id="5" w:name="_Toc912"/>
      <w:bookmarkStart w:id="6" w:name="_Toc14126"/>
      <w:bookmarkStart w:id="7" w:name="_Toc24054"/>
      <w:bookmarkStart w:id="8" w:name="_Toc15040"/>
      <w:r>
        <w:rPr>
          <w:rFonts w:ascii="仿宋" w:eastAsia="仿宋" w:hAnsi="仿宋" w:cs="仿宋" w:hint="eastAsia"/>
          <w:b/>
          <w:bCs/>
          <w:color w:val="auto"/>
          <w:sz w:val="44"/>
          <w:szCs w:val="44"/>
          <w:highlight w:val="none"/>
        </w:rPr>
        <w:t xml:space="preserve">项目支出绩效评价报告</w:t>
      </w:r>
      <w:bookmarkEnd w:id="2"/>
      <w:bookmarkEnd w:id="3"/>
      <w:bookmarkEnd w:id="4"/>
      <w:bookmarkEnd w:id="5"/>
      <w:bookmarkEnd w:id="6"/>
      <w:bookmarkEnd w:id="7"/>
      <w:bookmarkEnd w:id="8"/>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2024年巴州尉犁县</w:t>
      </w:r>
      <w:r>
        <w:rPr>
          <w:rFonts w:ascii="仿宋" w:eastAsia="仿宋" w:hAnsi="仿宋" w:cs="仿宋" w:hint="eastAsia"/>
          <w:color w:val="auto"/>
          <w:highlight w:val="none"/>
          <w:lang w:val="en-US" w:eastAsia="zh-CN"/>
        </w:rPr>
        <w:t xml:space="preserve">“三北”工程</w:t>
      </w:r>
      <w:r>
        <w:rPr>
          <w:rFonts w:ascii="仿宋" w:eastAsia="仿宋" w:hAnsi="仿宋" w:cs="仿宋" w:hint="eastAsia"/>
          <w:b w:val="0"/>
          <w:bCs w:val="0"/>
          <w:color w:val="auto"/>
          <w:highlight w:val="none"/>
          <w:lang w:val="en-US" w:eastAsia="zh-CN"/>
        </w:rPr>
        <w:t xml:space="preserve">林草湿荒一体化</w:t>
      </w:r>
    </w:p>
    <w:p>
      <w:pPr>
        <w:bidi w:val="0"/>
        <w:ind w:left="0" w:firstLine="0" w:leftChars="0" w:firstLineChars="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lang w:val="en-US" w:eastAsia="zh-CN"/>
        </w:rPr>
        <w:t xml:space="preserve">保护修复项目</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val="en-US" w:eastAsia="zh-CN"/>
        </w:rPr>
        <w:t xml:space="preserve">尉犁县林业和草原局</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val="en-US" w:eastAsia="zh-CN"/>
        </w:rPr>
        <w:t xml:space="preserve">尉犁县林业和草原局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艾海提·肉孜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3</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31</w:t>
      </w:r>
      <w:r>
        <w:rPr>
          <w:rFonts w:ascii="仿宋" w:eastAsia="仿宋" w:hAnsi="仿宋" w:cs="仿宋" w:hint="eastAsia"/>
          <w:b w:val="0"/>
          <w:bCs w:val="0"/>
          <w:color w:val="auto"/>
          <w:highlight w:val="none"/>
        </w:rPr>
        <w:t xml:space="preserve">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outlineLvl w:val="1"/>
        <w:rPr>
          <w:rFonts w:ascii="仿宋" w:eastAsia="仿宋" w:hAnsi="仿宋" w:cs="仿宋" w:hint="eastAsia"/>
          <w:color w:val="auto"/>
          <w:highlight w:val="none"/>
        </w:rPr>
      </w:pPr>
      <w:bookmarkStart w:id="9" w:name="_Toc30891"/>
      <w:bookmarkStart w:id="10" w:name="_Toc14535"/>
      <w:bookmarkStart w:id="11" w:name="_Toc1626"/>
      <w:bookmarkStart w:id="12" w:name="_Toc18707"/>
      <w:bookmarkStart w:id="13" w:name="_Toc14721"/>
      <w:bookmarkStart w:id="14" w:name="_Toc1891"/>
      <w:bookmarkStart w:id="15" w:name="_Toc15542"/>
      <w:bookmarkStart w:id="16" w:name="_Toc11827"/>
      <w:bookmarkStart w:id="17" w:name="_Toc5473"/>
      <w:r>
        <w:rPr>
          <w:rStyle w:val="目录1Char"/>
          <w:rFonts w:ascii="仿宋" w:eastAsia="仿宋" w:hAnsi="仿宋" w:cs="仿宋" w:hint="eastAsia"/>
          <w:b/>
          <w:bCs/>
          <w:color w:val="auto"/>
          <w:sz w:val="44"/>
          <w:szCs w:val="44"/>
          <w:highlight w:val="none"/>
          <w:lang w:val="en-US" w:eastAsia="zh-CN"/>
        </w:rPr>
        <w:t xml:space="preserve">目  录</w:t>
      </w:r>
      <w:bookmarkEnd w:id="9"/>
      <w:bookmarkEnd w:id="10"/>
      <w:bookmarkEnd w:id="11"/>
      <w:r>
        <w:rPr>
          <w:rFonts w:ascii="仿宋" w:eastAsia="仿宋" w:hAnsi="仿宋" w:cs="仿宋" w:hint="eastAsia"/>
          <w:bCs/>
          <w:iCs/>
          <w:color w:val="auto"/>
          <w:kern w:val="2"/>
          <w:szCs w:val="21"/>
          <w:highlight w:val="none"/>
          <w:lang w:val="en-US" w:eastAsia="zh-CN" w:bidi="ar-SA"/>
        </w:rPr>
        <w:fldChar w:fldCharType="begin"/>
      </w:r>
      <w:r>
        <w:rPr>
          <w:rFonts w:ascii="仿宋" w:eastAsia="仿宋" w:hAnsi="仿宋" w:cs="仿宋" w:hint="eastAsia"/>
          <w:bCs/>
          <w:iCs/>
          <w:color w:val="auto"/>
          <w:kern w:val="2"/>
          <w:szCs w:val="21"/>
          <w:highlight w:val="none"/>
          <w:lang w:val="en-US" w:eastAsia="zh-CN" w:bidi="ar-SA"/>
        </w:rPr>
        <w:instrText xml:space="preserve">TOC \o "1-2" \f \h \u</w:instrText>
      </w:r>
      <w:r>
        <w:rPr>
          <w:rFonts w:ascii="仿宋" w:eastAsia="仿宋" w:hAnsi="仿宋" w:cs="仿宋" w:hint="eastAsia"/>
          <w:bCs/>
          <w:iCs/>
          <w:color w:val="auto"/>
          <w:kern w:val="2"/>
          <w:szCs w:val="21"/>
          <w:highlight w:val="none"/>
          <w:lang w:val="en-US" w:eastAsia="zh-CN" w:bidi="ar-SA"/>
        </w:rPr>
        <w:fldChar w:fldCharType="separate"/>
      </w:r>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8090" w:history="1">
        <w:r>
          <w:rPr>
            <w:rFonts w:ascii="仿宋" w:eastAsia="仿宋" w:hAnsi="仿宋" w:cs="仿宋" w:hint="eastAsia"/>
            <w:bCs/>
            <w:iCs/>
            <w:color w:val="auto"/>
            <w:kern w:val="2"/>
            <w:sz w:val="32"/>
            <w:szCs w:val="21"/>
            <w:highlight w:val="none"/>
            <w:lang w:val="en-US" w:eastAsia="zh-CN" w:bidi="ar-SA"/>
          </w:rPr>
          <w:t xml:space="preserve">一、基本情况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_Toc8090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32264" w:history="1">
        <w:r>
          <w:rPr>
            <w:rFonts w:ascii="仿宋" w:eastAsia="仿宋" w:hAnsi="仿宋" w:cs="仿宋" w:hint="eastAsia"/>
            <w:color w:val="auto"/>
            <w:sz w:val="32"/>
            <w:highlight w:val="none"/>
          </w:rPr>
          <w:t xml:space="preserve">（一）项目概况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_Toc32264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6810" w:history="1">
        <w:r>
          <w:rPr>
            <w:rFonts w:ascii="仿宋" w:eastAsia="仿宋" w:hAnsi="仿宋" w:cs="仿宋" w:hint="eastAsia"/>
            <w:color w:val="auto"/>
            <w:sz w:val="32"/>
            <w:highlight w:val="none"/>
          </w:rPr>
          <w:t xml:space="preserve">（二）项目绩效目标</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_Toc26810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3</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31520" w:history="1">
        <w:r>
          <w:rPr>
            <w:rFonts w:ascii="仿宋" w:eastAsia="仿宋" w:hAnsi="仿宋" w:cs="仿宋" w:hint="eastAsia"/>
            <w:color w:val="auto"/>
            <w:sz w:val="32"/>
            <w:highlight w:val="none"/>
          </w:rPr>
          <w:t xml:space="preserve">二、绩效评价工作开展情况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_Toc31520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4</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161" w:history="1">
        <w:r>
          <w:rPr>
            <w:rFonts w:ascii="仿宋" w:eastAsia="仿宋" w:hAnsi="仿宋" w:cs="仿宋" w:hint="eastAsia"/>
            <w:color w:val="auto"/>
            <w:sz w:val="32"/>
            <w:highlight w:val="none"/>
          </w:rPr>
          <w:t xml:space="preserve">（一）绩效评价目的、对象和范围</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_Toc2161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4</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firstLine="0" w:leftChars="200" w:firstLineChars="0"/>
        <w:textAlignment w:val="auto"/>
        <w:rPr>
          <w:rFonts w:ascii="仿宋" w:eastAsia="仿宋" w:hAnsi="仿宋" w:cs="仿宋" w:hint="eastAsia"/>
          <w:color w:val="auto"/>
          <w:sz w:val="32"/>
          <w:highlight w:val="none"/>
        </w:rPr>
      </w:pPr>
      <w:hyperlink w:anchor="_Toc24529" w:history="1">
        <w:r>
          <w:rPr>
            <w:rFonts w:ascii="仿宋" w:eastAsia="仿宋" w:hAnsi="仿宋" w:cs="仿宋" w:hint="eastAsia"/>
            <w:color w:val="auto"/>
            <w:sz w:val="32"/>
            <w:highlight w:val="none"/>
          </w:rPr>
          <w:t xml:space="preserve">（二）绩效评价原则、评价指标体系、评价方法、评价标准</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_Toc24529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6</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6539" w:history="1">
        <w:r>
          <w:rPr>
            <w:rFonts w:ascii="仿宋" w:eastAsia="仿宋" w:hAnsi="仿宋" w:cs="仿宋" w:hint="eastAsia"/>
            <w:color w:val="auto"/>
            <w:sz w:val="32"/>
            <w:highlight w:val="none"/>
          </w:rPr>
          <w:t xml:space="preserve">（三）绩效评价工作过程</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_Toc26539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8</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6992" w:history="1">
        <w:r>
          <w:rPr>
            <w:rFonts w:ascii="仿宋" w:eastAsia="仿宋" w:hAnsi="仿宋" w:cs="仿宋" w:hint="eastAsia"/>
            <w:bCs/>
            <w:iCs/>
            <w:color w:val="auto"/>
            <w:kern w:val="2"/>
            <w:sz w:val="32"/>
            <w:szCs w:val="21"/>
            <w:highlight w:val="none"/>
            <w:lang w:val="en-US" w:eastAsia="zh-CN" w:bidi="ar-SA"/>
          </w:rPr>
          <w:t xml:space="preserve">三、综合评价情况及评价结论</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_Toc16992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10</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27147" w:history="1">
        <w:r>
          <w:rPr>
            <w:rFonts w:ascii="仿宋" w:eastAsia="仿宋" w:hAnsi="仿宋" w:cs="仿宋" w:hint="eastAsia"/>
            <w:color w:val="auto"/>
            <w:sz w:val="32"/>
            <w:highlight w:val="none"/>
          </w:rPr>
          <w:t xml:space="preserve">四、绩效评价指标分析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_Toc27147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7541" w:history="1">
        <w:r>
          <w:rPr>
            <w:rFonts w:ascii="仿宋" w:eastAsia="仿宋" w:hAnsi="仿宋" w:cs="仿宋" w:hint="eastAsia"/>
            <w:color w:val="auto"/>
            <w:sz w:val="32"/>
            <w:highlight w:val="none"/>
          </w:rPr>
          <w:t xml:space="preserve">（一）项目决策情况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_Toc27541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11</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6753" w:history="1">
        <w:r>
          <w:rPr>
            <w:rFonts w:ascii="仿宋" w:eastAsia="仿宋" w:hAnsi="仿宋" w:cs="仿宋" w:hint="eastAsia"/>
            <w:color w:val="auto"/>
            <w:sz w:val="32"/>
            <w:highlight w:val="none"/>
          </w:rPr>
          <w:t xml:space="preserve">（二）项目过程情况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_Toc26753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13</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2755" w:history="1">
        <w:r>
          <w:rPr>
            <w:rFonts w:ascii="仿宋" w:eastAsia="仿宋" w:hAnsi="仿宋" w:cs="仿宋" w:hint="eastAsia"/>
            <w:color w:val="auto"/>
            <w:sz w:val="32"/>
            <w:highlight w:val="none"/>
          </w:rPr>
          <w:t xml:space="preserve">（三）项目产出情况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_Toc12755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15</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936" w:history="1">
        <w:r>
          <w:rPr>
            <w:rFonts w:ascii="仿宋" w:eastAsia="仿宋" w:hAnsi="仿宋" w:cs="仿宋" w:hint="eastAsia"/>
            <w:color w:val="auto"/>
            <w:sz w:val="32"/>
            <w:highlight w:val="none"/>
          </w:rPr>
          <w:t xml:space="preserve">（四）项目效益情况</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_Toc1936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16</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23402" w:history="1">
        <w:r>
          <w:rPr>
            <w:rFonts w:ascii="仿宋" w:eastAsia="仿宋" w:hAnsi="仿宋" w:cs="仿宋" w:hint="eastAsia"/>
            <w:color w:val="auto"/>
            <w:sz w:val="32"/>
            <w:highlight w:val="none"/>
          </w:rPr>
          <w:t xml:space="preserve">五、主要经验及做法、存在的问题及原因分析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_Toc23402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17</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25113" w:history="1">
        <w:r>
          <w:rPr>
            <w:rFonts w:ascii="仿宋" w:eastAsia="仿宋" w:hAnsi="仿宋" w:cs="仿宋" w:hint="eastAsia"/>
            <w:color w:val="auto"/>
            <w:sz w:val="32"/>
            <w:highlight w:val="none"/>
          </w:rPr>
          <w:t xml:space="preserve">（一）主要经验及做法</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_Toc25113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17</w:t>
        </w:r>
        <w:r>
          <w:rPr>
            <w:rFonts w:ascii="仿宋" w:eastAsia="仿宋" w:hAnsi="仿宋" w:cs="仿宋" w:hint="eastAsia"/>
            <w:color w:val="auto"/>
            <w:sz w:val="32"/>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776" w:history="1">
        <w:r>
          <w:rPr>
            <w:rFonts w:ascii="仿宋" w:eastAsia="仿宋" w:hAnsi="仿宋" w:cs="仿宋" w:hint="eastAsia"/>
            <w:color w:val="auto"/>
            <w:sz w:val="32"/>
            <w:highlight w:val="none"/>
          </w:rPr>
          <w:t xml:space="preserve">（二）存在的问题及分析</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_Toc776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18</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4578" w:history="1">
        <w:r>
          <w:rPr>
            <w:rFonts w:ascii="仿宋" w:eastAsia="仿宋" w:hAnsi="仿宋" w:cs="仿宋" w:hint="eastAsia"/>
            <w:color w:val="auto"/>
            <w:sz w:val="32"/>
            <w:highlight w:val="none"/>
          </w:rPr>
          <w:t xml:space="preserve">六、有关建议</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_Toc14578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19</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4484" w:history="1">
        <w:r>
          <w:rPr>
            <w:rFonts w:ascii="仿宋" w:eastAsia="仿宋" w:hAnsi="仿宋" w:cs="仿宋" w:hint="eastAsia"/>
            <w:bCs/>
            <w:iCs/>
            <w:color w:val="auto"/>
            <w:sz w:val="32"/>
            <w:highlight w:val="none"/>
          </w:rPr>
          <w:t xml:space="preserve">七、其他需要说明的问题</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_Toc4484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20</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auto"/>
          <w:sz w:val="32"/>
          <w:highlight w:val="none"/>
        </w:rPr>
      </w:pPr>
      <w:hyperlink w:anchor="_Toc12781" w:history="1">
        <w:r>
          <w:rPr>
            <w:rFonts w:ascii="仿宋" w:eastAsia="仿宋" w:hAnsi="仿宋" w:cs="仿宋" w:hint="eastAsia"/>
            <w:bCs/>
            <w:iCs/>
            <w:color w:val="auto"/>
            <w:sz w:val="32"/>
            <w:highlight w:val="none"/>
          </w:rPr>
          <w:t xml:space="preserve">八、附件</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_Toc12781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20</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sz w:val="32"/>
          <w:highlight w:val="none"/>
        </w:rPr>
      </w:pPr>
      <w:hyperlink w:anchor="_Toc19074" w:history="1">
        <w:r>
          <w:rPr>
            <w:rFonts w:ascii="仿宋" w:eastAsia="仿宋" w:hAnsi="仿宋" w:cs="仿宋" w:hint="eastAsia"/>
            <w:bCs/>
            <w:iCs/>
            <w:color w:val="auto"/>
            <w:sz w:val="32"/>
            <w:highlight w:val="none"/>
          </w:rPr>
          <w:t xml:space="preserve">附件1：</w:t>
        </w:r>
        <w:r>
          <w:rPr>
            <w:rFonts w:ascii="仿宋" w:eastAsia="仿宋" w:hAnsi="仿宋" w:cs="仿宋" w:hint="eastAsia"/>
            <w:color w:val="auto"/>
            <w:sz w:val="32"/>
            <w:highlight w:val="none"/>
          </w:rPr>
          <w:t xml:space="preserve">项目支出绩效自评表</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_Toc19074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21</w:t>
        </w:r>
        <w:r>
          <w:rPr>
            <w:rFonts w:ascii="仿宋" w:eastAsia="仿宋" w:hAnsi="仿宋" w:cs="仿宋" w:hint="eastAsia"/>
            <w:color w:val="auto"/>
            <w:sz w:val="32"/>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640" w:leftChars="0" w:firstLineChars="200"/>
        <w:textAlignment w:val="auto"/>
        <w:rPr>
          <w:rFonts w:ascii="仿宋" w:eastAsia="仿宋" w:hAnsi="仿宋" w:cs="仿宋" w:hint="eastAsia"/>
          <w:color w:val="auto"/>
          <w:highlight w:val="none"/>
        </w:rPr>
      </w:pPr>
      <w:hyperlink w:anchor="_Toc27333" w:history="1">
        <w:r>
          <w:rPr>
            <w:rFonts w:ascii="仿宋" w:eastAsia="仿宋" w:hAnsi="仿宋" w:cs="仿宋" w:hint="eastAsia"/>
            <w:color w:val="auto"/>
            <w:sz w:val="32"/>
            <w:highlight w:val="none"/>
          </w:rPr>
          <w:t xml:space="preserve">附件2：项目支出绩效评价指标体系及评分</w:t>
        </w:r>
        <w:r>
          <w:rPr>
            <w:rFonts w:ascii="仿宋" w:eastAsia="仿宋" w:hAnsi="仿宋" w:cs="仿宋" w:hint="eastAsia"/>
            <w:color w:val="auto"/>
            <w:sz w:val="32"/>
            <w:highlight w:val="none"/>
          </w:rPr>
          <w:tab/>
        </w:r>
        <w:r>
          <w:rPr>
            <w:rFonts w:ascii="仿宋" w:eastAsia="仿宋" w:hAnsi="仿宋" w:cs="仿宋" w:hint="eastAsia"/>
            <w:color w:val="auto"/>
            <w:sz w:val="32"/>
            <w:highlight w:val="none"/>
          </w:rPr>
          <w:fldChar w:fldCharType="begin"/>
        </w:r>
        <w:r>
          <w:rPr>
            <w:rFonts w:ascii="仿宋" w:eastAsia="仿宋" w:hAnsi="仿宋" w:cs="仿宋" w:hint="eastAsia"/>
            <w:color w:val="auto"/>
            <w:sz w:val="32"/>
            <w:highlight w:val="none"/>
          </w:rPr>
          <w:instrText xml:space="preserve"> PAGEREF _Toc27333 \h </w:instrText>
        </w:r>
        <w:r>
          <w:rPr>
            <w:rFonts w:ascii="仿宋" w:eastAsia="仿宋" w:hAnsi="仿宋" w:cs="仿宋" w:hint="eastAsia"/>
            <w:color w:val="auto"/>
            <w:sz w:val="32"/>
            <w:highlight w:val="none"/>
          </w:rPr>
          <w:fldChar w:fldCharType="separate"/>
        </w:r>
        <w:r>
          <w:rPr>
            <w:rFonts w:ascii="仿宋" w:eastAsia="仿宋" w:hAnsi="仿宋" w:cs="仿宋" w:hint="eastAsia"/>
            <w:color w:val="auto"/>
            <w:sz w:val="32"/>
            <w:highlight w:val="none"/>
          </w:rPr>
          <w:t xml:space="preserve">23</w:t>
        </w:r>
        <w:r>
          <w:rPr>
            <w:rFonts w:ascii="仿宋" w:eastAsia="仿宋" w:hAnsi="仿宋" w:cs="仿宋" w:hint="eastAsia"/>
            <w:color w:val="auto"/>
            <w:sz w:val="32"/>
            <w:highlight w:val="none"/>
          </w:rP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outlineLvl w:val="9"/>
        <w:rPr>
          <w:rFonts w:ascii="仿宋" w:eastAsia="仿宋" w:hAnsi="仿宋" w:cs="仿宋" w:hint="eastAsia"/>
          <w:bCs/>
          <w:iCs/>
          <w:color w:val="auto"/>
          <w:kern w:val="2"/>
          <w:szCs w:val="21"/>
          <w:highlight w:val="none"/>
          <w:lang w:val="en-US" w:eastAsia="zh-CN" w:bidi="ar-SA"/>
        </w:rPr>
      </w:pPr>
      <w:r>
        <w:rPr>
          <w:rFonts w:ascii="仿宋" w:eastAsia="仿宋" w:hAnsi="仿宋" w:cs="仿宋" w:hint="eastAsia"/>
          <w:bCs/>
          <w:iCs/>
          <w:color w:val="auto"/>
          <w:kern w:val="2"/>
          <w:szCs w:val="21"/>
          <w:highlight w:val="none"/>
          <w:lang w:val="en-US" w:eastAsia="zh-CN" w:bidi="ar-SA"/>
        </w:rPr>
        <w:fldChar w:fldCharType="end"/>
      </w:r>
    </w:p>
    <w:p>
      <w:pPr>
        <w:tabs>
          <w:tab w:val="right" w:leader="dot" w:pos="8306"/>
        </w:tabs>
        <w:ind w:left="0" w:firstLine="0" w:leftChars="0" w:firstLineChars="0"/>
        <w:outlineLvl w:val="9"/>
        <w:rPr>
          <w:rFonts w:ascii="仿宋" w:eastAsia="仿宋" w:hAnsi="仿宋" w:cs="仿宋" w:hint="eastAsia"/>
          <w:bCs/>
          <w:iCs/>
          <w:color w:val="auto"/>
          <w:kern w:val="2"/>
          <w:szCs w:val="21"/>
          <w:highlight w:val="none"/>
          <w:lang w:val="en-US" w:eastAsia="zh-CN" w:bidi="ar-SA"/>
        </w:rPr>
        <w:sectPr>
          <w:footerReference w:type="default" r:id="rId3"/>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p>
    <w:p>
      <w:pPr>
        <w:tabs>
          <w:tab w:val="right" w:leader="dot" w:pos="8306"/>
        </w:tabs>
        <w:ind w:left="0" w:firstLine="0" w:leftChars="0" w:firstLineChars="0"/>
        <w:outlineLvl w:val="9"/>
        <w:rPr>
          <w:rFonts w:ascii="仿宋" w:eastAsia="仿宋" w:hAnsi="仿宋" w:cs="仿宋" w:hint="eastAsia"/>
          <w:bCs/>
          <w:iCs/>
          <w:color w:val="auto"/>
          <w:kern w:val="2"/>
          <w:szCs w:val="21"/>
          <w:highlight w:val="none"/>
          <w:lang w:val="en-US" w:eastAsia="zh-CN" w:bidi="ar-SA"/>
        </w:rPr>
      </w:pPr>
    </w:p>
    <w:p>
      <w:pPr>
        <w:pStyle w:val="Heading2"/>
        <w:bidi w:val="0"/>
        <w:rPr>
          <w:rFonts w:ascii="仿宋" w:eastAsia="仿宋" w:hAnsi="仿宋" w:cs="仿宋" w:hint="eastAsia"/>
          <w:color w:val="auto"/>
          <w:highlight w:val="none"/>
          <w:lang w:val="en-US" w:eastAsia="zh-CN"/>
        </w:rPr>
      </w:pPr>
      <w:bookmarkStart w:id="18" w:name="_Toc32420"/>
      <w:bookmarkStart w:id="19" w:name="_Toc15770"/>
      <w:bookmarkStart w:id="20" w:name="_Toc8090"/>
      <w:r>
        <w:rPr>
          <w:rFonts w:ascii="仿宋" w:eastAsia="仿宋" w:hAnsi="仿宋" w:cs="仿宋" w:hint="eastAsia"/>
          <w:color w:val="auto"/>
          <w:highlight w:val="none"/>
          <w:lang w:val="en-US" w:eastAsia="zh-CN"/>
        </w:rPr>
        <w:t xml:space="preserve">一、基本情况</w:t>
      </w:r>
      <w:bookmarkEnd w:id="12"/>
      <w:bookmarkEnd w:id="13"/>
      <w:bookmarkEnd w:id="14"/>
      <w:bookmarkEnd w:id="15"/>
      <w:bookmarkEnd w:id="16"/>
      <w:bookmarkEnd w:id="17"/>
      <w:bookmarkEnd w:id="18"/>
      <w:bookmarkEnd w:id="19"/>
      <w:bookmarkEnd w:id="20"/>
      <w:bookmarkStart w:id="21" w:name="_Toc27593"/>
    </w:p>
    <w:p>
      <w:pPr>
        <w:pStyle w:val="Heading3"/>
        <w:bidi w:val="0"/>
        <w:rPr>
          <w:rFonts w:ascii="仿宋" w:eastAsia="仿宋" w:hAnsi="仿宋" w:cs="仿宋" w:hint="eastAsia"/>
          <w:color w:val="auto"/>
          <w:highlight w:val="none"/>
        </w:rPr>
      </w:pPr>
      <w:bookmarkStart w:id="22" w:name="_Toc24048"/>
      <w:bookmarkStart w:id="23" w:name="_Toc24706"/>
      <w:bookmarkStart w:id="24" w:name="_Toc26183"/>
      <w:bookmarkStart w:id="25" w:name="_Toc32264"/>
      <w:bookmarkStart w:id="26" w:name="_Toc9236"/>
      <w:r>
        <w:rPr>
          <w:rFonts w:ascii="仿宋" w:eastAsia="仿宋" w:hAnsi="仿宋" w:cs="仿宋" w:hint="eastAsia"/>
          <w:color w:val="auto"/>
          <w:highlight w:val="none"/>
        </w:rPr>
        <w:t xml:space="preserve">（一）项目概况</w:t>
      </w:r>
      <w:bookmarkEnd w:id="21"/>
      <w:bookmarkEnd w:id="22"/>
      <w:bookmarkEnd w:id="23"/>
      <w:bookmarkEnd w:id="24"/>
      <w:bookmarkEnd w:id="25"/>
      <w:bookmarkEnd w:id="26"/>
    </w:p>
    <w:p>
      <w:pPr>
        <w:bidi w:val="0"/>
        <w:rPr>
          <w:rFonts w:ascii="仿宋" w:eastAsia="仿宋" w:hAnsi="仿宋" w:cs="仿宋" w:hint="eastAsia"/>
          <w:b/>
          <w:bCs/>
          <w:color w:val="auto"/>
          <w:highlight w:val="none"/>
        </w:rPr>
      </w:pPr>
      <w:bookmarkStart w:id="27" w:name="_Toc19984"/>
      <w:bookmarkStart w:id="28" w:name="_Toc11427"/>
      <w:r>
        <w:rPr>
          <w:rFonts w:ascii="仿宋" w:eastAsia="仿宋" w:hAnsi="仿宋" w:cs="仿宋" w:hint="eastAsia"/>
          <w:b/>
          <w:bCs/>
          <w:color w:val="auto"/>
          <w:highlight w:val="none"/>
        </w:rPr>
        <w:t xml:space="preserve">1.项目背景</w:t>
      </w:r>
      <w:bookmarkEnd w:id="27"/>
      <w:bookmarkEnd w:id="28"/>
    </w:p>
    <w:p>
      <w:pPr>
        <w:bidi w:val="0"/>
        <w:jc w:val="both"/>
        <w:rPr>
          <w:rFonts w:ascii="仿宋" w:eastAsia="仿宋" w:hAnsi="仿宋" w:cs="仿宋" w:hint="eastAsia"/>
          <w:color w:val="auto"/>
          <w:highlight w:val="none"/>
          <w:lang w:val="en-US" w:eastAsia="zh-CN"/>
        </w:rPr>
      </w:pPr>
      <w:bookmarkStart w:id="29" w:name="_Toc22216"/>
      <w:bookmarkStart w:id="30" w:name="_Toc22079"/>
      <w:r>
        <w:rPr>
          <w:rFonts w:ascii="仿宋" w:eastAsia="仿宋" w:hAnsi="仿宋" w:cs="仿宋" w:hint="eastAsia"/>
          <w:color w:val="auto"/>
          <w:highlight w:val="none"/>
          <w:lang w:val="en-US" w:eastAsia="zh-CN"/>
        </w:rPr>
        <w:t xml:space="preserve">尉犁县地处塔克拉玛干沙漠东北缘，是南疆绿洲生态屏障的重要防线，也是国家</w:t>
      </w:r>
      <w:bookmarkStart w:id="31" w:name="OLE_LINK21"/>
      <w:r>
        <w:rPr>
          <w:rFonts w:ascii="仿宋" w:eastAsia="仿宋" w:hAnsi="仿宋" w:cs="仿宋" w:hint="eastAsia"/>
          <w:color w:val="auto"/>
          <w:highlight w:val="none"/>
          <w:lang w:val="en-US" w:eastAsia="zh-CN"/>
        </w:rPr>
        <w:t xml:space="preserve">“三北”工程</w:t>
      </w:r>
      <w:bookmarkEnd w:id="31"/>
      <w:r>
        <w:rPr>
          <w:rFonts w:ascii="仿宋" w:eastAsia="仿宋" w:hAnsi="仿宋" w:cs="仿宋" w:hint="eastAsia"/>
          <w:color w:val="auto"/>
          <w:highlight w:val="none"/>
          <w:lang w:val="en-US" w:eastAsia="zh-CN"/>
        </w:rPr>
        <w:t xml:space="preserve">六期规划中塔克拉玛干沙漠阻击战的核心战场之一。这里生态环境脆弱，荒漠化与绿洲退化问题长期交织，沙尘暴频发不仅威胁当地居民生产生活，更对区域生态安全构成严峻挑战。2023年，国家启动“塔克拉玛干沙漠边缘阻击战”行动，明确提出以系统思维统筹山水林田湖草沙综合治理，重点阻断沙漠扩张、修复退化生态系统。在此背景下，尉犁县2024年林草湿荒一体化保护修复项目的实施，既是落实国家生态安全战略的必然要求，也是破解县域生态治理瓶颈、推动绿色发展转型的关键实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尉犁县生态治理历经多年探索，已从单一植树造林转向多维系统修复。过去以数量扩张为主的治理模式，虽局部增加了绿量，但林草群落结构单一、生态系统服务功能低下等问题仍未根本解决。天然胡杨林中幼林因长期缺乏科学抚育，出现林木过密、病虫害滋生等现象；退化草原因水资源分配失衡和过度放牧，植被覆盖度持续下降，鼠害加剧形成“秃斑化”恶性循环。与此同时，传统工程治沙模式与社区发展需求脱节，生态保护与民生改善尚未形成有效协同。2024年项目的推进，标志着尉犁县生态治理进入“质量优先、系统增效”的新阶段—通过中幼林精细化抚育优化林分结构，利用土渠引洪激活退化林草自然修复能力，结合生态补水与鼠害综合防治重建草原健康群落，着力破解“重建设轻管护”、“重短期成效轻长期稳定”等深层次矛盾。</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lang w:val="en-US" w:eastAsia="zh-CN"/>
        </w:rPr>
        <w:t xml:space="preserve">2.</w:t>
      </w:r>
      <w:r>
        <w:rPr>
          <w:rFonts w:ascii="仿宋" w:eastAsia="仿宋" w:hAnsi="仿宋" w:cs="仿宋" w:hint="eastAsia"/>
          <w:b/>
          <w:bCs/>
          <w:color w:val="auto"/>
          <w:highlight w:val="none"/>
        </w:rPr>
        <w:t xml:space="preserve">项目主要内容</w:t>
      </w:r>
      <w:bookmarkEnd w:id="29"/>
      <w:bookmarkEnd w:id="30"/>
    </w:p>
    <w:p>
      <w:pPr>
        <w:bidi w:val="0"/>
        <w:jc w:val="both"/>
        <w:rPr>
          <w:rFonts w:ascii="仿宋" w:eastAsia="仿宋" w:hAnsi="仿宋" w:cs="仿宋" w:hint="eastAsia"/>
          <w:color w:val="auto"/>
          <w:highlight w:val="none"/>
        </w:rPr>
      </w:pPr>
      <w:bookmarkStart w:id="32" w:name="_Toc21529"/>
      <w:r>
        <w:rPr>
          <w:rFonts w:ascii="仿宋" w:eastAsia="仿宋" w:hAnsi="仿宋" w:cs="仿宋" w:hint="eastAsia"/>
          <w:color w:val="auto"/>
          <w:highlight w:val="none"/>
          <w:lang w:val="en-US" w:eastAsia="zh-CN"/>
        </w:rPr>
        <w:t xml:space="preserve">2024年开展中幼林抚育面积3万亩，主要进行修枝及林地清理；进行退化林修复面积1.5万亩，主要为土渠开挖，人工补播、抚育管护；草原改良面积0.5万亩，主要为土渠开挖，生态补水、鼠害防治等。</w:t>
      </w:r>
    </w:p>
    <w:p>
      <w:pPr>
        <w:bidi w:val="0"/>
        <w:rPr>
          <w:rFonts w:ascii="仿宋" w:eastAsia="仿宋" w:hAnsi="仿宋" w:cs="仿宋" w:hint="eastAsia"/>
          <w:b/>
          <w:bCs/>
          <w:color w:val="auto"/>
          <w:highlight w:val="none"/>
        </w:rPr>
      </w:pPr>
      <w:bookmarkStart w:id="33" w:name="_Toc31519"/>
      <w:r>
        <w:rPr>
          <w:rFonts w:ascii="仿宋" w:eastAsia="仿宋" w:hAnsi="仿宋" w:cs="仿宋" w:hint="eastAsia"/>
          <w:b/>
          <w:bCs/>
          <w:color w:val="auto"/>
          <w:highlight w:val="none"/>
        </w:rPr>
        <w:t xml:space="preserve">3.项目实施情况</w:t>
      </w:r>
      <w:bookmarkEnd w:id="32"/>
      <w:bookmarkEnd w:id="33"/>
      <w:bookmarkStart w:id="34" w:name="_Toc20138"/>
    </w:p>
    <w:p>
      <w:pPr>
        <w:bidi w:val="0"/>
        <w:jc w:val="both"/>
        <w:rPr>
          <w:rFonts w:ascii="仿宋" w:eastAsia="仿宋" w:hAnsi="仿宋" w:cs="仿宋" w:hint="eastAsia"/>
          <w:color w:val="auto"/>
          <w:highlight w:val="none"/>
        </w:rPr>
      </w:pPr>
      <w:bookmarkStart w:id="35" w:name="OLE_LINK6"/>
      <w:r>
        <w:rPr>
          <w:rFonts w:ascii="仿宋" w:eastAsia="仿宋" w:hAnsi="仿宋" w:cs="仿宋" w:hint="eastAsia"/>
          <w:color w:val="auto"/>
          <w:sz w:val="30"/>
          <w:szCs w:val="30"/>
          <w:highlight w:val="none"/>
          <w:lang w:val="en-US" w:eastAsia="zh-CN"/>
        </w:rPr>
        <w:t xml:space="preserve">2024年7月19日州财政局下达</w:t>
      </w:r>
      <w:r>
        <w:rPr>
          <w:rFonts w:ascii="仿宋" w:eastAsia="仿宋" w:hAnsi="仿宋" w:cs="仿宋" w:hint="eastAsia"/>
          <w:color w:val="auto"/>
          <w:highlight w:val="none"/>
        </w:rPr>
        <w:t xml:space="preserve">《关于下达2024年中央“三北”工程补助资金任务预算的通知》（巴财建〔2024〕61号）</w:t>
      </w:r>
      <w:bookmarkEnd w:id="35"/>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涉及本项目</w:t>
      </w:r>
      <w:r>
        <w:rPr>
          <w:rFonts w:ascii="仿宋" w:eastAsia="仿宋" w:hAnsi="仿宋" w:cs="仿宋" w:hint="eastAsia"/>
          <w:color w:val="auto"/>
          <w:sz w:val="30"/>
          <w:szCs w:val="30"/>
          <w:highlight w:val="none"/>
          <w:lang w:val="en-US" w:eastAsia="zh-CN"/>
        </w:rPr>
        <w:t xml:space="preserve">资金1637.49万元，2024年9月23日项目公开招标，2024年9月开工，截至2024年12月完工，已完成退化林修复1.5万亩，中幼林抚育3万亩，草原改良0.5万亩等工程任务。</w:t>
      </w:r>
    </w:p>
    <w:p>
      <w:pPr>
        <w:bidi w:val="0"/>
        <w:rPr>
          <w:rFonts w:ascii="仿宋" w:eastAsia="仿宋" w:hAnsi="仿宋" w:cs="仿宋" w:hint="eastAsia"/>
          <w:b/>
          <w:bCs/>
          <w:color w:val="auto"/>
          <w:highlight w:val="none"/>
        </w:rPr>
      </w:pPr>
      <w:bookmarkStart w:id="36" w:name="_Toc1111"/>
      <w:r>
        <w:rPr>
          <w:rFonts w:ascii="仿宋" w:eastAsia="仿宋" w:hAnsi="仿宋" w:cs="仿宋" w:hint="eastAsia"/>
          <w:b/>
          <w:bCs/>
          <w:color w:val="auto"/>
          <w:highlight w:val="none"/>
        </w:rPr>
        <w:t xml:space="preserve">4.资金投入情况</w:t>
      </w:r>
      <w:bookmarkEnd w:id="34"/>
      <w:bookmarkEnd w:id="36"/>
    </w:p>
    <w:p>
      <w:pPr>
        <w:bidi w:val="0"/>
        <w:jc w:val="both"/>
        <w:rPr>
          <w:rFonts w:ascii="仿宋" w:eastAsia="仿宋" w:hAnsi="仿宋" w:cs="仿宋" w:hint="eastAsia"/>
          <w:color w:val="auto"/>
          <w:highlight w:val="none"/>
          <w:lang w:eastAsia="zh-CN"/>
        </w:rPr>
      </w:pPr>
      <w:bookmarkStart w:id="37" w:name="_Toc7324"/>
      <w:r>
        <w:rPr>
          <w:rFonts w:ascii="仿宋" w:eastAsia="仿宋" w:hAnsi="仿宋" w:cs="仿宋" w:hint="eastAsia"/>
          <w:color w:val="auto"/>
          <w:highlight w:val="none"/>
        </w:rPr>
        <w:t xml:space="preserve">根据</w:t>
      </w:r>
      <w:bookmarkStart w:id="38" w:name="OLE_LINK1"/>
      <w:r>
        <w:rPr>
          <w:rFonts w:ascii="仿宋" w:eastAsia="仿宋" w:hAnsi="仿宋" w:cs="仿宋" w:hint="eastAsia"/>
          <w:color w:val="auto"/>
          <w:highlight w:val="none"/>
        </w:rPr>
        <w:t xml:space="preserve">《关于下达2024年中央“三北”工程补助资金任务预算的通知》（巴财建〔2024〕61号）</w:t>
      </w:r>
      <w:bookmarkEnd w:id="38"/>
      <w:r>
        <w:rPr>
          <w:rFonts w:ascii="仿宋" w:eastAsia="仿宋" w:hAnsi="仿宋" w:cs="仿宋" w:hint="eastAsia"/>
          <w:color w:val="auto"/>
          <w:highlight w:val="none"/>
        </w:rPr>
        <w:t xml:space="preserve">，下达</w:t>
      </w:r>
      <w:r>
        <w:rPr>
          <w:rFonts w:ascii="仿宋" w:eastAsia="仿宋" w:hAnsi="仿宋" w:cs="仿宋" w:hint="eastAsia"/>
          <w:color w:val="auto"/>
          <w:highlight w:val="none"/>
          <w:lang w:eastAsia="zh-CN"/>
        </w:rPr>
        <w:t xml:space="preserve">中央“三北”工程补助资金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万元。其中用于</w:t>
      </w:r>
      <w:r>
        <w:rPr>
          <w:rFonts w:ascii="仿宋" w:eastAsia="仿宋" w:hAnsi="仿宋" w:cs="仿宋" w:hint="eastAsia"/>
          <w:color w:val="auto"/>
          <w:highlight w:val="none"/>
          <w:lang w:val="en-US" w:eastAsia="zh-CN"/>
        </w:rPr>
        <w:t xml:space="preserve">退化天然林修复884.6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中幼林抚育703.74</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、草原改良49.15万元。</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lang w:val="en-US" w:eastAsia="zh-CN"/>
        </w:rPr>
        <w:t xml:space="preserve">2024年巴州尉犁县“三北”工程林草湿荒一体化保护修复项目</w:t>
      </w:r>
      <w:r>
        <w:rPr>
          <w:rFonts w:ascii="仿宋" w:eastAsia="仿宋" w:hAnsi="仿宋" w:cs="仿宋" w:hint="eastAsia"/>
          <w:color w:val="auto"/>
          <w:highlight w:val="none"/>
        </w:rPr>
        <w:t xml:space="preserve">投入</w:t>
      </w:r>
      <w:r>
        <w:rPr>
          <w:rFonts w:ascii="仿宋" w:eastAsia="仿宋" w:hAnsi="仿宋" w:cs="仿宋" w:hint="eastAsia"/>
          <w:color w:val="auto"/>
          <w:highlight w:val="none"/>
          <w:lang w:val="en-US" w:eastAsia="zh-CN"/>
        </w:rPr>
        <w:t xml:space="preserve">1637.49万元</w:t>
      </w:r>
      <w:r>
        <w:rPr>
          <w:rFonts w:ascii="仿宋" w:eastAsia="仿宋" w:hAnsi="仿宋" w:cs="仿宋" w:hint="eastAsia"/>
          <w:color w:val="auto"/>
          <w:highlight w:val="none"/>
        </w:rPr>
        <w:t xml:space="preserve">，其中</w:t>
      </w:r>
      <w:r>
        <w:rPr>
          <w:rFonts w:ascii="仿宋" w:eastAsia="仿宋" w:hAnsi="仿宋" w:cs="仿宋" w:hint="eastAsia"/>
          <w:color w:val="auto"/>
          <w:highlight w:val="none"/>
          <w:lang w:val="en-US" w:eastAsia="zh-CN"/>
        </w:rPr>
        <w:t xml:space="preserve">退化天然林修复884.6万元、中幼林抚育703.74万元、草原改良49.15万元</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bookmarkStart w:id="39" w:name="_Toc10837"/>
      <w:r>
        <w:rPr>
          <w:rFonts w:ascii="仿宋" w:eastAsia="仿宋" w:hAnsi="仿宋" w:cs="仿宋" w:hint="eastAsia"/>
          <w:b/>
          <w:bCs/>
          <w:color w:val="auto"/>
          <w:highlight w:val="none"/>
        </w:rPr>
        <w:t xml:space="preserve">5.资金使用情况</w:t>
      </w:r>
      <w:bookmarkEnd w:id="37"/>
      <w:bookmarkEnd w:id="39"/>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w:t>
      </w:r>
      <w:r>
        <w:rPr>
          <w:rFonts w:ascii="仿宋" w:eastAsia="仿宋" w:hAnsi="仿宋" w:cs="仿宋" w:hint="eastAsia"/>
          <w:color w:val="auto"/>
          <w:highlight w:val="none"/>
          <w:lang w:val="en-US" w:eastAsia="zh-CN"/>
        </w:rPr>
        <w:t xml:space="preserve">至</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r>
        <w:rPr>
          <w:rFonts w:ascii="仿宋" w:eastAsia="仿宋" w:hAnsi="仿宋" w:cs="仿宋" w:hint="eastAsia"/>
          <w:color w:val="auto"/>
          <w:highlight w:val="none"/>
          <w:lang w:val="en-US" w:eastAsia="zh-CN"/>
        </w:rPr>
        <w:t xml:space="preserve">如下</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2024年11月26日支付1593.59万元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2024年12月20日支付23.99万元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2024年12月20日支付19.91万元</w:t>
      </w:r>
      <w:r>
        <w:rPr>
          <w:rFonts w:ascii="仿宋" w:eastAsia="仿宋" w:hAnsi="仿宋" w:cs="仿宋" w:hint="eastAsia"/>
          <w:color w:val="auto"/>
          <w:highlight w:val="none"/>
          <w:lang w:eastAsia="zh-CN"/>
        </w:rPr>
        <w:t xml:space="preserve">。</w:t>
      </w:r>
    </w:p>
    <w:p>
      <w:pPr>
        <w:pStyle w:val="Heading3"/>
        <w:bidi w:val="0"/>
        <w:rPr>
          <w:rFonts w:ascii="仿宋" w:eastAsia="仿宋" w:hAnsi="仿宋" w:cs="仿宋" w:hint="eastAsia"/>
          <w:color w:val="auto"/>
          <w:highlight w:val="none"/>
        </w:rPr>
      </w:pPr>
      <w:bookmarkStart w:id="40" w:name="_Toc11967"/>
      <w:bookmarkStart w:id="41" w:name="_Toc31302"/>
      <w:bookmarkStart w:id="42" w:name="_Toc9567"/>
      <w:bookmarkStart w:id="43" w:name="_Toc26395"/>
      <w:bookmarkStart w:id="44" w:name="_Toc26810"/>
      <w:bookmarkStart w:id="45" w:name="_Toc14296"/>
      <w:r>
        <w:rPr>
          <w:rFonts w:ascii="仿宋" w:eastAsia="仿宋" w:hAnsi="仿宋" w:cs="仿宋" w:hint="eastAsia"/>
          <w:color w:val="auto"/>
          <w:highlight w:val="none"/>
        </w:rPr>
        <w:t xml:space="preserve">（二）项目绩效目标</w:t>
      </w:r>
      <w:bookmarkEnd w:id="40"/>
      <w:bookmarkEnd w:id="41"/>
      <w:bookmarkEnd w:id="42"/>
      <w:bookmarkEnd w:id="43"/>
      <w:bookmarkEnd w:id="44"/>
      <w:bookmarkEnd w:id="45"/>
    </w:p>
    <w:p>
      <w:pPr>
        <w:bidi w:val="0"/>
        <w:rPr>
          <w:rFonts w:ascii="仿宋" w:eastAsia="仿宋" w:hAnsi="仿宋" w:cs="仿宋" w:hint="eastAsia"/>
          <w:b/>
          <w:bCs/>
          <w:color w:val="auto"/>
          <w:highlight w:val="none"/>
        </w:rPr>
      </w:pPr>
      <w:bookmarkStart w:id="46" w:name="_Toc905"/>
      <w:bookmarkStart w:id="47" w:name="_Toc18809"/>
      <w:r>
        <w:rPr>
          <w:rFonts w:ascii="仿宋" w:eastAsia="仿宋" w:hAnsi="仿宋" w:cs="仿宋" w:hint="eastAsia"/>
          <w:b/>
          <w:bCs/>
          <w:color w:val="auto"/>
          <w:highlight w:val="none"/>
        </w:rPr>
        <w:t xml:space="preserve">1.总体目标</w:t>
      </w:r>
      <w:bookmarkEnd w:id="46"/>
      <w:bookmarkEnd w:id="47"/>
    </w:p>
    <w:p>
      <w:pPr>
        <w:bidi w:val="0"/>
        <w:jc w:val="both"/>
        <w:rPr>
          <w:rFonts w:ascii="仿宋" w:eastAsia="仿宋" w:hAnsi="仿宋" w:cs="仿宋" w:hint="eastAsia"/>
          <w:color w:val="auto"/>
          <w:highlight w:val="none"/>
          <w:lang w:eastAsia="zh-CN"/>
        </w:rPr>
      </w:pPr>
      <w:bookmarkStart w:id="48" w:name="_Toc10045"/>
      <w:r>
        <w:rPr>
          <w:rFonts w:ascii="仿宋" w:eastAsia="仿宋" w:hAnsi="仿宋" w:cs="仿宋" w:hint="eastAsia"/>
          <w:color w:val="auto"/>
          <w:highlight w:val="none"/>
          <w:lang w:eastAsia="zh-CN"/>
        </w:rPr>
        <w:t xml:space="preserve">开展林草湿荒一体化保护修复2.3万亩，其中退化林修复1.5万亩，中幼林抚育3万亩，草原改良0.5万亩，项目自查率100%，项目验收合格率不低于90%，对沙尘源的扼制作用显著，对区域生态系统功能改善的促进作用明显，生态系统功能可持续影响明显，带动就业人数54人及以上，项目区群众满意度90%及以上。</w:t>
      </w:r>
    </w:p>
    <w:p>
      <w:pPr>
        <w:bidi w:val="0"/>
        <w:rPr>
          <w:rFonts w:ascii="仿宋" w:eastAsia="仿宋" w:hAnsi="仿宋" w:cs="仿宋" w:hint="eastAsia"/>
          <w:b/>
          <w:bCs/>
          <w:color w:val="auto"/>
          <w:highlight w:val="none"/>
        </w:rPr>
      </w:pPr>
      <w:bookmarkStart w:id="49" w:name="_Toc11195"/>
      <w:r>
        <w:rPr>
          <w:rFonts w:ascii="仿宋" w:eastAsia="仿宋" w:hAnsi="仿宋" w:cs="仿宋" w:hint="eastAsia"/>
          <w:b/>
          <w:bCs/>
          <w:color w:val="auto"/>
          <w:highlight w:val="none"/>
        </w:rPr>
        <w:t xml:space="preserve">2.阶段性目标</w:t>
      </w:r>
      <w:bookmarkEnd w:id="48"/>
      <w:bookmarkEnd w:id="49"/>
    </w:p>
    <w:p>
      <w:pPr>
        <w:bidi w:val="0"/>
        <w:rPr>
          <w:rFonts w:ascii="仿宋" w:eastAsia="仿宋" w:hAnsi="仿宋" w:cs="仿宋" w:hint="eastAsia"/>
          <w:color w:val="auto"/>
          <w:highlight w:val="none"/>
          <w:lang w:val="en-US" w:eastAsia="zh-CN"/>
        </w:rPr>
      </w:pPr>
      <w:bookmarkStart w:id="50" w:name="OLE_LINK17"/>
      <w:bookmarkStart w:id="51" w:name="_Toc6823"/>
      <w:bookmarkStart w:id="52" w:name="_Toc26880"/>
      <w:bookmarkStart w:id="53" w:name="_Toc22434"/>
      <w:bookmarkStart w:id="54" w:name="_Toc25321"/>
      <w:bookmarkStart w:id="55" w:name="_Toc6156"/>
      <w:bookmarkStart w:id="56" w:name="_Toc857"/>
      <w:bookmarkStart w:id="57" w:name="_Toc31122"/>
      <w:bookmarkStart w:id="58" w:name="_Toc6534"/>
      <w:r>
        <w:rPr>
          <w:rFonts w:ascii="仿宋" w:eastAsia="仿宋" w:hAnsi="仿宋" w:cs="仿宋" w:hint="eastAsia"/>
          <w:color w:val="auto"/>
          <w:highlight w:val="none"/>
          <w:lang w:val="en-US" w:eastAsia="zh-CN"/>
        </w:rPr>
        <w:t xml:space="preserve">（1）</w:t>
      </w:r>
      <w:bookmarkEnd w:id="50"/>
      <w:r>
        <w:rPr>
          <w:rFonts w:ascii="仿宋" w:eastAsia="仿宋" w:hAnsi="仿宋" w:cs="仿宋" w:hint="eastAsia"/>
          <w:color w:val="auto"/>
          <w:highlight w:val="none"/>
          <w:lang w:val="en-US" w:eastAsia="zh-CN"/>
        </w:rPr>
        <w:t xml:space="preserve">2024年7月进行项目公开招标；</w:t>
      </w:r>
      <w:bookmarkEnd w:id="51"/>
      <w:bookmarkEnd w:id="52"/>
      <w:bookmarkEnd w:id="53"/>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（2）2024年8月完成作业设计；</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（3）2024年9月至12月完成</w:t>
      </w:r>
      <w:r>
        <w:rPr>
          <w:rFonts w:ascii="仿宋" w:eastAsia="仿宋" w:hAnsi="仿宋" w:cs="仿宋" w:hint="eastAsia"/>
          <w:color w:val="auto"/>
          <w:highlight w:val="none"/>
          <w:lang w:eastAsia="zh-CN"/>
        </w:rPr>
        <w:t xml:space="preserve">退化林修复1.5万亩，中幼林抚育3万亩，草原改良0.5万亩。</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（4）2024年12月完成1637.49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项目资金支付。</w:t>
      </w:r>
    </w:p>
    <w:p>
      <w:pPr>
        <w:pStyle w:val="Heading2"/>
        <w:bidi w:val="0"/>
        <w:rPr>
          <w:rFonts w:ascii="仿宋" w:eastAsia="仿宋" w:hAnsi="仿宋" w:cs="仿宋" w:hint="eastAsia"/>
          <w:color w:val="auto"/>
          <w:highlight w:val="none"/>
        </w:rPr>
      </w:pPr>
      <w:bookmarkStart w:id="59" w:name="_Toc24898"/>
      <w:bookmarkStart w:id="60" w:name="_Toc30449"/>
      <w:bookmarkStart w:id="61" w:name="_Toc31520"/>
      <w:r>
        <w:rPr>
          <w:rFonts w:ascii="仿宋" w:eastAsia="仿宋" w:hAnsi="仿宋" w:cs="仿宋" w:hint="eastAsia"/>
          <w:color w:val="auto"/>
          <w:highlight w:val="none"/>
        </w:rPr>
        <w:t xml:space="preserve">二、绩效评价工作开展情况</w:t>
      </w:r>
      <w:bookmarkEnd w:id="54"/>
      <w:bookmarkEnd w:id="55"/>
      <w:bookmarkEnd w:id="56"/>
      <w:bookmarkEnd w:id="57"/>
      <w:bookmarkEnd w:id="58"/>
      <w:bookmarkEnd w:id="59"/>
      <w:bookmarkEnd w:id="60"/>
      <w:bookmarkEnd w:id="61"/>
    </w:p>
    <w:p>
      <w:pPr>
        <w:pStyle w:val="Heading3"/>
        <w:bidi w:val="0"/>
        <w:rPr>
          <w:rFonts w:ascii="仿宋" w:eastAsia="仿宋" w:hAnsi="仿宋" w:cs="仿宋" w:hint="eastAsia"/>
          <w:color w:val="auto"/>
          <w:highlight w:val="none"/>
        </w:rPr>
      </w:pPr>
      <w:bookmarkStart w:id="62" w:name="_Toc30569"/>
      <w:bookmarkStart w:id="63" w:name="_Toc10300"/>
      <w:bookmarkStart w:id="64" w:name="_Toc17516"/>
      <w:bookmarkStart w:id="65" w:name="_Toc2161"/>
      <w:bookmarkStart w:id="66" w:name="_Toc32557"/>
      <w:r>
        <w:rPr>
          <w:rFonts w:ascii="仿宋" w:eastAsia="仿宋" w:hAnsi="仿宋" w:cs="仿宋" w:hint="eastAsia"/>
          <w:color w:val="auto"/>
          <w:highlight w:val="none"/>
        </w:rPr>
        <w:t xml:space="preserve">（一）绩效评价目的、对象和范围</w:t>
      </w:r>
      <w:bookmarkEnd w:id="62"/>
      <w:bookmarkEnd w:id="63"/>
      <w:bookmarkEnd w:id="64"/>
      <w:bookmarkEnd w:id="65"/>
      <w:bookmarkEnd w:id="66"/>
    </w:p>
    <w:p>
      <w:pPr>
        <w:bidi w:val="0"/>
        <w:rPr>
          <w:rFonts w:ascii="仿宋" w:eastAsia="仿宋" w:hAnsi="仿宋" w:cs="仿宋" w:hint="eastAsia"/>
          <w:b/>
          <w:bCs/>
          <w:color w:val="auto"/>
          <w:highlight w:val="none"/>
        </w:rPr>
      </w:pPr>
      <w:bookmarkStart w:id="67" w:name="_Toc11562"/>
      <w:bookmarkStart w:id="68" w:name="_Toc12440"/>
      <w:r>
        <w:rPr>
          <w:rFonts w:ascii="仿宋" w:eastAsia="仿宋" w:hAnsi="仿宋" w:cs="仿宋" w:hint="eastAsia"/>
          <w:b/>
          <w:bCs/>
          <w:color w:val="auto"/>
          <w:highlight w:val="none"/>
        </w:rPr>
        <w:t xml:space="preserve">1.绩效评价目的</w:t>
      </w:r>
      <w:bookmarkEnd w:id="67"/>
      <w:bookmarkEnd w:id="6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eastAsia="zh-CN"/>
        </w:rPr>
        <w:t xml:space="preserve">2024年巴州尉犁县</w:t>
      </w:r>
      <w:r>
        <w:rPr>
          <w:rFonts w:ascii="仿宋" w:eastAsia="仿宋" w:hAnsi="仿宋" w:cs="仿宋" w:hint="eastAsia"/>
          <w:color w:val="auto"/>
          <w:highlight w:val="none"/>
          <w:lang w:val="en-US" w:eastAsia="zh-CN"/>
        </w:rPr>
        <w:t xml:space="preserve">“三北”工程</w:t>
      </w:r>
      <w:r>
        <w:rPr>
          <w:rFonts w:ascii="仿宋" w:eastAsia="仿宋" w:hAnsi="仿宋" w:cs="仿宋" w:hint="eastAsia"/>
          <w:color w:val="auto"/>
          <w:highlight w:val="none"/>
          <w:lang w:eastAsia="zh-CN"/>
        </w:rPr>
        <w:t xml:space="preserve">林草湿荒一体化保护修复项目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bookmarkStart w:id="69" w:name="_Toc8924"/>
      <w:bookmarkStart w:id="70" w:name="_Toc2159"/>
      <w:r>
        <w:rPr>
          <w:rFonts w:ascii="仿宋" w:eastAsia="仿宋" w:hAnsi="仿宋" w:cs="仿宋" w:hint="eastAsia"/>
          <w:b/>
          <w:bCs/>
          <w:color w:val="auto"/>
          <w:highlight w:val="none"/>
        </w:rPr>
        <w:t xml:space="preserve">2.绩效评价对象</w:t>
      </w:r>
      <w:bookmarkEnd w:id="69"/>
      <w:r>
        <w:rPr>
          <w:rFonts w:ascii="仿宋" w:eastAsia="仿宋" w:hAnsi="仿宋" w:cs="仿宋" w:hint="eastAsia"/>
          <w:b/>
          <w:bCs/>
          <w:color w:val="auto"/>
          <w:highlight w:val="none"/>
        </w:rPr>
        <w:t xml:space="preserve">和范围</w:t>
      </w:r>
      <w:bookmarkEnd w:id="7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2024年巴州尉犁县</w:t>
      </w:r>
      <w:r>
        <w:rPr>
          <w:rFonts w:ascii="仿宋" w:eastAsia="仿宋" w:hAnsi="仿宋" w:cs="仿宋" w:hint="eastAsia"/>
          <w:color w:val="auto"/>
          <w:highlight w:val="none"/>
          <w:lang w:val="en-US" w:eastAsia="zh-CN"/>
        </w:rPr>
        <w:t xml:space="preserve">“三北”工程</w:t>
      </w:r>
      <w:r>
        <w:rPr>
          <w:rFonts w:ascii="仿宋" w:eastAsia="仿宋" w:hAnsi="仿宋" w:cs="仿宋" w:hint="eastAsia"/>
          <w:color w:val="auto"/>
          <w:highlight w:val="none"/>
          <w:lang w:eastAsia="zh-CN"/>
        </w:rPr>
        <w:t xml:space="preserve">林草湿荒一体化保护修复项目</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71" w:name="_Toc19566"/>
      <w:bookmarkStart w:id="72" w:name="_Toc15409"/>
      <w:bookmarkStart w:id="73" w:name="_Toc17158"/>
      <w:bookmarkStart w:id="74" w:name="_Toc13496"/>
      <w:bookmarkStart w:id="75" w:name="_Toc24529"/>
      <w:r>
        <w:rPr>
          <w:rFonts w:ascii="仿宋" w:eastAsia="仿宋" w:hAnsi="仿宋" w:cs="仿宋" w:hint="eastAsia"/>
          <w:color w:val="auto"/>
          <w:highlight w:val="none"/>
        </w:rPr>
        <w:t xml:space="preserve">（二）绩效评价原则、评价指标体系、评价方法、评价标准</w:t>
      </w:r>
      <w:bookmarkEnd w:id="71"/>
      <w:bookmarkEnd w:id="72"/>
      <w:bookmarkEnd w:id="73"/>
      <w:bookmarkEnd w:id="74"/>
      <w:bookmarkEnd w:id="75"/>
    </w:p>
    <w:p>
      <w:pPr>
        <w:bidi w:val="0"/>
        <w:rPr>
          <w:rFonts w:ascii="仿宋" w:eastAsia="仿宋" w:hAnsi="仿宋" w:cs="仿宋" w:hint="eastAsia"/>
          <w:b/>
          <w:bCs/>
          <w:color w:val="auto"/>
          <w:highlight w:val="none"/>
        </w:rPr>
      </w:pPr>
      <w:bookmarkStart w:id="76" w:name="_Toc18268"/>
      <w:bookmarkStart w:id="77" w:name="_Toc23487"/>
      <w:r>
        <w:rPr>
          <w:rFonts w:ascii="仿宋" w:eastAsia="仿宋" w:hAnsi="仿宋" w:cs="仿宋" w:hint="eastAsia"/>
          <w:b/>
          <w:bCs/>
          <w:color w:val="auto"/>
          <w:highlight w:val="none"/>
        </w:rPr>
        <w:t xml:space="preserve">1.绩效评价原则</w:t>
      </w:r>
      <w:bookmarkEnd w:id="76"/>
      <w:bookmarkEnd w:id="77"/>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bookmarkStart w:id="78" w:name="_Toc23112"/>
      <w:bookmarkStart w:id="79" w:name="_Toc28342"/>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w:t>
      </w:r>
      <w:bookmarkEnd w:id="78"/>
      <w:bookmarkEnd w:id="79"/>
    </w:p>
    <w:p>
      <w:pPr>
        <w:bidi w:val="0"/>
        <w:jc w:val="both"/>
        <w:rPr>
          <w:rFonts w:ascii="仿宋" w:eastAsia="仿宋" w:hAnsi="仿宋" w:cs="仿宋" w:hint="eastAsia"/>
          <w:color w:val="auto"/>
          <w:highlight w:val="none"/>
        </w:rPr>
      </w:pPr>
      <w:r>
        <w:rPr>
          <w:rFonts w:ascii="仿宋" w:eastAsia="仿宋" w:hAnsi="仿宋" w:cs="仿宋" w:hint="eastAsia"/>
          <w:b w:val="0"/>
          <w:bCs w:val="0"/>
          <w:color w:val="auto"/>
          <w:highlight w:val="none"/>
          <w:lang w:val="en-US" w:eastAsia="zh-CN"/>
        </w:rPr>
        <w:t xml:space="preserve">2024年巴州尉犁县三北工程林草湿荒一体化保护修复项目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2024年巴州尉犁县三北工程林草湿荒一体化保护修复项目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80" w:name="_Toc10631"/>
      <w:bookmarkStart w:id="81" w:name="_Toc15680"/>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80"/>
      <w:bookmarkEnd w:id="81"/>
    </w:p>
    <w:p>
      <w:pPr>
        <w:keepNext w:val="0"/>
        <w:keepLines w:val="0"/>
        <w:pageBreakBefore w:val="0"/>
        <w:widowControl w:val="0"/>
        <w:suppressLineNumbers w:val="0"/>
        <w:kinsoku/>
        <w:wordWrap/>
        <w:overflowPunct/>
        <w:topLinePunct w:val="0"/>
        <w:autoSpaceDE/>
        <w:autoSpaceDN/>
        <w:bidi w:val="0"/>
        <w:adjustRightInd/>
        <w:snapToGrid/>
        <w:jc w:val="left"/>
        <w:textAlignment w:val="auto"/>
        <w:rPr>
          <w:rFonts w:ascii="仿宋" w:eastAsia="仿宋" w:hAnsi="仿宋" w:cs="仿宋" w:hint="eastAsia"/>
          <w:color w:val="auto"/>
          <w:sz w:val="32"/>
          <w:szCs w:val="32"/>
          <w:highlight w:val="none"/>
        </w:rPr>
      </w:pPr>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jc w:val="both"/>
        <w:textAlignment w:val="auto"/>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2024年巴州尉犁县三北工程林草湿荒一体化保护修复项目</w:t>
      </w:r>
      <w:r>
        <w:rPr>
          <w:rFonts w:ascii="仿宋" w:eastAsia="仿宋" w:hAnsi="仿宋" w:cs="仿宋" w:hint="eastAsia"/>
          <w:color w:val="auto"/>
          <w:highlight w:val="none"/>
        </w:rPr>
        <w:t xml:space="preserve">的特点，</w:t>
      </w:r>
      <w:bookmarkStart w:id="82" w:name="OLE_LINK8"/>
      <w:r>
        <w:rPr>
          <w:rFonts w:ascii="仿宋" w:eastAsia="仿宋" w:hAnsi="仿宋" w:cs="仿宋" w:hint="eastAsia"/>
          <w:color w:val="auto"/>
          <w:highlight w:val="none"/>
          <w:lang w:val="en-US" w:eastAsia="zh-CN"/>
        </w:rPr>
        <w:t xml:space="preserve">本次评价主要运用</w:t>
      </w:r>
      <w:bookmarkStart w:id="83" w:name="OLE_LINK3"/>
      <w:r>
        <w:rPr>
          <w:rFonts w:ascii="仿宋" w:eastAsia="仿宋" w:hAnsi="仿宋" w:cs="仿宋" w:hint="eastAsia"/>
          <w:color w:val="auto"/>
          <w:highlight w:val="none"/>
          <w:lang w:val="en-US" w:eastAsia="zh-CN"/>
        </w:rPr>
        <w:t xml:space="preserve">比较法</w:t>
      </w:r>
      <w:bookmarkEnd w:id="83"/>
      <w:bookmarkStart w:id="84" w:name="OLE_LINK2"/>
      <w:r>
        <w:rPr>
          <w:rFonts w:ascii="仿宋" w:eastAsia="仿宋" w:hAnsi="仿宋" w:cs="仿宋" w:hint="eastAsia"/>
          <w:color w:val="auto"/>
          <w:highlight w:val="none"/>
          <w:lang w:val="en-US" w:eastAsia="zh-CN"/>
        </w:rPr>
        <w:t xml:space="preserve">、公众评判法</w:t>
      </w:r>
      <w:bookmarkEnd w:id="84"/>
      <w:r>
        <w:rPr>
          <w:rFonts w:ascii="仿宋" w:eastAsia="仿宋" w:hAnsi="仿宋" w:cs="仿宋" w:hint="eastAsia"/>
          <w:color w:val="auto"/>
          <w:highlight w:val="none"/>
          <w:lang w:val="en-US" w:eastAsia="zh-CN"/>
        </w:rPr>
        <w:t xml:space="preserve">，原因是：</w:t>
      </w:r>
    </w:p>
    <w:p>
      <w:pPr>
        <w:keepNext w:val="0"/>
        <w:keepLines w:val="0"/>
        <w:pageBreakBefore w:val="0"/>
        <w:widowControl w:val="0"/>
        <w:kinsoku/>
        <w:wordWrap/>
        <w:overflowPunct/>
        <w:topLinePunct w:val="0"/>
        <w:autoSpaceDE/>
        <w:autoSpaceDN/>
        <w:bidi w:val="0"/>
        <w:adjustRightInd/>
        <w:snapToGrid/>
        <w:jc w:val="both"/>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比较法：</w:t>
      </w:r>
      <w:bookmarkEnd w:id="82"/>
      <w:r>
        <w:rPr>
          <w:rFonts w:ascii="仿宋" w:eastAsia="仿宋" w:hAnsi="仿宋" w:cs="仿宋" w:hint="eastAsia"/>
          <w:color w:val="auto"/>
          <w:highlight w:val="none"/>
          <w:lang w:val="en-US" w:eastAsia="zh-CN"/>
        </w:rPr>
        <w:t xml:space="preserve">本项目绩效评价将项目实施情况及实际完成的退化天然林修复面积、中幼林抚育面积、草原改良面积等指标与年初设定的目标值进行比较</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因此，采取的</w:t>
      </w:r>
      <w:r>
        <w:rPr>
          <w:rFonts w:ascii="仿宋" w:eastAsia="仿宋" w:hAnsi="仿宋" w:cs="仿宋" w:hint="eastAsia"/>
          <w:color w:val="auto"/>
          <w:highlight w:val="none"/>
        </w:rPr>
        <w:t xml:space="preserve">绩效评价方法</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：比较法</w:t>
      </w:r>
      <w:r>
        <w:rPr>
          <w:rFonts w:ascii="仿宋" w:eastAsia="仿宋" w:hAnsi="仿宋" w:cs="仿宋" w:hint="eastAsia"/>
          <w:color w:val="auto"/>
          <w:highlight w:val="none"/>
          <w:lang w:eastAsia="zh-CN"/>
        </w:rPr>
        <w:t xml:space="preserve">。</w:t>
      </w:r>
    </w:p>
    <w:p>
      <w:pPr>
        <w:rPr>
          <w:rFonts w:ascii="仿宋" w:eastAsia="仿宋" w:hAnsi="仿宋" w:cs="仿宋" w:hint="eastAsia"/>
          <w:color w:val="auto"/>
          <w:highlight w:val="none"/>
          <w:lang w:val="en-US" w:eastAsia="zh-CN"/>
        </w:rPr>
      </w:pPr>
      <w:r>
        <w:rPr>
          <w:rFonts w:ascii="仿宋" w:eastAsia="仿宋" w:hAnsi="仿宋" w:cs="仿宋" w:hint="eastAsia"/>
          <w:b w:val="0"/>
          <w:bCs w:val="0"/>
          <w:color w:val="auto"/>
          <w:highlight w:val="none"/>
          <w:lang w:val="en-US" w:eastAsia="zh-CN"/>
        </w:rPr>
        <w:t xml:space="preserve">公共评判法：通过对项目区群众</w:t>
      </w:r>
      <w:r>
        <w:rPr>
          <w:rFonts w:ascii="仿宋" w:eastAsia="仿宋" w:hAnsi="仿宋" w:cs="仿宋" w:hint="eastAsia"/>
          <w:color w:val="auto"/>
          <w:highlight w:val="none"/>
          <w:lang w:val="en-US" w:eastAsia="zh-CN"/>
        </w:rPr>
        <w:t xml:space="preserve">进</w:t>
      </w:r>
      <w:r>
        <w:rPr>
          <w:rFonts w:ascii="仿宋" w:eastAsia="仿宋" w:hAnsi="仿宋" w:cs="仿宋" w:hint="eastAsia"/>
          <w:b w:val="0"/>
          <w:bCs w:val="0"/>
          <w:color w:val="auto"/>
          <w:highlight w:val="none"/>
          <w:lang w:val="en-US" w:eastAsia="zh-CN"/>
        </w:rPr>
        <w:t xml:space="preserve">行问卷及抽样调查等方式，评价本项目实施后受益对象对项目实施效果的满意程度，对财政资金使用效果进行评判，评价绩效目标实现程度。</w:t>
      </w:r>
    </w:p>
    <w:p>
      <w:pPr>
        <w:bidi w:val="0"/>
        <w:rPr>
          <w:rFonts w:ascii="仿宋" w:eastAsia="仿宋" w:hAnsi="仿宋" w:cs="仿宋" w:hint="eastAsia"/>
          <w:b/>
          <w:bCs/>
          <w:color w:val="auto"/>
          <w:highlight w:val="none"/>
        </w:rPr>
      </w:pPr>
      <w:bookmarkStart w:id="85" w:name="_Toc15525"/>
      <w:bookmarkStart w:id="86" w:name="_Toc3155"/>
      <w:r>
        <w:rPr>
          <w:rFonts w:ascii="仿宋" w:eastAsia="仿宋" w:hAnsi="仿宋" w:cs="仿宋" w:hint="eastAsia"/>
          <w:b/>
          <w:bCs/>
          <w:color w:val="auto"/>
          <w:highlight w:val="none"/>
        </w:rPr>
        <w:t xml:space="preserve">4.绩效评价标准</w:t>
      </w:r>
      <w:bookmarkEnd w:id="85"/>
      <w:bookmarkEnd w:id="8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绩效评价标准通常包括计划标准、行业标准、历史标准等，用于对绩效指标完成情况进行比较。</w:t>
      </w:r>
    </w:p>
    <w:p>
      <w:pPr>
        <w:pStyle w:val="CommentText"/>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bookmarkStart w:id="87" w:name="OLE_LINK4"/>
      <w:r>
        <w:rPr>
          <w:rFonts w:ascii="仿宋" w:eastAsia="仿宋" w:hAnsi="仿宋" w:cs="仿宋" w:hint="eastAsia"/>
          <w:color w:val="auto"/>
          <w:highlight w:val="none"/>
          <w:lang w:eastAsia="zh-CN"/>
        </w:rPr>
        <w:t xml:space="preserve">2024年巴州尉犁县三北工程林草湿荒一体化保护修复项目</w:t>
      </w:r>
      <w:bookmarkEnd w:id="87"/>
      <w:r>
        <w:rPr>
          <w:rFonts w:ascii="仿宋" w:eastAsia="仿宋" w:hAnsi="仿宋" w:cs="仿宋" w:hint="eastAsia"/>
          <w:color w:val="auto"/>
          <w:highlight w:val="none"/>
        </w:rPr>
        <w:t xml:space="preserve">的特点，</w:t>
      </w:r>
      <w:bookmarkStart w:id="88" w:name="_Toc30219"/>
      <w:bookmarkStart w:id="89" w:name="_Toc15381"/>
      <w:bookmarkStart w:id="90" w:name="_Toc26411"/>
      <w:bookmarkStart w:id="91" w:name="_Toc17851"/>
      <w:r>
        <w:rPr>
          <w:rFonts w:ascii="仿宋" w:eastAsia="仿宋" w:hAnsi="仿宋" w:cs="仿宋" w:hint="eastAsia"/>
          <w:bCs/>
          <w:color w:val="auto"/>
          <w:kern w:val="2"/>
          <w:sz w:val="32"/>
          <w:szCs w:val="32"/>
          <w:highlight w:val="none"/>
          <w:lang w:val="en-US" w:eastAsia="zh-CN" w:bidi="ar-SA"/>
        </w:rPr>
        <w:t xml:space="preserve">本项目绩效评价以预先制定的</w:t>
      </w:r>
      <w:r>
        <w:rPr>
          <w:rFonts w:ascii="仿宋" w:eastAsia="仿宋" w:hAnsi="仿宋" w:cs="仿宋" w:hint="eastAsia"/>
          <w:color w:val="auto"/>
          <w:highlight w:val="none"/>
          <w:lang w:val="en-US" w:eastAsia="zh-CN"/>
        </w:rPr>
        <w:t xml:space="preserve">退化天然林修复面积、中幼林抚育面积、草原改良面积</w:t>
      </w:r>
      <w:r>
        <w:rPr>
          <w:rFonts w:ascii="仿宋" w:eastAsia="仿宋" w:hAnsi="仿宋" w:cs="仿宋" w:hint="eastAsia"/>
          <w:bCs/>
          <w:color w:val="auto"/>
          <w:kern w:val="2"/>
          <w:sz w:val="32"/>
          <w:szCs w:val="32"/>
          <w:highlight w:val="none"/>
          <w:lang w:val="en-US" w:eastAsia="zh-CN" w:bidi="ar-SA"/>
        </w:rPr>
        <w:t xml:space="preserve">为计划数作为评价标准。因此，采取的绩效评价标准为：计划标准。</w:t>
      </w:r>
    </w:p>
    <w:p>
      <w:pPr>
        <w:pStyle w:val="Heading3"/>
        <w:bidi w:val="0"/>
        <w:rPr>
          <w:rFonts w:ascii="仿宋" w:eastAsia="仿宋" w:hAnsi="仿宋" w:cs="仿宋" w:hint="eastAsia"/>
          <w:color w:val="auto"/>
          <w:highlight w:val="none"/>
        </w:rPr>
      </w:pPr>
      <w:bookmarkStart w:id="92" w:name="_Toc26539"/>
      <w:r>
        <w:rPr>
          <w:rFonts w:ascii="仿宋" w:eastAsia="仿宋" w:hAnsi="仿宋" w:cs="仿宋" w:hint="eastAsia"/>
          <w:color w:val="auto"/>
          <w:highlight w:val="none"/>
        </w:rPr>
        <w:t xml:space="preserve">（三）绩效评价工作过程</w:t>
      </w:r>
      <w:bookmarkEnd w:id="88"/>
      <w:bookmarkEnd w:id="89"/>
      <w:bookmarkEnd w:id="90"/>
      <w:bookmarkEnd w:id="91"/>
      <w:bookmarkEnd w:id="92"/>
    </w:p>
    <w:p>
      <w:pPr>
        <w:bidi w:val="0"/>
        <w:rPr>
          <w:rFonts w:ascii="仿宋" w:eastAsia="仿宋" w:hAnsi="仿宋" w:cs="仿宋" w:hint="eastAsia"/>
          <w:b/>
          <w:bCs/>
          <w:color w:val="auto"/>
          <w:highlight w:val="none"/>
        </w:rPr>
      </w:pPr>
      <w:bookmarkStart w:id="93" w:name="_Toc30911"/>
      <w:bookmarkStart w:id="94" w:name="_Toc17595"/>
      <w:bookmarkStart w:id="95" w:name="_Toc31054"/>
      <w:bookmarkStart w:id="96" w:name="_Toc22987"/>
      <w:bookmarkStart w:id="97" w:name="_Toc27442"/>
      <w:bookmarkStart w:id="98" w:name="OLE_LINK19"/>
      <w:r>
        <w:rPr>
          <w:rFonts w:ascii="仿宋" w:eastAsia="仿宋" w:hAnsi="仿宋" w:cs="仿宋" w:hint="eastAsia"/>
          <w:b/>
          <w:bCs/>
          <w:color w:val="auto"/>
          <w:highlight w:val="none"/>
        </w:rPr>
        <w:t xml:space="preserve">1.前期准备</w:t>
      </w:r>
      <w:bookmarkEnd w:id="93"/>
      <w:bookmarkEnd w:id="94"/>
      <w:bookmarkEnd w:id="95"/>
      <w:bookmarkEnd w:id="96"/>
      <w:bookmarkEnd w:id="97"/>
      <w:bookmarkStart w:id="99" w:name="OLE_LINK5"/>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2025年2月10日-2025年2月25日</w:t>
      </w:r>
      <w:r>
        <w:rPr>
          <w:rFonts w:ascii="仿宋" w:eastAsia="仿宋" w:hAnsi="仿宋" w:cs="仿宋" w:hint="eastAsia"/>
          <w:b/>
          <w:bCs/>
          <w:color w:val="auto"/>
          <w:highlight w:val="none"/>
          <w:lang w:eastAsia="zh-CN"/>
        </w:rPr>
        <w:t xml:space="preserve">）</w:t>
      </w:r>
      <w:bookmarkEnd w:id="99"/>
    </w:p>
    <w:p>
      <w:pPr>
        <w:bidi w:val="0"/>
        <w:rPr>
          <w:rFonts w:ascii="仿宋" w:eastAsia="仿宋" w:hAnsi="仿宋" w:cs="仿宋" w:hint="eastAsia"/>
          <w:color w:val="auto"/>
          <w:highlight w:val="none"/>
          <w:lang w:val="en-US" w:eastAsia="zh-CN"/>
        </w:rPr>
      </w:pPr>
      <w:bookmarkStart w:id="100" w:name="_Toc2579"/>
      <w:r>
        <w:rPr>
          <w:rFonts w:ascii="仿宋" w:eastAsia="仿宋" w:hAnsi="仿宋" w:cs="仿宋" w:hint="eastAsia"/>
          <w:color w:val="auto"/>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林业和草原局</w:t>
      </w:r>
      <w:r>
        <w:rPr>
          <w:rFonts w:ascii="仿宋" w:eastAsia="仿宋" w:hAnsi="仿宋" w:cs="仿宋" w:hint="eastAsia"/>
          <w:color w:val="auto"/>
          <w:highlight w:val="none"/>
        </w:rPr>
        <w:t xml:space="preserve">成立了绩效评价小组，对项目实施的全过程，收集、整理项目实施的相关资料，了解项目实施情况和资金支付情况。从项目内容出发，结合项目预期目标，制定绩效评价的指标体系。</w:t>
      </w:r>
      <w:bookmarkStart w:id="101" w:name="OLE_LINK9"/>
      <w:r>
        <w:rPr>
          <w:rFonts w:ascii="仿宋" w:eastAsia="仿宋" w:hAnsi="仿宋" w:cs="仿宋" w:hint="eastAsia"/>
          <w:color w:val="auto"/>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评价小组组长：艾海提·肉孜，主要负责协调相关科室、部门对项目整体运行情况进行验收、评估。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评价小组组员：张翼，主要负责制定评价指标体系及评价标准。</w:t>
      </w:r>
    </w:p>
    <w:p>
      <w:pPr>
        <w:bidi w:val="0"/>
        <w:rPr>
          <w:rFonts w:ascii="仿宋" w:eastAsia="仿宋" w:hAnsi="仿宋" w:cs="仿宋" w:hint="eastAsia"/>
          <w:bCs/>
          <w:color w:val="auto"/>
          <w:szCs w:val="32"/>
          <w:highlight w:val="none"/>
        </w:rPr>
      </w:pPr>
      <w:r>
        <w:rPr>
          <w:rFonts w:ascii="仿宋" w:eastAsia="仿宋" w:hAnsi="仿宋" w:cs="仿宋" w:hint="eastAsia"/>
          <w:color w:val="auto"/>
          <w:highlight w:val="none"/>
          <w:lang w:val="en-US" w:eastAsia="zh-CN"/>
        </w:rPr>
        <w:t xml:space="preserve">评价小组组员：杨绍华，主要负责2024年巴州尉犁县三北工程林草湿荒一体化保护修复项目实施、监督、评估工作。</w:t>
      </w:r>
      <w:bookmarkEnd w:id="10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100"/>
      <w:bookmarkStart w:id="102" w:name="OLE_LINK1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2025年2月26日-2025年3月10日</w:t>
      </w:r>
      <w:r>
        <w:rPr>
          <w:rFonts w:ascii="仿宋" w:eastAsia="仿宋" w:hAnsi="仿宋" w:cs="仿宋" w:hint="eastAsia"/>
          <w:b/>
          <w:bCs/>
          <w:color w:val="auto"/>
          <w:highlight w:val="none"/>
          <w:lang w:eastAsia="zh-CN"/>
        </w:rPr>
        <w:t xml:space="preserve">）</w:t>
      </w:r>
      <w:bookmarkEnd w:id="10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bookmarkStart w:id="103" w:name="_Toc19781"/>
      <w:r>
        <w:rPr>
          <w:rFonts w:ascii="仿宋" w:eastAsia="仿宋" w:hAnsi="仿宋" w:cs="仿宋" w:hint="eastAsia"/>
          <w:b/>
          <w:bCs/>
          <w:color w:val="auto"/>
          <w:highlight w:val="none"/>
        </w:rPr>
        <w:t xml:space="preserve">3.数据集中分析</w:t>
      </w:r>
      <w:bookmarkEnd w:id="103"/>
      <w:bookmarkStart w:id="104" w:name="OLE_LINK11"/>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bookmarkEnd w:id="10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rPr>
          <w:rFonts w:ascii="仿宋" w:eastAsia="仿宋" w:hAnsi="仿宋" w:cs="仿宋" w:hint="eastAsia"/>
          <w:b/>
          <w:bCs/>
          <w:color w:val="auto"/>
          <w:highlight w:val="none"/>
        </w:rPr>
      </w:pPr>
      <w:bookmarkStart w:id="105" w:name="_Toc5021"/>
      <w:r>
        <w:rPr>
          <w:rFonts w:ascii="仿宋" w:eastAsia="仿宋" w:hAnsi="仿宋" w:cs="仿宋" w:hint="eastAsia"/>
          <w:b/>
          <w:bCs/>
          <w:color w:val="auto"/>
          <w:highlight w:val="none"/>
        </w:rPr>
        <w:t xml:space="preserve">4.分析总结</w:t>
      </w:r>
      <w:bookmarkEnd w:id="105"/>
      <w:bookmarkStart w:id="106" w:name="OLE_LINK12"/>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r>
        <w:rPr>
          <w:rFonts w:ascii="仿宋" w:eastAsia="仿宋" w:hAnsi="仿宋" w:cs="仿宋" w:hint="eastAsia"/>
          <w:b/>
          <w:bCs/>
          <w:color w:val="auto"/>
          <w:highlight w:val="none"/>
          <w:lang w:eastAsia="zh-CN"/>
        </w:rPr>
        <w:t xml:space="preserve">）</w:t>
      </w:r>
      <w:bookmarkEnd w:id="106"/>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bookmarkEnd w:id="98"/>
    </w:p>
    <w:p>
      <w:pPr>
        <w:rPr>
          <w:rFonts w:ascii="仿宋" w:eastAsia="仿宋" w:hAnsi="仿宋" w:cs="仿宋" w:hint="eastAsia"/>
          <w:b/>
          <w:bCs/>
          <w:color w:val="auto"/>
          <w:highlight w:val="none"/>
        </w:rPr>
      </w:pPr>
      <w:bookmarkStart w:id="107" w:name="_Toc1808"/>
      <w:bookmarkStart w:id="108" w:name="_Toc31058"/>
      <w:bookmarkStart w:id="109" w:name="_Toc14811"/>
      <w:bookmarkStart w:id="110" w:name="_Toc21627"/>
      <w:bookmarkStart w:id="111" w:name="_Toc25201"/>
      <w:bookmarkStart w:id="112" w:name="_Toc32641"/>
      <w:bookmarkStart w:id="113" w:name="_Toc16992"/>
      <w:bookmarkStart w:id="114" w:name="_Toc7075"/>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keepNext w:val="0"/>
        <w:keepLines w:val="0"/>
        <w:pageBreakBefore w:val="0"/>
        <w:widowControl w:val="0"/>
        <w:kinsoku/>
        <w:wordWrap/>
        <w:overflowPunct/>
        <w:topLinePunct w:val="0"/>
        <w:autoSpaceDE/>
        <w:autoSpaceDN/>
        <w:bidi w:val="0"/>
        <w:adjustRightInd/>
        <w:snapToGrid/>
        <w:spacing w:line="500" w:lineRule="exact"/>
        <w:ind w:left="0" w:firstLine="640" w:leftChars="0" w:firstLineChars="200"/>
        <w:jc w:val="both"/>
        <w:textAlignment w:val="auto"/>
        <w:outlineLvl w:val="0"/>
        <w:rPr>
          <w:rFonts w:ascii="仿宋" w:eastAsia="仿宋" w:hAnsi="仿宋" w:cs="仿宋" w:hint="eastAsia"/>
          <w:bCs/>
          <w:iCs/>
          <w:color w:val="auto"/>
          <w:kern w:val="2"/>
          <w:sz w:val="32"/>
          <w:szCs w:val="21"/>
          <w:highlight w:val="none"/>
          <w:lang w:val="en-US" w:eastAsia="zh-CN" w:bidi="ar-SA"/>
        </w:rPr>
      </w:pPr>
      <w:r>
        <w:rPr>
          <w:rFonts w:ascii="仿宋" w:eastAsia="仿宋" w:hAnsi="仿宋" w:cs="仿宋" w:hint="eastAsia"/>
          <w:bCs/>
          <w:iCs/>
          <w:color w:val="auto"/>
          <w:kern w:val="2"/>
          <w:sz w:val="32"/>
          <w:szCs w:val="21"/>
          <w:highlight w:val="none"/>
          <w:lang w:val="en-US" w:eastAsia="zh-CN" w:bidi="ar-SA"/>
        </w:rPr>
        <w:t xml:space="preserve">三、综合评价情况及评价结论</w:t>
      </w:r>
      <w:bookmarkEnd w:id="107"/>
      <w:bookmarkEnd w:id="108"/>
      <w:bookmarkEnd w:id="109"/>
      <w:bookmarkEnd w:id="110"/>
      <w:bookmarkEnd w:id="111"/>
      <w:bookmarkEnd w:id="112"/>
      <w:bookmarkEnd w:id="113"/>
      <w:bookmarkEnd w:id="11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0" w:type="auto"/>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0" w:type="auto"/>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0"/>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rPr>
            </w:pPr>
            <w:bookmarkStart w:id="115" w:name="_Toc30427"/>
            <w:bookmarkStart w:id="116" w:name="_Toc21506"/>
            <w:bookmarkStart w:id="117" w:name="_Toc18341"/>
            <w:bookmarkStart w:id="118" w:name="_Toc27743"/>
            <w:bookmarkStart w:id="119" w:name="_Toc18147"/>
            <w:bookmarkStart w:id="120" w:name="_Toc17356"/>
            <w:bookmarkStart w:id="121" w:name="_Toc30727"/>
            <w:r>
              <w:rPr>
                <w:rFonts w:ascii="仿宋" w:eastAsia="仿宋" w:hAnsi="仿宋" w:cs="仿宋" w:hint="eastAsia"/>
                <w:color w:val="auto"/>
                <w:highlight w:val="none"/>
                <w:lang w:eastAsia="zh-CN"/>
              </w:rPr>
              <w:t xml:space="preserve">2024年巴州尉犁县三北工程林草湿荒一体化保护修复项目</w:t>
            </w:r>
            <w:bookmarkEnd w:id="115"/>
            <w:bookmarkEnd w:id="116"/>
            <w:bookmarkEnd w:id="117"/>
            <w:bookmarkEnd w:id="118"/>
            <w:bookmarkEnd w:id="119"/>
          </w:p>
          <w:p>
            <w:pPr>
              <w:pStyle w:val="表格标题"/>
              <w:bidi w:val="0"/>
              <w:jc w:val="center"/>
              <w:rPr>
                <w:rFonts w:ascii="仿宋" w:eastAsia="仿宋" w:hAnsi="仿宋" w:cs="仿宋" w:hint="eastAsia"/>
                <w:color w:val="auto"/>
                <w:highlight w:val="none"/>
              </w:rPr>
            </w:pPr>
            <w:bookmarkStart w:id="122" w:name="_Toc3703"/>
            <w:bookmarkStart w:id="123" w:name="_Toc27329"/>
            <w:bookmarkStart w:id="124" w:name="_Toc12776"/>
            <w:bookmarkStart w:id="125" w:name="_Toc21265"/>
            <w:bookmarkStart w:id="126" w:name="_Toc16086"/>
            <w:bookmarkStart w:id="127" w:name="_Toc31008"/>
            <w:bookmarkStart w:id="128" w:name="_Toc13070"/>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122"/>
            <w:bookmarkEnd w:id="123"/>
            <w:bookmarkEnd w:id="124"/>
            <w:bookmarkEnd w:id="125"/>
            <w:bookmarkEnd w:id="126"/>
            <w:bookmarkEnd w:id="127"/>
            <w:bookmarkEnd w:id="128"/>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0" w:type="auto"/>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0" w:type="auto"/>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outlineLvl w:val="0"/>
        <w:rPr>
          <w:rFonts w:ascii="仿宋" w:eastAsia="仿宋" w:hAnsi="仿宋" w:cs="仿宋" w:hint="eastAsia"/>
          <w:color w:val="auto"/>
          <w:highlight w:val="none"/>
        </w:rPr>
      </w:pPr>
      <w:bookmarkStart w:id="129" w:name="_Toc22400"/>
      <w:bookmarkStart w:id="130" w:name="_Toc13630"/>
      <w:bookmarkStart w:id="131" w:name="_Toc3402"/>
      <w:bookmarkStart w:id="132" w:name="_Toc4904"/>
      <w:bookmarkStart w:id="133" w:name="_Toc29439"/>
      <w:bookmarkStart w:id="134" w:name="_Toc27147"/>
      <w:r>
        <w:rPr>
          <w:rFonts w:ascii="仿宋" w:eastAsia="仿宋" w:hAnsi="仿宋" w:cs="仿宋" w:hint="eastAsia"/>
          <w:color w:val="auto"/>
          <w:highlight w:val="none"/>
        </w:rPr>
        <w:t xml:space="preserve">四、绩效评价指标分析</w:t>
      </w:r>
      <w:bookmarkEnd w:id="120"/>
      <w:bookmarkEnd w:id="121"/>
      <w:bookmarkEnd w:id="129"/>
      <w:bookmarkEnd w:id="130"/>
      <w:bookmarkEnd w:id="131"/>
      <w:bookmarkEnd w:id="132"/>
      <w:bookmarkEnd w:id="133"/>
      <w:bookmarkEnd w:id="134"/>
    </w:p>
    <w:p>
      <w:pPr>
        <w:pStyle w:val="Heading3"/>
        <w:bidi w:val="0"/>
        <w:jc w:val="both"/>
        <w:outlineLvl w:val="1"/>
        <w:rPr>
          <w:rFonts w:ascii="仿宋" w:eastAsia="仿宋" w:hAnsi="仿宋" w:cs="仿宋" w:hint="eastAsia"/>
          <w:color w:val="auto"/>
          <w:highlight w:val="none"/>
        </w:rPr>
      </w:pPr>
      <w:bookmarkStart w:id="135" w:name="_Toc22323"/>
      <w:bookmarkStart w:id="136" w:name="_Toc28477"/>
      <w:bookmarkStart w:id="137" w:name="_Toc1968"/>
      <w:bookmarkStart w:id="138" w:name="_Toc27541"/>
      <w:bookmarkStart w:id="139" w:name="_Toc2901"/>
      <w:r>
        <w:rPr>
          <w:rFonts w:ascii="仿宋" w:eastAsia="仿宋" w:hAnsi="仿宋" w:cs="仿宋" w:hint="eastAsia"/>
          <w:color w:val="auto"/>
          <w:highlight w:val="none"/>
        </w:rPr>
        <w:t xml:space="preserve">（一）项目决策情况</w:t>
      </w:r>
      <w:bookmarkEnd w:id="135"/>
      <w:bookmarkEnd w:id="136"/>
      <w:bookmarkEnd w:id="137"/>
      <w:bookmarkEnd w:id="138"/>
      <w:bookmarkEnd w:id="139"/>
    </w:p>
    <w:p>
      <w:pPr>
        <w:bidi w:val="0"/>
        <w:rPr>
          <w:rFonts w:ascii="仿宋" w:eastAsia="仿宋" w:hAnsi="仿宋" w:cs="仿宋" w:hint="eastAsia"/>
          <w:b/>
          <w:bCs/>
          <w:color w:val="auto"/>
          <w:highlight w:val="none"/>
        </w:rPr>
      </w:pPr>
      <w:bookmarkStart w:id="140" w:name="_Toc510"/>
      <w:bookmarkStart w:id="141" w:name="_Toc22511"/>
      <w:r>
        <w:rPr>
          <w:rFonts w:ascii="仿宋" w:eastAsia="仿宋" w:hAnsi="仿宋" w:cs="仿宋" w:hint="eastAsia"/>
          <w:b/>
          <w:bCs/>
          <w:color w:val="auto"/>
          <w:highlight w:val="none"/>
        </w:rPr>
        <w:t xml:space="preserve">1.</w:t>
      </w:r>
      <w:bookmarkEnd w:id="140"/>
      <w:bookmarkEnd w:id="141"/>
      <w:r>
        <w:rPr>
          <w:rFonts w:ascii="仿宋" w:eastAsia="仿宋" w:hAnsi="仿宋" w:cs="仿宋" w:hint="eastAsia"/>
          <w:b/>
          <w:bCs/>
          <w:color w:val="auto"/>
          <w:highlight w:val="none"/>
        </w:rPr>
        <w:t xml:space="preserve">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关于印发“三北”工程补助资金管理办法的通知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财资环</w:t>
      </w: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中，资金使用范围内容</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142" w:name="_Toc27895"/>
      <w:bookmarkStart w:id="143" w:name="_Toc283"/>
      <w:r>
        <w:rPr>
          <w:rFonts w:ascii="仿宋" w:eastAsia="仿宋" w:hAnsi="仿宋" w:cs="仿宋" w:hint="eastAsia"/>
          <w:b/>
          <w:bCs/>
          <w:color w:val="auto"/>
          <w:highlight w:val="none"/>
        </w:rPr>
        <w:t xml:space="preserve">2.</w:t>
      </w:r>
      <w:bookmarkEnd w:id="142"/>
      <w:bookmarkEnd w:id="143"/>
      <w:r>
        <w:rPr>
          <w:rFonts w:ascii="仿宋" w:eastAsia="仿宋" w:hAnsi="仿宋" w:cs="仿宋" w:hint="eastAsia"/>
          <w:b/>
          <w:bCs/>
          <w:color w:val="auto"/>
          <w:highlight w:val="none"/>
        </w:rPr>
        <w:t xml:space="preserve">实施程序规范性</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本项目实施单位</w:t>
      </w:r>
      <w:r>
        <w:rPr>
          <w:rFonts w:ascii="仿宋" w:eastAsia="仿宋" w:hAnsi="仿宋" w:cs="仿宋" w:hint="eastAsia"/>
          <w:color w:val="auto"/>
          <w:highlight w:val="none"/>
          <w:lang w:val="en-US" w:eastAsia="zh-CN"/>
        </w:rPr>
        <w:t xml:space="preserve">尉犁县林业和草原局组织</w:t>
      </w:r>
      <w:r>
        <w:rPr>
          <w:rFonts w:ascii="仿宋" w:eastAsia="仿宋" w:hAnsi="仿宋" w:cs="仿宋" w:hint="eastAsia"/>
          <w:color w:val="auto"/>
          <w:highlight w:val="none"/>
        </w:rPr>
        <w:t xml:space="preserve">编制了</w:t>
      </w:r>
      <w:r>
        <w:rPr>
          <w:rFonts w:ascii="仿宋" w:eastAsia="仿宋" w:hAnsi="仿宋" w:cs="仿宋" w:hint="eastAsia"/>
          <w:color w:val="auto"/>
          <w:highlight w:val="none"/>
          <w:lang w:val="en-US" w:eastAsia="zh-CN"/>
        </w:rPr>
        <w:t xml:space="preserve">2024年巴州尉犁县三北工程林草湿荒一体化保护修复项目作业设计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月完成</w:t>
      </w:r>
      <w:r>
        <w:rPr>
          <w:rFonts w:ascii="仿宋" w:eastAsia="仿宋" w:hAnsi="仿宋" w:cs="仿宋" w:hint="eastAsia"/>
          <w:color w:val="auto"/>
          <w:highlight w:val="none"/>
          <w:lang w:eastAsia="zh-CN"/>
        </w:rPr>
        <w:t xml:space="preserve">作业设计</w:t>
      </w:r>
      <w:r>
        <w:rPr>
          <w:rFonts w:ascii="仿宋" w:eastAsia="仿宋" w:hAnsi="仿宋" w:cs="仿宋" w:hint="eastAsia"/>
          <w:color w:val="auto"/>
          <w:highlight w:val="none"/>
        </w:rPr>
        <w:t xml:space="preserve">编制。本项目实施资料</w:t>
      </w:r>
      <w:r>
        <w:rPr>
          <w:rFonts w:ascii="仿宋" w:eastAsia="仿宋" w:hAnsi="仿宋" w:cs="仿宋" w:hint="eastAsia"/>
          <w:color w:val="auto"/>
          <w:highlight w:val="none"/>
          <w:lang w:val="en-US" w:eastAsia="zh-CN"/>
        </w:rPr>
        <w:t xml:space="preserve">齐</w:t>
      </w:r>
      <w:r>
        <w:rPr>
          <w:rFonts w:ascii="仿宋" w:eastAsia="仿宋" w:hAnsi="仿宋" w:cs="仿宋" w:hint="eastAsia"/>
          <w:color w:val="auto"/>
          <w:highlight w:val="none"/>
        </w:rPr>
        <w:t xml:space="preserve">全，实施程序规范；审批文件、材料符合相关要求，事前已经过必要的集体决策，实施程序规范。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144" w:name="_Toc20471"/>
      <w:bookmarkStart w:id="145" w:name="_Toc13368"/>
      <w:r>
        <w:rPr>
          <w:rFonts w:ascii="仿宋" w:eastAsia="仿宋" w:hAnsi="仿宋" w:cs="仿宋" w:hint="eastAsia"/>
          <w:b/>
          <w:bCs/>
          <w:color w:val="auto"/>
          <w:highlight w:val="none"/>
        </w:rPr>
        <w:t xml:space="preserve">3.绩效目标合理性</w:t>
      </w:r>
      <w:bookmarkEnd w:id="144"/>
      <w:bookmarkEnd w:id="14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2024年巴州尉犁县三北工程林草湿荒一体化保护修复项目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46" w:name="_Toc15543"/>
      <w:bookmarkStart w:id="147" w:name="_Toc21087"/>
      <w:r>
        <w:rPr>
          <w:rFonts w:ascii="仿宋" w:eastAsia="仿宋" w:hAnsi="仿宋" w:cs="仿宋" w:hint="eastAsia"/>
          <w:b/>
          <w:bCs/>
          <w:color w:val="auto"/>
          <w:highlight w:val="none"/>
        </w:rPr>
        <w:t xml:space="preserve">4.绩效指标明确性</w:t>
      </w:r>
      <w:bookmarkEnd w:id="146"/>
      <w:bookmarkEnd w:id="14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2024年巴州尉犁县三北工程林草湿荒一体化保护修复项目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14</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条，绩效目标指标设定清晰、可衡量性较强，与项目目标任务计划数对应性较强。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48" w:name="_Toc25638"/>
      <w:bookmarkStart w:id="149" w:name="_Toc21476"/>
      <w:r>
        <w:rPr>
          <w:rFonts w:ascii="仿宋" w:eastAsia="仿宋" w:hAnsi="仿宋" w:cs="仿宋" w:hint="eastAsia"/>
          <w:b/>
          <w:bCs/>
          <w:color w:val="auto"/>
          <w:highlight w:val="none"/>
        </w:rPr>
        <w:t xml:space="preserve">5.预算编制科学性</w:t>
      </w:r>
      <w:bookmarkEnd w:id="148"/>
      <w:bookmarkEnd w:id="149"/>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中央财政</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1637.49万元</w:t>
      </w:r>
      <w:r>
        <w:rPr>
          <w:rFonts w:ascii="仿宋" w:eastAsia="仿宋" w:hAnsi="仿宋" w:cs="仿宋" w:hint="eastAsia"/>
          <w:color w:val="auto"/>
          <w:highlight w:val="none"/>
        </w:rPr>
        <w:t xml:space="preserve">，预算编制较为科学，预算内容与项目建设内容相匹配，预算额度测算依据充分，预算确定的资金量与工程量相匹配。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50" w:name="_Toc21577"/>
      <w:bookmarkStart w:id="151" w:name="_Toc30661"/>
      <w:r>
        <w:rPr>
          <w:rFonts w:ascii="仿宋" w:eastAsia="仿宋" w:hAnsi="仿宋" w:cs="仿宋" w:hint="eastAsia"/>
          <w:b/>
          <w:bCs/>
          <w:color w:val="auto"/>
          <w:highlight w:val="none"/>
        </w:rPr>
        <w:t xml:space="preserve">6.资金分配合理性</w:t>
      </w:r>
      <w:bookmarkEnd w:id="150"/>
      <w:bookmarkEnd w:id="15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outlineLvl w:val="1"/>
        <w:rPr>
          <w:rFonts w:ascii="仿宋" w:eastAsia="仿宋" w:hAnsi="仿宋" w:cs="仿宋" w:hint="eastAsia"/>
          <w:color w:val="auto"/>
          <w:highlight w:val="none"/>
        </w:rPr>
      </w:pPr>
      <w:bookmarkStart w:id="152" w:name="_Toc30992"/>
      <w:bookmarkStart w:id="153" w:name="_Toc13442"/>
      <w:bookmarkStart w:id="154" w:name="_Toc26753"/>
      <w:bookmarkStart w:id="155" w:name="_Toc9897"/>
      <w:bookmarkStart w:id="156" w:name="_Toc27855"/>
      <w:r>
        <w:rPr>
          <w:rFonts w:ascii="仿宋" w:eastAsia="仿宋" w:hAnsi="仿宋" w:cs="仿宋" w:hint="eastAsia"/>
          <w:color w:val="auto"/>
          <w:highlight w:val="none"/>
        </w:rPr>
        <w:t xml:space="preserve">（二）项目过程情况</w:t>
      </w:r>
      <w:bookmarkEnd w:id="152"/>
      <w:bookmarkEnd w:id="153"/>
      <w:bookmarkEnd w:id="154"/>
      <w:bookmarkEnd w:id="155"/>
      <w:bookmarkEnd w:id="156"/>
    </w:p>
    <w:p>
      <w:pPr>
        <w:bidi w:val="0"/>
        <w:rPr>
          <w:rFonts w:ascii="仿宋" w:eastAsia="仿宋" w:hAnsi="仿宋" w:cs="仿宋" w:hint="eastAsia"/>
          <w:b/>
          <w:bCs/>
          <w:color w:val="auto"/>
          <w:highlight w:val="none"/>
        </w:rPr>
      </w:pPr>
      <w:bookmarkStart w:id="157" w:name="_Toc19854"/>
      <w:bookmarkStart w:id="158" w:name="_Toc29417"/>
      <w:r>
        <w:rPr>
          <w:rFonts w:ascii="仿宋" w:eastAsia="仿宋" w:hAnsi="仿宋" w:cs="仿宋" w:hint="eastAsia"/>
          <w:b/>
          <w:bCs/>
          <w:color w:val="auto"/>
          <w:highlight w:val="none"/>
        </w:rPr>
        <w:t xml:space="preserve">1.资金到位率</w:t>
      </w:r>
      <w:bookmarkEnd w:id="157"/>
      <w:bookmarkEnd w:id="15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59" w:name="_Toc13724"/>
      <w:bookmarkStart w:id="160" w:name="_Toc29889"/>
      <w:r>
        <w:rPr>
          <w:rFonts w:ascii="仿宋" w:eastAsia="仿宋" w:hAnsi="仿宋" w:cs="仿宋" w:hint="eastAsia"/>
          <w:b/>
          <w:bCs/>
          <w:color w:val="auto"/>
          <w:highlight w:val="none"/>
        </w:rPr>
        <w:t xml:space="preserve">2.预算执行率</w:t>
      </w:r>
      <w:bookmarkEnd w:id="159"/>
      <w:bookmarkEnd w:id="160"/>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1637.49</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rPr>
          <w:rFonts w:ascii="仿宋" w:eastAsia="仿宋" w:hAnsi="仿宋" w:cs="仿宋" w:hint="eastAsia"/>
          <w:b/>
          <w:bCs/>
          <w:color w:val="auto"/>
          <w:highlight w:val="none"/>
        </w:rPr>
      </w:pPr>
      <w:bookmarkStart w:id="161" w:name="_Toc8316"/>
      <w:bookmarkStart w:id="162" w:name="_Toc2484"/>
      <w:r>
        <w:rPr>
          <w:rFonts w:ascii="仿宋" w:eastAsia="仿宋" w:hAnsi="仿宋" w:cs="仿宋" w:hint="eastAsia"/>
          <w:b/>
          <w:bCs/>
          <w:color w:val="auto"/>
          <w:highlight w:val="none"/>
        </w:rPr>
        <w:t xml:space="preserve">3.资金使用合规性</w:t>
      </w:r>
      <w:bookmarkEnd w:id="161"/>
      <w:bookmarkEnd w:id="16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《中华人民共和国预算法》《中华人民共和国会计法》《中华人民共和国招标投标法》等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b/>
          <w:bCs/>
          <w:color w:val="auto"/>
          <w:highlight w:val="none"/>
        </w:rPr>
      </w:pPr>
      <w:bookmarkStart w:id="163" w:name="_Toc15332"/>
      <w:bookmarkStart w:id="164" w:name="_Toc20651"/>
      <w:r>
        <w:rPr>
          <w:rFonts w:ascii="仿宋" w:eastAsia="仿宋" w:hAnsi="仿宋" w:cs="仿宋" w:hint="eastAsia"/>
          <w:b/>
          <w:bCs/>
          <w:color w:val="auto"/>
          <w:highlight w:val="none"/>
        </w:rPr>
        <w:t xml:space="preserve">4.管理制度健全性</w:t>
      </w:r>
      <w:bookmarkEnd w:id="163"/>
      <w:bookmarkEnd w:id="16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尉犁县林草局会制定了《尉犁县林业和草原局财务管理办法》和《尉犁县林业和草原局内控管理制度》</w:t>
      </w:r>
      <w:r>
        <w:rPr>
          <w:rFonts w:ascii="仿宋" w:eastAsia="仿宋" w:hAnsi="仿宋" w:cs="仿宋" w:hint="eastAsia"/>
          <w:color w:val="auto"/>
          <w:highlight w:val="none"/>
          <w:lang w:val="en-US" w:eastAsia="zh-CN"/>
        </w:rPr>
        <w:t xml:space="preserve">，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b/>
          <w:bCs/>
          <w:color w:val="auto"/>
          <w:highlight w:val="none"/>
        </w:rPr>
      </w:pPr>
      <w:bookmarkStart w:id="165" w:name="_Toc14853"/>
      <w:bookmarkStart w:id="166" w:name="_Toc14023"/>
      <w:r>
        <w:rPr>
          <w:rFonts w:ascii="仿宋" w:eastAsia="仿宋" w:hAnsi="仿宋" w:cs="仿宋" w:hint="eastAsia"/>
          <w:b/>
          <w:bCs/>
          <w:color w:val="auto"/>
          <w:highlight w:val="none"/>
        </w:rPr>
        <w:t xml:space="preserve">5.制度执行有效性</w:t>
      </w:r>
      <w:bookmarkEnd w:id="165"/>
      <w:bookmarkEnd w:id="166"/>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本项目在实施过程中严格遵守相关法律法规和相关管理规定，如《</w:t>
      </w:r>
      <w:bookmarkStart w:id="167" w:name="OLE_LINK14"/>
      <w:r>
        <w:rPr>
          <w:rFonts w:ascii="仿宋" w:eastAsia="仿宋" w:hAnsi="仿宋" w:cs="仿宋" w:hint="eastAsia"/>
          <w:color w:val="auto"/>
          <w:highlight w:val="none"/>
        </w:rPr>
        <w:t xml:space="preserve">中华人民共和国</w:t>
      </w:r>
      <w:bookmarkEnd w:id="167"/>
      <w:r>
        <w:rPr>
          <w:rFonts w:ascii="仿宋" w:eastAsia="仿宋" w:hAnsi="仿宋" w:cs="仿宋" w:hint="eastAsia"/>
          <w:color w:val="auto"/>
          <w:highlight w:val="none"/>
        </w:rPr>
        <w:t xml:space="preserve">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w:t>
      </w:r>
      <w:r>
        <w:rPr>
          <w:rFonts w:ascii="仿宋" w:eastAsia="仿宋" w:hAnsi="仿宋" w:cs="仿宋" w:hint="eastAsia"/>
          <w:color w:val="auto"/>
          <w:highlight w:val="none"/>
          <w:lang w:eastAsia="zh-CN"/>
        </w:rPr>
        <w:t xml:space="preserve">》《中华人民共和国政府采购法</w:t>
      </w:r>
      <w:r>
        <w:rPr>
          <w:rFonts w:ascii="仿宋" w:eastAsia="仿宋" w:hAnsi="仿宋" w:cs="仿宋" w:hint="eastAsia"/>
          <w:color w:val="auto"/>
          <w:highlight w:val="none"/>
        </w:rPr>
        <w:t xml:space="preserve">》等，严格执行基本建设程序，执行项目法人责任制、招标投标制、工程监理制和合同管理制，项目勘察、设计、施工、监理均符合国家和自治区有关</w:t>
      </w:r>
      <w:r>
        <w:rPr>
          <w:rFonts w:ascii="仿宋" w:eastAsia="仿宋" w:hAnsi="仿宋" w:cs="仿宋" w:hint="eastAsia"/>
          <w:color w:val="auto"/>
          <w:highlight w:val="none"/>
          <w:lang w:val="en-US" w:eastAsia="zh-CN"/>
        </w:rPr>
        <w:t xml:space="preserve">规定</w:t>
      </w:r>
      <w:r>
        <w:rPr>
          <w:rFonts w:ascii="仿宋" w:eastAsia="仿宋" w:hAnsi="仿宋" w:cs="仿宋" w:hint="eastAsia"/>
          <w:color w:val="auto"/>
          <w:highlight w:val="none"/>
        </w:rPr>
        <w:t xml:space="preserve">和施工规范。有关资料齐全，并及时整理归档。</w:t>
      </w:r>
      <w:r>
        <w:rPr>
          <w:rFonts w:ascii="仿宋" w:eastAsia="仿宋" w:hAnsi="仿宋" w:cs="仿宋" w:hint="eastAsia"/>
          <w:color w:val="auto"/>
          <w:highlight w:val="none"/>
          <w:lang w:val="en-US" w:eastAsia="zh-CN"/>
        </w:rPr>
        <w:t xml:space="preserve">本项目无项目调整及支出调整，制度执行有效性较高。</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168" w:name="_Toc12755"/>
      <w:bookmarkStart w:id="169" w:name="_Toc5161"/>
      <w:bookmarkStart w:id="170" w:name="_Toc22156"/>
      <w:bookmarkStart w:id="171" w:name="_Toc31545"/>
      <w:bookmarkStart w:id="172" w:name="_Toc6865"/>
      <w:r>
        <w:rPr>
          <w:rFonts w:ascii="仿宋" w:eastAsia="仿宋" w:hAnsi="仿宋" w:cs="仿宋" w:hint="eastAsia"/>
          <w:color w:val="auto"/>
          <w:highlight w:val="none"/>
        </w:rPr>
        <w:t xml:space="preserve">（三）项目产出情况</w:t>
      </w:r>
      <w:bookmarkEnd w:id="168"/>
      <w:bookmarkEnd w:id="169"/>
      <w:bookmarkEnd w:id="170"/>
      <w:bookmarkEnd w:id="171"/>
      <w:bookmarkEnd w:id="172"/>
    </w:p>
    <w:p>
      <w:pPr>
        <w:bidi w:val="0"/>
        <w:rPr>
          <w:rFonts w:ascii="仿宋" w:eastAsia="仿宋" w:hAnsi="仿宋" w:cs="仿宋" w:hint="eastAsia"/>
          <w:b/>
          <w:bCs/>
          <w:color w:val="auto"/>
          <w:highlight w:val="none"/>
        </w:rPr>
      </w:pPr>
      <w:bookmarkStart w:id="173" w:name="_Toc31041"/>
      <w:bookmarkStart w:id="174" w:name="_Toc4184"/>
      <w:r>
        <w:rPr>
          <w:rFonts w:ascii="仿宋" w:eastAsia="仿宋" w:hAnsi="仿宋" w:cs="仿宋" w:hint="eastAsia"/>
          <w:b/>
          <w:bCs/>
          <w:color w:val="auto"/>
          <w:highlight w:val="none"/>
        </w:rPr>
        <w:t xml:space="preserve">1.产出数量</w:t>
      </w:r>
      <w:bookmarkEnd w:id="173"/>
      <w:bookmarkEnd w:id="174"/>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指标1：退化天然林修复面积</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大于或等于</w:t>
      </w:r>
      <w:r>
        <w:rPr>
          <w:rFonts w:ascii="仿宋" w:eastAsia="仿宋" w:hAnsi="仿宋" w:cs="仿宋" w:hint="eastAsia"/>
          <w:color w:val="auto"/>
          <w:highlight w:val="none"/>
          <w:lang w:val="en-US" w:eastAsia="zh-CN"/>
        </w:rPr>
        <w:t xml:space="preserve">1.5万亩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1.5万亩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指标2：中幼林抚育面积</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大于或等于</w:t>
      </w:r>
      <w:r>
        <w:rPr>
          <w:rFonts w:ascii="仿宋" w:eastAsia="仿宋" w:hAnsi="仿宋" w:cs="仿宋" w:hint="eastAsia"/>
          <w:color w:val="auto"/>
          <w:highlight w:val="none"/>
          <w:lang w:val="en-US" w:eastAsia="zh-CN"/>
        </w:rPr>
        <w:t xml:space="preserve">3万亩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3万亩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指标3：草原改良面积</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大于或等于</w:t>
      </w:r>
      <w:r>
        <w:rPr>
          <w:rFonts w:ascii="仿宋" w:eastAsia="仿宋" w:hAnsi="仿宋" w:cs="仿宋" w:hint="eastAsia"/>
          <w:color w:val="auto"/>
          <w:highlight w:val="none"/>
          <w:lang w:val="en-US" w:eastAsia="zh-CN"/>
        </w:rPr>
        <w:t xml:space="preserve">0.5万亩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0.5万亩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rPr>
          <w:rFonts w:ascii="仿宋" w:eastAsia="仿宋" w:hAnsi="仿宋" w:cs="仿宋" w:hint="eastAsia"/>
          <w:b/>
          <w:bCs/>
          <w:color w:val="auto"/>
          <w:highlight w:val="none"/>
        </w:rPr>
      </w:pPr>
      <w:bookmarkStart w:id="175" w:name="_Toc7420"/>
      <w:bookmarkStart w:id="176" w:name="_Toc21607"/>
      <w:r>
        <w:rPr>
          <w:rFonts w:ascii="仿宋" w:eastAsia="仿宋" w:hAnsi="仿宋" w:cs="仿宋" w:hint="eastAsia"/>
          <w:b/>
          <w:bCs/>
          <w:color w:val="auto"/>
          <w:highlight w:val="none"/>
        </w:rPr>
        <w:t xml:space="preserve">2.产出质量</w:t>
      </w:r>
      <w:bookmarkEnd w:id="175"/>
      <w:bookmarkEnd w:id="176"/>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指标1：项目自查率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指标2：项目验收合格率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大于或等于</w:t>
      </w:r>
      <w:r>
        <w:rPr>
          <w:rFonts w:ascii="仿宋" w:eastAsia="仿宋" w:hAnsi="仿宋" w:cs="仿宋" w:hint="eastAsia"/>
          <w:color w:val="auto"/>
          <w:highlight w:val="none"/>
          <w:lang w:val="en-US" w:eastAsia="zh-CN"/>
        </w:rPr>
        <w:t xml:space="preserve">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111.11%。</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本项满分12分，评估得分12分。</w:t>
      </w:r>
    </w:p>
    <w:p>
      <w:pPr>
        <w:bidi w:val="0"/>
        <w:rPr>
          <w:rFonts w:ascii="仿宋" w:eastAsia="仿宋" w:hAnsi="仿宋" w:cs="仿宋" w:hint="eastAsia"/>
          <w:b/>
          <w:bCs/>
          <w:color w:val="auto"/>
          <w:highlight w:val="none"/>
        </w:rPr>
      </w:pPr>
      <w:bookmarkStart w:id="177" w:name="_Toc6277"/>
      <w:bookmarkStart w:id="178" w:name="_Toc5394"/>
      <w:r>
        <w:rPr>
          <w:rFonts w:ascii="仿宋" w:eastAsia="仿宋" w:hAnsi="仿宋" w:cs="仿宋" w:hint="eastAsia"/>
          <w:b/>
          <w:bCs/>
          <w:color w:val="auto"/>
          <w:highlight w:val="none"/>
        </w:rPr>
        <w:t xml:space="preserve">3.产出时效</w:t>
      </w:r>
      <w:bookmarkEnd w:id="177"/>
      <w:bookmarkEnd w:id="178"/>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指标1：项目开工时间</w:t>
      </w:r>
      <w:r>
        <w:rPr>
          <w:rFonts w:ascii="仿宋" w:eastAsia="仿宋" w:hAnsi="仿宋" w:cs="仿宋" w:hint="eastAsia"/>
          <w:color w:val="auto"/>
          <w:highlight w:val="none"/>
        </w:rPr>
        <w:t xml:space="preserve">，预期指标值</w:t>
      </w:r>
      <w:bookmarkStart w:id="179" w:name="OLE_LINK15"/>
      <w:r>
        <w:rPr>
          <w:rFonts w:ascii="仿宋" w:eastAsia="仿宋" w:hAnsi="仿宋" w:cs="仿宋" w:hint="eastAsia"/>
          <w:color w:val="auto"/>
          <w:highlight w:val="none"/>
          <w:lang w:val="en-US" w:eastAsia="zh-CN"/>
        </w:rPr>
        <w:t xml:space="preserve">等于</w:t>
      </w:r>
      <w:bookmarkEnd w:id="179"/>
      <w:r>
        <w:rPr>
          <w:rFonts w:ascii="仿宋" w:eastAsia="仿宋" w:hAnsi="仿宋" w:cs="仿宋" w:hint="eastAsia"/>
          <w:color w:val="auto"/>
          <w:highlight w:val="none"/>
          <w:lang w:val="en-US" w:eastAsia="zh-CN"/>
        </w:rPr>
        <w:t xml:space="preserve">9月</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9月</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指标2：项目完工时间</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等于12月</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12月</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b/>
          <w:bCs/>
          <w:color w:val="auto"/>
          <w:highlight w:val="none"/>
        </w:rPr>
      </w:pPr>
      <w:bookmarkStart w:id="180" w:name="_Toc28975"/>
      <w:bookmarkStart w:id="181" w:name="_Toc18558"/>
      <w:r>
        <w:rPr>
          <w:rFonts w:ascii="仿宋" w:eastAsia="仿宋" w:hAnsi="仿宋" w:cs="仿宋" w:hint="eastAsia"/>
          <w:b/>
          <w:bCs/>
          <w:color w:val="auto"/>
          <w:highlight w:val="none"/>
        </w:rPr>
        <w:t xml:space="preserve">4.产出成本</w:t>
      </w:r>
      <w:bookmarkEnd w:id="180"/>
      <w:bookmarkEnd w:id="181"/>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指标1：退化天然林修复成本</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color w:val="auto"/>
          <w:highlight w:val="none"/>
          <w:lang w:val="en-US" w:eastAsia="zh-CN"/>
        </w:rPr>
        <w:t xml:space="preserve">589.73元/亩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589.73元/亩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指标2：中幼林抚育成本</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color w:val="auto"/>
          <w:highlight w:val="none"/>
          <w:lang w:val="en-US" w:eastAsia="zh-CN"/>
        </w:rPr>
        <w:t xml:space="preserve">234.58元/亩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234.58元/亩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指标3：草原改良成本</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小于或等于</w:t>
      </w:r>
      <w:r>
        <w:rPr>
          <w:rFonts w:ascii="仿宋" w:eastAsia="仿宋" w:hAnsi="仿宋" w:cs="仿宋" w:hint="eastAsia"/>
          <w:color w:val="auto"/>
          <w:highlight w:val="none"/>
          <w:lang w:val="en-US" w:eastAsia="zh-CN"/>
        </w:rPr>
        <w:t xml:space="preserve">98.29元/亩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98.29元/亩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182" w:name="_Toc18194"/>
      <w:bookmarkStart w:id="183" w:name="_Toc14881"/>
      <w:bookmarkStart w:id="184" w:name="_Toc24492"/>
      <w:bookmarkStart w:id="185" w:name="_Toc1936"/>
      <w:bookmarkStart w:id="186" w:name="_Toc27548"/>
      <w:r>
        <w:rPr>
          <w:rFonts w:ascii="仿宋" w:eastAsia="仿宋" w:hAnsi="仿宋" w:cs="仿宋" w:hint="eastAsia"/>
          <w:color w:val="auto"/>
          <w:highlight w:val="none"/>
        </w:rPr>
        <w:t xml:space="preserve">（四）项目效益情况</w:t>
      </w:r>
      <w:bookmarkEnd w:id="182"/>
      <w:bookmarkEnd w:id="183"/>
      <w:bookmarkEnd w:id="184"/>
      <w:bookmarkEnd w:id="185"/>
      <w:bookmarkEnd w:id="186"/>
    </w:p>
    <w:p>
      <w:pPr>
        <w:bidi w:val="0"/>
        <w:rPr>
          <w:rFonts w:ascii="仿宋" w:eastAsia="仿宋" w:hAnsi="仿宋" w:cs="仿宋" w:hint="eastAsia"/>
          <w:b/>
          <w:bCs/>
          <w:color w:val="auto"/>
          <w:highlight w:val="none"/>
        </w:rPr>
      </w:pPr>
      <w:bookmarkStart w:id="187" w:name="_Toc8370"/>
      <w:bookmarkStart w:id="188" w:name="_Toc15599"/>
      <w:r>
        <w:rPr>
          <w:rFonts w:ascii="仿宋" w:eastAsia="仿宋" w:hAnsi="仿宋" w:cs="仿宋" w:hint="eastAsia"/>
          <w:b/>
          <w:bCs/>
          <w:color w:val="auto"/>
          <w:highlight w:val="none"/>
        </w:rPr>
        <w:t xml:space="preserve">1.实施效益</w:t>
      </w:r>
      <w:bookmarkEnd w:id="187"/>
      <w:bookmarkEnd w:id="18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本项目实施所产生的效益主要包括社会效益和生态效益。</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社会效益</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指标1：带动就业人数，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大于或等于</w:t>
      </w:r>
      <w:r>
        <w:rPr>
          <w:rFonts w:ascii="仿宋" w:eastAsia="仿宋" w:hAnsi="仿宋" w:cs="仿宋" w:hint="eastAsia"/>
          <w:color w:val="auto"/>
          <w:highlight w:val="none"/>
          <w:lang w:val="en-US" w:eastAsia="zh-CN"/>
        </w:rPr>
        <w:t xml:space="preserve">54人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54人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生态效益</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指标1：对区域生态系统功能改善的促进作用，</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改善明显，</w:t>
      </w:r>
      <w:r>
        <w:rPr>
          <w:rFonts w:ascii="仿宋" w:eastAsia="仿宋" w:hAnsi="仿宋" w:cs="仿宋" w:hint="eastAsia"/>
          <w:color w:val="auto"/>
          <w:highlight w:val="none"/>
          <w:lang w:val="en-US" w:eastAsia="zh-CN"/>
        </w:rPr>
        <w:t xml:space="preserve">实际完成值：达成目标</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指标2：对沙尘源的遏制作用，</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作用</w:t>
      </w:r>
      <w:r>
        <w:rPr>
          <w:rFonts w:ascii="仿宋" w:eastAsia="仿宋" w:hAnsi="仿宋" w:cs="仿宋" w:hint="eastAsia"/>
          <w:color w:val="auto"/>
          <w:highlight w:val="none"/>
        </w:rPr>
        <w:t xml:space="preserve">显著，实际完成值：达成目标，完成率：</w:t>
      </w:r>
      <w:r>
        <w:rPr>
          <w:rFonts w:ascii="仿宋" w:eastAsia="仿宋" w:hAnsi="仿宋" w:cs="仿宋" w:hint="eastAsia"/>
          <w:color w:val="auto"/>
          <w:highlight w:val="none"/>
          <w:lang w:val="en-US" w:eastAsia="zh-CN"/>
        </w:rPr>
        <w:t xml:space="preserve">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bookmarkStart w:id="189" w:name="_Toc31503"/>
      <w:bookmarkStart w:id="190" w:name="_Toc20772"/>
      <w:r>
        <w:rPr>
          <w:rFonts w:ascii="仿宋" w:eastAsia="仿宋" w:hAnsi="仿宋" w:cs="仿宋" w:hint="eastAsia"/>
          <w:color w:val="auto"/>
          <w:highlight w:val="none"/>
        </w:rPr>
        <w:t xml:space="preserve">2.满意度</w:t>
      </w:r>
      <w:bookmarkEnd w:id="189"/>
      <w:bookmarkEnd w:id="190"/>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项目区群众</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增强塔里木盆地北缘防风固沙效能，减少沙尘暴危害，保护绿洲农业与居民生存环境；修复退化生态系统，为野生动物提供栖息地，维护生物多样性</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191" w:name="_Toc15949"/>
      <w:bookmarkStart w:id="192" w:name="_Toc23114"/>
      <w:bookmarkStart w:id="193" w:name="_Toc17413"/>
      <w:bookmarkStart w:id="194" w:name="_Toc18160"/>
      <w:bookmarkStart w:id="195" w:name="_Toc3310"/>
      <w:bookmarkStart w:id="196" w:name="_Toc20473"/>
      <w:bookmarkStart w:id="197" w:name="_Toc23402"/>
      <w:bookmarkStart w:id="198" w:name="_Toc24261"/>
      <w:r>
        <w:rPr>
          <w:rFonts w:ascii="仿宋" w:eastAsia="仿宋" w:hAnsi="仿宋" w:cs="仿宋" w:hint="eastAsia"/>
          <w:color w:val="auto"/>
          <w:highlight w:val="none"/>
        </w:rPr>
        <w:t xml:space="preserve">五、主要经验及做法、存在的问题及原因分析</w:t>
      </w:r>
      <w:bookmarkEnd w:id="191"/>
      <w:bookmarkEnd w:id="192"/>
      <w:bookmarkEnd w:id="193"/>
      <w:bookmarkEnd w:id="194"/>
      <w:bookmarkEnd w:id="195"/>
      <w:bookmarkEnd w:id="196"/>
      <w:bookmarkEnd w:id="197"/>
      <w:bookmarkEnd w:id="198"/>
    </w:p>
    <w:p>
      <w:pPr>
        <w:pStyle w:val="Heading3"/>
        <w:bidi w:val="0"/>
        <w:jc w:val="both"/>
        <w:outlineLvl w:val="1"/>
        <w:rPr>
          <w:rFonts w:ascii="仿宋" w:eastAsia="仿宋" w:hAnsi="仿宋" w:cs="仿宋" w:hint="eastAsia"/>
          <w:color w:val="auto"/>
          <w:highlight w:val="none"/>
        </w:rPr>
      </w:pPr>
      <w:bookmarkStart w:id="199" w:name="_Toc6522"/>
      <w:bookmarkStart w:id="200" w:name="_Toc14362"/>
      <w:bookmarkStart w:id="201" w:name="_Toc6741"/>
      <w:bookmarkStart w:id="202" w:name="_Toc25113"/>
      <w:bookmarkStart w:id="203" w:name="_Toc10514"/>
      <w:r>
        <w:rPr>
          <w:rFonts w:ascii="仿宋" w:eastAsia="仿宋" w:hAnsi="仿宋" w:cs="仿宋" w:hint="eastAsia"/>
          <w:color w:val="auto"/>
          <w:highlight w:val="none"/>
        </w:rPr>
        <w:t xml:space="preserve">（一）主要经验及做法</w:t>
      </w:r>
      <w:bookmarkEnd w:id="199"/>
      <w:bookmarkEnd w:id="200"/>
      <w:bookmarkEnd w:id="201"/>
      <w:bookmarkEnd w:id="202"/>
      <w:bookmarkEnd w:id="20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2024年巴州尉犁县三北工程林草湿荒一体化保护修复项目</w:t>
      </w:r>
      <w:r>
        <w:rPr>
          <w:rFonts w:ascii="仿宋" w:eastAsia="仿宋" w:hAnsi="仿宋" w:cs="仿宋" w:hint="eastAsia"/>
          <w:color w:val="auto"/>
          <w:highlight w:val="none"/>
        </w:rPr>
        <w:t xml:space="preserve">在</w:t>
      </w:r>
      <w:r>
        <w:rPr>
          <w:rFonts w:ascii="仿宋" w:eastAsia="仿宋" w:hAnsi="仿宋" w:cs="仿宋" w:hint="eastAsia"/>
          <w:color w:val="auto"/>
          <w:highlight w:val="none"/>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w:t>
      </w:r>
      <w:r>
        <w:rPr>
          <w:rFonts w:ascii="仿宋" w:eastAsia="仿宋" w:hAnsi="仿宋" w:cs="仿宋" w:hint="eastAsia"/>
          <w:color w:val="auto"/>
          <w:highlight w:val="none"/>
          <w:lang w:val="en-US" w:eastAsia="zh-CN"/>
        </w:rPr>
        <w:t xml:space="preserve">实施中</w:t>
      </w:r>
      <w:r>
        <w:rPr>
          <w:rFonts w:ascii="仿宋" w:eastAsia="仿宋" w:hAnsi="仿宋" w:cs="仿宋" w:hint="eastAsia"/>
          <w:color w:val="auto"/>
          <w:highlight w:val="none"/>
        </w:rPr>
        <w:t xml:space="preserve">深度融合传统经验与现代技术，形成可推广的干旱区生态修复技术体系。在退化林修复中，利用夏季汛期洪峰，通过土渠系统将洪水引入林区，结合沙质土壤渗蓄特性，使胡杨林根系层土壤含水率提高。草原生态补水中，研发“草方格+土渠”滞水技术，延长径流停留时间，促进牧草种子萌发。</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尉犁县立足荒漠绿洲过渡带生态脆弱性，统筹“林、草、湿、荒”四类空间，构建“分区施策、系统修复”的治理模式。针对中幼林抚育，依据林分密度和树种特性制定差异化方案：对过密林区实施精准修枝，改善通风透光条件；对林下可燃物堆积区采用“机械清理+人工清运”方式，降低火灾风险。在退化林修复中，结合地形和水源条件，引导洪水资源向林区渗透；补播选用耐旱乡土树种，提高幼苗成活率。</w:t>
      </w:r>
    </w:p>
    <w:p>
      <w:pPr>
        <w:pStyle w:val="Heading3"/>
        <w:bidi w:val="0"/>
        <w:jc w:val="both"/>
        <w:outlineLvl w:val="1"/>
        <w:rPr>
          <w:rFonts w:ascii="仿宋" w:eastAsia="仿宋" w:hAnsi="仿宋" w:cs="仿宋" w:hint="eastAsia"/>
          <w:color w:val="auto"/>
          <w:highlight w:val="none"/>
        </w:rPr>
      </w:pPr>
      <w:bookmarkStart w:id="204" w:name="_Toc11238"/>
      <w:bookmarkStart w:id="205" w:name="_Toc27408"/>
      <w:bookmarkStart w:id="206" w:name="_Toc4673"/>
      <w:bookmarkStart w:id="207" w:name="_Toc776"/>
      <w:bookmarkStart w:id="208" w:name="_Toc6359"/>
      <w:r>
        <w:rPr>
          <w:rFonts w:ascii="仿宋" w:eastAsia="仿宋" w:hAnsi="仿宋" w:cs="仿宋" w:hint="eastAsia"/>
          <w:color w:val="auto"/>
          <w:highlight w:val="none"/>
        </w:rPr>
        <w:t xml:space="preserve">（二）存在的问题及分析</w:t>
      </w:r>
      <w:bookmarkEnd w:id="204"/>
      <w:bookmarkEnd w:id="205"/>
      <w:bookmarkEnd w:id="206"/>
      <w:bookmarkEnd w:id="207"/>
      <w:bookmarkEnd w:id="208"/>
    </w:p>
    <w:p>
      <w:pPr>
        <w:bidi w:val="0"/>
        <w:rPr>
          <w:rFonts w:ascii="仿宋" w:eastAsia="仿宋" w:hAnsi="仿宋" w:cs="仿宋" w:hint="eastAsia"/>
          <w:color w:val="auto"/>
          <w:highlight w:val="none"/>
        </w:rPr>
      </w:pPr>
      <w:bookmarkStart w:id="209" w:name="_Toc20590"/>
      <w:bookmarkStart w:id="210" w:name="_Toc3632"/>
      <w:bookmarkStart w:id="211" w:name="_Toc27585"/>
      <w:bookmarkStart w:id="212" w:name="_Toc13345"/>
      <w:bookmarkStart w:id="213" w:name="_Toc22271"/>
      <w:bookmarkStart w:id="214" w:name="_Toc13270"/>
      <w:bookmarkStart w:id="215" w:name="_Toc5702"/>
      <w:bookmarkStart w:id="216" w:name="_Toc20116"/>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项目在实施过程中，部分技术手段可能存在科学依据不足或与本地生态条件适配性差的问题。例如，中幼林修枝的强度与频次若未基于树种生物学特性（如胡杨耐修剪阈值）精准设计，可能导致林木生长势减弱或病虫害易发；退化林补播的乡土树种选择若缺乏遗传多样性评估，可能因种源单一导致林分抗逆性下降。草原生态补水中，土渠开挖深度和布局若未结合地下水位、土壤渗透率等参数优化，可能造成水资源浪费或局部盐渍化。此类问题根源在于前期技术方案论证不充分、本地化数据支撑薄弱，可能导致生态修复效果偏离预期目标，甚至加剧系统脆弱性。</w:t>
      </w:r>
      <w:bookmarkEnd w:id="209"/>
      <w:bookmarkEnd w:id="210"/>
      <w:bookmarkEnd w:id="211"/>
      <w:r>
        <w:rPr>
          <w:rFonts w:ascii="仿宋" w:eastAsia="仿宋" w:hAnsi="仿宋" w:cs="仿宋" w:hint="eastAsia"/>
          <w:color w:val="auto"/>
          <w:highlight w:val="none"/>
        </w:rPr>
        <w:t xml:space="preserve">  </w:t>
      </w:r>
    </w:p>
    <w:p>
      <w:pPr>
        <w:bidi w:val="0"/>
        <w:rPr>
          <w:rFonts w:ascii="仿宋" w:eastAsia="仿宋" w:hAnsi="仿宋" w:cs="仿宋" w:hint="eastAsia"/>
          <w:color w:val="auto"/>
          <w:highlight w:val="none"/>
        </w:rPr>
      </w:pPr>
      <w:bookmarkStart w:id="217" w:name="_Toc15372"/>
      <w:bookmarkStart w:id="218" w:name="_Toc32035"/>
      <w:bookmarkStart w:id="219" w:name="_Toc9998"/>
      <w:r>
        <w:rPr>
          <w:rFonts w:ascii="仿宋" w:eastAsia="仿宋" w:hAnsi="仿宋" w:cs="仿宋" w:hint="eastAsia"/>
          <w:color w:val="auto"/>
          <w:highlight w:val="none"/>
        </w:rPr>
        <w:t xml:space="preserve">2.工程实施与长效管护衔接不畅</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绩效可能受“重建设、轻管护”倾向影响，短期工程实施与长期可持续管理之间存在脱节。例如，土渠开挖后若未建立定期清淤和维护机制，3-5年内可能因泥沙淤积丧失导水功能，导致补播幼苗因缺水死亡；人工补播的林木若缺乏连续3年以上的抚育管护（如除草、围栏防护），可能被牲畜啃食或杂草竞争抑制生长。草原鼠害防治若仅采取一次性灭杀措施，未同步控制放牧强度、恢复天敌栖息地，鼠群数量可能在2-3年后反弹。此类问题将直接导致项目投资效益周期缩短，生态功能提升不可持续。</w:t>
      </w:r>
      <w:bookmarkEnd w:id="217"/>
      <w:bookmarkEnd w:id="218"/>
      <w:bookmarkEnd w:id="219"/>
    </w:p>
    <w:p>
      <w:pPr>
        <w:pStyle w:val="Heading2"/>
        <w:bidi w:val="0"/>
        <w:jc w:val="both"/>
        <w:outlineLvl w:val="0"/>
        <w:rPr>
          <w:rFonts w:ascii="仿宋" w:eastAsia="仿宋" w:hAnsi="仿宋" w:cs="仿宋" w:hint="eastAsia"/>
          <w:color w:val="auto"/>
          <w:highlight w:val="none"/>
        </w:rPr>
      </w:pPr>
      <w:bookmarkStart w:id="220" w:name="_Toc19548"/>
      <w:bookmarkStart w:id="221" w:name="_Toc14578"/>
      <w:bookmarkStart w:id="222" w:name="_Toc27289"/>
      <w:r>
        <w:rPr>
          <w:rFonts w:ascii="仿宋" w:eastAsia="仿宋" w:hAnsi="仿宋" w:cs="仿宋" w:hint="eastAsia"/>
          <w:color w:val="auto"/>
          <w:highlight w:val="none"/>
        </w:rPr>
        <w:t xml:space="preserve">六、有关建议</w:t>
      </w:r>
      <w:bookmarkEnd w:id="212"/>
      <w:bookmarkEnd w:id="213"/>
      <w:bookmarkEnd w:id="214"/>
      <w:bookmarkEnd w:id="215"/>
      <w:bookmarkEnd w:id="216"/>
      <w:bookmarkEnd w:id="220"/>
      <w:bookmarkEnd w:id="221"/>
      <w:bookmarkEnd w:id="222"/>
    </w:p>
    <w:p>
      <w:pPr>
        <w:bidi w:val="0"/>
        <w:jc w:val="both"/>
        <w:rPr>
          <w:rFonts w:ascii="仿宋" w:eastAsia="仿宋" w:hAnsi="仿宋" w:cs="仿宋" w:hint="eastAsia"/>
          <w:color w:val="auto"/>
          <w:highlight w:val="none"/>
        </w:rPr>
      </w:pPr>
      <w:bookmarkStart w:id="223" w:name="OLE_LINK20"/>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选择典型退化区域设立对照试验区，对比不同技术组合（如“土渠+滴灌”与“草方格+洪灌”）的生态效益，筛选最优方案后再全域推广，降低技术风险。</w:t>
      </w:r>
    </w:p>
    <w:p>
      <w:pPr>
        <w:pStyle w:val="_Style1"/>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2.加强与相关</w:t>
      </w:r>
      <w:r>
        <w:rPr>
          <w:rFonts w:ascii="仿宋" w:eastAsia="仿宋" w:hAnsi="仿宋" w:cs="仿宋" w:hint="eastAsia"/>
          <w:color w:val="auto"/>
          <w:highlight w:val="none"/>
        </w:rPr>
        <w:t xml:space="preserve">科研机构</w:t>
      </w:r>
      <w:r>
        <w:rPr>
          <w:rFonts w:ascii="仿宋" w:eastAsia="仿宋" w:hAnsi="仿宋" w:cs="仿宋" w:hint="eastAsia"/>
          <w:color w:val="auto"/>
          <w:highlight w:val="none"/>
          <w:lang w:val="en-US" w:eastAsia="zh-CN"/>
        </w:rPr>
        <w:t xml:space="preserve">交流沟通</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在项目实施前</w:t>
      </w:r>
      <w:r>
        <w:rPr>
          <w:rFonts w:ascii="仿宋" w:eastAsia="仿宋" w:hAnsi="仿宋" w:cs="仿宋" w:hint="eastAsia"/>
          <w:color w:val="auto"/>
          <w:highlight w:val="none"/>
        </w:rPr>
        <w:t xml:space="preserve">对</w:t>
      </w:r>
      <w:r>
        <w:rPr>
          <w:rFonts w:ascii="仿宋" w:eastAsia="仿宋" w:hAnsi="仿宋" w:cs="仿宋" w:hint="eastAsia"/>
          <w:color w:val="auto"/>
          <w:highlight w:val="none"/>
          <w:lang w:val="en-US" w:eastAsia="zh-CN"/>
        </w:rPr>
        <w:t xml:space="preserve">区域森林抚育中</w:t>
      </w:r>
      <w:r>
        <w:rPr>
          <w:rFonts w:ascii="仿宋" w:eastAsia="仿宋" w:hAnsi="仿宋" w:cs="仿宋" w:hint="eastAsia"/>
          <w:color w:val="auto"/>
          <w:highlight w:val="none"/>
        </w:rPr>
        <w:t xml:space="preserve">修枝强度、补播树种配比、土渠布局等关键技术参数进行</w:t>
      </w:r>
      <w:r>
        <w:rPr>
          <w:rFonts w:ascii="仿宋" w:eastAsia="仿宋" w:hAnsi="仿宋" w:cs="仿宋" w:hint="eastAsia"/>
          <w:color w:val="auto"/>
          <w:highlight w:val="none"/>
          <w:lang w:val="en-US" w:eastAsia="zh-CN"/>
        </w:rPr>
        <w:t xml:space="preserve">了解</w:t>
      </w:r>
      <w:r>
        <w:rPr>
          <w:rFonts w:ascii="仿宋" w:eastAsia="仿宋" w:hAnsi="仿宋" w:cs="仿宋" w:hint="eastAsia"/>
          <w:color w:val="auto"/>
          <w:highlight w:val="none"/>
        </w:rPr>
        <w:t xml:space="preserve">，明确胡杨修枝冠幅保留阈值、土渠开挖深度与间距等量化标准。</w:t>
      </w:r>
    </w:p>
    <w:p>
      <w:pPr>
        <w:pStyle w:val="_Style1"/>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3.将修复区管护纳入今后项目预算，按标准每年申请管护经费；推行“林长+生态管护员”双责任制，划定管护网格，将土渠清淤频次、补植苗木成活率等纳入考核指标。</w:t>
      </w:r>
      <w:bookmarkEnd w:id="223"/>
    </w:p>
    <w:p>
      <w:pPr>
        <w:pStyle w:val="Heading2"/>
        <w:bidi w:val="0"/>
        <w:jc w:val="both"/>
        <w:outlineLvl w:val="0"/>
        <w:rPr>
          <w:rFonts w:ascii="仿宋" w:eastAsia="仿宋" w:hAnsi="仿宋" w:cs="仿宋" w:hint="eastAsia"/>
          <w:bCs/>
          <w:iCs/>
          <w:color w:val="auto"/>
          <w:highlight w:val="none"/>
        </w:rPr>
      </w:pPr>
      <w:bookmarkStart w:id="224" w:name="_Toc15901"/>
      <w:bookmarkStart w:id="225" w:name="_Toc4484"/>
      <w:bookmarkStart w:id="226" w:name="_Toc12100"/>
      <w:bookmarkStart w:id="227" w:name="_Toc22823"/>
      <w:bookmarkStart w:id="228" w:name="_Toc24871"/>
      <w:bookmarkStart w:id="229" w:name="_Toc21621"/>
      <w:bookmarkStart w:id="230" w:name="_Toc12573"/>
      <w:bookmarkStart w:id="231" w:name="_Toc5794"/>
      <w:r>
        <w:rPr>
          <w:rFonts w:ascii="仿宋" w:eastAsia="仿宋" w:hAnsi="仿宋" w:cs="仿宋" w:hint="eastAsia"/>
          <w:bCs/>
          <w:iCs/>
          <w:color w:val="auto"/>
          <w:highlight w:val="none"/>
        </w:rPr>
        <w:t xml:space="preserve">七、其他需要说明的问题</w:t>
      </w:r>
      <w:bookmarkEnd w:id="224"/>
      <w:bookmarkEnd w:id="225"/>
      <w:bookmarkEnd w:id="226"/>
      <w:bookmarkEnd w:id="227"/>
      <w:bookmarkEnd w:id="228"/>
      <w:bookmarkEnd w:id="229"/>
      <w:bookmarkEnd w:id="230"/>
      <w:bookmarkEnd w:id="231"/>
    </w:p>
    <w:p>
      <w:pPr>
        <w:bidi w:val="0"/>
        <w:jc w:val="both"/>
        <w:rPr>
          <w:rFonts w:ascii="仿宋" w:eastAsia="仿宋" w:hAnsi="仿宋" w:cs="仿宋" w:hint="eastAsia"/>
          <w:color w:val="auto"/>
          <w:highlight w:val="none"/>
        </w:rPr>
      </w:pPr>
      <w:bookmarkStart w:id="232" w:name="_Toc4210"/>
      <w:bookmarkStart w:id="233" w:name="_Toc22401"/>
      <w:bookmarkStart w:id="234" w:name="_Toc12781"/>
      <w:bookmarkStart w:id="235" w:name="_Toc30245"/>
      <w:bookmarkStart w:id="236" w:name="_Toc29383"/>
      <w:bookmarkStart w:id="237" w:name="_Toc28493"/>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jc w:val="both"/>
        <w:outlineLvl w:val="0"/>
        <w:rPr>
          <w:rFonts w:ascii="仿宋" w:eastAsia="仿宋" w:hAnsi="仿宋" w:cs="仿宋" w:hint="eastAsia"/>
          <w:bCs/>
          <w:iCs/>
          <w:color w:val="auto"/>
          <w:highlight w:val="none"/>
        </w:rPr>
      </w:pPr>
      <w:r>
        <w:rPr>
          <w:rFonts w:ascii="仿宋" w:eastAsia="仿宋" w:hAnsi="仿宋" w:cs="仿宋" w:hint="eastAsia"/>
          <w:bCs/>
          <w:iCs/>
          <w:color w:val="auto"/>
          <w:highlight w:val="none"/>
        </w:rPr>
        <w:t xml:space="preserve">八、附件</w:t>
      </w:r>
      <w:bookmarkEnd w:id="232"/>
      <w:bookmarkEnd w:id="233"/>
      <w:bookmarkEnd w:id="234"/>
      <w:bookmarkEnd w:id="235"/>
      <w:bookmarkEnd w:id="236"/>
      <w:bookmarkEnd w:id="23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ind w:left="0" w:firstLine="0" w:leftChars="0" w:firstLineChars="0"/>
        <w:jc w:val="both"/>
        <w:rPr>
          <w:rFonts w:ascii="仿宋" w:eastAsia="仿宋" w:hAnsi="仿宋" w:cs="仿宋" w:hint="eastAsia"/>
          <w:color w:val="auto"/>
          <w:highlight w:val="none"/>
        </w:rPr>
      </w:pPr>
    </w:p>
    <w:p>
      <w:pPr>
        <w:ind w:left="0" w:firstLine="0" w:leftChars="0" w:firstLineChars="0"/>
        <w:jc w:val="both"/>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p>
    <w:p>
      <w:pPr>
        <w:ind w:left="0" w:firstLine="0" w:leftChars="0" w:firstLineChars="0"/>
        <w:jc w:val="both"/>
        <w:rPr>
          <w:rFonts w:ascii="仿宋" w:eastAsia="仿宋" w:hAnsi="仿宋" w:cs="仿宋" w:hint="eastAsia"/>
          <w:color w:val="auto"/>
          <w:highlight w:val="none"/>
        </w:rPr>
      </w:pPr>
    </w:p>
    <w:p>
      <w:pPr>
        <w:bidi w:val="0"/>
        <w:rPr>
          <w:rFonts w:ascii="仿宋" w:eastAsia="仿宋" w:hAnsi="仿宋" w:cs="仿宋" w:hint="eastAsia"/>
          <w:b w:val="0"/>
          <w:bCs w:val="0"/>
          <w:color w:val="auto"/>
          <w:highlight w:val="none"/>
        </w:rPr>
      </w:pPr>
      <w:bookmarkStart w:id="238" w:name="_Toc15698"/>
      <w:bookmarkStart w:id="239" w:name="_Toc28598"/>
      <w:bookmarkStart w:id="240" w:name="_Toc14353"/>
      <w:bookmarkStart w:id="241" w:name="_Toc19074"/>
      <w:bookmarkStart w:id="242" w:name="_Toc25421"/>
      <w:r>
        <w:rPr>
          <w:rFonts w:ascii="仿宋" w:eastAsia="仿宋" w:hAnsi="仿宋" w:cs="仿宋" w:hint="eastAsia"/>
          <w:b w:val="0"/>
          <w:bCs w:val="0"/>
          <w:color w:val="auto"/>
          <w:highlight w:val="none"/>
        </w:rPr>
        <w:t xml:space="preserve">附件1：</w:t>
      </w:r>
      <w:bookmarkEnd w:id="238"/>
      <w:bookmarkEnd w:id="239"/>
      <w:r>
        <w:rPr>
          <w:rFonts w:ascii="仿宋" w:eastAsia="仿宋" w:hAnsi="仿宋" w:cs="仿宋" w:hint="eastAsia"/>
          <w:b w:val="0"/>
          <w:bCs w:val="0"/>
          <w:color w:val="auto"/>
          <w:highlight w:val="none"/>
        </w:rPr>
        <w:t xml:space="preserve">项目支出绩效自评表</w:t>
      </w:r>
      <w:bookmarkEnd w:id="240"/>
      <w:bookmarkEnd w:id="241"/>
      <w:bookmarkEnd w:id="242"/>
    </w:p>
    <w:p>
      <w:pPr>
        <w:ind w:left="0" w:firstLine="0" w:leftChars="0" w:firstLineChars="0"/>
        <w:jc w:val="cente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项目支出绩效自评表</w:t>
      </w:r>
    </w:p>
    <w:tbl>
      <w:tblPr>
        <w:tblStyle w:val="NormalTabl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firstRow="0" w:lastRow="0" w:firstColumn="0" w:lastColumn="0" w:noHBand="1" w:noVBand="1"/>
      </w:tblPr>
      <w:tblGrid>
        <w:gridCol w:w="981"/>
        <w:gridCol w:w="987"/>
        <w:gridCol w:w="705"/>
        <w:gridCol w:w="999"/>
        <w:gridCol w:w="1195"/>
        <w:gridCol w:w="985"/>
        <w:gridCol w:w="901"/>
        <w:gridCol w:w="985"/>
        <w:gridCol w:w="996"/>
        <w:gridCol w:w="985"/>
        <w:gridCol w:w="669"/>
        <w:gridCol w:w="1164"/>
        <w:gridCol w:w="1169"/>
        <w:gridCol w:w="126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90"/>
        </w:trPr>
        <w:tc>
          <w:tcPr>
            <w:tcW w:w="13988" w:type="dxa"/>
            <w:gridSpan w:val="1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b/>
                <w:i w:val="0"/>
                <w:color w:val="auto"/>
                <w:sz w:val="15"/>
                <w:szCs w:val="15"/>
                <w:highlight w:val="none"/>
                <w:u w:val="none"/>
              </w:rPr>
            </w:pPr>
            <w:bookmarkStart w:id="243" w:name="_Toc5134"/>
            <w:bookmarkStart w:id="244" w:name="_Toc28099"/>
            <w:bookmarkStart w:id="245" w:name="_Toc1641"/>
            <w:bookmarkStart w:id="246" w:name="_Toc22143"/>
            <w:r>
              <w:rPr>
                <w:rFonts w:ascii="仿宋" w:eastAsia="仿宋" w:hAnsi="仿宋" w:cs="仿宋" w:hint="eastAsia"/>
                <w:b/>
                <w:i w:val="0"/>
                <w:color w:val="auto"/>
                <w:kern w:val="0"/>
                <w:sz w:val="15"/>
                <w:szCs w:val="15"/>
                <w:highlight w:val="none"/>
                <w:u w:val="none"/>
                <w:lang w:val="en-US" w:eastAsia="zh-CN"/>
              </w:rPr>
              <w:t xml:space="preserve">(2024年度)</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70"/>
        </w:trPr>
        <w:tc>
          <w:tcPr>
            <w:tcW w:w="19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项目名称</w:t>
            </w:r>
          </w:p>
        </w:tc>
        <w:tc>
          <w:tcPr>
            <w:tcW w:w="12020" w:type="dxa"/>
            <w:gridSpan w:val="1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2024年巴州尉犁县三北工程林草湿荒一体化保护修复项目</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13"/>
        </w:trPr>
        <w:tc>
          <w:tcPr>
            <w:tcW w:w="1968"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主管部门</w:t>
            </w:r>
          </w:p>
        </w:tc>
        <w:tc>
          <w:tcPr>
            <w:tcW w:w="4785"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尉犁县林业和草原局</w:t>
            </w:r>
          </w:p>
        </w:tc>
        <w:tc>
          <w:tcPr>
            <w:tcW w:w="1981"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实施单位</w:t>
            </w:r>
          </w:p>
        </w:tc>
        <w:tc>
          <w:tcPr>
            <w:tcW w:w="5254"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尉犁县林业和草原局</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trPr>
        <w:tc>
          <w:tcPr>
            <w:tcW w:w="1968" w:type="dxa"/>
            <w:gridSpan w:val="2"/>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项目资金</w:t>
            </w:r>
            <w:r>
              <w:rPr>
                <w:rFonts w:ascii="仿宋" w:eastAsia="仿宋" w:hAnsi="仿宋" w:cs="仿宋" w:hint="eastAsia"/>
                <w:i w:val="0"/>
                <w:color w:val="auto"/>
                <w:kern w:val="0"/>
                <w:sz w:val="15"/>
                <w:szCs w:val="15"/>
                <w:highlight w:val="none"/>
                <w:u w:val="none"/>
                <w:lang w:val="en-US" w:eastAsia="zh-CN"/>
              </w:rPr>
              <w:br/>
            </w:r>
            <w:r>
              <w:rPr>
                <w:rFonts w:ascii="仿宋" w:eastAsia="仿宋" w:hAnsi="仿宋" w:cs="仿宋" w:hint="eastAsia"/>
                <w:i w:val="0"/>
                <w:color w:val="auto"/>
                <w:kern w:val="0"/>
                <w:sz w:val="15"/>
                <w:szCs w:val="15"/>
                <w:highlight w:val="none"/>
                <w:u w:val="none"/>
                <w:lang w:val="en-US" w:eastAsia="zh-CN"/>
              </w:rPr>
              <w:t xml:space="preserve">（万元）</w:t>
            </w:r>
          </w:p>
        </w:tc>
        <w:tc>
          <w:tcPr>
            <w:tcW w:w="170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资金来源</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年初预算数</w:t>
            </w:r>
          </w:p>
        </w:tc>
        <w:tc>
          <w:tcPr>
            <w:tcW w:w="188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全年预算数</w:t>
            </w:r>
          </w:p>
        </w:tc>
        <w:tc>
          <w:tcPr>
            <w:tcW w:w="1981"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全年执行数</w:t>
            </w:r>
          </w:p>
        </w:tc>
        <w:tc>
          <w:tcPr>
            <w:tcW w:w="165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分值权重</w:t>
            </w:r>
          </w:p>
        </w:tc>
        <w:tc>
          <w:tcPr>
            <w:tcW w:w="233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执行率</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得分</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trPr>
        <w:tc>
          <w:tcPr>
            <w:tcW w:w="1968"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170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年度资金总额</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88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981"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65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w:t>
            </w:r>
          </w:p>
        </w:tc>
        <w:tc>
          <w:tcPr>
            <w:tcW w:w="233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100.00%</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10.00分</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trPr>
        <w:tc>
          <w:tcPr>
            <w:tcW w:w="1968"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170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其中：当年财政拨款</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88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981"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1637.49</w:t>
            </w:r>
          </w:p>
        </w:tc>
        <w:tc>
          <w:tcPr>
            <w:tcW w:w="165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233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40"/>
        </w:trPr>
        <w:tc>
          <w:tcPr>
            <w:tcW w:w="1968" w:type="dxa"/>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170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其他资金</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0</w:t>
            </w:r>
          </w:p>
        </w:tc>
        <w:tc>
          <w:tcPr>
            <w:tcW w:w="1886"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0</w:t>
            </w:r>
          </w:p>
        </w:tc>
        <w:tc>
          <w:tcPr>
            <w:tcW w:w="1981"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lang w:val="en-US" w:eastAsia="zh-CN"/>
              </w:rPr>
            </w:pPr>
            <w:r>
              <w:rPr>
                <w:rFonts w:ascii="仿宋" w:eastAsia="仿宋" w:hAnsi="仿宋" w:cs="仿宋" w:hint="eastAsia"/>
                <w:i w:val="0"/>
                <w:color w:val="auto"/>
                <w:sz w:val="15"/>
                <w:szCs w:val="15"/>
                <w:highlight w:val="none"/>
                <w:u w:val="none"/>
                <w:lang w:val="en-US" w:eastAsia="zh-CN"/>
              </w:rPr>
              <w:t xml:space="preserve">0</w:t>
            </w:r>
          </w:p>
        </w:tc>
        <w:tc>
          <w:tcPr>
            <w:tcW w:w="1654"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2333" w:type="dxa"/>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77"/>
        </w:trPr>
        <w:tc>
          <w:tcPr>
            <w:tcW w:w="981"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年度总体目标</w:t>
            </w:r>
          </w:p>
        </w:tc>
        <w:tc>
          <w:tcPr>
            <w:tcW w:w="7753" w:type="dxa"/>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总体目标</w:t>
            </w:r>
          </w:p>
        </w:tc>
        <w:tc>
          <w:tcPr>
            <w:tcW w:w="5254"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总体目标完成情况</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753" w:type="dxa"/>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开展林草湿荒一体化保护修复2.3万亩，其中退化林修复1.5万亩，中幼林抚育3万亩，草原改良0.5万亩，项目自查率100%，项目验收合格率不低于90%，对沙尘源的扼制作用显著，对区域生态系统功能改善的促进作用明显，生态系统功能可持续影响明显，带动就业人数54人及以上，项目区群众满意度90%及以上。</w:t>
            </w:r>
          </w:p>
        </w:tc>
        <w:tc>
          <w:tcPr>
            <w:tcW w:w="5254" w:type="dxa"/>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完成林草湿荒一体化保护修复2.3万亩，其中退化林修复1.5万亩，中幼林抚育3万亩，草原改良0.5万亩，符合要求的补助全额发放，带动了54人的就业。对沙尘源的扼制作用显著，对区域生态系统功能改善的促进作用明显，生态系统功能可持续影响明显。</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43"/>
        </w:trPr>
        <w:tc>
          <w:tcPr>
            <w:tcW w:w="98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一级指标</w:t>
            </w: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二级指标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三级指标</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指标值</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指标值设置依据</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上年完成值</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指标分值权重</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指标赋分规则</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佐证资料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指标实际完成值</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完成率</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指标得分</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偏差原因分析及改进措施</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938"/>
        </w:trPr>
        <w:tc>
          <w:tcPr>
            <w:tcW w:w="981"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年度绩效指标完成情况</w:t>
            </w:r>
          </w:p>
        </w:tc>
        <w:tc>
          <w:tcPr>
            <w:tcW w:w="987"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产出指标</w:t>
            </w: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数量指标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退化天然林修复面积</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&gt;=1.50万亩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bookmarkStart w:id="247" w:name="OLE_LINK16"/>
            <w:r>
              <w:rPr>
                <w:rFonts w:ascii="仿宋" w:eastAsia="仿宋" w:hAnsi="仿宋" w:cs="仿宋" w:hint="eastAsia"/>
                <w:i w:val="0"/>
                <w:color w:val="auto"/>
                <w:kern w:val="0"/>
                <w:sz w:val="15"/>
                <w:szCs w:val="15"/>
                <w:highlight w:val="none"/>
                <w:u w:val="none"/>
                <w:lang w:val="en-US" w:eastAsia="zh-CN"/>
              </w:rPr>
              <w:t xml:space="preserve">按照完成比例赋分</w:t>
            </w:r>
            <w:bookmarkEnd w:id="247"/>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=1.5万亩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数量指标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中幼林抚育面积</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&gt;=3万亩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=3万亩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数量指标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草原改良面积</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&gt;=0.50万亩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=0.5万亩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质量指标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项目自查率</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质量指标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项目验收合格率</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&gt;=90%</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111.11%</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5.33</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目标值设置不准确，后期将加强目标值设置科学性</w:t>
            </w: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时效指标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项目开工时间</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=9月</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=9月</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时效指标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项目完工时间</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=12月</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=12月</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成本指标</w:t>
            </w: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经济成本指标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退化天然林修复成本</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&lt;=589.73元/亩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原始凭证</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=589.73元/亩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经济成本指标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中幼林抚育成本</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&lt;=234.58元/亩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原始凭证</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=234.58元/亩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经济成本指标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草原改良成本</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&lt;=98.29元/亩</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原始凭证</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=98.29元/亩</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社会效益指标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带动就业人数</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&gt;=54人</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按照完成比例赋分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=54人</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生态效益指标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对区域生态系统功能改善的促进作用</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改善明显</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按评判等级赋分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达成目标</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7</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生态效益指标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对沙尘源的遏制作用</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显著</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按评判等级赋分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达成目标</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6</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00"/>
        </w:trPr>
        <w:tc>
          <w:tcPr>
            <w:tcW w:w="981" w:type="dxa"/>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满意度指标</w:t>
            </w:r>
          </w:p>
        </w:tc>
        <w:tc>
          <w:tcPr>
            <w:tcW w:w="70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满意度指标</w:t>
            </w:r>
          </w:p>
        </w:tc>
        <w:tc>
          <w:tcPr>
            <w:tcW w:w="99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项目区群众满意度</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&gt;=90%</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计划标准</w:t>
            </w: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w:t>
            </w: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满意度赋分</w:t>
            </w: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工作资料</w:t>
            </w: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=90%</w:t>
            </w: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100%</w:t>
            </w: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10</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500"/>
        </w:trPr>
        <w:tc>
          <w:tcPr>
            <w:tcW w:w="3672" w:type="dxa"/>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firstLine="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总分</w:t>
            </w:r>
          </w:p>
        </w:tc>
        <w:tc>
          <w:tcPr>
            <w:tcW w:w="119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b/>
                <w:i w:val="0"/>
                <w:color w:val="auto"/>
                <w:sz w:val="15"/>
                <w:szCs w:val="15"/>
                <w:highlight w:val="none"/>
                <w:u w:val="none"/>
              </w:rPr>
            </w:pPr>
          </w:p>
        </w:tc>
        <w:tc>
          <w:tcPr>
            <w:tcW w:w="901"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96"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985"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6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1164"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c>
          <w:tcPr>
            <w:tcW w:w="1169"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ind w:left="0" w:firstLine="0" w:leftChars="0" w:firstLineChars="0"/>
              <w:jc w:val="center"/>
              <w:textAlignment w:val="center"/>
              <w:rPr>
                <w:rFonts w:ascii="仿宋" w:eastAsia="仿宋" w:hAnsi="仿宋" w:cs="仿宋" w:hint="eastAsia"/>
                <w:i w:val="0"/>
                <w:color w:val="auto"/>
                <w:sz w:val="15"/>
                <w:szCs w:val="15"/>
                <w:highlight w:val="none"/>
                <w:u w:val="none"/>
              </w:rPr>
            </w:pPr>
            <w:r>
              <w:rPr>
                <w:rFonts w:ascii="仿宋" w:eastAsia="仿宋" w:hAnsi="仿宋" w:cs="仿宋" w:hint="eastAsia"/>
                <w:i w:val="0"/>
                <w:color w:val="auto"/>
                <w:kern w:val="0"/>
                <w:sz w:val="15"/>
                <w:szCs w:val="15"/>
                <w:highlight w:val="none"/>
                <w:u w:val="none"/>
                <w:lang w:val="en-US" w:eastAsia="zh-CN"/>
              </w:rPr>
              <w:t xml:space="preserve">99.33分</w:t>
            </w:r>
          </w:p>
        </w:tc>
        <w:tc>
          <w:tcPr>
            <w:tcW w:w="1267" w:type="dxa"/>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ind w:firstLine="0" w:firstLineChars="0"/>
              <w:jc w:val="center"/>
              <w:rPr>
                <w:rFonts w:ascii="仿宋" w:eastAsia="仿宋" w:hAnsi="仿宋" w:cs="仿宋" w:hint="eastAsia"/>
                <w:i w:val="0"/>
                <w:color w:val="auto"/>
                <w:sz w:val="15"/>
                <w:szCs w:val="15"/>
                <w:highlight w:val="none"/>
                <w:u w:val="none"/>
              </w:rPr>
            </w:pPr>
          </w:p>
        </w:tc>
      </w:tr>
    </w:tbl>
    <w:p>
      <w:pPr>
        <w:pStyle w:val="Heading3"/>
        <w:ind w:left="0" w:firstLine="0" w:leftChars="0" w:firstLineChars="0"/>
        <w:jc w:val="both"/>
        <w:outlineLvl w:val="9"/>
        <w:rPr>
          <w:rFonts w:ascii="仿宋" w:eastAsia="仿宋" w:hAnsi="仿宋" w:cs="仿宋" w:hint="eastAsia"/>
          <w:color w:val="auto"/>
          <w:highlight w:val="none"/>
        </w:rPr>
        <w:sectPr>
          <w:pgSz w:w="16838" w:h="11906" w:orient="landscape"/>
          <w:pgMar w:top="1800" w:right="1440" w:bottom="1800" w:left="1440" w:header="851" w:footer="992" w:gutter="0"/>
          <w:pgBorders>
            <w:top w:val="none" w:sz="0" w:space="0" w:color="auto"/>
            <w:left w:val="none" w:sz="0" w:space="0" w:color="auto"/>
            <w:bottom w:val="none" w:sz="0" w:space="0" w:color="auto"/>
            <w:right w:val="none" w:sz="0" w:space="0" w:color="auto"/>
          </w:pgBorders>
          <w:pgNumType w:fmt="decimal"/>
          <w:cols w:num="1" w:space="720">
            <w:col w:w="13958" w:space="720"/>
          </w:cols>
          <w:docGrid w:type="lines" w:linePitch="312" w:charSpace="0"/>
        </w:sectPr>
      </w:pPr>
    </w:p>
    <w:p>
      <w:pPr>
        <w:bidi w:val="0"/>
        <w:rPr>
          <w:rFonts w:ascii="仿宋" w:eastAsia="仿宋" w:hAnsi="仿宋" w:cs="仿宋" w:hint="eastAsia"/>
          <w:color w:val="auto"/>
          <w:highlight w:val="none"/>
        </w:rPr>
      </w:pPr>
      <w:bookmarkStart w:id="248" w:name="_Toc24466"/>
      <w:bookmarkStart w:id="249" w:name="_Toc29757"/>
      <w:bookmarkStart w:id="250" w:name="_Toc26138"/>
      <w:bookmarkStart w:id="251" w:name="_Toc27333"/>
      <w:bookmarkStart w:id="252" w:name="_Toc31300"/>
      <w:r>
        <w:rPr>
          <w:rFonts w:ascii="仿宋" w:eastAsia="仿宋" w:hAnsi="仿宋" w:cs="仿宋" w:hint="eastAsia"/>
          <w:color w:val="auto"/>
          <w:highlight w:val="none"/>
        </w:rPr>
        <w:t xml:space="preserve">附件2：</w:t>
      </w:r>
      <w:bookmarkEnd w:id="243"/>
      <w:bookmarkEnd w:id="244"/>
      <w:bookmarkEnd w:id="245"/>
      <w:bookmarkEnd w:id="246"/>
      <w:bookmarkEnd w:id="248"/>
      <w:bookmarkEnd w:id="249"/>
      <w:bookmarkEnd w:id="250"/>
      <w:bookmarkEnd w:id="251"/>
      <w:bookmarkEnd w:id="252"/>
      <w:r>
        <w:rPr>
          <w:rFonts w:ascii="仿宋" w:eastAsia="仿宋" w:hAnsi="仿宋" w:cs="仿宋" w:hint="eastAsia"/>
          <w:color w:val="auto"/>
          <w:highlight w:val="none"/>
        </w:rPr>
        <w:t xml:space="preserve">项目支出绩效评价指标体系及评分</w:t>
      </w:r>
    </w:p>
    <w:p>
      <w:pPr>
        <w:bidi w:val="0"/>
        <w:jc w:val="center"/>
        <w:rPr>
          <w:rFonts w:ascii="仿宋" w:eastAsia="仿宋" w:hAnsi="仿宋" w:cs="仿宋" w:hint="eastAsia"/>
          <w:b/>
          <w:bCs/>
          <w:color w:val="auto"/>
          <w:highlight w:val="none"/>
        </w:rPr>
      </w:pPr>
      <w:bookmarkStart w:id="253" w:name="_Toc1445"/>
      <w:bookmarkStart w:id="254" w:name="_Toc25335"/>
      <w:bookmarkStart w:id="255" w:name="_Toc29561"/>
      <w:bookmarkStart w:id="256" w:name="_Toc28172"/>
      <w:bookmarkStart w:id="257" w:name="_Toc11009"/>
      <w:bookmarkStart w:id="258" w:name="_Toc24906"/>
      <w:bookmarkStart w:id="259" w:name="OLE_LINK18"/>
      <w:r>
        <w:rPr>
          <w:rFonts w:ascii="仿宋" w:eastAsia="仿宋" w:hAnsi="仿宋" w:cs="仿宋" w:hint="eastAsia"/>
          <w:b/>
          <w:bCs/>
          <w:color w:val="auto"/>
          <w:highlight w:val="none"/>
        </w:rPr>
        <w:t xml:space="preserve">项目支出绩效评价指标体系及评分</w:t>
      </w:r>
      <w:bookmarkEnd w:id="253"/>
      <w:bookmarkEnd w:id="254"/>
      <w:bookmarkEnd w:id="255"/>
      <w:bookmarkEnd w:id="256"/>
      <w:bookmarkEnd w:id="257"/>
      <w:bookmarkEnd w:id="258"/>
      <w:bookmarkEnd w:id="259"/>
    </w:p>
    <w:tbl>
      <w:tblPr>
        <w:tblStyle w:val="NormalTable"/>
        <w:tblpPr w:leftFromText="180" w:rightFromText="180" w:vertAnchor="text" w:horzAnchor="page" w:tblpX="1599" w:tblpY="18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79"/>
        <w:gridCol w:w="764"/>
        <w:gridCol w:w="910"/>
        <w:gridCol w:w="1673"/>
        <w:gridCol w:w="3402"/>
        <w:gridCol w:w="532"/>
        <w:gridCol w:w="53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shd w:val="clear" w:color="auto" w:fill="FFFFFF"/>
            <w:noWrap w:val="0"/>
            <w:vAlign w:val="center"/>
          </w:tcPr>
          <w:p>
            <w:pPr>
              <w:pStyle w:val="表格内容"/>
              <w:bidi w:val="0"/>
              <w:rPr>
                <w:rFonts w:ascii="仿宋" w:eastAsia="仿宋" w:hAnsi="仿宋" w:cs="仿宋" w:hint="eastAsia"/>
                <w:color w:val="auto"/>
                <w:highlight w:val="none"/>
              </w:rPr>
            </w:pPr>
            <w:bookmarkStart w:id="260" w:name="OLE_LINK13"/>
            <w:r>
              <w:rPr>
                <w:rFonts w:ascii="仿宋" w:eastAsia="仿宋" w:hAnsi="仿宋" w:cs="仿宋" w:hint="eastAsia"/>
                <w:color w:val="auto"/>
                <w:highlight w:val="none"/>
              </w:rPr>
              <w:t xml:space="preserve">一级指标</w:t>
            </w:r>
          </w:p>
        </w:tc>
        <w:tc>
          <w:tcPr>
            <w:tcW w:w="764"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167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53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53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532" w:type="dxa"/>
            <w:vMerge w:val="restart"/>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532"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2"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532"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532" w:type="dxa"/>
            <w:vMerge w:val="restart"/>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8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910"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1673"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532"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532" w:type="dxa"/>
            <w:vMerge w:val="restart"/>
            <w:noWrap w:val="0"/>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673"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532" w:type="dxa"/>
            <w:vMerge/>
            <w:noWrap w:val="0"/>
            <w:vAlign w:val="center"/>
          </w:tcPr>
          <w:p>
            <w:pPr>
              <w:pStyle w:val="表格内容"/>
              <w:bidi w:val="0"/>
              <w:rPr>
                <w:rFonts w:ascii="仿宋" w:eastAsia="仿宋" w:hAnsi="仿宋" w:cs="仿宋" w:hint="eastAsia"/>
                <w:color w:val="auto"/>
                <w:highlight w:val="none"/>
              </w:rPr>
            </w:pPr>
          </w:p>
        </w:tc>
        <w:tc>
          <w:tcPr>
            <w:tcW w:w="532" w:type="dxa"/>
            <w:vMerge/>
            <w:noWrap w:val="0"/>
            <w:vAlign w:val="center"/>
          </w:tcPr>
          <w:p>
            <w:pPr>
              <w:pStyle w:val="表格内容"/>
              <w:bidi w:val="0"/>
              <w:rPr>
                <w:rFonts w:ascii="仿宋" w:eastAsia="仿宋" w:hAnsi="仿宋" w:cs="仿宋" w:hint="eastAsia"/>
                <w:color w:val="auto"/>
                <w:highlight w:val="none"/>
              </w:rPr>
            </w:pP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7"/>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910"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1673"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3402" w:type="dxa"/>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532" w:type="dxa"/>
            <w:noWrap w:val="0"/>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532" w:type="dxa"/>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trPr>
        <w:tc>
          <w:tcPr>
            <w:tcW w:w="779"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764" w:type="dxa"/>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167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60"/>
        </w:trPr>
        <w:tc>
          <w:tcPr>
            <w:tcW w:w="779"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764" w:type="dxa"/>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10"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1673"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3402" w:type="dxa"/>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trPr>
        <w:tc>
          <w:tcPr>
            <w:tcW w:w="7528" w:type="dxa"/>
            <w:gridSpan w:val="5"/>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532" w:type="dxa"/>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bookmarkEnd w:id="0"/>
            <w:bookmarkEnd w:id="26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embedRegular r:id="rId1" w:fontKey="{06D03146-B370-466D-ABE8-89669A5F4E9E}"/>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2" w:fontKey="{4C4F36BA-65DB-439F-9F27-285EA54DE46E}"/>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left="0" w:firstLine="0" w:leftChars="0" w:firstLineChars="0"/>
      <w:rPr>
        <w:rFonts w:eastAsia="仿宋_GB2312" w:hint="eastAsia"/>
        <w:lang w:val="en-US" w:eastAsia="zh-CN"/>
      </w:rPr>
    </w:pPr>
    <w:r>
      <w:pict>
        <v:shapetype id="_x0000_t202" coordsize="21600,21600" o:spt="202" path="m,l,21600r21600,l21600,xe">
          <v:stroke joinstyle="miter"/>
          <v:path gradientshapeok="t" o:connecttype="rect"/>
        </v:shapetype>
        <v:shape id="_x0000_s2064"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2</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link w:val="目录1Char"/>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目录1Char">
    <w:name w:val="目录 1 Char"/>
    <w:link w:val="TOC1"/>
    <w:uiPriority w:val="39"/>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_Style1">
    <w:name w:val="_Style 1"/>
    <w:basedOn w:val="Normal"/>
    <w:qFormat/>
    <w:pPr>
      <w:ind w:firstLine="420" w:firstLineChars="200"/>
    </w:pPr>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39C359A8D6854717B8633319C56708CC_13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4"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5</TotalTime>
  <Pages>28</Pages>
  <Words>12189</Words>
  <Characters>13005</Characters>
  <Application>WPS Office_12.1.0.15120_F1E327BC-269C-435d-A152-05C5408002CA</Application>
  <DocSecurity>0</DocSecurity>
  <Lines>110</Lines>
  <Paragraphs>31</Paragraphs>
  <Company>Microsoft</Company>
  <CharactersWithSpaces>13031</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2025-09-02T03:34:32Z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39C359A8D6854717B8633319C56708CC_13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