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仿宋" w:eastAsia="仿宋" w:hAnsi="仿宋" w:cs="仿宋" w:hint="eastAsia"/>
          <w:color w:val="auto"/>
          <w:highlight w:val="none"/>
        </w:rPr>
      </w:pPr>
      <w:bookmarkStart w:id="0" w:name="OLE_LINK18"/>
      <w:bookmarkStart w:id="1" w:name="_GoBack"/>
      <w:bookmarkEnd w:id="1"/>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ind w:firstLine="1760" w:firstLineChars="400"/>
        <w:jc w:val="both"/>
        <w:rPr>
          <w:rFonts w:ascii="仿宋" w:eastAsia="仿宋" w:hAnsi="仿宋" w:cs="仿宋" w:hint="eastAsia"/>
          <w:b/>
          <w:bCs/>
          <w:color w:val="auto"/>
          <w:sz w:val="44"/>
          <w:szCs w:val="44"/>
          <w:highlight w:val="none"/>
        </w:rPr>
      </w:pPr>
      <w:bookmarkStart w:id="2" w:name="_Toc24054"/>
      <w:bookmarkStart w:id="3" w:name="_Toc11146"/>
      <w:bookmarkStart w:id="4" w:name="_Toc28201"/>
      <w:bookmarkStart w:id="5" w:name="_Toc15469"/>
      <w:bookmarkStart w:id="6" w:name="_Toc1728"/>
      <w:bookmarkStart w:id="7" w:name="_Toc20626"/>
      <w:bookmarkStart w:id="8" w:name="_Toc23549"/>
      <w:bookmarkStart w:id="9" w:name="_Toc13605"/>
      <w:bookmarkStart w:id="10" w:name="_Toc18166"/>
      <w:r>
        <w:rPr>
          <w:rFonts w:ascii="仿宋" w:eastAsia="仿宋" w:hAnsi="仿宋" w:cs="仿宋" w:hint="eastAsia"/>
          <w:b/>
          <w:bCs/>
          <w:color w:val="auto"/>
          <w:sz w:val="44"/>
          <w:szCs w:val="44"/>
          <w:highlight w:val="none"/>
        </w:rPr>
        <w:t xml:space="preserve">项目支出绩效评价报告</w:t>
      </w:r>
      <w:bookmarkEnd w:id="2"/>
      <w:bookmarkEnd w:id="3"/>
      <w:bookmarkEnd w:id="4"/>
      <w:bookmarkEnd w:id="5"/>
      <w:bookmarkEnd w:id="6"/>
      <w:bookmarkEnd w:id="7"/>
      <w:bookmarkEnd w:id="8"/>
      <w:bookmarkEnd w:id="9"/>
      <w:bookmarkEnd w:id="10"/>
    </w:p>
    <w:p>
      <w:pPr>
        <w:ind w:firstLine="883"/>
        <w:jc w:val="both"/>
        <w:rPr>
          <w:rFonts w:ascii="仿宋" w:eastAsia="仿宋" w:hAnsi="仿宋" w:cs="仿宋" w:hint="eastAsia"/>
          <w:b/>
          <w:bCs/>
          <w:color w:val="auto"/>
          <w:sz w:val="44"/>
          <w:szCs w:val="44"/>
          <w:highlight w:val="none"/>
        </w:rPr>
      </w:pPr>
    </w:p>
    <w:p>
      <w:pPr>
        <w:bidi w:val="0"/>
        <w:jc w:val="both"/>
        <w:rPr>
          <w:rFonts w:ascii="仿宋" w:eastAsia="仿宋" w:hAnsi="仿宋" w:cs="仿宋" w:hint="eastAsia"/>
          <w:color w:val="auto"/>
          <w:highlight w:val="none"/>
        </w:rPr>
      </w:pPr>
    </w:p>
    <w:p>
      <w:pPr>
        <w:bidi w:val="0"/>
        <w:ind w:left="0" w:firstLine="0" w:leftChars="0" w:firstLineChars="0"/>
        <w:jc w:val="center"/>
        <w:rPr>
          <w:rFonts w:ascii="仿宋" w:eastAsia="仿宋" w:hAnsi="仿宋" w:cs="仿宋" w:hint="eastAsia"/>
          <w:color w:val="auto"/>
          <w:highlight w:val="none"/>
        </w:rPr>
      </w:pPr>
      <w:r>
        <w:rPr>
          <w:rFonts w:ascii="仿宋" w:eastAsia="仿宋" w:hAnsi="仿宋" w:cs="仿宋" w:hint="eastAsia"/>
          <w:color w:val="auto"/>
          <w:sz w:val="28"/>
          <w:szCs w:val="28"/>
          <w:highlight w:val="none"/>
        </w:rPr>
        <w:t xml:space="preserve">（202</w:t>
      </w:r>
      <w:r>
        <w:rPr>
          <w:rFonts w:ascii="仿宋" w:eastAsia="仿宋" w:hAnsi="仿宋" w:cs="仿宋" w:hint="eastAsia"/>
          <w:color w:val="auto"/>
          <w:sz w:val="28"/>
          <w:szCs w:val="28"/>
          <w:highlight w:val="none"/>
          <w:lang w:val="en-US" w:eastAsia="zh-CN"/>
        </w:rPr>
        <w:t xml:space="preserve">4</w:t>
      </w:r>
      <w:r>
        <w:rPr>
          <w:rFonts w:ascii="仿宋" w:eastAsia="仿宋" w:hAnsi="仿宋" w:cs="仿宋" w:hint="eastAsia"/>
          <w:color w:val="auto"/>
          <w:sz w:val="28"/>
          <w:szCs w:val="28"/>
          <w:highlight w:val="none"/>
        </w:rPr>
        <w:t xml:space="preserve">年度）</w:t>
      </w:r>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jc w:val="both"/>
        <w:rPr>
          <w:rFonts w:ascii="仿宋" w:eastAsia="仿宋" w:hAnsi="仿宋" w:cs="仿宋" w:hint="eastAsia"/>
          <w:b/>
          <w:bCs/>
          <w:color w:val="auto"/>
          <w:highlight w:val="none"/>
        </w:rPr>
      </w:pP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项目名称：</w:t>
      </w:r>
      <w:r>
        <w:rPr>
          <w:rFonts w:ascii="仿宋" w:eastAsia="仿宋" w:hAnsi="仿宋" w:cs="仿宋" w:hint="eastAsia"/>
          <w:b w:val="0"/>
          <w:bCs w:val="0"/>
          <w:color w:val="auto"/>
          <w:highlight w:val="none"/>
          <w:lang w:val="en-US" w:eastAsia="zh-CN"/>
        </w:rPr>
        <w:t xml:space="preserve">2024年中央“三北”工程补助资金</w:t>
      </w:r>
    </w:p>
    <w:p>
      <w:pPr>
        <w:bidi w:val="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实施单位（公章）：</w:t>
      </w:r>
      <w:r>
        <w:rPr>
          <w:rFonts w:ascii="仿宋" w:eastAsia="仿宋" w:hAnsi="仿宋" w:cs="仿宋" w:hint="eastAsia"/>
          <w:b w:val="0"/>
          <w:bCs w:val="0"/>
          <w:color w:val="auto"/>
          <w:highlight w:val="none"/>
          <w:lang w:eastAsia="zh-CN"/>
        </w:rPr>
        <w:t xml:space="preserve">尉犁县林业和草原局</w:t>
      </w: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主管部门（公章）：</w:t>
      </w:r>
      <w:r>
        <w:rPr>
          <w:rFonts w:ascii="仿宋" w:eastAsia="仿宋" w:hAnsi="仿宋" w:cs="仿宋" w:hint="eastAsia"/>
          <w:b w:val="0"/>
          <w:bCs w:val="0"/>
          <w:color w:val="auto"/>
          <w:highlight w:val="none"/>
          <w:lang w:eastAsia="zh-CN"/>
        </w:rPr>
        <w:t xml:space="preserve">尉犁县林业和草原局</w:t>
      </w:r>
    </w:p>
    <w:p>
      <w:pPr>
        <w:bidi w:val="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项目负责人（签章）：</w:t>
      </w:r>
      <w:r>
        <w:rPr>
          <w:rFonts w:ascii="仿宋" w:eastAsia="仿宋" w:hAnsi="仿宋" w:cs="仿宋" w:hint="eastAsia"/>
          <w:b w:val="0"/>
          <w:bCs w:val="0"/>
          <w:color w:val="auto"/>
          <w:highlight w:val="none"/>
          <w:lang w:val="en-US" w:eastAsia="zh-CN"/>
        </w:rPr>
        <w:t xml:space="preserve">艾海提·肉孜</w:t>
      </w: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填报时间：</w:t>
      </w:r>
      <w:r>
        <w:rPr>
          <w:rFonts w:ascii="仿宋" w:eastAsia="仿宋" w:hAnsi="仿宋" w:cs="仿宋" w:hint="eastAsia"/>
          <w:b w:val="0"/>
          <w:bCs w:val="0"/>
          <w:color w:val="auto"/>
          <w:highlight w:val="none"/>
          <w:lang w:val="en-US" w:eastAsia="zh-CN"/>
        </w:rPr>
        <w:t xml:space="preserve">2025</w:t>
      </w:r>
      <w:r>
        <w:rPr>
          <w:rFonts w:ascii="仿宋" w:eastAsia="仿宋" w:hAnsi="仿宋" w:cs="仿宋" w:hint="eastAsia"/>
          <w:b w:val="0"/>
          <w:bCs w:val="0"/>
          <w:color w:val="auto"/>
          <w:highlight w:val="none"/>
        </w:rPr>
        <w:t xml:space="preserve">年</w:t>
      </w:r>
      <w:r>
        <w:rPr>
          <w:rFonts w:ascii="仿宋" w:eastAsia="仿宋" w:hAnsi="仿宋" w:cs="仿宋" w:hint="eastAsia"/>
          <w:b w:val="0"/>
          <w:bCs w:val="0"/>
          <w:color w:val="auto"/>
          <w:highlight w:val="none"/>
          <w:lang w:val="en-US" w:eastAsia="zh-CN"/>
        </w:rPr>
        <w:t xml:space="preserve">3</w:t>
      </w:r>
      <w:r>
        <w:rPr>
          <w:rFonts w:ascii="仿宋" w:eastAsia="仿宋" w:hAnsi="仿宋" w:cs="仿宋" w:hint="eastAsia"/>
          <w:b w:val="0"/>
          <w:bCs w:val="0"/>
          <w:color w:val="auto"/>
          <w:highlight w:val="none"/>
        </w:rPr>
        <w:t xml:space="preserve">月</w:t>
      </w:r>
      <w:r>
        <w:rPr>
          <w:rFonts w:ascii="仿宋" w:eastAsia="仿宋" w:hAnsi="仿宋" w:cs="仿宋" w:hint="eastAsia"/>
          <w:b w:val="0"/>
          <w:bCs w:val="0"/>
          <w:color w:val="auto"/>
          <w:highlight w:val="none"/>
          <w:lang w:val="en-US" w:eastAsia="zh-CN"/>
        </w:rPr>
        <w:t xml:space="preserve">31</w:t>
      </w:r>
      <w:r>
        <w:rPr>
          <w:rFonts w:ascii="仿宋" w:eastAsia="仿宋" w:hAnsi="仿宋" w:cs="仿宋" w:hint="eastAsia"/>
          <w:b w:val="0"/>
          <w:bCs w:val="0"/>
          <w:color w:val="auto"/>
          <w:highlight w:val="none"/>
        </w:rPr>
        <w:t xml:space="preserve">日</w:t>
      </w:r>
    </w:p>
    <w:p>
      <w:pPr>
        <w:spacing w:before="0" w:beforeLines="0" w:after="0" w:afterLines="0" w:line="240" w:lineRule="auto"/>
        <w:ind w:left="0" w:right="0" w:firstLine="0" w:leftChars="0" w:rightChars="0" w:firstLineChars="0"/>
        <w:jc w:val="both"/>
        <w:rPr>
          <w:rFonts w:ascii="仿宋" w:eastAsia="仿宋" w:hAnsi="仿宋" w:cs="仿宋" w:hint="eastAsia"/>
          <w:color w:val="auto"/>
          <w:highlight w:val="none"/>
        </w:rPr>
      </w:pPr>
      <w:bookmarkStart w:id="11" w:name="_Toc15542"/>
      <w:bookmarkStart w:id="12" w:name="_Toc18707"/>
      <w:bookmarkStart w:id="13" w:name="_Toc14721"/>
      <w:bookmarkStart w:id="14" w:name="_Toc11827"/>
      <w:bookmarkStart w:id="15" w:name="_Toc1891"/>
      <w:bookmarkStart w:id="16" w:name="_Toc5473"/>
    </w:p>
    <w:p>
      <w:pPr>
        <w:pStyle w:val="Heading3"/>
        <w:rPr>
          <w:rFonts w:ascii="仿宋" w:eastAsia="仿宋" w:hAnsi="仿宋" w:cs="仿宋" w:hint="eastAsia"/>
          <w:color w:val="auto"/>
          <w:highlight w:val="none"/>
        </w:rPr>
        <w:sectPr>
          <w:pgSz w:w="11906" w:h="16838" w:orient="portrait"/>
          <w:pgMar w:top="1440" w:right="1800" w:bottom="1440" w:left="1800" w:header="851" w:footer="992" w:gutter="0"/>
          <w:pgBorders>
            <w:top w:val="none" w:sz="0" w:space="0" w:color="auto"/>
            <w:left w:val="none" w:sz="0" w:space="0" w:color="auto"/>
            <w:bottom w:val="none" w:sz="0" w:space="0" w:color="auto"/>
            <w:right w:val="none" w:sz="0" w:space="0" w:color="auto"/>
          </w:pgBorders>
          <w:pgNumType w:fmt="decimal"/>
          <w:cols w:num="1" w:space="720">
            <w:col w:w="8306" w:space="720"/>
          </w:cols>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80" w:lineRule="exact"/>
        <w:ind w:left="0" w:firstLine="0" w:leftChars="0" w:firstLineChars="0"/>
        <w:jc w:val="center"/>
        <w:textAlignment w:val="auto"/>
        <w:outlineLvl w:val="1"/>
        <w:rPr>
          <w:rFonts w:ascii="仿宋" w:eastAsia="仿宋" w:hAnsi="仿宋" w:cs="仿宋" w:hint="eastAsia"/>
          <w:color w:val="auto"/>
          <w:highlight w:val="none"/>
        </w:rPr>
      </w:pPr>
      <w:bookmarkStart w:id="17" w:name="_Toc31013"/>
      <w:bookmarkStart w:id="18" w:name="_Toc193"/>
      <w:bookmarkStart w:id="19" w:name="_Toc8587"/>
      <w:bookmarkStart w:id="20" w:name="_Toc14771"/>
      <w:r>
        <w:rPr>
          <w:rStyle w:val="目录1Char"/>
          <w:rFonts w:ascii="仿宋" w:eastAsia="仿宋" w:hAnsi="仿宋" w:cs="仿宋" w:hint="eastAsia"/>
          <w:b/>
          <w:bCs/>
          <w:color w:val="auto"/>
          <w:sz w:val="44"/>
          <w:szCs w:val="44"/>
          <w:highlight w:val="none"/>
          <w:lang w:val="en-US" w:eastAsia="zh-CN"/>
        </w:rPr>
        <w:t xml:space="preserve">目  录</w:t>
      </w:r>
      <w:bookmarkEnd w:id="17"/>
      <w:bookmarkEnd w:id="18"/>
      <w:bookmarkEnd w:id="19"/>
      <w:bookmarkEnd w:id="20"/>
      <w:bookmarkStart w:id="21" w:name="_Toc7012"/>
      <w:bookmarkStart w:id="22" w:name="_Toc24639"/>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TOC \o "1-2" \h \u</w:instrText>
      </w:r>
      <w:r>
        <w:rPr>
          <w:rFonts w:ascii="仿宋" w:eastAsia="仿宋" w:hAnsi="仿宋" w:cs="仿宋" w:hint="eastAsia"/>
          <w:color w:val="auto"/>
          <w:highlight w:val="none"/>
        </w:rPr>
        <w:fldChar w:fldCharType="separate"/>
      </w:r>
    </w:p>
    <w:p>
      <w:pPr>
        <w:pStyle w:val="TOC1"/>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highlight w:val="none"/>
        </w:rPr>
      </w:pPr>
      <w:hyperlink w:anchor="_Toc18996" w:history="1">
        <w:r>
          <w:rPr>
            <w:rFonts w:ascii="仿宋" w:eastAsia="仿宋" w:hAnsi="仿宋" w:cs="仿宋" w:hint="eastAsia"/>
            <w:bCs/>
            <w:iCs/>
            <w:color w:val="auto"/>
            <w:kern w:val="2"/>
            <w:sz w:val="32"/>
            <w:szCs w:val="21"/>
            <w:highlight w:val="none"/>
            <w:lang w:val="en-US" w:eastAsia="zh-CN" w:bidi="ar-SA"/>
          </w:rPr>
          <w:t xml:space="preserve">一、基本情况</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_Toc18996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w:t>
        </w:r>
        <w:r>
          <w:rPr>
            <w:rFonts w:ascii="仿宋" w:eastAsia="仿宋" w:hAnsi="仿宋" w:cs="仿宋" w:hint="eastAsia"/>
            <w:color w:val="auto"/>
            <w:sz w:val="32"/>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6966" w:history="1">
        <w:r>
          <w:rPr>
            <w:rFonts w:ascii="仿宋" w:eastAsia="仿宋" w:hAnsi="仿宋" w:cs="仿宋" w:hint="eastAsia"/>
            <w:color w:val="auto"/>
            <w:sz w:val="32"/>
            <w:highlight w:val="none"/>
          </w:rPr>
          <w:t xml:space="preserve">（一）项目概况</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_Toc6966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w:t>
        </w:r>
        <w:r>
          <w:rPr>
            <w:rFonts w:ascii="仿宋" w:eastAsia="仿宋" w:hAnsi="仿宋" w:cs="仿宋" w:hint="eastAsia"/>
            <w:color w:val="auto"/>
            <w:sz w:val="32"/>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18828" w:history="1">
        <w:r>
          <w:rPr>
            <w:rFonts w:ascii="仿宋" w:eastAsia="仿宋" w:hAnsi="仿宋" w:cs="仿宋" w:hint="eastAsia"/>
            <w:color w:val="auto"/>
            <w:sz w:val="32"/>
            <w:highlight w:val="none"/>
          </w:rPr>
          <w:t xml:space="preserve">（二）项目绩效目标</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_Toc18828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3</w:t>
        </w:r>
        <w:r>
          <w:rPr>
            <w:rFonts w:ascii="仿宋" w:eastAsia="仿宋" w:hAnsi="仿宋" w:cs="仿宋" w:hint="eastAsia"/>
            <w:color w:val="auto"/>
            <w:sz w:val="32"/>
            <w:highlight w:val="none"/>
          </w:rPr>
          <w:fldChar w:fldCharType="end"/>
        </w:r>
      </w:hyperlink>
    </w:p>
    <w:p>
      <w:pPr>
        <w:pStyle w:val="TOC1"/>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highlight w:val="none"/>
        </w:rPr>
      </w:pPr>
      <w:hyperlink w:anchor="_Toc14155" w:history="1">
        <w:r>
          <w:rPr>
            <w:rFonts w:ascii="仿宋" w:eastAsia="仿宋" w:hAnsi="仿宋" w:cs="仿宋" w:hint="eastAsia"/>
            <w:color w:val="auto"/>
            <w:sz w:val="32"/>
            <w:highlight w:val="none"/>
          </w:rPr>
          <w:t xml:space="preserve">二、绩效评价工作开展情况</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_Toc14155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4</w:t>
        </w:r>
        <w:r>
          <w:rPr>
            <w:rFonts w:ascii="仿宋" w:eastAsia="仿宋" w:hAnsi="仿宋" w:cs="仿宋" w:hint="eastAsia"/>
            <w:color w:val="auto"/>
            <w:sz w:val="32"/>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13814" w:history="1">
        <w:r>
          <w:rPr>
            <w:rFonts w:ascii="仿宋" w:eastAsia="仿宋" w:hAnsi="仿宋" w:cs="仿宋" w:hint="eastAsia"/>
            <w:color w:val="auto"/>
            <w:sz w:val="32"/>
            <w:highlight w:val="none"/>
          </w:rPr>
          <w:t xml:space="preserve">（一）绩效评价目的、对象和范围</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_Toc13814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4</w:t>
        </w:r>
        <w:r>
          <w:rPr>
            <w:rFonts w:ascii="仿宋" w:eastAsia="仿宋" w:hAnsi="仿宋" w:cs="仿宋" w:hint="eastAsia"/>
            <w:color w:val="auto"/>
            <w:sz w:val="32"/>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640" w:firstLine="0" w:leftChars="200" w:firstLineChars="0"/>
        <w:textAlignment w:val="auto"/>
        <w:rPr>
          <w:rFonts w:ascii="仿宋" w:eastAsia="仿宋" w:hAnsi="仿宋" w:cs="仿宋" w:hint="eastAsia"/>
          <w:color w:val="auto"/>
          <w:sz w:val="32"/>
          <w:highlight w:val="none"/>
        </w:rPr>
      </w:pPr>
      <w:hyperlink w:anchor="_Toc13390" w:history="1">
        <w:r>
          <w:rPr>
            <w:rFonts w:ascii="仿宋" w:eastAsia="仿宋" w:hAnsi="仿宋" w:cs="仿宋" w:hint="eastAsia"/>
            <w:color w:val="auto"/>
            <w:sz w:val="32"/>
            <w:highlight w:val="none"/>
          </w:rPr>
          <w:t xml:space="preserve">（二）绩效评价原则、评价指标体系、评价方法、评价标准</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_Toc13390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6</w:t>
        </w:r>
        <w:r>
          <w:rPr>
            <w:rFonts w:ascii="仿宋" w:eastAsia="仿宋" w:hAnsi="仿宋" w:cs="仿宋" w:hint="eastAsia"/>
            <w:color w:val="auto"/>
            <w:sz w:val="32"/>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18860" w:history="1">
        <w:r>
          <w:rPr>
            <w:rFonts w:ascii="仿宋" w:eastAsia="仿宋" w:hAnsi="仿宋" w:cs="仿宋" w:hint="eastAsia"/>
            <w:color w:val="auto"/>
            <w:sz w:val="32"/>
            <w:highlight w:val="none"/>
          </w:rPr>
          <w:t xml:space="preserve">（三）绩效评价工作过程</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_Toc18860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9</w:t>
        </w:r>
        <w:r>
          <w:rPr>
            <w:rFonts w:ascii="仿宋" w:eastAsia="仿宋" w:hAnsi="仿宋" w:cs="仿宋" w:hint="eastAsia"/>
            <w:color w:val="auto"/>
            <w:sz w:val="32"/>
            <w:highlight w:val="none"/>
          </w:rPr>
          <w:fldChar w:fldCharType="end"/>
        </w:r>
      </w:hyperlink>
    </w:p>
    <w:p>
      <w:pPr>
        <w:pStyle w:val="TOC1"/>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highlight w:val="none"/>
        </w:rPr>
      </w:pPr>
      <w:hyperlink w:anchor="_Toc6676" w:history="1">
        <w:r>
          <w:rPr>
            <w:rFonts w:ascii="仿宋" w:eastAsia="仿宋" w:hAnsi="仿宋" w:cs="仿宋" w:hint="eastAsia"/>
            <w:color w:val="auto"/>
            <w:sz w:val="32"/>
            <w:highlight w:val="none"/>
          </w:rPr>
          <w:t xml:space="preserve">三、综合评价情况及评价结论</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_Toc6676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11</w:t>
        </w:r>
        <w:r>
          <w:rPr>
            <w:rFonts w:ascii="仿宋" w:eastAsia="仿宋" w:hAnsi="仿宋" w:cs="仿宋" w:hint="eastAsia"/>
            <w:color w:val="auto"/>
            <w:sz w:val="32"/>
            <w:highlight w:val="none"/>
          </w:rPr>
          <w:fldChar w:fldCharType="end"/>
        </w:r>
      </w:hyperlink>
    </w:p>
    <w:p>
      <w:pPr>
        <w:pStyle w:val="TOC1"/>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highlight w:val="none"/>
        </w:rPr>
      </w:pPr>
      <w:hyperlink w:anchor="_Toc5922" w:history="1">
        <w:r>
          <w:rPr>
            <w:rFonts w:ascii="仿宋" w:eastAsia="仿宋" w:hAnsi="仿宋" w:cs="仿宋" w:hint="eastAsia"/>
            <w:color w:val="auto"/>
            <w:sz w:val="32"/>
            <w:highlight w:val="none"/>
          </w:rPr>
          <w:t xml:space="preserve">四、绩效评价指标分析</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_Toc5922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12</w:t>
        </w:r>
        <w:r>
          <w:rPr>
            <w:rFonts w:ascii="仿宋" w:eastAsia="仿宋" w:hAnsi="仿宋" w:cs="仿宋" w:hint="eastAsia"/>
            <w:color w:val="auto"/>
            <w:sz w:val="32"/>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17289" w:history="1">
        <w:r>
          <w:rPr>
            <w:rFonts w:ascii="仿宋" w:eastAsia="仿宋" w:hAnsi="仿宋" w:cs="仿宋" w:hint="eastAsia"/>
            <w:color w:val="auto"/>
            <w:sz w:val="32"/>
            <w:highlight w:val="none"/>
          </w:rPr>
          <w:t xml:space="preserve">（一）项目决策情况</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_Toc17289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12</w:t>
        </w:r>
        <w:r>
          <w:rPr>
            <w:rFonts w:ascii="仿宋" w:eastAsia="仿宋" w:hAnsi="仿宋" w:cs="仿宋" w:hint="eastAsia"/>
            <w:color w:val="auto"/>
            <w:sz w:val="32"/>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4256" w:history="1">
        <w:r>
          <w:rPr>
            <w:rFonts w:ascii="仿宋" w:eastAsia="仿宋" w:hAnsi="仿宋" w:cs="仿宋" w:hint="eastAsia"/>
            <w:color w:val="auto"/>
            <w:sz w:val="32"/>
            <w:highlight w:val="none"/>
          </w:rPr>
          <w:t xml:space="preserve">（二）项目过程情况</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_Toc4256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14</w:t>
        </w:r>
        <w:r>
          <w:rPr>
            <w:rFonts w:ascii="仿宋" w:eastAsia="仿宋" w:hAnsi="仿宋" w:cs="仿宋" w:hint="eastAsia"/>
            <w:color w:val="auto"/>
            <w:sz w:val="32"/>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16547" w:history="1">
        <w:r>
          <w:rPr>
            <w:rFonts w:ascii="仿宋" w:eastAsia="仿宋" w:hAnsi="仿宋" w:cs="仿宋" w:hint="eastAsia"/>
            <w:color w:val="auto"/>
            <w:sz w:val="32"/>
            <w:highlight w:val="none"/>
          </w:rPr>
          <w:t xml:space="preserve">（三）项目产出情况</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_Toc16547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16</w:t>
        </w:r>
        <w:r>
          <w:rPr>
            <w:rFonts w:ascii="仿宋" w:eastAsia="仿宋" w:hAnsi="仿宋" w:cs="仿宋" w:hint="eastAsia"/>
            <w:color w:val="auto"/>
            <w:sz w:val="32"/>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54" w:history="1">
        <w:r>
          <w:rPr>
            <w:rFonts w:ascii="仿宋" w:eastAsia="仿宋" w:hAnsi="仿宋" w:cs="仿宋" w:hint="eastAsia"/>
            <w:color w:val="auto"/>
            <w:sz w:val="32"/>
            <w:highlight w:val="none"/>
          </w:rPr>
          <w:t xml:space="preserve">（四）项目效益情况</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_Toc54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17</w:t>
        </w:r>
        <w:r>
          <w:rPr>
            <w:rFonts w:ascii="仿宋" w:eastAsia="仿宋" w:hAnsi="仿宋" w:cs="仿宋" w:hint="eastAsia"/>
            <w:color w:val="auto"/>
            <w:sz w:val="32"/>
            <w:highlight w:val="none"/>
          </w:rPr>
          <w:fldChar w:fldCharType="end"/>
        </w:r>
      </w:hyperlink>
    </w:p>
    <w:p>
      <w:pPr>
        <w:pStyle w:val="TOC1"/>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highlight w:val="none"/>
        </w:rPr>
      </w:pPr>
      <w:hyperlink w:anchor="_Toc21080" w:history="1">
        <w:r>
          <w:rPr>
            <w:rFonts w:ascii="仿宋" w:eastAsia="仿宋" w:hAnsi="仿宋" w:cs="仿宋" w:hint="eastAsia"/>
            <w:color w:val="auto"/>
            <w:sz w:val="32"/>
            <w:highlight w:val="none"/>
          </w:rPr>
          <w:t xml:space="preserve">五、主要经验及做法、存在的问题及原因分析</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_Toc21080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18</w:t>
        </w:r>
        <w:r>
          <w:rPr>
            <w:rFonts w:ascii="仿宋" w:eastAsia="仿宋" w:hAnsi="仿宋" w:cs="仿宋" w:hint="eastAsia"/>
            <w:color w:val="auto"/>
            <w:sz w:val="32"/>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27216" w:history="1">
        <w:r>
          <w:rPr>
            <w:rFonts w:ascii="仿宋" w:eastAsia="仿宋" w:hAnsi="仿宋" w:cs="仿宋" w:hint="eastAsia"/>
            <w:color w:val="auto"/>
            <w:sz w:val="32"/>
            <w:highlight w:val="none"/>
          </w:rPr>
          <w:t xml:space="preserve">（一）主要经验及做法</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_Toc27216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18</w:t>
        </w:r>
        <w:r>
          <w:rPr>
            <w:rFonts w:ascii="仿宋" w:eastAsia="仿宋" w:hAnsi="仿宋" w:cs="仿宋" w:hint="eastAsia"/>
            <w:color w:val="auto"/>
            <w:sz w:val="32"/>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29824" w:history="1">
        <w:r>
          <w:rPr>
            <w:rFonts w:ascii="仿宋" w:eastAsia="仿宋" w:hAnsi="仿宋" w:cs="仿宋" w:hint="eastAsia"/>
            <w:color w:val="auto"/>
            <w:sz w:val="32"/>
            <w:highlight w:val="none"/>
          </w:rPr>
          <w:t xml:space="preserve">（二）存在的问题及分析</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_Toc29824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19</w:t>
        </w:r>
        <w:r>
          <w:rPr>
            <w:rFonts w:ascii="仿宋" w:eastAsia="仿宋" w:hAnsi="仿宋" w:cs="仿宋" w:hint="eastAsia"/>
            <w:color w:val="auto"/>
            <w:sz w:val="32"/>
            <w:highlight w:val="none"/>
          </w:rPr>
          <w:fldChar w:fldCharType="end"/>
        </w:r>
      </w:hyperlink>
    </w:p>
    <w:p>
      <w:pPr>
        <w:pStyle w:val="TOC1"/>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highlight w:val="none"/>
        </w:rPr>
      </w:pPr>
      <w:hyperlink w:anchor="_Toc10264" w:history="1">
        <w:r>
          <w:rPr>
            <w:rFonts w:ascii="仿宋" w:eastAsia="仿宋" w:hAnsi="仿宋" w:cs="仿宋" w:hint="eastAsia"/>
            <w:color w:val="auto"/>
            <w:sz w:val="32"/>
            <w:highlight w:val="none"/>
          </w:rPr>
          <w:t xml:space="preserve">六、有关建议</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_Toc10264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19</w:t>
        </w:r>
        <w:r>
          <w:rPr>
            <w:rFonts w:ascii="仿宋" w:eastAsia="仿宋" w:hAnsi="仿宋" w:cs="仿宋" w:hint="eastAsia"/>
            <w:color w:val="auto"/>
            <w:sz w:val="32"/>
            <w:highlight w:val="none"/>
          </w:rPr>
          <w:fldChar w:fldCharType="end"/>
        </w:r>
      </w:hyperlink>
    </w:p>
    <w:p>
      <w:pPr>
        <w:pStyle w:val="TOC1"/>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highlight w:val="none"/>
        </w:rPr>
      </w:pPr>
      <w:hyperlink w:anchor="_Toc29050" w:history="1">
        <w:r>
          <w:rPr>
            <w:rFonts w:ascii="仿宋" w:eastAsia="仿宋" w:hAnsi="仿宋" w:cs="仿宋" w:hint="eastAsia"/>
            <w:bCs/>
            <w:iCs/>
            <w:color w:val="auto"/>
            <w:sz w:val="32"/>
            <w:highlight w:val="none"/>
          </w:rPr>
          <w:t xml:space="preserve">七、其他需要说明的问题</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_Toc29050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20</w:t>
        </w:r>
        <w:r>
          <w:rPr>
            <w:rFonts w:ascii="仿宋" w:eastAsia="仿宋" w:hAnsi="仿宋" w:cs="仿宋" w:hint="eastAsia"/>
            <w:color w:val="auto"/>
            <w:sz w:val="32"/>
            <w:highlight w:val="none"/>
          </w:rPr>
          <w:fldChar w:fldCharType="end"/>
        </w:r>
      </w:hyperlink>
    </w:p>
    <w:p>
      <w:pPr>
        <w:pStyle w:val="TOC1"/>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highlight w:val="none"/>
        </w:rPr>
      </w:pPr>
      <w:hyperlink w:anchor="_Toc29661" w:history="1">
        <w:r>
          <w:rPr>
            <w:rFonts w:ascii="仿宋" w:eastAsia="仿宋" w:hAnsi="仿宋" w:cs="仿宋" w:hint="eastAsia"/>
            <w:bCs/>
            <w:iCs/>
            <w:color w:val="auto"/>
            <w:sz w:val="32"/>
            <w:highlight w:val="none"/>
          </w:rPr>
          <w:t xml:space="preserve">八、附件</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_Toc29661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20</w:t>
        </w:r>
        <w:r>
          <w:rPr>
            <w:rFonts w:ascii="仿宋" w:eastAsia="仿宋" w:hAnsi="仿宋" w:cs="仿宋" w:hint="eastAsia"/>
            <w:color w:val="auto"/>
            <w:sz w:val="32"/>
            <w:highlight w:val="none"/>
          </w:rPr>
          <w:fldChar w:fldCharType="end"/>
        </w:r>
      </w:hyperlink>
    </w:p>
    <w:p>
      <w:pPr>
        <w:pStyle w:val="TOC1"/>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25433" w:history="1">
        <w:r>
          <w:rPr>
            <w:rFonts w:ascii="仿宋" w:eastAsia="仿宋" w:hAnsi="仿宋" w:cs="仿宋" w:hint="eastAsia"/>
            <w:bCs/>
            <w:iCs/>
            <w:color w:val="auto"/>
            <w:sz w:val="32"/>
            <w:highlight w:val="none"/>
          </w:rPr>
          <w:t xml:space="preserve">附件1：</w:t>
        </w:r>
        <w:r>
          <w:rPr>
            <w:rFonts w:ascii="仿宋" w:eastAsia="仿宋" w:hAnsi="仿宋" w:cs="仿宋" w:hint="eastAsia"/>
            <w:color w:val="auto"/>
            <w:sz w:val="32"/>
            <w:highlight w:val="none"/>
          </w:rPr>
          <w:t xml:space="preserve">项目支出绩效自评表</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_Toc25433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21</w:t>
        </w:r>
        <w:r>
          <w:rPr>
            <w:rFonts w:ascii="仿宋" w:eastAsia="仿宋" w:hAnsi="仿宋" w:cs="仿宋" w:hint="eastAsia"/>
            <w:color w:val="auto"/>
            <w:sz w:val="32"/>
            <w:highlight w:val="none"/>
          </w:rPr>
          <w:fldChar w:fldCharType="end"/>
        </w:r>
      </w:hyperlink>
    </w:p>
    <w:p>
      <w:pPr>
        <w:pStyle w:val="TOC1"/>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30695" w:history="1">
        <w:r>
          <w:rPr>
            <w:rFonts w:ascii="仿宋" w:eastAsia="仿宋" w:hAnsi="仿宋" w:cs="仿宋" w:hint="eastAsia"/>
            <w:color w:val="auto"/>
            <w:sz w:val="32"/>
            <w:highlight w:val="none"/>
          </w:rPr>
          <w:t xml:space="preserve">附件2：项目支出绩效评价指标体系及评分</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_Toc30695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24</w:t>
        </w:r>
        <w:r>
          <w:rPr>
            <w:rFonts w:ascii="仿宋" w:eastAsia="仿宋" w:hAnsi="仿宋" w:cs="仿宋" w:hint="eastAsia"/>
            <w:color w:val="auto"/>
            <w:sz w:val="32"/>
            <w:highlight w:val="none"/>
          </w:rPr>
          <w:fldChar w:fldCharType="end"/>
        </w:r>
      </w:hyperlink>
    </w:p>
    <w:p>
      <w:pPr>
        <w:keepNext w:val="0"/>
        <w:keepLines w:val="0"/>
        <w:pageBreakBefore w:val="0"/>
        <w:widowControl w:val="0"/>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highlight w:val="none"/>
        </w:rPr>
        <w:sectPr>
          <w:footerReference w:type="default" r:id="rId3"/>
          <w:pgSz w:w="11906" w:h="16838" w:orient="portrait"/>
          <w:pgMar w:top="1440" w:right="1800" w:bottom="1440" w:left="1800" w:header="851" w:footer="992" w:gutter="0"/>
          <w:pgBorders>
            <w:top w:val="none" w:sz="0" w:space="0" w:color="auto"/>
            <w:left w:val="none" w:sz="0" w:space="0" w:color="auto"/>
            <w:bottom w:val="none" w:sz="0" w:space="0" w:color="auto"/>
            <w:right w:val="none" w:sz="0" w:space="0" w:color="auto"/>
          </w:pgBorders>
          <w:pgNumType w:fmt="decimal" w:start="1"/>
          <w:cols w:num="1" w:space="720">
            <w:col w:w="8306" w:space="720"/>
          </w:cols>
          <w:docGrid w:type="lines" w:linePitch="312" w:charSpace="0"/>
        </w:sectPr>
      </w:pPr>
      <w:r>
        <w:rPr>
          <w:rFonts w:ascii="仿宋" w:eastAsia="仿宋" w:hAnsi="仿宋" w:cs="仿宋" w:hint="eastAsia"/>
          <w:color w:val="auto"/>
          <w:highlight w:val="none"/>
        </w:rPr>
        <w:fldChar w:fldCharType="end"/>
      </w:r>
      <w:bookmarkStart w:id="23" w:name="_Toc28451"/>
    </w:p>
    <w:p>
      <w:pPr>
        <w:pStyle w:val="Heading2"/>
        <w:rPr>
          <w:rFonts w:ascii="仿宋" w:eastAsia="仿宋" w:hAnsi="仿宋" w:cs="仿宋" w:hint="eastAsia"/>
          <w:color w:val="auto"/>
          <w:highlight w:val="none"/>
        </w:rPr>
      </w:pPr>
    </w:p>
    <w:p>
      <w:pPr>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firstLine="640" w:leftChars="0" w:firstLineChars="200"/>
        <w:textAlignment w:val="auto"/>
        <w:outlineLvl w:val="0"/>
        <w:rPr>
          <w:rFonts w:ascii="仿宋" w:eastAsia="仿宋" w:hAnsi="仿宋" w:cs="仿宋" w:hint="eastAsia"/>
          <w:bCs/>
          <w:iCs/>
          <w:color w:val="auto"/>
          <w:kern w:val="2"/>
          <w:sz w:val="32"/>
          <w:szCs w:val="21"/>
          <w:highlight w:val="none"/>
          <w:lang w:val="en-US" w:eastAsia="zh-CN" w:bidi="ar-SA"/>
        </w:rPr>
      </w:pPr>
      <w:bookmarkStart w:id="24" w:name="_Toc18996"/>
      <w:r>
        <w:rPr>
          <w:rFonts w:ascii="仿宋" w:eastAsia="仿宋" w:hAnsi="仿宋" w:cs="仿宋" w:hint="eastAsia"/>
          <w:bCs/>
          <w:iCs/>
          <w:color w:val="auto"/>
          <w:kern w:val="2"/>
          <w:sz w:val="32"/>
          <w:szCs w:val="21"/>
          <w:highlight w:val="none"/>
          <w:lang w:val="en-US" w:eastAsia="zh-CN" w:bidi="ar-SA"/>
        </w:rPr>
        <w:t xml:space="preserve">一、基本情况</w:t>
      </w:r>
      <w:bookmarkEnd w:id="11"/>
      <w:bookmarkEnd w:id="12"/>
      <w:bookmarkEnd w:id="13"/>
      <w:bookmarkEnd w:id="14"/>
      <w:bookmarkEnd w:id="15"/>
      <w:bookmarkEnd w:id="16"/>
      <w:bookmarkEnd w:id="21"/>
      <w:bookmarkEnd w:id="22"/>
      <w:bookmarkEnd w:id="23"/>
      <w:bookmarkEnd w:id="24"/>
      <w:bookmarkStart w:id="25" w:name="_Toc27593"/>
    </w:p>
    <w:p>
      <w:pPr>
        <w:pStyle w:val="Heading3"/>
        <w:bidi w:val="0"/>
        <w:jc w:val="both"/>
        <w:outlineLvl w:val="1"/>
        <w:rPr>
          <w:rFonts w:ascii="仿宋" w:eastAsia="仿宋" w:hAnsi="仿宋" w:cs="仿宋" w:hint="eastAsia"/>
          <w:color w:val="auto"/>
          <w:highlight w:val="none"/>
        </w:rPr>
      </w:pPr>
      <w:bookmarkStart w:id="26" w:name="_Toc3763"/>
      <w:bookmarkStart w:id="27" w:name="_Toc6966"/>
      <w:bookmarkStart w:id="28" w:name="_Toc9236"/>
      <w:bookmarkStart w:id="29" w:name="_Toc26183"/>
      <w:bookmarkStart w:id="30" w:name="_Toc24048"/>
      <w:bookmarkStart w:id="31" w:name="_Toc20765"/>
      <w:bookmarkStart w:id="32" w:name="_Toc24706"/>
      <w:r>
        <w:rPr>
          <w:rFonts w:ascii="仿宋" w:eastAsia="仿宋" w:hAnsi="仿宋" w:cs="仿宋" w:hint="eastAsia"/>
          <w:color w:val="auto"/>
          <w:highlight w:val="none"/>
        </w:rPr>
        <w:t xml:space="preserve">（一）项目概况</w:t>
      </w:r>
      <w:bookmarkEnd w:id="25"/>
      <w:bookmarkEnd w:id="26"/>
      <w:bookmarkEnd w:id="27"/>
      <w:bookmarkEnd w:id="28"/>
      <w:bookmarkEnd w:id="29"/>
      <w:bookmarkEnd w:id="30"/>
      <w:bookmarkEnd w:id="31"/>
      <w:bookmarkEnd w:id="32"/>
    </w:p>
    <w:p>
      <w:pPr>
        <w:bidi w:val="0"/>
        <w:rPr>
          <w:rFonts w:ascii="仿宋" w:eastAsia="仿宋" w:hAnsi="仿宋" w:cs="仿宋" w:hint="eastAsia"/>
          <w:b/>
          <w:bCs/>
          <w:color w:val="auto"/>
          <w:highlight w:val="none"/>
        </w:rPr>
      </w:pPr>
      <w:bookmarkStart w:id="33" w:name="_Toc19984"/>
      <w:bookmarkStart w:id="34" w:name="_Toc11427"/>
      <w:r>
        <w:rPr>
          <w:rFonts w:ascii="仿宋" w:eastAsia="仿宋" w:hAnsi="仿宋" w:cs="仿宋" w:hint="eastAsia"/>
          <w:b/>
          <w:bCs/>
          <w:color w:val="auto"/>
          <w:highlight w:val="none"/>
        </w:rPr>
        <w:t xml:space="preserve">1.项目背景</w:t>
      </w:r>
      <w:bookmarkEnd w:id="33"/>
      <w:bookmarkEnd w:id="34"/>
    </w:p>
    <w:p>
      <w:pPr>
        <w:bidi w:val="0"/>
        <w:rPr>
          <w:rFonts w:ascii="仿宋" w:eastAsia="仿宋" w:hAnsi="仿宋" w:cs="仿宋" w:hint="eastAsia"/>
          <w:color w:val="auto"/>
          <w:highlight w:val="none"/>
          <w:lang w:val="en-US" w:eastAsia="zh-CN"/>
        </w:rPr>
      </w:pPr>
      <w:bookmarkStart w:id="35" w:name="_Toc22079"/>
      <w:bookmarkStart w:id="36" w:name="_Toc22216"/>
      <w:r>
        <w:rPr>
          <w:rFonts w:ascii="仿宋" w:eastAsia="仿宋" w:hAnsi="仿宋" w:cs="仿宋" w:hint="eastAsia"/>
          <w:color w:val="auto"/>
          <w:highlight w:val="none"/>
          <w:lang w:val="en-US" w:eastAsia="zh-CN"/>
        </w:rPr>
        <w:t xml:space="preserve">塔克拉玛干沙漠作为我国最大流动沙漠，其边缘区域生态系统的稳定性直接关系南疆绿洲存续与丝绸之路经济带的安全。近年来，受气候变化和人类活动叠加影响，沙漠边缘天然林草带持续萎缩，防风固沙功能弱化，沙丘活化现象加剧。国家“三北”工程攻坚战将塔克拉玛干沙漠边缘区列为“两带四区”重点治理板块，要求通过“三北”工程，构建“锁边固沙、截流蓄水、生物固碳”协同增效的生态屏障。尉犁县作为沙漠东扩通道上的关键节点，其林草生态系统修复成效直接影响整个阻击战的战略布局。项目的实施，正是以系统性工程响应国家“以水定绿、以绿固沙”的治理导向，通过林草空间优化、水资源集约利用和生物多样性提升，为筑牢生态安全防线提供县域实践支撑。</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尉犁县响应党中央号召，通过实施各项生态保护和修复工程，提升了生态系统的稳定性，在一定程度上缓解了土地沙化，但由于沙化土地面积大、分布广、治理难，生态环境脆弱敏感等特点。因此，今后一段时期，沙化土地治理工作将承载着筑牢尉犁县生态安全屏障、统筹推进山水林田湖草沙一体化保护和系统治理、实施乡村振兴战略、实现“双碳”目标的新使命、新任务。</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2.项目主要内容</w:t>
      </w:r>
      <w:bookmarkEnd w:id="35"/>
      <w:bookmarkEnd w:id="36"/>
    </w:p>
    <w:p>
      <w:pPr>
        <w:bidi w:val="0"/>
        <w:rPr>
          <w:rFonts w:ascii="仿宋" w:eastAsia="仿宋" w:hAnsi="仿宋" w:cs="仿宋" w:hint="eastAsia"/>
          <w:color w:val="auto"/>
          <w:highlight w:val="none"/>
        </w:rPr>
      </w:pPr>
      <w:bookmarkStart w:id="37" w:name="_Toc21529"/>
      <w:r>
        <w:rPr>
          <w:rFonts w:ascii="仿宋" w:eastAsia="仿宋" w:hAnsi="仿宋" w:cs="仿宋" w:hint="eastAsia"/>
          <w:color w:val="auto"/>
          <w:highlight w:val="none"/>
          <w:lang w:val="en-US" w:eastAsia="zh-CN"/>
        </w:rPr>
        <w:t xml:space="preserve">加强治理成果的后续管理，最大限度地巩固治理成果，提高治理成效。对已经治理的沙化土地，要采取严格的管护措施，禁止一切破坏活动。按照有关技术规定，积极推进沙区灌木林复壮和退化林分、退化草场的改造。继续开展沙化土地封禁保护，加强沙区资源和生态系统保护，切实保障相关权益。通过</w:t>
      </w:r>
      <w:bookmarkStart w:id="38" w:name="OLE_LINK4"/>
      <w:r>
        <w:rPr>
          <w:rFonts w:ascii="仿宋" w:eastAsia="仿宋" w:hAnsi="仿宋" w:cs="仿宋" w:hint="eastAsia"/>
          <w:color w:val="auto"/>
          <w:highlight w:val="none"/>
          <w:lang w:val="en-US" w:eastAsia="zh-CN"/>
        </w:rPr>
        <w:t xml:space="preserve">本次项目的实施，进行年度2.7万亩沙化土地新造林管护任务；开展15.65万亩沙化土地封禁保护区日常管护，维护工作；开展日常监测工作沙化土地封禁保护补偿面积15.65万亩，并编制沙化土地封禁保护区成效监测站点形成监测报告数量1份。</w:t>
      </w:r>
      <w:bookmarkEnd w:id="38"/>
    </w:p>
    <w:p>
      <w:pPr>
        <w:bidi w:val="0"/>
        <w:rPr>
          <w:rFonts w:ascii="仿宋" w:eastAsia="仿宋" w:hAnsi="仿宋" w:cs="仿宋" w:hint="eastAsia"/>
          <w:b/>
          <w:bCs/>
          <w:color w:val="auto"/>
          <w:highlight w:val="none"/>
        </w:rPr>
      </w:pPr>
      <w:bookmarkStart w:id="39" w:name="_Toc31519"/>
      <w:r>
        <w:rPr>
          <w:rFonts w:ascii="仿宋" w:eastAsia="仿宋" w:hAnsi="仿宋" w:cs="仿宋" w:hint="eastAsia"/>
          <w:b/>
          <w:bCs/>
          <w:color w:val="auto"/>
          <w:highlight w:val="none"/>
        </w:rPr>
        <w:t xml:space="preserve">3.项目实施情况</w:t>
      </w:r>
      <w:bookmarkEnd w:id="37"/>
      <w:bookmarkEnd w:id="39"/>
      <w:bookmarkStart w:id="40" w:name="_Toc20138"/>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10月28日州林草局下达《关于对2024年巴州尉犁县“三北”工程巩固成果项目作业设计的批复》，截至2024年12月31日，项目已完成年度2.7万亩沙化土地新造林管护任务；完成15.65万亩沙化土地封禁保护区日常管护、维护工作，并发放7名管护人员工资；完成对沙化土地封禁保护补偿面积15.65万</w:t>
      </w:r>
      <w:r>
        <w:rPr>
          <w:rFonts w:ascii="仿宋" w:eastAsia="仿宋" w:hAnsi="仿宋" w:cs="仿宋" w:hint="eastAsia"/>
          <w:color w:val="auto"/>
          <w:szCs w:val="30"/>
          <w:highlight w:val="none"/>
          <w:lang w:val="en-US" w:eastAsia="zh-CN"/>
        </w:rPr>
        <w:t xml:space="preserve">亩的日常监测工作，并编制完成沙化土地</w:t>
      </w:r>
      <w:r>
        <w:rPr>
          <w:rFonts w:ascii="仿宋" w:eastAsia="仿宋" w:hAnsi="仿宋" w:cs="仿宋" w:hint="eastAsia"/>
          <w:color w:val="auto"/>
          <w:highlight w:val="none"/>
          <w:lang w:val="en-US" w:eastAsia="zh-CN"/>
        </w:rPr>
        <w:t xml:space="preserve">封禁保护区成效监测站点形成监测报告1份。</w:t>
      </w:r>
    </w:p>
    <w:p>
      <w:pPr>
        <w:bidi w:val="0"/>
        <w:rPr>
          <w:rFonts w:ascii="仿宋" w:eastAsia="仿宋" w:hAnsi="仿宋" w:cs="仿宋" w:hint="eastAsia"/>
          <w:b/>
          <w:bCs/>
          <w:color w:val="auto"/>
          <w:highlight w:val="none"/>
        </w:rPr>
      </w:pPr>
      <w:bookmarkStart w:id="41" w:name="_Toc1111"/>
      <w:r>
        <w:rPr>
          <w:rFonts w:ascii="仿宋" w:eastAsia="仿宋" w:hAnsi="仿宋" w:cs="仿宋" w:hint="eastAsia"/>
          <w:b/>
          <w:bCs/>
          <w:color w:val="auto"/>
          <w:highlight w:val="none"/>
        </w:rPr>
        <w:t xml:space="preserve">4.资金投入情况</w:t>
      </w:r>
      <w:bookmarkEnd w:id="40"/>
      <w:bookmarkEnd w:id="41"/>
    </w:p>
    <w:p>
      <w:pPr>
        <w:bidi w:val="0"/>
        <w:rPr>
          <w:rFonts w:ascii="仿宋" w:eastAsia="仿宋" w:hAnsi="仿宋" w:cs="仿宋" w:hint="eastAsia"/>
          <w:color w:val="auto"/>
          <w:highlight w:val="none"/>
          <w:lang w:eastAsia="zh-CN"/>
        </w:rPr>
      </w:pPr>
      <w:bookmarkStart w:id="42" w:name="_Toc7324"/>
      <w:r>
        <w:rPr>
          <w:rFonts w:ascii="仿宋" w:eastAsia="仿宋" w:hAnsi="仿宋" w:cs="仿宋" w:hint="eastAsia"/>
          <w:color w:val="auto"/>
          <w:highlight w:val="none"/>
        </w:rPr>
        <w:t xml:space="preserve">根据《关于下达2024年中央“三北”工程补助资金任务的通知》（巴</w:t>
      </w:r>
      <w:r>
        <w:rPr>
          <w:rFonts w:ascii="仿宋" w:eastAsia="仿宋" w:hAnsi="仿宋" w:cs="仿宋" w:hint="eastAsia"/>
          <w:color w:val="auto"/>
          <w:highlight w:val="none"/>
          <w:lang w:eastAsia="zh-CN"/>
        </w:rPr>
        <w:t xml:space="preserve">林草发</w:t>
      </w:r>
      <w:r>
        <w:rPr>
          <w:rFonts w:ascii="仿宋" w:eastAsia="仿宋" w:hAnsi="仿宋" w:cs="仿宋" w:hint="eastAsia"/>
          <w:color w:val="auto"/>
          <w:highlight w:val="none"/>
        </w:rPr>
        <w:t xml:space="preserve">〔2024〕</w:t>
      </w:r>
      <w:r>
        <w:rPr>
          <w:rFonts w:ascii="仿宋" w:eastAsia="仿宋" w:hAnsi="仿宋" w:cs="仿宋" w:hint="eastAsia"/>
          <w:color w:val="auto"/>
          <w:highlight w:val="none"/>
          <w:lang w:val="en-US" w:eastAsia="zh-CN"/>
        </w:rPr>
        <w:t xml:space="preserve">89</w:t>
      </w:r>
      <w:r>
        <w:rPr>
          <w:rFonts w:ascii="仿宋" w:eastAsia="仿宋" w:hAnsi="仿宋" w:cs="仿宋" w:hint="eastAsia"/>
          <w:color w:val="auto"/>
          <w:highlight w:val="none"/>
        </w:rPr>
        <w:t xml:space="preserve">号），下达</w:t>
      </w:r>
      <w:r>
        <w:rPr>
          <w:rFonts w:ascii="仿宋" w:eastAsia="仿宋" w:hAnsi="仿宋" w:cs="仿宋" w:hint="eastAsia"/>
          <w:color w:val="auto"/>
          <w:highlight w:val="none"/>
          <w:lang w:val="en-US" w:eastAsia="zh-CN"/>
        </w:rPr>
        <w:t xml:space="preserve">2024年</w:t>
      </w:r>
      <w:bookmarkStart w:id="43" w:name="OLE_LINK1"/>
      <w:r>
        <w:rPr>
          <w:rFonts w:ascii="仿宋" w:eastAsia="仿宋" w:hAnsi="仿宋" w:cs="仿宋" w:hint="eastAsia"/>
          <w:color w:val="auto"/>
          <w:highlight w:val="none"/>
          <w:lang w:eastAsia="zh-CN"/>
        </w:rPr>
        <w:t xml:space="preserve">中央</w:t>
      </w:r>
      <w:bookmarkStart w:id="44" w:name="OLE_LINK2"/>
      <w:r>
        <w:rPr>
          <w:rFonts w:ascii="仿宋" w:eastAsia="仿宋" w:hAnsi="仿宋" w:cs="仿宋" w:hint="eastAsia"/>
          <w:color w:val="auto"/>
          <w:highlight w:val="none"/>
          <w:lang w:eastAsia="zh-CN"/>
        </w:rPr>
        <w:t xml:space="preserve">“三北”工程</w:t>
      </w:r>
      <w:bookmarkEnd w:id="44"/>
      <w:r>
        <w:rPr>
          <w:rFonts w:ascii="仿宋" w:eastAsia="仿宋" w:hAnsi="仿宋" w:cs="仿宋" w:hint="eastAsia"/>
          <w:color w:val="auto"/>
          <w:highlight w:val="none"/>
          <w:lang w:eastAsia="zh-CN"/>
        </w:rPr>
        <w:t xml:space="preserve">补助</w:t>
      </w:r>
      <w:bookmarkEnd w:id="43"/>
      <w:r>
        <w:rPr>
          <w:rFonts w:ascii="仿宋" w:eastAsia="仿宋" w:hAnsi="仿宋" w:cs="仿宋" w:hint="eastAsia"/>
          <w:color w:val="auto"/>
          <w:highlight w:val="none"/>
        </w:rPr>
        <w:t xml:space="preserve">资金</w:t>
      </w:r>
      <w:r>
        <w:rPr>
          <w:rFonts w:ascii="仿宋" w:eastAsia="仿宋" w:hAnsi="仿宋" w:cs="仿宋" w:hint="eastAsia"/>
          <w:color w:val="auto"/>
          <w:highlight w:val="none"/>
          <w:lang w:val="en-US" w:eastAsia="zh-CN"/>
        </w:rPr>
        <w:t xml:space="preserve">603.89</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实施</w:t>
      </w:r>
      <w:r>
        <w:rPr>
          <w:rFonts w:ascii="仿宋" w:eastAsia="仿宋" w:hAnsi="仿宋" w:cs="仿宋" w:hint="eastAsia"/>
          <w:color w:val="auto"/>
          <w:highlight w:val="none"/>
          <w:lang w:eastAsia="zh-CN"/>
        </w:rPr>
        <w:t xml:space="preserve">2024年中央“三北”工程补助资金项目</w:t>
      </w:r>
      <w:r>
        <w:rPr>
          <w:rFonts w:ascii="仿宋" w:eastAsia="仿宋" w:hAnsi="仿宋" w:cs="仿宋" w:hint="eastAsia"/>
          <w:color w:val="auto"/>
          <w:highlight w:val="none"/>
        </w:rPr>
        <w:t xml:space="preserve">投入</w:t>
      </w:r>
      <w:r>
        <w:rPr>
          <w:rFonts w:ascii="仿宋" w:eastAsia="仿宋" w:hAnsi="仿宋" w:cs="仿宋" w:hint="eastAsia"/>
          <w:color w:val="auto"/>
          <w:highlight w:val="none"/>
          <w:lang w:val="en-US" w:eastAsia="zh-CN"/>
        </w:rPr>
        <w:t xml:space="preserve">603.89</w:t>
      </w:r>
      <w:r>
        <w:rPr>
          <w:rFonts w:ascii="仿宋" w:eastAsia="仿宋" w:hAnsi="仿宋" w:cs="仿宋" w:hint="eastAsia"/>
          <w:color w:val="auto"/>
          <w:highlight w:val="none"/>
        </w:rPr>
        <w:t xml:space="preserve">万元，其中</w:t>
      </w:r>
      <w:r>
        <w:rPr>
          <w:rFonts w:ascii="仿宋" w:eastAsia="仿宋" w:hAnsi="仿宋" w:cs="仿宋" w:hint="eastAsia"/>
          <w:color w:val="auto"/>
          <w:highlight w:val="none"/>
          <w:lang w:val="en-US" w:eastAsia="zh-CN"/>
        </w:rPr>
        <w:t xml:space="preserve">沙化土地新造林管护费用513.43万元、沙化土地封禁保护补偿费用80.46万元、沙化土地封禁保护区监测费用10万元</w:t>
      </w:r>
      <w:r>
        <w:rPr>
          <w:rFonts w:ascii="仿宋" w:eastAsia="仿宋" w:hAnsi="仿宋" w:cs="仿宋" w:hint="eastAsia"/>
          <w:color w:val="auto"/>
          <w:highlight w:val="none"/>
        </w:rPr>
        <w:t xml:space="preserve">。</w:t>
      </w:r>
    </w:p>
    <w:p>
      <w:pPr>
        <w:bidi w:val="0"/>
        <w:rPr>
          <w:rFonts w:ascii="仿宋" w:eastAsia="仿宋" w:hAnsi="仿宋" w:cs="仿宋" w:hint="eastAsia"/>
          <w:b/>
          <w:bCs/>
          <w:color w:val="auto"/>
          <w:highlight w:val="none"/>
        </w:rPr>
      </w:pPr>
      <w:bookmarkStart w:id="45" w:name="_Toc10837"/>
      <w:r>
        <w:rPr>
          <w:rFonts w:ascii="仿宋" w:eastAsia="仿宋" w:hAnsi="仿宋" w:cs="仿宋" w:hint="eastAsia"/>
          <w:b/>
          <w:bCs/>
          <w:color w:val="auto"/>
          <w:highlight w:val="none"/>
        </w:rPr>
        <w:t xml:space="preserve">5.资金使用情况</w:t>
      </w:r>
      <w:bookmarkEnd w:id="42"/>
      <w:bookmarkEnd w:id="45"/>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w:t>
      </w:r>
      <w:r>
        <w:rPr>
          <w:rFonts w:ascii="仿宋" w:eastAsia="仿宋" w:hAnsi="仿宋" w:cs="仿宋" w:hint="eastAsia"/>
          <w:color w:val="auto"/>
          <w:highlight w:val="none"/>
          <w:lang w:eastAsia="zh-CN"/>
        </w:rPr>
        <w:t xml:space="preserve">年初预算数</w:t>
      </w:r>
      <w:r>
        <w:rPr>
          <w:rFonts w:ascii="仿宋" w:eastAsia="仿宋" w:hAnsi="仿宋" w:cs="仿宋" w:hint="eastAsia"/>
          <w:color w:val="auto"/>
          <w:highlight w:val="none"/>
          <w:lang w:val="en-US" w:eastAsia="zh-CN"/>
        </w:rPr>
        <w:t xml:space="preserve">603.89</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实际到位资金</w:t>
      </w:r>
      <w:r>
        <w:rPr>
          <w:rFonts w:ascii="仿宋" w:eastAsia="仿宋" w:hAnsi="仿宋" w:cs="仿宋" w:hint="eastAsia"/>
          <w:color w:val="auto"/>
          <w:highlight w:val="none"/>
          <w:lang w:val="en-US" w:eastAsia="zh-CN"/>
        </w:rPr>
        <w:t xml:space="preserve">603.89</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截</w:t>
      </w:r>
      <w:r>
        <w:rPr>
          <w:rFonts w:ascii="仿宋" w:eastAsia="仿宋" w:hAnsi="仿宋" w:cs="仿宋" w:hint="eastAsia"/>
          <w:color w:val="auto"/>
          <w:highlight w:val="none"/>
          <w:lang w:val="en-US" w:eastAsia="zh-CN"/>
        </w:rPr>
        <w:t xml:space="preserve">至</w:t>
      </w: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年12月31日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项目实际使用资金</w:t>
      </w:r>
      <w:r>
        <w:rPr>
          <w:rFonts w:ascii="仿宋" w:eastAsia="仿宋" w:hAnsi="仿宋" w:cs="仿宋" w:hint="eastAsia"/>
          <w:color w:val="auto"/>
          <w:highlight w:val="none"/>
          <w:lang w:val="en-US" w:eastAsia="zh-CN"/>
        </w:rPr>
        <w:t xml:space="preserve">603.89</w:t>
      </w:r>
      <w:r>
        <w:rPr>
          <w:rFonts w:ascii="仿宋" w:eastAsia="仿宋" w:hAnsi="仿宋" w:cs="仿宋" w:hint="eastAsia"/>
          <w:color w:val="auto"/>
          <w:highlight w:val="none"/>
        </w:rPr>
        <w:t xml:space="preserve">万元，资金</w:t>
      </w:r>
      <w:r>
        <w:rPr>
          <w:rFonts w:ascii="仿宋" w:eastAsia="仿宋" w:hAnsi="仿宋" w:cs="仿宋" w:hint="eastAsia"/>
          <w:color w:val="auto"/>
          <w:highlight w:val="none"/>
          <w:lang w:val="en-US" w:eastAsia="zh-CN"/>
        </w:rPr>
        <w:t xml:space="preserve">使用</w:t>
      </w:r>
      <w:r>
        <w:rPr>
          <w:rFonts w:ascii="仿宋" w:eastAsia="仿宋" w:hAnsi="仿宋" w:cs="仿宋" w:hint="eastAsia"/>
          <w:color w:val="auto"/>
          <w:highlight w:val="none"/>
        </w:rPr>
        <w:t xml:space="preserve">率达到了</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%。具体资金支付情况</w:t>
      </w:r>
      <w:r>
        <w:rPr>
          <w:rFonts w:ascii="仿宋" w:eastAsia="仿宋" w:hAnsi="仿宋" w:cs="仿宋" w:hint="eastAsia"/>
          <w:color w:val="auto"/>
          <w:highlight w:val="none"/>
          <w:lang w:val="en-US" w:eastAsia="zh-CN"/>
        </w:rPr>
        <w:t xml:space="preserve">如下</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2024年9月29日支付</w:t>
      </w:r>
      <w:r>
        <w:rPr>
          <w:rFonts w:ascii="仿宋" w:eastAsia="仿宋" w:hAnsi="仿宋" w:cs="仿宋" w:hint="eastAsia"/>
          <w:color w:val="auto"/>
          <w:highlight w:val="none"/>
        </w:rPr>
        <w:tab/>
      </w:r>
      <w:r>
        <w:rPr>
          <w:rFonts w:ascii="仿宋" w:eastAsia="仿宋" w:hAnsi="仿宋" w:cs="仿宋" w:hint="eastAsia"/>
          <w:color w:val="auto"/>
          <w:highlight w:val="none"/>
        </w:rPr>
        <w:t xml:space="preserve">2.06万元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2024年11月1日支付3.95万元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2024年11月26日支付10.00万元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2024年12月12日支付1.72万元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2024年12月17日支付1.36万元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2024年12月17日支付2.84万元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2024年12月22日支付3.93万元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2024年12月20日支付49.59万元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2024年12月20日支付10.38万元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2024年12月22日支付15.03万元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2024年12月24日支付503.03万元</w:t>
      </w:r>
      <w:r>
        <w:rPr>
          <w:rFonts w:ascii="仿宋" w:eastAsia="仿宋" w:hAnsi="仿宋" w:cs="仿宋" w:hint="eastAsia"/>
          <w:color w:val="auto"/>
          <w:highlight w:val="none"/>
          <w:lang w:eastAsia="zh-CN"/>
        </w:rPr>
        <w:t xml:space="preserve">。</w:t>
      </w:r>
    </w:p>
    <w:p>
      <w:pPr>
        <w:pStyle w:val="Heading3"/>
        <w:keepNext w:val="0"/>
        <w:keepLines w:val="0"/>
        <w:pageBreakBefore w:val="0"/>
        <w:widowControl w:val="0"/>
        <w:kinsoku/>
        <w:wordWrap/>
        <w:overflowPunct/>
        <w:topLinePunct w:val="0"/>
        <w:autoSpaceDE/>
        <w:autoSpaceDN/>
        <w:bidi w:val="0"/>
        <w:adjustRightInd/>
        <w:snapToGrid/>
        <w:jc w:val="both"/>
        <w:textAlignment w:val="auto"/>
        <w:outlineLvl w:val="1"/>
        <w:rPr>
          <w:rFonts w:ascii="仿宋" w:eastAsia="仿宋" w:hAnsi="仿宋" w:cs="仿宋" w:hint="eastAsia"/>
          <w:b/>
          <w:color w:val="auto"/>
          <w:highlight w:val="none"/>
        </w:rPr>
      </w:pPr>
      <w:bookmarkStart w:id="46" w:name="_Toc9567"/>
      <w:bookmarkStart w:id="47" w:name="_Toc14296"/>
      <w:bookmarkStart w:id="48" w:name="_Toc11967"/>
      <w:bookmarkStart w:id="49" w:name="_Toc26395"/>
      <w:bookmarkStart w:id="50" w:name="_Toc25983"/>
      <w:bookmarkStart w:id="51" w:name="_Toc31302"/>
      <w:bookmarkStart w:id="52" w:name="_Toc17332"/>
      <w:bookmarkStart w:id="53" w:name="_Toc18828"/>
      <w:r>
        <w:rPr>
          <w:rFonts w:ascii="仿宋" w:eastAsia="仿宋" w:hAnsi="仿宋" w:cs="仿宋" w:hint="eastAsia"/>
          <w:b/>
          <w:color w:val="auto"/>
          <w:highlight w:val="none"/>
        </w:rPr>
        <w:t xml:space="preserve">（二）项目绩效目标</w:t>
      </w:r>
      <w:bookmarkEnd w:id="46"/>
      <w:bookmarkEnd w:id="47"/>
      <w:bookmarkEnd w:id="48"/>
      <w:bookmarkEnd w:id="49"/>
      <w:bookmarkEnd w:id="50"/>
      <w:bookmarkEnd w:id="51"/>
      <w:bookmarkEnd w:id="52"/>
      <w:bookmarkEnd w:id="53"/>
    </w:p>
    <w:p>
      <w:pPr>
        <w:bidi w:val="0"/>
        <w:rPr>
          <w:rFonts w:ascii="仿宋" w:eastAsia="仿宋" w:hAnsi="仿宋" w:cs="仿宋" w:hint="eastAsia"/>
          <w:b/>
          <w:bCs/>
          <w:color w:val="auto"/>
          <w:highlight w:val="none"/>
        </w:rPr>
      </w:pPr>
      <w:bookmarkStart w:id="54" w:name="_Toc18809"/>
      <w:bookmarkStart w:id="55" w:name="_Toc905"/>
      <w:r>
        <w:rPr>
          <w:rFonts w:ascii="仿宋" w:eastAsia="仿宋" w:hAnsi="仿宋" w:cs="仿宋" w:hint="eastAsia"/>
          <w:b/>
          <w:bCs/>
          <w:color w:val="auto"/>
          <w:highlight w:val="none"/>
        </w:rPr>
        <w:t xml:space="preserve">1.总体目标</w:t>
      </w:r>
      <w:bookmarkEnd w:id="54"/>
      <w:bookmarkEnd w:id="55"/>
    </w:p>
    <w:p>
      <w:pPr>
        <w:bidi w:val="0"/>
        <w:rPr>
          <w:rFonts w:ascii="仿宋" w:eastAsia="仿宋" w:hAnsi="仿宋" w:cs="仿宋" w:hint="eastAsia"/>
          <w:color w:val="auto"/>
          <w:highlight w:val="none"/>
          <w:lang w:eastAsia="zh-CN"/>
        </w:rPr>
      </w:pPr>
      <w:bookmarkStart w:id="56" w:name="_Toc11195"/>
      <w:bookmarkStart w:id="57" w:name="_Toc10045"/>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lang w:eastAsia="zh-CN"/>
        </w:rPr>
        <w:t xml:space="preserve">完成年度2.7万亩沙化土地新造林管护任务。</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lang w:eastAsia="zh-CN"/>
        </w:rPr>
        <w:t xml:space="preserve">开展15.65万亩沙化土地封禁保护区日常管护，维护工作，开展日常监测工作沙化土地封禁保护补偿面积15.65万亩。</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lang w:eastAsia="zh-CN"/>
        </w:rPr>
        <w:t xml:space="preserve">完成沙化土地封禁保护区成效监测站点形成监测报告数量1份。</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lang w:eastAsia="zh-CN"/>
        </w:rPr>
        <w:t xml:space="preserve">本项目实施后对沙尘源的扼制作用明显，对区域生态硒鼓农能改善的促进作用明显。</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2.阶段性目标</w:t>
      </w:r>
      <w:bookmarkEnd w:id="56"/>
      <w:bookmarkEnd w:id="57"/>
    </w:p>
    <w:p>
      <w:pPr>
        <w:bidi w:val="0"/>
        <w:rPr>
          <w:rFonts w:ascii="仿宋" w:eastAsia="仿宋" w:hAnsi="仿宋" w:cs="仿宋" w:hint="eastAsia"/>
          <w:color w:val="auto"/>
          <w:highlight w:val="none"/>
          <w:lang w:val="en-US" w:eastAsia="zh-CN"/>
        </w:rPr>
      </w:pPr>
      <w:bookmarkStart w:id="58" w:name="_Toc8527"/>
      <w:bookmarkStart w:id="59" w:name="_Toc31272"/>
      <w:bookmarkStart w:id="60" w:name="_Toc7716"/>
      <w:bookmarkStart w:id="61" w:name="_Toc2486"/>
      <w:bookmarkStart w:id="62" w:name="_Toc6156"/>
      <w:bookmarkStart w:id="63" w:name="_Toc6534"/>
      <w:bookmarkStart w:id="64" w:name="_Toc31122"/>
      <w:bookmarkStart w:id="65" w:name="_Toc857"/>
      <w:bookmarkStart w:id="66" w:name="_Toc25321"/>
      <w:r>
        <w:rPr>
          <w:rFonts w:ascii="仿宋" w:eastAsia="仿宋" w:hAnsi="仿宋" w:cs="仿宋" w:hint="eastAsia"/>
          <w:color w:val="auto"/>
          <w:highlight w:val="none"/>
          <w:lang w:val="en-US" w:eastAsia="zh-CN"/>
        </w:rPr>
        <w:t xml:space="preserve">（1）保障管护站正常运行按时发放7名管护人员社保及工资；</w:t>
      </w:r>
      <w:bookmarkEnd w:id="58"/>
      <w:bookmarkEnd w:id="59"/>
      <w:bookmarkEnd w:id="60"/>
      <w:bookmarkEnd w:id="61"/>
    </w:p>
    <w:p>
      <w:pPr>
        <w:bidi w:val="0"/>
        <w:rPr>
          <w:rFonts w:ascii="仿宋" w:eastAsia="仿宋" w:hAnsi="仿宋" w:cs="仿宋" w:hint="eastAsia"/>
          <w:color w:val="auto"/>
          <w:highlight w:val="none"/>
          <w:lang w:val="en-US" w:eastAsia="zh-CN"/>
        </w:rPr>
      </w:pPr>
      <w:bookmarkStart w:id="67" w:name="_Toc23304"/>
      <w:bookmarkStart w:id="68" w:name="_Toc14649"/>
      <w:bookmarkStart w:id="69" w:name="_Toc32532"/>
      <w:bookmarkStart w:id="70" w:name="_Toc30340"/>
      <w:r>
        <w:rPr>
          <w:rFonts w:ascii="仿宋" w:eastAsia="仿宋" w:hAnsi="仿宋" w:cs="仿宋" w:hint="eastAsia"/>
          <w:color w:val="auto"/>
          <w:highlight w:val="none"/>
          <w:lang w:val="en-US" w:eastAsia="zh-CN"/>
        </w:rPr>
        <w:t xml:space="preserve">（2）完成2.7万亩沙化土地新造林管护工作；</w:t>
      </w:r>
      <w:bookmarkEnd w:id="67"/>
      <w:bookmarkEnd w:id="68"/>
      <w:bookmarkEnd w:id="69"/>
      <w:bookmarkEnd w:id="70"/>
    </w:p>
    <w:p>
      <w:pPr>
        <w:bidi w:val="0"/>
        <w:rPr>
          <w:rFonts w:ascii="仿宋" w:eastAsia="仿宋" w:hAnsi="仿宋" w:cs="仿宋" w:hint="eastAsia"/>
          <w:color w:val="auto"/>
          <w:highlight w:val="none"/>
          <w:lang w:val="en-US" w:eastAsia="zh-CN"/>
        </w:rPr>
      </w:pPr>
      <w:bookmarkStart w:id="71" w:name="_Toc19487"/>
      <w:bookmarkStart w:id="72" w:name="_Toc20793"/>
      <w:bookmarkStart w:id="73" w:name="_Toc11165"/>
      <w:bookmarkStart w:id="74" w:name="_Toc1842"/>
      <w:r>
        <w:rPr>
          <w:rFonts w:ascii="仿宋" w:eastAsia="仿宋" w:hAnsi="仿宋" w:cs="仿宋" w:hint="eastAsia"/>
          <w:color w:val="auto"/>
          <w:highlight w:val="none"/>
          <w:lang w:val="en-US" w:eastAsia="zh-CN"/>
        </w:rPr>
        <w:t xml:space="preserve">（3）完成15.65万亩沙化土地封禁保护任务；</w:t>
      </w:r>
      <w:bookmarkEnd w:id="71"/>
      <w:bookmarkEnd w:id="72"/>
      <w:bookmarkEnd w:id="73"/>
      <w:bookmarkEnd w:id="74"/>
    </w:p>
    <w:p>
      <w:pPr>
        <w:bidi w:val="0"/>
        <w:rPr>
          <w:rFonts w:ascii="仿宋" w:eastAsia="仿宋" w:hAnsi="仿宋" w:cs="仿宋" w:hint="eastAsia"/>
          <w:color w:val="auto"/>
          <w:highlight w:val="none"/>
          <w:lang w:val="en-US" w:eastAsia="zh-CN"/>
        </w:rPr>
      </w:pPr>
      <w:bookmarkStart w:id="75" w:name="_Toc24065"/>
      <w:bookmarkStart w:id="76" w:name="_Toc4468"/>
      <w:bookmarkStart w:id="77" w:name="_Toc10626"/>
      <w:bookmarkStart w:id="78" w:name="_Toc19337"/>
      <w:r>
        <w:rPr>
          <w:rFonts w:ascii="仿宋" w:eastAsia="仿宋" w:hAnsi="仿宋" w:cs="仿宋" w:hint="eastAsia"/>
          <w:color w:val="auto"/>
          <w:highlight w:val="none"/>
          <w:lang w:val="en-US" w:eastAsia="zh-CN"/>
        </w:rPr>
        <w:t xml:space="preserve">（4）编制沙化土地封禁保护区成效监测报告1份。</w:t>
      </w:r>
      <w:bookmarkEnd w:id="75"/>
      <w:bookmarkEnd w:id="76"/>
      <w:bookmarkEnd w:id="77"/>
      <w:bookmarkEnd w:id="78"/>
    </w:p>
    <w:p>
      <w:pPr>
        <w:pStyle w:val="Heading2"/>
        <w:keepNext w:val="0"/>
        <w:keepLines w:val="0"/>
        <w:pageBreakBefore w:val="0"/>
        <w:widowControl w:val="0"/>
        <w:kinsoku/>
        <w:wordWrap/>
        <w:overflowPunct/>
        <w:topLinePunct w:val="0"/>
        <w:autoSpaceDE/>
        <w:autoSpaceDN/>
        <w:bidi w:val="0"/>
        <w:adjustRightInd/>
        <w:snapToGrid/>
        <w:jc w:val="both"/>
        <w:textAlignment w:val="auto"/>
        <w:outlineLvl w:val="0"/>
        <w:rPr>
          <w:rFonts w:ascii="仿宋" w:eastAsia="仿宋" w:hAnsi="仿宋" w:cs="仿宋" w:hint="eastAsia"/>
          <w:color w:val="auto"/>
          <w:highlight w:val="none"/>
        </w:rPr>
      </w:pPr>
      <w:bookmarkStart w:id="79" w:name="_Toc8244"/>
      <w:bookmarkStart w:id="80" w:name="_Toc31484"/>
      <w:bookmarkStart w:id="81" w:name="_Toc24809"/>
      <w:bookmarkStart w:id="82" w:name="_Toc9876"/>
      <w:bookmarkStart w:id="83" w:name="_Toc14155"/>
      <w:bookmarkStart w:id="84" w:name="_Toc21654"/>
      <w:bookmarkStart w:id="85" w:name="_Toc2046"/>
      <w:r>
        <w:rPr>
          <w:rFonts w:ascii="仿宋" w:eastAsia="仿宋" w:hAnsi="仿宋" w:cs="仿宋" w:hint="eastAsia"/>
          <w:color w:val="auto"/>
          <w:highlight w:val="none"/>
        </w:rPr>
        <w:t xml:space="preserve">二、绩效评价工作开展情况</w:t>
      </w:r>
      <w:bookmarkEnd w:id="62"/>
      <w:bookmarkEnd w:id="63"/>
      <w:bookmarkEnd w:id="64"/>
      <w:bookmarkEnd w:id="65"/>
      <w:bookmarkEnd w:id="66"/>
      <w:bookmarkEnd w:id="79"/>
      <w:bookmarkEnd w:id="80"/>
      <w:bookmarkEnd w:id="81"/>
      <w:bookmarkEnd w:id="82"/>
      <w:bookmarkEnd w:id="83"/>
      <w:bookmarkEnd w:id="84"/>
      <w:bookmarkEnd w:id="85"/>
    </w:p>
    <w:p>
      <w:pPr>
        <w:pStyle w:val="Heading3"/>
        <w:keepNext w:val="0"/>
        <w:keepLines w:val="0"/>
        <w:pageBreakBefore w:val="0"/>
        <w:widowControl w:val="0"/>
        <w:kinsoku/>
        <w:wordWrap/>
        <w:overflowPunct/>
        <w:topLinePunct w:val="0"/>
        <w:autoSpaceDE/>
        <w:autoSpaceDN/>
        <w:bidi w:val="0"/>
        <w:adjustRightInd/>
        <w:snapToGrid/>
        <w:jc w:val="both"/>
        <w:textAlignment w:val="auto"/>
        <w:outlineLvl w:val="1"/>
        <w:rPr>
          <w:rFonts w:ascii="仿宋" w:eastAsia="仿宋" w:hAnsi="仿宋" w:cs="仿宋" w:hint="eastAsia"/>
          <w:color w:val="auto"/>
          <w:highlight w:val="none"/>
        </w:rPr>
      </w:pPr>
      <w:bookmarkStart w:id="86" w:name="_Toc30569"/>
      <w:bookmarkStart w:id="87" w:name="_Toc17516"/>
      <w:bookmarkStart w:id="88" w:name="_Toc10300"/>
      <w:bookmarkStart w:id="89" w:name="_Toc23094"/>
      <w:bookmarkStart w:id="90" w:name="_Toc13814"/>
      <w:bookmarkStart w:id="91" w:name="_Toc32557"/>
      <w:r>
        <w:rPr>
          <w:rFonts w:ascii="仿宋" w:eastAsia="仿宋" w:hAnsi="仿宋" w:cs="仿宋" w:hint="eastAsia"/>
          <w:color w:val="auto"/>
          <w:highlight w:val="none"/>
        </w:rPr>
        <w:t xml:space="preserve">（一）绩效评价目的、对象和范围</w:t>
      </w:r>
      <w:bookmarkEnd w:id="86"/>
      <w:bookmarkEnd w:id="87"/>
      <w:bookmarkEnd w:id="88"/>
      <w:bookmarkEnd w:id="89"/>
      <w:bookmarkEnd w:id="90"/>
      <w:bookmarkEnd w:id="91"/>
    </w:p>
    <w:p>
      <w:pPr>
        <w:bidi w:val="0"/>
        <w:rPr>
          <w:rFonts w:ascii="仿宋" w:eastAsia="仿宋" w:hAnsi="仿宋" w:cs="仿宋" w:hint="eastAsia"/>
          <w:b/>
          <w:bCs/>
          <w:color w:val="auto"/>
          <w:highlight w:val="none"/>
        </w:rPr>
      </w:pPr>
      <w:bookmarkStart w:id="92" w:name="_Toc12440"/>
      <w:bookmarkStart w:id="93" w:name="_Toc11562"/>
      <w:r>
        <w:rPr>
          <w:rFonts w:ascii="仿宋" w:eastAsia="仿宋" w:hAnsi="仿宋" w:cs="仿宋" w:hint="eastAsia"/>
          <w:b/>
          <w:bCs/>
          <w:color w:val="auto"/>
          <w:highlight w:val="none"/>
        </w:rPr>
        <w:t xml:space="preserve">1.绩效评价目的</w:t>
      </w:r>
      <w:bookmarkEnd w:id="92"/>
      <w:bookmarkEnd w:id="93"/>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本次绩效评价遵循财政部《关于印发</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项目支出绩效评价管理办法</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的通知》（财预〔2020〕10号）文件精神，对</w:t>
      </w:r>
      <w:r>
        <w:rPr>
          <w:rFonts w:ascii="仿宋" w:eastAsia="仿宋" w:hAnsi="仿宋" w:cs="仿宋" w:hint="eastAsia"/>
          <w:color w:val="auto"/>
          <w:highlight w:val="none"/>
          <w:lang w:eastAsia="zh-CN"/>
        </w:rPr>
        <w:t xml:space="preserve">2024年中央“三北”工程补助资金项目</w:t>
      </w:r>
      <w:r>
        <w:rPr>
          <w:rFonts w:ascii="仿宋" w:eastAsia="仿宋" w:hAnsi="仿宋" w:cs="仿宋" w:hint="eastAsia"/>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94" w:name="_Toc8924"/>
      <w:bookmarkStart w:id="95" w:name="_Toc2159"/>
      <w:r>
        <w:rPr>
          <w:rFonts w:ascii="仿宋" w:eastAsia="仿宋" w:hAnsi="仿宋" w:cs="仿宋" w:hint="eastAsia"/>
          <w:color w:val="auto"/>
          <w:highlight w:val="none"/>
        </w:rPr>
        <w:t xml:space="preserve">具体绩效评价的目的细分如下：</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提升财政资金的使用效能。</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2.绩效评价对象</w:t>
      </w:r>
      <w:bookmarkEnd w:id="94"/>
      <w:r>
        <w:rPr>
          <w:rFonts w:ascii="仿宋" w:eastAsia="仿宋" w:hAnsi="仿宋" w:cs="仿宋" w:hint="eastAsia"/>
          <w:b/>
          <w:bCs/>
          <w:color w:val="auto"/>
          <w:highlight w:val="none"/>
        </w:rPr>
        <w:t xml:space="preserve">和范围</w:t>
      </w:r>
      <w:bookmarkEnd w:id="95"/>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根据《财政支出绩效评价管理办法》（财预〔2020〕10号）文件要求，对</w:t>
      </w:r>
      <w:r>
        <w:rPr>
          <w:rFonts w:ascii="仿宋" w:eastAsia="仿宋" w:hAnsi="仿宋" w:cs="仿宋" w:hint="eastAsia"/>
          <w:color w:val="auto"/>
          <w:highlight w:val="none"/>
          <w:lang w:eastAsia="zh-CN"/>
        </w:rPr>
        <w:t xml:space="preserve">2024年中央“三北”工程补助资金项目</w:t>
      </w:r>
      <w:r>
        <w:rPr>
          <w:rFonts w:ascii="仿宋" w:eastAsia="仿宋" w:hAnsi="仿宋" w:cs="仿宋" w:hint="eastAsia"/>
          <w:color w:val="auto"/>
          <w:highlight w:val="none"/>
        </w:rPr>
        <w:t xml:space="preserve">开展绩效评价，本次绩效评价范围主要围绕项目决策（包括项目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、绩效目标、资金投入）、项目过程（包括资金管理、组织实施）、项目产出（包括产出数量、质量、时效、成本）和项目效益等进行评价。</w:t>
      </w:r>
    </w:p>
    <w:p>
      <w:pPr>
        <w:pStyle w:val="Heading3"/>
        <w:keepNext w:val="0"/>
        <w:keepLines w:val="0"/>
        <w:pageBreakBefore w:val="0"/>
        <w:widowControl w:val="0"/>
        <w:kinsoku/>
        <w:wordWrap/>
        <w:overflowPunct/>
        <w:topLinePunct w:val="0"/>
        <w:autoSpaceDE/>
        <w:autoSpaceDN/>
        <w:bidi w:val="0"/>
        <w:adjustRightInd/>
        <w:snapToGrid/>
        <w:jc w:val="both"/>
        <w:textAlignment w:val="auto"/>
        <w:outlineLvl w:val="1"/>
        <w:rPr>
          <w:rFonts w:ascii="仿宋" w:eastAsia="仿宋" w:hAnsi="仿宋" w:cs="仿宋" w:hint="eastAsia"/>
          <w:color w:val="auto"/>
          <w:highlight w:val="none"/>
        </w:rPr>
      </w:pPr>
      <w:bookmarkStart w:id="96" w:name="_Toc15409"/>
      <w:bookmarkStart w:id="97" w:name="_Toc17158"/>
      <w:bookmarkStart w:id="98" w:name="_Toc13496"/>
      <w:bookmarkStart w:id="99" w:name="_Toc13390"/>
      <w:bookmarkStart w:id="100" w:name="_Toc19566"/>
      <w:bookmarkStart w:id="101" w:name="_Toc20862"/>
      <w:r>
        <w:rPr>
          <w:rFonts w:ascii="仿宋" w:eastAsia="仿宋" w:hAnsi="仿宋" w:cs="仿宋" w:hint="eastAsia"/>
          <w:color w:val="auto"/>
          <w:highlight w:val="none"/>
        </w:rPr>
        <w:t xml:space="preserve">（二）绩效评价原则、评价指标体系、评价方法、评价标准</w:t>
      </w:r>
      <w:bookmarkEnd w:id="96"/>
      <w:bookmarkEnd w:id="97"/>
      <w:bookmarkEnd w:id="98"/>
      <w:bookmarkEnd w:id="99"/>
      <w:bookmarkEnd w:id="100"/>
      <w:bookmarkEnd w:id="101"/>
    </w:p>
    <w:p>
      <w:pPr>
        <w:bidi w:val="0"/>
        <w:rPr>
          <w:rFonts w:ascii="仿宋" w:eastAsia="仿宋" w:hAnsi="仿宋" w:cs="仿宋" w:hint="eastAsia"/>
          <w:b/>
          <w:bCs/>
          <w:color w:val="auto"/>
          <w:highlight w:val="none"/>
        </w:rPr>
      </w:pPr>
      <w:bookmarkStart w:id="102" w:name="_Toc23487"/>
      <w:bookmarkStart w:id="103" w:name="_Toc18268"/>
      <w:r>
        <w:rPr>
          <w:rFonts w:ascii="仿宋" w:eastAsia="仿宋" w:hAnsi="仿宋" w:cs="仿宋" w:hint="eastAsia"/>
          <w:b/>
          <w:bCs/>
          <w:color w:val="auto"/>
          <w:highlight w:val="none"/>
        </w:rPr>
        <w:t xml:space="preserve">1.绩效评价原则</w:t>
      </w:r>
      <w:bookmarkEnd w:id="102"/>
      <w:bookmarkEnd w:id="103"/>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依据《中华人民共和国预算法》《中共中央国务院关于全面实施预算绩效管理的意见》（中发〔2018〕34号）《项目支出绩效评价管理办法》（财预〔2020〕10号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（1）科学公正。绩效评价应当运用科学合理的方法，按照规范的程序，对项目绩效进行客观、</w:t>
      </w:r>
      <w:r>
        <w:rPr>
          <w:rFonts w:ascii="仿宋" w:eastAsia="仿宋" w:hAnsi="仿宋" w:cs="仿宋" w:hint="eastAsia"/>
          <w:color w:val="auto"/>
          <w:highlight w:val="none"/>
          <w:lang w:eastAsia="zh-CN"/>
        </w:rPr>
        <w:t xml:space="preserve">公正地反映</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（2）统筹兼顾。单位自评应由项目单位自主实施，即“谁支出、谁自评”。</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（3）激励约束。绩效评价结果应与预算安排、政策调整、改进管理实质性挂钩，体现奖优罚劣和激励相容导向，有效要安排、低效要压减、无效要问责。</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（4）公开透明。</w:t>
      </w:r>
      <w:r>
        <w:rPr>
          <w:rFonts w:ascii="仿宋" w:eastAsia="仿宋" w:hAnsi="仿宋" w:cs="仿宋" w:hint="eastAsia"/>
          <w:color w:val="auto"/>
          <w:highlight w:val="none"/>
          <w:lang w:val="en-US" w:eastAsia="zh-CN"/>
        </w:rPr>
        <w:t xml:space="preserve">本次项目支出绩效评价结果已依法依规在尉犁县人民政府网站上公开，并自觉接受社会监督</w:t>
      </w:r>
      <w:r>
        <w:rPr>
          <w:rFonts w:ascii="仿宋" w:eastAsia="仿宋" w:hAnsi="仿宋" w:cs="仿宋" w:hint="eastAsia"/>
          <w:color w:val="auto"/>
          <w:highlight w:val="none"/>
        </w:rPr>
        <w:t xml:space="preserve">。</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bookmarkStart w:id="104" w:name="_Toc23112"/>
      <w:bookmarkStart w:id="105" w:name="_Toc28342"/>
      <w:r>
        <w:rPr>
          <w:rFonts w:ascii="仿宋" w:eastAsia="仿宋" w:hAnsi="仿宋" w:cs="仿宋" w:hint="eastAsia"/>
          <w:color w:val="auto"/>
          <w:highlight w:val="none"/>
        </w:rPr>
        <w:t xml:space="preserve">根据以上原则</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绩效评价应遵循如下要求:</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（1）在数据采集时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采取客观数据</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主管部门审查、社会中介组织复查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与问卷调查相结合的形式</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以保证各项指标的真实性。</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（2）保证评价结果的真实性、公正性</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提高评价报告的公信力。</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（3）</w:t>
      </w:r>
      <w:r>
        <w:rPr>
          <w:rFonts w:ascii="仿宋" w:eastAsia="仿宋" w:hAnsi="仿宋" w:cs="仿宋" w:hint="eastAsia"/>
          <w:color w:val="auto"/>
          <w:highlight w:val="none"/>
          <w:lang w:val="en-US" w:eastAsia="zh-CN"/>
        </w:rPr>
        <w:t xml:space="preserve">绩效</w:t>
      </w:r>
      <w:r>
        <w:rPr>
          <w:rFonts w:ascii="仿宋" w:eastAsia="仿宋" w:hAnsi="仿宋" w:cs="仿宋" w:hint="eastAsia"/>
          <w:color w:val="auto"/>
          <w:highlight w:val="none"/>
        </w:rPr>
        <w:t xml:space="preserve">评价报告应当简明扼要</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除了对绩效评价的过程、结果描述外</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还应总结经验</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指出问题</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并就共性问题提出可操作性改进建议。评价工作组本着科学规范、公平公正、绩效相关的原则，采用全面、重点、现场和非现场相结合的方式进行评价。</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2.评价指标体系</w:t>
      </w:r>
      <w:bookmarkEnd w:id="104"/>
      <w:bookmarkEnd w:id="105"/>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2024年中央“三北”工程补助资金项目</w:t>
      </w:r>
      <w:r>
        <w:rPr>
          <w:rFonts w:ascii="仿宋" w:eastAsia="仿宋" w:hAnsi="仿宋" w:cs="仿宋" w:hint="eastAsia"/>
          <w:color w:val="auto"/>
          <w:highlight w:val="none"/>
        </w:rPr>
        <w:t xml:space="preserve">绩效评价（部门自评）指标体系的设计，是在充分掌握项目状况的基础上，形成了</w:t>
      </w:r>
      <w:r>
        <w:rPr>
          <w:rFonts w:ascii="仿宋" w:eastAsia="仿宋" w:hAnsi="仿宋" w:cs="仿宋" w:hint="eastAsia"/>
          <w:color w:val="auto"/>
          <w:highlight w:val="none"/>
          <w:lang w:eastAsia="zh-CN"/>
        </w:rPr>
        <w:t xml:space="preserve">2024年中央“三北”工程补助资金项目</w:t>
      </w:r>
      <w:r>
        <w:rPr>
          <w:rFonts w:ascii="仿宋" w:eastAsia="仿宋" w:hAnsi="仿宋" w:cs="仿宋" w:hint="eastAsia"/>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bidi w:val="0"/>
        <w:rPr>
          <w:rFonts w:ascii="仿宋" w:eastAsia="仿宋" w:hAnsi="仿宋" w:cs="仿宋" w:hint="eastAsia"/>
          <w:b/>
          <w:bCs/>
          <w:color w:val="auto"/>
          <w:highlight w:val="none"/>
        </w:rPr>
      </w:pPr>
      <w:r>
        <w:rPr>
          <w:rFonts w:ascii="仿宋" w:eastAsia="仿宋" w:hAnsi="仿宋" w:cs="仿宋" w:hint="eastAsia"/>
          <w:color w:val="auto"/>
          <w:highlight w:val="none"/>
        </w:rPr>
        <w:t xml:space="preserve">按照财预〔2020〕10号文件关于“原则上产出、效益指标权重不低于60%”的要求，本项目产出、效益指标权重60%（即60分）。</w:t>
      </w:r>
      <w:bookmarkStart w:id="106" w:name="_Toc10631"/>
      <w:bookmarkStart w:id="107" w:name="_Toc15680"/>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3.绩效评价方法</w:t>
      </w:r>
      <w:bookmarkEnd w:id="106"/>
      <w:bookmarkEnd w:id="107"/>
    </w:p>
    <w:p>
      <w:pPr>
        <w:keepNext w:val="0"/>
        <w:keepLines w:val="0"/>
        <w:widowControl/>
        <w:suppressLineNumbers w:val="0"/>
        <w:jc w:val="left"/>
        <w:rPr>
          <w:rFonts w:ascii="仿宋" w:eastAsia="仿宋" w:hAnsi="仿宋" w:cs="仿宋" w:hint="eastAsia"/>
          <w:color w:val="auto"/>
          <w:sz w:val="32"/>
          <w:szCs w:val="32"/>
          <w:highlight w:val="none"/>
        </w:rPr>
      </w:pPr>
      <w:r>
        <w:rPr>
          <w:rFonts w:ascii="仿宋" w:eastAsia="仿宋" w:hAnsi="仿宋" w:cs="仿宋" w:hint="eastAsia"/>
          <w:color w:val="auto"/>
          <w:kern w:val="0"/>
          <w:sz w:val="32"/>
          <w:szCs w:val="32"/>
          <w:highlight w:val="none"/>
          <w:lang w:val="en-US" w:eastAsia="zh-CN"/>
        </w:rPr>
        <w:t xml:space="preserve">绩效评价从项目决策、项目过程、项目产出、项目效益四个维度进行评价。评价对象为项目目标实施情况，评价核心为资金的支出完成情况和项目的产出效益。</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eastAsia="zh-CN"/>
        </w:rPr>
        <w:t xml:space="preserve">2024年中央“三北”工程补助资金项目</w:t>
      </w:r>
      <w:r>
        <w:rPr>
          <w:rFonts w:ascii="仿宋" w:eastAsia="仿宋" w:hAnsi="仿宋" w:cs="仿宋" w:hint="eastAsia"/>
          <w:color w:val="auto"/>
          <w:highlight w:val="none"/>
        </w:rPr>
        <w:t xml:space="preserve">的特点，</w:t>
      </w:r>
      <w:r>
        <w:rPr>
          <w:rFonts w:ascii="仿宋" w:eastAsia="仿宋" w:hAnsi="仿宋" w:cs="仿宋" w:hint="eastAsia"/>
          <w:color w:val="auto"/>
          <w:highlight w:val="none"/>
          <w:lang w:val="en-US" w:eastAsia="zh-CN"/>
        </w:rPr>
        <w:t xml:space="preserve">本次评价主要运用比较法、公众评判法，原因是：</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比较法：本项目绩效评价将项目实施情况即实际完成的年度完成沙化土地新造林管护面积、沙化土地封禁保护补偿面积、沙化土地封禁保护区成效监测站点点形成监测报告数量、发放管护人员工资人数等指标与年初设定的目标值进行比较</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因此，采取的</w:t>
      </w:r>
      <w:r>
        <w:rPr>
          <w:rFonts w:ascii="仿宋" w:eastAsia="仿宋" w:hAnsi="仿宋" w:cs="仿宋" w:hint="eastAsia"/>
          <w:color w:val="auto"/>
          <w:highlight w:val="none"/>
        </w:rPr>
        <w:t xml:space="preserve">绩效评价方法</w:t>
      </w:r>
      <w:r>
        <w:rPr>
          <w:rFonts w:ascii="仿宋" w:eastAsia="仿宋" w:hAnsi="仿宋" w:cs="仿宋" w:hint="eastAsia"/>
          <w:color w:val="auto"/>
          <w:highlight w:val="none"/>
          <w:lang w:val="en-US" w:eastAsia="zh-CN"/>
        </w:rPr>
        <w:t xml:space="preserve">是</w:t>
      </w:r>
      <w:r>
        <w:rPr>
          <w:rFonts w:ascii="仿宋" w:eastAsia="仿宋" w:hAnsi="仿宋" w:cs="仿宋" w:hint="eastAsia"/>
          <w:color w:val="auto"/>
          <w:highlight w:val="none"/>
        </w:rPr>
        <w:t xml:space="preserve">：比较法</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公共评判法：通过对项目区群众满意度进行问卷及抽样调查等方式，评价本项目实施后受益对象对项目实施效果的满意程度，对财政资金使用效果进行评判，评价绩效目标实现程度。</w:t>
      </w:r>
    </w:p>
    <w:p>
      <w:pPr>
        <w:bidi w:val="0"/>
        <w:rPr>
          <w:rFonts w:ascii="仿宋" w:eastAsia="仿宋" w:hAnsi="仿宋" w:cs="仿宋" w:hint="eastAsia"/>
          <w:b/>
          <w:bCs/>
          <w:color w:val="auto"/>
          <w:highlight w:val="none"/>
        </w:rPr>
      </w:pPr>
      <w:bookmarkStart w:id="108" w:name="_Toc15525"/>
      <w:bookmarkStart w:id="109" w:name="_Toc3155"/>
      <w:r>
        <w:rPr>
          <w:rFonts w:ascii="仿宋" w:eastAsia="仿宋" w:hAnsi="仿宋" w:cs="仿宋" w:hint="eastAsia"/>
          <w:b/>
          <w:bCs/>
          <w:color w:val="auto"/>
          <w:highlight w:val="none"/>
        </w:rPr>
        <w:t xml:space="preserve">4.绩效评价标准</w:t>
      </w:r>
      <w:bookmarkEnd w:id="108"/>
      <w:bookmarkEnd w:id="109"/>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绩效评价标准通常包括计划标准、行业标准、历史标准等，用于对绩效指标完成情况进行比较。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eastAsia="zh-CN"/>
        </w:rPr>
        <w:t xml:space="preserve">2024年中央“三北”工程补助资金项目</w:t>
      </w:r>
      <w:r>
        <w:rPr>
          <w:rFonts w:ascii="仿宋" w:eastAsia="仿宋" w:hAnsi="仿宋" w:cs="仿宋" w:hint="eastAsia"/>
          <w:color w:val="auto"/>
          <w:highlight w:val="none"/>
        </w:rPr>
        <w:t xml:space="preserve">的特点，</w:t>
      </w:r>
      <w:bookmarkStart w:id="110" w:name="_Toc15381"/>
      <w:bookmarkStart w:id="111" w:name="_Toc26411"/>
      <w:bookmarkStart w:id="112" w:name="_Toc30219"/>
      <w:bookmarkStart w:id="113" w:name="_Toc17851"/>
      <w:r>
        <w:rPr>
          <w:rFonts w:ascii="仿宋" w:eastAsia="仿宋" w:hAnsi="仿宋" w:cs="仿宋" w:hint="eastAsia"/>
          <w:color w:val="auto"/>
          <w:highlight w:val="none"/>
          <w:lang w:val="en-US" w:eastAsia="zh-CN"/>
        </w:rPr>
        <w:t xml:space="preserve">本项目绩效评价以预先制定的年度完成沙化土地新造林管护面积、沙化土地封禁保护补偿面积、沙化土地封禁保护区成效监测站点点形成监测报告数量、发放管护人员工资人数为计划数作为评价标准。因此，采取的绩效评价标准为：计划标准。</w:t>
      </w:r>
    </w:p>
    <w:p>
      <w:pPr>
        <w:pStyle w:val="Heading3"/>
        <w:bidi w:val="0"/>
        <w:jc w:val="both"/>
        <w:outlineLvl w:val="1"/>
        <w:rPr>
          <w:rFonts w:ascii="仿宋" w:eastAsia="仿宋" w:hAnsi="仿宋" w:cs="仿宋" w:hint="eastAsia"/>
          <w:color w:val="auto"/>
          <w:highlight w:val="none"/>
        </w:rPr>
      </w:pPr>
      <w:bookmarkStart w:id="114" w:name="_Toc13199"/>
      <w:bookmarkStart w:id="115" w:name="_Toc18860"/>
      <w:r>
        <w:rPr>
          <w:rFonts w:ascii="仿宋" w:eastAsia="仿宋" w:hAnsi="仿宋" w:cs="仿宋" w:hint="eastAsia"/>
          <w:color w:val="auto"/>
          <w:highlight w:val="none"/>
        </w:rPr>
        <w:t xml:space="preserve">（三）绩效评价工作过程</w:t>
      </w:r>
      <w:bookmarkEnd w:id="110"/>
      <w:bookmarkEnd w:id="111"/>
      <w:bookmarkEnd w:id="112"/>
      <w:bookmarkEnd w:id="113"/>
      <w:bookmarkEnd w:id="114"/>
      <w:bookmarkEnd w:id="115"/>
    </w:p>
    <w:p>
      <w:pPr>
        <w:bidi w:val="0"/>
        <w:rPr>
          <w:rFonts w:ascii="仿宋" w:eastAsia="仿宋" w:hAnsi="仿宋" w:cs="仿宋" w:hint="eastAsia"/>
          <w:b/>
          <w:bCs/>
          <w:color w:val="auto"/>
          <w:highlight w:val="none"/>
        </w:rPr>
      </w:pPr>
      <w:bookmarkStart w:id="116" w:name="_Toc17595"/>
      <w:bookmarkStart w:id="117" w:name="_Toc30911"/>
      <w:bookmarkStart w:id="118" w:name="_Toc22987"/>
      <w:bookmarkStart w:id="119" w:name="_Toc27442"/>
      <w:bookmarkStart w:id="120" w:name="_Toc31054"/>
      <w:r>
        <w:rPr>
          <w:rFonts w:ascii="仿宋" w:eastAsia="仿宋" w:hAnsi="仿宋" w:cs="仿宋" w:hint="eastAsia"/>
          <w:b/>
          <w:bCs/>
          <w:color w:val="auto"/>
          <w:highlight w:val="none"/>
        </w:rPr>
        <w:t xml:space="preserve">1.前期准备</w:t>
      </w:r>
      <w:bookmarkEnd w:id="116"/>
      <w:bookmarkEnd w:id="117"/>
      <w:bookmarkEnd w:id="118"/>
      <w:bookmarkEnd w:id="119"/>
      <w:bookmarkEnd w:id="120"/>
      <w:bookmarkStart w:id="121" w:name="OLE_LINK5"/>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2025年2月10日-2025年2月20日</w:t>
      </w:r>
      <w:r>
        <w:rPr>
          <w:rFonts w:ascii="仿宋" w:eastAsia="仿宋" w:hAnsi="仿宋" w:cs="仿宋" w:hint="eastAsia"/>
          <w:b/>
          <w:bCs/>
          <w:color w:val="auto"/>
          <w:highlight w:val="none"/>
          <w:lang w:eastAsia="zh-CN"/>
        </w:rPr>
        <w:t xml:space="preserve">）</w:t>
      </w:r>
      <w:bookmarkEnd w:id="121"/>
    </w:p>
    <w:p>
      <w:pPr>
        <w:bidi w:val="0"/>
        <w:rPr>
          <w:rFonts w:ascii="仿宋" w:eastAsia="仿宋" w:hAnsi="仿宋" w:cs="仿宋" w:hint="eastAsia"/>
          <w:bCs/>
          <w:color w:val="auto"/>
          <w:szCs w:val="32"/>
          <w:highlight w:val="none"/>
          <w:lang w:val="en-US" w:eastAsia="zh-CN"/>
        </w:rPr>
      </w:pPr>
      <w:bookmarkStart w:id="122" w:name="_Toc2579"/>
      <w:r>
        <w:rPr>
          <w:rFonts w:ascii="仿宋" w:eastAsia="仿宋" w:hAnsi="仿宋" w:cs="仿宋" w:hint="eastAsia"/>
          <w:color w:val="auto"/>
          <w:highlight w:val="none"/>
        </w:rPr>
        <w:t xml:space="preserve">按照《项目支出绩效评价管理办法》（财预〔2020〕10</w:t>
      </w:r>
      <w:r>
        <w:rPr>
          <w:rFonts w:ascii="仿宋" w:eastAsia="仿宋" w:hAnsi="仿宋" w:cs="仿宋" w:hint="eastAsia"/>
          <w:bCs/>
          <w:color w:val="auto"/>
          <w:szCs w:val="32"/>
          <w:highlight w:val="none"/>
        </w:rPr>
        <w:t xml:space="preserve">号）文件要求，</w:t>
      </w:r>
      <w:r>
        <w:rPr>
          <w:rFonts w:ascii="仿宋" w:eastAsia="仿宋" w:hAnsi="仿宋" w:cs="仿宋" w:hint="eastAsia"/>
          <w:color w:val="auto"/>
          <w:highlight w:val="none"/>
          <w:lang w:eastAsia="zh-CN"/>
        </w:rPr>
        <w:t xml:space="preserve">尉犁</w:t>
      </w:r>
      <w:r>
        <w:rPr>
          <w:rFonts w:ascii="仿宋" w:eastAsia="仿宋" w:hAnsi="仿宋" w:cs="仿宋" w:hint="eastAsia"/>
          <w:color w:val="auto"/>
          <w:highlight w:val="none"/>
        </w:rPr>
        <w:t xml:space="preserve">县</w:t>
      </w:r>
      <w:r>
        <w:rPr>
          <w:rFonts w:ascii="仿宋" w:eastAsia="仿宋" w:hAnsi="仿宋" w:cs="仿宋" w:hint="eastAsia"/>
          <w:color w:val="auto"/>
          <w:highlight w:val="none"/>
          <w:lang w:val="en-US" w:eastAsia="zh-CN"/>
        </w:rPr>
        <w:t xml:space="preserve">林业和草原局</w:t>
      </w:r>
      <w:r>
        <w:rPr>
          <w:rFonts w:ascii="仿宋" w:eastAsia="仿宋" w:hAnsi="仿宋" w:cs="仿宋" w:hint="eastAsia"/>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r>
        <w:rPr>
          <w:rFonts w:ascii="仿宋" w:eastAsia="仿宋" w:hAnsi="仿宋" w:cs="仿宋" w:hint="eastAsia"/>
          <w:bCs/>
          <w:color w:val="auto"/>
          <w:szCs w:val="32"/>
          <w:highlight w:val="none"/>
          <w:lang w:val="en-US" w:eastAsia="zh-CN"/>
        </w:rPr>
        <w:t xml:space="preserve">绩效评价工作小组人员名单及分工如下：</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评价小组组长：艾海提·肉孜，主要负责协调相关科室、部门对项目整体运行情况进行验收、评估。</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评价小组组员：张翼，主要负责制定评价指标体系及评价标准。</w:t>
      </w:r>
    </w:p>
    <w:p>
      <w:pPr>
        <w:rPr>
          <w:rFonts w:ascii="仿宋" w:eastAsia="仿宋" w:hAnsi="仿宋" w:cs="仿宋" w:hint="eastAsia"/>
          <w:bCs/>
          <w:color w:val="auto"/>
          <w:szCs w:val="32"/>
          <w:highlight w:val="none"/>
        </w:rPr>
      </w:pPr>
      <w:bookmarkStart w:id="123" w:name="OLE_LINK15"/>
      <w:r>
        <w:rPr>
          <w:rFonts w:ascii="仿宋" w:eastAsia="仿宋" w:hAnsi="仿宋" w:cs="仿宋" w:hint="eastAsia"/>
          <w:color w:val="auto"/>
          <w:highlight w:val="none"/>
          <w:lang w:val="en-US" w:eastAsia="zh-CN"/>
        </w:rPr>
        <w:t xml:space="preserve">评价小组组员：杨绍华，主要负责</w:t>
      </w:r>
      <w:r>
        <w:rPr>
          <w:rFonts w:ascii="仿宋" w:eastAsia="仿宋" w:hAnsi="仿宋" w:cs="仿宋" w:hint="eastAsia"/>
          <w:color w:val="auto"/>
          <w:highlight w:val="none"/>
          <w:lang w:eastAsia="zh-CN"/>
        </w:rPr>
        <w:t xml:space="preserve">2024年中央“三北”工程补助资金</w:t>
      </w:r>
      <w:r>
        <w:rPr>
          <w:rFonts w:ascii="仿宋" w:eastAsia="仿宋" w:hAnsi="仿宋" w:cs="仿宋" w:hint="eastAsia"/>
          <w:color w:val="auto"/>
          <w:highlight w:val="none"/>
          <w:lang w:val="en-US" w:eastAsia="zh-CN"/>
        </w:rPr>
        <w:t xml:space="preserve">项目实施、监督、评估工作。</w:t>
      </w:r>
      <w:bookmarkEnd w:id="123"/>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2.组织实施</w:t>
      </w:r>
      <w:bookmarkEnd w:id="122"/>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2025年2月21日-2025年3月5日</w:t>
      </w:r>
      <w:r>
        <w:rPr>
          <w:rFonts w:ascii="仿宋" w:eastAsia="仿宋" w:hAnsi="仿宋" w:cs="仿宋" w:hint="eastAsia"/>
          <w:b/>
          <w:bCs/>
          <w:color w:val="auto"/>
          <w:highlight w:val="none"/>
          <w:lang w:eastAsia="zh-CN"/>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评价的具体实施根据评价指标及评价工作要求，对具体评价内容和不同环节，采用以下取得的资料与评价方式。</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w:t>
      </w:r>
      <w:r>
        <w:rPr>
          <w:rFonts w:ascii="仿宋" w:eastAsia="仿宋" w:hAnsi="仿宋" w:cs="仿宋"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rFonts w:ascii="仿宋" w:eastAsia="仿宋" w:hAnsi="仿宋" w:cs="仿宋" w:hint="eastAsia"/>
          <w:b/>
          <w:bCs/>
          <w:color w:val="auto"/>
          <w:highlight w:val="none"/>
        </w:rPr>
      </w:pPr>
      <w:bookmarkStart w:id="124" w:name="_Toc19781"/>
      <w:r>
        <w:rPr>
          <w:rFonts w:ascii="仿宋" w:eastAsia="仿宋" w:hAnsi="仿宋" w:cs="仿宋" w:hint="eastAsia"/>
          <w:b/>
          <w:bCs/>
          <w:color w:val="auto"/>
          <w:highlight w:val="none"/>
        </w:rPr>
        <w:t xml:space="preserve">3.数据集中分析</w:t>
      </w:r>
      <w:bookmarkEnd w:id="124"/>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2025年3月6日-2025年3月20日</w:t>
      </w:r>
      <w:r>
        <w:rPr>
          <w:rFonts w:ascii="仿宋" w:eastAsia="仿宋" w:hAnsi="仿宋" w:cs="仿宋" w:hint="eastAsia"/>
          <w:b/>
          <w:bCs/>
          <w:color w:val="auto"/>
          <w:highlight w:val="none"/>
          <w:lang w:eastAsia="zh-CN"/>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对相关资料，包括资金文件、项目实施方案、相关管理办法，问卷调查等进行集中分析。在查阅大量项目资料的基础上，根据考察、考评的结果进行整理、分析。</w:t>
      </w:r>
    </w:p>
    <w:p>
      <w:pPr>
        <w:bidi w:val="0"/>
        <w:rPr>
          <w:rFonts w:ascii="仿宋" w:eastAsia="仿宋" w:hAnsi="仿宋" w:cs="仿宋" w:hint="eastAsia"/>
          <w:b/>
          <w:bCs/>
          <w:color w:val="auto"/>
          <w:highlight w:val="none"/>
        </w:rPr>
      </w:pPr>
      <w:bookmarkStart w:id="125" w:name="_Toc5021"/>
      <w:r>
        <w:rPr>
          <w:rFonts w:ascii="仿宋" w:eastAsia="仿宋" w:hAnsi="仿宋" w:cs="仿宋" w:hint="eastAsia"/>
          <w:b/>
          <w:bCs/>
          <w:color w:val="auto"/>
          <w:highlight w:val="none"/>
        </w:rPr>
        <w:t xml:space="preserve">4.分析总结</w:t>
      </w:r>
      <w:bookmarkEnd w:id="125"/>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2025年3月21日-2025年3月31日</w:t>
      </w:r>
      <w:r>
        <w:rPr>
          <w:rFonts w:ascii="仿宋" w:eastAsia="仿宋" w:hAnsi="仿宋" w:cs="仿宋" w:hint="eastAsia"/>
          <w:b/>
          <w:bCs/>
          <w:color w:val="auto"/>
          <w:highlight w:val="none"/>
          <w:lang w:eastAsia="zh-CN"/>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（1）根据部门自评的意见及考察、考评的结果进行整理、分析，撰写绩效评价报告初稿；</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（2）就部门自评报告与部门具体有关股室征求意见，形成最终的绩效评价报告。</w:t>
      </w:r>
    </w:p>
    <w:p>
      <w:pPr>
        <w:rPr>
          <w:rFonts w:ascii="仿宋" w:eastAsia="仿宋" w:hAnsi="仿宋" w:cs="仿宋" w:hint="eastAsia"/>
          <w:b/>
          <w:bCs/>
          <w:color w:val="auto"/>
          <w:highlight w:val="none"/>
        </w:rPr>
      </w:pPr>
      <w:bookmarkStart w:id="126" w:name="_Toc21627"/>
      <w:bookmarkStart w:id="127" w:name="_Toc1808"/>
      <w:bookmarkStart w:id="128" w:name="_Toc2407"/>
      <w:bookmarkStart w:id="129" w:name="_Toc6676"/>
      <w:bookmarkStart w:id="130" w:name="_Toc29501"/>
      <w:bookmarkStart w:id="131" w:name="_Toc13003"/>
      <w:bookmarkStart w:id="132" w:name="_Toc32641"/>
      <w:bookmarkStart w:id="133" w:name="_Toc31312"/>
      <w:bookmarkStart w:id="134" w:name="_Toc31058"/>
      <w:bookmarkStart w:id="135" w:name="_Toc8550"/>
      <w:bookmarkStart w:id="136" w:name="_Toc25201"/>
      <w:bookmarkStart w:id="137" w:name="_Toc18945"/>
      <w:r>
        <w:rPr>
          <w:rFonts w:ascii="仿宋" w:eastAsia="仿宋" w:hAnsi="仿宋" w:cs="仿宋" w:hint="eastAsia"/>
          <w:b/>
          <w:bCs/>
          <w:color w:val="auto"/>
          <w:highlight w:val="none"/>
        </w:rPr>
        <w:t xml:space="preserve">5</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问题整改</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6</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档案整理</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建立和落实档案管理制度，将项目相关资料存档，包括但不限于：评价项目基本情况和相关文件、评价实施方案、项目支付资料等相关档案。</w:t>
      </w:r>
    </w:p>
    <w:p>
      <w:pPr>
        <w:pStyle w:val="Heading2"/>
        <w:bidi w:val="0"/>
        <w:jc w:val="both"/>
        <w:outlineLvl w:val="0"/>
        <w:rPr>
          <w:rFonts w:ascii="仿宋" w:eastAsia="仿宋" w:hAnsi="仿宋" w:cs="仿宋" w:hint="eastAsia"/>
          <w:color w:val="auto"/>
          <w:highlight w:val="none"/>
        </w:rPr>
      </w:pPr>
      <w:r>
        <w:rPr>
          <w:rFonts w:ascii="仿宋" w:eastAsia="仿宋" w:hAnsi="仿宋" w:cs="仿宋" w:hint="eastAsia"/>
          <w:color w:val="auto"/>
          <w:highlight w:val="none"/>
        </w:rPr>
        <w:t xml:space="preserve">三、综合评价情况及评价结论</w:t>
      </w:r>
      <w:bookmarkEnd w:id="126"/>
      <w:bookmarkEnd w:id="127"/>
      <w:bookmarkEnd w:id="128"/>
      <w:bookmarkEnd w:id="129"/>
      <w:bookmarkEnd w:id="130"/>
      <w:bookmarkEnd w:id="131"/>
      <w:bookmarkEnd w:id="132"/>
      <w:bookmarkEnd w:id="133"/>
      <w:bookmarkEnd w:id="134"/>
      <w:bookmarkEnd w:id="135"/>
      <w:bookmarkEnd w:id="136"/>
      <w:bookmarkEnd w:id="137"/>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本项目的绩效评价结果为“优”，综合评分</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分。其中项目决策22分，项目过程1</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分，项目产出管理得分</w:t>
      </w:r>
      <w:r>
        <w:rPr>
          <w:rFonts w:ascii="仿宋" w:eastAsia="仿宋" w:hAnsi="仿宋" w:cs="仿宋" w:hint="eastAsia"/>
          <w:color w:val="auto"/>
          <w:highlight w:val="none"/>
          <w:lang w:val="en-US" w:eastAsia="zh-CN"/>
        </w:rPr>
        <w:t xml:space="preserve">40</w:t>
      </w:r>
      <w:r>
        <w:rPr>
          <w:rFonts w:ascii="仿宋" w:eastAsia="仿宋" w:hAnsi="仿宋" w:cs="仿宋" w:hint="eastAsia"/>
          <w:color w:val="auto"/>
          <w:highlight w:val="none"/>
        </w:rPr>
        <w:t xml:space="preserve">分，项目效益20分</w:t>
      </w:r>
      <w:r>
        <w:rPr>
          <w:rFonts w:ascii="仿宋" w:eastAsia="仿宋" w:hAnsi="仿宋" w:cs="仿宋" w:hint="eastAsia"/>
          <w:color w:val="auto"/>
          <w:highlight w:val="none"/>
          <w:lang w:val="en-US" w:eastAsia="zh-CN"/>
        </w:rPr>
        <w:t xml:space="preserve">。各部分权重和绩效汇总分值如下表所示：</w:t>
      </w:r>
    </w:p>
    <w:tbl>
      <w:tblPr>
        <w:tblStyle w:val="NormalTable"/>
        <w:tblW w:w="0" w:type="auto"/>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0" w:type="auto"/>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0"/>
            <w:tcMar>
              <w:top w:w="15" w:type="dxa"/>
              <w:left w:w="15" w:type="dxa"/>
              <w:bottom w:w="0" w:type="dxa"/>
              <w:right w:w="15" w:type="dxa"/>
            </w:tcMar>
            <w:vAlign w:val="center"/>
          </w:tcPr>
          <w:p>
            <w:pPr>
              <w:pStyle w:val="表格标题"/>
              <w:keepNext/>
              <w:keepLines/>
              <w:pageBreakBefore w:val="0"/>
              <w:widowControl w:val="0"/>
              <w:kinsoku/>
              <w:wordWrap/>
              <w:overflowPunct/>
              <w:topLinePunct w:val="0"/>
              <w:autoSpaceDE/>
              <w:autoSpaceDN/>
              <w:bidi w:val="0"/>
              <w:adjustRightInd/>
              <w:snapToGrid w:val="0"/>
              <w:spacing w:line="240" w:lineRule="auto"/>
              <w:jc w:val="center"/>
              <w:textAlignment w:val="auto"/>
              <w:rPr>
                <w:rFonts w:ascii="仿宋" w:eastAsia="仿宋" w:hAnsi="仿宋" w:cs="仿宋" w:hint="eastAsia"/>
                <w:color w:val="auto"/>
                <w:highlight w:val="none"/>
              </w:rPr>
            </w:pPr>
            <w:bookmarkStart w:id="138" w:name="OLE_LINK6"/>
            <w:bookmarkStart w:id="139" w:name="_Toc258"/>
            <w:bookmarkStart w:id="140" w:name="_Toc16319"/>
            <w:bookmarkStart w:id="141" w:name="_Toc16918"/>
            <w:bookmarkStart w:id="142" w:name="_Toc29253"/>
            <w:bookmarkStart w:id="143" w:name="_Toc20769"/>
            <w:bookmarkStart w:id="144" w:name="_Toc7446"/>
            <w:bookmarkStart w:id="145" w:name="_Toc3500"/>
            <w:bookmarkStart w:id="146" w:name="OLE_LINK17"/>
            <w:bookmarkStart w:id="147" w:name="_Toc30727"/>
            <w:bookmarkStart w:id="148" w:name="_Toc17356"/>
            <w:r>
              <w:rPr>
                <w:rFonts w:ascii="仿宋" w:eastAsia="仿宋" w:hAnsi="仿宋" w:cs="仿宋" w:hint="eastAsia"/>
                <w:color w:val="auto"/>
                <w:highlight w:val="none"/>
                <w:lang w:eastAsia="zh-CN"/>
              </w:rPr>
              <w:t xml:space="preserve">2024年中央“三北”工程补助资金</w:t>
            </w:r>
            <w:bookmarkEnd w:id="138"/>
            <w:r>
              <w:rPr>
                <w:rFonts w:ascii="仿宋" w:eastAsia="仿宋" w:hAnsi="仿宋" w:cs="仿宋" w:hint="eastAsia"/>
                <w:color w:val="auto"/>
                <w:highlight w:val="none"/>
                <w:lang w:val="en-US" w:eastAsia="zh-CN"/>
              </w:rPr>
              <w:t xml:space="preserve">项目</w:t>
            </w:r>
            <w:bookmarkEnd w:id="139"/>
            <w:bookmarkEnd w:id="140"/>
            <w:bookmarkEnd w:id="141"/>
            <w:bookmarkEnd w:id="142"/>
            <w:bookmarkEnd w:id="143"/>
            <w:bookmarkEnd w:id="144"/>
            <w:bookmarkEnd w:id="145"/>
          </w:p>
          <w:p>
            <w:pPr>
              <w:pStyle w:val="表格标题"/>
              <w:keepNext/>
              <w:keepLines/>
              <w:pageBreakBefore w:val="0"/>
              <w:widowControl w:val="0"/>
              <w:kinsoku/>
              <w:wordWrap/>
              <w:overflowPunct/>
              <w:topLinePunct w:val="0"/>
              <w:autoSpaceDE/>
              <w:autoSpaceDN/>
              <w:bidi w:val="0"/>
              <w:adjustRightInd/>
              <w:snapToGrid w:val="0"/>
              <w:spacing w:line="240" w:lineRule="auto"/>
              <w:jc w:val="center"/>
              <w:textAlignment w:val="auto"/>
              <w:rPr>
                <w:rFonts w:ascii="仿宋" w:eastAsia="仿宋" w:hAnsi="仿宋" w:cs="仿宋" w:hint="eastAsia"/>
                <w:color w:val="auto"/>
                <w:highlight w:val="none"/>
              </w:rPr>
            </w:pPr>
            <w:bookmarkStart w:id="149" w:name="_Toc13728"/>
            <w:bookmarkStart w:id="150" w:name="_Toc27662"/>
            <w:bookmarkStart w:id="151" w:name="_Toc16086"/>
            <w:bookmarkStart w:id="152" w:name="_Toc23716"/>
            <w:bookmarkStart w:id="153" w:name="_Toc8752"/>
            <w:bookmarkStart w:id="154" w:name="_Toc3703"/>
            <w:bookmarkStart w:id="155" w:name="_Toc28345"/>
            <w:bookmarkStart w:id="156" w:name="_Toc28704"/>
            <w:bookmarkStart w:id="157" w:name="_Toc2360"/>
            <w:r>
              <w:rPr>
                <w:rFonts w:ascii="仿宋" w:eastAsia="仿宋" w:hAnsi="仿宋" w:cs="仿宋" w:hint="eastAsia"/>
                <w:color w:val="auto"/>
                <w:highlight w:val="none"/>
              </w:rPr>
              <w:t xml:space="preserve">绩效评价</w:t>
            </w:r>
            <w:r>
              <w:rPr>
                <w:rFonts w:ascii="仿宋" w:eastAsia="仿宋" w:hAnsi="仿宋" w:cs="仿宋" w:hint="eastAsia"/>
                <w:color w:val="auto"/>
                <w:highlight w:val="none"/>
                <w:lang w:val="zh-TW" w:eastAsia="zh-TW"/>
              </w:rPr>
              <w:t xml:space="preserve">得分表</w:t>
            </w:r>
            <w:bookmarkEnd w:id="149"/>
            <w:bookmarkEnd w:id="150"/>
            <w:bookmarkEnd w:id="151"/>
            <w:bookmarkEnd w:id="152"/>
            <w:bookmarkEnd w:id="153"/>
            <w:bookmarkEnd w:id="154"/>
            <w:bookmarkEnd w:id="155"/>
            <w:bookmarkEnd w:id="156"/>
            <w:bookmarkEnd w:id="157"/>
          </w:p>
        </w:tc>
      </w:tr>
      <w:tr>
        <w:tblPrEx>
          <w:tblW w:w="0" w:type="auto"/>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r>
      <w:tr>
        <w:tblPrEx>
          <w:tblW w:w="0" w:type="auto"/>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100</w:t>
            </w:r>
            <w:r>
              <w:rPr>
                <w:rFonts w:ascii="仿宋" w:eastAsia="仿宋" w:hAnsi="仿宋" w:cs="仿宋" w:hint="eastAsia"/>
                <w:color w:val="auto"/>
                <w:highlight w:val="none"/>
                <w:lang w:val="en-US" w:eastAsia="zh-CN"/>
              </w:rPr>
              <w:t xml:space="preserve">%</w:t>
            </w:r>
          </w:p>
        </w:tc>
      </w:tr>
      <w:tr>
        <w:tblPrEx>
          <w:tblW w:w="0" w:type="auto"/>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0" w:type="auto"/>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18</w:t>
            </w:r>
          </w:p>
        </w:tc>
        <w:tc>
          <w:tcPr>
            <w:tcW w:w="153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40</w:t>
            </w:r>
          </w:p>
        </w:tc>
        <w:tc>
          <w:tcPr>
            <w:tcW w:w="150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100</w:t>
            </w:r>
            <w:bookmarkEnd w:id="146"/>
          </w:p>
        </w:tc>
      </w:tr>
    </w:tbl>
    <w:p>
      <w:pPr>
        <w:pStyle w:val="Heading2"/>
        <w:bidi w:val="0"/>
        <w:jc w:val="both"/>
        <w:outlineLvl w:val="0"/>
        <w:rPr>
          <w:rFonts w:ascii="仿宋" w:eastAsia="仿宋" w:hAnsi="仿宋" w:cs="仿宋" w:hint="eastAsia"/>
          <w:color w:val="auto"/>
          <w:highlight w:val="none"/>
        </w:rPr>
      </w:pPr>
      <w:bookmarkStart w:id="158" w:name="_Toc15008"/>
      <w:bookmarkStart w:id="159" w:name="_Toc29439"/>
      <w:bookmarkStart w:id="160" w:name="_Toc13630"/>
      <w:bookmarkStart w:id="161" w:name="_Toc7058"/>
      <w:bookmarkStart w:id="162" w:name="_Toc7352"/>
      <w:bookmarkStart w:id="163" w:name="_Toc32496"/>
      <w:bookmarkStart w:id="164" w:name="_Toc20159"/>
      <w:bookmarkStart w:id="165" w:name="_Toc5922"/>
      <w:bookmarkStart w:id="166" w:name="_Toc16712"/>
      <w:bookmarkStart w:id="167" w:name="_Toc4904"/>
      <w:r>
        <w:rPr>
          <w:rFonts w:ascii="仿宋" w:eastAsia="仿宋" w:hAnsi="仿宋" w:cs="仿宋" w:hint="eastAsia"/>
          <w:color w:val="auto"/>
          <w:highlight w:val="none"/>
        </w:rPr>
        <w:t xml:space="preserve">四、绩效评价指标分析</w:t>
      </w:r>
      <w:bookmarkEnd w:id="147"/>
      <w:bookmarkEnd w:id="148"/>
      <w:bookmarkEnd w:id="158"/>
      <w:bookmarkEnd w:id="159"/>
      <w:bookmarkEnd w:id="160"/>
      <w:bookmarkEnd w:id="161"/>
      <w:bookmarkEnd w:id="162"/>
      <w:bookmarkEnd w:id="163"/>
      <w:bookmarkEnd w:id="164"/>
      <w:bookmarkEnd w:id="165"/>
      <w:bookmarkEnd w:id="166"/>
      <w:bookmarkEnd w:id="167"/>
    </w:p>
    <w:p>
      <w:pPr>
        <w:pStyle w:val="Heading3"/>
        <w:bidi w:val="0"/>
        <w:jc w:val="both"/>
        <w:outlineLvl w:val="1"/>
        <w:rPr>
          <w:rFonts w:ascii="仿宋" w:eastAsia="仿宋" w:hAnsi="仿宋" w:cs="仿宋" w:hint="eastAsia"/>
          <w:color w:val="auto"/>
          <w:highlight w:val="none"/>
        </w:rPr>
      </w:pPr>
      <w:bookmarkStart w:id="168" w:name="_Toc22323"/>
      <w:bookmarkStart w:id="169" w:name="_Toc28477"/>
      <w:bookmarkStart w:id="170" w:name="_Toc2901"/>
      <w:bookmarkStart w:id="171" w:name="_Toc27456"/>
      <w:bookmarkStart w:id="172" w:name="_Toc1968"/>
      <w:bookmarkStart w:id="173" w:name="_Toc17289"/>
      <w:r>
        <w:rPr>
          <w:rFonts w:ascii="仿宋" w:eastAsia="仿宋" w:hAnsi="仿宋" w:cs="仿宋" w:hint="eastAsia"/>
          <w:color w:val="auto"/>
          <w:highlight w:val="none"/>
        </w:rPr>
        <w:t xml:space="preserve">（一）项目决策情况</w:t>
      </w:r>
      <w:bookmarkEnd w:id="168"/>
      <w:bookmarkEnd w:id="169"/>
      <w:bookmarkEnd w:id="170"/>
      <w:bookmarkEnd w:id="171"/>
      <w:bookmarkEnd w:id="172"/>
      <w:bookmarkEnd w:id="173"/>
    </w:p>
    <w:p>
      <w:pPr>
        <w:bidi w:val="0"/>
        <w:rPr>
          <w:rFonts w:ascii="仿宋" w:eastAsia="仿宋" w:hAnsi="仿宋" w:cs="仿宋" w:hint="eastAsia"/>
          <w:b/>
          <w:bCs/>
          <w:color w:val="auto"/>
          <w:highlight w:val="none"/>
          <w:lang w:val="en-US" w:eastAsia="zh-CN"/>
        </w:rPr>
      </w:pPr>
      <w:bookmarkStart w:id="174" w:name="_Toc510"/>
      <w:bookmarkStart w:id="175" w:name="_Toc22511"/>
      <w:r>
        <w:rPr>
          <w:rFonts w:ascii="仿宋" w:eastAsia="仿宋" w:hAnsi="仿宋" w:cs="仿宋" w:hint="eastAsia"/>
          <w:b/>
          <w:bCs/>
          <w:color w:val="auto"/>
          <w:highlight w:val="none"/>
        </w:rPr>
        <w:t xml:space="preserve">1.</w:t>
      </w:r>
      <w:bookmarkEnd w:id="174"/>
      <w:bookmarkEnd w:id="175"/>
      <w:r>
        <w:rPr>
          <w:rFonts w:ascii="仿宋" w:eastAsia="仿宋" w:hAnsi="仿宋" w:cs="仿宋" w:hint="eastAsia"/>
          <w:b/>
          <w:bCs/>
          <w:color w:val="auto"/>
          <w:highlight w:val="none"/>
        </w:rPr>
        <w:t xml:space="preserve">实施依据充分性</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w:t>
      </w:r>
      <w:r>
        <w:rPr>
          <w:rFonts w:ascii="仿宋" w:eastAsia="仿宋" w:hAnsi="仿宋" w:cs="仿宋" w:hint="eastAsia"/>
          <w:color w:val="auto"/>
          <w:highlight w:val="none"/>
        </w:rPr>
        <w:t xml:space="preserve">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关于印发“三北”工程补助资金管理办法的通知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财资环</w:t>
      </w: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45</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中，资金使用范围内容</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符合行业发展规划和政策要求</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（1）本项目申报和审批符合国家法律法规、国民经济发展规划和相关政策；</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（2）本项目申报和审批符合行业发展规划和政策要求；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与部门职责范围相符，属</w:t>
      </w:r>
      <w:r>
        <w:rPr>
          <w:rFonts w:ascii="仿宋" w:eastAsia="仿宋" w:hAnsi="仿宋" w:cs="仿宋" w:hint="eastAsia"/>
          <w:color w:val="auto"/>
          <w:highlight w:val="none"/>
        </w:rPr>
        <w:t xml:space="preserve">干部</w:t>
      </w:r>
      <w:r>
        <w:rPr>
          <w:rFonts w:ascii="仿宋" w:eastAsia="仿宋" w:hAnsi="仿宋" w:cs="仿宋" w:hint="eastAsia"/>
          <w:color w:val="auto"/>
          <w:highlight w:val="none"/>
        </w:rPr>
        <w:t xml:space="preserve">门履职所需；</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（4）本项目属于公共财政支持范围，符合中央、地方事权支出责任划分原则；</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（5）本项目与相关部门同类项目或部门内部相关项目</w:t>
      </w:r>
      <w:r>
        <w:rPr>
          <w:rFonts w:ascii="仿宋" w:eastAsia="仿宋" w:hAnsi="仿宋" w:cs="仿宋" w:hint="eastAsia"/>
          <w:color w:val="auto"/>
          <w:highlight w:val="none"/>
          <w:lang w:val="en-US" w:eastAsia="zh-CN"/>
        </w:rPr>
        <w:t xml:space="preserve">不</w:t>
      </w:r>
      <w:r>
        <w:rPr>
          <w:rFonts w:ascii="仿宋" w:eastAsia="仿宋" w:hAnsi="仿宋" w:cs="仿宋" w:hint="eastAsia"/>
          <w:color w:val="auto"/>
          <w:highlight w:val="none"/>
        </w:rPr>
        <w:t xml:space="preserve">重复。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b/>
          <w:bCs/>
          <w:color w:val="auto"/>
          <w:highlight w:val="none"/>
        </w:rPr>
      </w:pPr>
      <w:bookmarkStart w:id="176" w:name="_Toc27895"/>
      <w:bookmarkStart w:id="177" w:name="_Toc283"/>
      <w:r>
        <w:rPr>
          <w:rFonts w:ascii="仿宋" w:eastAsia="仿宋" w:hAnsi="仿宋" w:cs="仿宋" w:hint="eastAsia"/>
          <w:b/>
          <w:bCs/>
          <w:color w:val="auto"/>
          <w:highlight w:val="none"/>
        </w:rPr>
        <w:t xml:space="preserve">2.</w:t>
      </w:r>
      <w:bookmarkEnd w:id="176"/>
      <w:bookmarkEnd w:id="177"/>
      <w:r>
        <w:rPr>
          <w:rFonts w:ascii="仿宋" w:eastAsia="仿宋" w:hAnsi="仿宋" w:cs="仿宋" w:hint="eastAsia"/>
          <w:b/>
          <w:bCs/>
          <w:color w:val="auto"/>
          <w:highlight w:val="none"/>
        </w:rPr>
        <w:t xml:space="preserve">实施程序规范性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本项目实施单位</w:t>
      </w:r>
      <w:r>
        <w:rPr>
          <w:rFonts w:ascii="仿宋" w:eastAsia="仿宋" w:hAnsi="仿宋" w:cs="仿宋" w:hint="eastAsia"/>
          <w:color w:val="auto"/>
          <w:highlight w:val="none"/>
          <w:lang w:val="en-US" w:eastAsia="zh-CN"/>
        </w:rPr>
        <w:t xml:space="preserve">尉犁县林业和草原局组织</w:t>
      </w:r>
      <w:r>
        <w:rPr>
          <w:rFonts w:ascii="仿宋" w:eastAsia="仿宋" w:hAnsi="仿宋" w:cs="仿宋" w:hint="eastAsia"/>
          <w:color w:val="auto"/>
          <w:highlight w:val="none"/>
        </w:rPr>
        <w:t xml:space="preserve">编制了</w:t>
      </w:r>
      <w:r>
        <w:rPr>
          <w:rFonts w:ascii="仿宋" w:eastAsia="仿宋" w:hAnsi="仿宋" w:cs="仿宋" w:hint="eastAsia"/>
          <w:color w:val="auto"/>
          <w:highlight w:val="none"/>
          <w:lang w:val="en-US" w:eastAsia="zh-CN"/>
        </w:rPr>
        <w:t xml:space="preserve">2024年中央“三北”工程补助资金项目实施方案</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2024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7</w:t>
      </w:r>
      <w:r>
        <w:rPr>
          <w:rFonts w:ascii="仿宋" w:eastAsia="仿宋" w:hAnsi="仿宋" w:cs="仿宋" w:hint="eastAsia"/>
          <w:color w:val="auto"/>
          <w:highlight w:val="none"/>
        </w:rPr>
        <w:t xml:space="preserve">月完成</w:t>
      </w:r>
      <w:r>
        <w:rPr>
          <w:rFonts w:ascii="仿宋" w:eastAsia="仿宋" w:hAnsi="仿宋" w:cs="仿宋" w:hint="eastAsia"/>
          <w:color w:val="auto"/>
          <w:highlight w:val="none"/>
          <w:lang w:eastAsia="zh-CN"/>
        </w:rPr>
        <w:t xml:space="preserve">实施方案</w:t>
      </w:r>
      <w:r>
        <w:rPr>
          <w:rFonts w:ascii="仿宋" w:eastAsia="仿宋" w:hAnsi="仿宋" w:cs="仿宋" w:hint="eastAsia"/>
          <w:color w:val="auto"/>
          <w:highlight w:val="none"/>
        </w:rPr>
        <w:t xml:space="preserve">编制。本项目实施资料</w:t>
      </w:r>
      <w:r>
        <w:rPr>
          <w:rFonts w:ascii="仿宋" w:eastAsia="仿宋" w:hAnsi="仿宋" w:cs="仿宋" w:hint="eastAsia"/>
          <w:color w:val="auto"/>
          <w:highlight w:val="none"/>
          <w:lang w:val="en-US" w:eastAsia="zh-CN"/>
        </w:rPr>
        <w:t xml:space="preserve">齐</w:t>
      </w:r>
      <w:r>
        <w:rPr>
          <w:rFonts w:ascii="仿宋" w:eastAsia="仿宋" w:hAnsi="仿宋" w:cs="仿宋" w:hint="eastAsia"/>
          <w:color w:val="auto"/>
          <w:highlight w:val="none"/>
        </w:rPr>
        <w:t xml:space="preserve">全，实施程序规范；审批文件、材料符合相关要求，事前已经过必要的集体决策，实施程序规范。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b/>
          <w:bCs/>
          <w:color w:val="auto"/>
          <w:highlight w:val="none"/>
        </w:rPr>
      </w:pPr>
      <w:bookmarkStart w:id="178" w:name="_Toc20471"/>
      <w:bookmarkStart w:id="179" w:name="_Toc13368"/>
      <w:r>
        <w:rPr>
          <w:rFonts w:ascii="仿宋" w:eastAsia="仿宋" w:hAnsi="仿宋" w:cs="仿宋" w:hint="eastAsia"/>
          <w:b/>
          <w:bCs/>
          <w:color w:val="auto"/>
          <w:highlight w:val="none"/>
        </w:rPr>
        <w:t xml:space="preserve">3.绩效目标合理性</w:t>
      </w:r>
      <w:bookmarkEnd w:id="178"/>
      <w:bookmarkEnd w:id="179"/>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2024年中央“三北”工程补助资金</w:t>
      </w:r>
      <w:r>
        <w:rPr>
          <w:rFonts w:ascii="仿宋" w:eastAsia="仿宋" w:hAnsi="仿宋" w:cs="仿宋" w:hint="eastAsia"/>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b/>
          <w:bCs/>
          <w:color w:val="auto"/>
          <w:highlight w:val="none"/>
        </w:rPr>
      </w:pPr>
      <w:bookmarkStart w:id="180" w:name="_Toc15543"/>
      <w:bookmarkStart w:id="181" w:name="_Toc21087"/>
      <w:r>
        <w:rPr>
          <w:rFonts w:ascii="仿宋" w:eastAsia="仿宋" w:hAnsi="仿宋" w:cs="仿宋" w:hint="eastAsia"/>
          <w:b/>
          <w:bCs/>
          <w:color w:val="auto"/>
          <w:highlight w:val="none"/>
        </w:rPr>
        <w:t xml:space="preserve">4.绩效指标明确性</w:t>
      </w:r>
      <w:bookmarkEnd w:id="180"/>
      <w:bookmarkEnd w:id="181"/>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2024年中央“三北”工程补助资金项目</w:t>
      </w:r>
      <w:r>
        <w:rPr>
          <w:rFonts w:ascii="仿宋" w:eastAsia="仿宋" w:hAnsi="仿宋" w:cs="仿宋" w:hint="eastAsia"/>
          <w:color w:val="auto"/>
          <w:highlight w:val="none"/>
        </w:rPr>
        <w:t xml:space="preserve">，设置一级指标</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条，二级指标</w:t>
      </w:r>
      <w:r>
        <w:rPr>
          <w:rFonts w:ascii="仿宋" w:eastAsia="仿宋" w:hAnsi="仿宋" w:cs="仿宋" w:hint="eastAsia"/>
          <w:color w:val="auto"/>
          <w:highlight w:val="none"/>
          <w:lang w:val="en-US" w:eastAsia="zh-CN"/>
        </w:rPr>
        <w:t xml:space="preserve">6</w:t>
      </w:r>
      <w:r>
        <w:rPr>
          <w:rFonts w:ascii="仿宋" w:eastAsia="仿宋" w:hAnsi="仿宋" w:cs="仿宋" w:hint="eastAsia"/>
          <w:color w:val="auto"/>
          <w:highlight w:val="none"/>
        </w:rPr>
        <w:t xml:space="preserve">条，三级指标</w:t>
      </w:r>
      <w:r>
        <w:rPr>
          <w:rFonts w:ascii="仿宋" w:eastAsia="仿宋" w:hAnsi="仿宋" w:cs="仿宋" w:hint="eastAsia"/>
          <w:color w:val="auto"/>
          <w:highlight w:val="none"/>
          <w:lang w:val="en-US" w:eastAsia="zh-CN"/>
        </w:rPr>
        <w:t xml:space="preserve">13</w:t>
      </w:r>
      <w:r>
        <w:rPr>
          <w:rFonts w:ascii="仿宋" w:eastAsia="仿宋" w:hAnsi="仿宋" w:cs="仿宋" w:hint="eastAsia"/>
          <w:color w:val="auto"/>
          <w:highlight w:val="none"/>
        </w:rPr>
        <w:t xml:space="preserve">条，其中量化指标</w:t>
      </w:r>
      <w:r>
        <w:rPr>
          <w:rFonts w:ascii="仿宋" w:eastAsia="仿宋" w:hAnsi="仿宋" w:cs="仿宋" w:hint="eastAsia"/>
          <w:color w:val="auto"/>
          <w:highlight w:val="none"/>
          <w:lang w:val="en-US" w:eastAsia="zh-CN"/>
        </w:rPr>
        <w:t xml:space="preserve">11</w:t>
      </w:r>
      <w:r>
        <w:rPr>
          <w:rFonts w:ascii="仿宋" w:eastAsia="仿宋" w:hAnsi="仿宋" w:cs="仿宋" w:hint="eastAsia"/>
          <w:color w:val="auto"/>
          <w:highlight w:val="none"/>
        </w:rPr>
        <w:t xml:space="preserve">条，绩效目标指标设定清晰、可衡量性较强，与项目目标任务计划数对应性较强。</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b/>
          <w:bCs/>
          <w:color w:val="auto"/>
          <w:highlight w:val="none"/>
        </w:rPr>
      </w:pPr>
      <w:bookmarkStart w:id="182" w:name="_Toc25638"/>
      <w:bookmarkStart w:id="183" w:name="_Toc21476"/>
      <w:r>
        <w:rPr>
          <w:rFonts w:ascii="仿宋" w:eastAsia="仿宋" w:hAnsi="仿宋" w:cs="仿宋" w:hint="eastAsia"/>
          <w:b/>
          <w:bCs/>
          <w:color w:val="auto"/>
          <w:highlight w:val="none"/>
        </w:rPr>
        <w:t xml:space="preserve">5.预算编制科学性</w:t>
      </w:r>
      <w:bookmarkEnd w:id="182"/>
      <w:bookmarkEnd w:id="183"/>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w:t>
      </w:r>
      <w:r>
        <w:rPr>
          <w:rFonts w:ascii="仿宋" w:eastAsia="仿宋" w:hAnsi="仿宋" w:cs="仿宋" w:hint="eastAsia"/>
          <w:color w:val="auto"/>
          <w:highlight w:val="none"/>
          <w:lang w:val="en-US" w:eastAsia="zh-CN"/>
        </w:rPr>
        <w:t xml:space="preserve">603.89</w:t>
      </w:r>
      <w:r>
        <w:rPr>
          <w:rFonts w:ascii="仿宋" w:eastAsia="仿宋" w:hAnsi="仿宋" w:cs="仿宋" w:hint="eastAsia"/>
          <w:color w:val="auto"/>
          <w:highlight w:val="none"/>
        </w:rPr>
        <w:t xml:space="preserve">万元，来源为</w:t>
      </w:r>
      <w:r>
        <w:rPr>
          <w:rFonts w:ascii="仿宋" w:eastAsia="仿宋" w:hAnsi="仿宋" w:cs="仿宋" w:hint="eastAsia"/>
          <w:color w:val="auto"/>
          <w:highlight w:val="none"/>
          <w:lang w:val="en-US" w:eastAsia="zh-CN"/>
        </w:rPr>
        <w:t xml:space="preserve">中央财政</w:t>
      </w:r>
      <w:r>
        <w:rPr>
          <w:rFonts w:ascii="仿宋" w:eastAsia="仿宋" w:hAnsi="仿宋" w:cs="仿宋" w:hint="eastAsia"/>
          <w:color w:val="auto"/>
          <w:highlight w:val="none"/>
        </w:rPr>
        <w:t xml:space="preserve">资金</w:t>
      </w:r>
      <w:r>
        <w:rPr>
          <w:rFonts w:ascii="仿宋" w:eastAsia="仿宋" w:hAnsi="仿宋" w:cs="仿宋" w:hint="eastAsia"/>
          <w:color w:val="auto"/>
          <w:highlight w:val="none"/>
          <w:lang w:val="en-US" w:eastAsia="zh-CN"/>
        </w:rPr>
        <w:t xml:space="preserve">603.89</w:t>
      </w:r>
      <w:r>
        <w:rPr>
          <w:rFonts w:ascii="仿宋" w:eastAsia="仿宋" w:hAnsi="仿宋" w:cs="仿宋" w:hint="eastAsia"/>
          <w:color w:val="auto"/>
          <w:highlight w:val="none"/>
        </w:rPr>
        <w:t xml:space="preserve">万元，预算编制较为科学，预算内容与项目建设内容相匹配，预算额度测算依据充分，预算确定的资金量与工程量相匹配。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b/>
          <w:bCs/>
          <w:color w:val="auto"/>
          <w:highlight w:val="none"/>
        </w:rPr>
      </w:pPr>
      <w:bookmarkStart w:id="184" w:name="_Toc21577"/>
      <w:bookmarkStart w:id="185" w:name="_Toc30661"/>
      <w:r>
        <w:rPr>
          <w:rFonts w:ascii="仿宋" w:eastAsia="仿宋" w:hAnsi="仿宋" w:cs="仿宋" w:hint="eastAsia"/>
          <w:b/>
          <w:bCs/>
          <w:color w:val="auto"/>
          <w:highlight w:val="none"/>
        </w:rPr>
        <w:t xml:space="preserve">6.资金分配合理性</w:t>
      </w:r>
      <w:bookmarkEnd w:id="184"/>
      <w:bookmarkEnd w:id="185"/>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本项目预算资金分配依据充分；资金分配额度合理，与项目单位实际相适应。</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pStyle w:val="Heading3"/>
        <w:bidi w:val="0"/>
        <w:jc w:val="both"/>
        <w:outlineLvl w:val="1"/>
        <w:rPr>
          <w:rFonts w:ascii="仿宋" w:eastAsia="仿宋" w:hAnsi="仿宋" w:cs="仿宋" w:hint="eastAsia"/>
          <w:color w:val="auto"/>
          <w:highlight w:val="none"/>
        </w:rPr>
      </w:pPr>
      <w:bookmarkStart w:id="186" w:name="_Toc4256"/>
      <w:bookmarkStart w:id="187" w:name="_Toc13442"/>
      <w:bookmarkStart w:id="188" w:name="_Toc27855"/>
      <w:bookmarkStart w:id="189" w:name="_Toc9897"/>
      <w:bookmarkStart w:id="190" w:name="_Toc30992"/>
      <w:bookmarkStart w:id="191" w:name="_Toc27409"/>
      <w:r>
        <w:rPr>
          <w:rFonts w:ascii="仿宋" w:eastAsia="仿宋" w:hAnsi="仿宋" w:cs="仿宋" w:hint="eastAsia"/>
          <w:color w:val="auto"/>
          <w:highlight w:val="none"/>
        </w:rPr>
        <w:t xml:space="preserve">（二）项目过程情况</w:t>
      </w:r>
      <w:bookmarkEnd w:id="186"/>
      <w:bookmarkEnd w:id="187"/>
      <w:bookmarkEnd w:id="188"/>
      <w:bookmarkEnd w:id="189"/>
      <w:bookmarkEnd w:id="190"/>
      <w:bookmarkEnd w:id="191"/>
    </w:p>
    <w:p>
      <w:pPr>
        <w:bidi w:val="0"/>
        <w:rPr>
          <w:rFonts w:ascii="仿宋" w:eastAsia="仿宋" w:hAnsi="仿宋" w:cs="仿宋" w:hint="eastAsia"/>
          <w:b/>
          <w:bCs/>
          <w:color w:val="auto"/>
          <w:highlight w:val="none"/>
        </w:rPr>
      </w:pPr>
      <w:bookmarkStart w:id="192" w:name="_Toc29417"/>
      <w:bookmarkStart w:id="193" w:name="_Toc19854"/>
      <w:r>
        <w:rPr>
          <w:rFonts w:ascii="仿宋" w:eastAsia="仿宋" w:hAnsi="仿宋" w:cs="仿宋" w:hint="eastAsia"/>
          <w:b/>
          <w:bCs/>
          <w:color w:val="auto"/>
          <w:highlight w:val="none"/>
        </w:rPr>
        <w:t xml:space="preserve">1.资金到位率</w:t>
      </w:r>
      <w:bookmarkEnd w:id="192"/>
      <w:bookmarkEnd w:id="193"/>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w:t>
      </w:r>
      <w:r>
        <w:rPr>
          <w:rFonts w:ascii="仿宋" w:eastAsia="仿宋" w:hAnsi="仿宋" w:cs="仿宋" w:hint="eastAsia"/>
          <w:color w:val="auto"/>
          <w:highlight w:val="none"/>
          <w:lang w:val="en-US" w:eastAsia="zh-CN"/>
        </w:rPr>
        <w:t xml:space="preserve">603.89</w:t>
      </w:r>
      <w:r>
        <w:rPr>
          <w:rFonts w:ascii="仿宋" w:eastAsia="仿宋" w:hAnsi="仿宋" w:cs="仿宋" w:hint="eastAsia"/>
          <w:color w:val="auto"/>
          <w:highlight w:val="none"/>
        </w:rPr>
        <w:t xml:space="preserve">万元，实际到位资金</w:t>
      </w:r>
      <w:r>
        <w:rPr>
          <w:rFonts w:ascii="仿宋" w:eastAsia="仿宋" w:hAnsi="仿宋" w:cs="仿宋" w:hint="eastAsia"/>
          <w:color w:val="auto"/>
          <w:highlight w:val="none"/>
          <w:lang w:val="en-US" w:eastAsia="zh-CN"/>
        </w:rPr>
        <w:t xml:space="preserve">603.89</w:t>
      </w:r>
      <w:r>
        <w:rPr>
          <w:rFonts w:ascii="仿宋" w:eastAsia="仿宋" w:hAnsi="仿宋" w:cs="仿宋" w:hint="eastAsia"/>
          <w:color w:val="auto"/>
          <w:highlight w:val="none"/>
        </w:rPr>
        <w:t xml:space="preserve">万元，资金到位率100%。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b/>
          <w:bCs/>
          <w:color w:val="auto"/>
          <w:highlight w:val="none"/>
        </w:rPr>
      </w:pPr>
      <w:bookmarkStart w:id="194" w:name="_Toc13724"/>
      <w:bookmarkStart w:id="195" w:name="_Toc29889"/>
      <w:r>
        <w:rPr>
          <w:rFonts w:ascii="仿宋" w:eastAsia="仿宋" w:hAnsi="仿宋" w:cs="仿宋" w:hint="eastAsia"/>
          <w:b/>
          <w:bCs/>
          <w:color w:val="auto"/>
          <w:highlight w:val="none"/>
        </w:rPr>
        <w:t xml:space="preserve">2.预算执行率</w:t>
      </w:r>
      <w:bookmarkEnd w:id="194"/>
      <w:bookmarkEnd w:id="195"/>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本项目到位资金</w:t>
      </w:r>
      <w:r>
        <w:rPr>
          <w:rFonts w:ascii="仿宋" w:eastAsia="仿宋" w:hAnsi="仿宋" w:cs="仿宋" w:hint="eastAsia"/>
          <w:color w:val="auto"/>
          <w:highlight w:val="none"/>
          <w:lang w:val="en-US" w:eastAsia="zh-CN"/>
        </w:rPr>
        <w:t xml:space="preserve">603.89</w:t>
      </w:r>
      <w:r>
        <w:rPr>
          <w:rFonts w:ascii="仿宋" w:eastAsia="仿宋" w:hAnsi="仿宋" w:cs="仿宋" w:hint="eastAsia"/>
          <w:color w:val="auto"/>
          <w:highlight w:val="none"/>
        </w:rPr>
        <w:t xml:space="preserve">万元，实际支付资金</w:t>
      </w:r>
      <w:r>
        <w:rPr>
          <w:rFonts w:ascii="仿宋" w:eastAsia="仿宋" w:hAnsi="仿宋" w:cs="仿宋" w:hint="eastAsia"/>
          <w:color w:val="auto"/>
          <w:highlight w:val="none"/>
          <w:lang w:val="en-US" w:eastAsia="zh-CN"/>
        </w:rPr>
        <w:t xml:space="preserve">603.89</w:t>
      </w:r>
      <w:r>
        <w:rPr>
          <w:rFonts w:ascii="仿宋" w:eastAsia="仿宋" w:hAnsi="仿宋" w:cs="仿宋" w:hint="eastAsia"/>
          <w:color w:val="auto"/>
          <w:highlight w:val="none"/>
        </w:rPr>
        <w:t xml:space="preserve">万元，预算执行率为</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分。</w:t>
      </w:r>
    </w:p>
    <w:p>
      <w:pPr>
        <w:bidi w:val="0"/>
        <w:rPr>
          <w:rFonts w:ascii="仿宋" w:eastAsia="仿宋" w:hAnsi="仿宋" w:cs="仿宋" w:hint="eastAsia"/>
          <w:b/>
          <w:bCs/>
          <w:color w:val="auto"/>
          <w:highlight w:val="none"/>
        </w:rPr>
      </w:pPr>
      <w:bookmarkStart w:id="196" w:name="_Toc8316"/>
      <w:bookmarkStart w:id="197" w:name="_Toc2484"/>
      <w:r>
        <w:rPr>
          <w:rFonts w:ascii="仿宋" w:eastAsia="仿宋" w:hAnsi="仿宋" w:cs="仿宋" w:hint="eastAsia"/>
          <w:b/>
          <w:bCs/>
          <w:color w:val="auto"/>
          <w:highlight w:val="none"/>
        </w:rPr>
        <w:t xml:space="preserve">3.资金使用合规性</w:t>
      </w:r>
      <w:bookmarkEnd w:id="196"/>
      <w:bookmarkEnd w:id="197"/>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本项目资金的使用符合</w:t>
      </w:r>
      <w:r>
        <w:rPr>
          <w:rFonts w:ascii="仿宋" w:eastAsia="仿宋" w:hAnsi="仿宋" w:cs="仿宋" w:hint="eastAsia"/>
          <w:color w:val="auto"/>
          <w:highlight w:val="none"/>
          <w:lang w:val="en-US" w:eastAsia="zh-CN"/>
        </w:rPr>
        <w:t xml:space="preserve">《中华人民共和国预算法》《中华人民共和国会计法》《中华人民共和国招标投标法》等</w:t>
      </w:r>
      <w:r>
        <w:rPr>
          <w:rFonts w:ascii="仿宋" w:eastAsia="仿宋" w:hAnsi="仿宋" w:cs="仿宋" w:hint="eastAsia"/>
          <w:color w:val="auto"/>
          <w:highlight w:val="none"/>
          <w:lang w:eastAsia="zh-CN"/>
        </w:rPr>
        <w:t xml:space="preserve">国家</w:t>
      </w:r>
      <w:r>
        <w:rPr>
          <w:rFonts w:ascii="仿宋" w:eastAsia="仿宋" w:hAnsi="仿宋" w:cs="仿宋" w:hint="eastAsia"/>
          <w:color w:val="auto"/>
          <w:highlight w:val="none"/>
          <w:lang w:val="en-US" w:eastAsia="zh-CN"/>
        </w:rPr>
        <w:t xml:space="preserve">有关</w:t>
      </w:r>
      <w:r>
        <w:rPr>
          <w:rFonts w:ascii="仿宋" w:eastAsia="仿宋" w:hAnsi="仿宋" w:cs="仿宋" w:hint="eastAsia"/>
          <w:color w:val="auto"/>
          <w:highlight w:val="none"/>
          <w:lang w:eastAsia="zh-CN"/>
        </w:rPr>
        <w:t xml:space="preserve">财经法规</w:t>
      </w:r>
      <w:r>
        <w:rPr>
          <w:rFonts w:ascii="仿宋" w:eastAsia="仿宋" w:hAnsi="仿宋" w:cs="仿宋" w:hint="eastAsia"/>
          <w:color w:val="auto"/>
          <w:highlight w:val="none"/>
          <w:lang w:val="en-US" w:eastAsia="zh-CN"/>
        </w:rPr>
        <w:t xml:space="preserve">以及预算管理制度。</w:t>
      </w:r>
      <w:r>
        <w:rPr>
          <w:rFonts w:ascii="仿宋" w:eastAsia="仿宋" w:hAnsi="仿宋" w:cs="仿宋" w:hint="eastAsia"/>
          <w:color w:val="auto"/>
          <w:highlight w:val="none"/>
        </w:rPr>
        <w:t xml:space="preserve">资金的</w:t>
      </w:r>
      <w:r>
        <w:rPr>
          <w:rFonts w:ascii="仿宋" w:eastAsia="仿宋" w:hAnsi="仿宋" w:cs="仿宋" w:hint="eastAsia"/>
          <w:color w:val="auto"/>
          <w:highlight w:val="none"/>
          <w:lang w:val="en-US" w:eastAsia="zh-CN"/>
        </w:rPr>
        <w:t xml:space="preserve">审批和</w:t>
      </w:r>
      <w:r>
        <w:rPr>
          <w:rFonts w:ascii="仿宋" w:eastAsia="仿宋" w:hAnsi="仿宋" w:cs="仿宋" w:hint="eastAsia"/>
          <w:color w:val="auto"/>
          <w:highlight w:val="none"/>
        </w:rPr>
        <w:t xml:space="preserve">拨付</w:t>
      </w:r>
      <w:r>
        <w:rPr>
          <w:rFonts w:ascii="仿宋" w:eastAsia="仿宋" w:hAnsi="仿宋" w:cs="仿宋" w:hint="eastAsia"/>
          <w:color w:val="auto"/>
          <w:highlight w:val="none"/>
          <w:lang w:val="en-US" w:eastAsia="zh-CN"/>
        </w:rPr>
        <w:t xml:space="preserve">按照《尉犁县财政资金审批管理办法》执行</w:t>
      </w:r>
      <w:r>
        <w:rPr>
          <w:rFonts w:ascii="仿宋" w:eastAsia="仿宋" w:hAnsi="仿宋" w:cs="仿宋" w:hint="eastAsia"/>
          <w:color w:val="auto"/>
          <w:highlight w:val="none"/>
        </w:rPr>
        <w:t xml:space="preserve">。资金的拨付有完整的审批程序和手续；资金使用符合专项资金支持的范围。不存在截留、挤占、挪用、虚列支出等情况。</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b/>
          <w:bCs/>
          <w:color w:val="auto"/>
          <w:highlight w:val="none"/>
        </w:rPr>
      </w:pPr>
      <w:bookmarkStart w:id="198" w:name="_Toc20651"/>
      <w:bookmarkStart w:id="199" w:name="_Toc15332"/>
      <w:r>
        <w:rPr>
          <w:rFonts w:ascii="仿宋" w:eastAsia="仿宋" w:hAnsi="仿宋" w:cs="仿宋" w:hint="eastAsia"/>
          <w:b/>
          <w:bCs/>
          <w:color w:val="auto"/>
          <w:highlight w:val="none"/>
        </w:rPr>
        <w:t xml:space="preserve">4.管理制度健全性</w:t>
      </w:r>
      <w:bookmarkEnd w:id="198"/>
      <w:bookmarkEnd w:id="199"/>
    </w:p>
    <w:p>
      <w:pPr>
        <w:bidi w:val="0"/>
        <w:rPr>
          <w:rFonts w:ascii="仿宋" w:eastAsia="仿宋" w:hAnsi="仿宋" w:cs="仿宋" w:hint="eastAsia"/>
          <w:color w:val="auto"/>
          <w:highlight w:val="none"/>
        </w:rPr>
      </w:pPr>
      <w:bookmarkStart w:id="200" w:name="OLE_LINK11"/>
      <w:bookmarkStart w:id="201" w:name="OLE_LINK13"/>
      <w:r>
        <w:rPr>
          <w:rFonts w:ascii="仿宋" w:eastAsia="仿宋" w:hAnsi="仿宋" w:cs="仿宋" w:hint="eastAsia"/>
          <w:color w:val="auto"/>
          <w:highlight w:val="none"/>
          <w:lang w:val="en-US" w:eastAsia="zh-CN"/>
        </w:rPr>
        <w:t xml:space="preserve">尉犁县林草局</w:t>
      </w:r>
      <w:bookmarkEnd w:id="200"/>
      <w:r>
        <w:rPr>
          <w:rFonts w:ascii="仿宋" w:eastAsia="仿宋" w:hAnsi="仿宋" w:cs="仿宋" w:hint="eastAsia"/>
          <w:color w:val="auto"/>
          <w:highlight w:val="none"/>
          <w:lang w:val="en-US" w:eastAsia="zh-CN"/>
        </w:rPr>
        <w:t xml:space="preserve">会制定了《</w:t>
      </w:r>
      <w:bookmarkStart w:id="202" w:name="OLE_LINK12"/>
      <w:r>
        <w:rPr>
          <w:rFonts w:ascii="仿宋" w:eastAsia="仿宋" w:hAnsi="仿宋" w:cs="仿宋" w:hint="eastAsia"/>
          <w:color w:val="auto"/>
          <w:highlight w:val="none"/>
          <w:lang w:val="en-US" w:eastAsia="zh-CN"/>
        </w:rPr>
        <w:t xml:space="preserve">尉犁县林业和草原局</w:t>
      </w:r>
      <w:bookmarkEnd w:id="202"/>
      <w:r>
        <w:rPr>
          <w:rFonts w:ascii="仿宋" w:eastAsia="仿宋" w:hAnsi="仿宋" w:cs="仿宋" w:hint="eastAsia"/>
          <w:color w:val="auto"/>
          <w:highlight w:val="none"/>
          <w:lang w:val="en-US" w:eastAsia="zh-CN"/>
        </w:rPr>
        <w:t xml:space="preserve">财务管理办法》和《尉犁县林业和草原局内控管理制度》</w:t>
      </w:r>
      <w:bookmarkEnd w:id="201"/>
      <w:r>
        <w:rPr>
          <w:rFonts w:ascii="仿宋" w:eastAsia="仿宋" w:hAnsi="仿宋" w:cs="仿宋" w:hint="eastAsia"/>
          <w:color w:val="auto"/>
          <w:highlight w:val="none"/>
          <w:lang w:val="en-US" w:eastAsia="zh-CN"/>
        </w:rPr>
        <w:t xml:space="preserve">，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w:t>
      </w:r>
      <w:r>
        <w:rPr>
          <w:rFonts w:ascii="仿宋" w:eastAsia="仿宋" w:hAnsi="仿宋" w:cs="仿宋" w:hint="eastAsia"/>
          <w:color w:val="auto"/>
          <w:highlight w:val="none"/>
        </w:rPr>
        <w:t xml:space="preserve">资金管理等方面都做出明确的规范的要求</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财务制度和业务管理制度</w:t>
      </w:r>
      <w:r>
        <w:rPr>
          <w:rFonts w:ascii="仿宋" w:eastAsia="仿宋" w:hAnsi="仿宋" w:cs="仿宋" w:hint="eastAsia"/>
          <w:color w:val="auto"/>
          <w:highlight w:val="none"/>
          <w:lang w:val="en-US" w:eastAsia="zh-CN"/>
        </w:rPr>
        <w:t xml:space="preserve">健全</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b/>
          <w:bCs/>
          <w:color w:val="auto"/>
          <w:highlight w:val="none"/>
        </w:rPr>
      </w:pPr>
      <w:bookmarkStart w:id="203" w:name="_Toc14853"/>
      <w:bookmarkStart w:id="204" w:name="_Toc14023"/>
      <w:r>
        <w:rPr>
          <w:rFonts w:ascii="仿宋" w:eastAsia="仿宋" w:hAnsi="仿宋" w:cs="仿宋" w:hint="eastAsia"/>
          <w:b/>
          <w:bCs/>
          <w:color w:val="auto"/>
          <w:highlight w:val="none"/>
        </w:rPr>
        <w:t xml:space="preserve">5.制度执行有效性</w:t>
      </w:r>
      <w:bookmarkEnd w:id="203"/>
      <w:bookmarkEnd w:id="204"/>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本项目在实施过程中严格遵守相关法律法规和相关管理规定，如《</w:t>
      </w:r>
      <w:bookmarkStart w:id="205" w:name="OLE_LINK7"/>
      <w:r>
        <w:rPr>
          <w:rFonts w:ascii="仿宋" w:eastAsia="仿宋" w:hAnsi="仿宋" w:cs="仿宋" w:hint="eastAsia"/>
          <w:color w:val="auto"/>
          <w:highlight w:val="none"/>
        </w:rPr>
        <w:t xml:space="preserve">中华人民共和国</w:t>
      </w:r>
      <w:bookmarkEnd w:id="205"/>
      <w:r>
        <w:rPr>
          <w:rFonts w:ascii="仿宋" w:eastAsia="仿宋" w:hAnsi="仿宋" w:cs="仿宋" w:hint="eastAsia"/>
          <w:color w:val="auto"/>
          <w:highlight w:val="none"/>
        </w:rPr>
        <w:t xml:space="preserve">预算法</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中华人民共和国会计法</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中华人民共和国</w:t>
      </w:r>
      <w:r>
        <w:rPr>
          <w:rFonts w:ascii="仿宋" w:eastAsia="仿宋" w:hAnsi="仿宋" w:cs="仿宋" w:hint="eastAsia"/>
          <w:color w:val="auto"/>
          <w:highlight w:val="none"/>
          <w:lang w:val="en-US" w:eastAsia="zh-CN"/>
        </w:rPr>
        <w:t xml:space="preserve">政府</w:t>
      </w:r>
      <w:r>
        <w:rPr>
          <w:rFonts w:ascii="仿宋" w:eastAsia="仿宋" w:hAnsi="仿宋" w:cs="仿宋" w:hint="eastAsia"/>
          <w:color w:val="auto"/>
          <w:highlight w:val="none"/>
        </w:rPr>
        <w:t xml:space="preserve">采购法》等，严格执行基本建设程序，执行项目法人责任制、招标投标制、工程监理制和合同管理制，项目勘察、设计、施工、监理均符合国家和自治区有关</w:t>
      </w:r>
      <w:r>
        <w:rPr>
          <w:rFonts w:ascii="仿宋" w:eastAsia="仿宋" w:hAnsi="仿宋" w:cs="仿宋" w:hint="eastAsia"/>
          <w:color w:val="auto"/>
          <w:highlight w:val="none"/>
          <w:lang w:val="en-US" w:eastAsia="zh-CN"/>
        </w:rPr>
        <w:t xml:space="preserve">规定</w:t>
      </w:r>
      <w:r>
        <w:rPr>
          <w:rFonts w:ascii="仿宋" w:eastAsia="仿宋" w:hAnsi="仿宋" w:cs="仿宋" w:hint="eastAsia"/>
          <w:color w:val="auto"/>
          <w:highlight w:val="none"/>
        </w:rPr>
        <w:t xml:space="preserve">和施工规范。有关资料齐全，并及时整理归档。</w:t>
      </w:r>
      <w:r>
        <w:rPr>
          <w:rFonts w:ascii="仿宋" w:eastAsia="仿宋" w:hAnsi="仿宋" w:cs="仿宋" w:hint="eastAsia"/>
          <w:color w:val="auto"/>
          <w:highlight w:val="none"/>
          <w:lang w:val="en-US" w:eastAsia="zh-CN"/>
        </w:rPr>
        <w:t xml:space="preserve">本项目无项目调整及支出调整，制度执行有效性较高。</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pStyle w:val="Heading3"/>
        <w:bidi w:val="0"/>
        <w:jc w:val="both"/>
        <w:outlineLvl w:val="1"/>
        <w:rPr>
          <w:rFonts w:ascii="仿宋" w:eastAsia="仿宋" w:hAnsi="仿宋" w:cs="仿宋" w:hint="eastAsia"/>
          <w:color w:val="auto"/>
          <w:highlight w:val="none"/>
        </w:rPr>
      </w:pPr>
      <w:bookmarkStart w:id="206" w:name="_Toc16547"/>
      <w:bookmarkStart w:id="207" w:name="_Toc22156"/>
      <w:bookmarkStart w:id="208" w:name="_Toc31545"/>
      <w:bookmarkStart w:id="209" w:name="_Toc1233"/>
      <w:bookmarkStart w:id="210" w:name="_Toc5161"/>
      <w:bookmarkStart w:id="211" w:name="_Toc6865"/>
      <w:r>
        <w:rPr>
          <w:rFonts w:ascii="仿宋" w:eastAsia="仿宋" w:hAnsi="仿宋" w:cs="仿宋" w:hint="eastAsia"/>
          <w:color w:val="auto"/>
          <w:highlight w:val="none"/>
        </w:rPr>
        <w:t xml:space="preserve">（三）项目产出情况</w:t>
      </w:r>
      <w:bookmarkEnd w:id="206"/>
      <w:bookmarkEnd w:id="207"/>
      <w:bookmarkEnd w:id="208"/>
      <w:bookmarkEnd w:id="209"/>
      <w:bookmarkEnd w:id="210"/>
      <w:bookmarkEnd w:id="211"/>
    </w:p>
    <w:p>
      <w:pPr>
        <w:bidi w:val="0"/>
        <w:rPr>
          <w:rFonts w:ascii="仿宋" w:eastAsia="仿宋" w:hAnsi="仿宋" w:cs="仿宋" w:hint="eastAsia"/>
          <w:b/>
          <w:bCs/>
          <w:color w:val="auto"/>
          <w:highlight w:val="none"/>
        </w:rPr>
      </w:pPr>
      <w:bookmarkStart w:id="212" w:name="_Toc4184"/>
      <w:bookmarkStart w:id="213" w:name="_Toc31041"/>
      <w:r>
        <w:rPr>
          <w:rFonts w:ascii="仿宋" w:eastAsia="仿宋" w:hAnsi="仿宋" w:cs="仿宋" w:hint="eastAsia"/>
          <w:b/>
          <w:bCs/>
          <w:color w:val="auto"/>
          <w:highlight w:val="none"/>
        </w:rPr>
        <w:t xml:space="preserve">1.产出数量</w:t>
      </w:r>
      <w:bookmarkEnd w:id="212"/>
      <w:bookmarkEnd w:id="213"/>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指标1：年度完成沙化土地新造林管护面积</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大于或等于2.7万亩</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2.7万亩</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指标2：沙化土地封禁保护补偿面积</w:t>
      </w:r>
      <w:r>
        <w:rPr>
          <w:rFonts w:ascii="仿宋" w:eastAsia="仿宋" w:hAnsi="仿宋" w:cs="仿宋" w:hint="eastAsia"/>
          <w:color w:val="auto"/>
          <w:highlight w:val="none"/>
        </w:rPr>
        <w:t xml:space="preserve">，预期指标值</w:t>
      </w:r>
      <w:bookmarkStart w:id="214" w:name="OLE_LINK8"/>
      <w:r>
        <w:rPr>
          <w:rFonts w:ascii="仿宋" w:eastAsia="仿宋" w:hAnsi="仿宋" w:cs="仿宋" w:hint="eastAsia"/>
          <w:color w:val="auto"/>
          <w:highlight w:val="none"/>
          <w:lang w:val="en-US" w:eastAsia="zh-CN"/>
        </w:rPr>
        <w:t xml:space="preserve">等于</w:t>
      </w:r>
      <w:bookmarkEnd w:id="214"/>
      <w:r>
        <w:rPr>
          <w:rFonts w:ascii="仿宋" w:eastAsia="仿宋" w:hAnsi="仿宋" w:cs="仿宋" w:hint="eastAsia"/>
          <w:color w:val="auto"/>
          <w:highlight w:val="none"/>
          <w:lang w:val="en-US" w:eastAsia="zh-CN"/>
        </w:rPr>
        <w:t xml:space="preserve">15.65万亩</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15.65万亩</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指标3：沙化土地封禁保护区成效监测站点点形成监测报告数量</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等于1份</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1份</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指标4：发放管护人员工资人数</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大于或等于7人</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7人</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本项满分12分，评估得分12分。</w:t>
      </w:r>
    </w:p>
    <w:p>
      <w:pPr>
        <w:bidi w:val="0"/>
        <w:rPr>
          <w:rFonts w:ascii="仿宋" w:eastAsia="仿宋" w:hAnsi="仿宋" w:cs="仿宋" w:hint="eastAsia"/>
          <w:b/>
          <w:bCs/>
          <w:color w:val="auto"/>
          <w:highlight w:val="none"/>
        </w:rPr>
      </w:pPr>
      <w:bookmarkStart w:id="215" w:name="_Toc21607"/>
      <w:bookmarkStart w:id="216" w:name="_Toc7420"/>
      <w:r>
        <w:rPr>
          <w:rFonts w:ascii="仿宋" w:eastAsia="仿宋" w:hAnsi="仿宋" w:cs="仿宋" w:hint="eastAsia"/>
          <w:b/>
          <w:bCs/>
          <w:color w:val="auto"/>
          <w:highlight w:val="none"/>
        </w:rPr>
        <w:t xml:space="preserve">2.产出质量</w:t>
      </w:r>
      <w:bookmarkEnd w:id="215"/>
      <w:bookmarkEnd w:id="216"/>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指标1：违规发放补贴率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小于或等于0%</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0%</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本项满分12分，评估得分12分。</w:t>
      </w:r>
    </w:p>
    <w:p>
      <w:pPr>
        <w:bidi w:val="0"/>
        <w:rPr>
          <w:rFonts w:ascii="仿宋" w:eastAsia="仿宋" w:hAnsi="仿宋" w:cs="仿宋" w:hint="eastAsia"/>
          <w:b/>
          <w:bCs/>
          <w:color w:val="auto"/>
          <w:highlight w:val="none"/>
        </w:rPr>
      </w:pPr>
      <w:bookmarkStart w:id="217" w:name="_Toc6277"/>
      <w:bookmarkStart w:id="218" w:name="_Toc5394"/>
      <w:r>
        <w:rPr>
          <w:rFonts w:ascii="仿宋" w:eastAsia="仿宋" w:hAnsi="仿宋" w:cs="仿宋" w:hint="eastAsia"/>
          <w:b/>
          <w:bCs/>
          <w:color w:val="auto"/>
          <w:highlight w:val="none"/>
        </w:rPr>
        <w:t xml:space="preserve">3.产出时效</w:t>
      </w:r>
      <w:bookmarkEnd w:id="217"/>
      <w:bookmarkEnd w:id="218"/>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指标1：项目开工时间</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等于11月</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11月</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指标1：项目完工时间</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等于12月</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12月</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w:t>
      </w:r>
    </w:p>
    <w:p>
      <w:pPr>
        <w:bidi w:val="0"/>
        <w:rPr>
          <w:rFonts w:ascii="仿宋" w:eastAsia="仿宋" w:hAnsi="仿宋" w:cs="仿宋" w:hint="eastAsia"/>
          <w:b/>
          <w:bCs/>
          <w:color w:val="auto"/>
          <w:highlight w:val="none"/>
        </w:rPr>
      </w:pPr>
      <w:bookmarkStart w:id="219" w:name="_Toc28975"/>
      <w:bookmarkStart w:id="220" w:name="_Toc18558"/>
      <w:r>
        <w:rPr>
          <w:rFonts w:ascii="仿宋" w:eastAsia="仿宋" w:hAnsi="仿宋" w:cs="仿宋" w:hint="eastAsia"/>
          <w:b/>
          <w:bCs/>
          <w:color w:val="auto"/>
          <w:highlight w:val="none"/>
        </w:rPr>
        <w:t xml:space="preserve">4.产出成本</w:t>
      </w:r>
      <w:bookmarkEnd w:id="219"/>
      <w:bookmarkEnd w:id="220"/>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指标1：沙化土地新造林管护补助标准</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等于190.15元/亩</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190.15元/亩</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指标2：沙化土地封禁保护补偿费用</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小于或等于5.14元/亩</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5.14元/亩</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指标3：沙化土地封禁保护区监测费用</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等于10万元</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10万元</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w:t>
      </w:r>
    </w:p>
    <w:p>
      <w:pPr>
        <w:pStyle w:val="Heading3"/>
        <w:bidi w:val="0"/>
        <w:jc w:val="both"/>
        <w:outlineLvl w:val="1"/>
        <w:rPr>
          <w:rFonts w:ascii="仿宋" w:eastAsia="仿宋" w:hAnsi="仿宋" w:cs="仿宋" w:hint="eastAsia"/>
          <w:color w:val="auto"/>
          <w:highlight w:val="none"/>
        </w:rPr>
      </w:pPr>
      <w:bookmarkStart w:id="221" w:name="_Toc27548"/>
      <w:bookmarkStart w:id="222" w:name="_Toc24492"/>
      <w:bookmarkStart w:id="223" w:name="_Toc54"/>
      <w:bookmarkStart w:id="224" w:name="_Toc24680"/>
      <w:bookmarkStart w:id="225" w:name="_Toc14881"/>
      <w:bookmarkStart w:id="226" w:name="_Toc18194"/>
      <w:r>
        <w:rPr>
          <w:rFonts w:ascii="仿宋" w:eastAsia="仿宋" w:hAnsi="仿宋" w:cs="仿宋" w:hint="eastAsia"/>
          <w:color w:val="auto"/>
          <w:highlight w:val="none"/>
        </w:rPr>
        <w:t xml:space="preserve">（四）项目效益情况</w:t>
      </w:r>
      <w:bookmarkEnd w:id="221"/>
      <w:bookmarkEnd w:id="222"/>
      <w:bookmarkEnd w:id="223"/>
      <w:bookmarkEnd w:id="224"/>
      <w:bookmarkEnd w:id="225"/>
      <w:bookmarkEnd w:id="226"/>
    </w:p>
    <w:p>
      <w:pPr>
        <w:bidi w:val="0"/>
        <w:rPr>
          <w:rFonts w:ascii="仿宋" w:eastAsia="仿宋" w:hAnsi="仿宋" w:cs="仿宋" w:hint="eastAsia"/>
          <w:b/>
          <w:bCs/>
          <w:color w:val="auto"/>
          <w:highlight w:val="none"/>
        </w:rPr>
      </w:pPr>
      <w:bookmarkStart w:id="227" w:name="_Toc15599"/>
      <w:bookmarkStart w:id="228" w:name="_Toc8370"/>
      <w:r>
        <w:rPr>
          <w:rFonts w:ascii="仿宋" w:eastAsia="仿宋" w:hAnsi="仿宋" w:cs="仿宋" w:hint="eastAsia"/>
          <w:b/>
          <w:bCs/>
          <w:color w:val="auto"/>
          <w:highlight w:val="none"/>
        </w:rPr>
        <w:t xml:space="preserve">1.实施效益</w:t>
      </w:r>
      <w:bookmarkEnd w:id="227"/>
      <w:bookmarkEnd w:id="228"/>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本项目实施所产生的效益主要包括生态效益。项目生态效益</w:t>
      </w:r>
      <w:r>
        <w:rPr>
          <w:rFonts w:ascii="仿宋" w:eastAsia="仿宋" w:hAnsi="仿宋" w:cs="仿宋" w:hint="eastAsia"/>
          <w:color w:val="auto"/>
          <w:highlight w:val="none"/>
          <w:lang w:eastAsia="zh-CN"/>
        </w:rPr>
        <w:t xml:space="preserve">指标：</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指标1：对沙尘源的遏制作用，预期指标值作用明显，</w:t>
      </w:r>
      <w:bookmarkStart w:id="229" w:name="OLE_LINK3"/>
      <w:r>
        <w:rPr>
          <w:rFonts w:ascii="仿宋" w:eastAsia="仿宋" w:hAnsi="仿宋" w:cs="仿宋" w:hint="eastAsia"/>
          <w:color w:val="auto"/>
          <w:highlight w:val="none"/>
          <w:lang w:val="en-US" w:eastAsia="zh-CN"/>
        </w:rPr>
        <w:t xml:space="preserve">实际完成值：</w:t>
      </w:r>
      <w:bookmarkEnd w:id="229"/>
      <w:r>
        <w:rPr>
          <w:rFonts w:ascii="仿宋" w:eastAsia="仿宋" w:hAnsi="仿宋" w:cs="仿宋" w:hint="eastAsia"/>
          <w:color w:val="auto"/>
          <w:highlight w:val="none"/>
          <w:lang w:val="en-US" w:eastAsia="zh-CN"/>
        </w:rPr>
        <w:t xml:space="preserve">达成目标，完成率：100%。</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指标2：对区域生态系统功能改善的促进作用，预期指标值作用明显，</w:t>
      </w:r>
      <w:bookmarkStart w:id="230" w:name="OLE_LINK14"/>
      <w:r>
        <w:rPr>
          <w:rFonts w:ascii="仿宋" w:eastAsia="仿宋" w:hAnsi="仿宋" w:cs="仿宋" w:hint="eastAsia"/>
          <w:color w:val="auto"/>
          <w:highlight w:val="none"/>
          <w:lang w:val="en-US" w:eastAsia="zh-CN"/>
        </w:rPr>
        <w:t xml:space="preserve">实际完成值：达成目标</w:t>
      </w:r>
      <w:bookmarkEnd w:id="230"/>
      <w:r>
        <w:rPr>
          <w:rFonts w:ascii="仿宋" w:eastAsia="仿宋" w:hAnsi="仿宋" w:cs="仿宋" w:hint="eastAsia"/>
          <w:color w:val="auto"/>
          <w:highlight w:val="none"/>
          <w:lang w:val="en-US" w:eastAsia="zh-CN"/>
        </w:rPr>
        <w:t xml:space="preserve">，完成率：100%。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bidi w:val="0"/>
        <w:rPr>
          <w:rFonts w:ascii="仿宋" w:eastAsia="仿宋" w:hAnsi="仿宋" w:cs="仿宋" w:hint="eastAsia"/>
          <w:b/>
          <w:bCs/>
          <w:color w:val="auto"/>
          <w:highlight w:val="none"/>
        </w:rPr>
      </w:pPr>
      <w:bookmarkStart w:id="231" w:name="_Toc31503"/>
      <w:bookmarkStart w:id="232" w:name="_Toc20772"/>
      <w:r>
        <w:rPr>
          <w:rFonts w:ascii="仿宋" w:eastAsia="仿宋" w:hAnsi="仿宋" w:cs="仿宋" w:hint="eastAsia"/>
          <w:b/>
          <w:bCs/>
          <w:color w:val="auto"/>
          <w:highlight w:val="none"/>
        </w:rPr>
        <w:t xml:space="preserve">2.满意度</w:t>
      </w:r>
      <w:bookmarkEnd w:id="231"/>
      <w:bookmarkEnd w:id="232"/>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本项目服务对象和受益群众主要是</w:t>
      </w:r>
      <w:r>
        <w:rPr>
          <w:rFonts w:ascii="仿宋" w:eastAsia="仿宋" w:hAnsi="仿宋" w:cs="仿宋" w:hint="eastAsia"/>
          <w:color w:val="auto"/>
          <w:highlight w:val="none"/>
          <w:lang w:val="en-US" w:eastAsia="zh-CN"/>
        </w:rPr>
        <w:t xml:space="preserve">项目区群众</w:t>
      </w:r>
      <w:r>
        <w:rPr>
          <w:rFonts w:ascii="仿宋" w:eastAsia="仿宋" w:hAnsi="仿宋" w:cs="仿宋" w:hint="eastAsia"/>
          <w:color w:val="auto"/>
          <w:highlight w:val="none"/>
        </w:rPr>
        <w:t xml:space="preserve">，通过问卷调查方式收集服务对象和受益群众对本项目实施的满意度。调查人群都表示很满意，都认为本项目实施后，</w:t>
      </w:r>
      <w:r>
        <w:rPr>
          <w:rFonts w:ascii="仿宋" w:eastAsia="仿宋" w:hAnsi="仿宋" w:cs="仿宋" w:hint="eastAsia"/>
          <w:color w:val="auto"/>
          <w:highlight w:val="none"/>
          <w:lang w:eastAsia="zh-CN"/>
        </w:rPr>
        <w:t xml:space="preserve">进一步完善了沙化土地封禁保护区管护制度，</w:t>
      </w:r>
      <w:r>
        <w:rPr>
          <w:rFonts w:ascii="仿宋" w:eastAsia="仿宋" w:hAnsi="仿宋" w:cs="仿宋" w:hint="eastAsia"/>
          <w:color w:val="auto"/>
          <w:highlight w:val="none"/>
          <w:lang w:val="en-US" w:eastAsia="zh-CN"/>
        </w:rPr>
        <w:t xml:space="preserve">提高了管护人员工作积极性，提升了沙化封禁区管护能力，对区域生态系统功能改善起到促进作用，有效遏制沙尘源，改善了项目区群众居住生态环境。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pStyle w:val="Heading2"/>
        <w:bidi w:val="0"/>
        <w:jc w:val="both"/>
        <w:outlineLvl w:val="0"/>
        <w:rPr>
          <w:rFonts w:ascii="仿宋" w:eastAsia="仿宋" w:hAnsi="仿宋" w:cs="仿宋" w:hint="eastAsia"/>
          <w:color w:val="auto"/>
          <w:highlight w:val="none"/>
        </w:rPr>
      </w:pPr>
      <w:bookmarkStart w:id="233" w:name="_Toc4031"/>
      <w:bookmarkStart w:id="234" w:name="_Toc460"/>
      <w:bookmarkStart w:id="235" w:name="_Toc28699"/>
      <w:bookmarkStart w:id="236" w:name="_Toc3310"/>
      <w:bookmarkStart w:id="237" w:name="_Toc23114"/>
      <w:bookmarkStart w:id="238" w:name="_Toc20473"/>
      <w:bookmarkStart w:id="239" w:name="_Toc24261"/>
      <w:bookmarkStart w:id="240" w:name="_Toc21080"/>
      <w:bookmarkStart w:id="241" w:name="_Toc17413"/>
      <w:bookmarkStart w:id="242" w:name="_Toc25641"/>
      <w:bookmarkStart w:id="243" w:name="_Toc13769"/>
      <w:bookmarkStart w:id="244" w:name="_Toc17447"/>
      <w:r>
        <w:rPr>
          <w:rFonts w:ascii="仿宋" w:eastAsia="仿宋" w:hAnsi="仿宋" w:cs="仿宋" w:hint="eastAsia"/>
          <w:color w:val="auto"/>
          <w:highlight w:val="none"/>
        </w:rPr>
        <w:t xml:space="preserve">五、主要经验及做法、存在的问题及原因分析</w:t>
      </w:r>
      <w:bookmarkEnd w:id="233"/>
      <w:bookmarkEnd w:id="234"/>
      <w:bookmarkEnd w:id="235"/>
      <w:bookmarkEnd w:id="236"/>
      <w:bookmarkEnd w:id="237"/>
      <w:bookmarkEnd w:id="238"/>
      <w:bookmarkEnd w:id="239"/>
      <w:bookmarkEnd w:id="240"/>
      <w:bookmarkEnd w:id="241"/>
      <w:bookmarkEnd w:id="242"/>
      <w:bookmarkEnd w:id="243"/>
      <w:bookmarkEnd w:id="244"/>
    </w:p>
    <w:p>
      <w:pPr>
        <w:pStyle w:val="Heading3"/>
        <w:bidi w:val="0"/>
        <w:jc w:val="both"/>
        <w:outlineLvl w:val="1"/>
        <w:rPr>
          <w:rFonts w:ascii="仿宋" w:eastAsia="仿宋" w:hAnsi="仿宋" w:cs="仿宋" w:hint="eastAsia"/>
          <w:color w:val="auto"/>
          <w:highlight w:val="none"/>
        </w:rPr>
      </w:pPr>
      <w:bookmarkStart w:id="245" w:name="_Toc6522"/>
      <w:bookmarkStart w:id="246" w:name="_Toc14362"/>
      <w:bookmarkStart w:id="247" w:name="_Toc6741"/>
      <w:bookmarkStart w:id="248" w:name="_Toc5416"/>
      <w:bookmarkStart w:id="249" w:name="_Toc10514"/>
      <w:bookmarkStart w:id="250" w:name="_Toc27216"/>
      <w:r>
        <w:rPr>
          <w:rFonts w:ascii="仿宋" w:eastAsia="仿宋" w:hAnsi="仿宋" w:cs="仿宋" w:hint="eastAsia"/>
          <w:color w:val="auto"/>
          <w:highlight w:val="none"/>
        </w:rPr>
        <w:t xml:space="preserve">（一）主要经验及做法</w:t>
      </w:r>
      <w:bookmarkEnd w:id="245"/>
      <w:bookmarkEnd w:id="246"/>
      <w:bookmarkEnd w:id="247"/>
      <w:bookmarkEnd w:id="248"/>
      <w:bookmarkEnd w:id="249"/>
      <w:bookmarkEnd w:id="250"/>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2024年中央“三北”工程补助资金项目</w:t>
      </w:r>
      <w:r>
        <w:rPr>
          <w:rFonts w:ascii="仿宋" w:eastAsia="仿宋" w:hAnsi="仿宋" w:cs="仿宋" w:hint="eastAsia"/>
          <w:color w:val="auto"/>
          <w:highlight w:val="none"/>
        </w:rPr>
        <w:t xml:space="preserve">在</w:t>
      </w:r>
      <w:r>
        <w:rPr>
          <w:rFonts w:ascii="仿宋" w:eastAsia="仿宋" w:hAnsi="仿宋" w:cs="仿宋" w:hint="eastAsia"/>
          <w:color w:val="auto"/>
          <w:highlight w:val="none"/>
          <w:lang w:eastAsia="zh-CN"/>
        </w:rPr>
        <w:t xml:space="preserve">尉犁县委、县政府</w:t>
      </w:r>
      <w:r>
        <w:rPr>
          <w:rFonts w:ascii="仿宋" w:eastAsia="仿宋" w:hAnsi="仿宋" w:cs="仿宋" w:hint="eastAsia"/>
          <w:color w:val="auto"/>
          <w:highlight w:val="none"/>
        </w:rPr>
        <w:t xml:space="preserve">的支持下，在相关部门的配合下，全面顺利完成，绩效评价“优”，主要经验及做法如下：</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1.</w:t>
      </w:r>
      <w:r>
        <w:rPr>
          <w:rFonts w:ascii="仿宋" w:eastAsia="仿宋" w:hAnsi="仿宋" w:cs="仿宋" w:hint="eastAsia"/>
          <w:color w:val="auto"/>
          <w:highlight w:val="none"/>
          <w:lang w:val="en-US" w:eastAsia="zh-CN"/>
        </w:rPr>
        <w:t xml:space="preserve">在</w:t>
      </w:r>
      <w:r>
        <w:rPr>
          <w:rFonts w:ascii="仿宋" w:eastAsia="仿宋" w:hAnsi="仿宋" w:cs="仿宋" w:hint="eastAsia"/>
          <w:color w:val="auto"/>
          <w:highlight w:val="none"/>
        </w:rPr>
        <w:t xml:space="preserve">植被自然恢复区，设置草方格沙障固定流动沙丘，外围设置围栏，固定界碑、警示标牌进行宣传教育，设置封禁区管护站</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增加管护人员，加大巡护力度</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严禁在沙化土地封禁保护区内从事开荒、放牧、修建道路等活动</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加速地表结皮形成。</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2.严格程序，确保资金效益。严格资金审批流程，明确资金使用范围，保证项目资金专款专用。始终坚持按工程进度拨付工程款，资金审批后直接拨付到施工单位，有效杜绝了截留、挪用、滞留、浪费资金等现象的发生，确保了资金使用安全和最大效益的发挥。</w:t>
      </w:r>
    </w:p>
    <w:p>
      <w:pPr>
        <w:pStyle w:val="Heading3"/>
        <w:bidi w:val="0"/>
        <w:jc w:val="both"/>
        <w:outlineLvl w:val="1"/>
        <w:rPr>
          <w:rFonts w:ascii="仿宋" w:eastAsia="仿宋" w:hAnsi="仿宋" w:cs="仿宋" w:hint="eastAsia"/>
          <w:color w:val="auto"/>
          <w:highlight w:val="none"/>
        </w:rPr>
      </w:pPr>
      <w:bookmarkStart w:id="251" w:name="_Toc20666"/>
      <w:bookmarkStart w:id="252" w:name="_Toc11238"/>
      <w:bookmarkStart w:id="253" w:name="_Toc4673"/>
      <w:bookmarkStart w:id="254" w:name="_Toc27408"/>
      <w:bookmarkStart w:id="255" w:name="_Toc6359"/>
      <w:bookmarkStart w:id="256" w:name="_Toc29824"/>
      <w:r>
        <w:rPr>
          <w:rFonts w:ascii="仿宋" w:eastAsia="仿宋" w:hAnsi="仿宋" w:cs="仿宋" w:hint="eastAsia"/>
          <w:color w:val="auto"/>
          <w:highlight w:val="none"/>
        </w:rPr>
        <w:t xml:space="preserve">（二）存在的问题及分析</w:t>
      </w:r>
      <w:bookmarkEnd w:id="251"/>
      <w:bookmarkEnd w:id="252"/>
      <w:bookmarkEnd w:id="253"/>
      <w:bookmarkEnd w:id="254"/>
      <w:bookmarkEnd w:id="255"/>
      <w:bookmarkEnd w:id="256"/>
    </w:p>
    <w:p>
      <w:pPr>
        <w:bidi w:val="0"/>
        <w:rPr>
          <w:rFonts w:ascii="仿宋" w:eastAsia="仿宋" w:hAnsi="仿宋" w:cs="仿宋" w:hint="eastAsia"/>
          <w:color w:val="auto"/>
          <w:highlight w:val="none"/>
          <w:lang w:eastAsia="zh-CN"/>
        </w:rPr>
      </w:pPr>
      <w:bookmarkStart w:id="257" w:name="_Toc22271"/>
      <w:bookmarkStart w:id="258" w:name="_Toc13270"/>
      <w:bookmarkStart w:id="259" w:name="_Toc20116"/>
      <w:bookmarkStart w:id="260" w:name="_Toc13345"/>
      <w:bookmarkStart w:id="261" w:name="_Toc5702"/>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项目管护工作的可持续性面临挑战。封禁保护区虽设立物理围栏，但日常巡查依赖临时聘用的农牧民管护员，缺乏专业培训且流动性大，导致围栏破损、偷牧盗采等问题难以及时发现和处置</w:t>
      </w:r>
      <w:r>
        <w:rPr>
          <w:rFonts w:ascii="仿宋" w:eastAsia="仿宋" w:hAnsi="仿宋" w:cs="仿宋" w:hint="eastAsia"/>
          <w:color w:val="auto"/>
          <w:highlight w:val="none"/>
          <w:lang w:eastAsia="zh-CN"/>
        </w:rPr>
        <w:t xml:space="preserve">。深层次原因在于：一是管护责任未完全纳入林长制考核，基层政府与林草部门权责划分模糊；二是项目资金使用范围受限，现行补助政策未明确管护期后的运维经费来源。此类问题可能使治理成果因管护缺位而“得而复失”，影响项目整体效益。</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项目绩效评价存在对生态效益的量化评估不充分问题。当前监测体系主要依赖人工巡查和抽样调查，封禁保护区15.65万亩范围内仅布设少量固定监测点，导致数据覆盖不全、连续性差。同时，评价指标过度侧重“任务完成率”，忽视生态系统服务功能提升等质量指标。</w:t>
      </w:r>
    </w:p>
    <w:p>
      <w:pPr>
        <w:pStyle w:val="Heading2"/>
        <w:bidi w:val="0"/>
        <w:jc w:val="both"/>
        <w:outlineLvl w:val="0"/>
        <w:rPr>
          <w:rFonts w:ascii="仿宋" w:eastAsia="仿宋" w:hAnsi="仿宋" w:cs="仿宋" w:hint="eastAsia"/>
          <w:color w:val="auto"/>
          <w:highlight w:val="none"/>
        </w:rPr>
      </w:pPr>
      <w:bookmarkStart w:id="262" w:name="_Toc21167"/>
      <w:bookmarkStart w:id="263" w:name="_Toc10264"/>
      <w:bookmarkStart w:id="264" w:name="_Toc22793"/>
      <w:bookmarkStart w:id="265" w:name="_Toc22602"/>
      <w:bookmarkStart w:id="266" w:name="_Toc26726"/>
      <w:bookmarkStart w:id="267" w:name="_Toc10798"/>
      <w:bookmarkStart w:id="268" w:name="_Toc30933"/>
      <w:r>
        <w:rPr>
          <w:rFonts w:ascii="仿宋" w:eastAsia="仿宋" w:hAnsi="仿宋" w:cs="仿宋" w:hint="eastAsia"/>
          <w:color w:val="auto"/>
          <w:highlight w:val="none"/>
        </w:rPr>
        <w:t xml:space="preserve">六、有关建议</w:t>
      </w:r>
      <w:bookmarkEnd w:id="257"/>
      <w:bookmarkEnd w:id="258"/>
      <w:bookmarkEnd w:id="259"/>
      <w:bookmarkEnd w:id="260"/>
      <w:bookmarkEnd w:id="261"/>
      <w:bookmarkEnd w:id="262"/>
      <w:bookmarkEnd w:id="263"/>
      <w:bookmarkEnd w:id="264"/>
      <w:bookmarkEnd w:id="265"/>
      <w:bookmarkEnd w:id="266"/>
      <w:bookmarkEnd w:id="267"/>
      <w:bookmarkEnd w:id="268"/>
    </w:p>
    <w:p>
      <w:pPr>
        <w:bidi w:val="0"/>
        <w:rPr>
          <w:rFonts w:ascii="仿宋" w:eastAsia="仿宋" w:hAnsi="仿宋" w:cs="仿宋" w:hint="eastAsia"/>
          <w:color w:val="auto"/>
          <w:highlight w:val="none"/>
          <w:lang w:val="en-US" w:eastAsia="zh-CN"/>
        </w:rPr>
      </w:pPr>
      <w:bookmarkStart w:id="269" w:name="_Toc14082"/>
      <w:bookmarkStart w:id="270" w:name="_Toc32132"/>
      <w:bookmarkStart w:id="271" w:name="_Toc31720"/>
      <w:bookmarkStart w:id="272" w:name="_Toc17235"/>
      <w:bookmarkStart w:id="273" w:name="_Toc5794"/>
      <w:bookmarkStart w:id="274" w:name="_Toc24871"/>
      <w:bookmarkStart w:id="275" w:name="_Toc22823"/>
      <w:bookmarkStart w:id="276" w:name="_Toc12100"/>
      <w:bookmarkStart w:id="277" w:name="_Toc21621"/>
      <w:r>
        <w:rPr>
          <w:rFonts w:ascii="仿宋" w:eastAsia="仿宋" w:hAnsi="仿宋" w:cs="仿宋" w:hint="eastAsia"/>
          <w:color w:val="auto"/>
          <w:highlight w:val="none"/>
          <w:lang w:val="en-US" w:eastAsia="zh-CN"/>
        </w:rPr>
        <w:t xml:space="preserve">1.推行“林长+网格员”双轨责任制，将2.7万亩新造林和15.65万亩封禁区划分为网格，明确县乡村三级林长为管护第一责任人，签订目标责任书；每个网格配备专职网格员，实行“日巡护-周报告-月考核”制度，考核结果与绩效工资挂钩。</w:t>
      </w:r>
      <w:bookmarkEnd w:id="269"/>
      <w:bookmarkEnd w:id="270"/>
      <w:bookmarkEnd w:id="271"/>
      <w:bookmarkEnd w:id="272"/>
    </w:p>
    <w:p>
      <w:pPr>
        <w:bidi w:val="0"/>
        <w:rPr>
          <w:rFonts w:ascii="仿宋" w:eastAsia="仿宋" w:hAnsi="仿宋" w:cs="仿宋" w:hint="eastAsia"/>
          <w:color w:val="auto"/>
          <w:highlight w:val="none"/>
        </w:rPr>
      </w:pPr>
      <w:bookmarkStart w:id="278" w:name="_Toc4520"/>
      <w:bookmarkStart w:id="279" w:name="_Toc26476"/>
      <w:bookmarkStart w:id="280" w:name="_Toc14490"/>
      <w:bookmarkStart w:id="281" w:name="_Toc29712"/>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为提升监测数据质量与评价体系科学性，建议构建“天地空”一体化智慧监测网络，强化数据驱动的精准评估机制。建立第三方评估机制，委托</w:t>
      </w:r>
      <w:r>
        <w:rPr>
          <w:rFonts w:ascii="仿宋" w:eastAsia="仿宋" w:hAnsi="仿宋" w:cs="仿宋" w:hint="eastAsia"/>
          <w:color w:val="auto"/>
          <w:highlight w:val="none"/>
          <w:lang w:val="en-US" w:eastAsia="zh-CN"/>
        </w:rPr>
        <w:t xml:space="preserve">相关科研</w:t>
      </w:r>
      <w:r>
        <w:rPr>
          <w:rFonts w:ascii="仿宋" w:eastAsia="仿宋" w:hAnsi="仿宋" w:cs="仿宋" w:hint="eastAsia"/>
          <w:color w:val="auto"/>
          <w:highlight w:val="none"/>
        </w:rPr>
        <w:t xml:space="preserve">机构，采用机器学习模型（如随机森林算法）分析监测数据，量化不同措施贡献度，编制《生态效益白皮书》。通过技术升级与指标优化，实现从“面积达标”向“质量增效”的评价转型，确保绩效结果真实反映生态治理成效。</w:t>
      </w:r>
      <w:bookmarkEnd w:id="278"/>
      <w:bookmarkEnd w:id="279"/>
      <w:bookmarkEnd w:id="280"/>
      <w:bookmarkEnd w:id="281"/>
    </w:p>
    <w:p>
      <w:pPr>
        <w:pStyle w:val="Heading2"/>
        <w:bidi w:val="0"/>
        <w:jc w:val="both"/>
        <w:outlineLvl w:val="0"/>
        <w:rPr>
          <w:rFonts w:ascii="仿宋" w:eastAsia="仿宋" w:hAnsi="仿宋" w:cs="仿宋" w:hint="eastAsia"/>
          <w:bCs/>
          <w:iCs/>
          <w:color w:val="auto"/>
          <w:highlight w:val="none"/>
        </w:rPr>
      </w:pPr>
      <w:bookmarkStart w:id="282" w:name="_Toc12880"/>
      <w:bookmarkStart w:id="283" w:name="_Toc18880"/>
      <w:bookmarkStart w:id="284" w:name="_Toc5147"/>
      <w:bookmarkStart w:id="285" w:name="_Toc29050"/>
      <w:bookmarkStart w:id="286" w:name="_Toc9534"/>
      <w:bookmarkStart w:id="287" w:name="_Toc23347"/>
      <w:bookmarkStart w:id="288" w:name="_Toc20922"/>
      <w:r>
        <w:rPr>
          <w:rFonts w:ascii="仿宋" w:eastAsia="仿宋" w:hAnsi="仿宋" w:cs="仿宋" w:hint="eastAsia"/>
          <w:bCs/>
          <w:iCs/>
          <w:color w:val="auto"/>
          <w:highlight w:val="none"/>
        </w:rPr>
        <w:t xml:space="preserve">七、其他需要说明的问题</w:t>
      </w:r>
      <w:bookmarkEnd w:id="273"/>
      <w:bookmarkEnd w:id="274"/>
      <w:bookmarkEnd w:id="275"/>
      <w:bookmarkEnd w:id="276"/>
      <w:bookmarkEnd w:id="277"/>
      <w:bookmarkEnd w:id="282"/>
      <w:bookmarkEnd w:id="283"/>
      <w:bookmarkEnd w:id="284"/>
      <w:bookmarkEnd w:id="285"/>
      <w:bookmarkEnd w:id="286"/>
      <w:bookmarkEnd w:id="287"/>
      <w:bookmarkEnd w:id="288"/>
    </w:p>
    <w:p>
      <w:pPr>
        <w:bidi w:val="0"/>
        <w:jc w:val="both"/>
        <w:rPr>
          <w:rFonts w:ascii="仿宋" w:eastAsia="仿宋" w:hAnsi="仿宋" w:cs="仿宋" w:hint="eastAsia"/>
          <w:color w:val="auto"/>
          <w:highlight w:val="none"/>
        </w:rPr>
      </w:pPr>
      <w:bookmarkStart w:id="289" w:name="_Toc29661"/>
      <w:bookmarkStart w:id="290" w:name="_Toc711"/>
      <w:bookmarkStart w:id="291" w:name="_Toc31084"/>
      <w:bookmarkStart w:id="292" w:name="_Toc14471"/>
      <w:bookmarkStart w:id="293" w:name="_Toc11806"/>
      <w:bookmarkStart w:id="294" w:name="_Toc28493"/>
      <w:bookmarkStart w:id="295" w:name="_Toc31724"/>
      <w:bookmarkStart w:id="296" w:name="_Toc4210"/>
      <w:bookmarkStart w:id="297" w:name="_Toc6178"/>
      <w:bookmarkStart w:id="298" w:name="_Toc30245"/>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评价结果分别编入政府决算和部门预算，报送本级人民代表大会常务委员会，并依法予以公开。</w:t>
      </w:r>
    </w:p>
    <w:p>
      <w:pPr>
        <w:pStyle w:val="Heading2"/>
        <w:bidi w:val="0"/>
        <w:jc w:val="both"/>
        <w:outlineLvl w:val="0"/>
        <w:rPr>
          <w:rFonts w:ascii="仿宋" w:eastAsia="仿宋" w:hAnsi="仿宋" w:cs="仿宋" w:hint="eastAsia"/>
          <w:bCs/>
          <w:iCs/>
          <w:color w:val="auto"/>
          <w:highlight w:val="none"/>
        </w:rPr>
      </w:pPr>
      <w:r>
        <w:rPr>
          <w:rFonts w:ascii="仿宋" w:eastAsia="仿宋" w:hAnsi="仿宋" w:cs="仿宋" w:hint="eastAsia"/>
          <w:bCs/>
          <w:iCs/>
          <w:color w:val="auto"/>
          <w:highlight w:val="none"/>
        </w:rPr>
        <w:t xml:space="preserve">八、附件</w:t>
      </w:r>
      <w:bookmarkEnd w:id="289"/>
      <w:bookmarkEnd w:id="290"/>
      <w:bookmarkEnd w:id="291"/>
      <w:bookmarkEnd w:id="292"/>
      <w:bookmarkEnd w:id="293"/>
      <w:bookmarkEnd w:id="294"/>
      <w:bookmarkEnd w:id="295"/>
      <w:bookmarkEnd w:id="296"/>
      <w:bookmarkEnd w:id="297"/>
      <w:bookmarkEnd w:id="298"/>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1、项目支出绩效自评表</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2、项目支出绩效评价指标体系及评分</w:t>
      </w:r>
    </w:p>
    <w:p>
      <w:pPr>
        <w:pStyle w:val="Heading3"/>
        <w:ind w:left="0" w:firstLine="0" w:leftChars="0" w:firstLineChars="0"/>
        <w:outlineLvl w:val="9"/>
        <w:rPr>
          <w:rFonts w:ascii="仿宋" w:eastAsia="仿宋" w:hAnsi="仿宋" w:cs="仿宋" w:hint="eastAsia"/>
          <w:color w:val="auto"/>
          <w:highlight w:val="none"/>
        </w:rPr>
        <w:sectPr>
          <w:footerReference w:type="default" r:id="rId4"/>
          <w:pgSz w:w="11906" w:h="16838" w:orient="portrait"/>
          <w:pgMar w:top="1440" w:right="1800" w:bottom="1440" w:left="1800" w:header="851" w:footer="992" w:gutter="0"/>
          <w:pgBorders>
            <w:top w:val="none" w:sz="0" w:space="0" w:color="auto"/>
            <w:left w:val="none" w:sz="0" w:space="0" w:color="auto"/>
            <w:bottom w:val="none" w:sz="0" w:space="0" w:color="auto"/>
            <w:right w:val="none" w:sz="0" w:space="0" w:color="auto"/>
          </w:pgBorders>
          <w:pgNumType w:fmt="decimal" w:start="1"/>
          <w:cols w:num="1" w:space="720">
            <w:col w:w="8306" w:space="720"/>
          </w:cols>
          <w:docGrid w:type="lines" w:linePitch="312" w:charSpace="0"/>
        </w:sectPr>
      </w:pPr>
    </w:p>
    <w:p>
      <w:pPr>
        <w:bidi w:val="0"/>
        <w:rPr>
          <w:rFonts w:ascii="仿宋" w:eastAsia="仿宋" w:hAnsi="仿宋" w:cs="仿宋" w:hint="eastAsia"/>
          <w:color w:val="auto"/>
          <w:highlight w:val="none"/>
        </w:rPr>
      </w:pPr>
      <w:bookmarkStart w:id="299" w:name="_Toc28598"/>
      <w:bookmarkStart w:id="300" w:name="_Toc15698"/>
      <w:bookmarkStart w:id="301" w:name="_Toc28663"/>
      <w:bookmarkStart w:id="302" w:name="_Toc24903"/>
      <w:bookmarkStart w:id="303" w:name="_Toc28337"/>
      <w:bookmarkStart w:id="304" w:name="_Toc15184"/>
      <w:bookmarkStart w:id="305" w:name="_Toc26926"/>
      <w:bookmarkStart w:id="306" w:name="_Toc25433"/>
      <w:bookmarkStart w:id="307" w:name="_Toc10930"/>
      <w:r>
        <w:rPr>
          <w:rFonts w:ascii="仿宋" w:eastAsia="仿宋" w:hAnsi="仿宋" w:cs="仿宋" w:hint="eastAsia"/>
          <w:color w:val="auto"/>
          <w:highlight w:val="none"/>
        </w:rPr>
        <w:t xml:space="preserve">附件1：</w:t>
      </w:r>
      <w:bookmarkEnd w:id="299"/>
      <w:bookmarkEnd w:id="300"/>
      <w:r>
        <w:rPr>
          <w:rFonts w:ascii="仿宋" w:eastAsia="仿宋" w:hAnsi="仿宋" w:cs="仿宋" w:hint="eastAsia"/>
          <w:color w:val="auto"/>
          <w:highlight w:val="none"/>
        </w:rPr>
        <w:t xml:space="preserve">项目支出绩效自评表</w:t>
      </w:r>
      <w:bookmarkEnd w:id="301"/>
      <w:bookmarkEnd w:id="302"/>
      <w:bookmarkEnd w:id="303"/>
      <w:bookmarkEnd w:id="304"/>
      <w:bookmarkEnd w:id="305"/>
      <w:bookmarkEnd w:id="306"/>
      <w:bookmarkEnd w:id="307"/>
    </w:p>
    <w:p>
      <w:pPr>
        <w:ind w:left="0" w:firstLine="0" w:leftChars="0" w:firstLineChars="0"/>
        <w:jc w:val="center"/>
        <w:rPr>
          <w:rFonts w:ascii="仿宋" w:eastAsia="仿宋" w:hAnsi="仿宋" w:cs="仿宋" w:hint="eastAsia"/>
          <w:b/>
          <w:bCs/>
          <w:color w:val="auto"/>
          <w:sz w:val="32"/>
          <w:szCs w:val="32"/>
          <w:highlight w:val="none"/>
        </w:rPr>
      </w:pPr>
      <w:r>
        <w:rPr>
          <w:rFonts w:ascii="仿宋" w:eastAsia="仿宋" w:hAnsi="仿宋" w:cs="仿宋" w:hint="eastAsia"/>
          <w:b/>
          <w:bCs/>
          <w:color w:val="auto"/>
          <w:sz w:val="32"/>
          <w:szCs w:val="32"/>
          <w:highlight w:val="none"/>
        </w:rPr>
        <w:t xml:space="preserve">项目支出绩效自评表</w:t>
      </w:r>
    </w:p>
    <w:tbl>
      <w:tblPr>
        <w:tblStyle w:val="NormalTabl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firstRow="0" w:lastRow="0" w:firstColumn="0" w:lastColumn="0" w:noHBand="1" w:noVBand="1"/>
      </w:tblPr>
      <w:tblGrid>
        <w:gridCol w:w="740"/>
        <w:gridCol w:w="752"/>
        <w:gridCol w:w="741"/>
        <w:gridCol w:w="1679"/>
        <w:gridCol w:w="1402"/>
        <w:gridCol w:w="1016"/>
        <w:gridCol w:w="932"/>
        <w:gridCol w:w="864"/>
        <w:gridCol w:w="1069"/>
        <w:gridCol w:w="753"/>
        <w:gridCol w:w="912"/>
        <w:gridCol w:w="140"/>
        <w:gridCol w:w="753"/>
        <w:gridCol w:w="772"/>
        <w:gridCol w:w="137"/>
        <w:gridCol w:w="1326"/>
      </w:tblGrid>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90"/>
          <w:jc w:val="center"/>
        </w:trPr>
        <w:tc>
          <w:tcPr>
            <w:tcW w:w="13988" w:type="dxa"/>
            <w:gridSpan w:val="16"/>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b/>
                <w:i w:val="0"/>
                <w:color w:val="auto"/>
                <w:sz w:val="22"/>
                <w:szCs w:val="22"/>
                <w:highlight w:val="none"/>
                <w:u w:val="none"/>
              </w:rPr>
            </w:pPr>
            <w:bookmarkStart w:id="308" w:name="_Toc5134"/>
            <w:bookmarkStart w:id="309" w:name="_Toc28099"/>
            <w:bookmarkStart w:id="310" w:name="_Toc22143"/>
            <w:bookmarkStart w:id="311" w:name="_Toc1641"/>
            <w:r>
              <w:rPr>
                <w:rFonts w:ascii="仿宋" w:eastAsia="仿宋" w:hAnsi="仿宋" w:cs="仿宋" w:hint="eastAsia"/>
                <w:b/>
                <w:i w:val="0"/>
                <w:color w:val="auto"/>
                <w:kern w:val="0"/>
                <w:sz w:val="22"/>
                <w:szCs w:val="22"/>
                <w:highlight w:val="none"/>
                <w:u w:val="none"/>
                <w:lang w:val="en-US" w:eastAsia="zh-CN"/>
              </w:rPr>
              <w:t xml:space="preserve">(2024年度)</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592"/>
          <w:jc w:val="center"/>
        </w:trPr>
        <w:tc>
          <w:tcPr>
            <w:tcW w:w="1492"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项目名称</w:t>
            </w:r>
          </w:p>
        </w:tc>
        <w:tc>
          <w:tcPr>
            <w:tcW w:w="12496" w:type="dxa"/>
            <w:gridSpan w:val="14"/>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2024年中央“三北”工程补助资金</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1492"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主管部门</w:t>
            </w:r>
          </w:p>
        </w:tc>
        <w:tc>
          <w:tcPr>
            <w:tcW w:w="4838" w:type="dxa"/>
            <w:gridSpan w:val="4"/>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尉犁县林业和草原局</w:t>
            </w:r>
          </w:p>
        </w:tc>
        <w:tc>
          <w:tcPr>
            <w:tcW w:w="1796"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实施单位</w:t>
            </w:r>
          </w:p>
        </w:tc>
        <w:tc>
          <w:tcPr>
            <w:tcW w:w="5862" w:type="dxa"/>
            <w:gridSpan w:val="8"/>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尉犁县林业和草原局</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440"/>
          <w:jc w:val="center"/>
        </w:trPr>
        <w:tc>
          <w:tcPr>
            <w:tcW w:w="1492" w:type="dxa"/>
            <w:gridSpan w:val="2"/>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项目资金</w:t>
            </w:r>
            <w:r>
              <w:rPr>
                <w:rFonts w:ascii="仿宋" w:eastAsia="仿宋" w:hAnsi="仿宋" w:cs="仿宋" w:hint="eastAsia"/>
                <w:i w:val="0"/>
                <w:color w:val="auto"/>
                <w:kern w:val="0"/>
                <w:sz w:val="18"/>
                <w:szCs w:val="18"/>
                <w:highlight w:val="none"/>
                <w:u w:val="none"/>
                <w:lang w:val="en-US" w:eastAsia="zh-CN"/>
              </w:rPr>
              <w:br/>
            </w:r>
            <w:r>
              <w:rPr>
                <w:rFonts w:ascii="仿宋" w:eastAsia="仿宋" w:hAnsi="仿宋" w:cs="仿宋" w:hint="eastAsia"/>
                <w:i w:val="0"/>
                <w:color w:val="auto"/>
                <w:kern w:val="0"/>
                <w:sz w:val="18"/>
                <w:szCs w:val="18"/>
                <w:highlight w:val="none"/>
                <w:u w:val="none"/>
                <w:lang w:val="en-US" w:eastAsia="zh-CN"/>
              </w:rPr>
              <w:t xml:space="preserve">（万元）</w:t>
            </w:r>
          </w:p>
        </w:tc>
        <w:tc>
          <w:tcPr>
            <w:tcW w:w="2420"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资金来源</w:t>
            </w:r>
          </w:p>
        </w:tc>
        <w:tc>
          <w:tcPr>
            <w:tcW w:w="140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年初预算数</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全年预算数</w:t>
            </w:r>
          </w:p>
        </w:tc>
        <w:tc>
          <w:tcPr>
            <w:tcW w:w="1796"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全年执行数</w:t>
            </w:r>
          </w:p>
        </w:tc>
        <w:tc>
          <w:tcPr>
            <w:tcW w:w="2734" w:type="dxa"/>
            <w:gridSpan w:val="3"/>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分值权重</w:t>
            </w:r>
          </w:p>
        </w:tc>
        <w:tc>
          <w:tcPr>
            <w:tcW w:w="1665" w:type="dxa"/>
            <w:gridSpan w:val="3"/>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执行率</w:t>
            </w:r>
          </w:p>
        </w:tc>
        <w:tc>
          <w:tcPr>
            <w:tcW w:w="1463"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得分</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440"/>
          <w:jc w:val="center"/>
        </w:trPr>
        <w:tc>
          <w:tcPr>
            <w:tcW w:w="1492" w:type="dxa"/>
            <w:gridSpan w:val="2"/>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c>
          <w:tcPr>
            <w:tcW w:w="2420"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年度资金总额</w:t>
            </w:r>
          </w:p>
        </w:tc>
        <w:tc>
          <w:tcPr>
            <w:tcW w:w="140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603.89</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603.89</w:t>
            </w:r>
          </w:p>
        </w:tc>
        <w:tc>
          <w:tcPr>
            <w:tcW w:w="1796"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603.89</w:t>
            </w:r>
          </w:p>
        </w:tc>
        <w:tc>
          <w:tcPr>
            <w:tcW w:w="2734" w:type="dxa"/>
            <w:gridSpan w:val="3"/>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10</w:t>
            </w:r>
          </w:p>
        </w:tc>
        <w:tc>
          <w:tcPr>
            <w:tcW w:w="1665" w:type="dxa"/>
            <w:gridSpan w:val="3"/>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100.00%</w:t>
            </w:r>
          </w:p>
        </w:tc>
        <w:tc>
          <w:tcPr>
            <w:tcW w:w="1463"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10.00分</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440"/>
          <w:jc w:val="center"/>
        </w:trPr>
        <w:tc>
          <w:tcPr>
            <w:tcW w:w="1492" w:type="dxa"/>
            <w:gridSpan w:val="2"/>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c>
          <w:tcPr>
            <w:tcW w:w="2420"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其中：当年财政拨款</w:t>
            </w:r>
          </w:p>
        </w:tc>
        <w:tc>
          <w:tcPr>
            <w:tcW w:w="140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603.89</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603.89</w:t>
            </w:r>
          </w:p>
        </w:tc>
        <w:tc>
          <w:tcPr>
            <w:tcW w:w="1796"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603.89</w:t>
            </w:r>
          </w:p>
        </w:tc>
        <w:tc>
          <w:tcPr>
            <w:tcW w:w="2734" w:type="dxa"/>
            <w:gridSpan w:val="3"/>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w:t>
            </w:r>
          </w:p>
        </w:tc>
        <w:tc>
          <w:tcPr>
            <w:tcW w:w="1665" w:type="dxa"/>
            <w:gridSpan w:val="3"/>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w:t>
            </w:r>
          </w:p>
        </w:tc>
        <w:tc>
          <w:tcPr>
            <w:tcW w:w="1463"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440"/>
          <w:jc w:val="center"/>
        </w:trPr>
        <w:tc>
          <w:tcPr>
            <w:tcW w:w="1492" w:type="dxa"/>
            <w:gridSpan w:val="2"/>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c>
          <w:tcPr>
            <w:tcW w:w="2420"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其他资金</w:t>
            </w:r>
          </w:p>
        </w:tc>
        <w:tc>
          <w:tcPr>
            <w:tcW w:w="140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0</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0</w:t>
            </w:r>
          </w:p>
        </w:tc>
        <w:tc>
          <w:tcPr>
            <w:tcW w:w="1796"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c>
          <w:tcPr>
            <w:tcW w:w="2734" w:type="dxa"/>
            <w:gridSpan w:val="3"/>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w:t>
            </w:r>
          </w:p>
        </w:tc>
        <w:tc>
          <w:tcPr>
            <w:tcW w:w="1665" w:type="dxa"/>
            <w:gridSpan w:val="3"/>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w:t>
            </w:r>
          </w:p>
        </w:tc>
        <w:tc>
          <w:tcPr>
            <w:tcW w:w="1463"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740" w:type="dxa"/>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年度总体目标</w:t>
            </w:r>
          </w:p>
        </w:tc>
        <w:tc>
          <w:tcPr>
            <w:tcW w:w="7386" w:type="dxa"/>
            <w:gridSpan w:val="7"/>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总体目标</w:t>
            </w:r>
          </w:p>
        </w:tc>
        <w:tc>
          <w:tcPr>
            <w:tcW w:w="5862" w:type="dxa"/>
            <w:gridSpan w:val="8"/>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总体目标完成情况</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740"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c>
          <w:tcPr>
            <w:tcW w:w="7386" w:type="dxa"/>
            <w:gridSpan w:val="7"/>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完成年度2.7万亩沙化土地新造林管护任务2.开展15.65万亩沙化土地封禁保护区日常管护，维护工作，开展日常监测工作沙化土地封禁保护补偿面积15.65万亩3.完成沙化土地封禁保护区成效监测站点形成监测报告数量1份，4.本项目实施后对沙尘源的扼制作用明显，对区域生态硒鼓农能改善的促进作用明显</w:t>
            </w:r>
          </w:p>
        </w:tc>
        <w:tc>
          <w:tcPr>
            <w:tcW w:w="5862" w:type="dxa"/>
            <w:gridSpan w:val="8"/>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完成年度2.7万亩沙化土地新造林管护任务2.完成15.65万亩沙化土地封禁保护区日常管护工作，开展日常监测工作沙化土地封禁保护补偿面积15.65万亩3.完成沙化土地封禁保护区成效监测站点形成监测报告数量1份，4.本项目实施后对沙尘源的扼制作用明显，对区域生态硒鼓农能改善的促进作用明显。通过开展尉犁县2024年中央“三北”工程补助资金项目绩效评价工作，了解项目进展、资金使用、制度建设及执行情况以及取得的成效，从而总结经验，发现问题，提出整改意见和建议。同时，完善制度、创新机制、加强管理、强化监督，保证项目资金使用管理的规范性、安全性和有效性；为指导预算编制、申报绩效目标，优化财政支出结构，提高公共服务水平提供决策依据。</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809"/>
          <w:jc w:val="center"/>
        </w:trPr>
        <w:tc>
          <w:tcPr>
            <w:tcW w:w="74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c>
          <w:tcPr>
            <w:tcW w:w="75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一级指标</w:t>
            </w:r>
          </w:p>
        </w:tc>
        <w:tc>
          <w:tcPr>
            <w:tcW w:w="7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二级指标</w:t>
            </w:r>
          </w:p>
        </w:tc>
        <w:tc>
          <w:tcPr>
            <w:tcW w:w="167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三级指标</w:t>
            </w:r>
          </w:p>
        </w:tc>
        <w:tc>
          <w:tcPr>
            <w:tcW w:w="140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指标值</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指标值设置依据</w:t>
            </w:r>
          </w:p>
        </w:tc>
        <w:tc>
          <w:tcPr>
            <w:tcW w:w="93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上年完成值</w:t>
            </w:r>
          </w:p>
        </w:tc>
        <w:tc>
          <w:tcPr>
            <w:tcW w:w="8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指标分值权重</w:t>
            </w:r>
          </w:p>
        </w:tc>
        <w:tc>
          <w:tcPr>
            <w:tcW w:w="10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指标赋分规则</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佐证资料</w:t>
            </w:r>
          </w:p>
        </w:tc>
        <w:tc>
          <w:tcPr>
            <w:tcW w:w="1052"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指标实际完成值</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完成率</w:t>
            </w:r>
          </w:p>
        </w:tc>
        <w:tc>
          <w:tcPr>
            <w:tcW w:w="909"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指标得分</w:t>
            </w:r>
          </w:p>
        </w:tc>
        <w:tc>
          <w:tcPr>
            <w:tcW w:w="132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偏差原因分析及改进措施</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740" w:type="dxa"/>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年度绩效指标完成情况</w:t>
            </w:r>
          </w:p>
        </w:tc>
        <w:tc>
          <w:tcPr>
            <w:tcW w:w="752" w:type="dxa"/>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产出指标</w:t>
            </w:r>
          </w:p>
        </w:tc>
        <w:tc>
          <w:tcPr>
            <w:tcW w:w="7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数量指标</w:t>
            </w:r>
          </w:p>
        </w:tc>
        <w:tc>
          <w:tcPr>
            <w:tcW w:w="167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年度完成沙化土地新造林管护面积</w:t>
            </w:r>
          </w:p>
        </w:tc>
        <w:tc>
          <w:tcPr>
            <w:tcW w:w="140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&gt;=2.70万亩</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93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lang w:val="en-US" w:eastAsia="zh-CN"/>
              </w:rPr>
            </w:pPr>
            <w:bookmarkStart w:id="312" w:name="OLE_LINK10"/>
            <w:r>
              <w:rPr>
                <w:rFonts w:ascii="仿宋" w:eastAsia="仿宋" w:hAnsi="仿宋" w:cs="仿宋" w:hint="eastAsia"/>
                <w:i w:val="0"/>
                <w:color w:val="auto"/>
                <w:sz w:val="20"/>
                <w:szCs w:val="20"/>
                <w:highlight w:val="none"/>
                <w:u w:val="none"/>
                <w:lang w:val="en-US" w:eastAsia="zh-CN"/>
              </w:rPr>
              <w:t xml:space="preserve">/</w:t>
            </w:r>
            <w:bookmarkEnd w:id="312"/>
          </w:p>
        </w:tc>
        <w:tc>
          <w:tcPr>
            <w:tcW w:w="8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6</w:t>
            </w:r>
          </w:p>
        </w:tc>
        <w:tc>
          <w:tcPr>
            <w:tcW w:w="10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bookmarkStart w:id="313" w:name="OLE_LINK9"/>
            <w:r>
              <w:rPr>
                <w:rFonts w:ascii="仿宋" w:eastAsia="仿宋" w:hAnsi="仿宋" w:cs="仿宋" w:hint="eastAsia"/>
                <w:i w:val="0"/>
                <w:color w:val="auto"/>
                <w:kern w:val="0"/>
                <w:sz w:val="20"/>
                <w:szCs w:val="20"/>
                <w:highlight w:val="none"/>
                <w:u w:val="none"/>
                <w:lang w:val="en-US" w:eastAsia="zh-CN"/>
              </w:rPr>
              <w:t xml:space="preserve">按照完成比例赋分</w:t>
            </w:r>
            <w:bookmarkEnd w:id="313"/>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1052"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=2.7万亩</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09"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6</w:t>
            </w:r>
          </w:p>
        </w:tc>
        <w:tc>
          <w:tcPr>
            <w:tcW w:w="132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740"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752"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7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数量指标</w:t>
            </w:r>
          </w:p>
        </w:tc>
        <w:tc>
          <w:tcPr>
            <w:tcW w:w="167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沙化土地封禁保护补偿面积</w:t>
            </w:r>
          </w:p>
        </w:tc>
        <w:tc>
          <w:tcPr>
            <w:tcW w:w="140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=15.65万亩</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93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400" w:firstLineChars="200"/>
              <w:jc w:val="both"/>
              <w:rPr>
                <w:rFonts w:ascii="仿宋" w:eastAsia="仿宋" w:hAnsi="仿宋" w:cs="仿宋" w:hint="eastAsia"/>
                <w:i w:val="0"/>
                <w:color w:val="auto"/>
                <w:sz w:val="20"/>
                <w:szCs w:val="20"/>
                <w:highlight w:val="none"/>
                <w:u w:val="none"/>
              </w:rPr>
            </w:pPr>
            <w:r>
              <w:rPr>
                <w:rFonts w:ascii="仿宋" w:eastAsia="仿宋" w:hAnsi="仿宋" w:cs="仿宋" w:hint="eastAsia"/>
                <w:i w:val="0"/>
                <w:color w:val="auto"/>
                <w:sz w:val="20"/>
                <w:szCs w:val="20"/>
                <w:highlight w:val="none"/>
                <w:u w:val="none"/>
                <w:lang w:val="en-US" w:eastAsia="zh-CN"/>
              </w:rPr>
              <w:t xml:space="preserve">/</w:t>
            </w:r>
          </w:p>
        </w:tc>
        <w:tc>
          <w:tcPr>
            <w:tcW w:w="8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6</w:t>
            </w:r>
          </w:p>
        </w:tc>
        <w:tc>
          <w:tcPr>
            <w:tcW w:w="10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kern w:val="0"/>
                <w:sz w:val="20"/>
                <w:szCs w:val="20"/>
                <w:highlight w:val="none"/>
                <w:u w:val="none"/>
                <w:lang w:val="en-US" w:eastAsia="zh-CN"/>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1052"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=15.65万亩</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09"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6</w:t>
            </w:r>
          </w:p>
        </w:tc>
        <w:tc>
          <w:tcPr>
            <w:tcW w:w="132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740"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752"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7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数量指标</w:t>
            </w:r>
          </w:p>
        </w:tc>
        <w:tc>
          <w:tcPr>
            <w:tcW w:w="167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沙化土地封禁保护区成效监测站点点形成监测报告数量</w:t>
            </w:r>
          </w:p>
        </w:tc>
        <w:tc>
          <w:tcPr>
            <w:tcW w:w="140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=1份</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93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400" w:firstLineChars="200"/>
              <w:jc w:val="both"/>
              <w:rPr>
                <w:rFonts w:ascii="仿宋" w:eastAsia="仿宋" w:hAnsi="仿宋" w:cs="仿宋" w:hint="eastAsia"/>
                <w:i w:val="0"/>
                <w:color w:val="auto"/>
                <w:sz w:val="20"/>
                <w:szCs w:val="20"/>
                <w:highlight w:val="none"/>
                <w:u w:val="none"/>
              </w:rPr>
            </w:pPr>
            <w:r>
              <w:rPr>
                <w:rFonts w:ascii="仿宋" w:eastAsia="仿宋" w:hAnsi="仿宋" w:cs="仿宋" w:hint="eastAsia"/>
                <w:i w:val="0"/>
                <w:color w:val="auto"/>
                <w:sz w:val="20"/>
                <w:szCs w:val="20"/>
                <w:highlight w:val="none"/>
                <w:u w:val="none"/>
                <w:lang w:val="en-US" w:eastAsia="zh-CN"/>
              </w:rPr>
              <w:t xml:space="preserve">/</w:t>
            </w:r>
          </w:p>
        </w:tc>
        <w:tc>
          <w:tcPr>
            <w:tcW w:w="8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6</w:t>
            </w:r>
          </w:p>
        </w:tc>
        <w:tc>
          <w:tcPr>
            <w:tcW w:w="10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kern w:val="0"/>
                <w:sz w:val="20"/>
                <w:szCs w:val="20"/>
                <w:highlight w:val="none"/>
                <w:u w:val="none"/>
                <w:lang w:val="en-US" w:eastAsia="zh-CN"/>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1052"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=1份</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09"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6</w:t>
            </w:r>
          </w:p>
        </w:tc>
        <w:tc>
          <w:tcPr>
            <w:tcW w:w="132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740"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752"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7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数量指标</w:t>
            </w:r>
          </w:p>
        </w:tc>
        <w:tc>
          <w:tcPr>
            <w:tcW w:w="167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发放管护人员工资人数</w:t>
            </w:r>
          </w:p>
        </w:tc>
        <w:tc>
          <w:tcPr>
            <w:tcW w:w="140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&gt;=7人</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93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400" w:firstLineChars="200"/>
              <w:jc w:val="both"/>
              <w:rPr>
                <w:rFonts w:ascii="仿宋" w:eastAsia="仿宋" w:hAnsi="仿宋" w:cs="仿宋" w:hint="eastAsia"/>
                <w:i w:val="0"/>
                <w:color w:val="auto"/>
                <w:sz w:val="20"/>
                <w:szCs w:val="20"/>
                <w:highlight w:val="none"/>
                <w:u w:val="none"/>
              </w:rPr>
            </w:pPr>
            <w:r>
              <w:rPr>
                <w:rFonts w:ascii="仿宋" w:eastAsia="仿宋" w:hAnsi="仿宋" w:cs="仿宋" w:hint="eastAsia"/>
                <w:i w:val="0"/>
                <w:color w:val="auto"/>
                <w:sz w:val="20"/>
                <w:szCs w:val="20"/>
                <w:highlight w:val="none"/>
                <w:u w:val="none"/>
                <w:lang w:val="en-US" w:eastAsia="zh-CN"/>
              </w:rPr>
              <w:t xml:space="preserve">/</w:t>
            </w:r>
          </w:p>
        </w:tc>
        <w:tc>
          <w:tcPr>
            <w:tcW w:w="8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6</w:t>
            </w:r>
          </w:p>
        </w:tc>
        <w:tc>
          <w:tcPr>
            <w:tcW w:w="10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kern w:val="0"/>
                <w:sz w:val="20"/>
                <w:szCs w:val="20"/>
                <w:highlight w:val="none"/>
                <w:u w:val="none"/>
                <w:lang w:val="en-US" w:eastAsia="zh-CN"/>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1052"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=7人</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09"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6</w:t>
            </w:r>
          </w:p>
        </w:tc>
        <w:tc>
          <w:tcPr>
            <w:tcW w:w="132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740"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752"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7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质量指标</w:t>
            </w:r>
          </w:p>
        </w:tc>
        <w:tc>
          <w:tcPr>
            <w:tcW w:w="167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违规发放补贴率</w:t>
            </w:r>
          </w:p>
        </w:tc>
        <w:tc>
          <w:tcPr>
            <w:tcW w:w="140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&lt;=0%</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93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400" w:firstLineChars="200"/>
              <w:jc w:val="both"/>
              <w:rPr>
                <w:rFonts w:ascii="仿宋" w:eastAsia="仿宋" w:hAnsi="仿宋" w:cs="仿宋" w:hint="eastAsia"/>
                <w:i w:val="0"/>
                <w:color w:val="auto"/>
                <w:sz w:val="20"/>
                <w:szCs w:val="20"/>
                <w:highlight w:val="none"/>
                <w:u w:val="none"/>
              </w:rPr>
            </w:pPr>
            <w:r>
              <w:rPr>
                <w:rFonts w:ascii="仿宋" w:eastAsia="仿宋" w:hAnsi="仿宋" w:cs="仿宋" w:hint="eastAsia"/>
                <w:i w:val="0"/>
                <w:color w:val="auto"/>
                <w:sz w:val="20"/>
                <w:szCs w:val="20"/>
                <w:highlight w:val="none"/>
                <w:u w:val="none"/>
                <w:lang w:val="en-US" w:eastAsia="zh-CN"/>
              </w:rPr>
              <w:t xml:space="preserve">/</w:t>
            </w:r>
          </w:p>
        </w:tc>
        <w:tc>
          <w:tcPr>
            <w:tcW w:w="8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6</w:t>
            </w:r>
          </w:p>
        </w:tc>
        <w:tc>
          <w:tcPr>
            <w:tcW w:w="10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kern w:val="0"/>
                <w:sz w:val="20"/>
                <w:szCs w:val="20"/>
                <w:highlight w:val="none"/>
                <w:u w:val="none"/>
                <w:lang w:val="en-US" w:eastAsia="zh-CN"/>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1052"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=0%</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09"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6</w:t>
            </w:r>
          </w:p>
        </w:tc>
        <w:tc>
          <w:tcPr>
            <w:tcW w:w="132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740"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752"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7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时效指标</w:t>
            </w:r>
          </w:p>
        </w:tc>
        <w:tc>
          <w:tcPr>
            <w:tcW w:w="167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项目开工时间</w:t>
            </w:r>
          </w:p>
        </w:tc>
        <w:tc>
          <w:tcPr>
            <w:tcW w:w="140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=11月</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93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400" w:firstLineChars="200"/>
              <w:jc w:val="both"/>
              <w:rPr>
                <w:rFonts w:ascii="仿宋" w:eastAsia="仿宋" w:hAnsi="仿宋" w:cs="仿宋" w:hint="eastAsia"/>
                <w:i w:val="0"/>
                <w:color w:val="auto"/>
                <w:sz w:val="20"/>
                <w:szCs w:val="20"/>
                <w:highlight w:val="none"/>
                <w:u w:val="none"/>
              </w:rPr>
            </w:pPr>
            <w:r>
              <w:rPr>
                <w:rFonts w:ascii="仿宋" w:eastAsia="仿宋" w:hAnsi="仿宋" w:cs="仿宋" w:hint="eastAsia"/>
                <w:i w:val="0"/>
                <w:color w:val="auto"/>
                <w:sz w:val="20"/>
                <w:szCs w:val="20"/>
                <w:highlight w:val="none"/>
                <w:u w:val="none"/>
                <w:lang w:val="en-US" w:eastAsia="zh-CN"/>
              </w:rPr>
              <w:t xml:space="preserve">/</w:t>
            </w:r>
          </w:p>
        </w:tc>
        <w:tc>
          <w:tcPr>
            <w:tcW w:w="8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5</w:t>
            </w:r>
          </w:p>
        </w:tc>
        <w:tc>
          <w:tcPr>
            <w:tcW w:w="10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kern w:val="0"/>
                <w:sz w:val="20"/>
                <w:szCs w:val="20"/>
                <w:highlight w:val="none"/>
                <w:u w:val="none"/>
                <w:lang w:val="en-US" w:eastAsia="zh-CN"/>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1052"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=11月</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09"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5</w:t>
            </w:r>
          </w:p>
        </w:tc>
        <w:tc>
          <w:tcPr>
            <w:tcW w:w="132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740"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752"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7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时效指标</w:t>
            </w:r>
          </w:p>
        </w:tc>
        <w:tc>
          <w:tcPr>
            <w:tcW w:w="167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项目完工时间</w:t>
            </w:r>
          </w:p>
        </w:tc>
        <w:tc>
          <w:tcPr>
            <w:tcW w:w="140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=12月</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93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400" w:firstLineChars="200"/>
              <w:jc w:val="both"/>
              <w:rPr>
                <w:rFonts w:ascii="仿宋" w:eastAsia="仿宋" w:hAnsi="仿宋" w:cs="仿宋" w:hint="eastAsia"/>
                <w:i w:val="0"/>
                <w:color w:val="auto"/>
                <w:sz w:val="20"/>
                <w:szCs w:val="20"/>
                <w:highlight w:val="none"/>
                <w:u w:val="none"/>
              </w:rPr>
            </w:pPr>
            <w:r>
              <w:rPr>
                <w:rFonts w:ascii="仿宋" w:eastAsia="仿宋" w:hAnsi="仿宋" w:cs="仿宋" w:hint="eastAsia"/>
                <w:i w:val="0"/>
                <w:color w:val="auto"/>
                <w:sz w:val="20"/>
                <w:szCs w:val="20"/>
                <w:highlight w:val="none"/>
                <w:u w:val="none"/>
                <w:lang w:val="en-US" w:eastAsia="zh-CN"/>
              </w:rPr>
              <w:t xml:space="preserve">/</w:t>
            </w:r>
          </w:p>
        </w:tc>
        <w:tc>
          <w:tcPr>
            <w:tcW w:w="8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5</w:t>
            </w:r>
          </w:p>
        </w:tc>
        <w:tc>
          <w:tcPr>
            <w:tcW w:w="10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kern w:val="0"/>
                <w:sz w:val="20"/>
                <w:szCs w:val="20"/>
                <w:highlight w:val="none"/>
                <w:u w:val="none"/>
                <w:lang w:val="en-US" w:eastAsia="zh-CN"/>
              </w:rPr>
            </w:pPr>
            <w:bookmarkStart w:id="314" w:name="OLE_LINK16"/>
            <w:r>
              <w:rPr>
                <w:rFonts w:ascii="仿宋" w:eastAsia="仿宋" w:hAnsi="仿宋" w:cs="仿宋" w:hint="eastAsia"/>
                <w:i w:val="0"/>
                <w:color w:val="auto"/>
                <w:kern w:val="0"/>
                <w:sz w:val="20"/>
                <w:szCs w:val="20"/>
                <w:highlight w:val="none"/>
                <w:u w:val="none"/>
                <w:lang w:val="en-US" w:eastAsia="zh-CN"/>
              </w:rPr>
              <w:t xml:space="preserve">按照完成比例赋分</w:t>
            </w:r>
            <w:bookmarkEnd w:id="314"/>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1052"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=12月</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09"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5</w:t>
            </w:r>
          </w:p>
        </w:tc>
        <w:tc>
          <w:tcPr>
            <w:tcW w:w="132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740"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752" w:type="dxa"/>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成本指标</w:t>
            </w:r>
          </w:p>
        </w:tc>
        <w:tc>
          <w:tcPr>
            <w:tcW w:w="7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经济成本指标</w:t>
            </w:r>
          </w:p>
        </w:tc>
        <w:tc>
          <w:tcPr>
            <w:tcW w:w="167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沙化土地新造林管护补助标准</w:t>
            </w:r>
          </w:p>
        </w:tc>
        <w:tc>
          <w:tcPr>
            <w:tcW w:w="140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=190.15元/亩</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93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400" w:firstLineChars="200"/>
              <w:jc w:val="both"/>
              <w:rPr>
                <w:rFonts w:ascii="仿宋" w:eastAsia="仿宋" w:hAnsi="仿宋" w:cs="仿宋" w:hint="eastAsia"/>
                <w:i w:val="0"/>
                <w:color w:val="auto"/>
                <w:sz w:val="20"/>
                <w:szCs w:val="20"/>
                <w:highlight w:val="none"/>
                <w:u w:val="none"/>
              </w:rPr>
            </w:pPr>
            <w:r>
              <w:rPr>
                <w:rFonts w:ascii="仿宋" w:eastAsia="仿宋" w:hAnsi="仿宋" w:cs="仿宋" w:hint="eastAsia"/>
                <w:i w:val="0"/>
                <w:color w:val="auto"/>
                <w:sz w:val="20"/>
                <w:szCs w:val="20"/>
                <w:highlight w:val="none"/>
                <w:u w:val="none"/>
                <w:lang w:val="en-US" w:eastAsia="zh-CN"/>
              </w:rPr>
              <w:t xml:space="preserve">/</w:t>
            </w:r>
          </w:p>
        </w:tc>
        <w:tc>
          <w:tcPr>
            <w:tcW w:w="8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6</w:t>
            </w:r>
          </w:p>
        </w:tc>
        <w:tc>
          <w:tcPr>
            <w:tcW w:w="10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kern w:val="0"/>
                <w:sz w:val="20"/>
                <w:szCs w:val="20"/>
                <w:highlight w:val="none"/>
                <w:u w:val="none"/>
                <w:lang w:val="en-US" w:eastAsia="zh-CN"/>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原始凭证</w:t>
            </w:r>
          </w:p>
        </w:tc>
        <w:tc>
          <w:tcPr>
            <w:tcW w:w="1052"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=190.15元/亩</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09"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6</w:t>
            </w:r>
          </w:p>
        </w:tc>
        <w:tc>
          <w:tcPr>
            <w:tcW w:w="132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740"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752"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7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经济成本指标</w:t>
            </w:r>
          </w:p>
        </w:tc>
        <w:tc>
          <w:tcPr>
            <w:tcW w:w="167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沙化土地封禁保护补偿费用</w:t>
            </w:r>
          </w:p>
        </w:tc>
        <w:tc>
          <w:tcPr>
            <w:tcW w:w="140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&lt;=5.14元/亩</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93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400" w:firstLineChars="200"/>
              <w:jc w:val="both"/>
              <w:rPr>
                <w:rFonts w:ascii="仿宋" w:eastAsia="仿宋" w:hAnsi="仿宋" w:cs="仿宋" w:hint="eastAsia"/>
                <w:i w:val="0"/>
                <w:color w:val="auto"/>
                <w:sz w:val="20"/>
                <w:szCs w:val="20"/>
                <w:highlight w:val="none"/>
                <w:u w:val="none"/>
              </w:rPr>
            </w:pPr>
            <w:r>
              <w:rPr>
                <w:rFonts w:ascii="仿宋" w:eastAsia="仿宋" w:hAnsi="仿宋" w:cs="仿宋" w:hint="eastAsia"/>
                <w:i w:val="0"/>
                <w:color w:val="auto"/>
                <w:sz w:val="20"/>
                <w:szCs w:val="20"/>
                <w:highlight w:val="none"/>
                <w:u w:val="none"/>
                <w:lang w:val="en-US" w:eastAsia="zh-CN"/>
              </w:rPr>
              <w:t xml:space="preserve">/</w:t>
            </w:r>
          </w:p>
        </w:tc>
        <w:tc>
          <w:tcPr>
            <w:tcW w:w="8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7</w:t>
            </w:r>
          </w:p>
        </w:tc>
        <w:tc>
          <w:tcPr>
            <w:tcW w:w="10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kern w:val="0"/>
                <w:sz w:val="20"/>
                <w:szCs w:val="20"/>
                <w:highlight w:val="none"/>
                <w:u w:val="none"/>
                <w:lang w:val="en-US" w:eastAsia="zh-CN"/>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原始凭证</w:t>
            </w:r>
          </w:p>
        </w:tc>
        <w:tc>
          <w:tcPr>
            <w:tcW w:w="1052"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=5.14元/亩</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09"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7</w:t>
            </w:r>
          </w:p>
        </w:tc>
        <w:tc>
          <w:tcPr>
            <w:tcW w:w="132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740"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752"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7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经济成本指标</w:t>
            </w:r>
          </w:p>
        </w:tc>
        <w:tc>
          <w:tcPr>
            <w:tcW w:w="167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沙化土地封禁保护区监测费用</w:t>
            </w:r>
          </w:p>
        </w:tc>
        <w:tc>
          <w:tcPr>
            <w:tcW w:w="140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=10万元</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93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400" w:firstLineChars="200"/>
              <w:jc w:val="both"/>
              <w:rPr>
                <w:rFonts w:ascii="仿宋" w:eastAsia="仿宋" w:hAnsi="仿宋" w:cs="仿宋" w:hint="eastAsia"/>
                <w:i w:val="0"/>
                <w:color w:val="auto"/>
                <w:sz w:val="20"/>
                <w:szCs w:val="20"/>
                <w:highlight w:val="none"/>
                <w:u w:val="none"/>
              </w:rPr>
            </w:pPr>
            <w:r>
              <w:rPr>
                <w:rFonts w:ascii="仿宋" w:eastAsia="仿宋" w:hAnsi="仿宋" w:cs="仿宋" w:hint="eastAsia"/>
                <w:i w:val="0"/>
                <w:color w:val="auto"/>
                <w:sz w:val="20"/>
                <w:szCs w:val="20"/>
                <w:highlight w:val="none"/>
                <w:u w:val="none"/>
                <w:lang w:val="en-US" w:eastAsia="zh-CN"/>
              </w:rPr>
              <w:t xml:space="preserve">/</w:t>
            </w:r>
          </w:p>
        </w:tc>
        <w:tc>
          <w:tcPr>
            <w:tcW w:w="8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7</w:t>
            </w:r>
          </w:p>
        </w:tc>
        <w:tc>
          <w:tcPr>
            <w:tcW w:w="10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kern w:val="0"/>
                <w:sz w:val="20"/>
                <w:szCs w:val="20"/>
                <w:highlight w:val="none"/>
                <w:u w:val="none"/>
                <w:lang w:val="en-US" w:eastAsia="zh-CN"/>
              </w:rPr>
            </w:pPr>
            <w:r>
              <w:rPr>
                <w:rFonts w:ascii="仿宋" w:eastAsia="仿宋" w:hAnsi="仿宋" w:cs="仿宋" w:hint="eastAsia"/>
                <w:i w:val="0"/>
                <w:color w:val="auto"/>
                <w:kern w:val="0"/>
                <w:sz w:val="20"/>
                <w:szCs w:val="20"/>
                <w:highlight w:val="none"/>
                <w:u w:val="none"/>
                <w:lang w:val="en-US" w:eastAsia="zh-CN"/>
              </w:rPr>
              <w:t xml:space="preserve">按照完成比例赋分</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原始凭证</w:t>
            </w:r>
          </w:p>
        </w:tc>
        <w:tc>
          <w:tcPr>
            <w:tcW w:w="1052"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=10万元</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09"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7</w:t>
            </w:r>
          </w:p>
        </w:tc>
        <w:tc>
          <w:tcPr>
            <w:tcW w:w="132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740"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752"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7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生态效益指标</w:t>
            </w:r>
          </w:p>
        </w:tc>
        <w:tc>
          <w:tcPr>
            <w:tcW w:w="167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对沙尘源的遏制作用</w:t>
            </w:r>
          </w:p>
        </w:tc>
        <w:tc>
          <w:tcPr>
            <w:tcW w:w="140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明显</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93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400" w:firstLineChars="200"/>
              <w:jc w:val="both"/>
              <w:rPr>
                <w:rFonts w:ascii="仿宋" w:eastAsia="仿宋" w:hAnsi="仿宋" w:cs="仿宋" w:hint="eastAsia"/>
                <w:i w:val="0"/>
                <w:color w:val="auto"/>
                <w:sz w:val="20"/>
                <w:szCs w:val="20"/>
                <w:highlight w:val="none"/>
                <w:u w:val="none"/>
              </w:rPr>
            </w:pPr>
            <w:r>
              <w:rPr>
                <w:rFonts w:ascii="仿宋" w:eastAsia="仿宋" w:hAnsi="仿宋" w:cs="仿宋" w:hint="eastAsia"/>
                <w:i w:val="0"/>
                <w:color w:val="auto"/>
                <w:sz w:val="20"/>
                <w:szCs w:val="20"/>
                <w:highlight w:val="none"/>
                <w:u w:val="none"/>
                <w:lang w:val="en-US" w:eastAsia="zh-CN"/>
              </w:rPr>
              <w:t xml:space="preserve">/</w:t>
            </w:r>
          </w:p>
        </w:tc>
        <w:tc>
          <w:tcPr>
            <w:tcW w:w="8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10</w:t>
            </w:r>
          </w:p>
        </w:tc>
        <w:tc>
          <w:tcPr>
            <w:tcW w:w="10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按评判等级赋分</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1052"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达成目标</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09"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10</w:t>
            </w:r>
          </w:p>
        </w:tc>
        <w:tc>
          <w:tcPr>
            <w:tcW w:w="132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740"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752"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7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生态效益指标</w:t>
            </w:r>
          </w:p>
        </w:tc>
        <w:tc>
          <w:tcPr>
            <w:tcW w:w="167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对区域生态系统功能改善的促进作用</w:t>
            </w:r>
          </w:p>
        </w:tc>
        <w:tc>
          <w:tcPr>
            <w:tcW w:w="140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明显</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93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400" w:firstLineChars="200"/>
              <w:jc w:val="both"/>
              <w:rPr>
                <w:rFonts w:ascii="仿宋" w:eastAsia="仿宋" w:hAnsi="仿宋" w:cs="仿宋" w:hint="eastAsia"/>
                <w:i w:val="0"/>
                <w:color w:val="auto"/>
                <w:sz w:val="20"/>
                <w:szCs w:val="20"/>
                <w:highlight w:val="none"/>
                <w:u w:val="none"/>
              </w:rPr>
            </w:pPr>
            <w:r>
              <w:rPr>
                <w:rFonts w:ascii="仿宋" w:eastAsia="仿宋" w:hAnsi="仿宋" w:cs="仿宋" w:hint="eastAsia"/>
                <w:i w:val="0"/>
                <w:color w:val="auto"/>
                <w:sz w:val="20"/>
                <w:szCs w:val="20"/>
                <w:highlight w:val="none"/>
                <w:u w:val="none"/>
                <w:lang w:val="en-US" w:eastAsia="zh-CN"/>
              </w:rPr>
              <w:t xml:space="preserve">/</w:t>
            </w:r>
          </w:p>
        </w:tc>
        <w:tc>
          <w:tcPr>
            <w:tcW w:w="8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10</w:t>
            </w:r>
          </w:p>
        </w:tc>
        <w:tc>
          <w:tcPr>
            <w:tcW w:w="10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按评判等级赋分</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1052"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达成目标</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09"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10</w:t>
            </w:r>
          </w:p>
        </w:tc>
        <w:tc>
          <w:tcPr>
            <w:tcW w:w="132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jc w:val="center"/>
        </w:trPr>
        <w:tc>
          <w:tcPr>
            <w:tcW w:w="740"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20"/>
                <w:szCs w:val="20"/>
                <w:highlight w:val="none"/>
                <w:u w:val="none"/>
              </w:rPr>
            </w:pPr>
          </w:p>
        </w:tc>
        <w:tc>
          <w:tcPr>
            <w:tcW w:w="75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满意度指标</w:t>
            </w:r>
          </w:p>
        </w:tc>
        <w:tc>
          <w:tcPr>
            <w:tcW w:w="7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满意度指标</w:t>
            </w:r>
          </w:p>
        </w:tc>
        <w:tc>
          <w:tcPr>
            <w:tcW w:w="167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项目区群众满意度</w:t>
            </w:r>
          </w:p>
        </w:tc>
        <w:tc>
          <w:tcPr>
            <w:tcW w:w="140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&gt;=90%</w:t>
            </w: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计划标准</w:t>
            </w:r>
          </w:p>
        </w:tc>
        <w:tc>
          <w:tcPr>
            <w:tcW w:w="93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400" w:firstLineChars="200"/>
              <w:jc w:val="both"/>
              <w:rPr>
                <w:rFonts w:ascii="仿宋" w:eastAsia="仿宋" w:hAnsi="仿宋" w:cs="仿宋" w:hint="eastAsia"/>
                <w:i w:val="0"/>
                <w:color w:val="auto"/>
                <w:sz w:val="20"/>
                <w:szCs w:val="20"/>
                <w:highlight w:val="none"/>
                <w:u w:val="none"/>
              </w:rPr>
            </w:pPr>
            <w:r>
              <w:rPr>
                <w:rFonts w:ascii="仿宋" w:eastAsia="仿宋" w:hAnsi="仿宋" w:cs="仿宋" w:hint="eastAsia"/>
                <w:i w:val="0"/>
                <w:color w:val="auto"/>
                <w:sz w:val="20"/>
                <w:szCs w:val="20"/>
                <w:highlight w:val="none"/>
                <w:u w:val="none"/>
                <w:lang w:val="en-US" w:eastAsia="zh-CN"/>
              </w:rPr>
              <w:t xml:space="preserve">/</w:t>
            </w:r>
          </w:p>
        </w:tc>
        <w:tc>
          <w:tcPr>
            <w:tcW w:w="8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10</w:t>
            </w:r>
          </w:p>
        </w:tc>
        <w:tc>
          <w:tcPr>
            <w:tcW w:w="10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满意度赋分</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工作资料</w:t>
            </w:r>
          </w:p>
        </w:tc>
        <w:tc>
          <w:tcPr>
            <w:tcW w:w="1052"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=90%</w:t>
            </w: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20"/>
                <w:szCs w:val="20"/>
                <w:highlight w:val="none"/>
                <w:u w:val="none"/>
              </w:rPr>
            </w:pPr>
            <w:r>
              <w:rPr>
                <w:rFonts w:ascii="仿宋" w:eastAsia="仿宋" w:hAnsi="仿宋" w:cs="仿宋" w:hint="eastAsia"/>
                <w:i w:val="0"/>
                <w:color w:val="auto"/>
                <w:kern w:val="0"/>
                <w:sz w:val="20"/>
                <w:szCs w:val="20"/>
                <w:highlight w:val="none"/>
                <w:u w:val="none"/>
                <w:lang w:val="en-US" w:eastAsia="zh-CN"/>
              </w:rPr>
              <w:t xml:space="preserve">100%</w:t>
            </w:r>
          </w:p>
        </w:tc>
        <w:tc>
          <w:tcPr>
            <w:tcW w:w="909"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10</w:t>
            </w:r>
          </w:p>
        </w:tc>
        <w:tc>
          <w:tcPr>
            <w:tcW w:w="132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500"/>
          <w:jc w:val="center"/>
        </w:trPr>
        <w:tc>
          <w:tcPr>
            <w:tcW w:w="3912" w:type="dxa"/>
            <w:gridSpan w:val="4"/>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总分</w:t>
            </w:r>
          </w:p>
        </w:tc>
        <w:tc>
          <w:tcPr>
            <w:tcW w:w="140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c>
          <w:tcPr>
            <w:tcW w:w="101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b/>
                <w:i w:val="0"/>
                <w:color w:val="auto"/>
                <w:sz w:val="18"/>
                <w:szCs w:val="18"/>
                <w:highlight w:val="none"/>
                <w:u w:val="none"/>
              </w:rPr>
            </w:pPr>
          </w:p>
        </w:tc>
        <w:tc>
          <w:tcPr>
            <w:tcW w:w="932"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c>
          <w:tcPr>
            <w:tcW w:w="8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c>
          <w:tcPr>
            <w:tcW w:w="10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c>
          <w:tcPr>
            <w:tcW w:w="1052"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c>
          <w:tcPr>
            <w:tcW w:w="753"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c>
          <w:tcPr>
            <w:tcW w:w="909"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firstLine="0" w:leftChars="0" w:firstLineChars="0"/>
              <w:jc w:val="center"/>
              <w:textAlignment w:val="center"/>
              <w:rPr>
                <w:rFonts w:ascii="仿宋" w:eastAsia="仿宋" w:hAnsi="仿宋" w:cs="仿宋" w:hint="eastAsia"/>
                <w:i w:val="0"/>
                <w:color w:val="auto"/>
                <w:sz w:val="18"/>
                <w:szCs w:val="18"/>
                <w:highlight w:val="none"/>
                <w:u w:val="none"/>
              </w:rPr>
            </w:pPr>
            <w:r>
              <w:rPr>
                <w:rFonts w:ascii="仿宋" w:eastAsia="仿宋" w:hAnsi="仿宋" w:cs="仿宋" w:hint="eastAsia"/>
                <w:i w:val="0"/>
                <w:color w:val="auto"/>
                <w:kern w:val="0"/>
                <w:sz w:val="18"/>
                <w:szCs w:val="18"/>
                <w:highlight w:val="none"/>
                <w:u w:val="none"/>
                <w:lang w:val="en-US" w:eastAsia="zh-CN"/>
              </w:rPr>
              <w:t xml:space="preserve">100.00分</w:t>
            </w:r>
          </w:p>
        </w:tc>
        <w:tc>
          <w:tcPr>
            <w:tcW w:w="132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仿宋" w:eastAsia="仿宋" w:hAnsi="仿宋" w:cs="仿宋" w:hint="eastAsia"/>
                <w:i w:val="0"/>
                <w:color w:val="auto"/>
                <w:sz w:val="18"/>
                <w:szCs w:val="18"/>
                <w:highlight w:val="none"/>
                <w:u w:val="none"/>
              </w:rPr>
            </w:pPr>
          </w:p>
        </w:tc>
      </w:tr>
    </w:tbl>
    <w:p>
      <w:pPr>
        <w:pStyle w:val="Heading3"/>
        <w:ind w:left="0" w:firstLine="0" w:leftChars="0" w:firstLineChars="0"/>
        <w:jc w:val="both"/>
        <w:outlineLvl w:val="9"/>
        <w:rPr>
          <w:rFonts w:ascii="仿宋" w:eastAsia="仿宋" w:hAnsi="仿宋" w:cs="仿宋" w:hint="eastAsia"/>
          <w:color w:val="auto"/>
          <w:highlight w:val="none"/>
        </w:rPr>
        <w:sectPr>
          <w:pgSz w:w="16838" w:h="11906" w:orient="landscape"/>
          <w:pgMar w:top="1800" w:right="1440" w:bottom="1800" w:left="1440" w:header="851" w:footer="992" w:gutter="0"/>
          <w:pgBorders>
            <w:top w:val="none" w:sz="0" w:space="0" w:color="auto"/>
            <w:left w:val="none" w:sz="0" w:space="0" w:color="auto"/>
            <w:bottom w:val="none" w:sz="0" w:space="0" w:color="auto"/>
            <w:right w:val="none" w:sz="0" w:space="0" w:color="auto"/>
          </w:pgBorders>
          <w:pgNumType w:fmt="decimal"/>
          <w:cols w:num="1" w:space="720">
            <w:col w:w="13958" w:space="720"/>
          </w:cols>
          <w:docGrid w:type="lines" w:linePitch="312" w:charSpace="0"/>
        </w:sectPr>
      </w:pPr>
    </w:p>
    <w:p>
      <w:pPr>
        <w:bidi w:val="0"/>
        <w:ind w:left="0" w:firstLine="0" w:leftChars="0" w:firstLineChars="0"/>
        <w:rPr>
          <w:rFonts w:ascii="仿宋" w:eastAsia="仿宋" w:hAnsi="仿宋" w:cs="仿宋" w:hint="eastAsia"/>
          <w:color w:val="auto"/>
          <w:highlight w:val="none"/>
        </w:rPr>
      </w:pPr>
      <w:bookmarkStart w:id="315" w:name="_Toc19646"/>
      <w:bookmarkStart w:id="316" w:name="_Toc15320"/>
      <w:bookmarkStart w:id="317" w:name="_Toc30695"/>
      <w:bookmarkStart w:id="318" w:name="_Toc8423"/>
      <w:bookmarkStart w:id="319" w:name="_Toc31300"/>
      <w:bookmarkStart w:id="320" w:name="_Toc29757"/>
      <w:bookmarkStart w:id="321" w:name="_Toc18748"/>
      <w:bookmarkStart w:id="322" w:name="_Toc20867"/>
      <w:bookmarkStart w:id="323" w:name="_Toc12320"/>
      <w:r>
        <w:rPr>
          <w:rFonts w:ascii="仿宋" w:eastAsia="仿宋" w:hAnsi="仿宋" w:cs="仿宋" w:hint="eastAsia"/>
          <w:color w:val="auto"/>
          <w:highlight w:val="none"/>
        </w:rPr>
        <w:t xml:space="preserve">附件2：</w:t>
      </w:r>
      <w:bookmarkEnd w:id="308"/>
      <w:bookmarkEnd w:id="309"/>
      <w:bookmarkEnd w:id="310"/>
      <w:bookmarkEnd w:id="311"/>
      <w:bookmarkEnd w:id="315"/>
      <w:bookmarkEnd w:id="316"/>
      <w:bookmarkEnd w:id="317"/>
      <w:bookmarkEnd w:id="318"/>
      <w:bookmarkEnd w:id="319"/>
      <w:bookmarkEnd w:id="320"/>
      <w:bookmarkEnd w:id="321"/>
      <w:bookmarkEnd w:id="322"/>
      <w:bookmarkEnd w:id="323"/>
      <w:r>
        <w:rPr>
          <w:rFonts w:ascii="仿宋" w:eastAsia="仿宋" w:hAnsi="仿宋" w:cs="仿宋" w:hint="eastAsia"/>
          <w:color w:val="auto"/>
          <w:highlight w:val="none"/>
        </w:rPr>
        <w:t xml:space="preserve">项目支出绩效评价指标体系及评分</w:t>
      </w:r>
    </w:p>
    <w:p>
      <w:pPr>
        <w:bidi w:val="0"/>
        <w:rPr>
          <w:rFonts w:ascii="仿宋" w:eastAsia="仿宋" w:hAnsi="仿宋" w:cs="仿宋" w:hint="eastAsia"/>
          <w:b/>
          <w:bCs/>
          <w:color w:val="auto"/>
          <w:highlight w:val="none"/>
        </w:rPr>
      </w:pPr>
      <w:bookmarkStart w:id="324" w:name="_Toc6549"/>
      <w:bookmarkStart w:id="325" w:name="_Toc28172"/>
      <w:bookmarkStart w:id="326" w:name="_Toc6869"/>
      <w:bookmarkStart w:id="327" w:name="_Toc21892"/>
      <w:bookmarkStart w:id="328" w:name="_Toc29561"/>
      <w:bookmarkStart w:id="329" w:name="_Toc31851"/>
      <w:bookmarkStart w:id="330" w:name="_Toc2584"/>
      <w:bookmarkStart w:id="331" w:name="_Toc21512"/>
      <w:bookmarkStart w:id="332" w:name="_Toc17401"/>
      <w:r>
        <w:rPr>
          <w:rFonts w:ascii="仿宋" w:eastAsia="仿宋" w:hAnsi="仿宋" w:cs="仿宋" w:hint="eastAsia"/>
          <w:b/>
          <w:bCs/>
          <w:color w:val="auto"/>
          <w:highlight w:val="none"/>
        </w:rPr>
        <w:t xml:space="preserve">项目支出绩效评价指标体系及评分</w:t>
      </w:r>
      <w:bookmarkEnd w:id="324"/>
      <w:bookmarkEnd w:id="325"/>
      <w:bookmarkEnd w:id="326"/>
      <w:bookmarkEnd w:id="327"/>
      <w:bookmarkEnd w:id="328"/>
      <w:bookmarkEnd w:id="329"/>
      <w:bookmarkEnd w:id="330"/>
      <w:bookmarkEnd w:id="331"/>
      <w:bookmarkEnd w:id="332"/>
    </w:p>
    <w:tbl>
      <w:tblPr>
        <w:tblStyle w:val="NormalTable"/>
        <w:tblpPr w:leftFromText="180" w:rightFromText="180" w:vertAnchor="text" w:horzAnchor="page" w:tblpX="1593" w:tblpY="180"/>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85"/>
        <w:gridCol w:w="765"/>
        <w:gridCol w:w="910"/>
        <w:gridCol w:w="1674"/>
        <w:gridCol w:w="3403"/>
        <w:gridCol w:w="531"/>
        <w:gridCol w:w="53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一级指标</w:t>
            </w:r>
          </w:p>
        </w:tc>
        <w:tc>
          <w:tcPr>
            <w:tcW w:w="765"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二级指标</w:t>
            </w:r>
          </w:p>
        </w:tc>
        <w:tc>
          <w:tcPr>
            <w:tcW w:w="910"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三级指标</w:t>
            </w:r>
          </w:p>
        </w:tc>
        <w:tc>
          <w:tcPr>
            <w:tcW w:w="1674"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指标解释</w:t>
            </w: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指标说明</w:t>
            </w:r>
          </w:p>
        </w:tc>
        <w:tc>
          <w:tcPr>
            <w:tcW w:w="531"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531"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决策</w:t>
            </w:r>
          </w:p>
        </w:tc>
        <w:tc>
          <w:tcPr>
            <w:tcW w:w="765"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w:t>
            </w: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实施依据充分性</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项目实施是否符合法律法规、相关政策、发展规划以及部门职责，用以反映和考核项目实施依据情况。</w:t>
            </w: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①项目实施是否符合国家法律法规、国民经济发展规划和相关政策；</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②项目实施是否符合行业发展规划和政策要求；</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③项目实施是否与部门职责范围相符，属于部门履职所需；</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④项目是否属于公共财政支持范围，是否符合中央、地方事权支出责任划分原则；</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⑤项目是否与相关部门同类项目或部门内部相关项目重复。</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实施程序规范性</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项目申请、设立过程是否符合相关要求，用以反映和考核项目实施的规范情况。</w:t>
            </w: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①项目是否按照规定的程序申请设立；</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②审批文件、材料是否符合相关要求；</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绩效目标</w:t>
            </w: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绩效目标合理性</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项目所设定的绩效目标是否依据充分，是否符合客观实际，用以反映和考核项目绩效目标与项目实施的相符情况。</w:t>
            </w: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①项目是否有绩效目标；</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②项目绩效目标与实际工作内容是否具有相关性；</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③项目预期产出效益和效果是否符合正常的业绩水平；</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④是否与预算确定的项目投资额或资金量相匹配。</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绩效指标明确性</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依据绩效目标设定的绩效指标是否清晰、细化、可衡量等，用以反映和考核项目绩效目标的明细化情况。</w:t>
            </w: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①是否将项目绩效目标细化分解为具体的绩效指标；</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②是否通过清晰、可衡量的指标值予以体现；</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③是否与项目目标任务数或计划数相对应。</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资金投入</w:t>
            </w: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预算编制科学性</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项目预算编制是否经过科学论证、有明确标准，资金额度与年度目标是否相适应，用以反映和考核项目预算编制的科学性、合理性情况。</w:t>
            </w: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①预算编制是否经过科学论证；</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②预算内容与项目内容是否匹配；</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③预算额度测算依据是否充分，是否按照标准编制；</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④预算确定的项目投资额或资金量是否与工作任务相匹配。</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资金分配合理性</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项目预算资金分配是否有测算依据，与补助单位或地方实际是否相适应，用以反映和考核项目预算资金分配的科学性、合理性情况。</w:t>
            </w: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①预算资金分配依据是否充分；</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②资金分配额度是否合理，与补助项目单位或地方实际是否相适应。</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过程</w:t>
            </w:r>
          </w:p>
        </w:tc>
        <w:tc>
          <w:tcPr>
            <w:tcW w:w="765"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资金管理</w:t>
            </w: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资金到位率</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实际到位资金与预算资金的比率，用以反映和考核资金落实情况对项目实施的总体保障程度。</w:t>
            </w: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资金到位率=（实际到位资金/预算资金）×100%。</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实际到位资金：一定时期（本年度或项目期）内落实到具体项目的资金。</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预算资金：一定时期（本年度或项目期）内预算安排到具体项目的资金。</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预算执行率</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项目预算资金是否按照计划执行，用以反映或考核项目预算执行情况。</w:t>
            </w: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预算执行率=（实际支出资金/实际到位资金）×100%。</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实际支出资金：一定时期（本年度或项目期）内项目实际拨付的资金。</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资金使用合规性</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项目资金使用是否符合相关的财务管理制度规定，用以反映和考核项目资金的规范运行情况。</w:t>
            </w: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①是否符合国家财经法规和财务管理制度以及有关专项资金管理办法的规定；</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②资金的拨付是否有完整的审批程序和手续；</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③是否符合项目预算批复或合同规定的用途；</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④是否存在截留、挤占、挪用、虚列支出等情况。</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组织实施</w:t>
            </w: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管理制度健全性</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项目实施单位的财务和业务管理制度是否健全，用以反映和考核财务和业务管理制度对项目顺利实施的保障情况。</w:t>
            </w: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①是否已制定或具有相应的财务和业务管理制度；</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②财务和业务管理制度是否合法、合规、完整。</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制度执行有效性</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项目实施是否符合相关管理规定，用以反映和考核相关管理制度的有效执行情况。</w:t>
            </w: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531"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①是否遵守相关法律法规和相关管理规定；</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②项目调整及支出调整手续是否完备；</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w:t>
            </w:r>
          </w:p>
        </w:tc>
        <w:tc>
          <w:tcPr>
            <w:tcW w:w="765"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产出数量</w:t>
            </w: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实际完成率</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项目实施的实际产出数与计划产出数的比率，用以反映和考核项目产出数量目标的实现程度。</w:t>
            </w: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实际完成率=（实际产出数/计划产出数）×100%。</w:t>
            </w:r>
          </w:p>
        </w:tc>
        <w:tc>
          <w:tcPr>
            <w:tcW w:w="531" w:type="dxa"/>
            <w:vMerge w:val="restart"/>
            <w:noWrap w:val="0"/>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c>
          <w:tcPr>
            <w:tcW w:w="531" w:type="dxa"/>
            <w:vMerge w:val="restart"/>
            <w:noWrap w:val="0"/>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实际产出数：一定时期（本年度或项目期）内项目实际产出的产品或提供的服务数量。</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计划产出数：项目绩效目标确定的在一定时期（本年度或项目期）内计划产出的产品或提供的服务数量。</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78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产出质量</w:t>
            </w: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质量达标率</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项目完成的质量达标产出数与实际产出数的比率，用以反映和考核项目产出质量目标的实现程度。</w:t>
            </w: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质量达标率=（质量达标产出数/实际产出数）×100%。</w:t>
            </w:r>
          </w:p>
        </w:tc>
        <w:tc>
          <w:tcPr>
            <w:tcW w:w="531" w:type="dxa"/>
            <w:vMerge w:val="restart"/>
            <w:noWrap w:val="0"/>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c>
          <w:tcPr>
            <w:tcW w:w="531" w:type="dxa"/>
            <w:vMerge w:val="restart"/>
            <w:noWrap w:val="0"/>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88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产出时效</w:t>
            </w: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完成及时性</w:t>
            </w:r>
          </w:p>
        </w:tc>
        <w:tc>
          <w:tcPr>
            <w:tcW w:w="167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项目实际完成时间与计划完成时间的比较，用以反映和考核项目产出时效目标的实现程度。</w:t>
            </w: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实际完成时间：项目实施单位完成该项目实际所耗用的时间。</w:t>
            </w:r>
          </w:p>
        </w:tc>
        <w:tc>
          <w:tcPr>
            <w:tcW w:w="531" w:type="dxa"/>
            <w:vMerge w:val="restart"/>
            <w:noWrap w:val="0"/>
            <w:vAlign w:val="center"/>
          </w:tcPr>
          <w:p>
            <w:pPr>
              <w:pStyle w:val="表格内容"/>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8</w:t>
            </w:r>
          </w:p>
        </w:tc>
        <w:tc>
          <w:tcPr>
            <w:tcW w:w="531" w:type="dxa"/>
            <w:vMerge w:val="restart"/>
            <w:noWrap w:val="0"/>
            <w:vAlign w:val="center"/>
          </w:tcPr>
          <w:p>
            <w:pPr>
              <w:pStyle w:val="表格内容"/>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8</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计划完成时间：按照项目实施计划或相关规定完成该项目所需的时间。</w:t>
            </w:r>
          </w:p>
        </w:tc>
        <w:tc>
          <w:tcPr>
            <w:tcW w:w="531" w:type="dxa"/>
            <w:vMerge/>
            <w:noWrap w:val="0"/>
            <w:vAlign w:val="center"/>
          </w:tcPr>
          <w:p>
            <w:pPr>
              <w:pStyle w:val="表格内容"/>
              <w:bidi w:val="0"/>
              <w:rPr>
                <w:rFonts w:ascii="仿宋" w:eastAsia="仿宋" w:hAnsi="仿宋" w:cs="仿宋" w:hint="eastAsia"/>
                <w:color w:val="auto"/>
                <w:highlight w:val="none"/>
              </w:rPr>
            </w:pPr>
          </w:p>
        </w:tc>
        <w:tc>
          <w:tcPr>
            <w:tcW w:w="531"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57"/>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shd w:val="clear" w:color="auto" w:fill="FFFFFF"/>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产出成本</w:t>
            </w:r>
          </w:p>
        </w:tc>
        <w:tc>
          <w:tcPr>
            <w:tcW w:w="910" w:type="dxa"/>
            <w:shd w:val="clear" w:color="auto" w:fill="FFFFFF"/>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成本节约率</w:t>
            </w:r>
          </w:p>
        </w:tc>
        <w:tc>
          <w:tcPr>
            <w:tcW w:w="1674" w:type="dxa"/>
            <w:shd w:val="clear" w:color="auto" w:fill="FFFFFF"/>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完成项目计划工作目标的实际节约成本与计划成本的比率，用以反映和考核项目的成本节约程度。</w:t>
            </w:r>
          </w:p>
        </w:tc>
        <w:tc>
          <w:tcPr>
            <w:tcW w:w="3403" w:type="dxa"/>
            <w:shd w:val="clear" w:color="auto" w:fill="FFFFFF"/>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成本节约率=〔（计划成本</w:t>
            </w:r>
            <w:r>
              <w:rPr>
                <w:rFonts w:ascii="仿宋" w:eastAsia="仿宋" w:hAnsi="仿宋" w:cs="仿宋" w:hint="eastAsia"/>
                <w:color w:val="auto"/>
                <w:sz w:val="18"/>
                <w:szCs w:val="18"/>
                <w:highlight w:val="none"/>
                <w:lang w:eastAsia="zh-CN"/>
              </w:rPr>
              <w:t xml:space="preserve">－</w:t>
            </w:r>
            <w:r>
              <w:rPr>
                <w:rFonts w:ascii="仿宋" w:eastAsia="仿宋" w:hAnsi="仿宋" w:cs="仿宋" w:hint="eastAsia"/>
                <w:color w:val="auto"/>
                <w:sz w:val="18"/>
                <w:szCs w:val="18"/>
                <w:highlight w:val="none"/>
              </w:rPr>
              <w:t xml:space="preserve">实际成本）/计划成本〕×100%。</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实际成本：项目实施单位如期、保质、保量完成既定工作目标实际所耗费的支出。</w:t>
            </w:r>
          </w:p>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计划成本：项目实施单位为完成工作目标计划安排的支出，一般以项目预算为参考。</w:t>
            </w:r>
          </w:p>
        </w:tc>
        <w:tc>
          <w:tcPr>
            <w:tcW w:w="531" w:type="dxa"/>
            <w:noWrap w:val="0"/>
            <w:vAlign w:val="center"/>
          </w:tcPr>
          <w:p>
            <w:pPr>
              <w:pStyle w:val="表格内容"/>
              <w:bidi w:val="0"/>
              <w:ind w:firstLine="0" w:firstLineChars="0"/>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highlight w:val="none"/>
                <w:lang w:val="en-US" w:eastAsia="zh-CN"/>
              </w:rPr>
              <w:t xml:space="preserve">8</w:t>
            </w:r>
          </w:p>
        </w:tc>
        <w:tc>
          <w:tcPr>
            <w:tcW w:w="531" w:type="dxa"/>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8</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780"/>
        </w:trPr>
        <w:tc>
          <w:tcPr>
            <w:tcW w:w="785"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效益</w:t>
            </w:r>
          </w:p>
        </w:tc>
        <w:tc>
          <w:tcPr>
            <w:tcW w:w="765"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项目效益</w:t>
            </w:r>
          </w:p>
        </w:tc>
        <w:tc>
          <w:tcPr>
            <w:tcW w:w="910"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实施效益</w:t>
            </w:r>
          </w:p>
        </w:tc>
        <w:tc>
          <w:tcPr>
            <w:tcW w:w="1674"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项目实施所产生的效益。</w:t>
            </w: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项目实施所产生的社会效益、经济效益、生态效益、可持续影响等。可根据项目实际情况有选择地设置和细化。</w:t>
            </w:r>
          </w:p>
        </w:tc>
        <w:tc>
          <w:tcPr>
            <w:tcW w:w="531" w:type="dxa"/>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c>
          <w:tcPr>
            <w:tcW w:w="531" w:type="dxa"/>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860"/>
        </w:trPr>
        <w:tc>
          <w:tcPr>
            <w:tcW w:w="78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5"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满意度</w:t>
            </w:r>
          </w:p>
        </w:tc>
        <w:tc>
          <w:tcPr>
            <w:tcW w:w="1674"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社会公众或服务对象对项目实施效果的满意程度。</w:t>
            </w:r>
          </w:p>
        </w:tc>
        <w:tc>
          <w:tcPr>
            <w:tcW w:w="340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社会公众或服务对象是指因该项目实施而受到影响的部门（单位）、群体或个人。一般采取社会调查的方式。</w:t>
            </w:r>
          </w:p>
        </w:tc>
        <w:tc>
          <w:tcPr>
            <w:tcW w:w="531" w:type="dxa"/>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c>
          <w:tcPr>
            <w:tcW w:w="531" w:type="dxa"/>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537" w:type="dxa"/>
            <w:gridSpan w:val="5"/>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c>
          <w:tcPr>
            <w:tcW w:w="531" w:type="dxa"/>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c>
          <w:tcPr>
            <w:tcW w:w="531" w:type="dxa"/>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bookmarkEnd w:id="0"/>
          </w:p>
        </w:tc>
      </w:tr>
    </w:tbl>
    <w:p>
      <w:pPr>
        <w:ind w:firstLine="640"/>
        <w:jc w:val="both"/>
        <w:rPr>
          <w:rFonts w:ascii="仿宋" w:eastAsia="仿宋" w:hAnsi="仿宋" w:cs="仿宋" w:hint="eastAsia"/>
          <w:color w:val="auto"/>
          <w:highlight w:val="none"/>
        </w:rPr>
      </w:pPr>
    </w:p>
    <w:sectPr>
      <w:pgSz w:w="11906" w:h="16838" w:orient="portrait"/>
      <w:pgMar w:top="1440" w:right="1800" w:bottom="1440" w:left="1800" w:header="851" w:footer="992" w:gutter="0"/>
      <w:pgBorders>
        <w:top w:val="none" w:sz="0" w:space="0" w:color="auto"/>
        <w:left w:val="none" w:sz="0" w:space="0" w:color="auto"/>
        <w:bottom w:val="none" w:sz="0" w:space="0" w:color="auto"/>
        <w:right w:val="none" w:sz="0" w:space="0" w:color="auto"/>
      </w:pgBorders>
      <w:pgNumType w:fmt="decimal"/>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1" w:csb1="00000000"/>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embedRegular r:id="rId1" w:fontKey="{EE23B3DB-5210-4F2D-B762-BE272F42497C}"/>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_x0000_s2060"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1</w:t>
                </w:r>
                <w: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link w:val="目录1Char"/>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131">
    <w:name w:val="font131"/>
    <w:basedOn w:val="DefaultParagraphFont"/>
    <w:rPr>
      <w:rFonts w:ascii="宋体" w:eastAsia="宋体" w:hAnsi="宋体" w:cs="宋体" w:hint="eastAsia"/>
      <w:color w:val="000000"/>
      <w:sz w:val="18"/>
      <w:szCs w:val="18"/>
      <w:u w:val="none"/>
    </w:rPr>
  </w:style>
  <w:style w:type="character" w:customStyle="1" w:styleId="目录1Char">
    <w:name w:val="目录 1 Char"/>
    <w:link w:val="TOC1"/>
    <w:uiPriority w:val="39"/>
    <w:rPr/>
  </w:style>
  <w:style w:type="character" w:customStyle="1" w:styleId="font41">
    <w:name w:val="font41"/>
    <w:basedOn w:val="DefaultParagraphFont"/>
    <w:rPr>
      <w:rFonts w:ascii="宋体" w:eastAsia="宋体" w:hAnsi="宋体" w:cs="宋体" w:hint="eastAsia"/>
      <w:color w:val="000000"/>
      <w:sz w:val="22"/>
      <w:szCs w:val="22"/>
      <w:u w:val="none"/>
    </w:rPr>
  </w:style>
  <w:style w:type="character" w:customStyle="1" w:styleId="页脚字符">
    <w:name w:val="页脚 字符"/>
    <w:link w:val="Footer"/>
    <w:uiPriority w:val="99"/>
    <w:rPr>
      <w:rFonts w:eastAsia="仿宋_GB2312" w:cs="Times New Roman"/>
      <w:kern w:val="2"/>
      <w:sz w:val="18"/>
      <w:szCs w:val="22"/>
    </w:rPr>
  </w:style>
  <w:style w:type="character" w:customStyle="1" w:styleId="font101">
    <w:name w:val="font101"/>
    <w:basedOn w:val="DefaultParagraphFont"/>
    <w:rPr>
      <w:rFonts w:ascii="宋体" w:eastAsia="宋体" w:hAnsi="宋体" w:cs="宋体" w:hint="eastAsia"/>
      <w:color w:val="000000"/>
      <w:sz w:val="18"/>
      <w:szCs w:val="18"/>
      <w:u w:val="none"/>
    </w:rPr>
  </w:style>
  <w:style w:type="character" w:customStyle="1" w:styleId="font81">
    <w:name w:val="font81"/>
    <w:basedOn w:val="DefaultParagraphFont"/>
    <w:rPr>
      <w:rFonts w:ascii="宋体" w:eastAsia="宋体" w:hAnsi="宋体" w:cs="宋体" w:hint="eastAsia"/>
      <w:color w:val="000000"/>
      <w:sz w:val="22"/>
      <w:szCs w:val="22"/>
      <w:u w:val="none"/>
    </w:rPr>
  </w:style>
  <w:style w:type="character" w:customStyle="1" w:styleId="标题2字符">
    <w:name w:val="标题 2 字符"/>
    <w:link w:val="Heading2"/>
    <w:uiPriority w:val="99"/>
    <w:qFormat/>
    <w:rPr>
      <w:rFonts w:eastAsia="黑体"/>
      <w:bCs/>
      <w:iCs/>
      <w:kern w:val="2"/>
      <w:sz w:val="32"/>
      <w:szCs w:val="21"/>
    </w:rPr>
  </w:style>
  <w:style w:type="character" w:customStyle="1" w:styleId="font112">
    <w:name w:val="font112"/>
    <w:basedOn w:val="DefaultParagraphFont"/>
    <w:rPr>
      <w:rFonts w:ascii="宋体" w:eastAsia="宋体" w:hAnsi="宋体" w:cs="宋体" w:hint="eastAsia"/>
      <w:color w:val="000000"/>
      <w:sz w:val="22"/>
      <w:szCs w:val="22"/>
      <w:u w:val="none"/>
    </w:rPr>
  </w:style>
  <w:style w:type="character" w:customStyle="1" w:styleId="font71">
    <w:name w:val="font71"/>
    <w:basedOn w:val="DefaultParagraphFont"/>
    <w:rPr>
      <w:rFonts w:ascii="宋体" w:eastAsia="宋体" w:hAnsi="宋体" w:cs="宋体" w:hint="eastAsia"/>
      <w:color w:val="000000"/>
      <w:sz w:val="22"/>
      <w:szCs w:val="22"/>
      <w:u w:val="none"/>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页眉字符">
    <w:name w:val="页眉 字符"/>
    <w:link w:val="Header"/>
    <w:uiPriority w:val="99"/>
    <w:rPr>
      <w:rFonts w:eastAsia="仿宋_GB2312" w:cs="Times New Roman"/>
      <w:kern w:val="2"/>
      <w:sz w:val="18"/>
      <w:szCs w:val="22"/>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_Style1">
    <w:name w:val="_Style 1"/>
    <w:basedOn w:val="Normal"/>
    <w:qFormat/>
    <w:pPr>
      <w:ind w:firstLine="420" w:firstLineChars="200"/>
    </w:pPr>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paragraph" w:customStyle="1" w:styleId="WPSOffice手动目录1">
    <w:name w:val="WPSOffice手动目录 1"/>
    <w:pPr>
      <w:ind w:leftChars="0"/>
    </w:pPr>
    <w:rPr>
      <w:sz w:val="20"/>
      <w:szCs w:val="20"/>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7B969A04AD8F403DBD95420FB50DE604_13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60"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6</TotalTime>
  <Pages>29</Pages>
  <Words>11438</Words>
  <Characters>12197</Characters>
  <Application>WPS Office_12.1.0.15120_F1E327BC-269C-435d-A152-05C5408002CA</Application>
  <DocSecurity>0</DocSecurity>
  <Lines>110</Lines>
  <Paragraphs>31</Paragraphs>
  <Company>Microsoft</Company>
  <CharactersWithSpaces>12222</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2019-11-25T12:51:00Z</dcterms:created>
  <dcterms:modified xsi:type="dcterms:W3CDTF">2025-09-02T03:34:34Z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7B969A04AD8F403DBD95420FB50DE604_13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