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仿宋" w:eastAsia="仿宋" w:hAnsi="仿宋" w:cs="仿宋" w:hint="eastAsia"/>
          <w:color w:val="auto"/>
          <w:highlight w:val="none"/>
        </w:rPr>
      </w:pPr>
      <w:bookmarkStart w:id="0" w:name="OLE_LINK1"/>
      <w:bookmarkStart w:id="1" w:name="_GoBack"/>
      <w:bookmarkEnd w:id="1"/>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ind w:firstLine="1760" w:firstLineChars="400"/>
        <w:rPr>
          <w:rFonts w:ascii="仿宋" w:eastAsia="仿宋" w:hAnsi="仿宋" w:cs="仿宋" w:hint="eastAsia"/>
          <w:b/>
          <w:bCs/>
          <w:color w:val="auto"/>
          <w:sz w:val="44"/>
          <w:szCs w:val="44"/>
          <w:highlight w:val="none"/>
        </w:rPr>
      </w:pPr>
      <w:bookmarkStart w:id="2" w:name="_Toc24054"/>
      <w:bookmarkStart w:id="3" w:name="_Toc19778"/>
      <w:bookmarkStart w:id="4" w:name="_Toc28201"/>
      <w:bookmarkStart w:id="5" w:name="_Toc20714"/>
      <w:r>
        <w:rPr>
          <w:rFonts w:ascii="仿宋" w:eastAsia="仿宋" w:hAnsi="仿宋" w:cs="仿宋" w:hint="eastAsia"/>
          <w:b/>
          <w:bCs/>
          <w:color w:val="auto"/>
          <w:sz w:val="44"/>
          <w:szCs w:val="44"/>
          <w:highlight w:val="none"/>
        </w:rPr>
        <w:t xml:space="preserve">项目支出绩效评价报告</w:t>
      </w:r>
      <w:bookmarkEnd w:id="2"/>
      <w:bookmarkEnd w:id="3"/>
      <w:bookmarkEnd w:id="4"/>
      <w:bookmarkEnd w:id="5"/>
    </w:p>
    <w:p>
      <w:pPr>
        <w:ind w:firstLine="883"/>
        <w:jc w:val="both"/>
        <w:rPr>
          <w:rFonts w:ascii="仿宋" w:eastAsia="仿宋" w:hAnsi="仿宋" w:cs="仿宋" w:hint="eastAsia"/>
          <w:b/>
          <w:bCs/>
          <w:color w:val="auto"/>
          <w:sz w:val="44"/>
          <w:szCs w:val="44"/>
          <w:highlight w:val="none"/>
        </w:rPr>
      </w:pPr>
    </w:p>
    <w:p>
      <w:pPr>
        <w:bidi w:val="0"/>
        <w:jc w:val="both"/>
        <w:rPr>
          <w:rFonts w:ascii="仿宋" w:eastAsia="仿宋" w:hAnsi="仿宋" w:cs="仿宋" w:hint="eastAsia"/>
          <w:color w:val="auto"/>
          <w:highlight w:val="none"/>
        </w:rPr>
      </w:pPr>
    </w:p>
    <w:p>
      <w:pPr>
        <w:bidi w:val="0"/>
        <w:ind w:left="0" w:firstLine="0" w:leftChars="0" w:firstLineChars="0"/>
        <w:jc w:val="center"/>
        <w:rPr>
          <w:rFonts w:ascii="仿宋" w:eastAsia="仿宋" w:hAnsi="仿宋" w:cs="仿宋" w:hint="eastAsia"/>
          <w:color w:val="auto"/>
          <w:highlight w:val="none"/>
        </w:rPr>
      </w:pPr>
      <w:r>
        <w:rPr>
          <w:rFonts w:ascii="仿宋" w:eastAsia="仿宋" w:hAnsi="仿宋" w:cs="仿宋" w:hint="eastAsia"/>
          <w:color w:val="auto"/>
          <w:sz w:val="28"/>
          <w:szCs w:val="28"/>
          <w:highlight w:val="none"/>
        </w:rPr>
        <w:t xml:space="preserve">（202</w:t>
      </w:r>
      <w:r>
        <w:rPr>
          <w:rFonts w:ascii="仿宋" w:eastAsia="仿宋" w:hAnsi="仿宋" w:cs="仿宋" w:hint="eastAsia"/>
          <w:color w:val="auto"/>
          <w:sz w:val="28"/>
          <w:szCs w:val="28"/>
          <w:highlight w:val="none"/>
          <w:lang w:val="en-US" w:eastAsia="zh-CN"/>
        </w:rPr>
        <w:t xml:space="preserve">4</w:t>
      </w:r>
      <w:r>
        <w:rPr>
          <w:rFonts w:ascii="仿宋" w:eastAsia="仿宋" w:hAnsi="仿宋" w:cs="仿宋" w:hint="eastAsia"/>
          <w:color w:val="auto"/>
          <w:sz w:val="28"/>
          <w:szCs w:val="28"/>
          <w:highlight w:val="none"/>
        </w:rPr>
        <w:t xml:space="preserve">年度）</w:t>
      </w: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b/>
          <w:bCs/>
          <w:color w:val="auto"/>
          <w:highlight w:val="none"/>
        </w:rPr>
      </w:pP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项目名称：</w:t>
      </w:r>
      <w:r>
        <w:rPr>
          <w:rFonts w:ascii="仿宋" w:eastAsia="仿宋" w:hAnsi="仿宋" w:cs="仿宋" w:hint="eastAsia"/>
          <w:b w:val="0"/>
          <w:bCs w:val="0"/>
          <w:color w:val="auto"/>
          <w:highlight w:val="none"/>
          <w:lang w:val="en-US" w:eastAsia="zh-CN"/>
        </w:rPr>
        <w:t xml:space="preserve">2024年中央林业草原生态保护恢复资金</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实施单位（公章）：</w:t>
      </w:r>
      <w:r>
        <w:rPr>
          <w:rFonts w:ascii="仿宋" w:eastAsia="仿宋" w:hAnsi="仿宋" w:cs="仿宋" w:hint="eastAsia"/>
          <w:b w:val="0"/>
          <w:bCs w:val="0"/>
          <w:color w:val="auto"/>
          <w:highlight w:val="none"/>
          <w:lang w:val="en-US" w:eastAsia="zh-CN"/>
        </w:rPr>
        <w:t xml:space="preserve">尉犁县林业和草原局</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主管部门（公章）：</w:t>
      </w:r>
      <w:r>
        <w:rPr>
          <w:rFonts w:ascii="仿宋" w:eastAsia="仿宋" w:hAnsi="仿宋" w:cs="仿宋" w:hint="eastAsia"/>
          <w:b w:val="0"/>
          <w:bCs w:val="0"/>
          <w:color w:val="auto"/>
          <w:highlight w:val="none"/>
          <w:lang w:val="en-US" w:eastAsia="zh-CN"/>
        </w:rPr>
        <w:t xml:space="preserve">尉犁县林业和草原局</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项目负责人（签章）：</w:t>
      </w:r>
      <w:r>
        <w:rPr>
          <w:rFonts w:ascii="仿宋" w:eastAsia="仿宋" w:hAnsi="仿宋" w:cs="仿宋" w:hint="eastAsia"/>
          <w:b w:val="0"/>
          <w:bCs w:val="0"/>
          <w:color w:val="auto"/>
          <w:highlight w:val="none"/>
          <w:lang w:val="en-US" w:eastAsia="zh-CN"/>
        </w:rPr>
        <w:t xml:space="preserve">艾海提·肉孜</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填报时间：</w:t>
      </w:r>
      <w:r>
        <w:rPr>
          <w:rFonts w:ascii="仿宋" w:eastAsia="仿宋" w:hAnsi="仿宋" w:cs="仿宋" w:hint="eastAsia"/>
          <w:b w:val="0"/>
          <w:bCs w:val="0"/>
          <w:color w:val="auto"/>
          <w:highlight w:val="none"/>
          <w:lang w:val="en-US" w:eastAsia="zh-CN"/>
        </w:rPr>
        <w:t xml:space="preserve">2025</w:t>
      </w:r>
      <w:r>
        <w:rPr>
          <w:rFonts w:ascii="仿宋" w:eastAsia="仿宋" w:hAnsi="仿宋" w:cs="仿宋" w:hint="eastAsia"/>
          <w:b w:val="0"/>
          <w:bCs w:val="0"/>
          <w:color w:val="auto"/>
          <w:highlight w:val="none"/>
        </w:rPr>
        <w:t xml:space="preserve">年</w:t>
      </w:r>
      <w:r>
        <w:rPr>
          <w:rFonts w:ascii="仿宋" w:eastAsia="仿宋" w:hAnsi="仿宋" w:cs="仿宋" w:hint="eastAsia"/>
          <w:b w:val="0"/>
          <w:bCs w:val="0"/>
          <w:color w:val="auto"/>
          <w:highlight w:val="none"/>
          <w:lang w:val="en-US" w:eastAsia="zh-CN"/>
        </w:rPr>
        <w:t xml:space="preserve">3</w:t>
      </w:r>
      <w:r>
        <w:rPr>
          <w:rFonts w:ascii="仿宋" w:eastAsia="仿宋" w:hAnsi="仿宋" w:cs="仿宋" w:hint="eastAsia"/>
          <w:b w:val="0"/>
          <w:bCs w:val="0"/>
          <w:color w:val="auto"/>
          <w:highlight w:val="none"/>
        </w:rPr>
        <w:t xml:space="preserve">月</w:t>
      </w:r>
      <w:r>
        <w:rPr>
          <w:rFonts w:ascii="仿宋" w:eastAsia="仿宋" w:hAnsi="仿宋" w:cs="仿宋" w:hint="eastAsia"/>
          <w:b w:val="0"/>
          <w:bCs w:val="0"/>
          <w:color w:val="auto"/>
          <w:highlight w:val="none"/>
          <w:lang w:val="en-US" w:eastAsia="zh-CN"/>
        </w:rPr>
        <w:t xml:space="preserve">31</w:t>
      </w:r>
      <w:r>
        <w:rPr>
          <w:rFonts w:ascii="仿宋" w:eastAsia="仿宋" w:hAnsi="仿宋" w:cs="仿宋" w:hint="eastAsia"/>
          <w:b w:val="0"/>
          <w:bCs w:val="0"/>
          <w:color w:val="auto"/>
          <w:highlight w:val="none"/>
        </w:rPr>
        <w:t xml:space="preserve">日</w:t>
      </w:r>
    </w:p>
    <w:p>
      <w:pPr>
        <w:bidi w:val="0"/>
        <w:jc w:val="both"/>
        <w:rPr>
          <w:rFonts w:ascii="仿宋" w:eastAsia="仿宋" w:hAnsi="仿宋" w:cs="仿宋" w:hint="eastAsia"/>
          <w:b w:val="0"/>
          <w:bCs w:val="0"/>
          <w:color w:val="auto"/>
          <w:highlight w:val="none"/>
        </w:rPr>
      </w:pPr>
    </w:p>
    <w:p>
      <w:pPr>
        <w:bidi w:val="0"/>
        <w:jc w:val="both"/>
        <w:rPr>
          <w:rFonts w:ascii="仿宋" w:eastAsia="仿宋" w:hAnsi="仿宋" w:cs="仿宋" w:hint="eastAsia"/>
          <w:b w:val="0"/>
          <w:bCs w:val="0"/>
          <w:color w:val="auto"/>
          <w:highlight w:val="none"/>
        </w:rPr>
        <w:sectPr>
          <w:pgSz w:w="11906" w:h="16838" w:orient="portrait"/>
          <w:pgMar w:top="1440" w:right="1800" w:bottom="1440" w:left="1800" w:header="851" w:footer="992" w:gutter="0"/>
          <w:pgBorders>
            <w:top w:val="none" w:sz="0" w:space="0" w:color="auto"/>
            <w:left w:val="none" w:sz="0" w:space="0" w:color="auto"/>
            <w:bottom w:val="none" w:sz="0" w:space="0" w:color="auto"/>
            <w:right w:val="none" w:sz="0" w:space="0" w:color="auto"/>
          </w:pgBorders>
          <w:pgNumType w:start="1"/>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80" w:lineRule="exact"/>
        <w:ind w:left="0" w:firstLine="0" w:leftChars="0" w:firstLineChars="0"/>
        <w:jc w:val="center"/>
        <w:textAlignment w:val="auto"/>
        <w:rPr>
          <w:rFonts w:ascii="仿宋" w:eastAsia="仿宋" w:hAnsi="仿宋" w:cs="仿宋" w:hint="eastAsia"/>
          <w:b/>
          <w:bCs w:val="0"/>
          <w:color w:val="auto"/>
          <w:sz w:val="44"/>
          <w:szCs w:val="44"/>
          <w:highlight w:val="none"/>
          <w:lang w:val="en-US" w:eastAsia="zh-CN"/>
        </w:rPr>
      </w:pPr>
      <w:bookmarkStart w:id="6" w:name="_Toc5473"/>
      <w:bookmarkStart w:id="7" w:name="_Toc1891"/>
      <w:bookmarkStart w:id="8" w:name="_Toc11827"/>
      <w:bookmarkStart w:id="9" w:name="_Toc18707"/>
      <w:bookmarkStart w:id="10" w:name="_Toc14721"/>
      <w:bookmarkStart w:id="11" w:name="_Toc15542"/>
      <w:r>
        <w:rPr>
          <w:rFonts w:ascii="仿宋" w:eastAsia="仿宋" w:hAnsi="仿宋" w:cs="仿宋" w:hint="eastAsia"/>
          <w:b/>
          <w:bCs w:val="0"/>
          <w:color w:val="auto"/>
          <w:sz w:val="44"/>
          <w:szCs w:val="44"/>
          <w:highlight w:val="none"/>
          <w:lang w:val="en-US" w:eastAsia="zh-CN"/>
        </w:rPr>
        <w:t xml:space="preserve">目  录</w:t>
      </w:r>
    </w:p>
    <w:p>
      <w:pPr>
        <w:pStyle w:val="TOC1"/>
        <w:tabs>
          <w:tab w:val="right" w:leader="dot" w:pos="8306"/>
        </w:tabs>
        <w:rPr>
          <w:rFonts w:ascii="仿宋" w:eastAsia="仿宋" w:hAnsi="仿宋" w:cs="仿宋" w:hint="eastAsia"/>
          <w:color w:val="auto"/>
          <w:highlight w:val="none"/>
        </w:rPr>
      </w:pPr>
      <w:r>
        <w:rPr>
          <w:rFonts w:ascii="仿宋" w:eastAsia="仿宋" w:hAnsi="仿宋" w:cs="仿宋" w:hint="eastAsia"/>
          <w:b/>
          <w:color w:val="auto"/>
          <w:highlight w:val="none"/>
        </w:rPr>
        <w:fldChar w:fldCharType="begin"/>
      </w:r>
      <w:r>
        <w:rPr>
          <w:rFonts w:ascii="仿宋" w:eastAsia="仿宋" w:hAnsi="仿宋" w:cs="仿宋" w:hint="eastAsia"/>
          <w:b/>
          <w:color w:val="auto"/>
          <w:highlight w:val="none"/>
        </w:rPr>
        <w:instrText xml:space="preserve">TOC \o "1-2" \h \u</w:instrText>
      </w:r>
      <w:r>
        <w:rPr>
          <w:rFonts w:ascii="仿宋" w:eastAsia="仿宋" w:hAnsi="仿宋" w:cs="仿宋" w:hint="eastAsia"/>
          <w:b/>
          <w:color w:val="auto"/>
          <w:highlight w:val="none"/>
        </w:rPr>
        <w:fldChar w:fldCharType="separate"/>
      </w:r>
      <w:hyperlink w:anchor="_Toc5384" w:history="1">
        <w:r>
          <w:rPr>
            <w:rFonts w:ascii="仿宋" w:eastAsia="仿宋" w:hAnsi="仿宋" w:cs="仿宋" w:hint="eastAsia"/>
            <w:bCs/>
            <w:iCs/>
            <w:color w:val="auto"/>
            <w:kern w:val="2"/>
            <w:szCs w:val="21"/>
            <w:highlight w:val="none"/>
            <w:lang w:val="en-US" w:eastAsia="zh-CN" w:bidi="ar-SA"/>
          </w:rPr>
          <w:t xml:space="preserve">一、基本情况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_Toc5384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pStyle w:val="TOC2"/>
        <w:tabs>
          <w:tab w:val="right" w:leader="dot" w:pos="8306"/>
        </w:tabs>
        <w:rPr>
          <w:rFonts w:ascii="仿宋" w:eastAsia="仿宋" w:hAnsi="仿宋" w:cs="仿宋" w:hint="eastAsia"/>
          <w:color w:val="auto"/>
          <w:highlight w:val="none"/>
        </w:rPr>
      </w:pPr>
      <w:hyperlink w:anchor="_Toc29044" w:history="1">
        <w:r>
          <w:rPr>
            <w:rFonts w:ascii="仿宋" w:eastAsia="仿宋" w:hAnsi="仿宋" w:cs="仿宋" w:hint="eastAsia"/>
            <w:color w:val="auto"/>
            <w:highlight w:val="none"/>
          </w:rPr>
          <w:t xml:space="preserve">（一）项目概况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_Toc29044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pStyle w:val="TOC2"/>
        <w:tabs>
          <w:tab w:val="right" w:leader="dot" w:pos="8306"/>
        </w:tabs>
        <w:rPr>
          <w:rFonts w:ascii="仿宋" w:eastAsia="仿宋" w:hAnsi="仿宋" w:cs="仿宋" w:hint="eastAsia"/>
          <w:color w:val="auto"/>
          <w:highlight w:val="none"/>
        </w:rPr>
      </w:pPr>
      <w:hyperlink w:anchor="_Toc19445" w:history="1">
        <w:r>
          <w:rPr>
            <w:rFonts w:ascii="仿宋" w:eastAsia="仿宋" w:hAnsi="仿宋" w:cs="仿宋" w:hint="eastAsia"/>
            <w:color w:val="auto"/>
            <w:highlight w:val="none"/>
          </w:rPr>
          <w:t xml:space="preserve">（二）项目绩效目标</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_Toc19445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4</w:t>
        </w:r>
        <w:r>
          <w:rPr>
            <w:rFonts w:ascii="仿宋" w:eastAsia="仿宋" w:hAnsi="仿宋" w:cs="仿宋" w:hint="eastAsia"/>
            <w:color w:val="auto"/>
            <w:highlight w:val="none"/>
          </w:rPr>
          <w:fldChar w:fldCharType="end"/>
        </w:r>
      </w:hyperlink>
    </w:p>
    <w:p>
      <w:pPr>
        <w:pStyle w:val="TOC1"/>
        <w:tabs>
          <w:tab w:val="right" w:leader="dot" w:pos="8306"/>
        </w:tabs>
        <w:rPr>
          <w:rFonts w:ascii="仿宋" w:eastAsia="仿宋" w:hAnsi="仿宋" w:cs="仿宋" w:hint="eastAsia"/>
          <w:color w:val="auto"/>
          <w:highlight w:val="none"/>
        </w:rPr>
      </w:pPr>
      <w:hyperlink w:anchor="_Toc19348" w:history="1">
        <w:r>
          <w:rPr>
            <w:rFonts w:ascii="仿宋" w:eastAsia="仿宋" w:hAnsi="仿宋" w:cs="仿宋" w:hint="eastAsia"/>
            <w:color w:val="auto"/>
            <w:highlight w:val="none"/>
          </w:rPr>
          <w:t xml:space="preserve">二、绩效评价工作开展情况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_Toc19348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4</w:t>
        </w:r>
        <w:r>
          <w:rPr>
            <w:rFonts w:ascii="仿宋" w:eastAsia="仿宋" w:hAnsi="仿宋" w:cs="仿宋" w:hint="eastAsia"/>
            <w:color w:val="auto"/>
            <w:highlight w:val="none"/>
          </w:rPr>
          <w:fldChar w:fldCharType="end"/>
        </w:r>
      </w:hyperlink>
    </w:p>
    <w:p>
      <w:pPr>
        <w:pStyle w:val="TOC2"/>
        <w:tabs>
          <w:tab w:val="right" w:leader="dot" w:pos="8306"/>
        </w:tabs>
        <w:rPr>
          <w:rFonts w:ascii="仿宋" w:eastAsia="仿宋" w:hAnsi="仿宋" w:cs="仿宋" w:hint="eastAsia"/>
          <w:color w:val="auto"/>
          <w:highlight w:val="none"/>
        </w:rPr>
      </w:pPr>
      <w:hyperlink w:anchor="_Toc17410" w:history="1">
        <w:r>
          <w:rPr>
            <w:rFonts w:ascii="仿宋" w:eastAsia="仿宋" w:hAnsi="仿宋" w:cs="仿宋" w:hint="eastAsia"/>
            <w:color w:val="auto"/>
            <w:highlight w:val="none"/>
          </w:rPr>
          <w:t xml:space="preserve">（一）绩效评价目的、对象和范围</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_Toc17410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4</w:t>
        </w:r>
        <w:r>
          <w:rPr>
            <w:rFonts w:ascii="仿宋" w:eastAsia="仿宋" w:hAnsi="仿宋" w:cs="仿宋" w:hint="eastAsia"/>
            <w:color w:val="auto"/>
            <w:highlight w:val="none"/>
          </w:rPr>
          <w:fldChar w:fldCharType="end"/>
        </w:r>
      </w:hyperlink>
    </w:p>
    <w:p>
      <w:pPr>
        <w:pStyle w:val="TOC2"/>
        <w:tabs>
          <w:tab w:val="right" w:leader="dot" w:pos="8306"/>
        </w:tabs>
        <w:rPr>
          <w:rFonts w:ascii="仿宋" w:eastAsia="仿宋" w:hAnsi="仿宋" w:cs="仿宋" w:hint="eastAsia"/>
          <w:color w:val="auto"/>
          <w:highlight w:val="none"/>
        </w:rPr>
      </w:pPr>
      <w:hyperlink w:anchor="_Toc18119" w:history="1">
        <w:r>
          <w:rPr>
            <w:rFonts w:ascii="仿宋" w:eastAsia="仿宋" w:hAnsi="仿宋" w:cs="仿宋" w:hint="eastAsia"/>
            <w:color w:val="auto"/>
            <w:highlight w:val="none"/>
          </w:rPr>
          <w:t xml:space="preserve">（二）绩效评价原则、评价指标体系、评价方法、评价标准</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_Toc18119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6</w:t>
        </w:r>
        <w:r>
          <w:rPr>
            <w:rFonts w:ascii="仿宋" w:eastAsia="仿宋" w:hAnsi="仿宋" w:cs="仿宋" w:hint="eastAsia"/>
            <w:color w:val="auto"/>
            <w:highlight w:val="none"/>
          </w:rPr>
          <w:fldChar w:fldCharType="end"/>
        </w:r>
      </w:hyperlink>
    </w:p>
    <w:p>
      <w:pPr>
        <w:pStyle w:val="TOC2"/>
        <w:tabs>
          <w:tab w:val="right" w:leader="dot" w:pos="8306"/>
        </w:tabs>
        <w:rPr>
          <w:rFonts w:ascii="仿宋" w:eastAsia="仿宋" w:hAnsi="仿宋" w:cs="仿宋" w:hint="eastAsia"/>
          <w:color w:val="auto"/>
          <w:highlight w:val="none"/>
        </w:rPr>
      </w:pPr>
      <w:hyperlink w:anchor="_Toc17536" w:history="1">
        <w:r>
          <w:rPr>
            <w:rFonts w:ascii="仿宋" w:eastAsia="仿宋" w:hAnsi="仿宋" w:cs="仿宋" w:hint="eastAsia"/>
            <w:color w:val="auto"/>
            <w:highlight w:val="none"/>
          </w:rPr>
          <w:t xml:space="preserve">（三）绩效评价工作过程</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_Toc17536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9</w:t>
        </w:r>
        <w:r>
          <w:rPr>
            <w:rFonts w:ascii="仿宋" w:eastAsia="仿宋" w:hAnsi="仿宋" w:cs="仿宋" w:hint="eastAsia"/>
            <w:color w:val="auto"/>
            <w:highlight w:val="none"/>
          </w:rPr>
          <w:fldChar w:fldCharType="end"/>
        </w:r>
      </w:hyperlink>
    </w:p>
    <w:p>
      <w:pPr>
        <w:pStyle w:val="TOC1"/>
        <w:tabs>
          <w:tab w:val="right" w:leader="dot" w:pos="8306"/>
        </w:tabs>
        <w:rPr>
          <w:rFonts w:ascii="仿宋" w:eastAsia="仿宋" w:hAnsi="仿宋" w:cs="仿宋" w:hint="eastAsia"/>
          <w:color w:val="auto"/>
          <w:highlight w:val="none"/>
        </w:rPr>
      </w:pPr>
      <w:hyperlink w:anchor="_Toc6823" w:history="1">
        <w:r>
          <w:rPr>
            <w:rFonts w:ascii="仿宋" w:eastAsia="仿宋" w:hAnsi="仿宋" w:cs="仿宋" w:hint="eastAsia"/>
            <w:color w:val="auto"/>
            <w:highlight w:val="none"/>
          </w:rPr>
          <w:t xml:space="preserve">三、综合评价情况及评价结论</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_Toc6823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12</w:t>
        </w:r>
        <w:r>
          <w:rPr>
            <w:rFonts w:ascii="仿宋" w:eastAsia="仿宋" w:hAnsi="仿宋" w:cs="仿宋" w:hint="eastAsia"/>
            <w:color w:val="auto"/>
            <w:highlight w:val="none"/>
          </w:rPr>
          <w:fldChar w:fldCharType="end"/>
        </w:r>
      </w:hyperlink>
    </w:p>
    <w:p>
      <w:pPr>
        <w:pStyle w:val="TOC1"/>
        <w:tabs>
          <w:tab w:val="right" w:leader="dot" w:pos="8306"/>
        </w:tabs>
        <w:rPr>
          <w:rFonts w:ascii="仿宋" w:eastAsia="仿宋" w:hAnsi="仿宋" w:cs="仿宋" w:hint="eastAsia"/>
          <w:color w:val="auto"/>
          <w:highlight w:val="none"/>
        </w:rPr>
      </w:pPr>
      <w:hyperlink w:anchor="_Toc20394" w:history="1">
        <w:r>
          <w:rPr>
            <w:rFonts w:ascii="仿宋" w:eastAsia="仿宋" w:hAnsi="仿宋" w:cs="仿宋" w:hint="eastAsia"/>
            <w:color w:val="auto"/>
            <w:highlight w:val="none"/>
          </w:rPr>
          <w:t xml:space="preserve">四、绩效评价指标分析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_Toc20394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12</w:t>
        </w:r>
        <w:r>
          <w:rPr>
            <w:rFonts w:ascii="仿宋" w:eastAsia="仿宋" w:hAnsi="仿宋" w:cs="仿宋" w:hint="eastAsia"/>
            <w:color w:val="auto"/>
            <w:highlight w:val="none"/>
          </w:rPr>
          <w:fldChar w:fldCharType="end"/>
        </w:r>
      </w:hyperlink>
    </w:p>
    <w:p>
      <w:pPr>
        <w:pStyle w:val="TOC2"/>
        <w:tabs>
          <w:tab w:val="right" w:leader="dot" w:pos="8306"/>
        </w:tabs>
        <w:rPr>
          <w:rFonts w:ascii="仿宋" w:eastAsia="仿宋" w:hAnsi="仿宋" w:cs="仿宋" w:hint="eastAsia"/>
          <w:color w:val="auto"/>
          <w:highlight w:val="none"/>
        </w:rPr>
      </w:pPr>
      <w:hyperlink w:anchor="_Toc17288" w:history="1">
        <w:r>
          <w:rPr>
            <w:rFonts w:ascii="仿宋" w:eastAsia="仿宋" w:hAnsi="仿宋" w:cs="仿宋" w:hint="eastAsia"/>
            <w:color w:val="auto"/>
            <w:highlight w:val="none"/>
          </w:rPr>
          <w:t xml:space="preserve">（一）项目决策情况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_Toc17288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12</w:t>
        </w:r>
        <w:r>
          <w:rPr>
            <w:rFonts w:ascii="仿宋" w:eastAsia="仿宋" w:hAnsi="仿宋" w:cs="仿宋" w:hint="eastAsia"/>
            <w:color w:val="auto"/>
            <w:highlight w:val="none"/>
          </w:rPr>
          <w:fldChar w:fldCharType="end"/>
        </w:r>
      </w:hyperlink>
    </w:p>
    <w:p>
      <w:pPr>
        <w:pStyle w:val="TOC2"/>
        <w:tabs>
          <w:tab w:val="right" w:leader="dot" w:pos="8306"/>
        </w:tabs>
        <w:rPr>
          <w:rFonts w:ascii="仿宋" w:eastAsia="仿宋" w:hAnsi="仿宋" w:cs="仿宋" w:hint="eastAsia"/>
          <w:color w:val="auto"/>
          <w:highlight w:val="none"/>
        </w:rPr>
      </w:pPr>
      <w:hyperlink w:anchor="_Toc26989" w:history="1">
        <w:r>
          <w:rPr>
            <w:rFonts w:ascii="仿宋" w:eastAsia="仿宋" w:hAnsi="仿宋" w:cs="仿宋" w:hint="eastAsia"/>
            <w:color w:val="auto"/>
            <w:highlight w:val="none"/>
          </w:rPr>
          <w:t xml:space="preserve">（二）项目过程情况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_Toc26989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14</w:t>
        </w:r>
        <w:r>
          <w:rPr>
            <w:rFonts w:ascii="仿宋" w:eastAsia="仿宋" w:hAnsi="仿宋" w:cs="仿宋" w:hint="eastAsia"/>
            <w:color w:val="auto"/>
            <w:highlight w:val="none"/>
          </w:rPr>
          <w:fldChar w:fldCharType="end"/>
        </w:r>
      </w:hyperlink>
    </w:p>
    <w:p>
      <w:pPr>
        <w:pStyle w:val="TOC2"/>
        <w:tabs>
          <w:tab w:val="right" w:leader="dot" w:pos="8306"/>
        </w:tabs>
        <w:rPr>
          <w:rFonts w:ascii="仿宋" w:eastAsia="仿宋" w:hAnsi="仿宋" w:cs="仿宋" w:hint="eastAsia"/>
          <w:color w:val="auto"/>
          <w:highlight w:val="none"/>
        </w:rPr>
      </w:pPr>
      <w:hyperlink w:anchor="_Toc27446" w:history="1">
        <w:r>
          <w:rPr>
            <w:rFonts w:ascii="仿宋" w:eastAsia="仿宋" w:hAnsi="仿宋" w:cs="仿宋" w:hint="eastAsia"/>
            <w:color w:val="auto"/>
            <w:highlight w:val="none"/>
          </w:rPr>
          <w:t xml:space="preserve">（三）项目产出情况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_Toc27446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16</w:t>
        </w:r>
        <w:r>
          <w:rPr>
            <w:rFonts w:ascii="仿宋" w:eastAsia="仿宋" w:hAnsi="仿宋" w:cs="仿宋" w:hint="eastAsia"/>
            <w:color w:val="auto"/>
            <w:highlight w:val="none"/>
          </w:rPr>
          <w:fldChar w:fldCharType="end"/>
        </w:r>
      </w:hyperlink>
    </w:p>
    <w:p>
      <w:pPr>
        <w:pStyle w:val="TOC2"/>
        <w:tabs>
          <w:tab w:val="right" w:leader="dot" w:pos="8306"/>
        </w:tabs>
        <w:rPr>
          <w:rFonts w:ascii="仿宋" w:eastAsia="仿宋" w:hAnsi="仿宋" w:cs="仿宋" w:hint="eastAsia"/>
          <w:color w:val="auto"/>
          <w:highlight w:val="none"/>
        </w:rPr>
      </w:pPr>
      <w:hyperlink w:anchor="_Toc25505" w:history="1">
        <w:r>
          <w:rPr>
            <w:rFonts w:ascii="仿宋" w:eastAsia="仿宋" w:hAnsi="仿宋" w:cs="仿宋" w:hint="eastAsia"/>
            <w:color w:val="auto"/>
            <w:highlight w:val="none"/>
          </w:rPr>
          <w:t xml:space="preserve">（四）项目效益情况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_Toc25505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pStyle w:val="TOC1"/>
        <w:tabs>
          <w:tab w:val="right" w:leader="dot" w:pos="8306"/>
        </w:tabs>
        <w:rPr>
          <w:rFonts w:ascii="仿宋" w:eastAsia="仿宋" w:hAnsi="仿宋" w:cs="仿宋" w:hint="eastAsia"/>
          <w:color w:val="auto"/>
          <w:highlight w:val="none"/>
        </w:rPr>
      </w:pPr>
      <w:hyperlink w:anchor="_Toc14457" w:history="1">
        <w:r>
          <w:rPr>
            <w:rFonts w:ascii="仿宋" w:eastAsia="仿宋" w:hAnsi="仿宋" w:cs="仿宋" w:hint="eastAsia"/>
            <w:color w:val="auto"/>
            <w:highlight w:val="none"/>
          </w:rPr>
          <w:t xml:space="preserve">五、主要经验及做法、存在的问题及原因分析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_Toc14457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pStyle w:val="TOC2"/>
        <w:tabs>
          <w:tab w:val="right" w:leader="dot" w:pos="8306"/>
        </w:tabs>
        <w:rPr>
          <w:rFonts w:ascii="仿宋" w:eastAsia="仿宋" w:hAnsi="仿宋" w:cs="仿宋" w:hint="eastAsia"/>
          <w:color w:val="auto"/>
          <w:highlight w:val="none"/>
        </w:rPr>
      </w:pPr>
      <w:hyperlink w:anchor="_Toc6481" w:history="1">
        <w:r>
          <w:rPr>
            <w:rFonts w:ascii="仿宋" w:eastAsia="仿宋" w:hAnsi="仿宋" w:cs="仿宋" w:hint="eastAsia"/>
            <w:color w:val="auto"/>
            <w:highlight w:val="none"/>
          </w:rPr>
          <w:t xml:space="preserve">（一）主要经验及做法</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_Toc6481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pStyle w:val="TOC2"/>
        <w:tabs>
          <w:tab w:val="right" w:leader="dot" w:pos="8306"/>
        </w:tabs>
        <w:rPr>
          <w:rFonts w:ascii="仿宋" w:eastAsia="仿宋" w:hAnsi="仿宋" w:cs="仿宋" w:hint="eastAsia"/>
          <w:color w:val="auto"/>
          <w:highlight w:val="none"/>
        </w:rPr>
      </w:pPr>
      <w:hyperlink w:anchor="_Toc19354" w:history="1">
        <w:r>
          <w:rPr>
            <w:rFonts w:ascii="仿宋" w:eastAsia="仿宋" w:hAnsi="仿宋" w:cs="仿宋" w:hint="eastAsia"/>
            <w:color w:val="auto"/>
            <w:highlight w:val="none"/>
          </w:rPr>
          <w:t xml:space="preserve">（二）存在的问题及分析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_Toc19354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20</w:t>
        </w:r>
        <w:r>
          <w:rPr>
            <w:rFonts w:ascii="仿宋" w:eastAsia="仿宋" w:hAnsi="仿宋" w:cs="仿宋" w:hint="eastAsia"/>
            <w:color w:val="auto"/>
            <w:highlight w:val="none"/>
          </w:rPr>
          <w:fldChar w:fldCharType="end"/>
        </w:r>
      </w:hyperlink>
    </w:p>
    <w:p>
      <w:pPr>
        <w:pStyle w:val="TOC1"/>
        <w:tabs>
          <w:tab w:val="right" w:leader="dot" w:pos="8306"/>
        </w:tabs>
        <w:rPr>
          <w:rFonts w:ascii="仿宋" w:eastAsia="仿宋" w:hAnsi="仿宋" w:cs="仿宋" w:hint="eastAsia"/>
          <w:color w:val="auto"/>
          <w:highlight w:val="none"/>
        </w:rPr>
      </w:pPr>
      <w:hyperlink w:anchor="_Toc7553" w:history="1">
        <w:r>
          <w:rPr>
            <w:rFonts w:ascii="仿宋" w:eastAsia="仿宋" w:hAnsi="仿宋" w:cs="仿宋" w:hint="eastAsia"/>
            <w:color w:val="auto"/>
            <w:highlight w:val="none"/>
          </w:rPr>
          <w:t xml:space="preserve">六、有关建议</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_Toc7553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21</w:t>
        </w:r>
        <w:r>
          <w:rPr>
            <w:rFonts w:ascii="仿宋" w:eastAsia="仿宋" w:hAnsi="仿宋" w:cs="仿宋" w:hint="eastAsia"/>
            <w:color w:val="auto"/>
            <w:highlight w:val="none"/>
          </w:rPr>
          <w:fldChar w:fldCharType="end"/>
        </w:r>
      </w:hyperlink>
    </w:p>
    <w:p>
      <w:pPr>
        <w:pStyle w:val="TOC1"/>
        <w:tabs>
          <w:tab w:val="right" w:leader="dot" w:pos="8306"/>
        </w:tabs>
        <w:rPr>
          <w:rFonts w:ascii="仿宋" w:eastAsia="仿宋" w:hAnsi="仿宋" w:cs="仿宋" w:hint="eastAsia"/>
          <w:color w:val="auto"/>
          <w:highlight w:val="none"/>
        </w:rPr>
      </w:pPr>
      <w:hyperlink w:anchor="_Toc30715" w:history="1">
        <w:r>
          <w:rPr>
            <w:rFonts w:ascii="仿宋" w:eastAsia="仿宋" w:hAnsi="仿宋" w:cs="仿宋" w:hint="eastAsia"/>
            <w:bCs/>
            <w:iCs/>
            <w:color w:val="auto"/>
            <w:highlight w:val="none"/>
          </w:rPr>
          <w:t xml:space="preserve">七、其他需要说明的问题</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_Toc30715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21</w:t>
        </w:r>
        <w:r>
          <w:rPr>
            <w:rFonts w:ascii="仿宋" w:eastAsia="仿宋" w:hAnsi="仿宋" w:cs="仿宋" w:hint="eastAsia"/>
            <w:color w:val="auto"/>
            <w:highlight w:val="none"/>
          </w:rPr>
          <w:fldChar w:fldCharType="end"/>
        </w:r>
      </w:hyperlink>
    </w:p>
    <w:p>
      <w:pPr>
        <w:pStyle w:val="TOC1"/>
        <w:tabs>
          <w:tab w:val="right" w:leader="dot" w:pos="8306"/>
        </w:tabs>
        <w:rPr>
          <w:rFonts w:ascii="仿宋" w:eastAsia="仿宋" w:hAnsi="仿宋" w:cs="仿宋" w:hint="eastAsia"/>
          <w:color w:val="auto"/>
          <w:highlight w:val="none"/>
        </w:rPr>
      </w:pPr>
      <w:hyperlink w:anchor="_Toc6317" w:history="1">
        <w:r>
          <w:rPr>
            <w:rFonts w:ascii="仿宋" w:eastAsia="仿宋" w:hAnsi="仿宋" w:cs="仿宋" w:hint="eastAsia"/>
            <w:bCs/>
            <w:iCs/>
            <w:color w:val="auto"/>
            <w:highlight w:val="none"/>
          </w:rPr>
          <w:t xml:space="preserve">八、附件</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_Toc6317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21</w:t>
        </w:r>
        <w:r>
          <w:rPr>
            <w:rFonts w:ascii="仿宋" w:eastAsia="仿宋" w:hAnsi="仿宋" w:cs="仿宋" w:hint="eastAsia"/>
            <w:color w:val="auto"/>
            <w:highlight w:val="none"/>
          </w:rPr>
          <w:fldChar w:fldCharType="end"/>
        </w:r>
      </w:hyperlink>
    </w:p>
    <w:p>
      <w:pPr>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highlight w:val="none"/>
        </w:rPr>
      </w:pPr>
      <w:r>
        <w:rPr>
          <w:rFonts w:ascii="仿宋" w:eastAsia="仿宋" w:hAnsi="仿宋" w:cs="仿宋" w:hint="eastAsia"/>
          <w:color w:val="auto"/>
          <w:highlight w:val="none"/>
        </w:rPr>
        <w:fldChar w:fldCharType="end"/>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9"/>
        <w:rPr>
          <w:rFonts w:ascii="仿宋" w:eastAsia="仿宋" w:hAnsi="仿宋" w:cs="仿宋" w:hint="eastAsia"/>
          <w:bCs/>
          <w:iCs/>
          <w:color w:val="auto"/>
          <w:kern w:val="2"/>
          <w:sz w:val="32"/>
          <w:szCs w:val="21"/>
          <w:highlight w:val="none"/>
          <w:lang w:val="en-US" w:eastAsia="zh-CN" w:bidi="ar-SA"/>
        </w:rPr>
        <w:sectPr>
          <w:footerReference w:type="default" r:id="rId3"/>
          <w:pgSz w:w="11906" w:h="16838" w:orient="portrait"/>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ind w:left="0" w:firstLine="320" w:leftChars="0" w:firstLineChars="100"/>
        <w:jc w:val="both"/>
        <w:textAlignment w:val="auto"/>
        <w:outlineLvl w:val="0"/>
        <w:rPr>
          <w:rFonts w:ascii="仿宋" w:eastAsia="仿宋" w:hAnsi="仿宋" w:cs="仿宋" w:hint="eastAsia"/>
          <w:bCs/>
          <w:iCs/>
          <w:color w:val="auto"/>
          <w:kern w:val="2"/>
          <w:sz w:val="32"/>
          <w:szCs w:val="21"/>
          <w:highlight w:val="none"/>
          <w:lang w:val="en-US" w:eastAsia="zh-CN" w:bidi="ar-SA"/>
        </w:rPr>
      </w:pPr>
      <w:bookmarkStart w:id="12" w:name="_Toc5384"/>
      <w:bookmarkStart w:id="13" w:name="_Toc6682"/>
      <w:bookmarkStart w:id="14" w:name="_Toc10604"/>
      <w:r>
        <w:rPr>
          <w:rFonts w:ascii="仿宋" w:eastAsia="仿宋" w:hAnsi="仿宋" w:cs="仿宋" w:hint="eastAsia"/>
          <w:bCs/>
          <w:iCs/>
          <w:color w:val="auto"/>
          <w:kern w:val="2"/>
          <w:sz w:val="32"/>
          <w:szCs w:val="21"/>
          <w:highlight w:val="none"/>
          <w:lang w:val="en-US" w:eastAsia="zh-CN" w:bidi="ar-SA"/>
        </w:rPr>
        <w:t xml:space="preserve">一、基本情况</w:t>
      </w:r>
      <w:bookmarkEnd w:id="6"/>
      <w:bookmarkEnd w:id="7"/>
      <w:bookmarkEnd w:id="8"/>
      <w:bookmarkEnd w:id="9"/>
      <w:bookmarkEnd w:id="10"/>
      <w:bookmarkEnd w:id="11"/>
      <w:bookmarkEnd w:id="12"/>
      <w:bookmarkEnd w:id="13"/>
      <w:bookmarkEnd w:id="14"/>
      <w:bookmarkStart w:id="15" w:name="_Toc27593"/>
    </w:p>
    <w:p>
      <w:pPr>
        <w:pStyle w:val="Heading3"/>
        <w:bidi w:val="0"/>
        <w:ind w:left="0" w:firstLine="320" w:leftChars="0" w:firstLineChars="100"/>
        <w:jc w:val="both"/>
        <w:outlineLvl w:val="1"/>
        <w:rPr>
          <w:rFonts w:ascii="仿宋" w:eastAsia="仿宋" w:hAnsi="仿宋" w:cs="仿宋" w:hint="eastAsia"/>
          <w:color w:val="auto"/>
          <w:highlight w:val="none"/>
        </w:rPr>
      </w:pPr>
      <w:bookmarkStart w:id="16" w:name="_Toc9236"/>
      <w:bookmarkStart w:id="17" w:name="_Toc24706"/>
      <w:bookmarkStart w:id="18" w:name="_Toc26183"/>
      <w:bookmarkStart w:id="19" w:name="_Toc24048"/>
      <w:bookmarkStart w:id="20" w:name="_Toc29044"/>
      <w:bookmarkStart w:id="21" w:name="_Toc6657"/>
      <w:bookmarkStart w:id="22" w:name="_Toc21244"/>
      <w:r>
        <w:rPr>
          <w:rFonts w:ascii="仿宋" w:eastAsia="仿宋" w:hAnsi="仿宋" w:cs="仿宋" w:hint="eastAsia"/>
          <w:color w:val="auto"/>
          <w:highlight w:val="none"/>
        </w:rPr>
        <w:t xml:space="preserve">（一）项目概况</w:t>
      </w:r>
      <w:bookmarkEnd w:id="15"/>
      <w:bookmarkEnd w:id="16"/>
      <w:bookmarkEnd w:id="17"/>
      <w:bookmarkEnd w:id="18"/>
      <w:bookmarkEnd w:id="19"/>
      <w:bookmarkEnd w:id="20"/>
      <w:bookmarkEnd w:id="21"/>
      <w:bookmarkEnd w:id="22"/>
    </w:p>
    <w:p>
      <w:pPr>
        <w:bidi w:val="0"/>
        <w:ind w:left="0" w:firstLine="640" w:leftChars="0" w:firstLineChars="200"/>
        <w:jc w:val="both"/>
        <w:rPr>
          <w:rFonts w:ascii="仿宋" w:eastAsia="仿宋" w:hAnsi="仿宋" w:cs="仿宋" w:hint="eastAsia"/>
          <w:b/>
          <w:bCs/>
          <w:color w:val="auto"/>
          <w:highlight w:val="none"/>
        </w:rPr>
      </w:pPr>
      <w:bookmarkStart w:id="23" w:name="_Toc19984"/>
      <w:bookmarkStart w:id="24" w:name="_Toc11427"/>
      <w:r>
        <w:rPr>
          <w:rFonts w:ascii="仿宋" w:eastAsia="仿宋" w:hAnsi="仿宋" w:cs="仿宋" w:hint="eastAsia"/>
          <w:b/>
          <w:bCs/>
          <w:color w:val="auto"/>
          <w:highlight w:val="none"/>
        </w:rPr>
        <w:t xml:space="preserve">1.项目背景</w:t>
      </w:r>
      <w:bookmarkEnd w:id="23"/>
      <w:bookmarkEnd w:id="24"/>
    </w:p>
    <w:p>
      <w:pPr>
        <w:bidi w:val="0"/>
        <w:rPr>
          <w:rFonts w:ascii="仿宋" w:eastAsia="仿宋" w:hAnsi="仿宋" w:cs="仿宋" w:hint="eastAsia"/>
          <w:color w:val="auto"/>
          <w:highlight w:val="none"/>
          <w:lang w:val="en-US" w:eastAsia="zh-CN"/>
        </w:rPr>
      </w:pPr>
      <w:bookmarkStart w:id="25" w:name="_Toc22079"/>
      <w:bookmarkStart w:id="26" w:name="_Toc22216"/>
      <w:r>
        <w:rPr>
          <w:rFonts w:ascii="仿宋" w:eastAsia="仿宋" w:hAnsi="仿宋" w:cs="仿宋" w:hint="eastAsia"/>
          <w:color w:val="auto"/>
          <w:highlight w:val="none"/>
          <w:lang w:val="en-US" w:eastAsia="zh-CN"/>
        </w:rPr>
        <w:t xml:space="preserve">尉犁县共区划国家级公益林245.69万亩。共涉及179个林班，3762个小班。国家级公益林区主要树种为胡杨、柽柳、灰杨、梭梭等，植被生长状况良好，但距离水源较远的胡杨、灌木因缺水等原因有衰败现状，天然胡杨林春季主要面临的虫害为春尺蠖。公益林区野生动物资源丰富，脊椎动物119种，包括鱼类8种、两栖类1种、爬行类3种、鸟类95种、兽类12种。有受保护的物种43种：国家重点保护野生动物Ⅰ级3种、Ⅱ级21种；自治区重点保护野生植物Ⅰ级7种、Ⅱ级1种；自治区重点保护野生动物Ⅰ级6种、Ⅱ级5种。</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近年来，尉犁县通过实施各项生态保护和修复工程，提升了生态系统的稳定性，在一定程度上改善了国家公益林生态环境，但由于尉犁县地理位置、生态治理难，生态环境脆弱敏感。因此，“十四五”及今后一段时期，我县将充分利用河流两岸生态水资源优势，通过生态补水、森林抚育、草原补播改良、有害生物防治、国有林日常管护等手段，全面保护野生动植物资源，加强湿地保护与修复，筑牢尉犁县生态安全屏障、统筹推进山水林田湖草沙一体化保护和系统治理、实施乡村振兴战略、实现“双碳”目标的新使命、新任务。</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2.项目主要内容</w:t>
      </w:r>
      <w:bookmarkEnd w:id="25"/>
      <w:bookmarkEnd w:id="26"/>
    </w:p>
    <w:p>
      <w:pPr>
        <w:bidi w:val="0"/>
        <w:jc w:val="both"/>
        <w:rPr>
          <w:rFonts w:ascii="仿宋" w:eastAsia="仿宋" w:hAnsi="仿宋" w:cs="仿宋" w:hint="eastAsia"/>
          <w:color w:val="auto"/>
          <w:highlight w:val="none"/>
        </w:rPr>
      </w:pPr>
      <w:bookmarkStart w:id="27" w:name="_Toc21529"/>
      <w:r>
        <w:rPr>
          <w:rFonts w:ascii="仿宋" w:eastAsia="仿宋" w:hAnsi="仿宋" w:cs="仿宋" w:hint="eastAsia"/>
          <w:color w:val="auto"/>
          <w:highlight w:val="none"/>
          <w:lang w:val="en-US" w:eastAsia="zh-CN"/>
        </w:rPr>
        <w:t xml:space="preserve">2024年开展全县国家级公益林（国有林）管护面积245.69万亩，提升国家公益林管护水平；开展38万亩国有林修复，其中森林抚育2万亩，胡杨林春尺蠖防治20万亩，鼠兔害防治1万亩，国有林综合修复15万亩。</w:t>
      </w:r>
    </w:p>
    <w:p>
      <w:pPr>
        <w:bidi w:val="0"/>
        <w:jc w:val="both"/>
        <w:rPr>
          <w:rFonts w:ascii="仿宋" w:eastAsia="仿宋" w:hAnsi="仿宋" w:cs="仿宋" w:hint="eastAsia"/>
          <w:b/>
          <w:bCs/>
          <w:color w:val="auto"/>
          <w:highlight w:val="none"/>
        </w:rPr>
      </w:pPr>
      <w:bookmarkStart w:id="28" w:name="_Toc31519"/>
      <w:r>
        <w:rPr>
          <w:rFonts w:ascii="仿宋" w:eastAsia="仿宋" w:hAnsi="仿宋" w:cs="仿宋" w:hint="eastAsia"/>
          <w:b/>
          <w:bCs/>
          <w:color w:val="auto"/>
          <w:highlight w:val="none"/>
        </w:rPr>
        <w:t xml:space="preserve">3.项目实施情况</w:t>
      </w:r>
      <w:bookmarkEnd w:id="27"/>
      <w:bookmarkEnd w:id="28"/>
      <w:bookmarkStart w:id="29" w:name="_Toc20138"/>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2023年12月16日，自治州财政局下达《关于提前下达2024年中央林业草原生态保护恢复资金的通知》（巴财建〔2023〕119号），2024年1月27日州林草局下达《关于对2024年中央林业草原生态保护恢复资金（森林保护修复—国家级公益林区）实施方案的批复》。2024年5月进行森林抚育及国有林综合修复等工程招投标，截至2024年12月31日，已完成全县国家级公益林（国有林）管护面积245.69万亩，发放管护人员工资，保障管护站正常运行，提升国家公益林管护水平；开展38万亩国有林修复，其中森林抚育2万亩，胡杨林春尺蠖防治20万亩，鼠兔害防治1万亩，国有林综合修复15万亩。采购森林草原防灭火物资，</w:t>
      </w:r>
      <w:bookmarkStart w:id="30" w:name="_Toc1111"/>
      <w:r>
        <w:rPr>
          <w:rFonts w:ascii="仿宋" w:eastAsia="仿宋" w:hAnsi="仿宋" w:cs="仿宋" w:hint="eastAsia"/>
          <w:color w:val="auto"/>
          <w:highlight w:val="none"/>
          <w:lang w:val="en-US" w:eastAsia="zh-CN"/>
        </w:rPr>
        <w:t xml:space="preserve">组织管护人员培训2次。</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4.资金投入情况</w:t>
      </w:r>
      <w:bookmarkEnd w:id="29"/>
      <w:bookmarkEnd w:id="30"/>
    </w:p>
    <w:p>
      <w:pPr>
        <w:bidi w:val="0"/>
        <w:rPr>
          <w:rFonts w:ascii="仿宋" w:eastAsia="仿宋" w:hAnsi="仿宋" w:cs="仿宋" w:hint="eastAsia"/>
          <w:color w:val="auto"/>
          <w:highlight w:val="none"/>
          <w:lang w:eastAsia="zh-CN"/>
        </w:rPr>
      </w:pPr>
      <w:bookmarkStart w:id="31" w:name="_Toc7324"/>
      <w:r>
        <w:rPr>
          <w:rFonts w:ascii="仿宋" w:eastAsia="仿宋" w:hAnsi="仿宋" w:cs="仿宋" w:hint="eastAsia"/>
          <w:color w:val="auto"/>
          <w:highlight w:val="none"/>
        </w:rPr>
        <w:t xml:space="preserve">根据《关于</w:t>
      </w:r>
      <w:r>
        <w:rPr>
          <w:rFonts w:ascii="仿宋" w:eastAsia="仿宋" w:hAnsi="仿宋" w:cs="仿宋" w:hint="eastAsia"/>
          <w:color w:val="auto"/>
          <w:highlight w:val="none"/>
          <w:lang w:eastAsia="zh-CN"/>
        </w:rPr>
        <w:t xml:space="preserve">提前</w:t>
      </w:r>
      <w:r>
        <w:rPr>
          <w:rFonts w:ascii="仿宋" w:eastAsia="仿宋" w:hAnsi="仿宋" w:cs="仿宋" w:hint="eastAsia"/>
          <w:color w:val="auto"/>
          <w:highlight w:val="none"/>
        </w:rPr>
        <w:t xml:space="preserve">下达2024年中央</w:t>
      </w:r>
      <w:r>
        <w:rPr>
          <w:rFonts w:ascii="仿宋" w:eastAsia="仿宋" w:hAnsi="仿宋" w:cs="仿宋" w:hint="eastAsia"/>
          <w:color w:val="auto"/>
          <w:highlight w:val="none"/>
          <w:lang w:eastAsia="zh-CN"/>
        </w:rPr>
        <w:t xml:space="preserve">林业草原生态保护恢复资金</w:t>
      </w:r>
      <w:r>
        <w:rPr>
          <w:rFonts w:ascii="仿宋" w:eastAsia="仿宋" w:hAnsi="仿宋" w:cs="仿宋" w:hint="eastAsia"/>
          <w:color w:val="auto"/>
          <w:highlight w:val="none"/>
        </w:rPr>
        <w:t xml:space="preserve">的通知》（巴财建〔202</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119</w:t>
      </w:r>
      <w:r>
        <w:rPr>
          <w:rFonts w:ascii="仿宋" w:eastAsia="仿宋" w:hAnsi="仿宋" w:cs="仿宋" w:hint="eastAsia"/>
          <w:color w:val="auto"/>
          <w:highlight w:val="none"/>
        </w:rPr>
        <w:t xml:space="preserve">号），下达</w:t>
      </w:r>
      <w:r>
        <w:rPr>
          <w:rFonts w:ascii="仿宋" w:eastAsia="仿宋" w:hAnsi="仿宋" w:cs="仿宋" w:hint="eastAsia"/>
          <w:color w:val="auto"/>
          <w:highlight w:val="none"/>
          <w:lang w:eastAsia="zh-CN"/>
        </w:rPr>
        <w:t xml:space="preserve">2024年中央林业草原生态保护恢复资金</w:t>
      </w:r>
      <w:r>
        <w:rPr>
          <w:rFonts w:ascii="仿宋" w:eastAsia="仿宋" w:hAnsi="仿宋" w:cs="仿宋" w:hint="eastAsia"/>
          <w:color w:val="auto"/>
          <w:highlight w:val="none"/>
          <w:lang w:val="en-US" w:eastAsia="zh-CN"/>
        </w:rPr>
        <w:t xml:space="preserve">1708.41</w:t>
      </w:r>
      <w:r>
        <w:rPr>
          <w:rFonts w:ascii="仿宋" w:eastAsia="仿宋" w:hAnsi="仿宋" w:cs="仿宋" w:hint="eastAsia"/>
          <w:color w:val="auto"/>
          <w:highlight w:val="none"/>
        </w:rPr>
        <w:t xml:space="preserve">万元。其中用于</w:t>
      </w:r>
      <w:r>
        <w:rPr>
          <w:rFonts w:ascii="仿宋" w:eastAsia="仿宋" w:hAnsi="仿宋" w:cs="仿宋" w:hint="eastAsia"/>
          <w:color w:val="auto"/>
          <w:highlight w:val="none"/>
          <w:lang w:val="en-US" w:eastAsia="zh-CN"/>
        </w:rPr>
        <w:t xml:space="preserve">国有林管护1012.88</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val="en-US" w:eastAsia="zh-CN"/>
        </w:rPr>
        <w:t xml:space="preserve">国有林修复面积-森林抚育314</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、国有林修复面积-综合修复费用219万元、胡杨林春尺蠖飞机防治费用135.6万元、鼠兔害综合防治费用9.6万元、应急分队保障费用17.33万元。</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实施</w:t>
      </w:r>
      <w:r>
        <w:rPr>
          <w:rFonts w:ascii="仿宋" w:eastAsia="仿宋" w:hAnsi="仿宋" w:cs="仿宋" w:hint="eastAsia"/>
          <w:color w:val="auto"/>
          <w:highlight w:val="none"/>
          <w:lang w:val="en-US" w:eastAsia="zh-CN"/>
        </w:rPr>
        <w:t xml:space="preserve">2024年中央林业草原生态保护恢复项目</w:t>
      </w:r>
      <w:r>
        <w:rPr>
          <w:rFonts w:ascii="仿宋" w:eastAsia="仿宋" w:hAnsi="仿宋" w:cs="仿宋" w:hint="eastAsia"/>
          <w:color w:val="auto"/>
          <w:highlight w:val="none"/>
        </w:rPr>
        <w:t xml:space="preserve">投入</w:t>
      </w:r>
      <w:r>
        <w:rPr>
          <w:rFonts w:ascii="仿宋" w:eastAsia="仿宋" w:hAnsi="仿宋" w:cs="仿宋" w:hint="eastAsia"/>
          <w:color w:val="auto"/>
          <w:highlight w:val="none"/>
          <w:lang w:val="en-US" w:eastAsia="zh-CN"/>
        </w:rPr>
        <w:t xml:space="preserve">1708.41万元</w:t>
      </w:r>
      <w:r>
        <w:rPr>
          <w:rFonts w:ascii="仿宋" w:eastAsia="仿宋" w:hAnsi="仿宋" w:cs="仿宋" w:hint="eastAsia"/>
          <w:color w:val="auto"/>
          <w:highlight w:val="none"/>
        </w:rPr>
        <w:t xml:space="preserve">，其中</w:t>
      </w:r>
      <w:r>
        <w:rPr>
          <w:rFonts w:ascii="仿宋" w:eastAsia="仿宋" w:hAnsi="仿宋" w:cs="仿宋" w:hint="eastAsia"/>
          <w:color w:val="auto"/>
          <w:highlight w:val="none"/>
          <w:lang w:val="en-US" w:eastAsia="zh-CN"/>
        </w:rPr>
        <w:t xml:space="preserve">国有林管护1012.88万元、国有林修复面积-森林抚育314万元、国有林修复面积-综合修复费用219万元、胡杨林春尺蠖飞机防治费用135.6万元、鼠兔害综合防治费用9.6万元、应急分队保障费用17.33万元</w:t>
      </w:r>
      <w:r>
        <w:rPr>
          <w:rFonts w:ascii="仿宋" w:eastAsia="仿宋" w:hAnsi="仿宋" w:cs="仿宋" w:hint="eastAsia"/>
          <w:color w:val="auto"/>
          <w:highlight w:val="none"/>
        </w:rPr>
        <w:t xml:space="preserve">。</w:t>
      </w:r>
    </w:p>
    <w:p>
      <w:pPr>
        <w:bidi w:val="0"/>
        <w:jc w:val="both"/>
        <w:rPr>
          <w:rFonts w:ascii="仿宋" w:eastAsia="仿宋" w:hAnsi="仿宋" w:cs="仿宋" w:hint="eastAsia"/>
          <w:b/>
          <w:bCs/>
          <w:color w:val="auto"/>
          <w:highlight w:val="none"/>
        </w:rPr>
      </w:pPr>
      <w:bookmarkStart w:id="32" w:name="_Toc10837"/>
      <w:r>
        <w:rPr>
          <w:rFonts w:ascii="仿宋" w:eastAsia="仿宋" w:hAnsi="仿宋" w:cs="仿宋" w:hint="eastAsia"/>
          <w:b/>
          <w:bCs/>
          <w:color w:val="auto"/>
          <w:highlight w:val="none"/>
        </w:rPr>
        <w:t xml:space="preserve">5.资金使用情况</w:t>
      </w:r>
      <w:bookmarkEnd w:id="31"/>
      <w:bookmarkEnd w:id="32"/>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sz w:val="32"/>
          <w:szCs w:val="32"/>
          <w:highlight w:val="none"/>
          <w:lang w:eastAsia="zh-CN"/>
        </w:rPr>
        <w:t xml:space="preserve">年初预算数</w:t>
      </w:r>
      <w:r>
        <w:rPr>
          <w:rFonts w:ascii="仿宋" w:eastAsia="仿宋" w:hAnsi="仿宋" w:cs="仿宋" w:hint="eastAsia"/>
          <w:color w:val="auto"/>
          <w:highlight w:val="none"/>
          <w:lang w:val="en-US" w:eastAsia="zh-CN"/>
        </w:rPr>
        <w:t xml:space="preserve">1708.41</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实际到位资金</w:t>
      </w:r>
      <w:r>
        <w:rPr>
          <w:rFonts w:ascii="仿宋" w:eastAsia="仿宋" w:hAnsi="仿宋" w:cs="仿宋" w:hint="eastAsia"/>
          <w:color w:val="auto"/>
          <w:highlight w:val="none"/>
          <w:lang w:val="en-US" w:eastAsia="zh-CN"/>
        </w:rPr>
        <w:t xml:space="preserve">1708.41</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截</w:t>
      </w:r>
      <w:r>
        <w:rPr>
          <w:rFonts w:ascii="仿宋" w:eastAsia="仿宋" w:hAnsi="仿宋" w:cs="仿宋" w:hint="eastAsia"/>
          <w:color w:val="auto"/>
          <w:highlight w:val="none"/>
          <w:lang w:val="en-US" w:eastAsia="zh-CN"/>
        </w:rPr>
        <w:t xml:space="preserve">至</w:t>
      </w: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年12月31日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项目实际使用资金</w:t>
      </w:r>
      <w:r>
        <w:rPr>
          <w:rFonts w:ascii="仿宋" w:eastAsia="仿宋" w:hAnsi="仿宋" w:cs="仿宋" w:hint="eastAsia"/>
          <w:color w:val="auto"/>
          <w:highlight w:val="none"/>
          <w:lang w:val="en-US" w:eastAsia="zh-CN"/>
        </w:rPr>
        <w:t xml:space="preserve">1708.41</w:t>
      </w:r>
      <w:r>
        <w:rPr>
          <w:rFonts w:ascii="仿宋" w:eastAsia="仿宋" w:hAnsi="仿宋" w:cs="仿宋" w:hint="eastAsia"/>
          <w:color w:val="auto"/>
          <w:highlight w:val="none"/>
        </w:rPr>
        <w:t xml:space="preserve">万元，资金</w:t>
      </w:r>
      <w:r>
        <w:rPr>
          <w:rFonts w:ascii="仿宋" w:eastAsia="仿宋" w:hAnsi="仿宋" w:cs="仿宋" w:hint="eastAsia"/>
          <w:color w:val="auto"/>
          <w:highlight w:val="none"/>
          <w:lang w:val="en-US" w:eastAsia="zh-CN"/>
        </w:rPr>
        <w:t xml:space="preserve">使用</w:t>
      </w:r>
      <w:r>
        <w:rPr>
          <w:rFonts w:ascii="仿宋" w:eastAsia="仿宋" w:hAnsi="仿宋" w:cs="仿宋" w:hint="eastAsia"/>
          <w:color w:val="auto"/>
          <w:highlight w:val="none"/>
        </w:rPr>
        <w:t xml:space="preserve">率达到了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%。具体资金支付情况</w:t>
      </w:r>
      <w:r>
        <w:rPr>
          <w:rFonts w:ascii="仿宋" w:eastAsia="仿宋" w:hAnsi="仿宋" w:cs="仿宋" w:hint="eastAsia"/>
          <w:color w:val="auto"/>
          <w:highlight w:val="none"/>
          <w:lang w:val="en-US" w:eastAsia="zh-CN"/>
        </w:rPr>
        <w:t xml:space="preserve">如下</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2024年4月支付7.20万元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2024年5月支付108.14万元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2024年6月支付280.97万元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2024年7月支付79.55万元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2024年8月支付477.24万元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2024年9月支付172.94万元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2024年10月支付13.46万元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2024年11月支付332.55万元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2024年12月支付236.36万元</w:t>
      </w:r>
      <w:r>
        <w:rPr>
          <w:rFonts w:ascii="仿宋" w:eastAsia="仿宋" w:hAnsi="仿宋" w:cs="仿宋" w:hint="eastAsia"/>
          <w:color w:val="auto"/>
          <w:highlight w:val="none"/>
          <w:lang w:eastAsia="zh-CN"/>
        </w:rPr>
        <w:t xml:space="preserve">。</w:t>
      </w:r>
    </w:p>
    <w:p>
      <w:pPr>
        <w:pStyle w:val="Heading3"/>
        <w:bidi w:val="0"/>
        <w:jc w:val="both"/>
        <w:outlineLvl w:val="1"/>
        <w:rPr>
          <w:rFonts w:ascii="仿宋" w:eastAsia="仿宋" w:hAnsi="仿宋" w:cs="仿宋" w:hint="eastAsia"/>
          <w:color w:val="auto"/>
          <w:highlight w:val="none"/>
        </w:rPr>
      </w:pPr>
      <w:bookmarkStart w:id="33" w:name="_Toc14296"/>
      <w:bookmarkStart w:id="34" w:name="_Toc9567"/>
      <w:bookmarkStart w:id="35" w:name="_Toc25711"/>
      <w:bookmarkStart w:id="36" w:name="_Toc11967"/>
      <w:bookmarkStart w:id="37" w:name="_Toc31302"/>
      <w:bookmarkStart w:id="38" w:name="_Toc374"/>
      <w:bookmarkStart w:id="39" w:name="_Toc19445"/>
      <w:bookmarkStart w:id="40" w:name="_Toc26395"/>
      <w:r>
        <w:rPr>
          <w:rFonts w:ascii="仿宋" w:eastAsia="仿宋" w:hAnsi="仿宋" w:cs="仿宋" w:hint="eastAsia"/>
          <w:color w:val="auto"/>
          <w:highlight w:val="none"/>
        </w:rPr>
        <w:t xml:space="preserve">（二）项目绩效目标</w:t>
      </w:r>
      <w:bookmarkEnd w:id="33"/>
      <w:bookmarkEnd w:id="34"/>
      <w:bookmarkEnd w:id="35"/>
      <w:bookmarkEnd w:id="36"/>
      <w:bookmarkEnd w:id="37"/>
      <w:bookmarkEnd w:id="38"/>
      <w:bookmarkEnd w:id="39"/>
      <w:bookmarkEnd w:id="40"/>
    </w:p>
    <w:p>
      <w:pPr>
        <w:bidi w:val="0"/>
        <w:jc w:val="both"/>
        <w:rPr>
          <w:rFonts w:ascii="仿宋" w:eastAsia="仿宋" w:hAnsi="仿宋" w:cs="仿宋" w:hint="eastAsia"/>
          <w:b/>
          <w:bCs/>
          <w:color w:val="auto"/>
          <w:highlight w:val="none"/>
        </w:rPr>
      </w:pPr>
      <w:bookmarkStart w:id="41" w:name="_Toc18809"/>
      <w:bookmarkStart w:id="42" w:name="_Toc905"/>
      <w:r>
        <w:rPr>
          <w:rFonts w:ascii="仿宋" w:eastAsia="仿宋" w:hAnsi="仿宋" w:cs="仿宋" w:hint="eastAsia"/>
          <w:b/>
          <w:bCs/>
          <w:color w:val="auto"/>
          <w:highlight w:val="none"/>
        </w:rPr>
        <w:t xml:space="preserve">1.总体目标</w:t>
      </w:r>
      <w:bookmarkEnd w:id="41"/>
      <w:bookmarkEnd w:id="42"/>
    </w:p>
    <w:p>
      <w:pPr>
        <w:bidi w:val="0"/>
        <w:jc w:val="both"/>
        <w:rPr>
          <w:rFonts w:ascii="仿宋" w:eastAsia="仿宋" w:hAnsi="仿宋" w:cs="仿宋" w:hint="eastAsia"/>
          <w:color w:val="auto"/>
          <w:highlight w:val="none"/>
          <w:lang w:eastAsia="zh-CN"/>
        </w:rPr>
      </w:pPr>
      <w:bookmarkStart w:id="43" w:name="_Toc10045"/>
      <w:r>
        <w:rPr>
          <w:rFonts w:ascii="仿宋" w:eastAsia="仿宋" w:hAnsi="仿宋" w:cs="仿宋" w:hint="eastAsia"/>
          <w:color w:val="auto"/>
          <w:highlight w:val="none"/>
          <w:lang w:eastAsia="zh-CN"/>
        </w:rPr>
        <w:t xml:space="preserve">完成全县国家级公益林（国有林）管护面积245.69万亩，提升国家公益林管护水平；开展38万亩国有林修复，其中森林抚育2万亩，胡杨林春尺蠖防治20万亩，鼠兔害防治1万亩，国有林综合修复15万亩；对一支应急分队进行保障，开展培训2次，国有林管护补助兑现率100%，管护质量县级自查率100%，管护人员劳务报酬按时发放率100%，生态系统和生物多样性得到有效保护，森林生态系统生态效益发挥明显，林区职工及周边群众满意度不低于90%。</w:t>
      </w:r>
    </w:p>
    <w:p>
      <w:pPr>
        <w:bidi w:val="0"/>
        <w:jc w:val="both"/>
        <w:rPr>
          <w:rFonts w:ascii="仿宋" w:eastAsia="仿宋" w:hAnsi="仿宋" w:cs="仿宋" w:hint="eastAsia"/>
          <w:b/>
          <w:bCs/>
          <w:color w:val="auto"/>
          <w:highlight w:val="none"/>
        </w:rPr>
      </w:pPr>
      <w:bookmarkStart w:id="44" w:name="_Toc11195"/>
      <w:bookmarkStart w:id="45" w:name="OLE_LINK10"/>
      <w:r>
        <w:rPr>
          <w:rFonts w:ascii="仿宋" w:eastAsia="仿宋" w:hAnsi="仿宋" w:cs="仿宋" w:hint="eastAsia"/>
          <w:b/>
          <w:bCs/>
          <w:color w:val="auto"/>
          <w:highlight w:val="none"/>
        </w:rPr>
        <w:t xml:space="preserve">2.阶段性目标</w:t>
      </w:r>
      <w:bookmarkEnd w:id="43"/>
      <w:bookmarkEnd w:id="44"/>
    </w:p>
    <w:p>
      <w:pPr>
        <w:bidi w:val="0"/>
        <w:rPr>
          <w:rFonts w:ascii="仿宋" w:eastAsia="仿宋" w:hAnsi="仿宋" w:cs="仿宋" w:hint="eastAsia"/>
          <w:color w:val="auto"/>
          <w:highlight w:val="none"/>
          <w:lang w:val="en-US" w:eastAsia="zh-CN"/>
        </w:rPr>
      </w:pPr>
      <w:bookmarkStart w:id="46" w:name="_Toc6156"/>
      <w:bookmarkStart w:id="47" w:name="_Toc25321"/>
      <w:bookmarkStart w:id="48" w:name="_Toc31122"/>
      <w:bookmarkStart w:id="49" w:name="_Toc857"/>
      <w:bookmarkStart w:id="50" w:name="_Toc6534"/>
      <w:r>
        <w:rPr>
          <w:rFonts w:ascii="仿宋" w:eastAsia="仿宋" w:hAnsi="仿宋" w:cs="仿宋" w:hint="eastAsia"/>
          <w:color w:val="auto"/>
          <w:highlight w:val="none"/>
          <w:lang w:val="en-US" w:eastAsia="zh-CN"/>
        </w:rPr>
        <w:t xml:space="preserve">（1）开展245.69万亩国有公益林管护工作；</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（2）完成2万亩国有林森林抚育任务；</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（3）完成15万亩国有林综合修复任务；</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（4）进行20万亩胡杨林春尺蠖飞机防治工作；</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（5）进行1万亩鼠兔害综合防治工作；</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（6）采购森林草原防灭火应急分队防火物资；</w:t>
      </w:r>
    </w:p>
    <w:p>
      <w:pPr>
        <w:bidi w:val="0"/>
        <w:rPr>
          <w:rFonts w:ascii="仿宋" w:eastAsia="仿宋" w:hAnsi="仿宋" w:cs="仿宋" w:hint="eastAsia"/>
          <w:color w:val="auto"/>
          <w:szCs w:val="30"/>
          <w:highlight w:val="none"/>
          <w:lang w:val="en-US" w:eastAsia="zh-CN"/>
        </w:rPr>
      </w:pPr>
      <w:r>
        <w:rPr>
          <w:rFonts w:ascii="仿宋" w:eastAsia="仿宋" w:hAnsi="仿宋" w:cs="仿宋" w:hint="eastAsia"/>
          <w:color w:val="auto"/>
          <w:highlight w:val="none"/>
          <w:lang w:val="en-US" w:eastAsia="zh-CN"/>
        </w:rPr>
        <w:t xml:space="preserve">（7）组织对管护人员开展培训不少于2次。</w:t>
      </w:r>
      <w:bookmarkEnd w:id="45"/>
    </w:p>
    <w:p>
      <w:pPr>
        <w:pStyle w:val="Heading2"/>
        <w:bidi w:val="0"/>
        <w:jc w:val="both"/>
        <w:outlineLvl w:val="0"/>
        <w:rPr>
          <w:rFonts w:ascii="仿宋" w:eastAsia="仿宋" w:hAnsi="仿宋" w:cs="仿宋" w:hint="eastAsia"/>
          <w:color w:val="auto"/>
          <w:highlight w:val="none"/>
        </w:rPr>
      </w:pPr>
      <w:bookmarkStart w:id="51" w:name="_Toc23116"/>
      <w:bookmarkStart w:id="52" w:name="_Toc16223"/>
      <w:bookmarkStart w:id="53" w:name="_Toc19348"/>
      <w:r>
        <w:rPr>
          <w:rFonts w:ascii="仿宋" w:eastAsia="仿宋" w:hAnsi="仿宋" w:cs="仿宋" w:hint="eastAsia"/>
          <w:color w:val="auto"/>
          <w:highlight w:val="none"/>
        </w:rPr>
        <w:t xml:space="preserve">二、绩效评价工作开展情况</w:t>
      </w:r>
      <w:bookmarkEnd w:id="46"/>
      <w:bookmarkEnd w:id="47"/>
      <w:bookmarkEnd w:id="48"/>
      <w:bookmarkEnd w:id="49"/>
      <w:bookmarkEnd w:id="50"/>
      <w:bookmarkEnd w:id="51"/>
      <w:bookmarkEnd w:id="52"/>
      <w:bookmarkEnd w:id="53"/>
    </w:p>
    <w:p>
      <w:pPr>
        <w:pStyle w:val="Heading3"/>
        <w:bidi w:val="0"/>
        <w:jc w:val="both"/>
        <w:outlineLvl w:val="1"/>
        <w:rPr>
          <w:rFonts w:ascii="仿宋" w:eastAsia="仿宋" w:hAnsi="仿宋" w:cs="仿宋" w:hint="eastAsia"/>
          <w:color w:val="auto"/>
          <w:highlight w:val="none"/>
        </w:rPr>
      </w:pPr>
      <w:bookmarkStart w:id="54" w:name="_Toc5149"/>
      <w:bookmarkStart w:id="55" w:name="_Toc32557"/>
      <w:bookmarkStart w:id="56" w:name="_Toc30569"/>
      <w:bookmarkStart w:id="57" w:name="_Toc17410"/>
      <w:bookmarkStart w:id="58" w:name="_Toc17516"/>
      <w:bookmarkStart w:id="59" w:name="_Toc5032"/>
      <w:bookmarkStart w:id="60" w:name="_Toc10300"/>
      <w:r>
        <w:rPr>
          <w:rFonts w:ascii="仿宋" w:eastAsia="仿宋" w:hAnsi="仿宋" w:cs="仿宋" w:hint="eastAsia"/>
          <w:color w:val="auto"/>
          <w:highlight w:val="none"/>
        </w:rPr>
        <w:t xml:space="preserve">（一）绩效评价目的、对象和范围</w:t>
      </w:r>
      <w:bookmarkEnd w:id="54"/>
      <w:bookmarkEnd w:id="55"/>
      <w:bookmarkEnd w:id="56"/>
      <w:bookmarkEnd w:id="57"/>
      <w:bookmarkEnd w:id="58"/>
      <w:bookmarkEnd w:id="59"/>
      <w:bookmarkEnd w:id="60"/>
    </w:p>
    <w:p>
      <w:pPr>
        <w:bidi w:val="0"/>
        <w:jc w:val="both"/>
        <w:rPr>
          <w:rFonts w:ascii="仿宋" w:eastAsia="仿宋" w:hAnsi="仿宋" w:cs="仿宋" w:hint="eastAsia"/>
          <w:b/>
          <w:bCs/>
          <w:color w:val="auto"/>
          <w:highlight w:val="none"/>
        </w:rPr>
      </w:pPr>
      <w:bookmarkStart w:id="61" w:name="_Toc12440"/>
      <w:bookmarkStart w:id="62" w:name="_Toc11562"/>
      <w:r>
        <w:rPr>
          <w:rFonts w:ascii="仿宋" w:eastAsia="仿宋" w:hAnsi="仿宋" w:cs="仿宋" w:hint="eastAsia"/>
          <w:b/>
          <w:bCs/>
          <w:color w:val="auto"/>
          <w:highlight w:val="none"/>
        </w:rPr>
        <w:t xml:space="preserve">1.绩效评价目的</w:t>
      </w:r>
      <w:bookmarkEnd w:id="61"/>
      <w:bookmarkEnd w:id="62"/>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本次绩效评价遵循财政部《关于印发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项目支出绩效评价管理办法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的通知》（财预〔2020〕10号）文件精神，对</w:t>
      </w:r>
      <w:r>
        <w:rPr>
          <w:rFonts w:ascii="仿宋" w:eastAsia="仿宋" w:hAnsi="仿宋" w:cs="仿宋" w:hint="eastAsia"/>
          <w:color w:val="auto"/>
          <w:highlight w:val="none"/>
          <w:lang w:eastAsia="zh-CN"/>
        </w:rPr>
        <w:t xml:space="preserve">2024年中央林业草原生态保护恢复资金项目</w:t>
      </w:r>
      <w:r>
        <w:rPr>
          <w:rFonts w:ascii="仿宋" w:eastAsia="仿宋" w:hAnsi="仿宋" w:cs="仿宋" w:hint="eastAsia"/>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提升财政资金的使用效能。</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jc w:val="both"/>
        <w:rPr>
          <w:rFonts w:ascii="仿宋" w:eastAsia="仿宋" w:hAnsi="仿宋" w:cs="仿宋" w:hint="eastAsia"/>
          <w:b/>
          <w:bCs/>
          <w:color w:val="auto"/>
          <w:highlight w:val="none"/>
        </w:rPr>
      </w:pPr>
      <w:bookmarkStart w:id="63" w:name="_Toc8924"/>
      <w:bookmarkStart w:id="64" w:name="_Toc2159"/>
      <w:r>
        <w:rPr>
          <w:rFonts w:ascii="仿宋" w:eastAsia="仿宋" w:hAnsi="仿宋" w:cs="仿宋" w:hint="eastAsia"/>
          <w:b/>
          <w:bCs/>
          <w:color w:val="auto"/>
          <w:highlight w:val="none"/>
        </w:rPr>
        <w:t xml:space="preserve">2.绩效评价对象</w:t>
      </w:r>
      <w:bookmarkEnd w:id="63"/>
      <w:r>
        <w:rPr>
          <w:rFonts w:ascii="仿宋" w:eastAsia="仿宋" w:hAnsi="仿宋" w:cs="仿宋" w:hint="eastAsia"/>
          <w:b/>
          <w:bCs/>
          <w:color w:val="auto"/>
          <w:highlight w:val="none"/>
        </w:rPr>
        <w:t xml:space="preserve">和范围</w:t>
      </w:r>
      <w:bookmarkEnd w:id="64"/>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根据《财政支出绩效评价管理办法》（财预〔2020〕10号）文件要求，对</w:t>
      </w:r>
      <w:r>
        <w:rPr>
          <w:rFonts w:ascii="仿宋" w:eastAsia="仿宋" w:hAnsi="仿宋" w:cs="仿宋" w:hint="eastAsia"/>
          <w:color w:val="auto"/>
          <w:highlight w:val="none"/>
          <w:lang w:eastAsia="zh-CN"/>
        </w:rPr>
        <w:t xml:space="preserve">2024年中央林业草原生态保护恢复资金项目</w:t>
      </w:r>
      <w:r>
        <w:rPr>
          <w:rFonts w:ascii="仿宋" w:eastAsia="仿宋" w:hAnsi="仿宋" w:cs="仿宋" w:hint="eastAsia"/>
          <w:color w:val="auto"/>
          <w:highlight w:val="none"/>
        </w:rPr>
        <w:t xml:space="preserve">开展绩效评价，本次绩效评价范围主要围绕项目决策（包括项目</w:t>
      </w:r>
      <w:r>
        <w:rPr>
          <w:rFonts w:ascii="仿宋" w:eastAsia="仿宋" w:hAnsi="仿宋" w:cs="仿宋" w:hint="eastAsia"/>
          <w:color w:val="auto"/>
          <w:highlight w:val="none"/>
          <w:lang w:eastAsia="zh-CN"/>
        </w:rPr>
        <w:t xml:space="preserve">实施</w:t>
      </w:r>
      <w:r>
        <w:rPr>
          <w:rFonts w:ascii="仿宋" w:eastAsia="仿宋" w:hAnsi="仿宋" w:cs="仿宋" w:hint="eastAsia"/>
          <w:color w:val="auto"/>
          <w:highlight w:val="none"/>
        </w:rPr>
        <w:t xml:space="preserve">、绩效目标、资金投入）、项目过程（包括资金管理、组织实施）、项目产出（包括产出数量、质量、时效、成本）和项目效益等进行评价。</w:t>
      </w:r>
    </w:p>
    <w:p>
      <w:pPr>
        <w:pStyle w:val="Heading3"/>
        <w:bidi w:val="0"/>
        <w:jc w:val="both"/>
        <w:outlineLvl w:val="1"/>
        <w:rPr>
          <w:rFonts w:ascii="仿宋" w:eastAsia="仿宋" w:hAnsi="仿宋" w:cs="仿宋" w:hint="eastAsia"/>
          <w:color w:val="auto"/>
          <w:highlight w:val="none"/>
        </w:rPr>
      </w:pPr>
      <w:bookmarkStart w:id="65" w:name="_Toc15409"/>
      <w:bookmarkStart w:id="66" w:name="_Toc17158"/>
      <w:bookmarkStart w:id="67" w:name="_Toc18119"/>
      <w:bookmarkStart w:id="68" w:name="_Toc28339"/>
      <w:bookmarkStart w:id="69" w:name="_Toc988"/>
      <w:bookmarkStart w:id="70" w:name="_Toc13496"/>
      <w:bookmarkStart w:id="71" w:name="_Toc19566"/>
      <w:r>
        <w:rPr>
          <w:rFonts w:ascii="仿宋" w:eastAsia="仿宋" w:hAnsi="仿宋" w:cs="仿宋" w:hint="eastAsia"/>
          <w:color w:val="auto"/>
          <w:highlight w:val="none"/>
        </w:rPr>
        <w:t xml:space="preserve">（二）绩效评价原则、评价指标体系、评价方法、评价标准</w:t>
      </w:r>
      <w:bookmarkEnd w:id="65"/>
      <w:bookmarkEnd w:id="66"/>
      <w:bookmarkEnd w:id="67"/>
      <w:bookmarkEnd w:id="68"/>
      <w:bookmarkEnd w:id="69"/>
      <w:bookmarkEnd w:id="70"/>
      <w:bookmarkEnd w:id="71"/>
    </w:p>
    <w:p>
      <w:pPr>
        <w:bidi w:val="0"/>
        <w:jc w:val="both"/>
        <w:rPr>
          <w:rFonts w:ascii="仿宋" w:eastAsia="仿宋" w:hAnsi="仿宋" w:cs="仿宋" w:hint="eastAsia"/>
          <w:b/>
          <w:bCs/>
          <w:color w:val="auto"/>
          <w:highlight w:val="none"/>
        </w:rPr>
      </w:pPr>
      <w:bookmarkStart w:id="72" w:name="_Toc18268"/>
      <w:bookmarkStart w:id="73" w:name="_Toc23487"/>
      <w:r>
        <w:rPr>
          <w:rFonts w:ascii="仿宋" w:eastAsia="仿宋" w:hAnsi="仿宋" w:cs="仿宋" w:hint="eastAsia"/>
          <w:b/>
          <w:bCs/>
          <w:color w:val="auto"/>
          <w:highlight w:val="none"/>
        </w:rPr>
        <w:t xml:space="preserve">1.绩效评价原则</w:t>
      </w:r>
      <w:bookmarkEnd w:id="72"/>
      <w:bookmarkEnd w:id="73"/>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依据《中华人民共和国预算法》《中共中央国务院关于全面实施预算绩效管理的意见》（中发〔2018〕34号）《项目支出绩效评价管理办法》（财预〔2020〕10号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（1）科学公正。绩效评价应当运用科学合理的方法，按照规范的程序，对项目绩效进行客观、</w:t>
      </w:r>
      <w:r>
        <w:rPr>
          <w:rFonts w:ascii="仿宋" w:eastAsia="仿宋" w:hAnsi="仿宋" w:cs="仿宋" w:hint="eastAsia"/>
          <w:color w:val="auto"/>
          <w:highlight w:val="none"/>
          <w:lang w:eastAsia="zh-CN"/>
        </w:rPr>
        <w:t xml:space="preserve">公正地反映</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（2）统筹兼顾。单位自评应由项目单位自主实施，即“谁支出、谁自评”。</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（3）激励约束。绩效评价结果应与预算安排、政策调整、改进管理实质性挂钩，体现奖优罚劣和激励相容导向，有效要安排、低效要压减、无效要问责。</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r>
        <w:rPr>
          <w:rFonts w:ascii="仿宋" w:eastAsia="仿宋" w:hAnsi="仿宋" w:cs="仿宋" w:hint="eastAsia"/>
          <w:color w:val="auto"/>
          <w:highlight w:val="none"/>
          <w:lang w:val="en-US" w:eastAsia="zh-CN"/>
        </w:rPr>
        <w:t xml:space="preserve">本次项目支出绩效评价结果已依法依规在尉犁县人民政府网站上公开，并自觉接受社会监督</w:t>
      </w:r>
      <w:r>
        <w:rPr>
          <w:rFonts w:ascii="仿宋" w:eastAsia="仿宋" w:hAnsi="仿宋" w:cs="仿宋" w:hint="eastAsia"/>
          <w:color w:val="auto"/>
          <w:highlight w:val="none"/>
        </w:rPr>
        <w:t xml:space="preserve">。</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bookmarkStart w:id="74" w:name="_Toc28342"/>
      <w:bookmarkStart w:id="75" w:name="_Toc23112"/>
      <w:r>
        <w:rPr>
          <w:rFonts w:ascii="仿宋" w:eastAsia="仿宋" w:hAnsi="仿宋" w:cs="仿宋" w:hint="eastAsia"/>
          <w:color w:val="auto"/>
          <w:highlight w:val="none"/>
        </w:rPr>
        <w:t xml:space="preserve">根据以上原则</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（1）在数据采集时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采取客观数据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主管部门审查、社会中介组织复查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与问卷调查相结合的形式</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（2）保证评价结果的真实性、公正性</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（3）</w:t>
      </w:r>
      <w:r>
        <w:rPr>
          <w:rFonts w:ascii="仿宋" w:eastAsia="仿宋" w:hAnsi="仿宋" w:cs="仿宋" w:hint="eastAsia"/>
          <w:color w:val="auto"/>
          <w:highlight w:val="none"/>
          <w:lang w:val="en-US" w:eastAsia="zh-CN"/>
        </w:rPr>
        <w:t xml:space="preserve">绩效</w:t>
      </w:r>
      <w:r>
        <w:rPr>
          <w:rFonts w:ascii="仿宋" w:eastAsia="仿宋" w:hAnsi="仿宋" w:cs="仿宋" w:hint="eastAsia"/>
          <w:color w:val="auto"/>
          <w:highlight w:val="none"/>
        </w:rPr>
        <w:t xml:space="preserve">评价报告应当简明扼要</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除了对绩效评价的过程、结果描述外</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还应总结经验</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指出问题</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并就共性问题提出可操作性改进建议。评价工作组本着科学规范、公平公正、绩效相关的原则，采用全面、重点、现场和非现场相结合的方式进行评价。</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2.评价指标体系</w:t>
      </w:r>
      <w:bookmarkEnd w:id="74"/>
      <w:bookmarkEnd w:id="75"/>
    </w:p>
    <w:p>
      <w:pPr>
        <w:bidi w:val="0"/>
        <w:jc w:val="both"/>
        <w:rPr>
          <w:rFonts w:ascii="仿宋" w:eastAsia="仿宋" w:hAnsi="仿宋" w:cs="仿宋" w:hint="eastAsia"/>
          <w:color w:val="auto"/>
          <w:highlight w:val="none"/>
        </w:rPr>
      </w:pPr>
      <w:r>
        <w:rPr>
          <w:rFonts w:ascii="仿宋" w:eastAsia="仿宋" w:hAnsi="仿宋" w:cs="仿宋" w:hint="eastAsia"/>
          <w:b w:val="0"/>
          <w:bCs w:val="0"/>
          <w:color w:val="auto"/>
          <w:highlight w:val="none"/>
          <w:lang w:val="en-US" w:eastAsia="zh-CN"/>
        </w:rPr>
        <w:t xml:space="preserve">2024年中央林业草原生态保护恢复资金项目</w:t>
      </w:r>
      <w:r>
        <w:rPr>
          <w:rFonts w:ascii="仿宋" w:eastAsia="仿宋" w:hAnsi="仿宋" w:cs="仿宋" w:hint="eastAsia"/>
          <w:color w:val="auto"/>
          <w:highlight w:val="none"/>
        </w:rPr>
        <w:t xml:space="preserve">绩效评价（部门自评）指标体系的设计，是在充分掌握项目状况的基础上，形成了</w:t>
      </w:r>
      <w:r>
        <w:rPr>
          <w:rFonts w:ascii="仿宋" w:eastAsia="仿宋" w:hAnsi="仿宋" w:cs="仿宋" w:hint="eastAsia"/>
          <w:color w:val="auto"/>
          <w:highlight w:val="none"/>
          <w:lang w:eastAsia="zh-CN"/>
        </w:rPr>
        <w:t xml:space="preserve">2024年中央林业草原生态保护恢复资金项目</w:t>
      </w:r>
      <w:r>
        <w:rPr>
          <w:rFonts w:ascii="仿宋" w:eastAsia="仿宋" w:hAnsi="仿宋" w:cs="仿宋" w:hint="eastAsia"/>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按照财预〔2020〕10号文件关于“原则上产出、效益指标权重不低于60%”的要求，本项目产出、效益指标权重60%（即60分）。</w:t>
      </w:r>
      <w:bookmarkStart w:id="76" w:name="_Toc10631"/>
      <w:bookmarkStart w:id="77" w:name="_Toc15680"/>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详见：附表2</w:t>
      </w:r>
      <w:r>
        <w:rPr>
          <w:rFonts w:ascii="仿宋" w:eastAsia="仿宋" w:hAnsi="仿宋" w:cs="仿宋" w:hint="eastAsia"/>
          <w:color w:val="auto"/>
          <w:highlight w:val="none"/>
          <w:lang w:eastAsia="zh-CN"/>
        </w:rPr>
        <w:t xml:space="preserve">）</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3.绩效评价方法</w:t>
      </w:r>
      <w:bookmarkEnd w:id="76"/>
      <w:bookmarkEnd w:id="77"/>
    </w:p>
    <w:p>
      <w:pPr>
        <w:bidi w:val="0"/>
        <w:jc w:val="both"/>
        <w:rPr>
          <w:rFonts w:ascii="仿宋" w:eastAsia="仿宋" w:hAnsi="仿宋" w:cs="仿宋" w:hint="eastAsia"/>
          <w:color w:val="auto"/>
          <w:kern w:val="0"/>
          <w:sz w:val="32"/>
          <w:szCs w:val="32"/>
          <w:highlight w:val="none"/>
          <w:lang w:val="en-US" w:eastAsia="zh-CN"/>
        </w:rPr>
      </w:pPr>
      <w:r>
        <w:rPr>
          <w:rFonts w:ascii="仿宋" w:eastAsia="仿宋" w:hAnsi="仿宋" w:cs="仿宋" w:hint="eastAsia"/>
          <w:color w:val="auto"/>
          <w:kern w:val="0"/>
          <w:sz w:val="32"/>
          <w:szCs w:val="32"/>
          <w:highlight w:val="none"/>
          <w:lang w:val="en-US" w:eastAsia="zh-CN"/>
        </w:rPr>
        <w:t xml:space="preserve">绩效评价从项目决策、项目过程、项目产出、项目效益四个维度进行评价。评价对象为项目目标实施情况，评价核心为资金的支出完成情况和项目的产出效益。</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eastAsia="zh-CN"/>
        </w:rPr>
        <w:t xml:space="preserve">2024年中央林业草原生态保护恢复资金项目</w:t>
      </w:r>
      <w:r>
        <w:rPr>
          <w:rFonts w:ascii="仿宋" w:eastAsia="仿宋" w:hAnsi="仿宋" w:cs="仿宋" w:hint="eastAsia"/>
          <w:color w:val="auto"/>
          <w:highlight w:val="none"/>
        </w:rPr>
        <w:t xml:space="preserve">的特点，</w:t>
      </w:r>
      <w:bookmarkStart w:id="78" w:name="OLE_LINK3"/>
      <w:r>
        <w:rPr>
          <w:rFonts w:ascii="仿宋" w:eastAsia="仿宋" w:hAnsi="仿宋" w:cs="仿宋" w:hint="eastAsia"/>
          <w:color w:val="auto"/>
          <w:highlight w:val="none"/>
          <w:lang w:val="en-US" w:eastAsia="zh-CN"/>
        </w:rPr>
        <w:t xml:space="preserve">本次评价主要运用比较法</w:t>
      </w:r>
      <w:bookmarkStart w:id="79" w:name="OLE_LINK2"/>
      <w:r>
        <w:rPr>
          <w:rFonts w:ascii="仿宋" w:eastAsia="仿宋" w:hAnsi="仿宋" w:cs="仿宋" w:hint="eastAsia"/>
          <w:color w:val="auto"/>
          <w:highlight w:val="none"/>
          <w:lang w:val="en-US" w:eastAsia="zh-CN"/>
        </w:rPr>
        <w:t xml:space="preserve">、公众评判法</w:t>
      </w:r>
      <w:bookmarkEnd w:id="79"/>
      <w:r>
        <w:rPr>
          <w:rFonts w:ascii="仿宋" w:eastAsia="仿宋" w:hAnsi="仿宋" w:cs="仿宋" w:hint="eastAsia"/>
          <w:color w:val="auto"/>
          <w:highlight w:val="none"/>
          <w:lang w:val="en-US" w:eastAsia="zh-CN"/>
        </w:rPr>
        <w:t xml:space="preserve">，原因是：</w:t>
      </w:r>
      <w:bookmarkEnd w:id="78"/>
    </w:p>
    <w:p>
      <w:pPr>
        <w:bidi w:val="0"/>
        <w:jc w:val="both"/>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比较法：本项目绩效评价将项目实施情况即实际完成的国有林管护面积、国有林修复面积-森林抚育、国有林修复面积-综合修复、国有林修复面积-胡杨林春尺蠖飞机防治、国有林修复面积-鼠兔害综合防治、应急分队数量、各实施单位管护人员培训次数等指标与年初设定的目标值进行比较</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因此，采取的</w:t>
      </w:r>
      <w:r>
        <w:rPr>
          <w:rFonts w:ascii="仿宋" w:eastAsia="仿宋" w:hAnsi="仿宋" w:cs="仿宋" w:hint="eastAsia"/>
          <w:color w:val="auto"/>
          <w:highlight w:val="none"/>
        </w:rPr>
        <w:t xml:space="preserve">绩效评价方法</w:t>
      </w:r>
      <w:r>
        <w:rPr>
          <w:rFonts w:ascii="仿宋" w:eastAsia="仿宋" w:hAnsi="仿宋" w:cs="仿宋" w:hint="eastAsia"/>
          <w:color w:val="auto"/>
          <w:highlight w:val="none"/>
          <w:lang w:val="en-US" w:eastAsia="zh-CN"/>
        </w:rPr>
        <w:t xml:space="preserve">是</w:t>
      </w:r>
      <w:r>
        <w:rPr>
          <w:rFonts w:ascii="仿宋" w:eastAsia="仿宋" w:hAnsi="仿宋" w:cs="仿宋" w:hint="eastAsia"/>
          <w:color w:val="auto"/>
          <w:highlight w:val="none"/>
        </w:rPr>
        <w:t xml:space="preserve">：比较法</w:t>
      </w:r>
      <w:r>
        <w:rPr>
          <w:rFonts w:ascii="仿宋" w:eastAsia="仿宋" w:hAnsi="仿宋" w:cs="仿宋" w:hint="eastAsia"/>
          <w:color w:val="auto"/>
          <w:highlight w:val="none"/>
          <w:lang w:eastAsia="zh-CN"/>
        </w:rPr>
        <w:t xml:space="preserve">。</w:t>
      </w:r>
    </w:p>
    <w:p>
      <w:pPr>
        <w:rPr>
          <w:rFonts w:ascii="仿宋" w:eastAsia="仿宋" w:hAnsi="仿宋" w:cs="仿宋" w:hint="eastAsia"/>
          <w:b w:val="0"/>
          <w:bCs w:val="0"/>
          <w:color w:val="auto"/>
          <w:highlight w:val="none"/>
          <w:lang w:val="en-US" w:eastAsia="zh-CN"/>
        </w:rPr>
      </w:pPr>
      <w:bookmarkStart w:id="80" w:name="OLE_LINK4"/>
      <w:r>
        <w:rPr>
          <w:rFonts w:ascii="仿宋" w:eastAsia="仿宋" w:hAnsi="仿宋" w:cs="仿宋" w:hint="eastAsia"/>
          <w:b w:val="0"/>
          <w:bCs w:val="0"/>
          <w:color w:val="auto"/>
          <w:highlight w:val="none"/>
          <w:lang w:val="en-US" w:eastAsia="zh-CN"/>
        </w:rPr>
        <w:t xml:space="preserve">公共评判法：通过对林区职工</w:t>
      </w:r>
      <w:r>
        <w:rPr>
          <w:rFonts w:ascii="仿宋" w:eastAsia="仿宋" w:hAnsi="仿宋" w:cs="仿宋" w:hint="eastAsia"/>
          <w:color w:val="auto"/>
          <w:highlight w:val="none"/>
          <w:lang w:val="en-US" w:eastAsia="zh-CN"/>
        </w:rPr>
        <w:t xml:space="preserve">及周边群众进</w:t>
      </w:r>
      <w:r>
        <w:rPr>
          <w:rFonts w:ascii="仿宋" w:eastAsia="仿宋" w:hAnsi="仿宋" w:cs="仿宋" w:hint="eastAsia"/>
          <w:b w:val="0"/>
          <w:bCs w:val="0"/>
          <w:color w:val="auto"/>
          <w:highlight w:val="none"/>
          <w:lang w:val="en-US" w:eastAsia="zh-CN"/>
        </w:rPr>
        <w:t xml:space="preserve">行问卷及抽样调查等方式，评价本项目实施后受益对象对项目实施效果的满意程度，对财政资金使用效果进行评判，评价绩效目标实现程度。</w:t>
      </w:r>
      <w:bookmarkEnd w:id="80"/>
    </w:p>
    <w:p>
      <w:pPr>
        <w:bidi w:val="0"/>
        <w:jc w:val="both"/>
        <w:rPr>
          <w:rFonts w:ascii="仿宋" w:eastAsia="仿宋" w:hAnsi="仿宋" w:cs="仿宋" w:hint="eastAsia"/>
          <w:b/>
          <w:bCs/>
          <w:color w:val="auto"/>
          <w:highlight w:val="none"/>
        </w:rPr>
      </w:pPr>
      <w:bookmarkStart w:id="81" w:name="_Toc3155"/>
      <w:bookmarkStart w:id="82" w:name="_Toc15525"/>
      <w:r>
        <w:rPr>
          <w:rFonts w:ascii="仿宋" w:eastAsia="仿宋" w:hAnsi="仿宋" w:cs="仿宋" w:hint="eastAsia"/>
          <w:b/>
          <w:bCs/>
          <w:color w:val="auto"/>
          <w:highlight w:val="none"/>
        </w:rPr>
        <w:t xml:space="preserve">4.绩效评价标准</w:t>
      </w:r>
      <w:bookmarkEnd w:id="81"/>
      <w:bookmarkEnd w:id="82"/>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绩效评价标准通常包括计划标准、行业标准、历史标准等，用于对绩效指标完成情况进行比较。</w:t>
      </w:r>
    </w:p>
    <w:p>
      <w:pPr>
        <w:pStyle w:val="CommentText"/>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eastAsia="zh-CN"/>
        </w:rPr>
        <w:t xml:space="preserve">2024年中央林业草原生态保护恢复资金项目</w:t>
      </w:r>
      <w:r>
        <w:rPr>
          <w:rFonts w:ascii="仿宋" w:eastAsia="仿宋" w:hAnsi="仿宋" w:cs="仿宋" w:hint="eastAsia"/>
          <w:color w:val="auto"/>
          <w:highlight w:val="none"/>
        </w:rPr>
        <w:t xml:space="preserve">的特点，</w:t>
      </w:r>
      <w:bookmarkStart w:id="83" w:name="_Toc30219"/>
      <w:bookmarkStart w:id="84" w:name="_Toc17851"/>
      <w:bookmarkStart w:id="85" w:name="_Toc26411"/>
      <w:bookmarkStart w:id="86" w:name="_Toc15381"/>
      <w:r>
        <w:rPr>
          <w:rFonts w:ascii="仿宋" w:eastAsia="仿宋" w:hAnsi="仿宋" w:cs="仿宋" w:hint="eastAsia"/>
          <w:bCs/>
          <w:color w:val="auto"/>
          <w:kern w:val="2"/>
          <w:sz w:val="32"/>
          <w:szCs w:val="32"/>
          <w:highlight w:val="none"/>
          <w:lang w:val="en-US" w:eastAsia="zh-CN" w:bidi="ar-SA"/>
        </w:rPr>
        <w:t xml:space="preserve">本项目绩效评价以预先制定的</w:t>
      </w:r>
      <w:r>
        <w:rPr>
          <w:rFonts w:ascii="仿宋" w:eastAsia="仿宋" w:hAnsi="仿宋" w:cs="仿宋" w:hint="eastAsia"/>
          <w:color w:val="auto"/>
          <w:highlight w:val="none"/>
          <w:lang w:val="en-US" w:eastAsia="zh-CN"/>
        </w:rPr>
        <w:t xml:space="preserve">国有林管护面积、国有林修复面积-森林抚育、国有林修复面积-综合修复、国有林修复面积-胡杨林春尺蠖飞机防治、国有林修复面积-鼠兔害综合防治、应急分队数量、各实施单位管护人员培训次数</w:t>
      </w:r>
      <w:r>
        <w:rPr>
          <w:rFonts w:ascii="仿宋" w:eastAsia="仿宋" w:hAnsi="仿宋" w:cs="仿宋" w:hint="eastAsia"/>
          <w:bCs/>
          <w:color w:val="auto"/>
          <w:kern w:val="2"/>
          <w:sz w:val="32"/>
          <w:szCs w:val="32"/>
          <w:highlight w:val="none"/>
          <w:lang w:val="en-US" w:eastAsia="zh-CN" w:bidi="ar-SA"/>
        </w:rPr>
        <w:t xml:space="preserve">为计划数作为评价标准。因此，采取的绩效评价标准为：计划标准。</w:t>
      </w:r>
    </w:p>
    <w:p>
      <w:pPr>
        <w:pStyle w:val="Heading3"/>
        <w:bidi w:val="0"/>
        <w:jc w:val="both"/>
        <w:outlineLvl w:val="1"/>
        <w:rPr>
          <w:rFonts w:ascii="仿宋" w:eastAsia="仿宋" w:hAnsi="仿宋" w:cs="仿宋" w:hint="eastAsia"/>
          <w:color w:val="auto"/>
          <w:highlight w:val="none"/>
        </w:rPr>
      </w:pPr>
      <w:bookmarkStart w:id="87" w:name="_Toc75"/>
      <w:bookmarkStart w:id="88" w:name="_Toc24187"/>
      <w:bookmarkStart w:id="89" w:name="_Toc17536"/>
      <w:r>
        <w:rPr>
          <w:rFonts w:ascii="仿宋" w:eastAsia="仿宋" w:hAnsi="仿宋" w:cs="仿宋" w:hint="eastAsia"/>
          <w:color w:val="auto"/>
          <w:highlight w:val="none"/>
        </w:rPr>
        <w:t xml:space="preserve">（三）绩效评价工作过程</w:t>
      </w:r>
      <w:bookmarkEnd w:id="83"/>
      <w:bookmarkEnd w:id="84"/>
      <w:bookmarkEnd w:id="85"/>
      <w:bookmarkEnd w:id="86"/>
      <w:bookmarkEnd w:id="87"/>
      <w:bookmarkEnd w:id="88"/>
      <w:bookmarkEnd w:id="89"/>
    </w:p>
    <w:p>
      <w:pPr>
        <w:bidi w:val="0"/>
        <w:jc w:val="both"/>
        <w:rPr>
          <w:rFonts w:ascii="仿宋" w:eastAsia="仿宋" w:hAnsi="仿宋" w:cs="仿宋" w:hint="eastAsia"/>
          <w:b/>
          <w:bCs/>
          <w:color w:val="auto"/>
          <w:highlight w:val="none"/>
        </w:rPr>
      </w:pPr>
      <w:bookmarkStart w:id="90" w:name="_Toc30911"/>
      <w:bookmarkStart w:id="91" w:name="_Toc31054"/>
      <w:bookmarkStart w:id="92" w:name="_Toc17595"/>
      <w:bookmarkStart w:id="93" w:name="_Toc27442"/>
      <w:bookmarkStart w:id="94" w:name="_Toc22987"/>
      <w:bookmarkStart w:id="95" w:name="OLE_LINK19"/>
      <w:r>
        <w:rPr>
          <w:rFonts w:ascii="仿宋" w:eastAsia="仿宋" w:hAnsi="仿宋" w:cs="仿宋" w:hint="eastAsia"/>
          <w:b/>
          <w:bCs/>
          <w:color w:val="auto"/>
          <w:highlight w:val="none"/>
        </w:rPr>
        <w:t xml:space="preserve">1.前期准备</w:t>
      </w:r>
      <w:bookmarkEnd w:id="90"/>
      <w:bookmarkEnd w:id="91"/>
      <w:bookmarkEnd w:id="92"/>
      <w:bookmarkEnd w:id="93"/>
      <w:bookmarkEnd w:id="94"/>
      <w:bookmarkStart w:id="96" w:name="OLE_LINK5"/>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2025年2月10日-2025年2月28日</w:t>
      </w:r>
      <w:r>
        <w:rPr>
          <w:rFonts w:ascii="仿宋" w:eastAsia="仿宋" w:hAnsi="仿宋" w:cs="仿宋" w:hint="eastAsia"/>
          <w:b/>
          <w:bCs/>
          <w:color w:val="auto"/>
          <w:highlight w:val="none"/>
          <w:lang w:eastAsia="zh-CN"/>
        </w:rPr>
        <w:t xml:space="preserve">）</w:t>
      </w:r>
      <w:bookmarkEnd w:id="96"/>
    </w:p>
    <w:p>
      <w:pPr>
        <w:spacing w:line="600" w:lineRule="exact"/>
        <w:ind w:firstLine="640"/>
        <w:jc w:val="both"/>
        <w:rPr>
          <w:rFonts w:ascii="仿宋" w:eastAsia="仿宋" w:hAnsi="仿宋" w:cs="仿宋" w:hint="eastAsia"/>
          <w:bCs/>
          <w:color w:val="auto"/>
          <w:szCs w:val="32"/>
          <w:highlight w:val="none"/>
          <w:lang w:val="en-US" w:eastAsia="zh-CN"/>
        </w:rPr>
      </w:pPr>
      <w:bookmarkStart w:id="97" w:name="_Toc2579"/>
      <w:r>
        <w:rPr>
          <w:rFonts w:ascii="仿宋" w:eastAsia="仿宋" w:hAnsi="仿宋" w:cs="仿宋" w:hint="eastAsia"/>
          <w:bCs/>
          <w:color w:val="auto"/>
          <w:szCs w:val="32"/>
          <w:highlight w:val="none"/>
        </w:rPr>
        <w:t xml:space="preserve">按照《项目支出绩效评价管理办法》（财预〔2020〕10号）文件要求，</w:t>
      </w:r>
      <w:bookmarkStart w:id="98" w:name="OLE_LINK18"/>
      <w:r>
        <w:rPr>
          <w:rFonts w:ascii="仿宋" w:eastAsia="仿宋" w:hAnsi="仿宋" w:cs="仿宋" w:hint="eastAsia"/>
          <w:color w:val="auto"/>
          <w:highlight w:val="none"/>
          <w:lang w:val="en-US" w:eastAsia="zh-CN"/>
        </w:rPr>
        <w:t xml:space="preserve">尉犁</w:t>
      </w:r>
      <w:r>
        <w:rPr>
          <w:rFonts w:ascii="仿宋" w:eastAsia="仿宋" w:hAnsi="仿宋" w:cs="仿宋" w:hint="eastAsia"/>
          <w:color w:val="auto"/>
          <w:highlight w:val="none"/>
        </w:rPr>
        <w:t xml:space="preserve">县</w:t>
      </w:r>
      <w:r>
        <w:rPr>
          <w:rFonts w:ascii="仿宋" w:eastAsia="仿宋" w:hAnsi="仿宋" w:cs="仿宋" w:hint="eastAsia"/>
          <w:color w:val="auto"/>
          <w:highlight w:val="none"/>
          <w:lang w:val="en-US" w:eastAsia="zh-CN"/>
        </w:rPr>
        <w:t xml:space="preserve">林业和草原局</w:t>
      </w:r>
      <w:bookmarkEnd w:id="98"/>
      <w:r>
        <w:rPr>
          <w:rFonts w:ascii="仿宋" w:eastAsia="仿宋" w:hAnsi="仿宋" w:cs="仿宋" w:hint="eastAsia"/>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bookmarkStart w:id="99" w:name="OLE_LINK6"/>
      <w:r>
        <w:rPr>
          <w:rFonts w:ascii="仿宋" w:eastAsia="仿宋" w:hAnsi="仿宋" w:cs="仿宋" w:hint="eastAsia"/>
          <w:bCs/>
          <w:color w:val="auto"/>
          <w:szCs w:val="32"/>
          <w:highlight w:val="none"/>
          <w:lang w:val="en-US" w:eastAsia="zh-CN"/>
        </w:rPr>
        <w:t xml:space="preserve">绩效评价工作小组人员名单及分工如下：</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评价小组组长：艾海提·肉孜，主要负责协调相关科室、部门对项目整体运行情况进行验收、评估。</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评价小组组员：张翼，主要负责制定评价指标体系及评价标准。</w:t>
      </w:r>
    </w:p>
    <w:p>
      <w:pPr>
        <w:rPr>
          <w:rFonts w:ascii="仿宋" w:eastAsia="仿宋" w:hAnsi="仿宋" w:cs="仿宋" w:hint="eastAsia"/>
          <w:bCs/>
          <w:color w:val="auto"/>
          <w:szCs w:val="32"/>
          <w:highlight w:val="none"/>
        </w:rPr>
      </w:pPr>
      <w:r>
        <w:rPr>
          <w:rFonts w:ascii="仿宋" w:eastAsia="仿宋" w:hAnsi="仿宋" w:cs="仿宋" w:hint="eastAsia"/>
          <w:color w:val="auto"/>
          <w:highlight w:val="none"/>
          <w:lang w:val="en-US" w:eastAsia="zh-CN"/>
        </w:rPr>
        <w:t xml:space="preserve">评价小组组员：杨绍华，主要负责2024年中央林业草原生态保护恢复资金项目实施、监督、评估工作。</w:t>
      </w:r>
      <w:bookmarkEnd w:id="99"/>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2.组织实施</w:t>
      </w:r>
      <w:bookmarkEnd w:id="97"/>
      <w:bookmarkStart w:id="100" w:name="OLE_LINK7"/>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2025年3月1日-2025年3月10日</w:t>
      </w:r>
      <w:r>
        <w:rPr>
          <w:rFonts w:ascii="仿宋" w:eastAsia="仿宋" w:hAnsi="仿宋" w:cs="仿宋" w:hint="eastAsia"/>
          <w:b/>
          <w:bCs/>
          <w:color w:val="auto"/>
          <w:highlight w:val="none"/>
          <w:lang w:eastAsia="zh-CN"/>
        </w:rPr>
        <w:t xml:space="preserve">）</w:t>
      </w:r>
      <w:bookmarkEnd w:id="100"/>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评价的具体实施根据评价指标及评价工作要求，对具体评价内容和不同环节，采用以下取得的资料与评价方式。</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仿宋" w:eastAsia="仿宋" w:hAnsi="仿宋" w:cs="仿宋" w:hint="eastAsia"/>
          <w:b/>
          <w:bCs/>
          <w:color w:val="auto"/>
          <w:highlight w:val="none"/>
        </w:rPr>
      </w:pPr>
      <w:bookmarkStart w:id="101" w:name="_Toc19781"/>
      <w:r>
        <w:rPr>
          <w:rFonts w:ascii="仿宋" w:eastAsia="仿宋" w:hAnsi="仿宋" w:cs="仿宋" w:hint="eastAsia"/>
          <w:b/>
          <w:bCs/>
          <w:color w:val="auto"/>
          <w:highlight w:val="none"/>
        </w:rPr>
        <w:t xml:space="preserve">3.数据集中分析</w:t>
      </w:r>
      <w:bookmarkEnd w:id="101"/>
      <w:bookmarkStart w:id="102" w:name="OLE_LINK8"/>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2025年3月11日-2025年3月20日</w:t>
      </w:r>
      <w:r>
        <w:rPr>
          <w:rFonts w:ascii="仿宋" w:eastAsia="仿宋" w:hAnsi="仿宋" w:cs="仿宋" w:hint="eastAsia"/>
          <w:b/>
          <w:bCs/>
          <w:color w:val="auto"/>
          <w:highlight w:val="none"/>
          <w:lang w:eastAsia="zh-CN"/>
        </w:rPr>
        <w:t xml:space="preserve">）</w:t>
      </w:r>
      <w:bookmarkEnd w:id="102"/>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仿宋" w:eastAsia="仿宋" w:hAnsi="仿宋" w:cs="仿宋" w:hint="eastAsia"/>
          <w:b/>
          <w:bCs/>
          <w:color w:val="auto"/>
          <w:highlight w:val="none"/>
        </w:rPr>
      </w:pPr>
      <w:bookmarkStart w:id="103" w:name="_Toc5021"/>
      <w:r>
        <w:rPr>
          <w:rFonts w:ascii="仿宋" w:eastAsia="仿宋" w:hAnsi="仿宋" w:cs="仿宋" w:hint="eastAsia"/>
          <w:b/>
          <w:bCs/>
          <w:color w:val="auto"/>
          <w:highlight w:val="none"/>
        </w:rPr>
        <w:t xml:space="preserve">4.分析总结</w:t>
      </w:r>
      <w:bookmarkEnd w:id="103"/>
      <w:bookmarkStart w:id="104" w:name="OLE_LINK9"/>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2025年3月21日-2025年3月31日</w:t>
      </w:r>
      <w:r>
        <w:rPr>
          <w:rFonts w:ascii="仿宋" w:eastAsia="仿宋" w:hAnsi="仿宋" w:cs="仿宋" w:hint="eastAsia"/>
          <w:b/>
          <w:bCs/>
          <w:color w:val="auto"/>
          <w:highlight w:val="none"/>
          <w:lang w:eastAsia="zh-CN"/>
        </w:rPr>
        <w:t xml:space="preserve">）</w:t>
      </w:r>
      <w:bookmarkEnd w:id="104"/>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（1）根据部门自评的意见及考察、考评的结果进行整理、分析，撰写绩效评价报告初稿；</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（2）就部门自评报告与部门具体有关股室征求意见，形成最终的绩效评价报告。</w:t>
      </w:r>
      <w:bookmarkEnd w:id="95"/>
    </w:p>
    <w:p>
      <w:pPr>
        <w:rPr>
          <w:rFonts w:ascii="仿宋" w:eastAsia="仿宋" w:hAnsi="仿宋" w:cs="仿宋" w:hint="eastAsia"/>
          <w:b/>
          <w:bCs/>
          <w:color w:val="auto"/>
          <w:highlight w:val="none"/>
        </w:rPr>
      </w:pPr>
      <w:bookmarkStart w:id="105" w:name="_Toc31058"/>
      <w:bookmarkStart w:id="106" w:name="_Toc25201"/>
      <w:bookmarkStart w:id="107" w:name="_Toc32641"/>
      <w:bookmarkStart w:id="108" w:name="_Toc1808"/>
      <w:bookmarkStart w:id="109" w:name="_Toc9224"/>
      <w:bookmarkStart w:id="110" w:name="_Toc21627"/>
      <w:r>
        <w:rPr>
          <w:rFonts w:ascii="仿宋" w:eastAsia="仿宋" w:hAnsi="仿宋" w:cs="仿宋" w:hint="eastAsia"/>
          <w:b/>
          <w:bCs/>
          <w:color w:val="auto"/>
          <w:highlight w:val="none"/>
        </w:rPr>
        <w:t xml:space="preserve">5</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问题整改</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6</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档案整理</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建立和落实档案管理制度，将项目相关资料存档，包括但不限于：评价项目基本情况和相关文件、评价实施方案、项目支付资料等相关档案。</w:t>
      </w:r>
    </w:p>
    <w:p>
      <w:pPr>
        <w:pStyle w:val="Heading2"/>
        <w:bidi w:val="0"/>
        <w:jc w:val="both"/>
        <w:outlineLvl w:val="0"/>
        <w:rPr>
          <w:rFonts w:ascii="仿宋" w:eastAsia="仿宋" w:hAnsi="仿宋" w:cs="仿宋" w:hint="eastAsia"/>
          <w:color w:val="auto"/>
          <w:highlight w:val="none"/>
        </w:rPr>
      </w:pPr>
      <w:bookmarkStart w:id="111" w:name="_Toc3259"/>
      <w:bookmarkStart w:id="112" w:name="_Toc6823"/>
      <w:r>
        <w:rPr>
          <w:rFonts w:ascii="仿宋" w:eastAsia="仿宋" w:hAnsi="仿宋" w:cs="仿宋" w:hint="eastAsia"/>
          <w:color w:val="auto"/>
          <w:highlight w:val="none"/>
        </w:rPr>
        <w:t xml:space="preserve">三、综合评价情况及评价结论</w:t>
      </w:r>
      <w:bookmarkEnd w:id="105"/>
      <w:bookmarkEnd w:id="106"/>
      <w:bookmarkEnd w:id="107"/>
      <w:bookmarkEnd w:id="108"/>
      <w:bookmarkEnd w:id="109"/>
      <w:bookmarkEnd w:id="110"/>
      <w:bookmarkEnd w:id="111"/>
      <w:bookmarkEnd w:id="112"/>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本项目的绩效评价结果为“优”，综合评分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分。其中项目决策22分，项目过程1</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分，项目产出管理得分</w:t>
      </w:r>
      <w:r>
        <w:rPr>
          <w:rFonts w:ascii="仿宋" w:eastAsia="仿宋" w:hAnsi="仿宋" w:cs="仿宋" w:hint="eastAsia"/>
          <w:color w:val="auto"/>
          <w:highlight w:val="none"/>
          <w:lang w:val="en-US" w:eastAsia="zh-CN"/>
        </w:rPr>
        <w:t xml:space="preserve">40</w:t>
      </w:r>
      <w:r>
        <w:rPr>
          <w:rFonts w:ascii="仿宋" w:eastAsia="仿宋" w:hAnsi="仿宋" w:cs="仿宋" w:hint="eastAsia"/>
          <w:color w:val="auto"/>
          <w:highlight w:val="none"/>
        </w:rPr>
        <w:t xml:space="preserve">分，项目效益20分</w:t>
      </w:r>
      <w:r>
        <w:rPr>
          <w:rFonts w:ascii="仿宋" w:eastAsia="仿宋" w:hAnsi="仿宋" w:cs="仿宋" w:hint="eastAsia"/>
          <w:color w:val="auto"/>
          <w:highlight w:val="none"/>
          <w:lang w:val="en-US" w:eastAsia="zh-CN"/>
        </w:rPr>
        <w:t xml:space="preserve">。各部分权重和绩效汇总分值如下表所示：</w:t>
      </w:r>
    </w:p>
    <w:tbl>
      <w:tblPr>
        <w:tblStyle w:val="NormalTable"/>
        <w:tblW w:w="0" w:type="auto"/>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0" w:type="auto"/>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0"/>
            <w:tcMar>
              <w:top w:w="15" w:type="dxa"/>
              <w:left w:w="15" w:type="dxa"/>
              <w:bottom w:w="0" w:type="dxa"/>
              <w:right w:w="15" w:type="dxa"/>
            </w:tcMar>
            <w:vAlign w:val="center"/>
          </w:tcPr>
          <w:p>
            <w:pPr>
              <w:pStyle w:val="表格标题"/>
              <w:bidi w:val="0"/>
              <w:jc w:val="center"/>
              <w:rPr>
                <w:rFonts w:ascii="仿宋" w:eastAsia="仿宋" w:hAnsi="仿宋" w:cs="仿宋" w:hint="eastAsia"/>
                <w:color w:val="auto"/>
                <w:highlight w:val="none"/>
              </w:rPr>
            </w:pPr>
            <w:bookmarkStart w:id="113" w:name="_Toc21649"/>
            <w:bookmarkStart w:id="114" w:name="_Toc32170"/>
            <w:bookmarkStart w:id="115" w:name="_Toc17898"/>
            <w:bookmarkStart w:id="116" w:name="_Toc11565"/>
            <w:bookmarkStart w:id="117" w:name="_Toc20399"/>
            <w:bookmarkStart w:id="118" w:name="_Toc30727"/>
            <w:bookmarkStart w:id="119" w:name="_Toc17356"/>
            <w:r>
              <w:rPr>
                <w:rFonts w:ascii="仿宋" w:eastAsia="仿宋" w:hAnsi="仿宋" w:cs="仿宋" w:hint="eastAsia"/>
                <w:color w:val="auto"/>
                <w:highlight w:val="none"/>
                <w:lang w:eastAsia="zh-CN"/>
              </w:rPr>
              <w:t xml:space="preserve">2024年中央林业草原生态保护恢复资金项目</w:t>
            </w:r>
            <w:bookmarkEnd w:id="113"/>
            <w:bookmarkEnd w:id="114"/>
            <w:bookmarkEnd w:id="115"/>
            <w:bookmarkEnd w:id="116"/>
            <w:bookmarkEnd w:id="117"/>
          </w:p>
          <w:p>
            <w:pPr>
              <w:pStyle w:val="表格标题"/>
              <w:bidi w:val="0"/>
              <w:jc w:val="center"/>
              <w:rPr>
                <w:rFonts w:ascii="仿宋" w:eastAsia="仿宋" w:hAnsi="仿宋" w:cs="仿宋" w:hint="eastAsia"/>
                <w:color w:val="auto"/>
                <w:highlight w:val="none"/>
              </w:rPr>
            </w:pPr>
            <w:bookmarkStart w:id="120" w:name="_Toc31535"/>
            <w:bookmarkStart w:id="121" w:name="_Toc31451"/>
            <w:bookmarkStart w:id="122" w:name="_Toc10222"/>
            <w:bookmarkStart w:id="123" w:name="_Toc16086"/>
            <w:bookmarkStart w:id="124" w:name="_Toc7810"/>
            <w:bookmarkStart w:id="125" w:name="_Toc3703"/>
            <w:bookmarkStart w:id="126" w:name="_Toc7052"/>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bookmarkEnd w:id="120"/>
            <w:bookmarkEnd w:id="121"/>
            <w:bookmarkEnd w:id="122"/>
            <w:bookmarkEnd w:id="123"/>
            <w:bookmarkEnd w:id="124"/>
            <w:bookmarkEnd w:id="125"/>
            <w:bookmarkEnd w:id="126"/>
          </w:p>
        </w:tc>
      </w:tr>
      <w:tr>
        <w:tblPrEx>
          <w:tblW w:w="0" w:type="auto"/>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0" w:type="auto"/>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100</w:t>
            </w:r>
            <w:r>
              <w:rPr>
                <w:rFonts w:ascii="仿宋" w:eastAsia="仿宋" w:hAnsi="仿宋" w:cs="仿宋" w:hint="eastAsia"/>
                <w:color w:val="auto"/>
                <w:highlight w:val="none"/>
                <w:lang w:val="en-US" w:eastAsia="zh-CN"/>
              </w:rPr>
              <w:t xml:space="preserve">%</w:t>
            </w:r>
          </w:p>
        </w:tc>
      </w:tr>
      <w:tr>
        <w:tblPrEx>
          <w:tblW w:w="0" w:type="auto"/>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0" w:type="auto"/>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100</w:t>
            </w:r>
          </w:p>
        </w:tc>
      </w:tr>
    </w:tbl>
    <w:p>
      <w:pPr>
        <w:pStyle w:val="Heading2"/>
        <w:bidi w:val="0"/>
        <w:jc w:val="both"/>
        <w:outlineLvl w:val="0"/>
        <w:rPr>
          <w:rFonts w:ascii="仿宋" w:eastAsia="仿宋" w:hAnsi="仿宋" w:cs="仿宋" w:hint="eastAsia"/>
          <w:color w:val="auto"/>
          <w:highlight w:val="none"/>
        </w:rPr>
      </w:pPr>
      <w:bookmarkStart w:id="127" w:name="_Toc17389"/>
      <w:bookmarkStart w:id="128" w:name="_Toc13630"/>
      <w:bookmarkStart w:id="129" w:name="_Toc20394"/>
      <w:bookmarkStart w:id="130" w:name="_Toc20679"/>
      <w:bookmarkStart w:id="131" w:name="_Toc29439"/>
      <w:bookmarkStart w:id="132" w:name="_Toc4904"/>
      <w:r>
        <w:rPr>
          <w:rFonts w:ascii="仿宋" w:eastAsia="仿宋" w:hAnsi="仿宋" w:cs="仿宋" w:hint="eastAsia"/>
          <w:color w:val="auto"/>
          <w:highlight w:val="none"/>
        </w:rPr>
        <w:t xml:space="preserve">四、绩效评价指标分析</w:t>
      </w:r>
      <w:bookmarkEnd w:id="118"/>
      <w:bookmarkEnd w:id="119"/>
      <w:bookmarkEnd w:id="127"/>
      <w:bookmarkEnd w:id="128"/>
      <w:bookmarkEnd w:id="129"/>
      <w:bookmarkEnd w:id="130"/>
      <w:bookmarkEnd w:id="131"/>
      <w:bookmarkEnd w:id="132"/>
    </w:p>
    <w:p>
      <w:pPr>
        <w:pStyle w:val="Heading3"/>
        <w:bidi w:val="0"/>
        <w:jc w:val="both"/>
        <w:outlineLvl w:val="1"/>
        <w:rPr>
          <w:rFonts w:ascii="仿宋" w:eastAsia="仿宋" w:hAnsi="仿宋" w:cs="仿宋" w:hint="eastAsia"/>
          <w:color w:val="auto"/>
          <w:highlight w:val="none"/>
        </w:rPr>
      </w:pPr>
      <w:bookmarkStart w:id="133" w:name="_Toc22323"/>
      <w:bookmarkStart w:id="134" w:name="_Toc1968"/>
      <w:bookmarkStart w:id="135" w:name="_Toc2901"/>
      <w:bookmarkStart w:id="136" w:name="_Toc28477"/>
      <w:bookmarkStart w:id="137" w:name="_Toc18969"/>
      <w:bookmarkStart w:id="138" w:name="_Toc17288"/>
      <w:bookmarkStart w:id="139" w:name="_Toc27742"/>
      <w:r>
        <w:rPr>
          <w:rFonts w:ascii="仿宋" w:eastAsia="仿宋" w:hAnsi="仿宋" w:cs="仿宋" w:hint="eastAsia"/>
          <w:color w:val="auto"/>
          <w:highlight w:val="none"/>
        </w:rPr>
        <w:t xml:space="preserve">（一）项目决策情况</w:t>
      </w:r>
      <w:bookmarkEnd w:id="133"/>
      <w:bookmarkEnd w:id="134"/>
      <w:bookmarkEnd w:id="135"/>
      <w:bookmarkEnd w:id="136"/>
      <w:bookmarkEnd w:id="137"/>
      <w:bookmarkEnd w:id="138"/>
      <w:bookmarkEnd w:id="139"/>
    </w:p>
    <w:p>
      <w:pPr>
        <w:bidi w:val="0"/>
        <w:jc w:val="both"/>
        <w:rPr>
          <w:rFonts w:ascii="仿宋" w:eastAsia="仿宋" w:hAnsi="仿宋" w:cs="仿宋" w:hint="eastAsia"/>
          <w:b/>
          <w:bCs/>
          <w:color w:val="auto"/>
          <w:highlight w:val="none"/>
        </w:rPr>
      </w:pPr>
      <w:bookmarkStart w:id="140" w:name="_Toc510"/>
      <w:bookmarkStart w:id="141" w:name="_Toc22511"/>
      <w:r>
        <w:rPr>
          <w:rFonts w:ascii="仿宋" w:eastAsia="仿宋" w:hAnsi="仿宋" w:cs="仿宋" w:hint="eastAsia"/>
          <w:b/>
          <w:bCs/>
          <w:color w:val="auto"/>
          <w:highlight w:val="none"/>
        </w:rPr>
        <w:t xml:space="preserve">1.</w:t>
      </w:r>
      <w:bookmarkEnd w:id="140"/>
      <w:bookmarkEnd w:id="141"/>
      <w:r>
        <w:rPr>
          <w:rFonts w:ascii="仿宋" w:eastAsia="仿宋" w:hAnsi="仿宋" w:cs="仿宋" w:hint="eastAsia"/>
          <w:b/>
          <w:bCs/>
          <w:color w:val="auto"/>
          <w:highlight w:val="none"/>
        </w:rPr>
        <w:t xml:space="preserve">实施依据充分性</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关于印发中央财政林业草原项目入库指南的通知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新林规发</w:t>
      </w: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val="en-US" w:eastAsia="zh-CN"/>
        </w:rPr>
        <w:t xml:space="preserve">中森林保护修复项目，国有林生态修复等支持内容</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符合行业发展规划和政策要求</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（1）本项目申报和审批符合国家法律法规、国民经济发展规划和相关政策；</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（2）本项目申报和审批符合行业发展规划和政策要求；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与部门职责范围相符，属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（4）本项目属于公共财政支持范围，符合中央、地方事权支出责任划分原则；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（5）本项目与相关部门同类项目或部门内部相关项目</w:t>
      </w:r>
      <w:r>
        <w:rPr>
          <w:rFonts w:ascii="仿宋" w:eastAsia="仿宋" w:hAnsi="仿宋" w:cs="仿宋" w:hint="eastAsia"/>
          <w:color w:val="auto"/>
          <w:highlight w:val="none"/>
          <w:lang w:val="en-US" w:eastAsia="zh-CN"/>
        </w:rPr>
        <w:t xml:space="preserve">不</w:t>
      </w:r>
      <w:r>
        <w:rPr>
          <w:rFonts w:ascii="仿宋" w:eastAsia="仿宋" w:hAnsi="仿宋" w:cs="仿宋" w:hint="eastAsia"/>
          <w:color w:val="auto"/>
          <w:highlight w:val="none"/>
        </w:rPr>
        <w:t xml:space="preserve">重复。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jc w:val="both"/>
        <w:rPr>
          <w:rFonts w:ascii="仿宋" w:eastAsia="仿宋" w:hAnsi="仿宋" w:cs="仿宋" w:hint="eastAsia"/>
          <w:b/>
          <w:bCs/>
          <w:color w:val="auto"/>
          <w:highlight w:val="none"/>
        </w:rPr>
      </w:pPr>
      <w:bookmarkStart w:id="142" w:name="_Toc27895"/>
      <w:bookmarkStart w:id="143" w:name="_Toc283"/>
      <w:r>
        <w:rPr>
          <w:rFonts w:ascii="仿宋" w:eastAsia="仿宋" w:hAnsi="仿宋" w:cs="仿宋" w:hint="eastAsia"/>
          <w:b/>
          <w:bCs/>
          <w:color w:val="auto"/>
          <w:highlight w:val="none"/>
        </w:rPr>
        <w:t xml:space="preserve">2.</w:t>
      </w:r>
      <w:bookmarkEnd w:id="142"/>
      <w:bookmarkEnd w:id="143"/>
      <w:r>
        <w:rPr>
          <w:rFonts w:ascii="仿宋" w:eastAsia="仿宋" w:hAnsi="仿宋" w:cs="仿宋" w:hint="eastAsia"/>
          <w:b/>
          <w:bCs/>
          <w:color w:val="auto"/>
          <w:highlight w:val="none"/>
        </w:rPr>
        <w:t xml:space="preserve">实施程序规范性</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本项目实施单位</w:t>
      </w:r>
      <w:r>
        <w:rPr>
          <w:rFonts w:ascii="仿宋" w:eastAsia="仿宋" w:hAnsi="仿宋" w:cs="仿宋" w:hint="eastAsia"/>
          <w:color w:val="auto"/>
          <w:highlight w:val="none"/>
          <w:lang w:val="en-US" w:eastAsia="zh-CN"/>
        </w:rPr>
        <w:t xml:space="preserve">尉犁县林业和草原局组织</w:t>
      </w:r>
      <w:r>
        <w:rPr>
          <w:rFonts w:ascii="仿宋" w:eastAsia="仿宋" w:hAnsi="仿宋" w:cs="仿宋" w:hint="eastAsia"/>
          <w:color w:val="auto"/>
          <w:highlight w:val="none"/>
        </w:rPr>
        <w:t xml:space="preserve">编制了</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2024年中央林业草原生态保护恢复资金项目实施方案》</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月完成</w:t>
      </w:r>
      <w:r>
        <w:rPr>
          <w:rFonts w:ascii="仿宋" w:eastAsia="仿宋" w:hAnsi="仿宋" w:cs="仿宋" w:hint="eastAsia"/>
          <w:color w:val="auto"/>
          <w:highlight w:val="none"/>
          <w:lang w:eastAsia="zh-CN"/>
        </w:rPr>
        <w:t xml:space="preserve">实施方案</w:t>
      </w:r>
      <w:r>
        <w:rPr>
          <w:rFonts w:ascii="仿宋" w:eastAsia="仿宋" w:hAnsi="仿宋" w:cs="仿宋" w:hint="eastAsia"/>
          <w:color w:val="auto"/>
          <w:highlight w:val="none"/>
        </w:rPr>
        <w:t xml:space="preserve">编制。本项目实施资料</w:t>
      </w:r>
      <w:r>
        <w:rPr>
          <w:rFonts w:ascii="仿宋" w:eastAsia="仿宋" w:hAnsi="仿宋" w:cs="仿宋" w:hint="eastAsia"/>
          <w:color w:val="auto"/>
          <w:highlight w:val="none"/>
          <w:lang w:val="en-US" w:eastAsia="zh-CN"/>
        </w:rPr>
        <w:t xml:space="preserve">齐全</w:t>
      </w:r>
      <w:r>
        <w:rPr>
          <w:rFonts w:ascii="仿宋" w:eastAsia="仿宋" w:hAnsi="仿宋" w:cs="仿宋" w:hint="eastAsia"/>
          <w:color w:val="auto"/>
          <w:highlight w:val="none"/>
        </w:rPr>
        <w:t xml:space="preserve">全，实施程序规范；审批文件、材料符合相关要求，事前已经过必要的集体决策，实施程序规范。</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jc w:val="both"/>
        <w:rPr>
          <w:rFonts w:ascii="仿宋" w:eastAsia="仿宋" w:hAnsi="仿宋" w:cs="仿宋" w:hint="eastAsia"/>
          <w:b/>
          <w:bCs/>
          <w:color w:val="auto"/>
          <w:highlight w:val="none"/>
        </w:rPr>
      </w:pPr>
      <w:bookmarkStart w:id="144" w:name="_Toc13368"/>
      <w:bookmarkStart w:id="145" w:name="_Toc20471"/>
      <w:r>
        <w:rPr>
          <w:rFonts w:ascii="仿宋" w:eastAsia="仿宋" w:hAnsi="仿宋" w:cs="仿宋" w:hint="eastAsia"/>
          <w:b/>
          <w:bCs/>
          <w:color w:val="auto"/>
          <w:highlight w:val="none"/>
        </w:rPr>
        <w:t xml:space="preserve">3.绩效目标合理性</w:t>
      </w:r>
      <w:bookmarkEnd w:id="144"/>
      <w:bookmarkEnd w:id="145"/>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2024年中央林业草原生态保护恢复资金项目</w:t>
      </w:r>
      <w:r>
        <w:rPr>
          <w:rFonts w:ascii="仿宋" w:eastAsia="仿宋" w:hAnsi="仿宋" w:cs="仿宋"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46" w:name="_Toc21087"/>
      <w:bookmarkStart w:id="147" w:name="_Toc15543"/>
      <w:r>
        <w:rPr>
          <w:rFonts w:ascii="仿宋" w:eastAsia="仿宋" w:hAnsi="仿宋" w:cs="仿宋" w:hint="eastAsia"/>
          <w:b/>
          <w:bCs/>
          <w:color w:val="auto"/>
          <w:highlight w:val="none"/>
        </w:rPr>
        <w:t xml:space="preserve">4.绩效指标明确性</w:t>
      </w:r>
      <w:bookmarkEnd w:id="146"/>
      <w:bookmarkEnd w:id="147"/>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2024年中央林业草原生态保护恢复资金项目</w:t>
      </w:r>
      <w:r>
        <w:rPr>
          <w:rFonts w:ascii="仿宋" w:eastAsia="仿宋" w:hAnsi="仿宋" w:cs="仿宋" w:hint="eastAsia"/>
          <w:color w:val="auto"/>
          <w:highlight w:val="none"/>
        </w:rPr>
        <w:t xml:space="preserve">，设置一级指标</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条，二级指标</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条，三级指标</w:t>
      </w:r>
      <w:r>
        <w:rPr>
          <w:rFonts w:ascii="仿宋" w:eastAsia="仿宋" w:hAnsi="仿宋" w:cs="仿宋" w:hint="eastAsia"/>
          <w:color w:val="auto"/>
          <w:highlight w:val="none"/>
          <w:lang w:val="en-US" w:eastAsia="zh-CN"/>
        </w:rPr>
        <w:t xml:space="preserve">19</w:t>
      </w:r>
      <w:r>
        <w:rPr>
          <w:rFonts w:ascii="仿宋" w:eastAsia="仿宋" w:hAnsi="仿宋" w:cs="仿宋" w:hint="eastAsia"/>
          <w:color w:val="auto"/>
          <w:highlight w:val="none"/>
        </w:rPr>
        <w:t xml:space="preserve">条，其中量化指标</w:t>
      </w:r>
      <w:r>
        <w:rPr>
          <w:rFonts w:ascii="仿宋" w:eastAsia="仿宋" w:hAnsi="仿宋" w:cs="仿宋" w:hint="eastAsia"/>
          <w:color w:val="auto"/>
          <w:highlight w:val="none"/>
          <w:lang w:val="en-US" w:eastAsia="zh-CN"/>
        </w:rPr>
        <w:t xml:space="preserve">17</w:t>
      </w:r>
      <w:r>
        <w:rPr>
          <w:rFonts w:ascii="仿宋" w:eastAsia="仿宋" w:hAnsi="仿宋" w:cs="仿宋" w:hint="eastAsia"/>
          <w:color w:val="auto"/>
          <w:highlight w:val="none"/>
        </w:rPr>
        <w:t xml:space="preserve">条，绩效目标指标设定清晰、可衡量性较强，与项目目标任务计划数对应性较强。</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48" w:name="_Toc21476"/>
      <w:bookmarkStart w:id="149" w:name="_Toc25638"/>
      <w:r>
        <w:rPr>
          <w:rFonts w:ascii="仿宋" w:eastAsia="仿宋" w:hAnsi="仿宋" w:cs="仿宋" w:hint="eastAsia"/>
          <w:b/>
          <w:bCs/>
          <w:color w:val="auto"/>
          <w:highlight w:val="none"/>
        </w:rPr>
        <w:t xml:space="preserve">5.预算编制科学性</w:t>
      </w:r>
      <w:bookmarkEnd w:id="148"/>
      <w:bookmarkEnd w:id="149"/>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1708.41</w:t>
      </w:r>
      <w:r>
        <w:rPr>
          <w:rFonts w:ascii="仿宋" w:eastAsia="仿宋" w:hAnsi="仿宋" w:cs="仿宋" w:hint="eastAsia"/>
          <w:color w:val="auto"/>
          <w:highlight w:val="none"/>
        </w:rPr>
        <w:t xml:space="preserve">万元，来源为</w:t>
      </w:r>
      <w:r>
        <w:rPr>
          <w:rFonts w:ascii="仿宋" w:eastAsia="仿宋" w:hAnsi="仿宋" w:cs="仿宋" w:hint="eastAsia"/>
          <w:color w:val="auto"/>
          <w:highlight w:val="none"/>
          <w:lang w:val="en-US" w:eastAsia="zh-CN"/>
        </w:rPr>
        <w:t xml:space="preserve">中央财政</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1708.41万元</w:t>
      </w:r>
      <w:r>
        <w:rPr>
          <w:rFonts w:ascii="仿宋" w:eastAsia="仿宋" w:hAnsi="仿宋" w:cs="仿宋" w:hint="eastAsia"/>
          <w:color w:val="auto"/>
          <w:highlight w:val="none"/>
        </w:rPr>
        <w:t xml:space="preserve">，预算编制较为科学，预算内容与项目建设内容相匹配，预算额度测算依据充分，预算确定的资金量与工程量相匹配。</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50" w:name="_Toc30661"/>
      <w:bookmarkStart w:id="151" w:name="_Toc21577"/>
      <w:r>
        <w:rPr>
          <w:rFonts w:ascii="仿宋" w:eastAsia="仿宋" w:hAnsi="仿宋" w:cs="仿宋" w:hint="eastAsia"/>
          <w:b/>
          <w:bCs/>
          <w:color w:val="auto"/>
          <w:highlight w:val="none"/>
        </w:rPr>
        <w:t xml:space="preserve">6.资金分配合理性</w:t>
      </w:r>
      <w:bookmarkEnd w:id="150"/>
      <w:bookmarkEnd w:id="151"/>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本项目预算资金分配依据充分；资金分配额度合理，与项目单位实际相适应。</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pStyle w:val="Heading3"/>
        <w:bidi w:val="0"/>
        <w:jc w:val="both"/>
        <w:outlineLvl w:val="1"/>
        <w:rPr>
          <w:rFonts w:ascii="仿宋" w:eastAsia="仿宋" w:hAnsi="仿宋" w:cs="仿宋" w:hint="eastAsia"/>
          <w:color w:val="auto"/>
          <w:highlight w:val="none"/>
        </w:rPr>
      </w:pPr>
      <w:bookmarkStart w:id="152" w:name="_Toc30992"/>
      <w:bookmarkStart w:id="153" w:name="_Toc13442"/>
      <w:bookmarkStart w:id="154" w:name="_Toc27743"/>
      <w:bookmarkStart w:id="155" w:name="_Toc6743"/>
      <w:bookmarkStart w:id="156" w:name="_Toc27855"/>
      <w:bookmarkStart w:id="157" w:name="_Toc26989"/>
      <w:bookmarkStart w:id="158" w:name="_Toc9897"/>
      <w:r>
        <w:rPr>
          <w:rFonts w:ascii="仿宋" w:eastAsia="仿宋" w:hAnsi="仿宋" w:cs="仿宋" w:hint="eastAsia"/>
          <w:color w:val="auto"/>
          <w:highlight w:val="none"/>
        </w:rPr>
        <w:t xml:space="preserve">（二）项目过程情况</w:t>
      </w:r>
      <w:bookmarkEnd w:id="152"/>
      <w:bookmarkEnd w:id="153"/>
      <w:bookmarkEnd w:id="154"/>
      <w:bookmarkEnd w:id="155"/>
      <w:bookmarkEnd w:id="156"/>
      <w:bookmarkEnd w:id="157"/>
      <w:bookmarkEnd w:id="158"/>
    </w:p>
    <w:p>
      <w:pPr>
        <w:bidi w:val="0"/>
        <w:jc w:val="both"/>
        <w:rPr>
          <w:rFonts w:ascii="仿宋" w:eastAsia="仿宋" w:hAnsi="仿宋" w:cs="仿宋" w:hint="eastAsia"/>
          <w:b/>
          <w:bCs/>
          <w:color w:val="auto"/>
          <w:highlight w:val="none"/>
        </w:rPr>
      </w:pPr>
      <w:bookmarkStart w:id="159" w:name="_Toc19854"/>
      <w:bookmarkStart w:id="160" w:name="_Toc29417"/>
      <w:r>
        <w:rPr>
          <w:rFonts w:ascii="仿宋" w:eastAsia="仿宋" w:hAnsi="仿宋" w:cs="仿宋" w:hint="eastAsia"/>
          <w:b/>
          <w:bCs/>
          <w:color w:val="auto"/>
          <w:highlight w:val="none"/>
        </w:rPr>
        <w:t xml:space="preserve">1.资金到位率</w:t>
      </w:r>
      <w:bookmarkEnd w:id="159"/>
      <w:bookmarkEnd w:id="160"/>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1708.41</w:t>
      </w:r>
      <w:r>
        <w:rPr>
          <w:rFonts w:ascii="仿宋" w:eastAsia="仿宋" w:hAnsi="仿宋" w:cs="仿宋" w:hint="eastAsia"/>
          <w:color w:val="auto"/>
          <w:highlight w:val="none"/>
        </w:rPr>
        <w:t xml:space="preserve">万元，实际到位资金</w:t>
      </w:r>
      <w:r>
        <w:rPr>
          <w:rFonts w:ascii="仿宋" w:eastAsia="仿宋" w:hAnsi="仿宋" w:cs="仿宋" w:hint="eastAsia"/>
          <w:color w:val="auto"/>
          <w:highlight w:val="none"/>
          <w:lang w:val="en-US" w:eastAsia="zh-CN"/>
        </w:rPr>
        <w:t xml:space="preserve">1708.41</w:t>
      </w:r>
      <w:r>
        <w:rPr>
          <w:rFonts w:ascii="仿宋" w:eastAsia="仿宋" w:hAnsi="仿宋" w:cs="仿宋" w:hint="eastAsia"/>
          <w:color w:val="auto"/>
          <w:highlight w:val="none"/>
        </w:rPr>
        <w:t xml:space="preserve">万元，资金到位率100%。</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61" w:name="_Toc29889"/>
      <w:bookmarkStart w:id="162" w:name="_Toc13724"/>
      <w:r>
        <w:rPr>
          <w:rFonts w:ascii="仿宋" w:eastAsia="仿宋" w:hAnsi="仿宋" w:cs="仿宋" w:hint="eastAsia"/>
          <w:b/>
          <w:bCs/>
          <w:color w:val="auto"/>
          <w:highlight w:val="none"/>
        </w:rPr>
        <w:t xml:space="preserve">2.预算执行率</w:t>
      </w:r>
      <w:bookmarkEnd w:id="161"/>
      <w:bookmarkEnd w:id="162"/>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本项目到位资金</w:t>
      </w:r>
      <w:r>
        <w:rPr>
          <w:rFonts w:ascii="仿宋" w:eastAsia="仿宋" w:hAnsi="仿宋" w:cs="仿宋" w:hint="eastAsia"/>
          <w:color w:val="auto"/>
          <w:highlight w:val="none"/>
          <w:lang w:val="en-US" w:eastAsia="zh-CN"/>
        </w:rPr>
        <w:t xml:space="preserve">1708.41</w:t>
      </w:r>
      <w:r>
        <w:rPr>
          <w:rFonts w:ascii="仿宋" w:eastAsia="仿宋" w:hAnsi="仿宋" w:cs="仿宋" w:hint="eastAsia"/>
          <w:color w:val="auto"/>
          <w:highlight w:val="none"/>
        </w:rPr>
        <w:t xml:space="preserve">万元，实际支付资金</w:t>
      </w:r>
      <w:r>
        <w:rPr>
          <w:rFonts w:ascii="仿宋" w:eastAsia="仿宋" w:hAnsi="仿宋" w:cs="仿宋" w:hint="eastAsia"/>
          <w:color w:val="auto"/>
          <w:highlight w:val="none"/>
          <w:lang w:val="en-US" w:eastAsia="zh-CN"/>
        </w:rPr>
        <w:t xml:space="preserve">1708.41</w:t>
      </w:r>
      <w:r>
        <w:rPr>
          <w:rFonts w:ascii="仿宋" w:eastAsia="仿宋" w:hAnsi="仿宋" w:cs="仿宋" w:hint="eastAsia"/>
          <w:color w:val="auto"/>
          <w:highlight w:val="none"/>
        </w:rPr>
        <w:t xml:space="preserve">万元，预算执行率为</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分。</w:t>
      </w:r>
    </w:p>
    <w:p>
      <w:pPr>
        <w:bidi w:val="0"/>
        <w:jc w:val="both"/>
        <w:rPr>
          <w:rFonts w:ascii="仿宋" w:eastAsia="仿宋" w:hAnsi="仿宋" w:cs="仿宋" w:hint="eastAsia"/>
          <w:b/>
          <w:bCs/>
          <w:color w:val="auto"/>
          <w:highlight w:val="none"/>
        </w:rPr>
      </w:pPr>
      <w:bookmarkStart w:id="163" w:name="_Toc2484"/>
      <w:bookmarkStart w:id="164" w:name="_Toc8316"/>
      <w:r>
        <w:rPr>
          <w:rFonts w:ascii="仿宋" w:eastAsia="仿宋" w:hAnsi="仿宋" w:cs="仿宋" w:hint="eastAsia"/>
          <w:b/>
          <w:bCs/>
          <w:color w:val="auto"/>
          <w:highlight w:val="none"/>
        </w:rPr>
        <w:t xml:space="preserve">3.资金使用合规性</w:t>
      </w:r>
      <w:bookmarkEnd w:id="163"/>
      <w:bookmarkEnd w:id="164"/>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本项目资金的使用符合</w:t>
      </w:r>
      <w:r>
        <w:rPr>
          <w:rFonts w:ascii="仿宋" w:eastAsia="仿宋" w:hAnsi="仿宋" w:cs="仿宋" w:hint="eastAsia"/>
          <w:color w:val="auto"/>
          <w:highlight w:val="none"/>
          <w:lang w:val="en-US" w:eastAsia="zh-CN"/>
        </w:rPr>
        <w:t xml:space="preserve">《中华人民共和国预算法》《中华人民共和国会计法》《中华人民共和国招标投标法》等</w:t>
      </w:r>
      <w:r>
        <w:rPr>
          <w:rFonts w:ascii="仿宋" w:eastAsia="仿宋" w:hAnsi="仿宋" w:cs="仿宋" w:hint="eastAsia"/>
          <w:color w:val="auto"/>
          <w:highlight w:val="none"/>
          <w:lang w:eastAsia="zh-CN"/>
        </w:rPr>
        <w:t xml:space="preserve">国家</w:t>
      </w:r>
      <w:r>
        <w:rPr>
          <w:rFonts w:ascii="仿宋" w:eastAsia="仿宋" w:hAnsi="仿宋" w:cs="仿宋" w:hint="eastAsia"/>
          <w:color w:val="auto"/>
          <w:highlight w:val="none"/>
          <w:lang w:val="en-US" w:eastAsia="zh-CN"/>
        </w:rPr>
        <w:t xml:space="preserve">有关</w:t>
      </w:r>
      <w:r>
        <w:rPr>
          <w:rFonts w:ascii="仿宋" w:eastAsia="仿宋" w:hAnsi="仿宋" w:cs="仿宋" w:hint="eastAsia"/>
          <w:color w:val="auto"/>
          <w:highlight w:val="none"/>
          <w:lang w:eastAsia="zh-CN"/>
        </w:rPr>
        <w:t xml:space="preserve">财经法规</w:t>
      </w:r>
      <w:r>
        <w:rPr>
          <w:rFonts w:ascii="仿宋" w:eastAsia="仿宋" w:hAnsi="仿宋" w:cs="仿宋" w:hint="eastAsia"/>
          <w:color w:val="auto"/>
          <w:highlight w:val="none"/>
          <w:lang w:val="en-US" w:eastAsia="zh-CN"/>
        </w:rPr>
        <w:t xml:space="preserve">以及预算管理制度。</w:t>
      </w:r>
      <w:r>
        <w:rPr>
          <w:rFonts w:ascii="仿宋" w:eastAsia="仿宋" w:hAnsi="仿宋" w:cs="仿宋" w:hint="eastAsia"/>
          <w:color w:val="auto"/>
          <w:highlight w:val="none"/>
        </w:rPr>
        <w:t xml:space="preserve">资金的</w:t>
      </w:r>
      <w:r>
        <w:rPr>
          <w:rFonts w:ascii="仿宋" w:eastAsia="仿宋" w:hAnsi="仿宋" w:cs="仿宋" w:hint="eastAsia"/>
          <w:color w:val="auto"/>
          <w:highlight w:val="none"/>
          <w:lang w:val="en-US" w:eastAsia="zh-CN"/>
        </w:rPr>
        <w:t xml:space="preserve">审批和</w:t>
      </w:r>
      <w:r>
        <w:rPr>
          <w:rFonts w:ascii="仿宋" w:eastAsia="仿宋" w:hAnsi="仿宋" w:cs="仿宋" w:hint="eastAsia"/>
          <w:color w:val="auto"/>
          <w:highlight w:val="none"/>
        </w:rPr>
        <w:t xml:space="preserve">拨付</w:t>
      </w:r>
      <w:r>
        <w:rPr>
          <w:rFonts w:ascii="仿宋" w:eastAsia="仿宋" w:hAnsi="仿宋" w:cs="仿宋" w:hint="eastAsia"/>
          <w:color w:val="auto"/>
          <w:highlight w:val="none"/>
          <w:lang w:val="en-US" w:eastAsia="zh-CN"/>
        </w:rPr>
        <w:t xml:space="preserve">按照《尉犁县财政资金审批管理办法》执行</w:t>
      </w:r>
      <w:r>
        <w:rPr>
          <w:rFonts w:ascii="仿宋" w:eastAsia="仿宋" w:hAnsi="仿宋" w:cs="仿宋" w:hint="eastAsia"/>
          <w:color w:val="auto"/>
          <w:highlight w:val="none"/>
        </w:rPr>
        <w:t xml:space="preserve">。资金的拨付有完整的审批程序和手续；资金使用符合专项资金支持的范围。不存在截留、挤占、挪用、虚列支出等情况。</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65" w:name="_Toc15332"/>
      <w:bookmarkStart w:id="166" w:name="_Toc20651"/>
      <w:r>
        <w:rPr>
          <w:rFonts w:ascii="仿宋" w:eastAsia="仿宋" w:hAnsi="仿宋" w:cs="仿宋" w:hint="eastAsia"/>
          <w:b/>
          <w:bCs/>
          <w:color w:val="auto"/>
          <w:highlight w:val="none"/>
        </w:rPr>
        <w:t xml:space="preserve">4.管理制度健全性</w:t>
      </w:r>
      <w:bookmarkEnd w:id="165"/>
      <w:bookmarkEnd w:id="166"/>
    </w:p>
    <w:p>
      <w:pPr>
        <w:bidi w:val="0"/>
        <w:jc w:val="both"/>
        <w:rPr>
          <w:rFonts w:ascii="仿宋" w:eastAsia="仿宋" w:hAnsi="仿宋" w:cs="仿宋" w:hint="eastAsia"/>
          <w:color w:val="auto"/>
          <w:highlight w:val="none"/>
        </w:rPr>
      </w:pPr>
      <w:bookmarkStart w:id="167" w:name="OLE_LINK11"/>
      <w:r>
        <w:rPr>
          <w:rFonts w:ascii="仿宋" w:eastAsia="仿宋" w:hAnsi="仿宋" w:cs="仿宋" w:hint="eastAsia"/>
          <w:color w:val="auto"/>
          <w:highlight w:val="none"/>
          <w:lang w:val="en-US" w:eastAsia="zh-CN"/>
        </w:rPr>
        <w:t xml:space="preserve">尉犁县林业和草原局制定了《尉犁县林业和草原局财务管理办法》和《尉犁县林业和草原局内控管理制度》</w:t>
      </w:r>
      <w:bookmarkEnd w:id="167"/>
      <w:r>
        <w:rPr>
          <w:rFonts w:ascii="仿宋" w:eastAsia="仿宋" w:hAnsi="仿宋" w:cs="仿宋" w:hint="eastAsia"/>
          <w:color w:val="auto"/>
          <w:highlight w:val="none"/>
          <w:lang w:val="en-US" w:eastAsia="zh-CN"/>
        </w:rPr>
        <w:t xml:space="preserve">，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ascii="仿宋" w:eastAsia="仿宋" w:hAnsi="仿宋" w:cs="仿宋" w:hint="eastAsia"/>
          <w:color w:val="auto"/>
          <w:highlight w:val="none"/>
        </w:rPr>
        <w:t xml:space="preserve">资金管理等方面都做出明确的规范的要求</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财务制度和业务管理制度</w:t>
      </w:r>
      <w:r>
        <w:rPr>
          <w:rFonts w:ascii="仿宋" w:eastAsia="仿宋" w:hAnsi="仿宋" w:cs="仿宋" w:hint="eastAsia"/>
          <w:color w:val="auto"/>
          <w:highlight w:val="none"/>
          <w:lang w:val="en-US" w:eastAsia="zh-CN"/>
        </w:rPr>
        <w:t xml:space="preserve">健全</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jc w:val="both"/>
        <w:rPr>
          <w:rFonts w:ascii="仿宋" w:eastAsia="仿宋" w:hAnsi="仿宋" w:cs="仿宋" w:hint="eastAsia"/>
          <w:b/>
          <w:bCs/>
          <w:color w:val="auto"/>
          <w:highlight w:val="none"/>
        </w:rPr>
      </w:pPr>
      <w:bookmarkStart w:id="168" w:name="_Toc14853"/>
      <w:bookmarkStart w:id="169" w:name="_Toc14023"/>
      <w:r>
        <w:rPr>
          <w:rFonts w:ascii="仿宋" w:eastAsia="仿宋" w:hAnsi="仿宋" w:cs="仿宋" w:hint="eastAsia"/>
          <w:b/>
          <w:bCs/>
          <w:color w:val="auto"/>
          <w:highlight w:val="none"/>
        </w:rPr>
        <w:t xml:space="preserve">5.制度执行有效性</w:t>
      </w:r>
      <w:bookmarkEnd w:id="168"/>
      <w:bookmarkEnd w:id="169"/>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本项目在实施过程中严格遵守相关法律法规和相关管理规定，如《中华人民共和国预算法</w:t>
      </w:r>
      <w:r>
        <w:rPr>
          <w:rFonts w:ascii="仿宋" w:eastAsia="仿宋" w:hAnsi="仿宋" w:cs="仿宋" w:hint="eastAsia"/>
          <w:color w:val="auto"/>
          <w:highlight w:val="none"/>
          <w:lang w:eastAsia="zh-CN"/>
        </w:rPr>
        <w:t xml:space="preserve">》《</w:t>
      </w:r>
      <w:bookmarkStart w:id="170" w:name="OLE_LINK12"/>
      <w:r>
        <w:rPr>
          <w:rFonts w:ascii="仿宋" w:eastAsia="仿宋" w:hAnsi="仿宋" w:cs="仿宋" w:hint="eastAsia"/>
          <w:color w:val="auto"/>
          <w:highlight w:val="none"/>
        </w:rPr>
        <w:t xml:space="preserve">中华人民共和国</w:t>
      </w:r>
      <w:bookmarkEnd w:id="170"/>
      <w:r>
        <w:rPr>
          <w:rFonts w:ascii="仿宋" w:eastAsia="仿宋" w:hAnsi="仿宋" w:cs="仿宋" w:hint="eastAsia"/>
          <w:color w:val="auto"/>
          <w:highlight w:val="none"/>
        </w:rPr>
        <w:t xml:space="preserve">会计法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中华人民共和国</w:t>
      </w:r>
      <w:r>
        <w:rPr>
          <w:rFonts w:ascii="仿宋" w:eastAsia="仿宋" w:hAnsi="仿宋" w:cs="仿宋" w:hint="eastAsia"/>
          <w:color w:val="auto"/>
          <w:highlight w:val="none"/>
          <w:lang w:val="en-US" w:eastAsia="zh-CN"/>
        </w:rPr>
        <w:t xml:space="preserve">政府</w:t>
      </w:r>
      <w:r>
        <w:rPr>
          <w:rFonts w:ascii="仿宋" w:eastAsia="仿宋" w:hAnsi="仿宋" w:cs="仿宋" w:hint="eastAsia"/>
          <w:color w:val="auto"/>
          <w:highlight w:val="none"/>
        </w:rPr>
        <w:t xml:space="preserve">采购法》等，严格执行基本建设程序，执行项目法人责任制、招标投标制、工程监理制和合同管理制，项目勘察、设计、施工、监理均符合国家和自治区有关</w:t>
      </w:r>
      <w:r>
        <w:rPr>
          <w:rFonts w:ascii="仿宋" w:eastAsia="仿宋" w:hAnsi="仿宋" w:cs="仿宋" w:hint="eastAsia"/>
          <w:color w:val="auto"/>
          <w:highlight w:val="none"/>
          <w:lang w:val="en-US" w:eastAsia="zh-CN"/>
        </w:rPr>
        <w:t xml:space="preserve">规定</w:t>
      </w:r>
      <w:r>
        <w:rPr>
          <w:rFonts w:ascii="仿宋" w:eastAsia="仿宋" w:hAnsi="仿宋" w:cs="仿宋" w:hint="eastAsia"/>
          <w:color w:val="auto"/>
          <w:highlight w:val="none"/>
        </w:rPr>
        <w:t xml:space="preserve">和施工规范。有关资料齐全，并及时整理归档。</w:t>
      </w:r>
      <w:r>
        <w:rPr>
          <w:rFonts w:ascii="仿宋" w:eastAsia="仿宋" w:hAnsi="仿宋" w:cs="仿宋" w:hint="eastAsia"/>
          <w:color w:val="auto"/>
          <w:highlight w:val="none"/>
          <w:lang w:val="en-US" w:eastAsia="zh-CN"/>
        </w:rPr>
        <w:t xml:space="preserve">本项目无项目调整及支出调整，制度执行有效性较高。</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pStyle w:val="Heading3"/>
        <w:bidi w:val="0"/>
        <w:jc w:val="both"/>
        <w:outlineLvl w:val="1"/>
        <w:rPr>
          <w:rFonts w:ascii="仿宋" w:eastAsia="仿宋" w:hAnsi="仿宋" w:cs="仿宋" w:hint="eastAsia"/>
          <w:color w:val="auto"/>
          <w:highlight w:val="none"/>
        </w:rPr>
      </w:pPr>
      <w:bookmarkStart w:id="171" w:name="_Toc1627"/>
      <w:bookmarkStart w:id="172" w:name="_Toc22156"/>
      <w:bookmarkStart w:id="173" w:name="_Toc27446"/>
      <w:bookmarkStart w:id="174" w:name="_Toc5161"/>
      <w:bookmarkStart w:id="175" w:name="_Toc6865"/>
      <w:bookmarkStart w:id="176" w:name="_Toc31545"/>
      <w:bookmarkStart w:id="177" w:name="_Toc7260"/>
      <w:r>
        <w:rPr>
          <w:rFonts w:ascii="仿宋" w:eastAsia="仿宋" w:hAnsi="仿宋" w:cs="仿宋" w:hint="eastAsia"/>
          <w:color w:val="auto"/>
          <w:highlight w:val="none"/>
        </w:rPr>
        <w:t xml:space="preserve">（三）项目产出情况</w:t>
      </w:r>
      <w:bookmarkEnd w:id="171"/>
      <w:bookmarkEnd w:id="172"/>
      <w:bookmarkEnd w:id="173"/>
      <w:bookmarkEnd w:id="174"/>
      <w:bookmarkEnd w:id="175"/>
      <w:bookmarkEnd w:id="176"/>
      <w:bookmarkEnd w:id="177"/>
    </w:p>
    <w:p>
      <w:pPr>
        <w:bidi w:val="0"/>
        <w:jc w:val="both"/>
        <w:rPr>
          <w:rFonts w:ascii="仿宋" w:eastAsia="仿宋" w:hAnsi="仿宋" w:cs="仿宋" w:hint="eastAsia"/>
          <w:b/>
          <w:bCs/>
          <w:color w:val="auto"/>
          <w:highlight w:val="none"/>
        </w:rPr>
      </w:pPr>
      <w:bookmarkStart w:id="178" w:name="_Toc31041"/>
      <w:bookmarkStart w:id="179" w:name="_Toc4184"/>
      <w:r>
        <w:rPr>
          <w:rFonts w:ascii="仿宋" w:eastAsia="仿宋" w:hAnsi="仿宋" w:cs="仿宋" w:hint="eastAsia"/>
          <w:b/>
          <w:bCs/>
          <w:color w:val="auto"/>
          <w:highlight w:val="none"/>
        </w:rPr>
        <w:t xml:space="preserve">1.产出数量</w:t>
      </w:r>
      <w:bookmarkEnd w:id="178"/>
      <w:bookmarkEnd w:id="179"/>
    </w:p>
    <w:p>
      <w:pPr>
        <w:bidi w:val="0"/>
        <w:jc w:val="both"/>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lang w:val="en-US" w:eastAsia="zh-CN"/>
        </w:rPr>
        <w:t xml:space="preserve">指标1：国有林管护面积，预期指标值</w:t>
      </w:r>
      <w:r>
        <w:rPr>
          <w:rFonts w:ascii="仿宋" w:eastAsia="仿宋" w:hAnsi="仿宋" w:cs="仿宋" w:hint="eastAsia"/>
          <w:color w:val="auto"/>
          <w:highlight w:val="none"/>
          <w:lang w:val="en-US" w:eastAsia="zh-CN"/>
        </w:rPr>
        <w:t xml:space="preserve">大于或等于</w:t>
      </w:r>
      <w:r>
        <w:rPr>
          <w:rFonts w:ascii="仿宋" w:eastAsia="仿宋" w:hAnsi="仿宋" w:cs="仿宋" w:hint="eastAsia"/>
          <w:bCs/>
          <w:color w:val="auto"/>
          <w:szCs w:val="32"/>
          <w:highlight w:val="none"/>
          <w:lang w:val="en-US" w:eastAsia="zh-CN"/>
        </w:rPr>
        <w:t xml:space="preserve">245.69万亩，指标完成值：245.69万亩，完成率：100%；</w:t>
      </w:r>
    </w:p>
    <w:p>
      <w:pPr>
        <w:bidi w:val="0"/>
        <w:jc w:val="both"/>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lang w:val="en-US" w:eastAsia="zh-CN"/>
        </w:rPr>
        <w:t xml:space="preserve">指标2：国有林修复面积-森林抚育，预期指标值</w:t>
      </w:r>
      <w:r>
        <w:rPr>
          <w:rFonts w:ascii="仿宋" w:eastAsia="仿宋" w:hAnsi="仿宋" w:cs="仿宋" w:hint="eastAsia"/>
          <w:color w:val="auto"/>
          <w:highlight w:val="none"/>
          <w:lang w:val="en-US" w:eastAsia="zh-CN"/>
        </w:rPr>
        <w:t xml:space="preserve">等于</w:t>
      </w:r>
      <w:r>
        <w:rPr>
          <w:rFonts w:ascii="仿宋" w:eastAsia="仿宋" w:hAnsi="仿宋" w:cs="仿宋" w:hint="eastAsia"/>
          <w:bCs/>
          <w:color w:val="auto"/>
          <w:szCs w:val="32"/>
          <w:highlight w:val="none"/>
          <w:lang w:val="en-US" w:eastAsia="zh-CN"/>
        </w:rPr>
        <w:t xml:space="preserve">2万亩，指标完成值：2万亩，完成率：100%；</w:t>
      </w:r>
    </w:p>
    <w:p>
      <w:pPr>
        <w:bidi w:val="0"/>
        <w:jc w:val="both"/>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lang w:val="en-US" w:eastAsia="zh-CN"/>
        </w:rPr>
        <w:t xml:space="preserve">指标3：国有林修复面积-综合修复，预期指标值</w:t>
      </w:r>
      <w:r>
        <w:rPr>
          <w:rFonts w:ascii="仿宋" w:eastAsia="仿宋" w:hAnsi="仿宋" w:cs="仿宋" w:hint="eastAsia"/>
          <w:color w:val="auto"/>
          <w:highlight w:val="none"/>
          <w:lang w:val="en-US" w:eastAsia="zh-CN"/>
        </w:rPr>
        <w:t xml:space="preserve">等于</w:t>
      </w:r>
      <w:r>
        <w:rPr>
          <w:rFonts w:ascii="仿宋" w:eastAsia="仿宋" w:hAnsi="仿宋" w:cs="仿宋" w:hint="eastAsia"/>
          <w:bCs/>
          <w:color w:val="auto"/>
          <w:szCs w:val="32"/>
          <w:highlight w:val="none"/>
          <w:lang w:val="en-US" w:eastAsia="zh-CN"/>
        </w:rPr>
        <w:t xml:space="preserve">15万亩，指标完成值：15万亩，完成率：100%。</w:t>
      </w:r>
    </w:p>
    <w:p>
      <w:pPr>
        <w:bidi w:val="0"/>
        <w:jc w:val="both"/>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lang w:val="en-US" w:eastAsia="zh-CN"/>
        </w:rPr>
        <w:t xml:space="preserve">指标4：国有林修复面积-胡杨林春尺蠖飞机防治，预期指标值</w:t>
      </w:r>
      <w:r>
        <w:rPr>
          <w:rFonts w:ascii="仿宋" w:eastAsia="仿宋" w:hAnsi="仿宋" w:cs="仿宋" w:hint="eastAsia"/>
          <w:color w:val="auto"/>
          <w:highlight w:val="none"/>
          <w:lang w:val="en-US" w:eastAsia="zh-CN"/>
        </w:rPr>
        <w:t xml:space="preserve">等于</w:t>
      </w:r>
      <w:r>
        <w:rPr>
          <w:rFonts w:ascii="仿宋" w:eastAsia="仿宋" w:hAnsi="仿宋" w:cs="仿宋" w:hint="eastAsia"/>
          <w:bCs/>
          <w:color w:val="auto"/>
          <w:szCs w:val="32"/>
          <w:highlight w:val="none"/>
          <w:lang w:val="en-US" w:eastAsia="zh-CN"/>
        </w:rPr>
        <w:t xml:space="preserve">20万亩，指标完成值：20万亩，完成率：100%。</w:t>
      </w:r>
    </w:p>
    <w:p>
      <w:pPr>
        <w:bidi w:val="0"/>
        <w:jc w:val="both"/>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lang w:val="en-US" w:eastAsia="zh-CN"/>
        </w:rPr>
        <w:t xml:space="preserve">指标5：国有林修复面积-鼠兔害综合防治，预期指标值</w:t>
      </w:r>
      <w:r>
        <w:rPr>
          <w:rFonts w:ascii="仿宋" w:eastAsia="仿宋" w:hAnsi="仿宋" w:cs="仿宋" w:hint="eastAsia"/>
          <w:color w:val="auto"/>
          <w:highlight w:val="none"/>
          <w:lang w:val="en-US" w:eastAsia="zh-CN"/>
        </w:rPr>
        <w:t xml:space="preserve">等于</w:t>
      </w:r>
      <w:r>
        <w:rPr>
          <w:rFonts w:ascii="仿宋" w:eastAsia="仿宋" w:hAnsi="仿宋" w:cs="仿宋" w:hint="eastAsia"/>
          <w:bCs/>
          <w:color w:val="auto"/>
          <w:szCs w:val="32"/>
          <w:highlight w:val="none"/>
          <w:lang w:val="en-US" w:eastAsia="zh-CN"/>
        </w:rPr>
        <w:t xml:space="preserve">1万亩，指标完成值：1万亩，完成率：100%。</w:t>
      </w:r>
    </w:p>
    <w:p>
      <w:pPr>
        <w:bidi w:val="0"/>
        <w:jc w:val="both"/>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lang w:val="en-US" w:eastAsia="zh-CN"/>
        </w:rPr>
        <w:t xml:space="preserve">指标6：应急分队数量，预期指标值</w:t>
      </w:r>
      <w:r>
        <w:rPr>
          <w:rFonts w:ascii="仿宋" w:eastAsia="仿宋" w:hAnsi="仿宋" w:cs="仿宋" w:hint="eastAsia"/>
          <w:color w:val="auto"/>
          <w:highlight w:val="none"/>
          <w:lang w:val="en-US" w:eastAsia="zh-CN"/>
        </w:rPr>
        <w:t xml:space="preserve">等于</w:t>
      </w:r>
      <w:bookmarkStart w:id="180" w:name="OLE_LINK13"/>
      <w:r>
        <w:rPr>
          <w:rFonts w:ascii="仿宋" w:eastAsia="仿宋" w:hAnsi="仿宋" w:cs="仿宋" w:hint="eastAsia"/>
          <w:bCs/>
          <w:color w:val="auto"/>
          <w:szCs w:val="32"/>
          <w:highlight w:val="none"/>
          <w:lang w:val="en-US" w:eastAsia="zh-CN"/>
        </w:rPr>
        <w:t xml:space="preserve">1支</w:t>
      </w:r>
      <w:bookmarkEnd w:id="180"/>
      <w:r>
        <w:rPr>
          <w:rFonts w:ascii="仿宋" w:eastAsia="仿宋" w:hAnsi="仿宋" w:cs="仿宋" w:hint="eastAsia"/>
          <w:bCs/>
          <w:color w:val="auto"/>
          <w:szCs w:val="32"/>
          <w:highlight w:val="none"/>
          <w:lang w:val="en-US" w:eastAsia="zh-CN"/>
        </w:rPr>
        <w:t xml:space="preserve">，指标完成值：1支，完成率：100%。</w:t>
      </w:r>
    </w:p>
    <w:p>
      <w:pPr>
        <w:bidi w:val="0"/>
        <w:jc w:val="both"/>
        <w:rPr>
          <w:rFonts w:ascii="仿宋" w:eastAsia="仿宋" w:hAnsi="仿宋" w:cs="仿宋" w:hint="eastAsia"/>
          <w:color w:val="auto"/>
          <w:highlight w:val="none"/>
          <w:lang w:val="en-US" w:eastAsia="zh-CN"/>
        </w:rPr>
      </w:pPr>
      <w:r>
        <w:rPr>
          <w:rFonts w:ascii="仿宋" w:eastAsia="仿宋" w:hAnsi="仿宋" w:cs="仿宋" w:hint="eastAsia"/>
          <w:bCs/>
          <w:color w:val="auto"/>
          <w:szCs w:val="32"/>
          <w:highlight w:val="none"/>
          <w:lang w:val="en-US" w:eastAsia="zh-CN"/>
        </w:rPr>
        <w:t xml:space="preserve">指标7：各实施单位管护人员培训次数，预期指标值大于或</w:t>
      </w:r>
      <w:r>
        <w:rPr>
          <w:rFonts w:ascii="仿宋" w:eastAsia="仿宋" w:hAnsi="仿宋" w:cs="仿宋" w:hint="eastAsia"/>
          <w:color w:val="auto"/>
          <w:highlight w:val="none"/>
          <w:lang w:val="en-US" w:eastAsia="zh-CN"/>
        </w:rPr>
        <w:t xml:space="preserve">等于</w:t>
      </w:r>
      <w:bookmarkStart w:id="181" w:name="OLE_LINK14"/>
      <w:r>
        <w:rPr>
          <w:rFonts w:ascii="仿宋" w:eastAsia="仿宋" w:hAnsi="仿宋" w:cs="仿宋" w:hint="eastAsia"/>
          <w:bCs/>
          <w:color w:val="auto"/>
          <w:szCs w:val="32"/>
          <w:highlight w:val="none"/>
          <w:lang w:val="en-US" w:eastAsia="zh-CN"/>
        </w:rPr>
        <w:t xml:space="preserve">2次</w:t>
      </w:r>
      <w:bookmarkEnd w:id="181"/>
      <w:r>
        <w:rPr>
          <w:rFonts w:ascii="仿宋" w:eastAsia="仿宋" w:hAnsi="仿宋" w:cs="仿宋" w:hint="eastAsia"/>
          <w:bCs/>
          <w:color w:val="auto"/>
          <w:szCs w:val="32"/>
          <w:highlight w:val="none"/>
          <w:lang w:val="en-US" w:eastAsia="zh-CN"/>
        </w:rPr>
        <w:t xml:space="preserve">，指标完成值：2次，完成率：100%。</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本项满分12分，评估得分12分。</w:t>
      </w:r>
    </w:p>
    <w:p>
      <w:pPr>
        <w:bidi w:val="0"/>
        <w:jc w:val="both"/>
        <w:rPr>
          <w:rFonts w:ascii="仿宋" w:eastAsia="仿宋" w:hAnsi="仿宋" w:cs="仿宋" w:hint="eastAsia"/>
          <w:b/>
          <w:bCs/>
          <w:color w:val="auto"/>
          <w:highlight w:val="none"/>
        </w:rPr>
      </w:pPr>
      <w:bookmarkStart w:id="182" w:name="_Toc7420"/>
      <w:bookmarkStart w:id="183" w:name="_Toc21607"/>
      <w:r>
        <w:rPr>
          <w:rFonts w:ascii="仿宋" w:eastAsia="仿宋" w:hAnsi="仿宋" w:cs="仿宋" w:hint="eastAsia"/>
          <w:b/>
          <w:bCs/>
          <w:color w:val="auto"/>
          <w:highlight w:val="none"/>
        </w:rPr>
        <w:t xml:space="preserve">2.产出质量</w:t>
      </w:r>
      <w:bookmarkEnd w:id="182"/>
      <w:bookmarkEnd w:id="183"/>
    </w:p>
    <w:p>
      <w:pPr>
        <w:bidi w:val="0"/>
        <w:jc w:val="both"/>
        <w:rPr>
          <w:rFonts w:ascii="仿宋" w:eastAsia="仿宋" w:hAnsi="仿宋" w:cs="仿宋" w:hint="eastAsia"/>
          <w:b w:val="0"/>
          <w:bCs/>
          <w:color w:val="auto"/>
          <w:kern w:val="2"/>
          <w:sz w:val="32"/>
          <w:szCs w:val="32"/>
          <w:highlight w:val="none"/>
          <w:lang w:val="en-US" w:eastAsia="zh-CN" w:bidi="ar-SA"/>
        </w:rPr>
      </w:pPr>
      <w:r>
        <w:rPr>
          <w:rFonts w:ascii="仿宋" w:eastAsia="仿宋" w:hAnsi="仿宋" w:cs="仿宋" w:hint="eastAsia"/>
          <w:b w:val="0"/>
          <w:bCs/>
          <w:color w:val="auto"/>
          <w:kern w:val="2"/>
          <w:sz w:val="32"/>
          <w:szCs w:val="32"/>
          <w:highlight w:val="none"/>
          <w:lang w:val="en-US" w:eastAsia="zh-CN" w:bidi="ar-SA"/>
        </w:rPr>
        <w:t xml:space="preserve">指标1：国有林管护补助兑现率，预期指标值等于100%，指标完成值：100%，完成率：100%；</w:t>
      </w:r>
    </w:p>
    <w:p>
      <w:pPr>
        <w:bidi w:val="0"/>
        <w:jc w:val="both"/>
        <w:rPr>
          <w:rFonts w:ascii="仿宋" w:eastAsia="仿宋" w:hAnsi="仿宋" w:cs="仿宋" w:hint="eastAsia"/>
          <w:b w:val="0"/>
          <w:bCs/>
          <w:color w:val="auto"/>
          <w:kern w:val="2"/>
          <w:sz w:val="32"/>
          <w:szCs w:val="32"/>
          <w:highlight w:val="none"/>
          <w:lang w:val="en-US" w:eastAsia="zh-CN" w:bidi="ar-SA"/>
        </w:rPr>
      </w:pPr>
      <w:r>
        <w:rPr>
          <w:rFonts w:ascii="仿宋" w:eastAsia="仿宋" w:hAnsi="仿宋" w:cs="仿宋" w:hint="eastAsia"/>
          <w:b w:val="0"/>
          <w:bCs/>
          <w:color w:val="auto"/>
          <w:kern w:val="2"/>
          <w:sz w:val="32"/>
          <w:szCs w:val="32"/>
          <w:highlight w:val="none"/>
          <w:lang w:val="en-US" w:eastAsia="zh-CN" w:bidi="ar-SA"/>
        </w:rPr>
        <w:t xml:space="preserve">指标2：国有林（国家级公益林）管护质量县级自查率，预期指标值等于100%，指标完成值：100%，完成率：100%。</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本项满分12分，评估得分12分。</w:t>
      </w:r>
    </w:p>
    <w:p>
      <w:pPr>
        <w:bidi w:val="0"/>
        <w:jc w:val="both"/>
        <w:rPr>
          <w:rFonts w:ascii="仿宋" w:eastAsia="仿宋" w:hAnsi="仿宋" w:cs="仿宋" w:hint="eastAsia"/>
          <w:b/>
          <w:bCs/>
          <w:color w:val="auto"/>
          <w:highlight w:val="none"/>
        </w:rPr>
      </w:pPr>
      <w:bookmarkStart w:id="184" w:name="_Toc6277"/>
      <w:bookmarkStart w:id="185" w:name="_Toc5394"/>
      <w:r>
        <w:rPr>
          <w:rFonts w:ascii="仿宋" w:eastAsia="仿宋" w:hAnsi="仿宋" w:cs="仿宋" w:hint="eastAsia"/>
          <w:b/>
          <w:bCs/>
          <w:color w:val="auto"/>
          <w:highlight w:val="none"/>
        </w:rPr>
        <w:t xml:space="preserve">3.产出时效</w:t>
      </w:r>
      <w:bookmarkEnd w:id="184"/>
      <w:bookmarkEnd w:id="185"/>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国有林（国家级公益林）管护人员劳务报酬按时发放率</w:t>
      </w:r>
      <w:r>
        <w:rPr>
          <w:rFonts w:ascii="仿宋" w:eastAsia="仿宋" w:hAnsi="仿宋" w:cs="仿宋" w:hint="eastAsia"/>
          <w:color w:val="auto"/>
          <w:highlight w:val="none"/>
        </w:rPr>
        <w:t xml:space="preserve">，预期指标值</w:t>
      </w:r>
      <w:bookmarkStart w:id="186" w:name="OLE_LINK15"/>
      <w:r>
        <w:rPr>
          <w:rFonts w:ascii="仿宋" w:eastAsia="仿宋" w:hAnsi="仿宋" w:cs="仿宋" w:hint="eastAsia"/>
          <w:color w:val="auto"/>
          <w:highlight w:val="none"/>
          <w:lang w:val="en-US" w:eastAsia="zh-CN"/>
        </w:rPr>
        <w:t xml:space="preserve">等于</w:t>
      </w:r>
      <w:bookmarkEnd w:id="186"/>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bidi w:val="0"/>
        <w:jc w:val="both"/>
        <w:rPr>
          <w:rFonts w:ascii="仿宋" w:eastAsia="仿宋" w:hAnsi="仿宋" w:cs="仿宋" w:hint="eastAsia"/>
          <w:b/>
          <w:bCs/>
          <w:color w:val="auto"/>
          <w:highlight w:val="none"/>
        </w:rPr>
      </w:pPr>
      <w:bookmarkStart w:id="187" w:name="_Toc18558"/>
      <w:bookmarkStart w:id="188" w:name="_Toc28975"/>
      <w:r>
        <w:rPr>
          <w:rFonts w:ascii="仿宋" w:eastAsia="仿宋" w:hAnsi="仿宋" w:cs="仿宋" w:hint="eastAsia"/>
          <w:b/>
          <w:bCs/>
          <w:color w:val="auto"/>
          <w:highlight w:val="none"/>
        </w:rPr>
        <w:t xml:space="preserve">4.产出成本</w:t>
      </w:r>
      <w:bookmarkEnd w:id="187"/>
      <w:bookmarkEnd w:id="188"/>
    </w:p>
    <w:p>
      <w:pPr>
        <w:bidi w:val="0"/>
        <w:jc w:val="both"/>
        <w:rPr>
          <w:rFonts w:ascii="仿宋" w:eastAsia="仿宋" w:hAnsi="仿宋" w:cs="仿宋" w:hint="eastAsia"/>
          <w:b w:val="0"/>
          <w:bCs/>
          <w:color w:val="auto"/>
          <w:kern w:val="2"/>
          <w:sz w:val="32"/>
          <w:szCs w:val="32"/>
          <w:highlight w:val="none"/>
          <w:lang w:val="en-US" w:eastAsia="zh-CN" w:bidi="ar-SA"/>
        </w:rPr>
      </w:pPr>
      <w:r>
        <w:rPr>
          <w:rFonts w:ascii="仿宋" w:eastAsia="仿宋" w:hAnsi="仿宋" w:cs="仿宋" w:hint="eastAsia"/>
          <w:b w:val="0"/>
          <w:bCs/>
          <w:color w:val="auto"/>
          <w:kern w:val="2"/>
          <w:sz w:val="32"/>
          <w:szCs w:val="32"/>
          <w:highlight w:val="none"/>
          <w:lang w:val="en-US" w:eastAsia="zh-CN" w:bidi="ar-SA"/>
        </w:rPr>
        <w:t xml:space="preserve">指标1：国有林管护费用，预期指标值</w:t>
      </w:r>
      <w:r>
        <w:rPr>
          <w:rFonts w:ascii="仿宋" w:eastAsia="仿宋" w:hAnsi="仿宋" w:cs="仿宋" w:hint="eastAsia"/>
          <w:color w:val="auto"/>
          <w:highlight w:val="none"/>
          <w:lang w:eastAsia="zh-CN"/>
        </w:rPr>
        <w:t xml:space="preserve">小于或等于</w:t>
      </w:r>
      <w:r>
        <w:rPr>
          <w:rFonts w:ascii="仿宋" w:eastAsia="仿宋" w:hAnsi="仿宋" w:cs="仿宋" w:hint="eastAsia"/>
          <w:b w:val="0"/>
          <w:bCs/>
          <w:color w:val="auto"/>
          <w:kern w:val="2"/>
          <w:sz w:val="32"/>
          <w:szCs w:val="32"/>
          <w:highlight w:val="none"/>
          <w:lang w:val="en-US" w:eastAsia="zh-CN" w:bidi="ar-SA"/>
        </w:rPr>
        <w:t xml:space="preserve">4.12元/亩，指标完成值：4.12元/亩，完成率：100%；</w:t>
      </w:r>
    </w:p>
    <w:p>
      <w:pPr>
        <w:bidi w:val="0"/>
        <w:jc w:val="both"/>
        <w:rPr>
          <w:rFonts w:ascii="仿宋" w:eastAsia="仿宋" w:hAnsi="仿宋" w:cs="仿宋" w:hint="eastAsia"/>
          <w:b w:val="0"/>
          <w:bCs/>
          <w:color w:val="auto"/>
          <w:kern w:val="2"/>
          <w:sz w:val="32"/>
          <w:szCs w:val="32"/>
          <w:highlight w:val="none"/>
          <w:lang w:val="en-US" w:eastAsia="zh-CN" w:bidi="ar-SA"/>
        </w:rPr>
      </w:pPr>
      <w:r>
        <w:rPr>
          <w:rFonts w:ascii="仿宋" w:eastAsia="仿宋" w:hAnsi="仿宋" w:cs="仿宋" w:hint="eastAsia"/>
          <w:b w:val="0"/>
          <w:bCs/>
          <w:color w:val="auto"/>
          <w:kern w:val="2"/>
          <w:sz w:val="32"/>
          <w:szCs w:val="32"/>
          <w:highlight w:val="none"/>
          <w:lang w:val="en-US" w:eastAsia="zh-CN" w:bidi="ar-SA"/>
        </w:rPr>
        <w:t xml:space="preserve">指标2：国有林修复-森林抚育费用，预期指标值</w:t>
      </w:r>
      <w:r>
        <w:rPr>
          <w:rFonts w:ascii="仿宋" w:eastAsia="仿宋" w:hAnsi="仿宋" w:cs="仿宋" w:hint="eastAsia"/>
          <w:color w:val="auto"/>
          <w:highlight w:val="none"/>
          <w:lang w:eastAsia="zh-CN"/>
        </w:rPr>
        <w:t xml:space="preserve">小于或等于</w:t>
      </w:r>
      <w:r>
        <w:rPr>
          <w:rFonts w:ascii="仿宋" w:eastAsia="仿宋" w:hAnsi="仿宋" w:cs="仿宋" w:hint="eastAsia"/>
          <w:b w:val="0"/>
          <w:bCs/>
          <w:color w:val="auto"/>
          <w:kern w:val="2"/>
          <w:sz w:val="32"/>
          <w:szCs w:val="32"/>
          <w:highlight w:val="none"/>
          <w:lang w:val="en-US" w:eastAsia="zh-CN" w:bidi="ar-SA"/>
        </w:rPr>
        <w:t xml:space="preserve">157元/亩，指标完成值：157元/亩，完成率：100%；</w:t>
      </w:r>
    </w:p>
    <w:p>
      <w:pPr>
        <w:bidi w:val="0"/>
        <w:jc w:val="both"/>
        <w:rPr>
          <w:rFonts w:ascii="仿宋" w:eastAsia="仿宋" w:hAnsi="仿宋" w:cs="仿宋" w:hint="eastAsia"/>
          <w:b w:val="0"/>
          <w:bCs/>
          <w:color w:val="auto"/>
          <w:kern w:val="2"/>
          <w:sz w:val="32"/>
          <w:szCs w:val="32"/>
          <w:highlight w:val="none"/>
          <w:lang w:val="en-US" w:eastAsia="zh-CN" w:bidi="ar-SA"/>
        </w:rPr>
      </w:pPr>
      <w:r>
        <w:rPr>
          <w:rFonts w:ascii="仿宋" w:eastAsia="仿宋" w:hAnsi="仿宋" w:cs="仿宋" w:hint="eastAsia"/>
          <w:b w:val="0"/>
          <w:bCs/>
          <w:color w:val="auto"/>
          <w:kern w:val="2"/>
          <w:sz w:val="32"/>
          <w:szCs w:val="32"/>
          <w:highlight w:val="none"/>
          <w:lang w:val="en-US" w:eastAsia="zh-CN" w:bidi="ar-SA"/>
        </w:rPr>
        <w:t xml:space="preserve">指标3：国有林修复面积-综合修复费用，预期指标值</w:t>
      </w:r>
      <w:r>
        <w:rPr>
          <w:rFonts w:ascii="仿宋" w:eastAsia="仿宋" w:hAnsi="仿宋" w:cs="仿宋" w:hint="eastAsia"/>
          <w:color w:val="auto"/>
          <w:highlight w:val="none"/>
          <w:lang w:eastAsia="zh-CN"/>
        </w:rPr>
        <w:t xml:space="preserve">小于或等于</w:t>
      </w:r>
      <w:r>
        <w:rPr>
          <w:rFonts w:ascii="仿宋" w:eastAsia="仿宋" w:hAnsi="仿宋" w:cs="仿宋" w:hint="eastAsia"/>
          <w:b w:val="0"/>
          <w:bCs/>
          <w:color w:val="auto"/>
          <w:kern w:val="2"/>
          <w:sz w:val="32"/>
          <w:szCs w:val="32"/>
          <w:highlight w:val="none"/>
          <w:lang w:val="en-US" w:eastAsia="zh-CN" w:bidi="ar-SA"/>
        </w:rPr>
        <w:t xml:space="preserve">14.60元/亩，指标完成值：14.60元/亩，完成率：100%；</w:t>
      </w:r>
    </w:p>
    <w:p>
      <w:pPr>
        <w:bidi w:val="0"/>
        <w:jc w:val="both"/>
        <w:rPr>
          <w:rFonts w:ascii="仿宋" w:eastAsia="仿宋" w:hAnsi="仿宋" w:cs="仿宋" w:hint="eastAsia"/>
          <w:b w:val="0"/>
          <w:bCs/>
          <w:color w:val="auto"/>
          <w:kern w:val="2"/>
          <w:sz w:val="32"/>
          <w:szCs w:val="32"/>
          <w:highlight w:val="none"/>
          <w:lang w:val="en-US" w:eastAsia="zh-CN" w:bidi="ar-SA"/>
        </w:rPr>
      </w:pPr>
      <w:r>
        <w:rPr>
          <w:rFonts w:ascii="仿宋" w:eastAsia="仿宋" w:hAnsi="仿宋" w:cs="仿宋" w:hint="eastAsia"/>
          <w:b w:val="0"/>
          <w:bCs/>
          <w:color w:val="auto"/>
          <w:kern w:val="2"/>
          <w:sz w:val="32"/>
          <w:szCs w:val="32"/>
          <w:highlight w:val="none"/>
          <w:lang w:val="en-US" w:eastAsia="zh-CN" w:bidi="ar-SA"/>
        </w:rPr>
        <w:t xml:space="preserve">指标4：国有林修复-胡杨林春尺蠖飞机防治费用，预期指标值</w:t>
      </w:r>
      <w:r>
        <w:rPr>
          <w:rFonts w:ascii="仿宋" w:eastAsia="仿宋" w:hAnsi="仿宋" w:cs="仿宋" w:hint="eastAsia"/>
          <w:color w:val="auto"/>
          <w:highlight w:val="none"/>
          <w:lang w:eastAsia="zh-CN"/>
        </w:rPr>
        <w:t xml:space="preserve">小于或等于</w:t>
      </w:r>
      <w:r>
        <w:rPr>
          <w:rFonts w:ascii="仿宋" w:eastAsia="仿宋" w:hAnsi="仿宋" w:cs="仿宋" w:hint="eastAsia"/>
          <w:b w:val="0"/>
          <w:bCs/>
          <w:color w:val="auto"/>
          <w:kern w:val="2"/>
          <w:sz w:val="32"/>
          <w:szCs w:val="32"/>
          <w:highlight w:val="none"/>
          <w:lang w:val="en-US" w:eastAsia="zh-CN" w:bidi="ar-SA"/>
        </w:rPr>
        <w:t xml:space="preserve">6.78元/亩，指标完成值：6.78元/亩，完成率：100%；</w:t>
      </w:r>
    </w:p>
    <w:p>
      <w:pPr>
        <w:bidi w:val="0"/>
        <w:jc w:val="both"/>
        <w:rPr>
          <w:rFonts w:ascii="仿宋" w:eastAsia="仿宋" w:hAnsi="仿宋" w:cs="仿宋" w:hint="eastAsia"/>
          <w:b w:val="0"/>
          <w:bCs/>
          <w:color w:val="auto"/>
          <w:kern w:val="2"/>
          <w:sz w:val="32"/>
          <w:szCs w:val="32"/>
          <w:highlight w:val="none"/>
          <w:lang w:val="en-US" w:eastAsia="zh-CN" w:bidi="ar-SA"/>
        </w:rPr>
      </w:pPr>
      <w:r>
        <w:rPr>
          <w:rFonts w:ascii="仿宋" w:eastAsia="仿宋" w:hAnsi="仿宋" w:cs="仿宋" w:hint="eastAsia"/>
          <w:b w:val="0"/>
          <w:bCs/>
          <w:color w:val="auto"/>
          <w:kern w:val="2"/>
          <w:sz w:val="32"/>
          <w:szCs w:val="32"/>
          <w:highlight w:val="none"/>
          <w:lang w:val="en-US" w:eastAsia="zh-CN" w:bidi="ar-SA"/>
        </w:rPr>
        <w:t xml:space="preserve">指标5：国有林修复-鼠兔害综合防治费用，预期指标值</w:t>
      </w:r>
      <w:r>
        <w:rPr>
          <w:rFonts w:ascii="仿宋" w:eastAsia="仿宋" w:hAnsi="仿宋" w:cs="仿宋" w:hint="eastAsia"/>
          <w:color w:val="auto"/>
          <w:highlight w:val="none"/>
          <w:lang w:eastAsia="zh-CN"/>
        </w:rPr>
        <w:t xml:space="preserve">小于或等于</w:t>
      </w:r>
      <w:r>
        <w:rPr>
          <w:rFonts w:ascii="仿宋" w:eastAsia="仿宋" w:hAnsi="仿宋" w:cs="仿宋" w:hint="eastAsia"/>
          <w:b w:val="0"/>
          <w:bCs/>
          <w:color w:val="auto"/>
          <w:kern w:val="2"/>
          <w:sz w:val="32"/>
          <w:szCs w:val="32"/>
          <w:highlight w:val="none"/>
          <w:lang w:val="en-US" w:eastAsia="zh-CN" w:bidi="ar-SA"/>
        </w:rPr>
        <w:t xml:space="preserve">9.60元/亩，指标完成值：9.60元/亩，完成率：100%；</w:t>
      </w:r>
    </w:p>
    <w:p>
      <w:pPr>
        <w:bidi w:val="0"/>
        <w:jc w:val="both"/>
        <w:rPr>
          <w:rFonts w:ascii="仿宋" w:eastAsia="仿宋" w:hAnsi="仿宋" w:cs="仿宋" w:hint="eastAsia"/>
          <w:b w:val="0"/>
          <w:bCs/>
          <w:color w:val="auto"/>
          <w:kern w:val="2"/>
          <w:sz w:val="32"/>
          <w:szCs w:val="32"/>
          <w:highlight w:val="none"/>
          <w:lang w:val="en-US" w:eastAsia="zh-CN" w:bidi="ar-SA"/>
        </w:rPr>
      </w:pPr>
      <w:r>
        <w:rPr>
          <w:rFonts w:ascii="仿宋" w:eastAsia="仿宋" w:hAnsi="仿宋" w:cs="仿宋" w:hint="eastAsia"/>
          <w:b w:val="0"/>
          <w:bCs/>
          <w:color w:val="auto"/>
          <w:kern w:val="2"/>
          <w:sz w:val="32"/>
          <w:szCs w:val="32"/>
          <w:highlight w:val="none"/>
          <w:lang w:val="en-US" w:eastAsia="zh-CN" w:bidi="ar-SA"/>
        </w:rPr>
        <w:t xml:space="preserve">指标6：应急分队保障费用，预期指标值</w:t>
      </w:r>
      <w:r>
        <w:rPr>
          <w:rFonts w:ascii="仿宋" w:eastAsia="仿宋" w:hAnsi="仿宋" w:cs="仿宋" w:hint="eastAsia"/>
          <w:color w:val="auto"/>
          <w:highlight w:val="none"/>
          <w:lang w:eastAsia="zh-CN"/>
        </w:rPr>
        <w:t xml:space="preserve">小于或等于</w:t>
      </w:r>
      <w:r>
        <w:rPr>
          <w:rFonts w:ascii="仿宋" w:eastAsia="仿宋" w:hAnsi="仿宋" w:cs="仿宋" w:hint="eastAsia"/>
          <w:b w:val="0"/>
          <w:bCs/>
          <w:color w:val="auto"/>
          <w:kern w:val="2"/>
          <w:sz w:val="32"/>
          <w:szCs w:val="32"/>
          <w:highlight w:val="none"/>
          <w:lang w:val="en-US" w:eastAsia="zh-CN" w:bidi="ar-SA"/>
        </w:rPr>
        <w:t xml:space="preserve">17.33万元，指标完成值：17.33万元，完成率：100%；</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pStyle w:val="Heading3"/>
        <w:bidi w:val="0"/>
        <w:jc w:val="both"/>
        <w:outlineLvl w:val="1"/>
        <w:rPr>
          <w:rFonts w:ascii="仿宋" w:eastAsia="仿宋" w:hAnsi="仿宋" w:cs="仿宋" w:hint="eastAsia"/>
          <w:color w:val="auto"/>
          <w:highlight w:val="none"/>
        </w:rPr>
      </w:pPr>
      <w:bookmarkStart w:id="189" w:name="_Toc14881"/>
      <w:bookmarkStart w:id="190" w:name="_Toc26731"/>
      <w:bookmarkStart w:id="191" w:name="_Toc25505"/>
      <w:bookmarkStart w:id="192" w:name="_Toc27548"/>
      <w:bookmarkStart w:id="193" w:name="_Toc18194"/>
      <w:bookmarkStart w:id="194" w:name="_Toc24492"/>
      <w:bookmarkStart w:id="195" w:name="_Toc14322"/>
      <w:r>
        <w:rPr>
          <w:rFonts w:ascii="仿宋" w:eastAsia="仿宋" w:hAnsi="仿宋" w:cs="仿宋" w:hint="eastAsia"/>
          <w:color w:val="auto"/>
          <w:highlight w:val="none"/>
        </w:rPr>
        <w:t xml:space="preserve">（四）项目效益情况</w:t>
      </w:r>
      <w:bookmarkEnd w:id="189"/>
      <w:bookmarkEnd w:id="190"/>
      <w:bookmarkEnd w:id="191"/>
      <w:bookmarkEnd w:id="192"/>
      <w:bookmarkEnd w:id="193"/>
      <w:bookmarkEnd w:id="194"/>
      <w:bookmarkEnd w:id="195"/>
    </w:p>
    <w:p>
      <w:pPr>
        <w:bidi w:val="0"/>
        <w:jc w:val="both"/>
        <w:rPr>
          <w:rFonts w:ascii="仿宋" w:eastAsia="仿宋" w:hAnsi="仿宋" w:cs="仿宋" w:hint="eastAsia"/>
          <w:b/>
          <w:bCs/>
          <w:color w:val="auto"/>
          <w:highlight w:val="none"/>
        </w:rPr>
      </w:pPr>
      <w:bookmarkStart w:id="196" w:name="_Toc8370"/>
      <w:bookmarkStart w:id="197" w:name="_Toc15599"/>
      <w:bookmarkStart w:id="198" w:name="OLE_LINK20"/>
      <w:r>
        <w:rPr>
          <w:rFonts w:ascii="仿宋" w:eastAsia="仿宋" w:hAnsi="仿宋" w:cs="仿宋" w:hint="eastAsia"/>
          <w:b/>
          <w:bCs/>
          <w:color w:val="auto"/>
          <w:highlight w:val="none"/>
        </w:rPr>
        <w:t xml:space="preserve">1.实施效益</w:t>
      </w:r>
      <w:bookmarkEnd w:id="196"/>
      <w:bookmarkEnd w:id="197"/>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本项目实施所产生的效益主要包括生态效益。</w:t>
      </w:r>
    </w:p>
    <w:p>
      <w:pPr>
        <w:bidi w:val="0"/>
        <w:jc w:val="both"/>
        <w:rPr>
          <w:rFonts w:ascii="仿宋" w:eastAsia="仿宋" w:hAnsi="仿宋" w:cs="仿宋" w:hint="eastAsia"/>
          <w:color w:val="auto"/>
          <w:highlight w:val="none"/>
          <w:lang w:eastAsia="zh-CN"/>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生态效益</w:t>
      </w:r>
      <w:r>
        <w:rPr>
          <w:rFonts w:ascii="仿宋" w:eastAsia="仿宋" w:hAnsi="仿宋" w:cs="仿宋" w:hint="eastAsia"/>
          <w:color w:val="auto"/>
          <w:highlight w:val="none"/>
          <w:lang w:eastAsia="zh-CN"/>
        </w:rPr>
        <w:t xml:space="preserve">：</w:t>
      </w:r>
    </w:p>
    <w:p>
      <w:pP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指标1：生态系统和生物多样性，</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：有效保护</w:t>
      </w:r>
      <w:r>
        <w:rPr>
          <w:rFonts w:ascii="仿宋" w:eastAsia="仿宋" w:hAnsi="仿宋" w:cs="仿宋" w:hint="eastAsia"/>
          <w:color w:val="auto"/>
          <w:highlight w:val="none"/>
        </w:rPr>
        <w:t xml:space="preserve">，</w:t>
      </w:r>
      <w:r>
        <w:rPr>
          <w:rFonts w:ascii="仿宋" w:eastAsia="仿宋" w:hAnsi="仿宋" w:cs="仿宋" w:hint="eastAsia"/>
          <w:b w:val="0"/>
          <w:bCs/>
          <w:color w:val="auto"/>
          <w:kern w:val="2"/>
          <w:sz w:val="32"/>
          <w:szCs w:val="32"/>
          <w:highlight w:val="none"/>
          <w:lang w:val="en-US" w:eastAsia="zh-CN" w:bidi="ar-SA"/>
        </w:rPr>
        <w:t xml:space="preserve">实际完成值：达成目标</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p>
    <w:p>
      <w:pPr>
        <w:pStyle w:val="_Style1"/>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指标2：森林生态系统生态效益发挥，</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作用</w:t>
      </w:r>
      <w:r>
        <w:rPr>
          <w:rFonts w:ascii="仿宋" w:eastAsia="仿宋" w:hAnsi="仿宋" w:cs="仿宋" w:hint="eastAsia"/>
          <w:color w:val="auto"/>
          <w:highlight w:val="none"/>
          <w:lang w:eastAsia="zh-CN"/>
        </w:rPr>
        <w:t xml:space="preserve">明显</w:t>
      </w:r>
      <w:r>
        <w:rPr>
          <w:rFonts w:ascii="仿宋" w:eastAsia="仿宋" w:hAnsi="仿宋" w:cs="仿宋" w:hint="eastAsia"/>
          <w:color w:val="auto"/>
          <w:highlight w:val="none"/>
        </w:rPr>
        <w:t xml:space="preserve">，实际完成值：达成目标，完成率：</w:t>
      </w:r>
      <w:r>
        <w:rPr>
          <w:rFonts w:ascii="仿宋" w:eastAsia="仿宋" w:hAnsi="仿宋" w:cs="仿宋" w:hint="eastAsia"/>
          <w:color w:val="auto"/>
          <w:highlight w:val="none"/>
          <w:lang w:val="en-US" w:eastAsia="zh-CN"/>
        </w:rPr>
        <w:t xml:space="preserve">100%。</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bookmarkEnd w:id="198"/>
    </w:p>
    <w:p>
      <w:pPr>
        <w:bidi w:val="0"/>
        <w:jc w:val="both"/>
        <w:rPr>
          <w:rFonts w:ascii="仿宋" w:eastAsia="仿宋" w:hAnsi="仿宋" w:cs="仿宋" w:hint="eastAsia"/>
          <w:b/>
          <w:bCs/>
          <w:color w:val="auto"/>
          <w:highlight w:val="none"/>
        </w:rPr>
      </w:pPr>
      <w:bookmarkStart w:id="199" w:name="_Toc20772"/>
      <w:bookmarkStart w:id="200" w:name="_Toc31503"/>
      <w:r>
        <w:rPr>
          <w:rFonts w:ascii="仿宋" w:eastAsia="仿宋" w:hAnsi="仿宋" w:cs="仿宋" w:hint="eastAsia"/>
          <w:b/>
          <w:bCs/>
          <w:color w:val="auto"/>
          <w:highlight w:val="none"/>
        </w:rPr>
        <w:t xml:space="preserve">2.满意度</w:t>
      </w:r>
      <w:bookmarkEnd w:id="199"/>
      <w:bookmarkEnd w:id="200"/>
    </w:p>
    <w:p>
      <w:pPr>
        <w:bidi w:val="0"/>
        <w:jc w:val="both"/>
        <w:rPr>
          <w:rFonts w:ascii="仿宋" w:eastAsia="仿宋" w:hAnsi="仿宋" w:cs="仿宋" w:hint="eastAsia"/>
          <w:color w:val="auto"/>
          <w:highlight w:val="none"/>
          <w:lang w:val="en-US" w:eastAsia="zh-CN"/>
        </w:rPr>
      </w:pPr>
      <w:bookmarkStart w:id="201" w:name="OLE_LINK21"/>
      <w:r>
        <w:rPr>
          <w:rFonts w:ascii="仿宋" w:eastAsia="仿宋" w:hAnsi="仿宋" w:cs="仿宋" w:hint="eastAsia"/>
          <w:color w:val="auto"/>
          <w:highlight w:val="none"/>
        </w:rPr>
        <w:t xml:space="preserve">本项目服务对象和受益群众主要是</w:t>
      </w:r>
      <w:r>
        <w:rPr>
          <w:rFonts w:ascii="仿宋" w:eastAsia="仿宋" w:hAnsi="仿宋" w:cs="仿宋" w:hint="eastAsia"/>
          <w:color w:val="auto"/>
          <w:highlight w:val="none"/>
          <w:lang w:val="en-US" w:eastAsia="zh-CN"/>
        </w:rPr>
        <w:t xml:space="preserve">林区职工及周边群众</w:t>
      </w:r>
      <w:r>
        <w:rPr>
          <w:rFonts w:ascii="仿宋" w:eastAsia="仿宋" w:hAnsi="仿宋" w:cs="仿宋" w:hint="eastAsia"/>
          <w:color w:val="auto"/>
          <w:highlight w:val="none"/>
        </w:rPr>
        <w:t xml:space="preserve">，通过问卷调查方式收集服务对象和受益群众对本项目实施的满意度。调查人群都表示很满意，都认为本项目实施后，</w:t>
      </w:r>
      <w:r>
        <w:rPr>
          <w:rFonts w:ascii="仿宋" w:eastAsia="仿宋" w:hAnsi="仿宋" w:cs="仿宋" w:hint="eastAsia"/>
          <w:color w:val="auto"/>
          <w:highlight w:val="none"/>
          <w:lang w:val="en-US" w:eastAsia="zh-CN"/>
        </w:rPr>
        <w:t xml:space="preserve">提高了林区职工收益；项目实施改善了项目区群众居住环境及生态环境。</w:t>
      </w:r>
      <w:bookmarkEnd w:id="201"/>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pStyle w:val="Heading2"/>
        <w:bidi w:val="0"/>
        <w:jc w:val="both"/>
        <w:outlineLvl w:val="0"/>
        <w:rPr>
          <w:rFonts w:ascii="仿宋" w:eastAsia="仿宋" w:hAnsi="仿宋" w:cs="仿宋" w:hint="eastAsia"/>
          <w:color w:val="auto"/>
          <w:highlight w:val="none"/>
        </w:rPr>
      </w:pPr>
      <w:bookmarkStart w:id="202" w:name="_Toc20183"/>
      <w:bookmarkStart w:id="203" w:name="_Toc20473"/>
      <w:bookmarkStart w:id="204" w:name="_Toc23114"/>
      <w:bookmarkStart w:id="205" w:name="_Toc17413"/>
      <w:bookmarkStart w:id="206" w:name="_Toc14457"/>
      <w:bookmarkStart w:id="207" w:name="_Toc31733"/>
      <w:bookmarkStart w:id="208" w:name="_Toc24261"/>
      <w:bookmarkStart w:id="209" w:name="_Toc3310"/>
      <w:r>
        <w:rPr>
          <w:rFonts w:ascii="仿宋" w:eastAsia="仿宋" w:hAnsi="仿宋" w:cs="仿宋" w:hint="eastAsia"/>
          <w:color w:val="auto"/>
          <w:highlight w:val="none"/>
        </w:rPr>
        <w:t xml:space="preserve">五、主要经验及做法、存在的问题及原因分析</w:t>
      </w:r>
      <w:bookmarkEnd w:id="202"/>
      <w:bookmarkEnd w:id="203"/>
      <w:bookmarkEnd w:id="204"/>
      <w:bookmarkEnd w:id="205"/>
      <w:bookmarkEnd w:id="206"/>
      <w:bookmarkEnd w:id="207"/>
      <w:bookmarkEnd w:id="208"/>
      <w:bookmarkEnd w:id="209"/>
    </w:p>
    <w:p>
      <w:pPr>
        <w:pStyle w:val="Heading3"/>
        <w:bidi w:val="0"/>
        <w:jc w:val="both"/>
        <w:outlineLvl w:val="1"/>
        <w:rPr>
          <w:rFonts w:ascii="仿宋" w:eastAsia="仿宋" w:hAnsi="仿宋" w:cs="仿宋" w:hint="eastAsia"/>
          <w:color w:val="auto"/>
          <w:highlight w:val="none"/>
        </w:rPr>
      </w:pPr>
      <w:bookmarkStart w:id="210" w:name="_Toc24508"/>
      <w:bookmarkStart w:id="211" w:name="_Toc14470"/>
      <w:bookmarkStart w:id="212" w:name="_Toc14362"/>
      <w:bookmarkStart w:id="213" w:name="_Toc6522"/>
      <w:bookmarkStart w:id="214" w:name="_Toc10514"/>
      <w:bookmarkStart w:id="215" w:name="_Toc6481"/>
      <w:bookmarkStart w:id="216" w:name="_Toc6741"/>
      <w:r>
        <w:rPr>
          <w:rFonts w:ascii="仿宋" w:eastAsia="仿宋" w:hAnsi="仿宋" w:cs="仿宋" w:hint="eastAsia"/>
          <w:color w:val="auto"/>
          <w:highlight w:val="none"/>
        </w:rPr>
        <w:t xml:space="preserve">（一）主要经验及做法</w:t>
      </w:r>
      <w:bookmarkEnd w:id="210"/>
      <w:bookmarkEnd w:id="211"/>
      <w:bookmarkEnd w:id="212"/>
      <w:bookmarkEnd w:id="213"/>
      <w:bookmarkEnd w:id="214"/>
      <w:bookmarkEnd w:id="215"/>
      <w:bookmarkEnd w:id="216"/>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2024年中央林业草原生态保护恢复资金项目</w:t>
      </w:r>
      <w:r>
        <w:rPr>
          <w:rFonts w:ascii="仿宋" w:eastAsia="仿宋" w:hAnsi="仿宋" w:cs="仿宋" w:hint="eastAsia"/>
          <w:color w:val="auto"/>
          <w:highlight w:val="none"/>
        </w:rPr>
        <w:t xml:space="preserve">在</w:t>
      </w:r>
      <w:r>
        <w:rPr>
          <w:rFonts w:ascii="仿宋" w:eastAsia="仿宋" w:hAnsi="仿宋" w:cs="仿宋" w:hint="eastAsia"/>
          <w:color w:val="auto"/>
          <w:highlight w:val="none"/>
        </w:rPr>
        <w:t xml:space="preserve">县委、县政府</w:t>
      </w:r>
      <w:r>
        <w:rPr>
          <w:rFonts w:ascii="仿宋" w:eastAsia="仿宋" w:hAnsi="仿宋" w:cs="仿宋" w:hint="eastAsia"/>
          <w:color w:val="auto"/>
          <w:highlight w:val="none"/>
        </w:rPr>
        <w:t xml:space="preserve">的支持下，在相关部门的配合下，全面顺利完成，绩效评价“优”，主要经验及做法如下：</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 科学规划与精准施策。在项目实施过程中，我局坚持科学规划与精准施策相结合，确保生态保护与恢复成效。针对森林抚育和引洪灌溉，通过实地勘察和数据分析，划分重点区域，制定差异化措施。例如，在退化林区采用疏伐、补植相结合的方式提升森林质量；在干旱区域实施引洪灌溉，合理利用洪水资源，促进植被恢复。同时，引入专家团队全程指导，确保技术规范落实到位。通过精准施策，项目区生态系统稳定性增强，为后续保护工作奠定了坚实基础。</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 多措并举强化有害生物防治。有害生物防治是生态保护的关键环节。我局采取“预防为主、综合治理”的策略，建立监测预警体系，定期开展病虫害普查，做到早发现、早处置。针对不同有害生物种类，综合运用物理防治（如诱捕器）和化学防治（低毒药剂）手段，减少对环境的影响。项目实施后，有害生物扩散趋势得到有效遏制，林木健康状态明显改善，生态效益和经济效益同步提升。</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 强化管护能力与长效机制建设。为巩固项目成果，我局重点加强管护队伍建设和长效机制构建。一方面，采购现代化防火物资，开展防火演练和技能培训，提升应急响应能力；另一方面，通过定期培训提升管护人员的专业素养，内容涵盖森林法规、巡护技巧和生态修复技术。同时，建立</w:t>
      </w:r>
      <w:bookmarkStart w:id="217" w:name="OLE_LINK16"/>
      <w:r>
        <w:rPr>
          <w:rFonts w:ascii="仿宋" w:eastAsia="仿宋" w:hAnsi="仿宋" w:cs="仿宋" w:hint="eastAsia"/>
          <w:color w:val="auto"/>
          <w:highlight w:val="none"/>
          <w:lang w:val="en-US" w:eastAsia="zh-CN"/>
        </w:rPr>
        <w:t xml:space="preserve">“</w:t>
      </w:r>
      <w:bookmarkEnd w:id="217"/>
      <w:r>
        <w:rPr>
          <w:rFonts w:ascii="仿宋" w:eastAsia="仿宋" w:hAnsi="仿宋" w:cs="仿宋" w:hint="eastAsia"/>
          <w:color w:val="auto"/>
          <w:highlight w:val="none"/>
          <w:lang w:val="en-US" w:eastAsia="zh-CN"/>
        </w:rPr>
        <w:t xml:space="preserve">林长制+网格化</w:t>
      </w:r>
      <w:bookmarkStart w:id="218" w:name="OLE_LINK17"/>
      <w:r>
        <w:rPr>
          <w:rFonts w:ascii="仿宋" w:eastAsia="仿宋" w:hAnsi="仿宋" w:cs="仿宋" w:hint="eastAsia"/>
          <w:color w:val="auto"/>
          <w:highlight w:val="none"/>
          <w:lang w:val="en-US" w:eastAsia="zh-CN"/>
        </w:rPr>
        <w:t xml:space="preserve">”</w:t>
      </w:r>
      <w:bookmarkEnd w:id="218"/>
      <w:r>
        <w:rPr>
          <w:rFonts w:ascii="仿宋" w:eastAsia="仿宋" w:hAnsi="仿宋" w:cs="仿宋" w:hint="eastAsia"/>
          <w:color w:val="auto"/>
          <w:highlight w:val="none"/>
          <w:lang w:val="en-US" w:eastAsia="zh-CN"/>
        </w:rPr>
        <w:t xml:space="preserve">管理模式，明确责任分工，将管护成效纳入考核。此外，积极引导林区周边群众投入生态保护工作，形成社会共治格局。这些措施有效保障了项目可持续性，实现了从“短期修复”到“长期管护”的转变。</w:t>
      </w:r>
    </w:p>
    <w:p>
      <w:pPr>
        <w:pStyle w:val="Heading3"/>
        <w:keepNext w:val="0"/>
        <w:keepLines w:val="0"/>
        <w:pageBreakBefore w:val="0"/>
        <w:widowControl w:val="0"/>
        <w:kinsoku/>
        <w:wordWrap/>
        <w:overflowPunct/>
        <w:topLinePunct w:val="0"/>
        <w:autoSpaceDE/>
        <w:autoSpaceDN/>
        <w:bidi w:val="0"/>
        <w:adjustRightInd/>
        <w:snapToGrid/>
        <w:jc w:val="both"/>
        <w:textAlignment w:val="auto"/>
        <w:outlineLvl w:val="1"/>
        <w:rPr>
          <w:rFonts w:ascii="仿宋" w:eastAsia="仿宋" w:hAnsi="仿宋" w:cs="仿宋" w:hint="eastAsia"/>
          <w:color w:val="auto"/>
          <w:highlight w:val="none"/>
        </w:rPr>
      </w:pPr>
      <w:bookmarkStart w:id="219" w:name="_Toc19354"/>
      <w:bookmarkStart w:id="220" w:name="_Toc28730"/>
      <w:bookmarkStart w:id="221" w:name="_Toc4673"/>
      <w:bookmarkStart w:id="222" w:name="_Toc6359"/>
      <w:bookmarkStart w:id="223" w:name="_Toc13511"/>
      <w:bookmarkStart w:id="224" w:name="_Toc11238"/>
      <w:bookmarkStart w:id="225" w:name="_Toc27408"/>
      <w:r>
        <w:rPr>
          <w:rFonts w:ascii="仿宋" w:eastAsia="仿宋" w:hAnsi="仿宋" w:cs="仿宋" w:hint="eastAsia"/>
          <w:color w:val="auto"/>
          <w:highlight w:val="none"/>
        </w:rPr>
        <w:t xml:space="preserve">（二）存在的问题及分析</w:t>
      </w:r>
      <w:bookmarkEnd w:id="219"/>
      <w:bookmarkEnd w:id="220"/>
      <w:bookmarkEnd w:id="221"/>
      <w:bookmarkEnd w:id="222"/>
      <w:bookmarkEnd w:id="223"/>
      <w:bookmarkEnd w:id="224"/>
      <w:bookmarkEnd w:id="225"/>
    </w:p>
    <w:p>
      <w:pPr>
        <w:bidi w:val="0"/>
        <w:rPr>
          <w:rFonts w:ascii="仿宋" w:eastAsia="仿宋" w:hAnsi="仿宋" w:cs="仿宋" w:hint="eastAsia"/>
          <w:color w:val="auto"/>
          <w:highlight w:val="none"/>
          <w:lang w:val="en-US" w:eastAsia="zh-CN"/>
        </w:rPr>
      </w:pPr>
      <w:bookmarkStart w:id="226" w:name="_Toc25063"/>
      <w:bookmarkStart w:id="227" w:name="_Toc7316"/>
      <w:bookmarkStart w:id="228" w:name="_Toc22271"/>
      <w:bookmarkStart w:id="229" w:name="_Toc5702"/>
      <w:bookmarkStart w:id="230" w:name="_Toc13345"/>
      <w:bookmarkStart w:id="231" w:name="_Toc13270"/>
      <w:bookmarkStart w:id="232" w:name="_Toc20116"/>
      <w:r>
        <w:rPr>
          <w:rFonts w:ascii="仿宋" w:eastAsia="仿宋" w:hAnsi="仿宋" w:cs="仿宋" w:hint="eastAsia"/>
          <w:color w:val="auto"/>
          <w:highlight w:val="none"/>
          <w:lang w:val="en-US" w:eastAsia="zh-CN"/>
        </w:rPr>
        <w:t xml:space="preserve">1.部门协作与责任落实存在短板。项目涉及林业、水利、应急管理等多部门协同，但实际执行中职责边界模糊，协调效率较低。此外，部分管护人员培训流于形式，课程内容与一线需求脱节，实操能力提升有限。深层次原因在于跨部门联动制度未有效建立，考核机制未将协作成效纳入评价体系。此类问题削弱了项目整体执行力，需通过权责清单化和数据共享平台建设打破壁垒。</w:t>
      </w:r>
      <w:bookmarkEnd w:id="226"/>
      <w:bookmarkEnd w:id="227"/>
    </w:p>
    <w:p>
      <w:pPr>
        <w:bidi w:val="0"/>
        <w:rPr>
          <w:rFonts w:ascii="仿宋" w:eastAsia="仿宋" w:hAnsi="仿宋" w:cs="仿宋" w:hint="eastAsia"/>
          <w:color w:val="auto"/>
          <w:highlight w:val="none"/>
          <w:lang w:val="en-US" w:eastAsia="zh-CN"/>
        </w:rPr>
      </w:pPr>
      <w:bookmarkStart w:id="233" w:name="_Toc19312"/>
      <w:bookmarkStart w:id="234" w:name="_Toc4780"/>
      <w:r>
        <w:rPr>
          <w:rFonts w:ascii="仿宋" w:eastAsia="仿宋" w:hAnsi="仿宋" w:cs="仿宋" w:hint="eastAsia"/>
          <w:color w:val="auto"/>
          <w:highlight w:val="none"/>
          <w:lang w:val="en-US" w:eastAsia="zh-CN"/>
        </w:rPr>
        <w:t xml:space="preserve">2.技术应用与基层执行能力不足。部分生态修复技术在实际应用中面临“水土不服”。例如，智能化防火设备因基层人员操作技能不足，使用率低于预期。同时，有害生物生物防治技术推广受限，部分管护人员仍依赖传统化学防治，影响生态安全性。</w:t>
      </w:r>
      <w:bookmarkEnd w:id="233"/>
      <w:bookmarkEnd w:id="234"/>
    </w:p>
    <w:p>
      <w:pPr>
        <w:pStyle w:val="Heading2"/>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0"/>
        <w:rPr>
          <w:rFonts w:ascii="仿宋" w:eastAsia="仿宋" w:hAnsi="仿宋" w:cs="仿宋" w:hint="eastAsia"/>
          <w:color w:val="auto"/>
          <w:highlight w:val="none"/>
        </w:rPr>
      </w:pPr>
      <w:bookmarkStart w:id="235" w:name="_Toc6918"/>
      <w:bookmarkStart w:id="236" w:name="_Toc7553"/>
      <w:bookmarkStart w:id="237" w:name="_Toc11093"/>
      <w:r>
        <w:rPr>
          <w:rFonts w:ascii="仿宋" w:eastAsia="仿宋" w:hAnsi="仿宋" w:cs="仿宋" w:hint="eastAsia"/>
          <w:color w:val="auto"/>
          <w:highlight w:val="none"/>
        </w:rPr>
        <w:t xml:space="preserve">六、有关建议</w:t>
      </w:r>
      <w:bookmarkEnd w:id="228"/>
      <w:bookmarkEnd w:id="229"/>
      <w:bookmarkEnd w:id="230"/>
      <w:bookmarkEnd w:id="231"/>
      <w:bookmarkEnd w:id="232"/>
      <w:bookmarkEnd w:id="235"/>
      <w:bookmarkEnd w:id="236"/>
      <w:bookmarkEnd w:id="237"/>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eastAsia="仿宋" w:hAnsi="仿宋" w:cs="仿宋" w:hint="eastAsia"/>
          <w:color w:val="auto"/>
          <w:highlight w:val="none"/>
          <w:lang w:val="en-US" w:eastAsia="zh-CN"/>
        </w:rPr>
      </w:pPr>
      <w:bookmarkStart w:id="238" w:name="_Toc10982"/>
      <w:bookmarkStart w:id="239" w:name="_Toc31098"/>
      <w:bookmarkStart w:id="240" w:name="OLE_LINK22"/>
      <w:bookmarkStart w:id="241" w:name="_Toc12100"/>
      <w:bookmarkStart w:id="242" w:name="_Toc21621"/>
      <w:bookmarkStart w:id="243" w:name="_Toc5794"/>
      <w:bookmarkStart w:id="244" w:name="_Toc22823"/>
      <w:bookmarkStart w:id="245" w:name="_Toc24871"/>
      <w:r>
        <w:rPr>
          <w:rFonts w:ascii="仿宋" w:eastAsia="仿宋" w:hAnsi="仿宋" w:cs="仿宋" w:hint="eastAsia"/>
          <w:color w:val="auto"/>
          <w:highlight w:val="none"/>
          <w:lang w:val="en-US" w:eastAsia="zh-CN"/>
        </w:rPr>
        <w:t xml:space="preserve">1.推行“林长制+网格化”责任体系，明确乡政府及村委会的管护边界和考核指标，将协作成效纳入干部绩效评价；优化管护人员培训机制，采用“需求调研+定制课程+实操考核”模式，增加防火演练、有害生物识别等实战内容，并建立培训档案跟踪效果。此外，定期检查责任落实情况，及时纠偏堵漏。通过制度约束和激励并重，形成高效协同的工作格局。</w:t>
      </w:r>
      <w:bookmarkEnd w:id="238"/>
      <w:bookmarkEnd w:id="239"/>
      <w:r>
        <w:rPr>
          <w:rFonts w:ascii="仿宋" w:eastAsia="仿宋" w:hAnsi="仿宋" w:cs="仿宋" w:hint="eastAsia"/>
          <w:color w:val="auto"/>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eastAsia="仿宋" w:hAnsi="仿宋" w:cs="仿宋" w:hint="eastAsia"/>
          <w:color w:val="auto"/>
          <w:highlight w:val="none"/>
          <w:lang w:val="en-US" w:eastAsia="zh-CN"/>
        </w:rPr>
      </w:pPr>
      <w:bookmarkStart w:id="246" w:name="_Toc5543"/>
      <w:bookmarkStart w:id="247" w:name="_Toc21965"/>
      <w:r>
        <w:rPr>
          <w:rFonts w:ascii="仿宋" w:eastAsia="仿宋" w:hAnsi="仿宋" w:cs="仿宋" w:hint="eastAsia"/>
          <w:color w:val="auto"/>
          <w:highlight w:val="none"/>
          <w:lang w:val="en-US" w:eastAsia="zh-CN"/>
        </w:rPr>
        <w:t xml:space="preserve">2.通过驻点指导、在线课堂等方式，分层次提升基层人员技术能力，重点培养年轻技术骨干；加大智能化设备应用激励，对熟练使用防火监测无人机、病虫害AI识别系统的管护人员给予奖励。通过“技术-人才-服务”闭环建设，提升科技成果转化效率，保障生态修复可持续性。</w:t>
      </w:r>
      <w:bookmarkEnd w:id="246"/>
      <w:bookmarkEnd w:id="247"/>
      <w:bookmarkEnd w:id="240"/>
    </w:p>
    <w:p>
      <w:pPr>
        <w:pStyle w:val="Heading2"/>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0"/>
        <w:rPr>
          <w:rFonts w:ascii="仿宋" w:eastAsia="仿宋" w:hAnsi="仿宋" w:cs="仿宋" w:hint="eastAsia"/>
          <w:bCs/>
          <w:iCs/>
          <w:color w:val="auto"/>
          <w:highlight w:val="none"/>
        </w:rPr>
      </w:pPr>
      <w:bookmarkStart w:id="248" w:name="_Toc5131"/>
      <w:bookmarkStart w:id="249" w:name="_Toc563"/>
      <w:bookmarkStart w:id="250" w:name="_Toc30715"/>
      <w:r>
        <w:rPr>
          <w:rFonts w:ascii="仿宋" w:eastAsia="仿宋" w:hAnsi="仿宋" w:cs="仿宋" w:hint="eastAsia"/>
          <w:bCs/>
          <w:iCs/>
          <w:color w:val="auto"/>
          <w:highlight w:val="none"/>
        </w:rPr>
        <w:t xml:space="preserve">七、其他需要说明的问题</w:t>
      </w:r>
      <w:bookmarkEnd w:id="241"/>
      <w:bookmarkEnd w:id="242"/>
      <w:bookmarkEnd w:id="243"/>
      <w:bookmarkEnd w:id="244"/>
      <w:bookmarkEnd w:id="245"/>
      <w:bookmarkEnd w:id="248"/>
      <w:bookmarkEnd w:id="249"/>
      <w:bookmarkEnd w:id="250"/>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ascii="仿宋" w:eastAsia="仿宋" w:hAnsi="仿宋" w:cs="仿宋" w:hint="eastAsia"/>
          <w:color w:val="auto"/>
          <w:highlight w:val="none"/>
        </w:rPr>
      </w:pPr>
      <w:bookmarkStart w:id="251" w:name="_Toc32676"/>
      <w:bookmarkStart w:id="252" w:name="_Toc4210"/>
      <w:bookmarkStart w:id="253" w:name="_Toc28493"/>
      <w:bookmarkStart w:id="254" w:name="_Toc30245"/>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本项目部分间接产生的效果无法准确在短期内衡量，因此很难认定项目产生的全部效果。通过指标来反映绩效，指标的科学性和全面性需要不断地完善和研究。</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评价结果分别编入政府决算和部门预算，报送本级人民代表大会常务委员会，并依法予以公开。</w:t>
      </w:r>
    </w:p>
    <w:p>
      <w:pPr>
        <w:pStyle w:val="Heading2"/>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0"/>
        <w:rPr>
          <w:rFonts w:ascii="仿宋" w:eastAsia="仿宋" w:hAnsi="仿宋" w:cs="仿宋" w:hint="eastAsia"/>
          <w:bCs/>
          <w:iCs/>
          <w:color w:val="auto"/>
          <w:highlight w:val="none"/>
        </w:rPr>
      </w:pPr>
      <w:bookmarkStart w:id="255" w:name="_Toc6317"/>
      <w:bookmarkStart w:id="256" w:name="_Toc2501"/>
      <w:r>
        <w:rPr>
          <w:rFonts w:ascii="仿宋" w:eastAsia="仿宋" w:hAnsi="仿宋" w:cs="仿宋" w:hint="eastAsia"/>
          <w:bCs/>
          <w:iCs/>
          <w:color w:val="auto"/>
          <w:highlight w:val="none"/>
        </w:rPr>
        <w:t xml:space="preserve">八、附件</w:t>
      </w:r>
      <w:bookmarkEnd w:id="251"/>
      <w:bookmarkEnd w:id="252"/>
      <w:bookmarkEnd w:id="253"/>
      <w:bookmarkEnd w:id="254"/>
      <w:bookmarkEnd w:id="255"/>
      <w:bookmarkEnd w:id="256"/>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1、项目支出绩效自评表</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2、项目支出绩效评价指标体系及评分</w:t>
      </w:r>
    </w:p>
    <w:p>
      <w:pPr>
        <w:pStyle w:val="_Style1"/>
        <w:ind w:left="0" w:firstLine="0" w:leftChars="0" w:firstLineChars="0"/>
        <w:rPr>
          <w:rFonts w:ascii="仿宋" w:eastAsia="仿宋" w:hAnsi="仿宋" w:cs="仿宋" w:hint="eastAsia"/>
          <w:color w:val="auto"/>
          <w:highlight w:val="none"/>
        </w:rPr>
        <w:sectPr>
          <w:footerReference w:type="default" r:id="rId4"/>
          <w:pgSz w:w="11906" w:h="16838" w:orient="portrait"/>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start="1"/>
          <w:cols w:num="1" w:space="720">
            <w:col w:w="8306" w:space="720"/>
          </w:cols>
          <w:docGrid w:type="lines" w:linePitch="312" w:charSpace="0"/>
        </w:sectPr>
      </w:pPr>
    </w:p>
    <w:p>
      <w:pPr>
        <w:bidi w:val="0"/>
        <w:rPr>
          <w:rFonts w:ascii="仿宋" w:eastAsia="仿宋" w:hAnsi="仿宋" w:cs="仿宋" w:hint="eastAsia"/>
          <w:color w:val="auto"/>
          <w:highlight w:val="none"/>
        </w:rPr>
      </w:pPr>
      <w:bookmarkStart w:id="257" w:name="_Toc15698"/>
      <w:bookmarkStart w:id="258" w:name="_Toc28598"/>
      <w:bookmarkStart w:id="259" w:name="_Toc8600"/>
      <w:r>
        <w:rPr>
          <w:rFonts w:ascii="仿宋" w:eastAsia="仿宋" w:hAnsi="仿宋" w:cs="仿宋" w:hint="eastAsia"/>
          <w:color w:val="auto"/>
          <w:highlight w:val="none"/>
        </w:rPr>
        <w:t xml:space="preserve">附件1：</w:t>
      </w:r>
      <w:bookmarkEnd w:id="257"/>
      <w:bookmarkEnd w:id="258"/>
      <w:r>
        <w:rPr>
          <w:rFonts w:ascii="仿宋" w:eastAsia="仿宋" w:hAnsi="仿宋" w:cs="仿宋" w:hint="eastAsia"/>
          <w:color w:val="auto"/>
          <w:highlight w:val="none"/>
        </w:rPr>
        <w:t xml:space="preserve">项目支出绩效自评表</w:t>
      </w:r>
      <w:bookmarkEnd w:id="259"/>
      <w:bookmarkStart w:id="260" w:name="_Toc1641"/>
      <w:bookmarkStart w:id="261" w:name="_Toc28099"/>
      <w:bookmarkStart w:id="262" w:name="_Toc22143"/>
      <w:bookmarkStart w:id="263" w:name="_Toc5134"/>
    </w:p>
    <w:p>
      <w:pPr>
        <w:ind w:left="0" w:firstLine="0" w:leftChars="0" w:firstLineChars="0"/>
        <w:jc w:val="center"/>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项目支出绩效自评表</w:t>
      </w:r>
    </w:p>
    <w:tbl>
      <w:tblPr>
        <w:tblStyle w:val="NormalTabl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firstRow="0" w:lastRow="0" w:firstColumn="0" w:lastColumn="0" w:noHBand="1" w:noVBand="1"/>
      </w:tblPr>
      <w:tblGrid>
        <w:gridCol w:w="669"/>
        <w:gridCol w:w="674"/>
        <w:gridCol w:w="828"/>
        <w:gridCol w:w="1662"/>
        <w:gridCol w:w="1382"/>
        <w:gridCol w:w="1080"/>
        <w:gridCol w:w="1077"/>
        <w:gridCol w:w="825"/>
        <w:gridCol w:w="1122"/>
        <w:gridCol w:w="828"/>
        <w:gridCol w:w="957"/>
        <w:gridCol w:w="878"/>
        <w:gridCol w:w="990"/>
        <w:gridCol w:w="1016"/>
      </w:tblGrid>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355"/>
          <w:jc w:val="center"/>
        </w:trPr>
        <w:tc>
          <w:tcPr>
            <w:tcW w:w="13988" w:type="dxa"/>
            <w:gridSpan w:val="14"/>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b/>
                <w:i w:val="0"/>
                <w:color w:val="auto"/>
                <w:sz w:val="20"/>
                <w:szCs w:val="20"/>
                <w:highlight w:val="none"/>
                <w:u w:val="none"/>
              </w:rPr>
            </w:pPr>
            <w:r>
              <w:rPr>
                <w:rFonts w:ascii="仿宋" w:eastAsia="仿宋" w:hAnsi="仿宋" w:cs="仿宋" w:hint="eastAsia"/>
                <w:b/>
                <w:i w:val="0"/>
                <w:color w:val="auto"/>
                <w:kern w:val="0"/>
                <w:sz w:val="20"/>
                <w:szCs w:val="20"/>
                <w:highlight w:val="none"/>
                <w:u w:val="none"/>
                <w:lang w:val="en-US" w:eastAsia="zh-CN"/>
              </w:rPr>
              <w:t xml:space="preserve">(2024年度)</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410"/>
          <w:jc w:val="center"/>
        </w:trPr>
        <w:tc>
          <w:tcPr>
            <w:tcW w:w="1343"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项目名称</w:t>
            </w:r>
          </w:p>
        </w:tc>
        <w:tc>
          <w:tcPr>
            <w:tcW w:w="12645" w:type="dxa"/>
            <w:gridSpan w:val="1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2024年中央林业草原生态保护恢复资金</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365"/>
          <w:jc w:val="center"/>
        </w:trPr>
        <w:tc>
          <w:tcPr>
            <w:tcW w:w="1343"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主管部门</w:t>
            </w:r>
          </w:p>
        </w:tc>
        <w:tc>
          <w:tcPr>
            <w:tcW w:w="6029" w:type="dxa"/>
            <w:gridSpan w:val="5"/>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尉犁县林业和草原局</w:t>
            </w:r>
          </w:p>
        </w:tc>
        <w:tc>
          <w:tcPr>
            <w:tcW w:w="1947"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实施单位</w:t>
            </w:r>
          </w:p>
        </w:tc>
        <w:tc>
          <w:tcPr>
            <w:tcW w:w="4669" w:type="dxa"/>
            <w:gridSpan w:val="5"/>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尉犁县林业和草原局</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440"/>
          <w:jc w:val="center"/>
        </w:trPr>
        <w:tc>
          <w:tcPr>
            <w:tcW w:w="1343" w:type="dxa"/>
            <w:gridSpan w:val="2"/>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项目资金</w:t>
            </w:r>
            <w:r>
              <w:rPr>
                <w:rFonts w:ascii="仿宋" w:eastAsia="仿宋" w:hAnsi="仿宋" w:cs="仿宋" w:hint="eastAsia"/>
                <w:i w:val="0"/>
                <w:color w:val="auto"/>
                <w:kern w:val="0"/>
                <w:sz w:val="20"/>
                <w:szCs w:val="20"/>
                <w:highlight w:val="none"/>
                <w:u w:val="none"/>
                <w:lang w:val="en-US" w:eastAsia="zh-CN"/>
              </w:rPr>
              <w:br/>
            </w:r>
            <w:r>
              <w:rPr>
                <w:rFonts w:ascii="仿宋" w:eastAsia="仿宋" w:hAnsi="仿宋" w:cs="仿宋" w:hint="eastAsia"/>
                <w:i w:val="0"/>
                <w:color w:val="auto"/>
                <w:kern w:val="0"/>
                <w:sz w:val="20"/>
                <w:szCs w:val="20"/>
                <w:highlight w:val="none"/>
                <w:u w:val="none"/>
                <w:lang w:val="en-US" w:eastAsia="zh-CN"/>
              </w:rPr>
              <w:t xml:space="preserve">（万元）</w:t>
            </w:r>
          </w:p>
        </w:tc>
        <w:tc>
          <w:tcPr>
            <w:tcW w:w="2490"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资金来源</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年初预算数</w:t>
            </w:r>
          </w:p>
        </w:tc>
        <w:tc>
          <w:tcPr>
            <w:tcW w:w="2157"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全年预算数</w:t>
            </w:r>
          </w:p>
        </w:tc>
        <w:tc>
          <w:tcPr>
            <w:tcW w:w="1947"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全年执行数</w:t>
            </w:r>
          </w:p>
        </w:tc>
        <w:tc>
          <w:tcPr>
            <w:tcW w:w="1785"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分值权重</w:t>
            </w:r>
          </w:p>
        </w:tc>
        <w:tc>
          <w:tcPr>
            <w:tcW w:w="1868"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执行率</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得分</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440"/>
          <w:jc w:val="center"/>
        </w:trPr>
        <w:tc>
          <w:tcPr>
            <w:tcW w:w="1343" w:type="dxa"/>
            <w:gridSpan w:val="2"/>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2490"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年度资金总额</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1708.41</w:t>
            </w:r>
          </w:p>
        </w:tc>
        <w:tc>
          <w:tcPr>
            <w:tcW w:w="2157"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1708.41</w:t>
            </w:r>
          </w:p>
        </w:tc>
        <w:tc>
          <w:tcPr>
            <w:tcW w:w="1947"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1708.41</w:t>
            </w:r>
          </w:p>
        </w:tc>
        <w:tc>
          <w:tcPr>
            <w:tcW w:w="1785"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w:t>
            </w:r>
          </w:p>
        </w:tc>
        <w:tc>
          <w:tcPr>
            <w:tcW w:w="1868"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100.00%</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10.00分</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440"/>
          <w:jc w:val="center"/>
        </w:trPr>
        <w:tc>
          <w:tcPr>
            <w:tcW w:w="1343" w:type="dxa"/>
            <w:gridSpan w:val="2"/>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2490"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其中：当年财政拨款</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1708.41</w:t>
            </w:r>
          </w:p>
        </w:tc>
        <w:tc>
          <w:tcPr>
            <w:tcW w:w="2157"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1708.41</w:t>
            </w:r>
          </w:p>
        </w:tc>
        <w:tc>
          <w:tcPr>
            <w:tcW w:w="1947"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1708.41</w:t>
            </w:r>
          </w:p>
        </w:tc>
        <w:tc>
          <w:tcPr>
            <w:tcW w:w="1785"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w:t>
            </w:r>
          </w:p>
        </w:tc>
        <w:tc>
          <w:tcPr>
            <w:tcW w:w="1868"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440"/>
          <w:jc w:val="center"/>
        </w:trPr>
        <w:tc>
          <w:tcPr>
            <w:tcW w:w="1343" w:type="dxa"/>
            <w:gridSpan w:val="2"/>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2490"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其他资金</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0.00</w:t>
            </w:r>
          </w:p>
        </w:tc>
        <w:tc>
          <w:tcPr>
            <w:tcW w:w="2157"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0.00</w:t>
            </w:r>
          </w:p>
        </w:tc>
        <w:tc>
          <w:tcPr>
            <w:tcW w:w="1947"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lang w:val="en-US" w:eastAsia="zh-CN"/>
              </w:rPr>
            </w:pPr>
            <w:r>
              <w:rPr>
                <w:rFonts w:ascii="仿宋" w:eastAsia="仿宋" w:hAnsi="仿宋" w:cs="仿宋" w:hint="eastAsia"/>
                <w:i w:val="0"/>
                <w:color w:val="auto"/>
                <w:sz w:val="20"/>
                <w:szCs w:val="20"/>
                <w:highlight w:val="none"/>
                <w:u w:val="none"/>
                <w:lang w:val="en-US" w:eastAsia="zh-CN"/>
              </w:rPr>
              <w:t xml:space="preserve">0</w:t>
            </w:r>
          </w:p>
        </w:tc>
        <w:tc>
          <w:tcPr>
            <w:tcW w:w="1785"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w:t>
            </w:r>
          </w:p>
        </w:tc>
        <w:tc>
          <w:tcPr>
            <w:tcW w:w="1868"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348"/>
          <w:jc w:val="center"/>
        </w:trPr>
        <w:tc>
          <w:tcPr>
            <w:tcW w:w="669" w:type="dxa"/>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年度总体目标</w:t>
            </w:r>
          </w:p>
        </w:tc>
        <w:tc>
          <w:tcPr>
            <w:tcW w:w="6703" w:type="dxa"/>
            <w:gridSpan w:val="6"/>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总体目标</w:t>
            </w:r>
          </w:p>
        </w:tc>
        <w:tc>
          <w:tcPr>
            <w:tcW w:w="6616" w:type="dxa"/>
            <w:gridSpan w:val="7"/>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总体目标完成情况</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03" w:type="dxa"/>
            <w:gridSpan w:val="6"/>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完成全县国家级公益林（国有林）管护面积245.69万亩，提升国家公益林管护水平;开展38万亩国有林修复，其中森林抚育2万亩，胡杨林春尺蠖防治20万亩，鼠兔害防治1万亩，国有林综合修复15万亩；对一支应急分队进行保障，开展培训2次，国有林管护补助兑现率100%，管护质量县级自查率100%，管护人员劳务报酬按时发放率100%，生态系统和生物多样性得到有效保护，森林生态系统生态效益发挥明显，林区职工及周边群众满意度不低于90%</w:t>
            </w:r>
          </w:p>
        </w:tc>
        <w:tc>
          <w:tcPr>
            <w:tcW w:w="6616" w:type="dxa"/>
            <w:gridSpan w:val="7"/>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完成全县国家级公益林（国有林）管护面积245.69万亩，按照标准标准全额兑现，提升国家公益林管护水平;开展了38万亩国有林修复，其中森林抚育2万亩，胡杨林春尺蠖防治20万亩，鼠兔害防治1万亩，国有林综合修复15万亩；对一支应急分队进行保障，开展了培训2次。有效保护了生态系统和生物多样性，森林生态系统生态效益发挥明显。</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40"/>
          <w:jc w:val="center"/>
        </w:trPr>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一级指标</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二级指标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三级指标</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指标值</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指标值设置依据</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上年完成值</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指标分值权重</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指标赋分规则</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佐证资料</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指标实际完成值</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完成率</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指标得分</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偏差原因分析及改进措施</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年度绩效指标完成情况</w:t>
            </w:r>
          </w:p>
        </w:tc>
        <w:tc>
          <w:tcPr>
            <w:tcW w:w="674" w:type="dxa"/>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产出指标</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数量指标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国有林管护面积</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&gt;=245.69万亩</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245.69万亩</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=245.69万亩</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数量指标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国有林修复面积-森林抚育</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=2万亩</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=2万亩</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数量指标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国有林修复面积-综合修复</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=15万亩</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=15万亩</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数量指标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国有林修复面积-胡杨林春尺蠖飞机防治</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=20万亩</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20万亩</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=20万亩</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数量指标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国有林修复面积-鼠兔害综合防治</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=1万亩</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1万亩</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=1万亩</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数量指标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应急分队数量</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=1支</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1支</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=1支</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数量指标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各实施单位管护人员培训次数</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&gt;=2次</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2次</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=2次</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质量指标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国有林管护补助兑现率</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=100%</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质量指标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国有林（国家级公益林）管护质量县级自查率</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=100%</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时效指标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国有林（国家级公益林）管护人员劳务报酬按时发放率</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=100%</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成本指标</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经济成本指标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国有林管护费用</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&lt;=4.12元/亩</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4.06元/亩</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3</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原始凭证</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=4.12元/亩</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3</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经济成本指标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国有林修复-森林抚育费用</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&lt;=157元/亩</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3</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原始凭证</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=157元/亩</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3</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经济成本指标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国有林修复面积-综合修复费用</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&lt;=14.60元/亩</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3</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原始凭证</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=14.6元/亩</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3</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经济成本指标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国有林修复-胡杨林春尺蠖飞机防治费用</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&lt;=6.78元/亩</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7元/亩</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3</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原始凭证</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=6.78元/亩</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3</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经济成本指标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国有林修复-鼠兔害综合防治费用</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&lt;=9.60元/亩</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10元/亩</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原始凭证</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=9.6元/亩</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经济成本指标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应急分队保障费用</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&lt;=17.33万元</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20万元</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原始凭证</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=17.33万元</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4</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生态效益指标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生态系统和生物多样性</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有效保护</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有效保护</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按评判等级赋分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达成目标</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生态效益指标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森林生态系统生态效益发挥</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明显</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明显</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按评判等级赋分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达成目标</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669"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67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满意度指标</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满意度指标</w:t>
            </w:r>
          </w:p>
        </w:tc>
        <w:tc>
          <w:tcPr>
            <w:tcW w:w="166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林区职工及周边群众满意度</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&gt;=90%</w:t>
            </w: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90%</w:t>
            </w: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w:t>
            </w: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满意度赋分</w:t>
            </w: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=90%</w:t>
            </w: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500"/>
          <w:jc w:val="center"/>
        </w:trPr>
        <w:tc>
          <w:tcPr>
            <w:tcW w:w="3833" w:type="dxa"/>
            <w:gridSpan w:val="4"/>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总分</w:t>
            </w:r>
          </w:p>
        </w:tc>
        <w:tc>
          <w:tcPr>
            <w:tcW w:w="138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108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b/>
                <w:i w:val="0"/>
                <w:color w:val="auto"/>
                <w:sz w:val="18"/>
                <w:szCs w:val="18"/>
                <w:highlight w:val="none"/>
                <w:u w:val="none"/>
              </w:rPr>
            </w:pPr>
          </w:p>
        </w:tc>
        <w:tc>
          <w:tcPr>
            <w:tcW w:w="107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82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112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82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95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878"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99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100.00分</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bl>
    <w:p>
      <w:pPr>
        <w:rPr>
          <w:rFonts w:ascii="仿宋" w:eastAsia="仿宋" w:hAnsi="仿宋" w:cs="仿宋" w:hint="eastAsia"/>
          <w:color w:val="auto"/>
          <w:highlight w:val="none"/>
        </w:rPr>
        <w:sectPr>
          <w:pgSz w:w="16838" w:h="11906" w:orient="landscape"/>
          <w:pgMar w:top="1800" w:right="1440" w:bottom="1800" w:left="1440" w:header="851" w:footer="992" w:gutter="0"/>
          <w:pgBorders>
            <w:top w:val="none" w:sz="0" w:space="0" w:color="auto"/>
            <w:left w:val="none" w:sz="0" w:space="0" w:color="auto"/>
            <w:bottom w:val="none" w:sz="0" w:space="0" w:color="auto"/>
            <w:right w:val="none" w:sz="0" w:space="0" w:color="auto"/>
          </w:pgBorders>
          <w:pgNumType w:fmt="decimal"/>
          <w:cols w:num="1" w:space="720">
            <w:col w:w="13958" w:space="720"/>
          </w:cols>
          <w:docGrid w:type="lines" w:linePitch="312" w:charSpace="0"/>
        </w:sectPr>
      </w:pPr>
    </w:p>
    <w:p>
      <w:pPr>
        <w:bidi w:val="0"/>
        <w:rPr>
          <w:rFonts w:ascii="仿宋" w:eastAsia="仿宋" w:hAnsi="仿宋" w:cs="仿宋" w:hint="eastAsia"/>
          <w:color w:val="auto"/>
          <w:highlight w:val="none"/>
        </w:rPr>
      </w:pPr>
      <w:bookmarkStart w:id="264" w:name="_Toc29757"/>
      <w:bookmarkStart w:id="265" w:name="_Toc18006"/>
      <w:bookmarkStart w:id="266" w:name="_Toc31300"/>
      <w:r>
        <w:rPr>
          <w:rFonts w:ascii="仿宋" w:eastAsia="仿宋" w:hAnsi="仿宋" w:cs="仿宋" w:hint="eastAsia"/>
          <w:color w:val="auto"/>
          <w:highlight w:val="none"/>
        </w:rPr>
        <w:t xml:space="preserve">附件2：</w:t>
      </w:r>
      <w:bookmarkEnd w:id="260"/>
      <w:bookmarkEnd w:id="261"/>
      <w:bookmarkEnd w:id="262"/>
      <w:bookmarkEnd w:id="263"/>
      <w:bookmarkEnd w:id="264"/>
      <w:bookmarkEnd w:id="265"/>
      <w:bookmarkEnd w:id="266"/>
      <w:r>
        <w:rPr>
          <w:rFonts w:ascii="仿宋" w:eastAsia="仿宋" w:hAnsi="仿宋" w:cs="仿宋" w:hint="eastAsia"/>
          <w:color w:val="auto"/>
          <w:highlight w:val="none"/>
        </w:rPr>
        <w:t xml:space="preserve">项目支出绩效评价指标体系及评分</w:t>
      </w:r>
    </w:p>
    <w:p>
      <w:pPr>
        <w:bidi w:val="0"/>
        <w:jc w:val="center"/>
        <w:rPr>
          <w:rFonts w:ascii="仿宋" w:eastAsia="仿宋" w:hAnsi="仿宋" w:cs="仿宋" w:hint="eastAsia"/>
          <w:b/>
          <w:bCs/>
          <w:color w:val="auto"/>
          <w:highlight w:val="none"/>
        </w:rPr>
      </w:pPr>
      <w:bookmarkStart w:id="267" w:name="_Toc29561"/>
      <w:bookmarkStart w:id="268" w:name="_Toc18894"/>
      <w:bookmarkStart w:id="269" w:name="_Toc28172"/>
      <w:bookmarkStart w:id="270" w:name="_Toc27647"/>
      <w:r>
        <w:rPr>
          <w:rFonts w:ascii="仿宋" w:eastAsia="仿宋" w:hAnsi="仿宋" w:cs="仿宋" w:hint="eastAsia"/>
          <w:b/>
          <w:bCs/>
          <w:color w:val="auto"/>
          <w:highlight w:val="none"/>
        </w:rPr>
        <w:t xml:space="preserve">项目支出绩效评价指标体系及评分</w:t>
      </w:r>
      <w:bookmarkEnd w:id="267"/>
      <w:bookmarkEnd w:id="268"/>
      <w:bookmarkEnd w:id="269"/>
      <w:bookmarkEnd w:id="270"/>
    </w:p>
    <w:tbl>
      <w:tblPr>
        <w:tblStyle w:val="NormalTable"/>
        <w:tblpPr w:leftFromText="180" w:rightFromText="180" w:vertAnchor="text" w:horzAnchor="page" w:tblpX="1706" w:tblpY="180"/>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673"/>
        <w:gridCol w:w="765"/>
        <w:gridCol w:w="909"/>
        <w:gridCol w:w="1674"/>
        <w:gridCol w:w="3402"/>
        <w:gridCol w:w="531"/>
        <w:gridCol w:w="53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一级指标</w:t>
            </w:r>
          </w:p>
        </w:tc>
        <w:tc>
          <w:tcPr>
            <w:tcW w:w="765"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二级指标</w:t>
            </w:r>
          </w:p>
        </w:tc>
        <w:tc>
          <w:tcPr>
            <w:tcW w:w="909"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三级指标</w:t>
            </w:r>
          </w:p>
        </w:tc>
        <w:tc>
          <w:tcPr>
            <w:tcW w:w="1674"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指标解释</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指标说明</w:t>
            </w:r>
          </w:p>
        </w:tc>
        <w:tc>
          <w:tcPr>
            <w:tcW w:w="531"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531"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决策</w:t>
            </w: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w:t>
            </w:r>
          </w:p>
        </w:tc>
        <w:tc>
          <w:tcPr>
            <w:tcW w:w="90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实施依据充分性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项目实施是否符合法律法规、相关政策、发展规划以及部门职责，用以反映和考核项目实施依据情况。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①项目实施是否符合国家法律法规、国民经济发展规划和相关政策；</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②项目实施是否符合行业发展规划和政策要求；</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③项目实施是否与部门职责范围相符，属于部门履职所需；</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④项目是否属于公共财政支持范围，是否符合中央、地方事权支出责任划分原则；</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⑤项目是否与相关部门同类项目或部门内部相关项目重复。</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实施程序规范性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项目申请、设立过程是否符合相关要求，用以反映和考核项目实施的规范情况。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①项目是否按照规定的程序申请设立；</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②审批文件、材料是否符合相关要求；</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w:t>
            </w:r>
          </w:p>
        </w:tc>
        <w:tc>
          <w:tcPr>
            <w:tcW w:w="90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绩效目标合理性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项目所设定的绩效目标是否依据充分，是否符合客观实际，用以反映和考核项目绩效目标与项目实施的相符情况。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①项目是否有绩效目标；</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②项目绩效目标与实际工作内容是否具有相关性；</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③项目预期产出效益和效果是否符合正常的业绩水平；</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④是否与预算确定的项目投资额或资金量相匹配。</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绩效指标明确性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依据绩效目标设定的绩效指标是否清晰、细化、可衡量等，用以反映和考核项目绩效目标的明细化情况。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①是否将项目绩效目标细化分解为具体的绩效指标；</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②是否通过清晰、可衡量的指标值予以体现；</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③是否与项目目标任务数或计划数相对应。</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资金投入</w:t>
            </w:r>
          </w:p>
        </w:tc>
        <w:tc>
          <w:tcPr>
            <w:tcW w:w="90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预算编制科学性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项目预算编制是否经过科学论证、有明确标准，资金额度与年度目标是否相适应，用以反映和考核项目预算编制的科学性、合理性情况。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①预算编制是否经过科学论证；</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②预算内容与项目内容是否匹配；</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③预算额度测算依据是否充分，是否按照标准编制；</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④预算确定的项目投资额或资金量是否与工作任务相匹配。</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资金分配合理性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项目预算资金分配是否有测算依据，与补助单位或地方实际是否相适应，用以反映和考核项目预算资金分配的科学性、合理性情况。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①预算资金分配依据是否充分；</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②资金分配额度是否合理，与补助项目单位或地方实际是否相适应。</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过程</w:t>
            </w: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资金管理</w:t>
            </w:r>
          </w:p>
        </w:tc>
        <w:tc>
          <w:tcPr>
            <w:tcW w:w="90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实际到位资金与预算资金的比率，用以反映和考核资金落实情况对项目实施的总体保障程度。</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资金到位率=（实际到位资金/预算资金）×100%。</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实际到位资金：一定时期（本年度或项目期）内落实到具体项目的资金。</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预算资金：一定时期（本年度或项目期）内预算安排到具体项目的资金。</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项目预算资金是否按照计划执行，用以反映或考核项目预算执行情况。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预算执行率=（实际支出资金/实际到位资金）×100%。</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实际支出资金：一定时期（本年度或项目期）内项目实际拨付的资金。</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资金使用合规性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项目资金使用是否符合相关的财务管理制度规定，用以反映和考核项目资金的规范运行情况。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①是否符合国家财经法规和财务管理制度以及有关专项资金管理办法的规定；</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②资金的拨付是否有完整的审批程序和手续；</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③是否符合项目预算批复或合同规定的用途；</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④是否存在截留、挤占、挪用、虚列支出等情况。</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组织实施</w:t>
            </w:r>
          </w:p>
        </w:tc>
        <w:tc>
          <w:tcPr>
            <w:tcW w:w="90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管理制度健全性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项目实施单位的财务和业务管理制度是否健全，用以反映和考核财务和业务管理制度对项目顺利实施的保障情况。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①是否已制定或具有相应的财务和业务管理制度；</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②财务和业务管理制度是否合法、合规、完整。</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制度执行有效性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项目实施是否符合相关管理规定，用以反映和考核相关管理制度的有效执行情况。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①是否遵守相关法律法规和相关管理规定；</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②项目调整及支出调整手续是否完备；</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w:t>
            </w: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产出数量</w:t>
            </w:r>
          </w:p>
        </w:tc>
        <w:tc>
          <w:tcPr>
            <w:tcW w:w="90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项目实施的实际产出数与计划产出数的比率，用以反映和考核项目产出数量目标的实现程度。</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实际完成率=（实际产出数/计划产出数）×100%。</w:t>
            </w:r>
          </w:p>
        </w:tc>
        <w:tc>
          <w:tcPr>
            <w:tcW w:w="531" w:type="dxa"/>
            <w:vMerge w:val="restart"/>
            <w:noWrap w:val="0"/>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531" w:type="dxa"/>
            <w:vMerge w:val="restart"/>
            <w:noWrap w:val="0"/>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实际产出数：一定时期（本年度或项目期）内项目实际产出的产品或提供的服务数量。</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计划产出数：项目绩效目标确定的在一定时期（本年度或项目期）内计划产出的产品或提供的服务数量。</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78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产出质量</w:t>
            </w:r>
          </w:p>
        </w:tc>
        <w:tc>
          <w:tcPr>
            <w:tcW w:w="90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项目完成的质量达标产出数与实际产出数的比率，用以反映和考核项目产出质量目标的实现程度。</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质量达标率=（质量达标产出数/实际产出数）×100%。</w:t>
            </w:r>
          </w:p>
        </w:tc>
        <w:tc>
          <w:tcPr>
            <w:tcW w:w="531" w:type="dxa"/>
            <w:vMerge w:val="restart"/>
            <w:noWrap w:val="0"/>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531" w:type="dxa"/>
            <w:vMerge w:val="restart"/>
            <w:noWrap w:val="0"/>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88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产出时效</w:t>
            </w:r>
          </w:p>
        </w:tc>
        <w:tc>
          <w:tcPr>
            <w:tcW w:w="90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完成及时性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项目实际完成时间与计划完成时间的比较，用以反映和考核项目产出时效目标的实现程度。</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实际完成时间：项目实施单位完成该项目实际所耗用的时间。</w:t>
            </w:r>
          </w:p>
        </w:tc>
        <w:tc>
          <w:tcPr>
            <w:tcW w:w="531" w:type="dxa"/>
            <w:vMerge w:val="restart"/>
            <w:noWrap w:val="0"/>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c>
          <w:tcPr>
            <w:tcW w:w="531" w:type="dxa"/>
            <w:vMerge w:val="restart"/>
            <w:noWrap w:val="0"/>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计划完成时间：按照项目实施计划或相关规定完成该项目所需的时间。</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57"/>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产出成本</w:t>
            </w:r>
          </w:p>
        </w:tc>
        <w:tc>
          <w:tcPr>
            <w:tcW w:w="909" w:type="dxa"/>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成本节约率</w:t>
            </w:r>
          </w:p>
        </w:tc>
        <w:tc>
          <w:tcPr>
            <w:tcW w:w="1674" w:type="dxa"/>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3402" w:type="dxa"/>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531" w:type="dxa"/>
            <w:noWrap w:val="0"/>
            <w:vAlign w:val="center"/>
          </w:tcPr>
          <w:p>
            <w:pPr>
              <w:pStyle w:val="表格内容"/>
              <w:bidi w:val="0"/>
              <w:ind w:firstLine="0" w:firstLineChars="0"/>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highlight w:val="none"/>
                <w:lang w:val="en-US" w:eastAsia="zh-CN"/>
              </w:rPr>
              <w:t xml:space="preserve">8</w:t>
            </w:r>
          </w:p>
        </w:tc>
        <w:tc>
          <w:tcPr>
            <w:tcW w:w="531" w:type="dxa"/>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8</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780"/>
        </w:trPr>
        <w:tc>
          <w:tcPr>
            <w:tcW w:w="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效益</w:t>
            </w: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项目效益</w:t>
            </w:r>
          </w:p>
        </w:tc>
        <w:tc>
          <w:tcPr>
            <w:tcW w:w="909"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实施效益</w:t>
            </w:r>
          </w:p>
        </w:tc>
        <w:tc>
          <w:tcPr>
            <w:tcW w:w="1674"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项目实施所产生的效益。</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项目实施所产生的社会效益、经济效益、生态效益、可持续影响等。可根据项目实际情况有选择地设置和细化。</w:t>
            </w:r>
          </w:p>
        </w:tc>
        <w:tc>
          <w:tcPr>
            <w:tcW w:w="531"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c>
          <w:tcPr>
            <w:tcW w:w="531"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860"/>
        </w:trPr>
        <w:tc>
          <w:tcPr>
            <w:tcW w:w="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09"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满意度</w:t>
            </w:r>
          </w:p>
        </w:tc>
        <w:tc>
          <w:tcPr>
            <w:tcW w:w="1674"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社会公众或服务对象对项目实施效果的满意程度。</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社会公众或服务对象是指因该项目实施而受到影响的部门（单位）、群体或个人。一般采取社会调查的方式。</w:t>
            </w:r>
          </w:p>
        </w:tc>
        <w:tc>
          <w:tcPr>
            <w:tcW w:w="531"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c>
          <w:tcPr>
            <w:tcW w:w="531"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423" w:type="dxa"/>
            <w:gridSpan w:val="5"/>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c>
          <w:tcPr>
            <w:tcW w:w="531"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c>
          <w:tcPr>
            <w:tcW w:w="531"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bookmarkEnd w:id="0"/>
          </w:p>
        </w:tc>
      </w:tr>
    </w:tbl>
    <w:p>
      <w:pPr>
        <w:jc w:val="both"/>
        <w:rPr>
          <w:rFonts w:ascii="仿宋" w:eastAsia="仿宋" w:hAnsi="仿宋" w:cs="仿宋" w:hint="eastAsia"/>
          <w:color w:val="auto"/>
          <w:highlight w:val="none"/>
        </w:rPr>
      </w:pPr>
    </w:p>
    <w:sectPr>
      <w:pgSz w:w="11906" w:h="16838" w:orient="portrait"/>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1" w:csb1="00000000"/>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embedRegular r:id="rId1" w:fontKey="{90AA91BF-4D7E-4D5C-8B41-59B8FC5D0D7B}"/>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61"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3</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页眉字符">
    <w:name w:val="页眉 字符"/>
    <w:link w:val="Header"/>
    <w:uiPriority w:val="99"/>
    <w:rPr>
      <w:rFonts w:eastAsia="仿宋_GB2312" w:cs="Times New Roman"/>
      <w:kern w:val="2"/>
      <w:sz w:val="18"/>
      <w:szCs w:val="22"/>
    </w:rPr>
  </w:style>
  <w:style w:type="character" w:customStyle="1" w:styleId="页脚字符">
    <w:name w:val="页脚 字符"/>
    <w:link w:val="Footer"/>
    <w:uiPriority w:val="99"/>
    <w:rPr>
      <w:rFonts w:eastAsia="仿宋_GB2312" w:cs="Times New Roman"/>
      <w:kern w:val="2"/>
      <w:sz w:val="18"/>
      <w:szCs w:val="22"/>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标题2字符">
    <w:name w:val="标题 2 字符"/>
    <w:link w:val="Heading2"/>
    <w:uiPriority w:val="99"/>
    <w:qFormat/>
    <w:rPr>
      <w:rFonts w:eastAsia="黑体"/>
      <w:bCs/>
      <w:iCs/>
      <w:kern w:val="2"/>
      <w:sz w:val="32"/>
      <w:szCs w:val="21"/>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font131">
    <w:name w:val="font131"/>
    <w:basedOn w:val="DefaultParagraphFont"/>
    <w:rPr>
      <w:rFonts w:ascii="宋体" w:eastAsia="宋体" w:hAnsi="宋体" w:cs="宋体" w:hint="eastAsia"/>
      <w:color w:val="000000"/>
      <w:sz w:val="18"/>
      <w:szCs w:val="18"/>
      <w:u w:val="none"/>
    </w:rPr>
  </w:style>
  <w:style w:type="paragraph" w:customStyle="1" w:styleId="WPSOffice手动目录1">
    <w:name w:val="WPSOffice手动目录 1"/>
    <w:pPr>
      <w:ind w:leftChars="0"/>
    </w:pPr>
    <w:rPr>
      <w:sz w:val="20"/>
      <w:szCs w:val="20"/>
    </w:rPr>
  </w:style>
  <w:style w:type="paragraph" w:customStyle="1" w:styleId="_Style1">
    <w:name w:val="_Style 1"/>
    <w:basedOn w:val="Normal"/>
    <w:qFormat/>
    <w:pPr>
      <w:ind w:firstLine="420" w:firstLineChars="200"/>
    </w:pPr>
    <w:rPr/>
  </w:style>
  <w:style w:type="paragraph" w:customStyle="1" w:styleId="WPSOffice手动目录2">
    <w:name w:val="WPSOffice手动目录 2"/>
    <w:pPr>
      <w:ind w:leftChars="200"/>
    </w:pPr>
    <w:rPr>
      <w:sz w:val="20"/>
      <w:szCs w:val="20"/>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E8801CBA25B145DEA920B1A59E95DC4C_13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61"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9</TotalTime>
  <Pages>30</Pages>
  <Words>11083</Words>
  <Characters>12034</Characters>
  <Application>WPS Office_12.1.0.15120_F1E327BC-269C-435d-A152-05C5408002CA</Application>
  <DocSecurity>0</DocSecurity>
  <Lines>110</Lines>
  <Paragraphs>31</Paragraphs>
  <Company>Microsoft</Company>
  <CharactersWithSpaces>12063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2025-09-02T03:34:35Z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E8801CBA25B145DEA920B1A59E95DC4C_13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