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尉犁县种业发展中心（种子质量检测中心）2024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1、宣传、贯彻、实施《中华人民共和国种子法》和新疆维吾尔自治区实施。</w:t>
      </w:r>
    </w:p>
    <w:p>
      <w:pPr>
        <w:spacing w:line="580" w:lineRule="exact"/>
        <w:ind w:firstLine="640"/>
        <w:jc w:val="both"/>
      </w:pPr>
      <w:r>
        <w:rPr>
          <w:rFonts w:ascii="仿宋_GB2312" w:hAnsi="仿宋_GB2312" w:eastAsia="仿宋_GB2312"/>
          <w:sz w:val="32"/>
        </w:rPr>
        <w:t>2、执行上级政府及业务部门有关农作物种子工作的方针政策，组织种子产业的行业发展规划和“种子工程”，承担国家救灾备荒良种的储备管理。</w:t>
      </w:r>
    </w:p>
    <w:p>
      <w:pPr>
        <w:spacing w:line="580" w:lineRule="exact"/>
        <w:ind w:firstLine="640"/>
        <w:jc w:val="both"/>
      </w:pPr>
      <w:r>
        <w:rPr>
          <w:rFonts w:ascii="仿宋_GB2312" w:hAnsi="仿宋_GB2312" w:eastAsia="仿宋_GB2312"/>
          <w:sz w:val="32"/>
        </w:rPr>
        <w:t>3、贯彻执行中华人民共和国农业农村部第28号令《农作物种子质量纠纷田间现场鉴定办法》《全国农作物种子标签通则》。</w:t>
      </w:r>
    </w:p>
    <w:p>
      <w:pPr>
        <w:spacing w:line="580" w:lineRule="exact"/>
        <w:ind w:firstLine="640"/>
        <w:jc w:val="both"/>
      </w:pPr>
      <w:r>
        <w:rPr>
          <w:rFonts w:ascii="仿宋_GB2312" w:hAnsi="仿宋_GB2312" w:eastAsia="仿宋_GB2312"/>
          <w:sz w:val="32"/>
        </w:rPr>
        <w:t>4、监督检查种子市场，查证照、查品种、查标签、查档案、查假劣种子、查未审先推、查虚假广告、虚假标注、查无证经营、借证经营违法行为及种子违法案件的处理工作。</w:t>
      </w:r>
    </w:p>
    <w:p>
      <w:pPr>
        <w:spacing w:line="580" w:lineRule="exact"/>
        <w:ind w:firstLine="640"/>
        <w:jc w:val="both"/>
      </w:pPr>
      <w:r>
        <w:rPr>
          <w:rFonts w:ascii="仿宋_GB2312" w:hAnsi="仿宋_GB2312" w:eastAsia="仿宋_GB2312"/>
          <w:sz w:val="32"/>
        </w:rPr>
        <w:t>5、抓农作物种子质量管理、种子质量检查、种子质量监督及种子质量认证工作和农作物种子质量纠纷案件的处理工作。</w:t>
      </w:r>
    </w:p>
    <w:p>
      <w:pPr>
        <w:spacing w:line="580" w:lineRule="exact"/>
        <w:ind w:firstLine="640"/>
        <w:jc w:val="both"/>
      </w:pPr>
      <w:r>
        <w:rPr>
          <w:rFonts w:ascii="仿宋_GB2312" w:hAnsi="仿宋_GB2312" w:eastAsia="仿宋_GB2312"/>
          <w:sz w:val="32"/>
        </w:rPr>
        <w:t>6、承担农作物新品种的引进、试验、示范、推广工作及新品种权的审核、备案登记管理工作。</w:t>
      </w:r>
    </w:p>
    <w:p>
      <w:pPr>
        <w:spacing w:line="580" w:lineRule="exact"/>
        <w:ind w:firstLine="640"/>
        <w:jc w:val="both"/>
      </w:pPr>
      <w:r>
        <w:rPr>
          <w:rFonts w:ascii="仿宋_GB2312" w:hAnsi="仿宋_GB2312" w:eastAsia="仿宋_GB2312"/>
          <w:sz w:val="32"/>
        </w:rPr>
        <w:t>7、负责《种子生产许可证》《种子经营许可证》《委托代销证》的审核、备案登记管理工作。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尉犁县种业发展中心（种子质量检测中心）2024年度，实有人数10人，其中：在职人员4人，增加0人；离休人员0人，增加0人；退休人员6人,增加0人。</w:t>
      </w:r>
    </w:p>
    <w:p>
      <w:pPr>
        <w:spacing w:line="580" w:lineRule="exact"/>
        <w:ind w:firstLine="640"/>
        <w:jc w:val="both"/>
      </w:pPr>
      <w:r>
        <w:rPr>
          <w:rFonts w:ascii="仿宋_GB2312" w:hAnsi="仿宋_GB2312" w:eastAsia="仿宋_GB2312"/>
          <w:sz w:val="32"/>
        </w:rPr>
        <w:t>尉犁县种业发展中心（种子质量检测中心）无下属预算单位，下设5个科室，分别是：种子市场管理股、种子质量检测中心、种子案件受理股、品种试验示范股、综合服务股。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2024年度收入总计88.35万元，</w:t>
      </w:r>
      <w:r>
        <w:rPr>
          <w:rFonts w:ascii="仿宋_GB2312" w:hAnsi="仿宋_GB2312" w:eastAsia="仿宋_GB2312"/>
          <w:b w:val="0"/>
          <w:sz w:val="32"/>
        </w:rPr>
        <w:t>其中：本年收入合计88.35万元，使用非财政拨款结余（含专用结余）0.00万元，年初结转和结余0.00万元。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2024年度支出总计88.35万元，</w:t>
      </w:r>
      <w:r>
        <w:rPr>
          <w:rFonts w:ascii="仿宋_GB2312" w:hAnsi="仿宋_GB2312" w:eastAsia="仿宋_GB2312"/>
          <w:b w:val="0"/>
          <w:sz w:val="32"/>
        </w:rPr>
        <w:t>其中：本年支出合计88.35万元，结余分配0.01万元，年末结转和结余0.00万元。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减少17.43万元，下降16.48%，主要原因是：本年人员调入调出，在职人数总数不变，因调出人员基数高，调入人员基数低，导致经费减少；本年职业年金较上年减少。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本年收入88.35万元，</w:t>
      </w:r>
      <w:r>
        <w:rPr>
          <w:rFonts w:ascii="仿宋_GB2312" w:hAnsi="仿宋_GB2312" w:eastAsia="仿宋_GB2312"/>
          <w:b w:val="0"/>
          <w:sz w:val="32"/>
        </w:rPr>
        <w:t>其中：财政拨款收入88.35万元，占100.00%；上级补助收入0.00万元，占0.00%；事业收入0.00万元，占0.00%；经营收入0.00万元，占0.00%；附属单位上缴收入0.00万元，占0.00%；其他收入0.01万元，占0.01%。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本年支出88.35万元，</w:t>
      </w:r>
      <w:r>
        <w:rPr>
          <w:rFonts w:ascii="仿宋_GB2312" w:hAnsi="仿宋_GB2312" w:eastAsia="仿宋_GB2312"/>
          <w:b w:val="0"/>
          <w:sz w:val="32"/>
        </w:rPr>
        <w:t>其中：基本支出88.35万元，占100.00%；项目支出0.00万元，占0.00%；上缴上级支出0.00万元，占0.00%；经营支出0.00万元，占0.00%；对附属单位补助支出0.00万元，占0.00%。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2024年度财政拨款收入总计88.35万元，</w:t>
      </w:r>
      <w:r>
        <w:rPr>
          <w:rFonts w:ascii="仿宋_GB2312" w:hAnsi="仿宋_GB2312" w:eastAsia="仿宋_GB2312"/>
          <w:b w:val="0"/>
          <w:sz w:val="32"/>
        </w:rPr>
        <w:t>其中：年初财政拨款结转和结余0.00万元，本年财政拨款收入88.35万元。</w:t>
      </w:r>
      <w:r>
        <w:rPr>
          <w:rFonts w:ascii="仿宋_GB2312" w:hAnsi="仿宋_GB2312" w:eastAsia="仿宋_GB2312"/>
          <w:b/>
          <w:sz w:val="32"/>
        </w:rPr>
        <w:t>财政拨款支出总计88.35万元，</w:t>
      </w:r>
      <w:r>
        <w:rPr>
          <w:rFonts w:ascii="仿宋_GB2312" w:hAnsi="仿宋_GB2312" w:eastAsia="仿宋_GB2312"/>
          <w:b w:val="0"/>
          <w:sz w:val="32"/>
        </w:rPr>
        <w:t>其中：年末财政拨款结转和结余0.00万元，本年财政拨款支出88.35万元。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减少9.56万元，下降9.76%，主要原因是：本年人员调入调出，在职人数总数不变，因调出人员基数高，调入人员基数低，导致经费减少；本年职业年金较上年减少。</w:t>
      </w:r>
      <w:r>
        <w:rPr>
          <w:rFonts w:ascii="仿宋_GB2312" w:hAnsi="仿宋_GB2312" w:eastAsia="仿宋_GB2312"/>
          <w:b/>
          <w:sz w:val="32"/>
        </w:rPr>
        <w:t>与年初预算相比，</w:t>
      </w:r>
      <w:r>
        <w:rPr>
          <w:rFonts w:ascii="仿宋_GB2312" w:hAnsi="仿宋_GB2312" w:eastAsia="仿宋_GB2312"/>
          <w:b w:val="0"/>
          <w:sz w:val="32"/>
        </w:rPr>
        <w:t>年初预算数108.21万元，决算数88.35万元，预决算差异率-18.35%，主要原因是：本年在职人员发生变动，本年科级领导调出，调入人员基数低，年中调减相应经费，导致预决算差异。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2024年度一般公共预算财政拨款支出88.35万元，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减少9.56万元，下降9.76%，主要原因是：本年人员调入调出，在职人数总数不变，因调出人员基数高，调入人员基数低，导致经费减少；本年职业年金较上年减少。</w:t>
      </w:r>
      <w:r>
        <w:rPr>
          <w:rFonts w:ascii="仿宋_GB2312" w:hAnsi="仿宋_GB2312" w:eastAsia="仿宋_GB2312"/>
          <w:b/>
          <w:sz w:val="32"/>
        </w:rPr>
        <w:t>与年初预算相比,</w:t>
      </w:r>
      <w:r>
        <w:rPr>
          <w:rFonts w:ascii="仿宋_GB2312" w:hAnsi="仿宋_GB2312" w:eastAsia="仿宋_GB2312"/>
          <w:b w:val="0"/>
          <w:sz w:val="32"/>
        </w:rPr>
        <w:t>年初预算数108.21万元，决算数88.35万元，预决算差异率-18.35%，主要原因是：本年在职人员发生变动，本年科级领导调出，调入人员基数低，年中调减相应经费，导致预决算差异。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1.教育支出(类)0.30万元,占0.34%。</w:t>
      </w:r>
    </w:p>
    <w:p>
      <w:pPr>
        <w:spacing w:line="580" w:lineRule="exact"/>
        <w:ind w:firstLine="640"/>
        <w:jc w:val="both"/>
      </w:pPr>
      <w:r>
        <w:rPr>
          <w:rFonts w:ascii="仿宋_GB2312" w:hAnsi="仿宋_GB2312" w:eastAsia="仿宋_GB2312"/>
          <w:b w:val="0"/>
          <w:sz w:val="32"/>
        </w:rPr>
        <w:t>2.社会保障和就业支出(类)11.92万元,占13.49%。</w:t>
      </w:r>
    </w:p>
    <w:p>
      <w:pPr>
        <w:spacing w:line="580" w:lineRule="exact"/>
        <w:ind w:firstLine="640"/>
        <w:jc w:val="both"/>
      </w:pPr>
      <w:r>
        <w:rPr>
          <w:rFonts w:ascii="仿宋_GB2312" w:hAnsi="仿宋_GB2312" w:eastAsia="仿宋_GB2312"/>
          <w:b w:val="0"/>
          <w:sz w:val="32"/>
        </w:rPr>
        <w:t>3.卫生健康支出(类)4.92万元,占5.57%。</w:t>
      </w:r>
    </w:p>
    <w:p>
      <w:pPr>
        <w:spacing w:line="580" w:lineRule="exact"/>
        <w:ind w:firstLine="640"/>
        <w:jc w:val="both"/>
      </w:pPr>
      <w:r>
        <w:rPr>
          <w:rFonts w:ascii="仿宋_GB2312" w:hAnsi="仿宋_GB2312" w:eastAsia="仿宋_GB2312"/>
          <w:b w:val="0"/>
          <w:sz w:val="32"/>
        </w:rPr>
        <w:t>4.农林水支出(类)65.22万元,占73.82%。</w:t>
      </w:r>
    </w:p>
    <w:p>
      <w:pPr>
        <w:spacing w:line="580" w:lineRule="exact"/>
        <w:ind w:firstLine="640"/>
        <w:jc w:val="both"/>
      </w:pPr>
      <w:r>
        <w:rPr>
          <w:rFonts w:ascii="仿宋_GB2312" w:hAnsi="仿宋_GB2312" w:eastAsia="仿宋_GB2312"/>
          <w:b w:val="0"/>
          <w:sz w:val="32"/>
        </w:rPr>
        <w:t>5.住房保障支出(类)5.98万元,占6.77%。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1.教育支出(类)进修及培训(款)培训支出(项):支出决算数为0.30万元，比上年决算增加0.01万元，增长3.45%,主要原因是：本年增加阿孜古丽培训费。</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2.社会保障和就业支出(类)行政事业单位养老支出(款)事业单位离退休(项):支出决算数为4.23万元，比上年决算增加0.97万元，增长29.75%,主要原因是：本年退休人员绩效增加，相应经费增加。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7.69万元，比上年决算减少0.04万元，下降0.52%,主要原因是：本年人员调入调出，在职人数总数不变，因调出人员基数高，调入人员基数低，导致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4.社会保障和就业支出(类)行政事业单位养老支出(款)机关事业单位职业年金缴费支出(项):支出决算数为0.00万元，比上年决算减少3.35万元，下降100.00%,主要原因是：本年无新增退休人员，相应职业年金缴费减少。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3.48万元，比上年决算减少0.32万元，下降8.42%,主要原因是：本年人员调入调出，在职人数总数不变，因调出人员基数高，调入人员基数低，导致经费减少。</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1.44万元，比上年决算减少0.01万元，下降0.69%,主要原因是：本年人员调入调出，在职人数总数不变，因调出人员基数高，调入人员基数低，导致经费减少。</w:t>
      </w:r>
    </w:p>
    <w:p>
      <w:pPr>
        <w:spacing w:line="580" w:lineRule="exact"/>
        <w:ind w:firstLine="640"/>
        <w:jc w:val="both"/>
      </w:pPr>
      <w:r>
        <w:rPr>
          <w:rFonts w:ascii="仿宋_GB2312" w:hAnsi="仿宋_GB2312" w:eastAsia="仿宋_GB2312"/>
          <w:b w:val="0"/>
          <w:sz w:val="32"/>
        </w:rPr>
        <w:t>7.农林水支出(类)农业农村(款)行政运行(项):支出决算数为0.94万元，比上年决算增加0.94万元，增长100.00%,主要原因是：本年行政人员调入，相应经费增加。</w:t>
      </w:r>
    </w:p>
    <w:p>
      <w:pPr>
        <w:spacing w:line="580" w:lineRule="exact"/>
        <w:ind w:firstLine="640"/>
        <w:jc w:val="both"/>
      </w:pPr>
      <w:r>
        <w:rPr>
          <w:rFonts w:ascii="仿宋_GB2312" w:hAnsi="仿宋_GB2312" w:eastAsia="仿宋_GB2312"/>
          <w:b w:val="0"/>
          <w:sz w:val="32"/>
        </w:rPr>
        <w:t>8.农林水支出(类)农业农村(款)事业运行(项):支出决算数为64.29万元，比上年决算减少8.12万元，下降11.21%,主要原因是：本年事业人员调出，相应事业经费减少。</w:t>
      </w:r>
    </w:p>
    <w:p>
      <w:pPr>
        <w:spacing w:line="580" w:lineRule="exact"/>
        <w:ind w:firstLine="640"/>
        <w:jc w:val="both"/>
      </w:pPr>
      <w:r>
        <w:rPr>
          <w:rFonts w:ascii="仿宋_GB2312" w:hAnsi="仿宋_GB2312" w:eastAsia="仿宋_GB2312"/>
          <w:b w:val="0"/>
          <w:sz w:val="32"/>
        </w:rPr>
        <w:t>9.住房保障支出(类)住房改革支出(款)住房公积金(项):支出决算数为5.98万元，比上年决算增加0.36万元，增长6.41%,主要原因是：本年在职人员工资基数调增，公积金缴费基数上涨，相应支出增加。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2024年度一般公共预算财政拨款基本支出88.35万元，其中：</w:t>
      </w:r>
      <w:r>
        <w:rPr>
          <w:rFonts w:ascii="仿宋_GB2312" w:hAnsi="仿宋_GB2312" w:eastAsia="仿宋_GB2312"/>
          <w:b/>
          <w:sz w:val="32"/>
        </w:rPr>
        <w:t>人员经费74.57万元，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公用经费13.78万元，</w:t>
      </w:r>
      <w:r>
        <w:rPr>
          <w:rFonts w:ascii="仿宋_GB2312" w:hAnsi="仿宋_GB2312" w:eastAsia="仿宋_GB2312"/>
          <w:b w:val="0"/>
          <w:sz w:val="32"/>
        </w:rPr>
        <w:t>包括：办公费、水费、电费、取暖费、培训费、工会经费、福利费、公务用车运行维护费、其他交通费用。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2024年度财政拨款“三公”经费支出0.09万元，</w:t>
      </w:r>
      <w:r>
        <w:rPr>
          <w:rFonts w:ascii="仿宋_GB2312" w:hAnsi="仿宋_GB2312" w:eastAsia="仿宋_GB2312"/>
          <w:b w:val="0"/>
          <w:sz w:val="32"/>
        </w:rPr>
        <w:t>比上年增加0.00万元，增长0.00%，主要原因是：本单位“三公”经费与上年一致无变化。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公务用车购置及运行维护费支出0.09万元，占100.00%，比上年增加0.00万元，增长0.00%，主要原因是：本单位公务用车运行维护费与上年一致无变化。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0.09万元，其中：公务用车购置费0.00万元，公务用车运行维护费0.09万元。公务用车运行维护费开支内容包括车辆加油费、维修费。公务用车购置数0辆，公务用车保有量1辆。国有资产占用情况中固定资产车辆2辆，与公务用车保有量差异原因是：差异车辆为下乡业务用车，本单位车辆借用农业农村局使用，车辆费用由农业农村局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万元，决算数0.09万元，预决算差异率-95.00%，主要原因是：严格落实中央八项规定精神，厉行节约，减少公务用车使用频次。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1.80万元，决算数0.09万元，预决算差异率-95.00%，主要原因是：严格落实中央八项规定精神，厉行节约，减少公务用车使用频次。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2024年度尉犁县种业发展中心（种子质量检测中心）（行政单位和参照公务员法管理事业单位）机关运行经费支出13.78万元，比上年减少0.23万元，下降1.64%，主要原因是：本年办公费减少。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4,818.00平方米，价值731.14万元。车辆2辆，价值29.76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度无绩效项目。发现的问题及原因：本单位本年度无绩效项目。下一步改进措施：本单位本年度无绩效项目。</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