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DACF2E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尉犁县第一小学2024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bookmarkStart w:id="0" w:name="_GoBack"/>
      <w:bookmarkEnd w:id="0"/>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r>
        <w:br w:type="page"/>
      </w:r>
    </w:p>
    <w:p>
      <w:pPr>
        <w:spacing w:line="640" w:lineRule="exact"/>
        <w:jc w:val="center"/>
        <w:outlineLvl w:val="1"/>
      </w:pPr>
      <w:r>
        <w:rPr>
          <w:rFonts w:ascii="黑体" w:hAnsi="黑体" w:eastAsia="黑体"/>
          <w:sz w:val="32"/>
        </w:rPr>
        <w:t>第一部分 单位概况</w:t>
      </w:r>
    </w:p>
    <w:p>
      <w:pPr>
        <w:spacing w:line="640" w:lineRule="exact"/>
        <w:ind w:firstLine="640"/>
        <w:jc w:val="both"/>
        <w:outlineLvl w:val="2"/>
      </w:pPr>
      <w:r>
        <w:rPr>
          <w:rFonts w:ascii="黑体" w:hAnsi="黑体" w:eastAsia="黑体"/>
          <w:sz w:val="32"/>
        </w:rPr>
        <w:t>一、主要职能</w:t>
      </w:r>
    </w:p>
    <w:p>
      <w:pPr>
        <w:spacing w:line="580" w:lineRule="exact"/>
        <w:ind w:firstLine="640"/>
        <w:jc w:val="both"/>
      </w:pPr>
      <w:r>
        <w:rPr>
          <w:rFonts w:ascii="仿宋_GB2312" w:hAnsi="仿宋_GB2312" w:eastAsia="仿宋_GB2312"/>
          <w:sz w:val="32"/>
        </w:rPr>
        <w:t>尉犁县第一小学单位工作职能：全面贯彻党的教育方针，以习近平新时代中国特色社会主义思想为引领，坚持教育为社会主义现代化建设服务、为人民服务，坚持社会主义办学方向，坚持把立德树人作为教育的根本任务，培养德智体美劳全面发展的社会主义建设者和接班人。学校实行党支部领导下的校长负责制。宣传贯彻执行党和国家的教育方针、政策、法律法规等，坚持依法治教、依法治学，贯彻执行县教体局的行政规章制度。依据党的教育方针和国家教育法律法规以及本校实际制定教育发展规划，并抓好组织实施和落实工作。巩固提高“两基”工作成果和整体水平，配合各级人民政府依法动员、组织适龄儿童少年入学，严格控制辍学。组织开展本校的教育教学科研和教育教学改革，科研兴教，科研兴校。负责对本校教育教学业务的具体管理，负责教育教学管理及教研教改工作，全力推进素质教育实施。按照干部和教师的职数、编制和管理权限，负责本校教师人事管理、继续教育、考核考评等工作。负责本校财务和基建管理，筹措资金，改善办学条件等工作。指导、管理、检查、评价本校的教育教学工作，提高办学质量和办学效益。按照义务教育课程计划，开齐课程，开足课时，认真实施中小学的教育教学管理，全面推进素质教育，全面提高教育教学质量。</w:t>
      </w:r>
    </w:p>
    <w:p>
      <w:pPr>
        <w:spacing w:line="640" w:lineRule="exact"/>
        <w:ind w:firstLine="640"/>
        <w:jc w:val="both"/>
        <w:outlineLvl w:val="2"/>
      </w:pPr>
      <w:r>
        <w:rPr>
          <w:rFonts w:ascii="黑体" w:hAnsi="黑体" w:eastAsia="黑体"/>
          <w:sz w:val="32"/>
        </w:rPr>
        <w:t>二、机构设置及人员情况</w:t>
      </w:r>
    </w:p>
    <w:p>
      <w:pPr>
        <w:spacing w:line="580" w:lineRule="exact"/>
        <w:ind w:firstLine="640"/>
        <w:jc w:val="both"/>
      </w:pPr>
      <w:r>
        <w:rPr>
          <w:rFonts w:ascii="仿宋_GB2312" w:hAnsi="仿宋_GB2312" w:eastAsia="仿宋_GB2312"/>
          <w:sz w:val="32"/>
        </w:rPr>
        <w:t>尉犁县第一小学2024年度，实有人数317人，其中：在职人员234人，增加9人；离休人员0人，增加0人；退休人员83人,增加9人。</w:t>
      </w:r>
    </w:p>
    <w:p>
      <w:pPr>
        <w:spacing w:line="580" w:lineRule="exact"/>
        <w:ind w:firstLine="640"/>
        <w:jc w:val="both"/>
      </w:pPr>
      <w:r>
        <w:rPr>
          <w:rFonts w:ascii="仿宋_GB2312" w:hAnsi="仿宋_GB2312" w:eastAsia="仿宋_GB2312"/>
          <w:sz w:val="32"/>
        </w:rPr>
        <w:t>尉犁县第一小学无下属预算单位，下设14个科室，分别是：党建办、行政办、教务处、教师发展中心、德育处、少先队、工会、妇委会、团支部、总务处、医务室、保卫科、宿管中心、后勤服务中心14 个中心科室。各部门协调并进，职责明确，实行责任追究制度。</w:t>
      </w:r>
    </w:p>
    <w:p>
      <w:r>
        <w:br w:type="page"/>
      </w:r>
    </w:p>
    <w:p>
      <w:pPr>
        <w:spacing w:line="240" w:lineRule="auto"/>
        <w:jc w:val="center"/>
        <w:outlineLvl w:val="1"/>
      </w:pPr>
      <w:r>
        <w:rPr>
          <w:rFonts w:ascii="黑体" w:hAnsi="黑体" w:eastAsia="黑体"/>
          <w:sz w:val="32"/>
        </w:rPr>
        <w:t>第二部分 部门决算情况说明</w:t>
      </w:r>
    </w:p>
    <w:p>
      <w:pPr>
        <w:spacing w:line="640" w:lineRule="exact"/>
        <w:ind w:firstLine="640"/>
        <w:jc w:val="both"/>
        <w:outlineLvl w:val="2"/>
      </w:pPr>
      <w:r>
        <w:rPr>
          <w:rFonts w:ascii="黑体" w:hAnsi="黑体" w:eastAsia="黑体"/>
          <w:sz w:val="32"/>
        </w:rPr>
        <w:t>一、收入支出决算总体情况说明</w:t>
      </w:r>
    </w:p>
    <w:p>
      <w:pPr>
        <w:spacing w:line="580" w:lineRule="exact"/>
        <w:ind w:firstLine="640"/>
        <w:jc w:val="both"/>
      </w:pPr>
      <w:r>
        <w:rPr>
          <w:rFonts w:ascii="仿宋_GB2312" w:hAnsi="仿宋_GB2312" w:eastAsia="仿宋_GB2312"/>
          <w:b/>
          <w:sz w:val="32"/>
        </w:rPr>
        <w:t>2024年度收入总计4,727.53万元，</w:t>
      </w:r>
      <w:r>
        <w:rPr>
          <w:rFonts w:ascii="仿宋_GB2312" w:hAnsi="仿宋_GB2312" w:eastAsia="仿宋_GB2312"/>
          <w:b w:val="0"/>
          <w:sz w:val="32"/>
        </w:rPr>
        <w:t>其中：本年收入合计4,596.83万元，使用非财政拨款结余（含专用结余）130.70万元，年初结转和结余0.00万元。</w:t>
      </w:r>
    </w:p>
    <w:p>
      <w:pPr>
        <w:spacing w:line="580" w:lineRule="exact"/>
        <w:ind w:firstLine="640"/>
        <w:jc w:val="both"/>
      </w:pPr>
      <w:r>
        <w:rPr>
          <w:rFonts w:ascii="仿宋_GB2312" w:hAnsi="仿宋_GB2312" w:eastAsia="仿宋_GB2312"/>
          <w:b/>
          <w:sz w:val="32"/>
        </w:rPr>
        <w:t>2024年度支出总计4,727.53万元，</w:t>
      </w:r>
      <w:r>
        <w:rPr>
          <w:rFonts w:ascii="仿宋_GB2312" w:hAnsi="仿宋_GB2312" w:eastAsia="仿宋_GB2312"/>
          <w:b w:val="0"/>
          <w:sz w:val="32"/>
        </w:rPr>
        <w:t>其中：本年支出合计4,603.96万元，结余分配0.00万元，年末结转和结余123.57万元。</w:t>
      </w:r>
    </w:p>
    <w:p>
      <w:pPr>
        <w:spacing w:line="580" w:lineRule="exact"/>
        <w:ind w:firstLine="640"/>
        <w:jc w:val="both"/>
      </w:pPr>
      <w:r>
        <w:rPr>
          <w:rFonts w:ascii="仿宋_GB2312" w:hAnsi="仿宋_GB2312" w:eastAsia="仿宋_GB2312"/>
          <w:b w:val="0"/>
          <w:sz w:val="32"/>
        </w:rPr>
        <w:t>收入支出总体与上年相比，</w:t>
      </w:r>
      <w:r>
        <w:rPr>
          <w:rFonts w:ascii="仿宋_GB2312" w:hAnsi="仿宋_GB2312" w:eastAsia="仿宋_GB2312"/>
          <w:b w:val="0"/>
          <w:sz w:val="32"/>
        </w:rPr>
        <w:t>增加59.52万元，增长1.28%，主要原因是：本年在职人员增加，在职人员工资调增、社保、公积金基数调增，人员经费增加。</w:t>
      </w:r>
    </w:p>
    <w:p>
      <w:pPr>
        <w:spacing w:line="640" w:lineRule="exact"/>
        <w:ind w:firstLine="640"/>
        <w:jc w:val="both"/>
        <w:outlineLvl w:val="2"/>
      </w:pPr>
      <w:r>
        <w:rPr>
          <w:rFonts w:ascii="黑体" w:hAnsi="黑体" w:eastAsia="黑体"/>
          <w:sz w:val="32"/>
        </w:rPr>
        <w:t>二、收入决算情况说明</w:t>
      </w:r>
    </w:p>
    <w:p>
      <w:pPr>
        <w:spacing w:line="580" w:lineRule="exact"/>
        <w:ind w:firstLine="640"/>
        <w:jc w:val="both"/>
      </w:pPr>
      <w:r>
        <w:rPr>
          <w:rFonts w:ascii="仿宋_GB2312" w:hAnsi="仿宋_GB2312" w:eastAsia="仿宋_GB2312"/>
          <w:b/>
          <w:sz w:val="32"/>
        </w:rPr>
        <w:t>本年收入4,596.83万元，</w:t>
      </w:r>
      <w:r>
        <w:rPr>
          <w:rFonts w:ascii="仿宋_GB2312" w:hAnsi="仿宋_GB2312" w:eastAsia="仿宋_GB2312"/>
          <w:b w:val="0"/>
          <w:sz w:val="32"/>
        </w:rPr>
        <w:t>其中：财政拨款收入4,349.75万元，占94.62%；上级补助收入0.00万元，占0.00%；事业收入0.00万元，占0.00%；经营收入0.00万元，占0.00%；附属单位上缴收入0.00万元，占0.00%；其他收入247.08万元，占5.38%。</w:t>
      </w:r>
    </w:p>
    <w:p>
      <w:pPr>
        <w:spacing w:line="640" w:lineRule="exact"/>
        <w:ind w:firstLine="640"/>
        <w:jc w:val="both"/>
        <w:outlineLvl w:val="2"/>
      </w:pPr>
      <w:r>
        <w:rPr>
          <w:rFonts w:ascii="黑体" w:hAnsi="黑体" w:eastAsia="黑体"/>
          <w:sz w:val="32"/>
        </w:rPr>
        <w:t>三、支出决算情况说明</w:t>
      </w:r>
    </w:p>
    <w:p>
      <w:pPr>
        <w:spacing w:line="580" w:lineRule="exact"/>
        <w:ind w:firstLine="640"/>
        <w:jc w:val="both"/>
      </w:pPr>
      <w:r>
        <w:rPr>
          <w:rFonts w:ascii="仿宋_GB2312" w:hAnsi="仿宋_GB2312" w:eastAsia="仿宋_GB2312"/>
          <w:b/>
          <w:sz w:val="32"/>
        </w:rPr>
        <w:t>本年支出4,603.96万元，</w:t>
      </w:r>
      <w:r>
        <w:rPr>
          <w:rFonts w:ascii="仿宋_GB2312" w:hAnsi="仿宋_GB2312" w:eastAsia="仿宋_GB2312"/>
          <w:b w:val="0"/>
          <w:sz w:val="32"/>
        </w:rPr>
        <w:t>其中：基本支出4,603.96万元，占100.00%；项目支出0.00万元，占0.00%；上缴上级支出0.00万元，占0.00%；经营支出0.00万元，占0.00%；对附属单位补助支出0.00万元，占0.00%。</w:t>
      </w:r>
    </w:p>
    <w:p>
      <w:pPr>
        <w:spacing w:line="640" w:lineRule="exact"/>
        <w:ind w:firstLine="640"/>
        <w:jc w:val="both"/>
        <w:outlineLvl w:val="2"/>
      </w:pPr>
      <w:r>
        <w:rPr>
          <w:rFonts w:ascii="黑体" w:hAnsi="黑体" w:eastAsia="黑体"/>
          <w:sz w:val="32"/>
        </w:rPr>
        <w:t>四、财政拨款收入支出决算总体情况说明</w:t>
      </w:r>
    </w:p>
    <w:p>
      <w:pPr>
        <w:spacing w:line="580" w:lineRule="exact"/>
        <w:ind w:firstLine="640"/>
        <w:jc w:val="both"/>
      </w:pPr>
      <w:r>
        <w:rPr>
          <w:rFonts w:ascii="仿宋_GB2312" w:hAnsi="仿宋_GB2312" w:eastAsia="仿宋_GB2312"/>
          <w:b/>
          <w:sz w:val="32"/>
        </w:rPr>
        <w:t>2024年度财政拨款收入总计4,349.75万元，</w:t>
      </w:r>
      <w:r>
        <w:rPr>
          <w:rFonts w:ascii="仿宋_GB2312" w:hAnsi="仿宋_GB2312" w:eastAsia="仿宋_GB2312"/>
          <w:b w:val="0"/>
          <w:sz w:val="32"/>
        </w:rPr>
        <w:t>其中：年初财政拨款结转和结余0.00万元，本年财政拨款收入4,349.75万元。</w:t>
      </w:r>
      <w:r>
        <w:rPr>
          <w:rFonts w:ascii="仿宋_GB2312" w:hAnsi="仿宋_GB2312" w:eastAsia="仿宋_GB2312"/>
          <w:b/>
          <w:sz w:val="32"/>
        </w:rPr>
        <w:t>财政拨款支出总计4,349.75万元，</w:t>
      </w:r>
      <w:r>
        <w:rPr>
          <w:rFonts w:ascii="仿宋_GB2312" w:hAnsi="仿宋_GB2312" w:eastAsia="仿宋_GB2312"/>
          <w:b w:val="0"/>
          <w:sz w:val="32"/>
        </w:rPr>
        <w:t>其中：年末财政拨款结转和结余0.00万元，本年财政拨款支出4,349.75万元。</w:t>
      </w:r>
    </w:p>
    <w:p>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增加52.92万元，增长1.23%，主要原因是：本年在职人员增加，在职人员工资调增、社保、公积金基数调增，人员经费增加。</w:t>
      </w:r>
      <w:r>
        <w:rPr>
          <w:rFonts w:ascii="仿宋_GB2312" w:hAnsi="仿宋_GB2312" w:eastAsia="仿宋_GB2312"/>
          <w:b/>
          <w:sz w:val="32"/>
        </w:rPr>
        <w:t>与年初预算相比，</w:t>
      </w:r>
      <w:r>
        <w:rPr>
          <w:rFonts w:ascii="仿宋_GB2312" w:hAnsi="仿宋_GB2312" w:eastAsia="仿宋_GB2312"/>
          <w:b w:val="0"/>
          <w:sz w:val="32"/>
        </w:rPr>
        <w:t>年初预算数4,000.23万元，决算数4,349.75万元，预决算差异率8.74%，主要原因是：本年在职人员增加，年中追加人员经费及人员工资、社保、公积金基数调增部分资金，导致预决算存在差异。</w:t>
      </w:r>
    </w:p>
    <w:p>
      <w:pPr>
        <w:spacing w:line="640" w:lineRule="exact"/>
        <w:ind w:firstLine="640"/>
        <w:jc w:val="both"/>
        <w:outlineLvl w:val="2"/>
      </w:pPr>
      <w:r>
        <w:rPr>
          <w:rFonts w:ascii="黑体" w:hAnsi="黑体" w:eastAsia="黑体"/>
          <w:sz w:val="32"/>
        </w:rPr>
        <w:t>五、一般公共预算财政拨款支出决算情况说明</w:t>
      </w:r>
    </w:p>
    <w:p>
      <w:pPr>
        <w:spacing w:line="640" w:lineRule="exact"/>
        <w:ind w:firstLine="640"/>
        <w:jc w:val="both"/>
        <w:outlineLvl w:val="3"/>
      </w:pPr>
      <w:r>
        <w:rPr>
          <w:rFonts w:ascii="楷体_GB2312" w:hAnsi="楷体_GB2312" w:eastAsia="楷体_GB2312"/>
          <w:b/>
          <w:sz w:val="32"/>
        </w:rPr>
        <w:t>（一）一般公共预算财政拨款支出决算总体情况</w:t>
      </w:r>
    </w:p>
    <w:p>
      <w:pPr>
        <w:spacing w:line="580" w:lineRule="exact"/>
        <w:ind w:firstLine="640"/>
        <w:jc w:val="both"/>
      </w:pPr>
      <w:r>
        <w:rPr>
          <w:rFonts w:ascii="仿宋_GB2312" w:hAnsi="仿宋_GB2312" w:eastAsia="仿宋_GB2312"/>
          <w:b/>
          <w:sz w:val="32"/>
        </w:rPr>
        <w:t>2024年度一般公共预算财政拨款支出4,349.75万元，</w:t>
      </w:r>
      <w:r>
        <w:rPr>
          <w:rFonts w:ascii="仿宋_GB2312" w:hAnsi="仿宋_GB2312" w:eastAsia="仿宋_GB2312"/>
          <w:b w:val="0"/>
          <w:sz w:val="32"/>
        </w:rPr>
        <w:t>占本年支出合计的94.48%。</w:t>
      </w:r>
      <w:r>
        <w:rPr>
          <w:rFonts w:ascii="仿宋_GB2312" w:hAnsi="仿宋_GB2312" w:eastAsia="仿宋_GB2312"/>
          <w:b/>
          <w:sz w:val="32"/>
        </w:rPr>
        <w:t>与上年相比，</w:t>
      </w:r>
      <w:r>
        <w:rPr>
          <w:rFonts w:ascii="仿宋_GB2312" w:hAnsi="仿宋_GB2312" w:eastAsia="仿宋_GB2312"/>
          <w:b w:val="0"/>
          <w:sz w:val="32"/>
        </w:rPr>
        <w:t>增加52.92万元，增长1.23%，主要原因是：本年在职人员增加，在职人员工资调增、社保、公积金基数调增，人员经费增加。</w:t>
      </w:r>
      <w:r>
        <w:rPr>
          <w:rFonts w:ascii="仿宋_GB2312" w:hAnsi="仿宋_GB2312" w:eastAsia="仿宋_GB2312"/>
          <w:b/>
          <w:sz w:val="32"/>
        </w:rPr>
        <w:t>与年初预算相比,</w:t>
      </w:r>
      <w:r>
        <w:rPr>
          <w:rFonts w:ascii="仿宋_GB2312" w:hAnsi="仿宋_GB2312" w:eastAsia="仿宋_GB2312"/>
          <w:b w:val="0"/>
          <w:sz w:val="32"/>
        </w:rPr>
        <w:t>年初预算数4,000.23万元，决算数4,349.75万元，预决算差异率8.74%，主要原因是：本年在职人员增加，年中追加人员经费及人员工资、社保、公积金基数调增部分资金，导致预决算存在差异。</w:t>
      </w:r>
    </w:p>
    <w:p>
      <w:pPr>
        <w:spacing w:line="640" w:lineRule="exact"/>
        <w:ind w:firstLine="640"/>
        <w:jc w:val="both"/>
        <w:outlineLvl w:val="3"/>
      </w:pPr>
      <w:r>
        <w:rPr>
          <w:rFonts w:ascii="楷体_GB2312" w:hAnsi="楷体_GB2312" w:eastAsia="楷体_GB2312"/>
          <w:b/>
          <w:sz w:val="32"/>
        </w:rPr>
        <w:t>（二）一般公共预算财政拨款支出决算结构情况</w:t>
      </w:r>
    </w:p>
    <w:p>
      <w:pPr>
        <w:spacing w:line="580" w:lineRule="exact"/>
        <w:ind w:firstLine="640"/>
        <w:jc w:val="both"/>
      </w:pPr>
      <w:r>
        <w:rPr>
          <w:rFonts w:ascii="仿宋_GB2312" w:hAnsi="仿宋_GB2312" w:eastAsia="仿宋_GB2312"/>
          <w:b w:val="0"/>
          <w:sz w:val="32"/>
        </w:rPr>
        <w:t>1.教育支出(类)4,330.20万元,占99.55%。</w:t>
      </w:r>
    </w:p>
    <w:p>
      <w:pPr>
        <w:spacing w:line="580" w:lineRule="exact"/>
        <w:ind w:firstLine="640"/>
        <w:jc w:val="both"/>
      </w:pPr>
      <w:r>
        <w:rPr>
          <w:rFonts w:ascii="仿宋_GB2312" w:hAnsi="仿宋_GB2312" w:eastAsia="仿宋_GB2312"/>
          <w:b w:val="0"/>
          <w:sz w:val="32"/>
        </w:rPr>
        <w:t>2.科学技术支出(类)1.00万元,占0.02%。</w:t>
      </w:r>
    </w:p>
    <w:p>
      <w:pPr>
        <w:spacing w:line="580" w:lineRule="exact"/>
        <w:ind w:firstLine="640"/>
        <w:jc w:val="both"/>
      </w:pPr>
      <w:r>
        <w:rPr>
          <w:rFonts w:ascii="仿宋_GB2312" w:hAnsi="仿宋_GB2312" w:eastAsia="仿宋_GB2312"/>
          <w:b w:val="0"/>
          <w:sz w:val="32"/>
        </w:rPr>
        <w:t>3.社会保障和就业支出(类)16.69万元,占0.38%。</w:t>
      </w:r>
    </w:p>
    <w:p>
      <w:pPr>
        <w:spacing w:line="580" w:lineRule="exact"/>
        <w:ind w:firstLine="640"/>
        <w:jc w:val="both"/>
      </w:pPr>
      <w:r>
        <w:rPr>
          <w:rFonts w:ascii="仿宋_GB2312" w:hAnsi="仿宋_GB2312" w:eastAsia="仿宋_GB2312"/>
          <w:b w:val="0"/>
          <w:sz w:val="32"/>
        </w:rPr>
        <w:t>4.农林水支出(类)1.86万元,占0.04%。</w:t>
      </w:r>
    </w:p>
    <w:p>
      <w:pPr>
        <w:spacing w:line="640" w:lineRule="exact"/>
        <w:ind w:firstLine="640"/>
        <w:jc w:val="both"/>
        <w:outlineLvl w:val="3"/>
      </w:pPr>
      <w:r>
        <w:rPr>
          <w:rFonts w:ascii="楷体_GB2312" w:hAnsi="楷体_GB2312" w:eastAsia="楷体_GB2312"/>
          <w:b/>
          <w:sz w:val="32"/>
        </w:rPr>
        <w:t>（三）一般公共预算财政拨款支出决算具体情况</w:t>
      </w:r>
    </w:p>
    <w:p>
      <w:pPr>
        <w:spacing w:line="580" w:lineRule="exact"/>
        <w:ind w:firstLine="640"/>
        <w:jc w:val="both"/>
      </w:pPr>
      <w:r>
        <w:rPr>
          <w:rFonts w:ascii="仿宋_GB2312" w:hAnsi="仿宋_GB2312" w:eastAsia="仿宋_GB2312"/>
          <w:b w:val="0"/>
          <w:sz w:val="32"/>
        </w:rPr>
        <w:t>1.教育支出(类)普通教育(款)小学教育(项):支出决算数为4,317.73万元，比上年决算增加690.07万元，增长19.02%,主要原因是：本年在职人员增加，在职人员工资调增、社保、公积金基数调增，人员经费增加。</w:t>
      </w:r>
    </w:p>
    <w:p>
      <w:pPr>
        <w:spacing w:line="580" w:lineRule="exact"/>
        <w:ind w:firstLine="640"/>
        <w:jc w:val="both"/>
      </w:pPr>
      <w:r>
        <w:rPr>
          <w:rFonts w:ascii="仿宋_GB2312" w:hAnsi="仿宋_GB2312" w:eastAsia="仿宋_GB2312"/>
          <w:b w:val="0"/>
          <w:sz w:val="32"/>
        </w:rPr>
        <w:t>2.教育支出(类)进修及培训(款)培训支出(项):支出决算数为12.47万元，比上年决算减少6.27万元，下降33.46%,主要原因是：本年减少2024年“国培”等培训费，导致相关经费增加。</w:t>
      </w:r>
    </w:p>
    <w:p>
      <w:pPr>
        <w:spacing w:line="580" w:lineRule="exact"/>
        <w:ind w:firstLine="640"/>
        <w:jc w:val="both"/>
      </w:pPr>
      <w:r>
        <w:rPr>
          <w:rFonts w:ascii="仿宋_GB2312" w:hAnsi="仿宋_GB2312" w:eastAsia="仿宋_GB2312"/>
          <w:b w:val="0"/>
          <w:sz w:val="32"/>
        </w:rPr>
        <w:t>3.科学技术支出(类)科学技术普及(款)科普活动(项):支出决算数为1.00万元，比上年决算增加1.00万元，增长100.00%,主要原因是：本年增加基础科普行动宣传制作费，导致相关经费增加。</w:t>
      </w:r>
    </w:p>
    <w:p>
      <w:pPr>
        <w:spacing w:line="580" w:lineRule="exact"/>
        <w:ind w:firstLine="640"/>
        <w:jc w:val="both"/>
      </w:pPr>
      <w:r>
        <w:rPr>
          <w:rFonts w:ascii="仿宋_GB2312" w:hAnsi="仿宋_GB2312" w:eastAsia="仿宋_GB2312"/>
          <w:b w:val="0"/>
          <w:sz w:val="32"/>
        </w:rPr>
        <w:t>4.社会保障和就业支出(类)行政事业单位养老支出(款)事业单位离退休(项):支出决算数为16.69万元，比上年决算增加16.69万元，增长100.00%,主要原因是：本年功能科目增加，行政单位离退休上年度在小学教育科目列支，本年单独列支，导致经费较上年增加。</w:t>
      </w:r>
    </w:p>
    <w:p>
      <w:pPr>
        <w:spacing w:line="580" w:lineRule="exact"/>
        <w:ind w:firstLine="640"/>
        <w:jc w:val="both"/>
      </w:pPr>
      <w:r>
        <w:rPr>
          <w:rFonts w:ascii="仿宋_GB2312" w:hAnsi="仿宋_GB2312" w:eastAsia="仿宋_GB2312"/>
          <w:b w:val="0"/>
          <w:sz w:val="32"/>
        </w:rPr>
        <w:t>5.社会保障和就业支出(类)行政事业单位养老支出(款)机关事业单位基本养老保险缴费支出(项):支出决算数为0.00万元，比上年决算减少369.27万元，下降100.00%,主要原因是：本年功能科目调整，养老保险缴费上年度单独列支，本年调整至小学教育科目列支，导致经费较上年减少。</w:t>
      </w:r>
    </w:p>
    <w:p>
      <w:pPr>
        <w:spacing w:line="580" w:lineRule="exact"/>
        <w:ind w:firstLine="640"/>
        <w:jc w:val="both"/>
      </w:pPr>
      <w:r>
        <w:rPr>
          <w:rFonts w:ascii="仿宋_GB2312" w:hAnsi="仿宋_GB2312" w:eastAsia="仿宋_GB2312"/>
          <w:b w:val="0"/>
          <w:sz w:val="32"/>
        </w:rPr>
        <w:t>6.农林水支出(类)巩固脱贫攻坚成果衔接乡村振兴(款)社会发展(项):支出决算数为1.86万元，比上年决算减少0.64万元，下降25.60%,主要原因是：本年减少学生教育帮扶资金补助资金，导致相关经费减少。</w:t>
      </w:r>
    </w:p>
    <w:p>
      <w:pPr>
        <w:spacing w:line="580" w:lineRule="exact"/>
        <w:ind w:firstLine="640"/>
        <w:jc w:val="both"/>
      </w:pPr>
      <w:r>
        <w:rPr>
          <w:rFonts w:ascii="仿宋_GB2312" w:hAnsi="仿宋_GB2312" w:eastAsia="仿宋_GB2312"/>
          <w:b w:val="0"/>
          <w:sz w:val="32"/>
        </w:rPr>
        <w:t>7.住房保障支出(类)住房改革支出(款)住房公积金(项):支出决算数为0.00万元，比上年决算减少278.66万元，下降100.00%,主要原因是：本年功能科目调整，住房公积金上年度单独列支，本年调整至主科目列支，导致经费较上年减少。</w:t>
      </w:r>
    </w:p>
    <w:p>
      <w:pPr>
        <w:spacing w:line="640" w:lineRule="exact"/>
        <w:ind w:firstLine="640"/>
        <w:jc w:val="both"/>
        <w:outlineLvl w:val="2"/>
      </w:pPr>
      <w:r>
        <w:rPr>
          <w:rFonts w:ascii="黑体" w:hAnsi="黑体" w:eastAsia="黑体"/>
          <w:sz w:val="32"/>
        </w:rPr>
        <w:t>六、一般公共预算财政拨款基本支出决算情况说明</w:t>
      </w:r>
    </w:p>
    <w:p>
      <w:pPr>
        <w:spacing w:line="580" w:lineRule="exact"/>
        <w:ind w:firstLine="640"/>
        <w:jc w:val="both"/>
      </w:pPr>
      <w:r>
        <w:rPr>
          <w:rFonts w:ascii="仿宋_GB2312" w:hAnsi="仿宋_GB2312" w:eastAsia="仿宋_GB2312"/>
          <w:b w:val="0"/>
          <w:sz w:val="32"/>
        </w:rPr>
        <w:t>2024年度一般公共预算财政拨款基本支出4,349.75万元，其中：</w:t>
      </w:r>
      <w:r>
        <w:rPr>
          <w:rFonts w:ascii="仿宋_GB2312" w:hAnsi="仿宋_GB2312" w:eastAsia="仿宋_GB2312"/>
          <w:b/>
          <w:sz w:val="32"/>
        </w:rPr>
        <w:t>人员经费3,980.68万元，</w:t>
      </w:r>
      <w:r>
        <w:rPr>
          <w:rFonts w:ascii="仿宋_GB2312" w:hAnsi="仿宋_GB2312" w:eastAsia="仿宋_GB2312"/>
          <w:b w:val="0"/>
          <w:sz w:val="32"/>
        </w:rPr>
        <w:t>包括：基本工资、津贴补贴、绩效工资、机关事业单位基本养老保险缴费、职业年金缴费、职工基本医疗保险缴费、其他社会保障缴费、住房公积金、医疗费、其他工资福利支出、退休费、生活补助、医疗费补助、助学金、奖励金。</w:t>
      </w:r>
    </w:p>
    <w:p>
      <w:pPr>
        <w:spacing w:line="580" w:lineRule="exact"/>
        <w:ind w:firstLine="640"/>
        <w:jc w:val="both"/>
      </w:pPr>
      <w:r>
        <w:rPr>
          <w:rFonts w:ascii="仿宋_GB2312" w:hAnsi="仿宋_GB2312" w:eastAsia="仿宋_GB2312"/>
          <w:b/>
          <w:sz w:val="32"/>
        </w:rPr>
        <w:t>公用经费369.07万元，</w:t>
      </w:r>
      <w:r>
        <w:rPr>
          <w:rFonts w:ascii="仿宋_GB2312" w:hAnsi="仿宋_GB2312" w:eastAsia="仿宋_GB2312"/>
          <w:b w:val="0"/>
          <w:sz w:val="32"/>
        </w:rPr>
        <w:t>包括：办公费、印刷费、水费、邮电费、取暖费、物业管理费、差旅费、维修（护）费、租赁费、培训费、专用材料费、委托业务费、工会经费、福利费、其他交通费用、办公设备购置、其他资本性支出。</w:t>
      </w:r>
    </w:p>
    <w:p>
      <w:pPr>
        <w:spacing w:line="640" w:lineRule="exact"/>
        <w:ind w:firstLine="640"/>
        <w:jc w:val="both"/>
        <w:outlineLvl w:val="2"/>
      </w:pPr>
      <w:r>
        <w:rPr>
          <w:rFonts w:ascii="黑体" w:hAnsi="黑体" w:eastAsia="黑体"/>
          <w:sz w:val="32"/>
        </w:rPr>
        <w:t>七、政府性基金预算财政拨款收入支出决算情况说明</w:t>
      </w:r>
    </w:p>
    <w:p>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pPr>
        <w:spacing w:line="640" w:lineRule="exact"/>
        <w:ind w:firstLine="640"/>
        <w:jc w:val="both"/>
        <w:outlineLvl w:val="2"/>
      </w:pPr>
      <w:r>
        <w:rPr>
          <w:rFonts w:ascii="黑体" w:hAnsi="黑体" w:eastAsia="黑体"/>
          <w:sz w:val="32"/>
        </w:rPr>
        <w:t>八、国有资本经营预算财政拨款收入支出决算情况说明</w:t>
      </w:r>
    </w:p>
    <w:p>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pPr>
        <w:spacing w:line="640" w:lineRule="exact"/>
        <w:ind w:firstLine="640"/>
        <w:jc w:val="both"/>
        <w:outlineLvl w:val="2"/>
      </w:pPr>
      <w:r>
        <w:rPr>
          <w:rFonts w:ascii="黑体" w:hAnsi="黑体" w:eastAsia="黑体"/>
          <w:sz w:val="32"/>
        </w:rPr>
        <w:t>九、财政拨款“三公”经费支出决算情况说明</w:t>
      </w:r>
    </w:p>
    <w:p>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比上年增加0.00万元，增长0.00%，主要原因是：2023年与2024年均未安排财政拨款“三公”经费支出。</w:t>
      </w:r>
      <w:r>
        <w:rPr>
          <w:rFonts w:ascii="仿宋_GB2312" w:hAnsi="仿宋_GB2312" w:eastAsia="仿宋_GB2312"/>
          <w:b w:val="0"/>
          <w:sz w:val="32"/>
        </w:rPr>
        <w:t>其中：因公出国（境）费支出0.00万元，占0.00%，比上年增加0.00万元，增长0.00%，主要原因是：2023年与2024年均未安排因公出国（境）费支出。</w:t>
      </w:r>
      <w:r>
        <w:rPr>
          <w:rFonts w:ascii="仿宋_GB2312" w:hAnsi="仿宋_GB2312" w:eastAsia="仿宋_GB2312"/>
          <w:b w:val="0"/>
          <w:sz w:val="32"/>
        </w:rPr>
        <w:t>公务用车购置及运行维护费支出0.00万元，占0.00%，比上年增加0.00万元，增长0.00%，主要原因是：2023年与2024年均未安排公务用车购置及运行维护费支出。</w:t>
      </w:r>
      <w:r>
        <w:rPr>
          <w:rFonts w:ascii="仿宋_GB2312" w:hAnsi="仿宋_GB2312" w:eastAsia="仿宋_GB2312"/>
          <w:b w:val="0"/>
          <w:sz w:val="32"/>
        </w:rPr>
        <w:t>公务接待费支出0.00万元，占0.00%，比上年增加0.00万元，增长0.00%，主要原因是：2023年与2024年均未安排公务接待费支出。</w:t>
      </w:r>
    </w:p>
    <w:p>
      <w:pPr>
        <w:spacing w:line="580" w:lineRule="exact"/>
        <w:ind w:firstLine="640"/>
        <w:jc w:val="both"/>
      </w:pPr>
      <w:r>
        <w:rPr>
          <w:rFonts w:ascii="仿宋_GB2312" w:hAnsi="仿宋_GB2312" w:eastAsia="仿宋_GB2312"/>
          <w:b/>
          <w:sz w:val="32"/>
        </w:rPr>
        <w:t>具体情况如下：</w:t>
      </w:r>
    </w:p>
    <w:p>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单位无公务用车运行维护费。公务用车购置数0辆，公务用车保有量0辆。国有资产占用情况中固定资产车辆0辆，与公务用车保有量差异原因是：本单位无固定资产车辆。</w:t>
      </w:r>
    </w:p>
    <w:p>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单位无财政拨款“三公”经费支出。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0.00万元，决算数0.00万元，预决算差异率0.00%，主要原因是：本单位无公务用车运行维护费。公务接待费全年预算数0.00万元，决算数0.00万元，预决算差异率0.00%，主要原因是：本单位无公务接待费。</w:t>
      </w:r>
    </w:p>
    <w:p>
      <w:pPr>
        <w:spacing w:line="640" w:lineRule="exact"/>
        <w:ind w:firstLine="640"/>
        <w:jc w:val="both"/>
        <w:outlineLvl w:val="2"/>
      </w:pPr>
      <w:r>
        <w:rPr>
          <w:rFonts w:ascii="黑体" w:hAnsi="黑体" w:eastAsia="黑体"/>
          <w:sz w:val="32"/>
        </w:rPr>
        <w:t>十、其他重要事项的情况说明</w:t>
      </w:r>
    </w:p>
    <w:p>
      <w:pPr>
        <w:spacing w:line="640" w:lineRule="exact"/>
        <w:ind w:firstLine="640"/>
        <w:jc w:val="both"/>
        <w:outlineLvl w:val="3"/>
      </w:pPr>
      <w:r>
        <w:rPr>
          <w:rFonts w:ascii="楷体_GB2312" w:hAnsi="楷体_GB2312" w:eastAsia="楷体_GB2312"/>
          <w:b/>
          <w:sz w:val="32"/>
        </w:rPr>
        <w:t>（一）机关运行经费及公用经费支出情况</w:t>
      </w:r>
    </w:p>
    <w:p>
      <w:pPr>
        <w:spacing w:line="580" w:lineRule="exact"/>
        <w:ind w:firstLine="640"/>
        <w:jc w:val="both"/>
      </w:pPr>
      <w:r>
        <w:rPr>
          <w:rFonts w:ascii="仿宋_GB2312" w:hAnsi="仿宋_GB2312" w:eastAsia="仿宋_GB2312"/>
          <w:b w:val="0"/>
          <w:sz w:val="32"/>
        </w:rPr>
        <w:t>2024年度尉犁县第一小学（事业单位）公用经费支出369.07万元，比上年减少4.68万元，下降1.25%，主要原因是：本年减少学生人数，导致公用经费减少。</w:t>
      </w:r>
    </w:p>
    <w:p>
      <w:pPr>
        <w:spacing w:line="640" w:lineRule="exact"/>
        <w:ind w:firstLine="640"/>
        <w:jc w:val="both"/>
        <w:outlineLvl w:val="3"/>
      </w:pPr>
      <w:r>
        <w:rPr>
          <w:rFonts w:ascii="楷体_GB2312" w:hAnsi="楷体_GB2312" w:eastAsia="楷体_GB2312"/>
          <w:b/>
          <w:sz w:val="32"/>
        </w:rPr>
        <w:t>（二）政府采购情况</w:t>
      </w:r>
    </w:p>
    <w:p>
      <w:pPr>
        <w:spacing w:line="580" w:lineRule="exact"/>
        <w:ind w:firstLine="640"/>
        <w:jc w:val="both"/>
      </w:pPr>
      <w:r>
        <w:rPr>
          <w:rFonts w:ascii="仿宋_GB2312" w:hAnsi="仿宋_GB2312" w:eastAsia="仿宋_GB2312"/>
          <w:b w:val="0"/>
          <w:sz w:val="32"/>
        </w:rPr>
        <w:t>2024年度政府采购支出总额31.59万元，其中：政府采购货物支出15.75万元、政府采购工程支出12.04万元、政府采购服务支出3.80万元。</w:t>
      </w:r>
    </w:p>
    <w:p>
      <w:pPr>
        <w:spacing w:line="580" w:lineRule="exact"/>
        <w:ind w:firstLine="640"/>
        <w:jc w:val="both"/>
      </w:pPr>
      <w:r>
        <w:rPr>
          <w:rFonts w:ascii="仿宋_GB2312" w:hAnsi="仿宋_GB2312" w:eastAsia="仿宋_GB2312"/>
          <w:b w:val="0"/>
          <w:sz w:val="32"/>
        </w:rPr>
        <w:t>授予中小企业合同金额31.59万元，占政府采购支出总额的100.00%，其中：授予小微企业合同金额31.59万元，占政府采购支出总额的100.00%。</w:t>
      </w:r>
    </w:p>
    <w:p>
      <w:pPr>
        <w:spacing w:line="640" w:lineRule="exact"/>
        <w:ind w:firstLine="640"/>
        <w:jc w:val="both"/>
        <w:outlineLvl w:val="3"/>
      </w:pPr>
      <w:r>
        <w:rPr>
          <w:rFonts w:ascii="楷体_GB2312" w:hAnsi="楷体_GB2312" w:eastAsia="楷体_GB2312"/>
          <w:b/>
          <w:sz w:val="32"/>
        </w:rPr>
        <w:t>（三）国有资产占用情况说明</w:t>
      </w:r>
    </w:p>
    <w:p>
      <w:pPr>
        <w:spacing w:line="580" w:lineRule="exact"/>
        <w:ind w:firstLine="640"/>
        <w:jc w:val="both"/>
      </w:pPr>
      <w:r>
        <w:rPr>
          <w:rFonts w:ascii="仿宋_GB2312" w:hAnsi="仿宋_GB2312" w:eastAsia="仿宋_GB2312"/>
          <w:b w:val="0"/>
          <w:sz w:val="32"/>
        </w:rPr>
        <w:t>截至2024年12月31日，房屋29,087.45平方米，价值3,485.10万元。车辆0辆，价值0.00万元，其中：副部（省）级及以上领导用车0辆、主要负责人用车0辆、机要通信用车0辆、应急保障用车0辆、执法执勤用车0辆、特种专业技术用车0辆、离退休干部服务用车0辆、其他用车0辆，其他用车主要是：本单位无其他用车。单价100万元（含）以上设备（不含车辆）0台（套）。</w:t>
      </w:r>
    </w:p>
    <w:p>
      <w:pPr>
        <w:spacing w:line="640" w:lineRule="exact"/>
        <w:ind w:firstLine="640"/>
        <w:jc w:val="both"/>
        <w:outlineLvl w:val="2"/>
      </w:pPr>
      <w:r>
        <w:rPr>
          <w:rFonts w:ascii="黑体" w:hAnsi="黑体" w:eastAsia="黑体"/>
          <w:sz w:val="32"/>
        </w:rPr>
        <w:t>十一、预算绩效的情况说明</w:t>
      </w:r>
    </w:p>
    <w:p>
      <w:pPr>
        <w:spacing w:line="580" w:lineRule="exact"/>
        <w:ind w:firstLine="640"/>
        <w:jc w:val="both"/>
      </w:pPr>
      <w:r>
        <w:rPr>
          <w:rFonts w:ascii="仿宋_GB2312" w:hAnsi="仿宋_GB2312" w:eastAsia="仿宋_GB2312"/>
          <w:b w:val="0"/>
          <w:sz w:val="32"/>
        </w:rPr>
        <w:t>根据预算绩效管理要求，本单位预算绩效评价项目1个，全年预算数248.45万元，全年执行数248.45万元。预算绩效管理取得的成效：一是确保资金的高效使用，切实发挥财政资金的使用效果；二是严格按照工作职责和相关文件依据，确保专款专用；三是严格控制资金的流出方向，确保资金的合规性。发现的问题及原因：一是需要进一步提高绩效管理工作人员的业务能力水平；二是因预期评估，还需准确掌握各时点的指标值，从而在预期目标范围之内。下一步改进措施：一是加强学习，进一步明确如何参照考核体系，科学合理设定绩效目标，充分发挥预算绩效管理工作效用。二是财务上会计核算要更加详细，为本单位各项工作的开展、总结、评估提供有效数据资料支撑,为各项业务工作更好的开展提供帮助。三是从源头上强化对专项资金预算管理，实行专项资金预算管理，结合单位实际,按轻重缓急统筹安排编制预算,提高预算编制科学性和合理性，优化资金结构。具体附项目支出绩效自评表。</w:t>
      </w:r>
    </w:p>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2024年尉犁县第一小学课后服务教师服务费（自有资金）</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尉犁县第一小学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尉犁县第一小学</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分值权重</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234.00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248.45</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248.45</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234.00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248.45</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年度总体目标</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总体目标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总体目标完成情况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2024年尉犁县第一小学课后服务费用于支付参与课后服务教师的课时费，同时预留课后服务费的5%公用经费用于支付课后服务期间产生的水费、办公费及相关服务于课后服务的设备服务费。</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2024年尉犁县第一小学课后服务费用于支付参与课后服务教师的课时费，预留课后服务费的5%公用经费用于支付课后服务期间产生的水费与增值税，有效提升了学校的教学服务水平。</w:t>
            </w:r>
          </w:p>
        </w:tc>
      </w:tr>
      <w:tr>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指标分值权重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应参与课后服务教师人数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&gt;=182人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14</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=182人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14</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开设社团增加，实际参与课后服务教师人数增加</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课后服务教师课时费发放率准确率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13</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13</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课后服务费发放及时率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13</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13</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保障课后服务运转成本</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&lt;=11.75万元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=11.75万元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课后服务教师课时费</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&lt;=236.7万元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=236.7万元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社会效益指标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提升教育公共服务能力</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有效提升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达成目标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在课后服务实际开展过程中，部分学生选择社团比较盲目，少部分课后服务活动因实际与计划不相符，活动开展不完美。</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参与课后服务教师满意度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&gt;=95%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=99.8%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105.05%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预期满意度设置过低，与实际满意度存在偏差</w:t>
            </w:r>
          </w:p>
        </w:tc>
      </w:tr>
      <w:tr>
        <w:tc>
          <w:tcPr>
            <w:tcW w:type="dxa" w:w="2528"/>
            <w:gridSpan w:val="4"/>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100.00分</w:t>
            </w:r>
          </w:p>
        </w:tc>
        <w:tc>
          <w:tcPr>
            <w:tcW w:type="dxa" w:w="632"/>
            <w:tcBorders>
              <w:start w:sz="10" w:val="single"/>
              <w:top w:sz="10" w:val="single"/>
              <w:end w:sz="10" w:val="single"/>
              <w:bottom w:sz="10" w:val="single"/>
              <w:insideV w:sz="10" w:val="single"/>
            </w:tcBorders>
          </w:tcPr>
          <w:p/>
        </w:tc>
      </w:tr>
    </w:tbl>
    <w:p>
      <w:r>
        <w:br w:type="page"/>
      </w:r>
    </w:p>
    <w:p>
      <w:pPr>
        <w:spacing w:line="640" w:lineRule="exact"/>
        <w:ind w:firstLine="640"/>
        <w:jc w:val="both"/>
        <w:outlineLvl w:val="2"/>
      </w:pPr>
      <w:r>
        <w:rPr>
          <w:rFonts w:ascii="黑体" w:hAnsi="黑体" w:eastAsia="黑体"/>
          <w:sz w:val="32"/>
        </w:rPr>
        <w:t>十二、其他需说明的事项</w:t>
      </w:r>
    </w:p>
    <w:p>
      <w:pPr>
        <w:spacing w:line="580" w:lineRule="exact"/>
        <w:ind w:firstLine="640"/>
        <w:jc w:val="both"/>
      </w:pPr>
      <w:r>
        <w:rPr>
          <w:rFonts w:ascii="仿宋_GB2312" w:hAnsi="仿宋_GB2312" w:eastAsia="仿宋_GB2312"/>
          <w:b w:val="0"/>
          <w:sz w:val="32"/>
        </w:rPr>
        <w:t>本年度部门整体绩效自评表由主管部门编报并公开。</w:t>
      </w:r>
    </w:p>
    <w:p>
      <w:r>
        <w:br w:type="page"/>
      </w:r>
    </w:p>
    <w:p>
      <w:pPr>
        <w:spacing w:line="240" w:lineRule="auto"/>
        <w:jc w:val="center"/>
        <w:outlineLvl w:val="1"/>
      </w:pPr>
      <w:r>
        <w:rPr>
          <w:rFonts w:ascii="黑体" w:hAnsi="黑体" w:eastAsia="黑体"/>
          <w:sz w:val="32"/>
        </w:rPr>
        <w:t>第三部分 专业名词解释</w:t>
      </w:r>
    </w:p>
    <w:p>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r>
        <w:br w:type="page"/>
      </w:r>
    </w:p>
    <w:p>
      <w:pPr>
        <w:spacing w:line="240" w:lineRule="auto"/>
        <w:jc w:val="center"/>
        <w:outlineLvl w:val="1"/>
      </w:pPr>
      <w:r>
        <w:rPr>
          <w:rFonts w:ascii="黑体" w:hAnsi="黑体" w:eastAsia="黑体"/>
          <w:sz w:val="32"/>
        </w:rPr>
        <w:t>第四部分 部门决算报表（见附表）</w:t>
      </w:r>
    </w:p>
    <w:p>
      <w:pPr>
        <w:spacing w:line="240" w:lineRule="auto"/>
        <w:ind w:firstLine="640"/>
        <w:jc w:val="both"/>
      </w:pPr>
      <w:r>
        <w:rPr>
          <w:rFonts w:ascii="仿宋_GB2312" w:hAnsi="仿宋_GB2312" w:eastAsia="仿宋_GB2312"/>
          <w:b w:val="0"/>
          <w:sz w:val="32"/>
        </w:rPr>
        <w:t>一、《收入支出决算总表》</w:t>
      </w:r>
    </w:p>
    <w:p>
      <w:pPr>
        <w:spacing w:line="240" w:lineRule="auto"/>
        <w:ind w:firstLine="640"/>
        <w:jc w:val="both"/>
      </w:pPr>
      <w:r>
        <w:rPr>
          <w:rFonts w:ascii="仿宋_GB2312" w:hAnsi="仿宋_GB2312" w:eastAsia="仿宋_GB2312"/>
          <w:b w:val="0"/>
          <w:sz w:val="32"/>
        </w:rPr>
        <w:t>二、《收入决算表》</w:t>
      </w:r>
    </w:p>
    <w:p>
      <w:pPr>
        <w:spacing w:line="240" w:lineRule="auto"/>
        <w:ind w:firstLine="640"/>
        <w:jc w:val="both"/>
      </w:pPr>
      <w:r>
        <w:rPr>
          <w:rFonts w:ascii="仿宋_GB2312" w:hAnsi="仿宋_GB2312" w:eastAsia="仿宋_GB2312"/>
          <w:b w:val="0"/>
          <w:sz w:val="32"/>
        </w:rPr>
        <w:t>三、《支出决算表》</w:t>
      </w:r>
    </w:p>
    <w:p>
      <w:pPr>
        <w:spacing w:line="240" w:lineRule="auto"/>
        <w:ind w:firstLine="640"/>
        <w:jc w:val="both"/>
      </w:pPr>
      <w:r>
        <w:rPr>
          <w:rFonts w:ascii="仿宋_GB2312" w:hAnsi="仿宋_GB2312" w:eastAsia="仿宋_GB2312"/>
          <w:b w:val="0"/>
          <w:sz w:val="32"/>
        </w:rPr>
        <w:t>四、《财政拨款收入支出决算总表》</w:t>
      </w:r>
    </w:p>
    <w:p>
      <w:pPr>
        <w:spacing w:line="240" w:lineRule="auto"/>
        <w:ind w:firstLine="640"/>
        <w:jc w:val="both"/>
      </w:pPr>
      <w:r>
        <w:rPr>
          <w:rFonts w:ascii="仿宋_GB2312" w:hAnsi="仿宋_GB2312" w:eastAsia="仿宋_GB2312"/>
          <w:b w:val="0"/>
          <w:sz w:val="32"/>
        </w:rPr>
        <w:t>五、《一般公共预算财政拨款支出决算表》</w:t>
      </w:r>
    </w:p>
    <w:p>
      <w:pPr>
        <w:spacing w:line="240" w:lineRule="auto"/>
        <w:ind w:firstLine="640"/>
        <w:jc w:val="both"/>
      </w:pPr>
      <w:r>
        <w:rPr>
          <w:rFonts w:ascii="仿宋_GB2312" w:hAnsi="仿宋_GB2312" w:eastAsia="仿宋_GB2312"/>
          <w:b w:val="0"/>
          <w:sz w:val="32"/>
        </w:rPr>
        <w:t>六、《一般公共预算财政拨款基本支出决算表》</w:t>
      </w:r>
    </w:p>
    <w:p>
      <w:pPr>
        <w:spacing w:line="240" w:lineRule="auto"/>
        <w:ind w:firstLine="640"/>
        <w:jc w:val="both"/>
      </w:pPr>
      <w:r>
        <w:rPr>
          <w:rFonts w:ascii="仿宋_GB2312" w:hAnsi="仿宋_GB2312" w:eastAsia="仿宋_GB2312"/>
          <w:b w:val="0"/>
          <w:sz w:val="32"/>
        </w:rPr>
        <w:t>七、《政府性基金预算财政拨款收入支出决算表》</w:t>
      </w:r>
    </w:p>
    <w:p>
      <w:pPr>
        <w:spacing w:line="240" w:lineRule="auto"/>
        <w:ind w:firstLine="640"/>
        <w:jc w:val="both"/>
      </w:pPr>
      <w:r>
        <w:rPr>
          <w:rFonts w:ascii="仿宋_GB2312" w:hAnsi="仿宋_GB2312" w:eastAsia="仿宋_GB2312"/>
          <w:b w:val="0"/>
          <w:sz w:val="32"/>
        </w:rPr>
        <w:t>八、《国有资本经营预算财政拨款收入支出决算表》</w:t>
      </w:r>
    </w:p>
    <w:p>
      <w:pPr>
        <w:spacing w:line="240" w:lineRule="auto"/>
        <w:ind w:firstLine="640"/>
        <w:jc w:val="both"/>
      </w:pPr>
      <w:r>
        <w:rPr>
          <w:rFonts w:ascii="仿宋_GB2312" w:hAnsi="仿宋_GB2312" w:eastAsia="仿宋_GB2312"/>
          <w:b w:val="0"/>
          <w:sz w:val="32"/>
        </w:rPr>
        <w:t>九、《财政拨款“三公”经费支出决算表》</w:t>
      </w:r>
    </w:p>
    <w:p>
      <w:pPr>
        <w:spacing w:line="240" w:lineRule="auto"/>
        <w:ind w:firstLine="640"/>
        <w:jc w:val="both"/>
      </w:pPr>
    </w:p>
    <w:p>
      <w:pPr>
        <w:spacing w:line="240" w:lineRule="auto"/>
        <w:ind w:firstLine="640"/>
        <w:jc w:val="both"/>
      </w:pPr>
    </w:p>
    <w:p>
      <w:pPr>
        <w:spacing w:line="240" w:lineRule="auto"/>
        <w:ind w:firstLine="640"/>
        <w:jc w:val="both"/>
      </w:pPr>
    </w:p>
    <w:p>
      <w:pPr>
        <w:spacing w:line="240" w:lineRule="auto"/>
        <w:ind w:firstLine="640"/>
        <w:jc w:val="both"/>
      </w:pPr>
    </w:p>
    <w:p>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2000000000000000000"/>
    <w:charset w:val="86"/>
    <w:family w:val="script"/>
    <w:pitch w:val="default"/>
    <w:sig w:usb0="00000000" w:usb1="00000000"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523</Words>
  <Characters>541</Characters>
  <Lines>0</Lines>
  <Paragraphs>0</Paragraphs>
  <TotalTime>0</TotalTime>
  <ScaleCrop>false</ScaleCrop>
  <LinksUpToDate>false</LinksUpToDate>
  <CharactersWithSpaces>547</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郭子歪</cp:lastModifiedBy>
  <cp:lastPrinted>2024-07-22T11:58:00Z</cp:lastPrinted>
  <dcterms:modified xsi:type="dcterms:W3CDTF">2025-08-08T11:56:24Z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B858A68E913346F885B5BC17D4DBEB06_13</vt:lpwstr>
  </property>
  <property fmtid="{D5CDD505-2E9C-101B-9397-08002B2CF9AE}" pid="4" name="KSOTemplateDocerSaveRecord">
    <vt:lpwstr>eyJoZGlkIjoiODY5ZWEwNzk5MThkZjUwOTQxNjE1MDdiYWJiNGU5YzAiLCJ1c2VySWQiOiI0Nzg3NDM5MjgifQ==</vt:lpwstr>
  </property>
</Properties>
</file>