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尉犁县职业教育培训中心2024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为培养专业技术人才提供教育服务。畜牧兽医;园林；建筑装修；养殖种植；数控技术应用；机电技术应用；焊接；电子电器应用与维修；汽车运用与维修；电子信息技术；市场营销；烹饪；旅游服务与管理；电脑动画设计；服装设计与工艺。为培养和造就一支高素质、高技能人才大军和劳动者大军，促进我县经济快速发展健康。</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尉犁县职业教育培训中心2024年度，实有人数6人，其中：在职人员5人，增加0人；离休人员0人，增加0人；退休人员1人,增加0人。</w:t>
      </w:r>
    </w:p>
    <w:p>
      <w:pPr>
        <w:spacing w:line="580" w:lineRule="exact"/>
        <w:ind w:firstLine="640"/>
        <w:jc w:val="both"/>
      </w:pPr>
      <w:r>
        <w:rPr>
          <w:rFonts w:ascii="仿宋_GB2312" w:hAnsi="仿宋_GB2312" w:eastAsia="仿宋_GB2312"/>
          <w:sz w:val="32"/>
        </w:rPr>
        <w:t>尉犁县职业教育培训中心无下属预算单位，下设8个科室，分别是：办公室、总务室、财务室、维稳办、教务处、德育处、学生科、卫生防疫科。</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2024年度收入总计194.79万元，</w:t>
      </w:r>
      <w:r>
        <w:rPr>
          <w:rFonts w:ascii="仿宋_GB2312" w:hAnsi="仿宋_GB2312" w:eastAsia="仿宋_GB2312"/>
          <w:b w:val="0"/>
          <w:sz w:val="32"/>
        </w:rPr>
        <w:t>其中：本年收入合计194.75万元，使用非财政拨款结余（含专用结余）0.00万元，年初结转和结余0.04万元。</w:t>
      </w:r>
    </w:p>
    <w:p>
      <w:pPr>
        <w:spacing w:line="580" w:lineRule="exact"/>
        <w:ind w:firstLine="640"/>
        <w:jc w:val="both"/>
      </w:pPr>
      <w:r>
        <w:rPr>
          <w:rFonts w:ascii="仿宋_GB2312" w:hAnsi="仿宋_GB2312" w:eastAsia="仿宋_GB2312"/>
          <w:b/>
          <w:sz w:val="32"/>
        </w:rPr>
        <w:t>2024年度支出总计194.79万元，</w:t>
      </w:r>
      <w:r>
        <w:rPr>
          <w:rFonts w:ascii="仿宋_GB2312" w:hAnsi="仿宋_GB2312" w:eastAsia="仿宋_GB2312"/>
          <w:b w:val="0"/>
          <w:sz w:val="32"/>
        </w:rPr>
        <w:t>其中：本年支出合计194.73万元，结余分配0.00万元，年末结转和结余0.06万元。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减少383.18万元，下降66.30%，主要原因是：本年减少现代职业教育质量提升项目经费，导致相关经费减少。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本年收入194.75万元，</w:t>
      </w:r>
      <w:r>
        <w:rPr>
          <w:rFonts w:ascii="仿宋_GB2312" w:hAnsi="仿宋_GB2312" w:eastAsia="仿宋_GB2312"/>
          <w:b w:val="0"/>
          <w:sz w:val="32"/>
        </w:rPr>
        <w:t>其中：财政拨款收入194.73万元，占99.99%；上级补助收入0.00万元，占0.00%；事业收入0.00万元，占0.00%；经营收入0.00万元，占0.00%；附属单位上缴收入0.00万元，占0.00%；其他收入0.02万元，占0.01%。</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本年支出194.73万元，</w:t>
      </w:r>
      <w:r>
        <w:rPr>
          <w:rFonts w:ascii="仿宋_GB2312" w:hAnsi="仿宋_GB2312" w:eastAsia="仿宋_GB2312"/>
          <w:b w:val="0"/>
          <w:sz w:val="32"/>
        </w:rPr>
        <w:t>其中：基本支出194.73万元，占100.00%；项目支出0.00万元，占0.00%；上缴上级支出0.00万元，占0.00%；经营支出0.00万元，占0.00%；对附属单位补助支出0.00万元，占0.00%。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2024年度财政拨款收入总计194.73万元，</w:t>
      </w:r>
      <w:r>
        <w:rPr>
          <w:rFonts w:ascii="仿宋_GB2312" w:hAnsi="仿宋_GB2312" w:eastAsia="仿宋_GB2312"/>
          <w:b w:val="0"/>
          <w:sz w:val="32"/>
        </w:rPr>
        <w:t>其中：年初财政拨款结转和结余0.00万元，本年财政拨款收入194.73万元。</w:t>
      </w:r>
      <w:r>
        <w:rPr>
          <w:rFonts w:ascii="仿宋_GB2312" w:hAnsi="仿宋_GB2312" w:eastAsia="仿宋_GB2312"/>
          <w:b/>
          <w:sz w:val="32"/>
        </w:rPr>
        <w:t>财政拨款支出总计194.73万元，</w:t>
      </w:r>
      <w:r>
        <w:rPr>
          <w:rFonts w:ascii="仿宋_GB2312" w:hAnsi="仿宋_GB2312" w:eastAsia="仿宋_GB2312"/>
          <w:b w:val="0"/>
          <w:sz w:val="32"/>
        </w:rPr>
        <w:t>其中：年末财政拨款结转和结余0.00万元，本年财政拨款支出194.73万元。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减少343.94万元，下降63.85%，主要原因是：本年减少现代职业教育质量提升项目经费，导致相关经费减少。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年初预算数128.19万元，决算数194.73万元，预决算差异率51.91%，主要原因是：年中追加人员工资、社保、公积金基数调增部分资金，导致预决算存在差异。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2024年度一般公共预算财政拨款支出194.73万元，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减少343.94万元，下降63.85%，主要原因是：本年减少现代职业教育质量提升项目经费，导致相关经费减少。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年初预算数128.19万元，决算数194.73万元，预决算差异率51.91%，主要原因是：年中追加人员工资、社保、公积金基数调增部分资金，导致预决算存在差异。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1.教育支出(类)194.73万元,占100.00%。</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1.教育支出(类)职业教育(款)中等职业教育(项):支出决算数为0.00万元，比上年决算减少20.15万元，下降100.00%,主要原因是：本年减少中等职业教育办公费、邮电费等经费，导致相关经费减少。</w:t>
      </w:r>
    </w:p>
    <w:p>
      <w:pPr>
        <w:spacing w:line="580" w:lineRule="exact"/>
        <w:ind w:firstLine="640"/>
        <w:jc w:val="both"/>
      </w:pPr>
      <w:r>
        <w:rPr>
          <w:rFonts w:ascii="仿宋_GB2312" w:hAnsi="仿宋_GB2312" w:eastAsia="仿宋_GB2312"/>
          <w:b w:val="0"/>
          <w:sz w:val="32"/>
        </w:rPr>
        <w:t>2.教育支出(类)职业教育(款)其他职业教育支出(项):支出决算数为194.73万元，比上年决算减少313.55万元，下降61.69%,主要原因是：本年减少现代职业教育质量提升项目经费，导致相关经费减少。</w:t>
      </w:r>
    </w:p>
    <w:p>
      <w:pPr>
        <w:spacing w:line="580" w:lineRule="exact"/>
        <w:ind w:firstLine="640"/>
        <w:jc w:val="both"/>
      </w:pPr>
      <w:r>
        <w:rPr>
          <w:rFonts w:ascii="仿宋_GB2312" w:hAnsi="仿宋_GB2312" w:eastAsia="仿宋_GB2312"/>
          <w:b w:val="0"/>
          <w:sz w:val="32"/>
        </w:rPr>
        <w:t>3.教育支出(类)进修及培训(款)培训支出(项):支出决算数为0.00万元，比上年决算减少0.07万元，下降100.00%,主要原因是：本年减少2024年“国培”等培训费，导致相关经费减少。</w:t>
      </w:r>
    </w:p>
    <w:p>
      <w:pPr>
        <w:spacing w:line="580" w:lineRule="exact"/>
        <w:ind w:firstLine="640"/>
        <w:jc w:val="both"/>
      </w:pPr>
      <w:r>
        <w:rPr>
          <w:rFonts w:ascii="仿宋_GB2312" w:hAnsi="仿宋_GB2312" w:eastAsia="仿宋_GB2312"/>
          <w:b w:val="0"/>
          <w:sz w:val="32"/>
        </w:rPr>
        <w:t>4.教育支出(类)其他教育支出(款)其他教育支出(项):支出决算数为0.00万元，比上年决算减少8.47万元，下降100.00%,主要原因是：上年补缴以前年度取暖费，本年无此项支出，导致相关经费减少。</w:t>
      </w:r>
    </w:p>
    <w:p>
      <w:pPr>
        <w:spacing w:line="580" w:lineRule="exact"/>
        <w:ind w:firstLine="640"/>
        <w:jc w:val="both"/>
      </w:pPr>
      <w:r>
        <w:rPr>
          <w:rFonts w:ascii="仿宋_GB2312" w:hAnsi="仿宋_GB2312" w:eastAsia="仿宋_GB2312"/>
          <w:b w:val="0"/>
          <w:sz w:val="32"/>
        </w:rPr>
        <w:t>5.社会保障和就业支出(类)行政事业单位养老支出(款)事业单位离退休(项):支出决算数为0.00万元，比上年决算减少1.25万元，下降100.00%,主要原因是：本年功能科目调整，行政单位离退休上年度单独列支，本年调整至主科目列支，导致经费较上年减少。</w:t>
      </w:r>
    </w:p>
    <w:p>
      <w:pPr>
        <w:spacing w:line="580" w:lineRule="exact"/>
        <w:ind w:firstLine="640"/>
        <w:jc w:val="both"/>
      </w:pPr>
      <w:r>
        <w:rPr>
          <w:rFonts w:ascii="仿宋_GB2312" w:hAnsi="仿宋_GB2312" w:eastAsia="仿宋_GB2312"/>
          <w:b w:val="0"/>
          <w:sz w:val="32"/>
        </w:rPr>
        <w:t>6.农林水支出(类)巩固脱贫攻坚成果衔接乡村振兴(款)社会发展(项):支出决算数为0.00万元，比上年决算减少0.45万元，下降100.00%,主要原因是：本年减少学生教育帮扶资金，导致相关经费减少。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2024年度一般公共预算财政拨款基本支出194.73万元，其中：</w:t>
      </w:r>
      <w:r>
        <w:rPr>
          <w:rFonts w:ascii="仿宋_GB2312" w:hAnsi="仿宋_GB2312" w:eastAsia="仿宋_GB2312"/>
          <w:b/>
          <w:sz w:val="32"/>
        </w:rPr>
        <w:t>人员经费121.57万元，</w:t>
      </w:r>
      <w:r>
        <w:rPr>
          <w:rFonts w:ascii="仿宋_GB2312" w:hAnsi="仿宋_GB2312" w:eastAsia="仿宋_GB2312"/>
          <w:b w:val="0"/>
          <w:sz w:val="32"/>
        </w:rPr>
        <w:t>包括：基本工资、津贴补贴、绩效工资、机关事业单位基本养老保险缴费、职工基本医疗保险缴费、其他社会保障缴费、住房公积金、医疗费、其他工资福利支出、退休费、助学金、奖励金。</w:t>
      </w:r>
    </w:p>
    <w:p>
      <w:pPr>
        <w:spacing w:line="580" w:lineRule="exact"/>
        <w:ind w:firstLine="640"/>
        <w:jc w:val="both"/>
      </w:pPr>
      <w:r>
        <w:rPr>
          <w:rFonts w:ascii="仿宋_GB2312" w:hAnsi="仿宋_GB2312" w:eastAsia="仿宋_GB2312"/>
          <w:b/>
          <w:sz w:val="32"/>
        </w:rPr>
        <w:t>公用经费73.16万元，</w:t>
      </w:r>
      <w:r>
        <w:rPr>
          <w:rFonts w:ascii="仿宋_GB2312" w:hAnsi="仿宋_GB2312" w:eastAsia="仿宋_GB2312"/>
          <w:b w:val="0"/>
          <w:sz w:val="32"/>
        </w:rPr>
        <w:t>包括：办公费、印刷费、水费、电费、邮电费、取暖费、物业管理费、差旅费、维修（护）费、培训费、专用材料费、委托业务费、工会经费、福利费、办公设备购置。</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2024年度尉犁县职业教育培训中心（事业单位）公用经费支出73.16万元，比上年增加1.51万元，增长2.11%，主要原因是：本年更新、维护补充办公用品，导致公用经费较上年增加。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2024年度政府采购支出总额1.41万元，其中：政府采购货物支出0.47万元、政府采购工程支出0.00万元、政府采购服务支出0.94万元。</w:t>
      </w:r>
    </w:p>
    <w:p>
      <w:pPr>
        <w:spacing w:line="580" w:lineRule="exact"/>
        <w:ind w:firstLine="640"/>
        <w:jc w:val="both"/>
      </w:pPr>
      <w:r>
        <w:rPr>
          <w:rFonts w:ascii="仿宋_GB2312" w:hAnsi="仿宋_GB2312" w:eastAsia="仿宋_GB2312"/>
          <w:b w:val="0"/>
          <w:sz w:val="32"/>
        </w:rPr>
        <w:t>授予中小企业合同金额1.41万元，占政府采购支出总额的100.00%，其中：授予小微企业合同金额1.06万元，占政府采购支出总额的75.18%。</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预算绩效评价项目4个，全年预算数90.80万元，全年执行数73.43万元。预算绩效管理取得的成效：一是确保资金的高效使用，切实发挥财政资金的使用效果；二是严格按照工作职责和相关文件依据，确保专款专用。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加强学习，进一步明确如何参照考核体系，科学合理设定绩效目标，充分发挥预算绩效管理工作效用。二是财务上会计核算要更加详细，为本单位各项工作的开展、总结、评估提供有效数据资料支撑,为各项业务工作更好的开展提供帮助。三是从源头上强化对专项资金预算管理，实行专项资金预算管理，结合单位实际,按轻重缓急统筹安排编制预算,提高预算编制科学性和合理性，优化资金结构。具体附项目支出绩效自评表。</w:t>
      </w:r>
    </w:p>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2020-2021年勤劳致富班培训伙食费（非税）</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尉犁县职业教育培训中心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尉犁县职业教育培训中心</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9.29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9.29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9.29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9.29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本项目资金计划用于化解债务2020-2021年勤劳致富班培训伙食费项目，涉及2家供应商，计划化解安排年度预算资金10万元。通过实施本项目贯彻落实国家债务管理政策，有效缓解政府资金不足的现状，有效规范政府债务管理，严格管控政府债务风险，不断提升政府公信力。</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用于化解债务2020-2021年勤劳致富班培训伙食费项目，涉及2家供应商,截至2024年已完成支付9.29万元，有效提升政府公信力，化解债务风险。</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化债涉及供应商数量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拟化解债务项目结项率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资金使用合规率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债务纠纷发案率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风险处置及时率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债务偿还及时率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支付尉犁县香味客小吃店费用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=59999元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=59999元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支付尉犁县绿丰花园餐厅费用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=32865元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=32865元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提升政府公信力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2020年-2021年办公用品等经费(非税）</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尉犁县职业教育培训中心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尉犁县职业教育培训中心</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19.85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4.54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4.54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19.85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4.54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4.54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保障和推进各项教育教学工作，实习学生14人及教职工11人，采购办公用品及耗材，采购食材等，及时支付办公用品费、耗材费、食材费等业务经费，不断改善学校办学条件，提高教学质量。</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截至2024年12月31日，保障实习学生14人及教职工11人开展各项教育教学工作，采购办公用品及耗材，有效改善办学条件，提高教学质量。</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保障实习学生及教职工数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各项教育教学工作完成率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各项工作按期完成率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办公用品费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=3.92万元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=3.92万元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办公耗材费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=0.63万元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=0.63万元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提高办学质量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持续提高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改善办学条件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不断改善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2023年教育及培训经费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尉犁县职业教育培训中心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尉犁县职业教育培训中心</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49.89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49.89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37.49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75.15%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3.79</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49.89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49.89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37.49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保障职教学校正常运转和业务工作有序开展。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截至2024年12月31日，已完成采购3批办公设备，保障供暖、网络等，保障职教学校正常运转和业务工作有序开展.</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供暖面积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=14600平方米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=14600平方米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采购办公用品批次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&gt;=4批次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=3批次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年初预算较高，采购办公用品次数实际产生3批，厉行立减，节约成本，导致偏差率为25%</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保障网络线路数量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&gt;=180条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=180条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网络故障率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=75.15%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75.15%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因年初预算较高，厉行立减，节约成本，导致资金节约，偏差率为75.15%。</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暖气费成本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&lt;=28.47万元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=28.47万元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网络使用费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&lt;=3.50万元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41.71%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因我单位预算较高，厉行立减，节约成本，资金结余2.04万元，导致偏差率为58.28%</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电费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&lt;=15.02万元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行业标准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36.62%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因我单位预算较高，厉行立减，节约成本，资金结余12.4万元，导致偏差率为58.28%</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办公用品等费用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&lt;=2.90万元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43.79%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因我单位预算较高，厉行立减，节约成本，资金结余12.4万元，导致偏差率为58.28%</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正常运转率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68.82分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采购办公用品、自聘人员经费等资金（非税）</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尉犁县职业教育培训中心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尉犁县职业教育培训中心</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27.08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27.08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22.11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81.65%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5.41</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27.08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27.08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22.11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保障和推进各项教育教学工作，在校学生及实习学生62人及教职工10人，及时支付办公用品费、耗材费、自聘人员工资社保医保、消防维修费、学校食堂维修费等业务经费，采购必要的办公、教学用品、生活设备、设施等，不断改善学校办学条件，提高教学质量。</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截至2024年12月31日，有效保障推进各项教育教学工作，支付自聘人员工资和社保7万元，支付办公用品资金15.11万元，不断改善学校办学条件，提高教学质量,结余资金是因为一笔维修款手续不全，未办理支付。其余资金为采购优惠率。</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保障在校学生及办公人员人数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&gt;=72人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维修工程数量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66.67%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因项目实际情况，将两笔项目合同签订为一笔，导致偏差率为33.33%</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采购办公用品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&gt;=4批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各项教育教学工作完成率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自聘人员经费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&lt;=7.20万元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=7.01万元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97.36%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我单位预算较高，结余成本，厉行立减，导致偏差率为2.6%</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维修维护经费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&lt;=12.41万元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62.85%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我单位预算较高，结余成本，厉行立减，导致偏差率为37.14%</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采购办公用品经费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&lt;=7.47万元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=7.47万元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提高办学质量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持续提高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改善办学条件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不断改善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教职工满意度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82.68分</w:t>
            </w:r>
          </w:p>
        </w:tc>
        <w:tc>
          <w:tcPr>
            <w:tcW w:type="dxa" w:w="632"/>
            <w:tcBorders>
              <w:start w:sz="10" w:val="single"/>
              <w:top w:sz="10" w:val="single"/>
              <w:end w:sz="10" w:val="single"/>
              <w:bottom w:sz="10" w:val="single"/>
              <w:insideV w:sz="10" w:val="single"/>
            </w:tcBorders>
          </w:tcP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无其他说明事项。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