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cx="http://schemas.microsoft.com/office/drawing/2014/chartex">
  <w:body>
    <w:p>
      <w:pPr/>
      <w:r/>
    </w:p>
    <w:p>
      <w:pPr>
        <w:bidi w:val="0"/>
        <w:jc w:val="both"/>
        <w:rPr>
          <w:rFonts w:ascii="Times New Roman" w:eastAsia="宋体" w:hAnsi="Times New Roman" w:cs="Times New Roman" w:hint="default"/>
          <w:color w:val="auto"/>
          <w:highlight w:val="none"/>
        </w:rPr>
      </w:pPr>
      <w:bookmarkStart w:id="0" w:name="OLE_LINK12"/>
      <w:bookmarkStart w:id="1" w:name="_GoBack"/>
      <w:bookmarkEnd w:id="1"/>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pStyle w:val="Heading1"/>
        <w:bidi w:val="0"/>
        <w:rPr>
          <w:rFonts w:ascii="Times New Roman" w:hAnsi="Times New Roman" w:cs="Times New Roman" w:hint="default"/>
          <w:color w:val="auto"/>
          <w:sz w:val="44"/>
          <w:szCs w:val="44"/>
          <w:highlight w:val="none"/>
        </w:rPr>
      </w:pPr>
      <w:bookmarkStart w:id="2" w:name="_Toc8876"/>
      <w:bookmarkStart w:id="3" w:name="_Toc24054"/>
      <w:bookmarkStart w:id="4" w:name="_Toc3641"/>
      <w:bookmarkStart w:id="5" w:name="_Toc28201"/>
      <w:r>
        <w:rPr>
          <w:rFonts w:ascii="Times New Roman" w:hAnsi="Times New Roman" w:cs="Times New Roman" w:hint="default"/>
          <w:color w:val="auto"/>
          <w:sz w:val="44"/>
          <w:szCs w:val="44"/>
          <w:highlight w:val="none"/>
        </w:rPr>
        <w:t xml:space="preserve">项目支出绩效评价报告</w:t>
      </w:r>
      <w:bookmarkEnd w:id="2"/>
      <w:bookmarkEnd w:id="3"/>
      <w:bookmarkEnd w:id="4"/>
      <w:bookmarkEnd w:id="5"/>
    </w:p>
    <w:p>
      <w:pPr>
        <w:ind w:firstLine="883"/>
        <w:jc w:val="both"/>
        <w:rPr>
          <w:rFonts w:ascii="Times New Roman" w:eastAsia="宋体" w:hAnsi="Times New Roman" w:cs="Times New Roman" w:hint="default"/>
          <w:b/>
          <w:bCs/>
          <w:color w:val="auto"/>
          <w:sz w:val="44"/>
          <w:szCs w:val="44"/>
          <w:highlight w:val="none"/>
        </w:rPr>
      </w:pPr>
    </w:p>
    <w:p>
      <w:pPr>
        <w:bidi w:val="0"/>
        <w:jc w:val="both"/>
        <w:rPr>
          <w:rFonts w:ascii="Times New Roman" w:eastAsia="宋体" w:hAnsi="Times New Roman" w:cs="Times New Roman" w:hint="default"/>
          <w:color w:val="auto"/>
          <w:highlight w:val="none"/>
        </w:rPr>
      </w:pPr>
    </w:p>
    <w:p>
      <w:pPr>
        <w:bidi w:val="0"/>
        <w:ind w:left="0" w:firstLine="0" w:leftChars="0" w:firstLineChars="0"/>
        <w:jc w:val="center"/>
        <w:rPr>
          <w:rFonts w:ascii="Times New Roman" w:eastAsia="宋体" w:hAnsi="Times New Roman" w:cs="Times New Roman" w:hint="default"/>
          <w:color w:val="auto"/>
          <w:highlight w:val="none"/>
        </w:rPr>
      </w:pPr>
      <w:r>
        <w:rPr>
          <w:color w:val="auto"/>
          <w:sz w:val="28"/>
          <w:szCs w:val="28"/>
          <w:highlight w:val="none"/>
        </w:rPr>
        <w:t xml:space="preserve">（202</w:t>
      </w:r>
      <w:r>
        <w:rPr>
          <w:rFonts w:hint="eastAsia"/>
          <w:color w:val="auto"/>
          <w:sz w:val="28"/>
          <w:szCs w:val="28"/>
          <w:highlight w:val="none"/>
          <w:lang w:val="en-US" w:eastAsia="zh-CN"/>
        </w:rPr>
        <w:t xml:space="preserve">4</w:t>
      </w:r>
      <w:r>
        <w:rPr>
          <w:color w:val="auto"/>
          <w:sz w:val="28"/>
          <w:szCs w:val="28"/>
          <w:highlight w:val="none"/>
        </w:rPr>
        <w:t xml:space="preserve">年度）</w:t>
      </w: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b/>
          <w:bCs/>
          <w:color w:val="auto"/>
          <w:highlight w:val="none"/>
        </w:rPr>
      </w:pPr>
    </w:p>
    <w:p>
      <w:pPr>
        <w:bidi w:val="0"/>
        <w:jc w:val="both"/>
        <w:rPr>
          <w:rFonts w:ascii="仿宋_GB2312" w:hAnsi="仿宋_GB2312" w:cs="仿宋_GB2312" w:hint="eastAsia"/>
          <w:b w:val="0"/>
          <w:bCs w:val="0"/>
          <w:color w:val="auto"/>
          <w:highlight w:val="none"/>
          <w:lang w:val="en-US" w:eastAsia="zh-CN"/>
        </w:rPr>
      </w:pPr>
      <w:r>
        <w:rPr>
          <w:rFonts w:ascii="仿宋_GB2312" w:eastAsia="仿宋_GB2312" w:hAnsi="仿宋_GB2312" w:cs="仿宋_GB2312" w:hint="eastAsia"/>
          <w:b w:val="0"/>
          <w:bCs w:val="0"/>
          <w:color w:val="auto"/>
          <w:highlight w:val="none"/>
        </w:rPr>
        <w:t xml:space="preserve">项目名称：</w:t>
      </w:r>
      <w:r>
        <w:rPr>
          <w:rFonts w:ascii="仿宋_GB2312" w:hAnsi="仿宋_GB2312" w:cs="仿宋_GB2312" w:hint="eastAsia"/>
          <w:b w:val="0"/>
          <w:bCs w:val="0"/>
          <w:color w:val="auto"/>
          <w:highlight w:val="none"/>
          <w:lang w:val="en-US" w:eastAsia="zh-CN"/>
        </w:rPr>
        <w:t xml:space="preserve">乡镇国土空间规划和村庄规划编制项目</w:t>
      </w:r>
    </w:p>
    <w:p>
      <w:pPr>
        <w:bidi w:val="0"/>
        <w:jc w:val="both"/>
        <w:rPr>
          <w:rFonts w:ascii="仿宋_GB2312" w:hAnsi="仿宋_GB2312" w:cs="仿宋_GB2312" w:hint="eastAsia"/>
          <w:b w:val="0"/>
          <w:bCs w:val="0"/>
          <w:color w:val="auto"/>
          <w:highlight w:val="none"/>
          <w:lang w:val="en-US" w:eastAsia="zh-CN"/>
        </w:rPr>
      </w:pPr>
      <w:r>
        <w:rPr>
          <w:rFonts w:ascii="仿宋_GB2312" w:eastAsia="仿宋_GB2312" w:hAnsi="仿宋_GB2312" w:cs="仿宋_GB2312" w:hint="eastAsia"/>
          <w:b w:val="0"/>
          <w:bCs w:val="0"/>
          <w:color w:val="auto"/>
          <w:highlight w:val="none"/>
        </w:rPr>
        <w:t xml:space="preserve">实施单位（公章）：</w:t>
      </w:r>
      <w:r>
        <w:rPr>
          <w:rFonts w:ascii="仿宋_GB2312" w:hAnsi="仿宋_GB2312" w:cs="仿宋_GB2312" w:hint="eastAsia"/>
          <w:b w:val="0"/>
          <w:bCs w:val="0"/>
          <w:color w:val="auto"/>
          <w:highlight w:val="none"/>
          <w:lang w:val="en-US" w:eastAsia="zh-CN"/>
        </w:rPr>
        <w:t xml:space="preserve">尉犁县自然资源局</w:t>
      </w:r>
    </w:p>
    <w:p>
      <w:pPr>
        <w:bidi w:val="0"/>
        <w:jc w:val="both"/>
        <w:rPr>
          <w:rFonts w:ascii="仿宋_GB2312" w:eastAsia="仿宋_GB2312" w:hAnsi="仿宋_GB2312" w:cs="仿宋_GB2312" w:hint="eastAsia"/>
          <w:b w:val="0"/>
          <w:bCs w:val="0"/>
          <w:color w:val="auto"/>
          <w:highlight w:val="none"/>
          <w:lang w:val="en-US" w:eastAsia="zh-CN"/>
        </w:rPr>
      </w:pPr>
      <w:r>
        <w:rPr>
          <w:rFonts w:ascii="仿宋_GB2312" w:eastAsia="仿宋_GB2312" w:hAnsi="仿宋_GB2312" w:cs="仿宋_GB2312" w:hint="eastAsia"/>
          <w:b w:val="0"/>
          <w:bCs w:val="0"/>
          <w:color w:val="auto"/>
          <w:highlight w:val="none"/>
        </w:rPr>
        <w:t xml:space="preserve">主管部门（公章）：</w:t>
      </w:r>
      <w:r>
        <w:rPr>
          <w:rFonts w:ascii="仿宋_GB2312" w:eastAsia="仿宋_GB2312" w:hAnsi="仿宋_GB2312" w:cs="仿宋_GB2312" w:hint="eastAsia"/>
          <w:b w:val="0"/>
          <w:bCs w:val="0"/>
          <w:color w:val="auto"/>
          <w:highlight w:val="none"/>
          <w:lang w:val="en-US" w:eastAsia="zh-CN"/>
        </w:rPr>
        <w:t xml:space="preserve">尉犁县自然资源局</w:t>
      </w:r>
    </w:p>
    <w:p>
      <w:pPr>
        <w:bidi w:val="0"/>
        <w:jc w:val="both"/>
        <w:rPr>
          <w:rFonts w:ascii="仿宋_GB2312" w:eastAsia="仿宋_GB2312" w:hAnsi="仿宋_GB2312" w:cs="仿宋_GB2312" w:hint="eastAsia"/>
          <w:b w:val="0"/>
          <w:bCs w:val="0"/>
          <w:color w:val="auto"/>
          <w:highlight w:val="none"/>
          <w:lang w:val="en-US" w:eastAsia="zh-CN"/>
        </w:rPr>
      </w:pPr>
      <w:r>
        <w:rPr>
          <w:rFonts w:ascii="仿宋_GB2312" w:eastAsia="仿宋_GB2312" w:hAnsi="仿宋_GB2312" w:cs="仿宋_GB2312" w:hint="eastAsia"/>
          <w:b w:val="0"/>
          <w:bCs w:val="0"/>
          <w:color w:val="auto"/>
          <w:highlight w:val="none"/>
        </w:rPr>
        <w:t xml:space="preserve">项目负责人（签章）：</w:t>
      </w:r>
      <w:r>
        <w:rPr>
          <w:rFonts w:ascii="仿宋_GB2312" w:hAnsi="仿宋_GB2312" w:cs="仿宋_GB2312" w:hint="eastAsia"/>
          <w:b w:val="0"/>
          <w:bCs w:val="0"/>
          <w:color w:val="auto"/>
          <w:highlight w:val="none"/>
          <w:lang w:val="en-US" w:eastAsia="zh-CN"/>
        </w:rPr>
        <w:t xml:space="preserve">赵卫红</w:t>
      </w:r>
    </w:p>
    <w:p>
      <w:pPr>
        <w:bidi w:val="0"/>
        <w:jc w:val="both"/>
        <w:rPr>
          <w:rFonts w:ascii="仿宋_GB2312" w:eastAsia="仿宋_GB2312" w:hAnsi="仿宋_GB2312" w:cs="仿宋_GB2312" w:hint="eastAsia"/>
          <w:b w:val="0"/>
          <w:bCs w:val="0"/>
          <w:color w:val="auto"/>
          <w:highlight w:val="none"/>
        </w:rPr>
      </w:pPr>
      <w:r>
        <w:rPr>
          <w:rFonts w:ascii="仿宋_GB2312" w:eastAsia="仿宋_GB2312" w:hAnsi="仿宋_GB2312" w:cs="仿宋_GB2312" w:hint="eastAsia"/>
          <w:b w:val="0"/>
          <w:bCs w:val="0"/>
          <w:color w:val="auto"/>
          <w:highlight w:val="none"/>
        </w:rPr>
        <w:t xml:space="preserve">填报时间：</w:t>
      </w:r>
      <w:r>
        <w:rPr>
          <w:rFonts w:ascii="仿宋_GB2312" w:hAnsi="仿宋_GB2312" w:cs="仿宋_GB2312" w:hint="eastAsia"/>
          <w:b w:val="0"/>
          <w:bCs w:val="0"/>
          <w:color w:val="auto"/>
          <w:highlight w:val="none"/>
          <w:lang w:val="en-US" w:eastAsia="zh-CN"/>
        </w:rPr>
        <w:t xml:space="preserve">2025</w:t>
      </w:r>
      <w:r>
        <w:rPr>
          <w:rFonts w:ascii="仿宋_GB2312" w:eastAsia="仿宋_GB2312" w:hAnsi="仿宋_GB2312" w:cs="仿宋_GB2312" w:hint="eastAsia"/>
          <w:b w:val="0"/>
          <w:bCs w:val="0"/>
          <w:color w:val="auto"/>
          <w:highlight w:val="none"/>
        </w:rPr>
        <w:t xml:space="preserve">年</w:t>
      </w:r>
      <w:r>
        <w:rPr>
          <w:rFonts w:ascii="仿宋_GB2312" w:hAnsi="仿宋_GB2312" w:cs="仿宋_GB2312" w:hint="eastAsia"/>
          <w:b w:val="0"/>
          <w:bCs w:val="0"/>
          <w:color w:val="auto"/>
          <w:highlight w:val="none"/>
          <w:lang w:val="en-US" w:eastAsia="zh-CN"/>
        </w:rPr>
        <w:t xml:space="preserve">03</w:t>
      </w:r>
      <w:r>
        <w:rPr>
          <w:rFonts w:ascii="仿宋_GB2312" w:eastAsia="仿宋_GB2312" w:hAnsi="仿宋_GB2312" w:cs="仿宋_GB2312" w:hint="eastAsia"/>
          <w:b w:val="0"/>
          <w:bCs w:val="0"/>
          <w:color w:val="auto"/>
          <w:highlight w:val="none"/>
        </w:rPr>
        <w:t xml:space="preserve">月</w:t>
      </w:r>
      <w:r>
        <w:rPr>
          <w:rFonts w:ascii="仿宋_GB2312" w:hAnsi="仿宋_GB2312" w:cs="仿宋_GB2312" w:hint="eastAsia"/>
          <w:b w:val="0"/>
          <w:bCs w:val="0"/>
          <w:color w:val="auto"/>
          <w:highlight w:val="none"/>
          <w:lang w:val="en-US" w:eastAsia="zh-CN"/>
        </w:rPr>
        <w:t xml:space="preserve">31</w:t>
      </w:r>
      <w:r>
        <w:rPr>
          <w:rFonts w:ascii="仿宋_GB2312" w:eastAsia="仿宋_GB2312" w:hAnsi="仿宋_GB2312" w:cs="仿宋_GB2312" w:hint="eastAsia"/>
          <w:b w:val="0"/>
          <w:bCs w:val="0"/>
          <w:color w:val="auto"/>
          <w:highlight w:val="none"/>
        </w:rPr>
        <w:t xml:space="preserve">日</w:t>
      </w:r>
    </w:p>
    <w:p>
      <w:pPr>
        <w:bidi w:val="0"/>
        <w:jc w:val="both"/>
        <w:rPr>
          <w:rFonts w:ascii="Times New Roman" w:eastAsia="宋体" w:hAnsi="Times New Roman" w:cs="Times New Roman" w:hint="default"/>
          <w:b w:val="0"/>
          <w:bCs w:val="0"/>
          <w:color w:val="auto"/>
          <w:highlight w:val="none"/>
        </w:rPr>
      </w:pPr>
    </w:p>
    <w:p>
      <w:pPr>
        <w:bidi w:val="0"/>
        <w:jc w:val="both"/>
        <w:rPr>
          <w:rFonts w:ascii="Times New Roman" w:eastAsia="宋体" w:hAnsi="Times New Roman" w:cs="Times New Roman" w:hint="default"/>
          <w:b w:val="0"/>
          <w:bCs w:val="0"/>
          <w:color w:val="auto"/>
          <w:highlight w:val="none"/>
        </w:rPr>
        <w:sectPr>
          <w:pgSz w:w="11906" w:h="16838" w:orient="portrait"/>
          <w:pgMar w:top="1440" w:right="1800" w:bottom="1440" w:left="1800" w:header="851" w:footer="992" w:gutter="0"/>
          <w:pgBorders/>
          <w:pgNumType w:start="1"/>
          <w:cols w:num="1" w:space="720">
            <w:col w:w="8306" w:space="720"/>
          </w:cols>
          <w:docGrid w:type="lines" w:linePitch="312" w:charSpace="0"/>
        </w:sectPr>
      </w:pPr>
    </w:p>
    <w:p>
      <w:pPr>
        <w:keepNext w:val="0"/>
        <w:keepLines w:val="0"/>
        <w:pageBreakBefore w:val="0"/>
        <w:widowControl w:val="0"/>
        <w:kinsoku/>
        <w:wordWrap/>
        <w:overflowPunct/>
        <w:topLinePunct w:val="0"/>
        <w:autoSpaceDE/>
        <w:autoSpaceDN/>
        <w:bidi w:val="0"/>
        <w:adjustRightInd/>
        <w:snapToGrid/>
        <w:spacing w:before="0" w:after="0" w:line="580" w:lineRule="exact"/>
        <w:ind w:left="0" w:right="0" w:firstLine="0" w:leftChars="0" w:rightChars="0" w:firstLineChars="0"/>
        <w:jc w:val="center"/>
        <w:textAlignment w:val="auto"/>
        <w:rPr>
          <w:b/>
          <w:bCs/>
          <w:color w:val="auto"/>
          <w:sz w:val="32"/>
          <w:szCs w:val="32"/>
          <w:highlight w:val="none"/>
        </w:rPr>
      </w:pPr>
      <w:bookmarkStart w:id="6" w:name="_Toc14721"/>
      <w:bookmarkStart w:id="7" w:name="_Toc18707"/>
      <w:bookmarkStart w:id="8" w:name="_Toc15542"/>
      <w:bookmarkStart w:id="9" w:name="_Toc1891"/>
      <w:bookmarkStart w:id="10" w:name="_Toc11827"/>
      <w:bookmarkStart w:id="11" w:name="_Toc5473"/>
      <w:r>
        <w:rPr>
          <w:rFonts w:ascii="宋体" w:eastAsia="宋体" w:hAnsi="宋体"/>
          <w:b/>
          <w:bCs/>
          <w:color w:val="auto"/>
          <w:sz w:val="32"/>
          <w:szCs w:val="32"/>
          <w:highlight w:val="none"/>
        </w:rPr>
        <w:t xml:space="preserve">目</w:t>
      </w:r>
      <w:r>
        <w:rPr>
          <w:rFonts w:ascii="宋体" w:eastAsia="宋体" w:hAnsi="宋体" w:hint="eastAsia"/>
          <w:b/>
          <w:bCs/>
          <w:color w:val="auto"/>
          <w:sz w:val="32"/>
          <w:szCs w:val="32"/>
          <w:highlight w:val="none"/>
          <w:lang w:val="en-US" w:eastAsia="zh-CN"/>
        </w:rPr>
        <w:t xml:space="preserve">  </w:t>
      </w:r>
      <w:r>
        <w:rPr>
          <w:rFonts w:ascii="宋体" w:eastAsia="宋体" w:hAnsi="宋体"/>
          <w:b/>
          <w:bCs/>
          <w:color w:val="auto"/>
          <w:sz w:val="32"/>
          <w:szCs w:val="32"/>
          <w:highlight w:val="none"/>
        </w:rPr>
        <w:t xml:space="preserve">录</w:t>
      </w:r>
    </w:p>
    <w:p>
      <w:pPr>
        <w:pStyle w:val="TOC1"/>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r>
        <w:rPr>
          <w:color w:val="auto"/>
          <w:sz w:val="32"/>
          <w:szCs w:val="32"/>
          <w:highlight w:val="none"/>
        </w:rPr>
        <w:fldChar w:fldCharType="begin"/>
      </w:r>
      <w:r>
        <w:rPr>
          <w:color w:val="auto"/>
          <w:sz w:val="32"/>
          <w:szCs w:val="32"/>
          <w:highlight w:val="none"/>
        </w:rPr>
        <w:instrText xml:space="preserve">TOC \o "1-2" \h \u</w:instrText>
      </w:r>
      <w:r>
        <w:rPr>
          <w:color w:val="auto"/>
          <w:sz w:val="32"/>
          <w:szCs w:val="32"/>
          <w:highlight w:val="none"/>
        </w:rPr>
        <w:fldChar w:fldCharType="separate"/>
      </w:r>
      <w:hyperlink w:anchor="_Toc20346" w:history="1">
        <w:r>
          <w:rPr>
            <w:rFonts w:ascii="Times New Roman" w:eastAsia="黑体" w:hAnsi="Times New Roman" w:cs="Times New Roman" w:hint="default"/>
            <w:bCs/>
            <w:iCs/>
            <w:color w:val="auto"/>
            <w:kern w:val="2"/>
            <w:szCs w:val="21"/>
            <w:highlight w:val="none"/>
            <w:lang w:val="en-US" w:eastAsia="zh-CN" w:bidi="ar-SA"/>
          </w:rPr>
          <w:t xml:space="preserve">一、基本情况</w:t>
        </w:r>
        <w:r>
          <w:rPr>
            <w:color w:val="auto"/>
            <w:highlight w:val="none"/>
          </w:rPr>
          <w:tab/>
        </w:r>
        <w:r>
          <w:rPr>
            <w:color w:val="auto"/>
            <w:highlight w:val="none"/>
          </w:rPr>
          <w:fldChar w:fldCharType="begin"/>
        </w:r>
        <w:r>
          <w:rPr>
            <w:color w:val="auto"/>
            <w:highlight w:val="none"/>
          </w:rPr>
          <w:instrText xml:space="preserve"> PAGEREF _Toc20346 \h </w:instrText>
        </w:r>
        <w:r>
          <w:rPr>
            <w:color w:val="auto"/>
            <w:highlight w:val="none"/>
          </w:rPr>
          <w:fldChar w:fldCharType="separate"/>
        </w:r>
        <w:r>
          <w:rPr>
            <w:color w:val="auto"/>
            <w:highlight w:val="none"/>
          </w:rPr>
          <w:t xml:space="preserve">1</w:t>
        </w:r>
        <w:r>
          <w:rPr>
            <w:color w:val="auto"/>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hyperlink w:anchor="_Toc18967" w:history="1">
        <w:r>
          <w:rPr>
            <w:rFonts w:ascii="Times New Roman" w:eastAsia="楷体" w:hAnsi="Times New Roman" w:cs="Times New Roman" w:hint="default"/>
            <w:color w:val="auto"/>
            <w:highlight w:val="none"/>
          </w:rPr>
          <w:t xml:space="preserve">（一）项目概况</w:t>
        </w:r>
        <w:r>
          <w:rPr>
            <w:color w:val="auto"/>
            <w:highlight w:val="none"/>
          </w:rPr>
          <w:tab/>
        </w:r>
        <w:r>
          <w:rPr>
            <w:color w:val="auto"/>
            <w:highlight w:val="none"/>
          </w:rPr>
          <w:fldChar w:fldCharType="begin"/>
        </w:r>
        <w:r>
          <w:rPr>
            <w:color w:val="auto"/>
            <w:highlight w:val="none"/>
          </w:rPr>
          <w:instrText xml:space="preserve"> PAGEREF _Toc18967 \h </w:instrText>
        </w:r>
        <w:r>
          <w:rPr>
            <w:color w:val="auto"/>
            <w:highlight w:val="none"/>
          </w:rPr>
          <w:fldChar w:fldCharType="separate"/>
        </w:r>
        <w:r>
          <w:rPr>
            <w:color w:val="auto"/>
            <w:highlight w:val="none"/>
          </w:rPr>
          <w:t xml:space="preserve">1</w:t>
        </w:r>
        <w:r>
          <w:rPr>
            <w:color w:val="auto"/>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hyperlink w:anchor="_Toc10641" w:history="1">
        <w:r>
          <w:rPr>
            <w:rFonts w:ascii="Times New Roman" w:eastAsia="楷体" w:hAnsi="Times New Roman" w:cs="Times New Roman" w:hint="default"/>
            <w:color w:val="auto"/>
            <w:highlight w:val="none"/>
          </w:rPr>
          <w:t xml:space="preserve">（二）项目绩效目标</w:t>
        </w:r>
        <w:r>
          <w:rPr>
            <w:color w:val="auto"/>
            <w:highlight w:val="none"/>
          </w:rPr>
          <w:tab/>
        </w:r>
        <w:r>
          <w:rPr>
            <w:color w:val="auto"/>
            <w:highlight w:val="none"/>
          </w:rPr>
          <w:fldChar w:fldCharType="begin"/>
        </w:r>
        <w:r>
          <w:rPr>
            <w:color w:val="auto"/>
            <w:highlight w:val="none"/>
          </w:rPr>
          <w:instrText xml:space="preserve"> PAGEREF _Toc10641 \h </w:instrText>
        </w:r>
        <w:r>
          <w:rPr>
            <w:color w:val="auto"/>
            <w:highlight w:val="none"/>
          </w:rPr>
          <w:fldChar w:fldCharType="separate"/>
        </w:r>
        <w:r>
          <w:rPr>
            <w:color w:val="auto"/>
            <w:highlight w:val="none"/>
          </w:rPr>
          <w:t xml:space="preserve">3</w:t>
        </w:r>
        <w:r>
          <w:rPr>
            <w:color w:val="auto"/>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ind w:left="0" w:firstLine="0" w:leftChars="0" w:firstLineChars="0"/>
        <w:textAlignment w:val="auto"/>
        <w:rPr>
          <w:color w:val="auto"/>
          <w:highlight w:val="none"/>
        </w:rPr>
      </w:pPr>
      <w:hyperlink w:anchor="_Toc15842" w:history="1">
        <w:r>
          <w:rPr>
            <w:rFonts w:ascii="Times New Roman" w:eastAsia="黑体" w:hAnsi="Times New Roman" w:cs="Times New Roman" w:hint="default"/>
            <w:color w:val="auto"/>
            <w:highlight w:val="none"/>
          </w:rPr>
          <w:t xml:space="preserve">二、绩效评价工作开展情况</w:t>
        </w:r>
        <w:r>
          <w:rPr>
            <w:color w:val="auto"/>
            <w:highlight w:val="none"/>
          </w:rPr>
          <w:tab/>
        </w:r>
        <w:r>
          <w:rPr>
            <w:color w:val="auto"/>
            <w:highlight w:val="none"/>
          </w:rPr>
          <w:fldChar w:fldCharType="begin"/>
        </w:r>
        <w:r>
          <w:rPr>
            <w:color w:val="auto"/>
            <w:highlight w:val="none"/>
          </w:rPr>
          <w:instrText xml:space="preserve"> PAGEREF _Toc15842 \h </w:instrText>
        </w:r>
        <w:r>
          <w:rPr>
            <w:color w:val="auto"/>
            <w:highlight w:val="none"/>
          </w:rPr>
          <w:fldChar w:fldCharType="separate"/>
        </w:r>
        <w:r>
          <w:rPr>
            <w:color w:val="auto"/>
            <w:highlight w:val="none"/>
          </w:rPr>
          <w:t xml:space="preserve">4</w:t>
        </w:r>
        <w:r>
          <w:rPr>
            <w:color w:val="auto"/>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hyperlink w:anchor="_Toc18082" w:history="1">
        <w:r>
          <w:rPr>
            <w:rFonts w:ascii="Times New Roman" w:eastAsia="楷体" w:hAnsi="Times New Roman" w:cs="Times New Roman" w:hint="default"/>
            <w:color w:val="auto"/>
            <w:highlight w:val="none"/>
          </w:rPr>
          <w:t xml:space="preserve">（一）绩效评价目的、对象和范围</w:t>
        </w:r>
        <w:r>
          <w:rPr>
            <w:color w:val="auto"/>
            <w:highlight w:val="none"/>
          </w:rPr>
          <w:tab/>
        </w:r>
        <w:r>
          <w:rPr>
            <w:color w:val="auto"/>
            <w:highlight w:val="none"/>
          </w:rPr>
          <w:fldChar w:fldCharType="begin"/>
        </w:r>
        <w:r>
          <w:rPr>
            <w:color w:val="auto"/>
            <w:highlight w:val="none"/>
          </w:rPr>
          <w:instrText xml:space="preserve"> PAGEREF _Toc18082 \h </w:instrText>
        </w:r>
        <w:r>
          <w:rPr>
            <w:color w:val="auto"/>
            <w:highlight w:val="none"/>
          </w:rPr>
          <w:fldChar w:fldCharType="separate"/>
        </w:r>
        <w:r>
          <w:rPr>
            <w:color w:val="auto"/>
            <w:highlight w:val="none"/>
          </w:rPr>
          <w:t xml:space="preserve">4</w:t>
        </w:r>
        <w:r>
          <w:rPr>
            <w:color w:val="auto"/>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hyperlink w:anchor="_Toc376" w:history="1">
        <w:r>
          <w:rPr>
            <w:rFonts w:ascii="楷体" w:eastAsia="楷体" w:hAnsi="楷体" w:cs="楷体" w:hint="eastAsia"/>
            <w:color w:val="auto"/>
            <w:highlight w:val="none"/>
          </w:rPr>
          <w:t xml:space="preserve">（二）绩效评价原则、评价指标体系、评价方法、评价标准</w:t>
        </w:r>
        <w:r>
          <w:rPr>
            <w:color w:val="auto"/>
            <w:highlight w:val="none"/>
          </w:rPr>
          <w:tab/>
        </w:r>
        <w:r>
          <w:rPr>
            <w:color w:val="auto"/>
            <w:highlight w:val="none"/>
          </w:rPr>
          <w:fldChar w:fldCharType="begin"/>
        </w:r>
        <w:r>
          <w:rPr>
            <w:color w:val="auto"/>
            <w:highlight w:val="none"/>
          </w:rPr>
          <w:instrText xml:space="preserve"> PAGEREF _Toc376 \h </w:instrText>
        </w:r>
        <w:r>
          <w:rPr>
            <w:color w:val="auto"/>
            <w:highlight w:val="none"/>
          </w:rPr>
          <w:fldChar w:fldCharType="separate"/>
        </w:r>
        <w:r>
          <w:rPr>
            <w:color w:val="auto"/>
            <w:highlight w:val="none"/>
          </w:rPr>
          <w:t xml:space="preserve">6</w:t>
        </w:r>
        <w:r>
          <w:rPr>
            <w:color w:val="auto"/>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hyperlink w:anchor="_Toc7977" w:history="1">
        <w:r>
          <w:rPr>
            <w:rFonts w:ascii="楷体" w:eastAsia="楷体" w:hAnsi="楷体" w:cs="楷体" w:hint="eastAsia"/>
            <w:color w:val="auto"/>
            <w:highlight w:val="none"/>
          </w:rPr>
          <w:t xml:space="preserve">（三）绩效评价工作过程</w:t>
        </w:r>
        <w:r>
          <w:rPr>
            <w:color w:val="auto"/>
            <w:highlight w:val="none"/>
          </w:rPr>
          <w:tab/>
        </w:r>
        <w:r>
          <w:rPr>
            <w:color w:val="auto"/>
            <w:highlight w:val="none"/>
          </w:rPr>
          <w:fldChar w:fldCharType="begin"/>
        </w:r>
        <w:r>
          <w:rPr>
            <w:color w:val="auto"/>
            <w:highlight w:val="none"/>
          </w:rPr>
          <w:instrText xml:space="preserve"> PAGEREF _Toc7977 \h </w:instrText>
        </w:r>
        <w:r>
          <w:rPr>
            <w:color w:val="auto"/>
            <w:highlight w:val="none"/>
          </w:rPr>
          <w:fldChar w:fldCharType="separate"/>
        </w:r>
        <w:r>
          <w:rPr>
            <w:color w:val="auto"/>
            <w:highlight w:val="none"/>
          </w:rPr>
          <w:t xml:space="preserve">9</w:t>
        </w:r>
        <w:r>
          <w:rPr>
            <w:color w:val="auto"/>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ind w:left="0" w:firstLine="0" w:leftChars="0" w:firstLineChars="0"/>
        <w:textAlignment w:val="auto"/>
        <w:rPr>
          <w:color w:val="auto"/>
          <w:highlight w:val="none"/>
        </w:rPr>
      </w:pPr>
      <w:hyperlink w:anchor="_Toc13103" w:history="1">
        <w:r>
          <w:rPr>
            <w:rFonts w:ascii="黑体" w:eastAsia="黑体" w:hAnsi="黑体" w:cs="黑体" w:hint="eastAsia"/>
            <w:color w:val="auto"/>
            <w:highlight w:val="none"/>
          </w:rPr>
          <w:t xml:space="preserve">三、综合评价情况及评价结论</w:t>
        </w:r>
        <w:r>
          <w:rPr>
            <w:color w:val="auto"/>
            <w:highlight w:val="none"/>
          </w:rPr>
          <w:tab/>
        </w:r>
        <w:r>
          <w:rPr>
            <w:color w:val="auto"/>
            <w:highlight w:val="none"/>
          </w:rPr>
          <w:fldChar w:fldCharType="begin"/>
        </w:r>
        <w:r>
          <w:rPr>
            <w:color w:val="auto"/>
            <w:highlight w:val="none"/>
          </w:rPr>
          <w:instrText xml:space="preserve"> PAGEREF _Toc13103 \h </w:instrText>
        </w:r>
        <w:r>
          <w:rPr>
            <w:color w:val="auto"/>
            <w:highlight w:val="none"/>
          </w:rPr>
          <w:fldChar w:fldCharType="separate"/>
        </w:r>
        <w:r>
          <w:rPr>
            <w:color w:val="auto"/>
            <w:highlight w:val="none"/>
          </w:rPr>
          <w:t xml:space="preserve">11</w:t>
        </w:r>
        <w:r>
          <w:rPr>
            <w:color w:val="auto"/>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ind w:left="0" w:firstLine="0" w:leftChars="0" w:firstLineChars="0"/>
        <w:textAlignment w:val="auto"/>
        <w:rPr>
          <w:color w:val="auto"/>
          <w:highlight w:val="none"/>
        </w:rPr>
      </w:pPr>
      <w:hyperlink w:anchor="_Toc26941" w:history="1">
        <w:r>
          <w:rPr>
            <w:rFonts w:ascii="黑体" w:eastAsia="黑体" w:hAnsi="黑体" w:cs="黑体" w:hint="eastAsia"/>
            <w:color w:val="auto"/>
            <w:highlight w:val="none"/>
          </w:rPr>
          <w:t xml:space="preserve">四、绩效评价指标分析</w:t>
        </w:r>
        <w:r>
          <w:rPr>
            <w:color w:val="auto"/>
            <w:highlight w:val="none"/>
          </w:rPr>
          <w:tab/>
        </w:r>
        <w:r>
          <w:rPr>
            <w:color w:val="auto"/>
            <w:highlight w:val="none"/>
          </w:rPr>
          <w:fldChar w:fldCharType="begin"/>
        </w:r>
        <w:r>
          <w:rPr>
            <w:color w:val="auto"/>
            <w:highlight w:val="none"/>
          </w:rPr>
          <w:instrText xml:space="preserve"> PAGEREF _Toc26941 \h </w:instrText>
        </w:r>
        <w:r>
          <w:rPr>
            <w:color w:val="auto"/>
            <w:highlight w:val="none"/>
          </w:rPr>
          <w:fldChar w:fldCharType="separate"/>
        </w:r>
        <w:r>
          <w:rPr>
            <w:color w:val="auto"/>
            <w:highlight w:val="none"/>
          </w:rPr>
          <w:t xml:space="preserve">12</w:t>
        </w:r>
        <w:r>
          <w:rPr>
            <w:color w:val="auto"/>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hyperlink w:anchor="_Toc17996" w:history="1">
        <w:r>
          <w:rPr>
            <w:rFonts w:ascii="楷体" w:eastAsia="楷体" w:hAnsi="楷体" w:cs="楷体" w:hint="eastAsia"/>
            <w:color w:val="auto"/>
            <w:highlight w:val="none"/>
          </w:rPr>
          <w:t xml:space="preserve">（一）项目决策情况</w:t>
        </w:r>
        <w:r>
          <w:rPr>
            <w:color w:val="auto"/>
            <w:highlight w:val="none"/>
          </w:rPr>
          <w:tab/>
        </w:r>
        <w:r>
          <w:rPr>
            <w:color w:val="auto"/>
            <w:highlight w:val="none"/>
          </w:rPr>
          <w:fldChar w:fldCharType="begin"/>
        </w:r>
        <w:r>
          <w:rPr>
            <w:color w:val="auto"/>
            <w:highlight w:val="none"/>
          </w:rPr>
          <w:instrText xml:space="preserve"> PAGEREF _Toc17996 \h </w:instrText>
        </w:r>
        <w:r>
          <w:rPr>
            <w:color w:val="auto"/>
            <w:highlight w:val="none"/>
          </w:rPr>
          <w:fldChar w:fldCharType="separate"/>
        </w:r>
        <w:r>
          <w:rPr>
            <w:color w:val="auto"/>
            <w:highlight w:val="none"/>
          </w:rPr>
          <w:t xml:space="preserve">12</w:t>
        </w:r>
        <w:r>
          <w:rPr>
            <w:color w:val="auto"/>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hyperlink w:anchor="_Toc13213" w:history="1">
        <w:r>
          <w:rPr>
            <w:rFonts w:hint="eastAsia"/>
            <w:color w:val="auto"/>
            <w:highlight w:val="none"/>
          </w:rPr>
          <w:t xml:space="preserve">（二）项目过程情况</w:t>
        </w:r>
        <w:r>
          <w:rPr>
            <w:color w:val="auto"/>
            <w:highlight w:val="none"/>
          </w:rPr>
          <w:tab/>
        </w:r>
        <w:r>
          <w:rPr>
            <w:color w:val="auto"/>
            <w:highlight w:val="none"/>
          </w:rPr>
          <w:fldChar w:fldCharType="begin"/>
        </w:r>
        <w:r>
          <w:rPr>
            <w:color w:val="auto"/>
            <w:highlight w:val="none"/>
          </w:rPr>
          <w:instrText xml:space="preserve"> PAGEREF _Toc13213 \h </w:instrText>
        </w:r>
        <w:r>
          <w:rPr>
            <w:color w:val="auto"/>
            <w:highlight w:val="none"/>
          </w:rPr>
          <w:fldChar w:fldCharType="separate"/>
        </w:r>
        <w:r>
          <w:rPr>
            <w:color w:val="auto"/>
            <w:highlight w:val="none"/>
          </w:rPr>
          <w:t xml:space="preserve">14</w:t>
        </w:r>
        <w:r>
          <w:rPr>
            <w:color w:val="auto"/>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hyperlink w:anchor="_Toc4701" w:history="1">
        <w:r>
          <w:rPr>
            <w:rFonts w:ascii="楷体" w:eastAsia="楷体" w:hAnsi="楷体" w:cs="楷体" w:hint="eastAsia"/>
            <w:color w:val="auto"/>
            <w:highlight w:val="none"/>
          </w:rPr>
          <w:t xml:space="preserve">（三）项目产出情况</w:t>
        </w:r>
        <w:r>
          <w:rPr>
            <w:color w:val="auto"/>
            <w:highlight w:val="none"/>
          </w:rPr>
          <w:tab/>
        </w:r>
        <w:r>
          <w:rPr>
            <w:color w:val="auto"/>
            <w:highlight w:val="none"/>
          </w:rPr>
          <w:fldChar w:fldCharType="begin"/>
        </w:r>
        <w:r>
          <w:rPr>
            <w:color w:val="auto"/>
            <w:highlight w:val="none"/>
          </w:rPr>
          <w:instrText xml:space="preserve"> PAGEREF _Toc4701 \h </w:instrText>
        </w:r>
        <w:r>
          <w:rPr>
            <w:color w:val="auto"/>
            <w:highlight w:val="none"/>
          </w:rPr>
          <w:fldChar w:fldCharType="separate"/>
        </w:r>
        <w:r>
          <w:rPr>
            <w:color w:val="auto"/>
            <w:highlight w:val="none"/>
          </w:rPr>
          <w:t xml:space="preserve">16</w:t>
        </w:r>
        <w:r>
          <w:rPr>
            <w:color w:val="auto"/>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hyperlink w:anchor="_Toc9589" w:history="1">
        <w:r>
          <w:rPr>
            <w:rFonts w:ascii="楷体" w:eastAsia="楷体" w:hAnsi="楷体" w:cs="楷体" w:hint="eastAsia"/>
            <w:color w:val="auto"/>
            <w:highlight w:val="none"/>
          </w:rPr>
          <w:t xml:space="preserve">（四）项目效益情况</w:t>
        </w:r>
        <w:r>
          <w:rPr>
            <w:color w:val="auto"/>
            <w:highlight w:val="none"/>
          </w:rPr>
          <w:tab/>
        </w:r>
        <w:r>
          <w:rPr>
            <w:color w:val="auto"/>
            <w:highlight w:val="none"/>
          </w:rPr>
          <w:fldChar w:fldCharType="begin"/>
        </w:r>
        <w:r>
          <w:rPr>
            <w:color w:val="auto"/>
            <w:highlight w:val="none"/>
          </w:rPr>
          <w:instrText xml:space="preserve"> PAGEREF _Toc9589 \h </w:instrText>
        </w:r>
        <w:r>
          <w:rPr>
            <w:color w:val="auto"/>
            <w:highlight w:val="none"/>
          </w:rPr>
          <w:fldChar w:fldCharType="separate"/>
        </w:r>
        <w:r>
          <w:rPr>
            <w:color w:val="auto"/>
            <w:highlight w:val="none"/>
          </w:rPr>
          <w:t xml:space="preserve">17</w:t>
        </w:r>
        <w:r>
          <w:rPr>
            <w:color w:val="auto"/>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ind w:left="0" w:firstLine="0" w:leftChars="0" w:firstLineChars="0"/>
        <w:textAlignment w:val="auto"/>
        <w:rPr>
          <w:color w:val="auto"/>
          <w:highlight w:val="none"/>
        </w:rPr>
      </w:pPr>
      <w:hyperlink w:anchor="_Toc13266" w:history="1">
        <w:r>
          <w:rPr>
            <w:rFonts w:ascii="黑体" w:eastAsia="黑体" w:hAnsi="黑体" w:cs="黑体" w:hint="eastAsia"/>
            <w:color w:val="auto"/>
            <w:highlight w:val="none"/>
          </w:rPr>
          <w:t xml:space="preserve">五、主要经验及做法、存在的问题及原因分析</w:t>
        </w:r>
        <w:r>
          <w:rPr>
            <w:color w:val="auto"/>
            <w:highlight w:val="none"/>
          </w:rPr>
          <w:tab/>
        </w:r>
        <w:r>
          <w:rPr>
            <w:color w:val="auto"/>
            <w:highlight w:val="none"/>
          </w:rPr>
          <w:fldChar w:fldCharType="begin"/>
        </w:r>
        <w:r>
          <w:rPr>
            <w:color w:val="auto"/>
            <w:highlight w:val="none"/>
          </w:rPr>
          <w:instrText xml:space="preserve"> PAGEREF _Toc13266 \h </w:instrText>
        </w:r>
        <w:r>
          <w:rPr>
            <w:color w:val="auto"/>
            <w:highlight w:val="none"/>
          </w:rPr>
          <w:fldChar w:fldCharType="separate"/>
        </w:r>
        <w:r>
          <w:rPr>
            <w:color w:val="auto"/>
            <w:highlight w:val="none"/>
          </w:rPr>
          <w:t xml:space="preserve">18</w:t>
        </w:r>
        <w:r>
          <w:rPr>
            <w:color w:val="auto"/>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hyperlink w:anchor="_Toc28865" w:history="1">
        <w:r>
          <w:rPr>
            <w:rFonts w:ascii="楷体" w:eastAsia="楷体" w:hAnsi="楷体" w:cs="楷体" w:hint="eastAsia"/>
            <w:color w:val="auto"/>
            <w:highlight w:val="none"/>
          </w:rPr>
          <w:t xml:space="preserve">（一）主要经验及做法</w:t>
        </w:r>
        <w:r>
          <w:rPr>
            <w:color w:val="auto"/>
            <w:highlight w:val="none"/>
          </w:rPr>
          <w:tab/>
        </w:r>
        <w:r>
          <w:rPr>
            <w:color w:val="auto"/>
            <w:highlight w:val="none"/>
          </w:rPr>
          <w:fldChar w:fldCharType="begin"/>
        </w:r>
        <w:r>
          <w:rPr>
            <w:color w:val="auto"/>
            <w:highlight w:val="none"/>
          </w:rPr>
          <w:instrText xml:space="preserve"> PAGEREF _Toc28865 \h </w:instrText>
        </w:r>
        <w:r>
          <w:rPr>
            <w:color w:val="auto"/>
            <w:highlight w:val="none"/>
          </w:rPr>
          <w:fldChar w:fldCharType="separate"/>
        </w:r>
        <w:r>
          <w:rPr>
            <w:color w:val="auto"/>
            <w:highlight w:val="none"/>
          </w:rPr>
          <w:t xml:space="preserve">18</w:t>
        </w:r>
        <w:r>
          <w:rPr>
            <w:color w:val="auto"/>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hyperlink w:anchor="_Toc1295" w:history="1">
        <w:r>
          <w:rPr>
            <w:rFonts w:ascii="楷体" w:eastAsia="楷体" w:hAnsi="楷体" w:cs="楷体" w:hint="eastAsia"/>
            <w:color w:val="auto"/>
            <w:highlight w:val="none"/>
          </w:rPr>
          <w:t xml:space="preserve">（二）存在的问题及分析</w:t>
        </w:r>
        <w:r>
          <w:rPr>
            <w:color w:val="auto"/>
            <w:highlight w:val="none"/>
          </w:rPr>
          <w:tab/>
        </w:r>
        <w:r>
          <w:rPr>
            <w:color w:val="auto"/>
            <w:highlight w:val="none"/>
          </w:rPr>
          <w:fldChar w:fldCharType="begin"/>
        </w:r>
        <w:r>
          <w:rPr>
            <w:color w:val="auto"/>
            <w:highlight w:val="none"/>
          </w:rPr>
          <w:instrText xml:space="preserve"> PAGEREF _Toc1295 \h </w:instrText>
        </w:r>
        <w:r>
          <w:rPr>
            <w:color w:val="auto"/>
            <w:highlight w:val="none"/>
          </w:rPr>
          <w:fldChar w:fldCharType="separate"/>
        </w:r>
        <w:r>
          <w:rPr>
            <w:color w:val="auto"/>
            <w:highlight w:val="none"/>
          </w:rPr>
          <w:t xml:space="preserve">19</w:t>
        </w:r>
        <w:r>
          <w:rPr>
            <w:color w:val="auto"/>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ind w:left="0" w:firstLine="0" w:leftChars="0" w:firstLineChars="0"/>
        <w:textAlignment w:val="auto"/>
        <w:rPr>
          <w:color w:val="auto"/>
          <w:highlight w:val="none"/>
        </w:rPr>
      </w:pPr>
      <w:hyperlink w:anchor="_Toc7492" w:history="1">
        <w:r>
          <w:rPr>
            <w:rFonts w:ascii="黑体" w:eastAsia="黑体" w:hAnsi="黑体" w:cs="黑体" w:hint="eastAsia"/>
            <w:color w:val="auto"/>
            <w:highlight w:val="none"/>
          </w:rPr>
          <w:t xml:space="preserve">六、有关建议</w:t>
        </w:r>
        <w:r>
          <w:rPr>
            <w:color w:val="auto"/>
            <w:highlight w:val="none"/>
          </w:rPr>
          <w:tab/>
        </w:r>
        <w:r>
          <w:rPr>
            <w:color w:val="auto"/>
            <w:highlight w:val="none"/>
          </w:rPr>
          <w:fldChar w:fldCharType="begin"/>
        </w:r>
        <w:r>
          <w:rPr>
            <w:color w:val="auto"/>
            <w:highlight w:val="none"/>
          </w:rPr>
          <w:instrText xml:space="preserve"> PAGEREF _Toc7492 \h </w:instrText>
        </w:r>
        <w:r>
          <w:rPr>
            <w:color w:val="auto"/>
            <w:highlight w:val="none"/>
          </w:rPr>
          <w:fldChar w:fldCharType="separate"/>
        </w:r>
        <w:r>
          <w:rPr>
            <w:color w:val="auto"/>
            <w:highlight w:val="none"/>
          </w:rPr>
          <w:t xml:space="preserve">19</w:t>
        </w:r>
        <w:r>
          <w:rPr>
            <w:color w:val="auto"/>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ind w:left="0" w:firstLine="0" w:leftChars="0" w:firstLineChars="0"/>
        <w:textAlignment w:val="auto"/>
        <w:rPr>
          <w:color w:val="auto"/>
          <w:highlight w:val="none"/>
        </w:rPr>
      </w:pPr>
      <w:hyperlink w:anchor="_Toc29174" w:history="1">
        <w:r>
          <w:rPr>
            <w:rFonts w:ascii="黑体" w:eastAsia="黑体" w:hAnsi="黑体" w:cs="黑体" w:hint="default"/>
            <w:bCs/>
            <w:iCs/>
            <w:color w:val="auto"/>
            <w:highlight w:val="none"/>
          </w:rPr>
          <w:t xml:space="preserve">七、其他需要说明的问题</w:t>
        </w:r>
        <w:r>
          <w:rPr>
            <w:color w:val="auto"/>
            <w:highlight w:val="none"/>
          </w:rPr>
          <w:tab/>
        </w:r>
        <w:r>
          <w:rPr>
            <w:color w:val="auto"/>
            <w:highlight w:val="none"/>
          </w:rPr>
          <w:fldChar w:fldCharType="begin"/>
        </w:r>
        <w:r>
          <w:rPr>
            <w:color w:val="auto"/>
            <w:highlight w:val="none"/>
          </w:rPr>
          <w:instrText xml:space="preserve"> PAGEREF _Toc29174 \h </w:instrText>
        </w:r>
        <w:r>
          <w:rPr>
            <w:color w:val="auto"/>
            <w:highlight w:val="none"/>
          </w:rPr>
          <w:fldChar w:fldCharType="separate"/>
        </w:r>
        <w:r>
          <w:rPr>
            <w:color w:val="auto"/>
            <w:highlight w:val="none"/>
          </w:rPr>
          <w:t xml:space="preserve">20</w:t>
        </w:r>
        <w:r>
          <w:rPr>
            <w:color w:val="auto"/>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ind w:left="0" w:firstLine="0" w:leftChars="0" w:firstLineChars="0"/>
        <w:textAlignment w:val="auto"/>
        <w:rPr>
          <w:color w:val="auto"/>
          <w:highlight w:val="none"/>
        </w:rPr>
      </w:pPr>
      <w:hyperlink w:anchor="_Toc1500" w:history="1">
        <w:r>
          <w:rPr>
            <w:rFonts w:ascii="黑体" w:eastAsia="黑体" w:hAnsi="黑体" w:cs="黑体" w:hint="default"/>
            <w:bCs/>
            <w:iCs/>
            <w:color w:val="auto"/>
            <w:highlight w:val="none"/>
          </w:rPr>
          <w:t xml:space="preserve">八、附件</w:t>
        </w:r>
        <w:r>
          <w:rPr>
            <w:color w:val="auto"/>
            <w:highlight w:val="none"/>
          </w:rPr>
          <w:tab/>
        </w:r>
        <w:r>
          <w:rPr>
            <w:color w:val="auto"/>
            <w:highlight w:val="none"/>
          </w:rPr>
          <w:fldChar w:fldCharType="begin"/>
        </w:r>
        <w:r>
          <w:rPr>
            <w:color w:val="auto"/>
            <w:highlight w:val="none"/>
          </w:rPr>
          <w:instrText xml:space="preserve"> PAGEREF _Toc1500 \h </w:instrText>
        </w:r>
        <w:r>
          <w:rPr>
            <w:color w:val="auto"/>
            <w:highlight w:val="none"/>
          </w:rPr>
          <w:fldChar w:fldCharType="separate"/>
        </w:r>
        <w:r>
          <w:rPr>
            <w:color w:val="auto"/>
            <w:highlight w:val="none"/>
          </w:rPr>
          <w:t xml:space="preserve">20</w:t>
        </w:r>
        <w:r>
          <w:rPr>
            <w:color w:val="auto"/>
            <w:highlight w:val="none"/>
          </w:rPr>
          <w:fldChar w:fldCharType="end"/>
        </w:r>
      </w:hyperlink>
    </w:p>
    <w:p>
      <w:pPr>
        <w:pStyle w:val="TOC2"/>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hyperlink w:anchor="_Toc5739" w:history="1">
        <w:r>
          <w:rPr>
            <w:rFonts w:ascii="Times New Roman" w:eastAsia="仿宋_GB2312" w:hAnsi="Times New Roman" w:cs="Times New Roman" w:hint="default"/>
            <w:bCs/>
            <w:iCs/>
            <w:color w:val="auto"/>
            <w:highlight w:val="none"/>
          </w:rPr>
          <w:t xml:space="preserve">附件1：</w:t>
        </w:r>
        <w:r>
          <w:rPr>
            <w:rFonts w:ascii="Times New Roman" w:eastAsia="仿宋_GB2312" w:hAnsi="Times New Roman" w:cs="Times New Roman" w:hint="default"/>
            <w:color w:val="auto"/>
            <w:highlight w:val="none"/>
          </w:rPr>
          <w:t xml:space="preserve">项目支出绩效自评表</w:t>
        </w:r>
        <w:r>
          <w:rPr>
            <w:color w:val="auto"/>
            <w:highlight w:val="none"/>
          </w:rPr>
          <w:tab/>
        </w:r>
        <w:r>
          <w:rPr>
            <w:color w:val="auto"/>
            <w:highlight w:val="none"/>
          </w:rPr>
          <w:fldChar w:fldCharType="begin"/>
        </w:r>
        <w:r>
          <w:rPr>
            <w:color w:val="auto"/>
            <w:highlight w:val="none"/>
          </w:rPr>
          <w:instrText xml:space="preserve"> PAGEREF _Toc5739 \h </w:instrText>
        </w:r>
        <w:r>
          <w:rPr>
            <w:color w:val="auto"/>
            <w:highlight w:val="none"/>
          </w:rPr>
          <w:fldChar w:fldCharType="separate"/>
        </w:r>
        <w:r>
          <w:rPr>
            <w:color w:val="auto"/>
            <w:highlight w:val="none"/>
          </w:rPr>
          <w:t xml:space="preserve">21</w:t>
        </w:r>
        <w:r>
          <w:rPr>
            <w:color w:val="auto"/>
            <w:highlight w:val="none"/>
          </w:rPr>
          <w:fldChar w:fldCharType="end"/>
        </w:r>
      </w:hyperlink>
    </w:p>
    <w:p>
      <w:pPr>
        <w:pStyle w:val="TOC1"/>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p>
    <w:p>
      <w:pPr>
        <w:pStyle w:val="TOC2"/>
        <w:keepNext w:val="0"/>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color w:val="auto"/>
          <w:highlight w:val="none"/>
        </w:rPr>
      </w:pPr>
      <w:hyperlink w:anchor="_Toc26113" w:history="1">
        <w:r>
          <w:rPr>
            <w:rFonts w:ascii="Times New Roman" w:eastAsia="仿宋_GB2312" w:hAnsi="Times New Roman" w:cs="Times New Roman" w:hint="default"/>
            <w:color w:val="auto"/>
            <w:highlight w:val="none"/>
          </w:rPr>
          <w:t xml:space="preserve">附件2：项目支出绩效评价指标体系及评分</w:t>
        </w:r>
        <w:r>
          <w:rPr>
            <w:color w:val="auto"/>
            <w:highlight w:val="none"/>
          </w:rPr>
          <w:tab/>
        </w:r>
        <w:r>
          <w:rPr>
            <w:color w:val="auto"/>
            <w:highlight w:val="none"/>
          </w:rPr>
          <w:fldChar w:fldCharType="begin"/>
        </w:r>
        <w:r>
          <w:rPr>
            <w:color w:val="auto"/>
            <w:highlight w:val="none"/>
          </w:rPr>
          <w:instrText xml:space="preserve"> PAGEREF _Toc26113 \h </w:instrText>
        </w:r>
        <w:r>
          <w:rPr>
            <w:color w:val="auto"/>
            <w:highlight w:val="none"/>
          </w:rPr>
          <w:fldChar w:fldCharType="separate"/>
        </w:r>
        <w:r>
          <w:rPr>
            <w:color w:val="auto"/>
            <w:highlight w:val="none"/>
          </w:rPr>
          <w:t xml:space="preserve">23</w:t>
        </w:r>
        <w:r>
          <w:rPr>
            <w:color w:val="auto"/>
            <w:highlight w:val="none"/>
          </w:rPr>
          <w:fldChar w:fldCharType="end"/>
        </w:r>
      </w:hyperlink>
    </w:p>
    <w:p>
      <w:pPr>
        <w:keepNext w:val="0"/>
        <w:keepLines w:val="0"/>
        <w:pageBreakBefore w:val="0"/>
        <w:widowControl w:val="0"/>
        <w:tabs>
          <w:tab w:val="right" w:leader="dot" w:pos="8306"/>
        </w:tabs>
        <w:kinsoku/>
        <w:wordWrap/>
        <w:overflowPunct/>
        <w:topLinePunct w:val="0"/>
        <w:autoSpaceDE/>
        <w:autoSpaceDN/>
        <w:bidi w:val="0"/>
        <w:adjustRightInd/>
        <w:snapToGrid/>
        <w:spacing w:line="580" w:lineRule="exact"/>
        <w:ind w:firstLine="0" w:firstLineChars="0"/>
        <w:textAlignment w:val="auto"/>
        <w:rPr>
          <w:color w:val="auto"/>
          <w:szCs w:val="32"/>
          <w:highlight w:val="none"/>
        </w:rPr>
      </w:pPr>
      <w:r>
        <w:rPr>
          <w:color w:val="auto"/>
          <w:szCs w:val="32"/>
          <w:highlight w:val="none"/>
        </w:rPr>
        <w:fldChar w:fldCharType="end"/>
      </w:r>
    </w:p>
    <w:p>
      <w:pPr>
        <w:pStyle w:val="Heading2"/>
        <w:bidi w:val="0"/>
        <w:rPr>
          <w:rFonts w:ascii="Times New Roman" w:eastAsia="黑体" w:hAnsi="Times New Roman" w:cs="Times New Roman" w:hint="default"/>
          <w:bCs/>
          <w:iCs/>
          <w:color w:val="auto"/>
          <w:kern w:val="2"/>
          <w:sz w:val="32"/>
          <w:szCs w:val="21"/>
          <w:highlight w:val="none"/>
          <w:lang w:val="en-US" w:eastAsia="zh-CN" w:bidi="ar-SA"/>
        </w:rPr>
        <w:sectPr>
          <w:footerReference w:type="default" r:id="rId3"/>
          <w:pgSz w:w="11906" w:h="16838" w:orient="portrait"/>
          <w:pgMar w:top="1440" w:right="1800" w:bottom="1440" w:left="1800" w:header="851" w:footer="992" w:gutter="0"/>
          <w:pgBorders/>
          <w:pgNumType w:fmt="decimal"/>
          <w:cols w:num="1" w:space="720">
            <w:col w:w="8306" w:space="720"/>
          </w:cols>
          <w:docGrid w:type="lines" w:linePitch="312" w:charSpace="0"/>
        </w:sectPr>
      </w:pPr>
      <w:bookmarkStart w:id="12" w:name="_Toc20346"/>
    </w:p>
    <w:p>
      <w:pPr>
        <w:pStyle w:val="Heading2"/>
        <w:bidi w:val="0"/>
        <w:rPr>
          <w:rFonts w:ascii="Times New Roman" w:eastAsia="黑体" w:hAnsi="Times New Roman" w:cs="Times New Roman" w:hint="default"/>
          <w:bCs/>
          <w:iCs/>
          <w:color w:val="auto"/>
          <w:kern w:val="2"/>
          <w:sz w:val="32"/>
          <w:szCs w:val="21"/>
          <w:highlight w:val="none"/>
          <w:lang w:val="en-US" w:eastAsia="zh-CN" w:bidi="ar-SA"/>
        </w:rPr>
      </w:pPr>
      <w:r>
        <w:rPr>
          <w:rFonts w:ascii="Times New Roman" w:eastAsia="黑体" w:hAnsi="Times New Roman" w:cs="Times New Roman" w:hint="default"/>
          <w:bCs/>
          <w:iCs/>
          <w:color w:val="auto"/>
          <w:kern w:val="2"/>
          <w:sz w:val="32"/>
          <w:szCs w:val="21"/>
          <w:highlight w:val="none"/>
          <w:lang w:val="en-US" w:eastAsia="zh-CN" w:bidi="ar-SA"/>
        </w:rPr>
        <w:t xml:space="preserve">一、基本情况</w:t>
      </w:r>
      <w:bookmarkEnd w:id="6"/>
      <w:bookmarkEnd w:id="7"/>
      <w:bookmarkEnd w:id="8"/>
      <w:bookmarkEnd w:id="9"/>
      <w:bookmarkEnd w:id="10"/>
      <w:bookmarkEnd w:id="11"/>
      <w:bookmarkEnd w:id="12"/>
      <w:bookmarkStart w:id="13" w:name="_Toc27593"/>
    </w:p>
    <w:p>
      <w:pPr>
        <w:pStyle w:val="Heading3"/>
        <w:bidi w:val="0"/>
        <w:jc w:val="both"/>
        <w:outlineLvl w:val="1"/>
        <w:rPr>
          <w:rFonts w:ascii="Times New Roman" w:eastAsia="楷体" w:hAnsi="Times New Roman" w:cs="Times New Roman" w:hint="default"/>
          <w:color w:val="auto"/>
          <w:highlight w:val="none"/>
        </w:rPr>
      </w:pPr>
      <w:bookmarkStart w:id="14" w:name="_Toc24706"/>
      <w:bookmarkStart w:id="15" w:name="_Toc18967"/>
      <w:bookmarkStart w:id="16" w:name="_Toc24048"/>
      <w:bookmarkStart w:id="17" w:name="_Toc9236"/>
      <w:bookmarkStart w:id="18" w:name="_Toc26183"/>
      <w:r>
        <w:rPr>
          <w:rFonts w:ascii="Times New Roman" w:eastAsia="楷体" w:hAnsi="Times New Roman" w:cs="Times New Roman" w:hint="default"/>
          <w:color w:val="auto"/>
          <w:highlight w:val="none"/>
        </w:rPr>
        <w:t xml:space="preserve">（一）项目概况</w:t>
      </w:r>
      <w:bookmarkEnd w:id="13"/>
      <w:bookmarkEnd w:id="14"/>
      <w:bookmarkEnd w:id="15"/>
      <w:bookmarkEnd w:id="16"/>
      <w:bookmarkEnd w:id="17"/>
      <w:bookmarkEnd w:id="18"/>
    </w:p>
    <w:p>
      <w:pPr>
        <w:bidi w:val="0"/>
        <w:jc w:val="both"/>
        <w:rPr>
          <w:rFonts w:ascii="Times New Roman" w:eastAsia="仿宋_GB2312" w:hAnsi="Times New Roman" w:cs="Times New Roman" w:hint="default"/>
          <w:b/>
          <w:bCs/>
          <w:color w:val="auto"/>
          <w:highlight w:val="none"/>
        </w:rPr>
      </w:pPr>
      <w:bookmarkStart w:id="19" w:name="_Toc19984"/>
      <w:bookmarkStart w:id="20" w:name="_Toc11427"/>
      <w:r>
        <w:rPr>
          <w:rFonts w:ascii="Times New Roman" w:eastAsia="仿宋_GB2312" w:hAnsi="Times New Roman" w:cs="Times New Roman" w:hint="default"/>
          <w:b/>
          <w:bCs/>
          <w:color w:val="auto"/>
          <w:highlight w:val="none"/>
        </w:rPr>
        <w:t xml:space="preserve">1.项目背景</w:t>
      </w:r>
      <w:bookmarkEnd w:id="19"/>
      <w:bookmarkEnd w:id="20"/>
    </w:p>
    <w:p>
      <w:pPr>
        <w:bidi w:val="0"/>
        <w:jc w:val="both"/>
        <w:rPr>
          <w:rFonts w:ascii="Times New Roman" w:hAnsi="Times New Roman" w:cs="Times New Roman" w:hint="eastAsia"/>
          <w:color w:val="auto"/>
          <w:highlight w:val="none"/>
          <w:lang w:val="en-US" w:eastAsia="zh-CN"/>
        </w:rPr>
      </w:pPr>
      <w:bookmarkStart w:id="21" w:name="_Toc22216"/>
      <w:r>
        <w:rPr>
          <w:rFonts w:ascii="Times New Roman" w:hAnsi="Times New Roman" w:cs="Times New Roman" w:hint="eastAsia"/>
          <w:color w:val="auto"/>
          <w:highlight w:val="none"/>
          <w:lang w:val="en-US" w:eastAsia="zh-CN"/>
        </w:rPr>
        <w:t xml:space="preserve">为深入贯彻落实党中央、国务院关于建立国土空间规划体系并监督实施的重大决策部署，按照《关于印发新疆全面开展国土空间规划编制工作方案的通知》（新政办发(2019）92号）文件精神，为进一步推动我县“二级三类”国土空间规划体系建立，按照自治区、自治州党委和政府关于国土空间规划以及自治区自然资源厅工作安排，我县积极推进乡镇和村庄国土空间规划编制工作，主要依据乡镇和村庄规划的目标与任务，结合当地实际情况，选取土地利用、产业发展、基础设施建设、生态环境等方面的关键指标，如耕地保护率、特色产业增长率、道路硬化率、森林覆盖率等。</w:t>
      </w:r>
    </w:p>
    <w:p>
      <w:pPr>
        <w:bidi w:val="0"/>
        <w:jc w:val="both"/>
        <w:rPr>
          <w:rFonts w:ascii="Times New Roman" w:hAnsi="Times New Roman" w:cs="Times New Roman" w:hint="eastAsia"/>
          <w:color w:val="auto"/>
          <w:highlight w:val="none"/>
          <w:lang w:val="en-US" w:eastAsia="zh-CN"/>
        </w:rPr>
      </w:pPr>
      <w:r>
        <w:rPr>
          <w:rFonts w:ascii="Times New Roman" w:hAnsi="Times New Roman" w:cs="Times New Roman" w:hint="eastAsia"/>
          <w:color w:val="auto"/>
          <w:highlight w:val="none"/>
          <w:lang w:val="en-US" w:eastAsia="zh-CN"/>
        </w:rPr>
        <w:t xml:space="preserve">尉犁县地处新疆维吾尔自治区中部，是连接南北疆的交通要道。随着乡村振兴战略的深入推进以及新型城镇化建设的加速，为统筹城乡发展、优化空间布局、提升乡村发展质量，尉犁县启动乡镇总体规划和村庄规划编制工作，旨在构建布局合理、功能完善、生态宜居的城乡发展格局，推动县域经济社会可持续发展。</w:t>
      </w:r>
      <w:bookmarkStart w:id="22" w:name="_Toc22079"/>
      <w:r>
        <w:rPr>
          <w:rFonts w:ascii="Times New Roman" w:hAnsi="Times New Roman" w:cs="Times New Roman" w:hint="eastAsia"/>
          <w:color w:val="auto"/>
          <w:highlight w:val="none"/>
          <w:lang w:val="en-US" w:eastAsia="zh-CN"/>
        </w:rPr>
        <w:t xml:space="preserve">本项目的实施注重生态环境保护和资源合理利用，加强生态保护红线区域的保护，提出有效的生态修复措施，促进生态系统的稳定和生态服务功能的提升；规划中明确尉犁县各级的生态保护区域，禁止在该区域进行无序开发，规划实施后，有效减少农村环境污染，保护生态空间，有效推进生态文明建设。</w:t>
      </w:r>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2.项目主要内容</w:t>
      </w:r>
      <w:bookmarkEnd w:id="21"/>
      <w:bookmarkEnd w:id="22"/>
    </w:p>
    <w:p>
      <w:pPr>
        <w:bidi w:val="0"/>
        <w:jc w:val="both"/>
        <w:rPr>
          <w:rFonts w:ascii="Times New Roman" w:eastAsia="仿宋_GB2312" w:hAnsi="Times New Roman" w:cs="Times New Roman" w:hint="default"/>
          <w:color w:val="auto"/>
          <w:highlight w:val="none"/>
        </w:rPr>
      </w:pPr>
      <w:bookmarkStart w:id="23" w:name="_Toc21529"/>
      <w:r>
        <w:rPr>
          <w:rFonts w:ascii="Times New Roman" w:hAnsi="Times New Roman" w:cs="Times New Roman" w:hint="eastAsia"/>
          <w:color w:val="auto"/>
          <w:highlight w:val="none"/>
          <w:lang w:val="en-US" w:eastAsia="zh-CN"/>
        </w:rPr>
        <w:t xml:space="preserve">编制科学合理、符合尉犁县实际发展需求的乡镇总体规划和村庄规划，实现城乡空间资源的优化配置，促进产业融合发展，提升乡村基础设施和公共服务水平，保护生态环境，助力乡村振兴战略实施。完成六个乡镇的总体规划编制，明确各乡镇的发展定位、规模、空间布局以及产业发展方向，确定基础设施和公共服务设施的配置标准和建设要求；完成39个村庄的规划编制，优化村庄居民点布局，完善基础设施和公共服务设施，挖掘村庄特色资源，发展特色产业，塑造具有地域特色的乡村风貌。</w:t>
      </w:r>
    </w:p>
    <w:p>
      <w:pPr>
        <w:bidi w:val="0"/>
        <w:jc w:val="both"/>
        <w:rPr>
          <w:rFonts w:ascii="Times New Roman" w:eastAsia="仿宋_GB2312" w:hAnsi="Times New Roman" w:cs="Times New Roman" w:hint="default"/>
          <w:b/>
          <w:bCs/>
          <w:color w:val="auto"/>
          <w:highlight w:val="none"/>
        </w:rPr>
      </w:pPr>
      <w:bookmarkStart w:id="24" w:name="_Toc31519"/>
      <w:r>
        <w:rPr>
          <w:rFonts w:ascii="Times New Roman" w:eastAsia="仿宋_GB2312" w:hAnsi="Times New Roman" w:cs="Times New Roman" w:hint="default"/>
          <w:b/>
          <w:bCs/>
          <w:color w:val="auto"/>
          <w:highlight w:val="none"/>
        </w:rPr>
        <w:t xml:space="preserve">3.项目实施情况</w:t>
      </w:r>
      <w:bookmarkEnd w:id="23"/>
      <w:bookmarkEnd w:id="24"/>
      <w:bookmarkStart w:id="25" w:name="_Toc20138"/>
    </w:p>
    <w:p>
      <w:pPr>
        <w:bidi w:val="0"/>
        <w:jc w:val="both"/>
        <w:rPr>
          <w:rFonts w:ascii="Times New Roman" w:hAnsi="Times New Roman" w:cs="Times New Roman" w:hint="default"/>
          <w:color w:val="auto"/>
          <w:highlight w:val="none"/>
          <w:lang w:val="en-US" w:eastAsia="zh-CN"/>
        </w:rPr>
      </w:pPr>
      <w:r>
        <w:rPr>
          <w:rFonts w:ascii="Times New Roman" w:hAnsi="Times New Roman" w:cs="Times New Roman" w:hint="eastAsia"/>
          <w:color w:val="auto"/>
          <w:highlight w:val="none"/>
          <w:lang w:val="en-US" w:eastAsia="zh-CN"/>
        </w:rPr>
        <w:t xml:space="preserve">我县于2023年2月启动乡镇国土空间规划和村庄规划编制工作，编制单位为新疆国源测绘规划设计院。8月完成规划成果初稿，2024年4月，自治区下发《新疆维吾尔自治区乡镇国土空间总体规划编制技术规程（试行）》，按照编制规程，编制单位对规划成果进行修正和完善。2024年12月5日-6日，我局组织召开尉犁县6个乡镇国土空间总体规划专家和部门单位评审会。目前，按照专家和部门单位的评审意见，技术单位正在对规划成果进行修改和优化。2024年度已完成6个乡镇国土空间规划和39个行政村的规划编制工作，提交乡（镇）规划成果6套、提交行政村规划成果35套，使数据成果的准确率达到100%，有效推动了我县乡村振兴和生态文明建设工作。</w:t>
      </w:r>
    </w:p>
    <w:p>
      <w:pPr>
        <w:bidi w:val="0"/>
        <w:jc w:val="both"/>
        <w:rPr>
          <w:rFonts w:ascii="Times New Roman" w:eastAsia="仿宋_GB2312" w:hAnsi="Times New Roman" w:cs="Times New Roman" w:hint="default"/>
          <w:b/>
          <w:bCs/>
          <w:color w:val="auto"/>
          <w:highlight w:val="none"/>
        </w:rPr>
      </w:pPr>
      <w:bookmarkStart w:id="26" w:name="_Toc1111"/>
      <w:r>
        <w:rPr>
          <w:rFonts w:ascii="Times New Roman" w:eastAsia="仿宋_GB2312" w:hAnsi="Times New Roman" w:cs="Times New Roman" w:hint="default"/>
          <w:b/>
          <w:bCs/>
          <w:color w:val="auto"/>
          <w:highlight w:val="none"/>
        </w:rPr>
        <w:t xml:space="preserve">4.资金投入情况</w:t>
      </w:r>
      <w:bookmarkEnd w:id="25"/>
      <w:bookmarkEnd w:id="26"/>
    </w:p>
    <w:p>
      <w:pPr>
        <w:bidi w:val="0"/>
        <w:jc w:val="both"/>
        <w:rPr>
          <w:rFonts w:ascii="Times New Roman" w:eastAsia="仿宋_GB2312" w:hAnsi="Times New Roman" w:cs="Times New Roman" w:hint="default"/>
          <w:color w:val="auto"/>
          <w:highlight w:val="none"/>
          <w:lang w:eastAsia="zh-CN"/>
        </w:rPr>
      </w:pPr>
      <w:bookmarkStart w:id="27" w:name="_Toc7324"/>
      <w:r>
        <w:rPr>
          <w:rFonts w:ascii="Times New Roman" w:eastAsia="仿宋_GB2312" w:hAnsi="Times New Roman" w:cs="Times New Roman" w:hint="default"/>
          <w:color w:val="auto"/>
          <w:highlight w:val="none"/>
        </w:rPr>
        <w:t xml:space="preserve">根据</w:t>
      </w:r>
      <w:r>
        <w:rPr>
          <w:rFonts w:ascii="Times New Roman" w:hAnsi="Times New Roman" w:cs="Times New Roman" w:hint="eastAsia"/>
          <w:color w:val="auto"/>
          <w:highlight w:val="none"/>
          <w:lang w:eastAsia="zh-CN"/>
        </w:rPr>
        <w:t xml:space="preserve">《关于下达乡镇国土空间规划和村庄规划编制项目资金的通知》（</w:t>
      </w:r>
      <w:r>
        <w:rPr>
          <w:rFonts w:ascii="Times New Roman" w:eastAsia="仿宋_GB2312" w:hAnsi="Times New Roman" w:cs="Times New Roman" w:hint="default"/>
          <w:color w:val="auto"/>
          <w:highlight w:val="none"/>
        </w:rPr>
        <w:t xml:space="preserve">尉财预[2024]176号</w:t>
      </w:r>
      <w:r>
        <w:rPr>
          <w:rFonts w:ascii="Times New Roman" w:hAnsi="Times New Roman" w:cs="Times New Roman" w:hint="eastAsia"/>
          <w:color w:val="auto"/>
          <w:highlight w:val="none"/>
          <w:lang w:eastAsia="zh-CN"/>
        </w:rPr>
        <w:t xml:space="preserve">）</w:t>
      </w:r>
      <w:r>
        <w:rPr>
          <w:rFonts w:ascii="Times New Roman" w:eastAsia="仿宋_GB2312" w:hAnsi="Times New Roman" w:cs="Times New Roman" w:hint="default"/>
          <w:color w:val="auto"/>
          <w:highlight w:val="none"/>
        </w:rPr>
        <w:t xml:space="preserve">下达</w:t>
      </w:r>
      <w:r>
        <w:rPr>
          <w:rFonts w:ascii="Times New Roman" w:hAnsi="Times New Roman" w:cs="Times New Roman" w:hint="eastAsia"/>
          <w:color w:val="auto"/>
          <w:highlight w:val="none"/>
          <w:lang w:eastAsia="zh-CN"/>
        </w:rPr>
        <w:t xml:space="preserve">乡镇国土空间规划和村庄规划编制项目</w:t>
      </w:r>
      <w:r>
        <w:rPr>
          <w:rFonts w:ascii="Times New Roman" w:eastAsia="仿宋_GB2312" w:hAnsi="Times New Roman" w:cs="Times New Roman" w:hint="default"/>
          <w:color w:val="auto"/>
          <w:highlight w:val="none"/>
        </w:rPr>
        <w:t xml:space="preserve">资金</w:t>
      </w:r>
      <w:r>
        <w:rPr>
          <w:rFonts w:ascii="Times New Roman" w:hAnsi="Times New Roman" w:cs="Times New Roman" w:hint="eastAsia"/>
          <w:color w:val="auto"/>
          <w:highlight w:val="none"/>
          <w:lang w:val="en-US" w:eastAsia="zh-CN"/>
        </w:rPr>
        <w:t xml:space="preserve">268</w:t>
      </w:r>
      <w:r>
        <w:rPr>
          <w:rFonts w:ascii="Times New Roman" w:eastAsia="仿宋_GB2312" w:hAnsi="Times New Roman" w:cs="Times New Roman" w:hint="default"/>
          <w:color w:val="auto"/>
          <w:highlight w:val="none"/>
        </w:rPr>
        <w:t xml:space="preserve">万元。</w:t>
      </w:r>
      <w:r>
        <w:rPr>
          <w:rFonts w:ascii="Times New Roman" w:hAnsi="Times New Roman" w:cs="Times New Roman" w:hint="eastAsia"/>
          <w:color w:val="auto"/>
          <w:highlight w:val="none"/>
          <w:lang w:eastAsia="zh-CN"/>
        </w:rPr>
        <w:t xml:space="preserve">全部</w:t>
      </w:r>
      <w:r>
        <w:rPr>
          <w:rFonts w:ascii="Times New Roman" w:eastAsia="仿宋_GB2312" w:hAnsi="Times New Roman" w:cs="Times New Roman" w:hint="default"/>
          <w:color w:val="auto"/>
          <w:highlight w:val="none"/>
        </w:rPr>
        <w:t xml:space="preserve">用于乡镇国土空间规划和村庄规划编制</w:t>
      </w:r>
      <w:r>
        <w:rPr>
          <w:rFonts w:ascii="Times New Roman" w:hAnsi="Times New Roman" w:cs="Times New Roman" w:hint="eastAsia"/>
          <w:color w:val="auto"/>
          <w:highlight w:val="none"/>
          <w:lang w:eastAsia="zh-CN"/>
        </w:rPr>
        <w:t xml:space="preserve">项目技术服务费</w:t>
      </w:r>
      <w:r>
        <w:rPr>
          <w:rFonts w:ascii="Times New Roman" w:hAnsi="Times New Roman" w:cs="Times New Roman" w:hint="eastAsia"/>
          <w:color w:val="auto"/>
          <w:highlight w:val="none"/>
          <w:lang w:val="en-US" w:eastAsia="zh-CN"/>
        </w:rPr>
        <w:t xml:space="preserve">268</w:t>
      </w:r>
      <w:r>
        <w:rPr>
          <w:rFonts w:ascii="Times New Roman" w:eastAsia="仿宋_GB2312" w:hAnsi="Times New Roman" w:cs="Times New Roman" w:hint="default"/>
          <w:color w:val="auto"/>
          <w:highlight w:val="none"/>
        </w:rPr>
        <w:t xml:space="preserve">万元</w:t>
      </w:r>
      <w:r>
        <w:rPr>
          <w:rFonts w:ascii="Times New Roman" w:eastAsia="仿宋_GB2312" w:hAnsi="Times New Roman" w:cs="Times New Roman" w:hint="default"/>
          <w:color w:val="auto"/>
          <w:highlight w:val="none"/>
          <w:lang w:eastAsia="zh-CN"/>
        </w:rPr>
        <w:t xml:space="preserve">。</w:t>
      </w:r>
    </w:p>
    <w:p>
      <w:pPr>
        <w:bidi w:val="0"/>
        <w:jc w:val="both"/>
        <w:rPr>
          <w:rFonts w:ascii="Times New Roman" w:eastAsia="仿宋_GB2312" w:hAnsi="Times New Roman" w:cs="Times New Roman" w:hint="default"/>
          <w:color w:val="auto"/>
          <w:highlight w:val="none"/>
          <w:lang w:eastAsia="zh-CN"/>
        </w:rPr>
      </w:pPr>
      <w:r>
        <w:rPr>
          <w:rFonts w:ascii="Times New Roman" w:eastAsia="仿宋_GB2312" w:hAnsi="Times New Roman" w:cs="Times New Roman" w:hint="default"/>
          <w:color w:val="auto"/>
          <w:highlight w:val="none"/>
        </w:rPr>
        <w:t xml:space="preserve">实施</w:t>
      </w:r>
      <w:r>
        <w:rPr>
          <w:rFonts w:ascii="Times New Roman" w:hAnsi="Times New Roman" w:cs="Times New Roman" w:hint="eastAsia"/>
          <w:color w:val="auto"/>
          <w:highlight w:val="none"/>
          <w:lang w:eastAsia="zh-CN"/>
        </w:rPr>
        <w:t xml:space="preserve">乡镇国土空间规划和村庄规划编制项目</w:t>
      </w:r>
      <w:r>
        <w:rPr>
          <w:rFonts w:ascii="Times New Roman" w:eastAsia="仿宋_GB2312" w:hAnsi="Times New Roman" w:cs="Times New Roman" w:hint="default"/>
          <w:color w:val="auto"/>
          <w:highlight w:val="none"/>
        </w:rPr>
        <w:t xml:space="preserve">投入</w:t>
      </w:r>
      <w:r>
        <w:rPr>
          <w:rFonts w:ascii="Times New Roman" w:hAnsi="Times New Roman" w:cs="Times New Roman" w:hint="eastAsia"/>
          <w:color w:val="auto"/>
          <w:highlight w:val="none"/>
          <w:lang w:val="en-US" w:eastAsia="zh-CN"/>
        </w:rPr>
        <w:t xml:space="preserve">268</w:t>
      </w:r>
      <w:r>
        <w:rPr>
          <w:rFonts w:ascii="Times New Roman" w:eastAsia="仿宋_GB2312" w:hAnsi="Times New Roman" w:cs="Times New Roman" w:hint="default"/>
          <w:color w:val="auto"/>
          <w:highlight w:val="none"/>
        </w:rPr>
        <w:t xml:space="preserve">万元，其中</w:t>
      </w:r>
      <w:r>
        <w:rPr>
          <w:rFonts w:ascii="Times New Roman" w:hAnsi="Times New Roman" w:cs="Times New Roman" w:hint="eastAsia"/>
          <w:color w:val="auto"/>
          <w:highlight w:val="none"/>
          <w:lang w:val="en-US" w:eastAsia="zh-CN"/>
        </w:rPr>
        <w:t xml:space="preserve">县级</w:t>
      </w:r>
      <w:r>
        <w:rPr>
          <w:rFonts w:ascii="Times New Roman" w:eastAsia="仿宋_GB2312" w:hAnsi="Times New Roman" w:cs="Times New Roman" w:hint="default"/>
          <w:color w:val="auto"/>
          <w:highlight w:val="none"/>
          <w:lang w:val="en-US" w:eastAsia="zh-CN"/>
        </w:rPr>
        <w:t xml:space="preserve">资金</w:t>
      </w:r>
      <w:r>
        <w:rPr>
          <w:rFonts w:ascii="Times New Roman" w:hAnsi="Times New Roman" w:cs="Times New Roman" w:hint="eastAsia"/>
          <w:color w:val="auto"/>
          <w:highlight w:val="none"/>
          <w:lang w:val="en-US" w:eastAsia="zh-CN"/>
        </w:rPr>
        <w:t xml:space="preserve">268</w:t>
      </w:r>
      <w:r>
        <w:rPr>
          <w:rFonts w:ascii="Times New Roman" w:eastAsia="仿宋_GB2312" w:hAnsi="Times New Roman" w:cs="Times New Roman" w:hint="default"/>
          <w:color w:val="auto"/>
          <w:highlight w:val="none"/>
          <w:lang w:val="en-US" w:eastAsia="zh-CN"/>
        </w:rPr>
        <w:t xml:space="preserve">万元</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b/>
          <w:bCs/>
          <w:color w:val="auto"/>
          <w:highlight w:val="none"/>
        </w:rPr>
      </w:pPr>
      <w:bookmarkStart w:id="28" w:name="_Toc10837"/>
      <w:r>
        <w:rPr>
          <w:rFonts w:ascii="Times New Roman" w:eastAsia="仿宋_GB2312" w:hAnsi="Times New Roman" w:cs="Times New Roman" w:hint="default"/>
          <w:b/>
          <w:bCs/>
          <w:color w:val="auto"/>
          <w:highlight w:val="none"/>
        </w:rPr>
        <w:t xml:space="preserve">5.资金使用情况</w:t>
      </w:r>
      <w:bookmarkEnd w:id="27"/>
      <w:bookmarkEnd w:id="28"/>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2024</w:t>
      </w:r>
      <w:r>
        <w:rPr>
          <w:rFonts w:ascii="Times New Roman" w:eastAsia="仿宋_GB2312" w:hAnsi="Times New Roman" w:cs="Times New Roman" w:hint="default"/>
          <w:color w:val="auto"/>
          <w:sz w:val="32"/>
          <w:szCs w:val="32"/>
          <w:highlight w:val="none"/>
          <w:lang w:eastAsia="zh-CN"/>
        </w:rPr>
        <w:t xml:space="preserve">年初预算数</w:t>
      </w:r>
      <w:r>
        <w:rPr>
          <w:rFonts w:ascii="Times New Roman" w:hAnsi="Times New Roman" w:cs="Times New Roman" w:hint="eastAsia"/>
          <w:color w:val="auto"/>
          <w:highlight w:val="none"/>
          <w:lang w:val="en-US" w:eastAsia="zh-CN"/>
        </w:rPr>
        <w:t xml:space="preserve">268</w:t>
      </w:r>
      <w:r>
        <w:rPr>
          <w:rFonts w:ascii="Times New Roman" w:eastAsia="仿宋_GB2312" w:hAnsi="Times New Roman" w:cs="Times New Roman" w:hint="default"/>
          <w:color w:val="auto"/>
          <w:highlight w:val="none"/>
        </w:rPr>
        <w:t xml:space="preserve">万元</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实际到位资金</w:t>
      </w:r>
      <w:r>
        <w:rPr>
          <w:rFonts w:ascii="Times New Roman" w:hAnsi="Times New Roman" w:cs="Times New Roman" w:hint="eastAsia"/>
          <w:color w:val="auto"/>
          <w:highlight w:val="none"/>
          <w:lang w:val="en-US" w:eastAsia="zh-CN"/>
        </w:rPr>
        <w:t xml:space="preserve">268</w:t>
      </w:r>
      <w:r>
        <w:rPr>
          <w:rFonts w:ascii="Times New Roman" w:eastAsia="仿宋_GB2312" w:hAnsi="Times New Roman" w:cs="Times New Roman" w:hint="default"/>
          <w:color w:val="auto"/>
          <w:highlight w:val="none"/>
        </w:rPr>
        <w:t xml:space="preserve">万元</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截</w:t>
      </w:r>
      <w:r>
        <w:rPr>
          <w:rFonts w:ascii="Times New Roman" w:hAnsi="Times New Roman" w:cs="Times New Roman" w:hint="eastAsia"/>
          <w:color w:val="auto"/>
          <w:highlight w:val="none"/>
          <w:lang w:val="en-US" w:eastAsia="zh-CN"/>
        </w:rPr>
        <w:t xml:space="preserve">至</w:t>
      </w:r>
      <w:r>
        <w:rPr>
          <w:rFonts w:ascii="Times New Roman" w:eastAsia="仿宋_GB2312" w:hAnsi="Times New Roman" w:cs="Times New Roman" w:hint="default"/>
          <w:color w:val="auto"/>
          <w:highlight w:val="none"/>
        </w:rPr>
        <w:t xml:space="preserve">202</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年12月31日</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项目实际使用资金</w:t>
      </w:r>
      <w:r>
        <w:rPr>
          <w:rFonts w:ascii="Times New Roman" w:hAnsi="Times New Roman" w:cs="Times New Roman" w:hint="eastAsia"/>
          <w:color w:val="auto"/>
          <w:highlight w:val="none"/>
          <w:lang w:val="en-US" w:eastAsia="zh-CN"/>
        </w:rPr>
        <w:t xml:space="preserve">268</w:t>
      </w:r>
      <w:r>
        <w:rPr>
          <w:rFonts w:ascii="Times New Roman" w:eastAsia="仿宋_GB2312" w:hAnsi="Times New Roman" w:cs="Times New Roman" w:hint="default"/>
          <w:color w:val="auto"/>
          <w:highlight w:val="none"/>
        </w:rPr>
        <w:t xml:space="preserve">万元，资金</w:t>
      </w:r>
      <w:r>
        <w:rPr>
          <w:rFonts w:ascii="Times New Roman" w:eastAsia="仿宋_GB2312" w:hAnsi="Times New Roman" w:cs="Times New Roman" w:hint="default"/>
          <w:color w:val="auto"/>
          <w:highlight w:val="none"/>
          <w:lang w:val="en-US" w:eastAsia="zh-CN"/>
        </w:rPr>
        <w:t xml:space="preserve">使用</w:t>
      </w:r>
      <w:r>
        <w:rPr>
          <w:rFonts w:ascii="Times New Roman" w:eastAsia="仿宋_GB2312" w:hAnsi="Times New Roman" w:cs="Times New Roman" w:hint="default"/>
          <w:color w:val="auto"/>
          <w:highlight w:val="none"/>
        </w:rPr>
        <w:t xml:space="preserve">率达到了</w:t>
      </w:r>
      <w:r>
        <w:rPr>
          <w:rFonts w:ascii="Times New Roman" w:eastAsia="仿宋_GB2312" w:hAnsi="Times New Roman" w:cs="Times New Roman" w:hint="default"/>
          <w:color w:val="auto"/>
          <w:highlight w:val="none"/>
          <w:lang w:val="en-US" w:eastAsia="zh-CN"/>
        </w:rPr>
        <w:t xml:space="preserve">100</w:t>
      </w:r>
      <w:r>
        <w:rPr>
          <w:rFonts w:ascii="Times New Roman" w:eastAsia="仿宋_GB2312" w:hAnsi="Times New Roman" w:cs="Times New Roman" w:hint="default"/>
          <w:color w:val="auto"/>
          <w:highlight w:val="none"/>
        </w:rPr>
        <w:t xml:space="preserve">%。具体资金支付情况</w:t>
      </w:r>
      <w:r>
        <w:rPr>
          <w:rFonts w:ascii="Times New Roman" w:hAnsi="Times New Roman" w:cs="Times New Roman" w:hint="eastAsia"/>
          <w:color w:val="auto"/>
          <w:highlight w:val="none"/>
          <w:lang w:val="en-US" w:eastAsia="zh-CN"/>
        </w:rPr>
        <w:t xml:space="preserve">如下</w:t>
      </w:r>
      <w:r>
        <w:rPr>
          <w:rFonts w:ascii="Times New Roman" w:eastAsia="仿宋_GB2312" w:hAnsi="Times New Roman" w:cs="Times New Roman" w:hint="default"/>
          <w:color w:val="auto"/>
          <w:highlight w:val="none"/>
        </w:rPr>
        <w:t xml:space="preserve">：</w:t>
      </w:r>
    </w:p>
    <w:p>
      <w:pPr>
        <w:bidi w:val="0"/>
        <w:jc w:val="both"/>
        <w:rPr>
          <w:rFonts w:ascii="Times New Roman" w:hAnsi="Times New Roman" w:cs="Times New Roman" w:hint="eastAsia"/>
          <w:color w:val="auto"/>
          <w:highlight w:val="none"/>
          <w:lang w:eastAsia="zh-CN"/>
        </w:rPr>
      </w:pPr>
      <w:r>
        <w:rPr>
          <w:rFonts w:ascii="Times New Roman" w:eastAsia="仿宋_GB2312" w:hAnsi="Times New Roman" w:cs="Times New Roman" w:hint="default"/>
          <w:color w:val="auto"/>
          <w:highlight w:val="none"/>
        </w:rPr>
        <w:t xml:space="preserve">202</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年</w:t>
      </w:r>
      <w:r>
        <w:rPr>
          <w:rFonts w:ascii="Times New Roman" w:hAnsi="Times New Roman" w:cs="Times New Roman" w:hint="eastAsia"/>
          <w:color w:val="auto"/>
          <w:highlight w:val="none"/>
          <w:lang w:val="en-US" w:eastAsia="zh-CN"/>
        </w:rPr>
        <w:t xml:space="preserve">6</w:t>
      </w:r>
      <w:r>
        <w:rPr>
          <w:rFonts w:ascii="Times New Roman" w:eastAsia="仿宋_GB2312" w:hAnsi="Times New Roman" w:cs="Times New Roman" w:hint="default"/>
          <w:color w:val="auto"/>
          <w:highlight w:val="none"/>
        </w:rPr>
        <w:t xml:space="preserve">月</w:t>
      </w:r>
      <w:r>
        <w:rPr>
          <w:rFonts w:ascii="Times New Roman" w:hAnsi="Times New Roman" w:cs="Times New Roman" w:hint="eastAsia"/>
          <w:color w:val="auto"/>
          <w:highlight w:val="none"/>
          <w:lang w:val="en-US" w:eastAsia="zh-CN"/>
        </w:rPr>
        <w:t xml:space="preserve">27</w:t>
      </w:r>
      <w:r>
        <w:rPr>
          <w:rFonts w:ascii="Times New Roman" w:eastAsia="仿宋_GB2312" w:hAnsi="Times New Roman" w:cs="Times New Roman" w:hint="default"/>
          <w:color w:val="auto"/>
          <w:highlight w:val="none"/>
        </w:rPr>
        <w:t xml:space="preserve">日，支付</w:t>
      </w:r>
      <w:r>
        <w:rPr>
          <w:rFonts w:ascii="Times New Roman" w:hAnsi="Times New Roman" w:cs="Times New Roman" w:hint="eastAsia"/>
          <w:color w:val="auto"/>
          <w:highlight w:val="none"/>
          <w:lang w:val="en-US" w:eastAsia="zh-CN"/>
        </w:rPr>
        <w:t xml:space="preserve">新疆国源测绘规划有限公司268</w:t>
      </w:r>
      <w:r>
        <w:rPr>
          <w:rFonts w:ascii="Times New Roman" w:eastAsia="仿宋_GB2312" w:hAnsi="Times New Roman" w:cs="Times New Roman" w:hint="default"/>
          <w:color w:val="auto"/>
          <w:highlight w:val="none"/>
        </w:rPr>
        <w:t xml:space="preserve">万元</w:t>
      </w:r>
      <w:r>
        <w:rPr>
          <w:rFonts w:ascii="Times New Roman" w:hAnsi="Times New Roman" w:cs="Times New Roman" w:hint="eastAsia"/>
          <w:color w:val="auto"/>
          <w:highlight w:val="none"/>
          <w:lang w:eastAsia="zh-CN"/>
        </w:rPr>
        <w:t xml:space="preserve">。</w:t>
      </w:r>
    </w:p>
    <w:p>
      <w:pPr>
        <w:pStyle w:val="Heading3"/>
        <w:bidi w:val="0"/>
        <w:jc w:val="both"/>
        <w:outlineLvl w:val="1"/>
        <w:rPr>
          <w:rFonts w:ascii="Times New Roman" w:eastAsia="楷体" w:hAnsi="Times New Roman" w:cs="Times New Roman" w:hint="default"/>
          <w:color w:val="auto"/>
          <w:highlight w:val="none"/>
        </w:rPr>
      </w:pPr>
      <w:bookmarkStart w:id="29" w:name="_Toc11967"/>
      <w:bookmarkStart w:id="30" w:name="_Toc9567"/>
      <w:bookmarkStart w:id="31" w:name="_Toc26395"/>
      <w:bookmarkStart w:id="32" w:name="_Toc31302"/>
      <w:bookmarkStart w:id="33" w:name="_Toc10641"/>
      <w:bookmarkStart w:id="34" w:name="_Toc14296"/>
      <w:r>
        <w:rPr>
          <w:rFonts w:ascii="Times New Roman" w:eastAsia="楷体" w:hAnsi="Times New Roman" w:cs="Times New Roman" w:hint="default"/>
          <w:color w:val="auto"/>
          <w:highlight w:val="none"/>
        </w:rPr>
        <w:t xml:space="preserve">（二）项目绩效目标</w:t>
      </w:r>
      <w:bookmarkEnd w:id="29"/>
      <w:bookmarkEnd w:id="30"/>
      <w:bookmarkEnd w:id="31"/>
      <w:bookmarkEnd w:id="32"/>
      <w:bookmarkEnd w:id="33"/>
      <w:bookmarkEnd w:id="34"/>
    </w:p>
    <w:p>
      <w:pPr>
        <w:bidi w:val="0"/>
        <w:jc w:val="both"/>
        <w:rPr>
          <w:rFonts w:ascii="Times New Roman" w:eastAsia="仿宋_GB2312" w:hAnsi="Times New Roman" w:cs="Times New Roman" w:hint="default"/>
          <w:b/>
          <w:bCs/>
          <w:color w:val="auto"/>
          <w:highlight w:val="none"/>
        </w:rPr>
      </w:pPr>
      <w:bookmarkStart w:id="35" w:name="_Toc18809"/>
      <w:bookmarkStart w:id="36" w:name="_Toc905"/>
      <w:r>
        <w:rPr>
          <w:rFonts w:ascii="Times New Roman" w:eastAsia="仿宋_GB2312" w:hAnsi="Times New Roman" w:cs="Times New Roman" w:hint="default"/>
          <w:b/>
          <w:bCs/>
          <w:color w:val="auto"/>
          <w:highlight w:val="none"/>
        </w:rPr>
        <w:t xml:space="preserve">1.总体目标</w:t>
      </w:r>
      <w:bookmarkEnd w:id="35"/>
      <w:bookmarkEnd w:id="36"/>
    </w:p>
    <w:p>
      <w:pPr>
        <w:bidi w:val="0"/>
        <w:jc w:val="both"/>
        <w:rPr>
          <w:rFonts w:ascii="Times New Roman" w:hAnsi="Times New Roman" w:cs="Times New Roman" w:hint="eastAsia"/>
          <w:color w:val="auto"/>
          <w:highlight w:val="none"/>
          <w:lang w:eastAsia="zh-CN"/>
        </w:rPr>
      </w:pPr>
      <w:bookmarkStart w:id="37" w:name="_Toc10045"/>
      <w:bookmarkStart w:id="38" w:name="_Toc11195"/>
      <w:r>
        <w:rPr>
          <w:rFonts w:ascii="Times New Roman" w:hAnsi="Times New Roman" w:cs="Times New Roman" w:hint="eastAsia"/>
          <w:color w:val="auto"/>
          <w:highlight w:val="none"/>
          <w:lang w:eastAsia="zh-CN"/>
        </w:rPr>
        <w:t xml:space="preserve">按照建立我县“两级三类”国土空间规划体系的要求，根据自治州党委、自治州人民政府关于全面推进乡村振兴，加快农业农村现代化的实施方案，不断推进乡镇级国土空间规划和“多规合一”实用性村庄规划的编制工作，使我县乡村振兴、村庄建设工作有章可循，2024年度需完成6个乡镇国土空间规划和39个行政村的规划编制工作，提交乡（镇）规划成果6套、提交行政村规划成果35套，使数据成果的准确率达到100%。</w:t>
      </w:r>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2.阶段性目标</w:t>
      </w:r>
      <w:bookmarkEnd w:id="37"/>
      <w:bookmarkEnd w:id="38"/>
    </w:p>
    <w:p>
      <w:pPr>
        <w:bidi w:val="0"/>
        <w:rPr>
          <w:rFonts w:hint="eastAsia"/>
          <w:color w:val="auto"/>
          <w:highlight w:val="none"/>
          <w:lang w:val="en-US" w:eastAsia="zh-CN"/>
        </w:rPr>
      </w:pPr>
      <w:bookmarkStart w:id="39" w:name="_Toc31122"/>
      <w:bookmarkStart w:id="40" w:name="_Toc6156"/>
      <w:bookmarkStart w:id="41" w:name="_Toc25321"/>
      <w:bookmarkStart w:id="42" w:name="_Toc6534"/>
      <w:bookmarkStart w:id="43" w:name="_Toc857"/>
      <w:r>
        <w:rPr>
          <w:rFonts w:hint="eastAsia"/>
          <w:color w:val="auto"/>
          <w:highlight w:val="none"/>
          <w:lang w:val="en-US" w:eastAsia="zh-CN"/>
        </w:rPr>
        <w:t xml:space="preserve">（1）计划2024年12月，完成6个乡镇国土空间规划和39个行政村的规划编制工作，提交乡（镇）规划成果6套、提交行政村规划成果35套。</w:t>
      </w:r>
    </w:p>
    <w:p>
      <w:pPr>
        <w:bidi w:val="0"/>
        <w:rPr>
          <w:rFonts w:hint="eastAsia"/>
          <w:color w:val="auto"/>
          <w:highlight w:val="none"/>
          <w:lang w:val="en-US" w:eastAsia="zh-CN"/>
        </w:rPr>
      </w:pPr>
      <w:r>
        <w:rPr>
          <w:rFonts w:hint="eastAsia"/>
          <w:color w:val="auto"/>
          <w:highlight w:val="none"/>
          <w:lang w:val="en-US" w:eastAsia="zh-CN"/>
        </w:rPr>
        <w:t xml:space="preserve">（2）计划2024年12月，组织召开尉犁县6个乡镇国土空间总体规划专家和部门单位评审会。按照专家和部门单位的评审意见，技术单位正在对规划成果进行修改和优化。</w:t>
      </w:r>
    </w:p>
    <w:p>
      <w:pPr>
        <w:pStyle w:val="Heading2"/>
        <w:bidi w:val="0"/>
        <w:jc w:val="both"/>
        <w:outlineLvl w:val="0"/>
        <w:rPr>
          <w:rFonts w:ascii="Times New Roman" w:eastAsia="黑体" w:hAnsi="Times New Roman" w:cs="Times New Roman" w:hint="default"/>
          <w:color w:val="auto"/>
          <w:highlight w:val="none"/>
        </w:rPr>
      </w:pPr>
      <w:bookmarkStart w:id="44" w:name="_Toc15842"/>
      <w:r>
        <w:rPr>
          <w:rFonts w:ascii="Times New Roman" w:eastAsia="黑体" w:hAnsi="Times New Roman" w:cs="Times New Roman" w:hint="default"/>
          <w:color w:val="auto"/>
          <w:highlight w:val="none"/>
        </w:rPr>
        <w:t xml:space="preserve">二、绩效评价工作开展情况</w:t>
      </w:r>
      <w:bookmarkEnd w:id="39"/>
      <w:bookmarkEnd w:id="40"/>
      <w:bookmarkEnd w:id="41"/>
      <w:bookmarkEnd w:id="42"/>
      <w:bookmarkEnd w:id="43"/>
      <w:bookmarkEnd w:id="44"/>
    </w:p>
    <w:p>
      <w:pPr>
        <w:pStyle w:val="Heading3"/>
        <w:bidi w:val="0"/>
        <w:jc w:val="both"/>
        <w:outlineLvl w:val="1"/>
        <w:rPr>
          <w:rFonts w:ascii="Times New Roman" w:eastAsia="楷体" w:hAnsi="Times New Roman" w:cs="Times New Roman" w:hint="default"/>
          <w:color w:val="auto"/>
          <w:highlight w:val="none"/>
        </w:rPr>
      </w:pPr>
      <w:bookmarkStart w:id="45" w:name="_Toc30569"/>
      <w:bookmarkStart w:id="46" w:name="_Toc18082"/>
      <w:bookmarkStart w:id="47" w:name="_Toc17516"/>
      <w:bookmarkStart w:id="48" w:name="_Toc10300"/>
      <w:bookmarkStart w:id="49" w:name="_Toc32557"/>
      <w:r>
        <w:rPr>
          <w:rFonts w:ascii="Times New Roman" w:eastAsia="楷体" w:hAnsi="Times New Roman" w:cs="Times New Roman" w:hint="default"/>
          <w:color w:val="auto"/>
          <w:highlight w:val="none"/>
        </w:rPr>
        <w:t xml:space="preserve">（一）绩效评价目的、对象和范围</w:t>
      </w:r>
      <w:bookmarkEnd w:id="45"/>
      <w:bookmarkEnd w:id="46"/>
      <w:bookmarkEnd w:id="47"/>
      <w:bookmarkEnd w:id="48"/>
      <w:bookmarkEnd w:id="49"/>
    </w:p>
    <w:p>
      <w:pPr>
        <w:bidi w:val="0"/>
        <w:jc w:val="both"/>
        <w:rPr>
          <w:rFonts w:ascii="Times New Roman" w:eastAsia="仿宋_GB2312" w:hAnsi="Times New Roman" w:cs="Times New Roman" w:hint="default"/>
          <w:b/>
          <w:bCs/>
          <w:color w:val="auto"/>
          <w:highlight w:val="none"/>
        </w:rPr>
      </w:pPr>
      <w:bookmarkStart w:id="50" w:name="_Toc11562"/>
      <w:bookmarkStart w:id="51" w:name="_Toc12440"/>
      <w:r>
        <w:rPr>
          <w:rFonts w:ascii="Times New Roman" w:eastAsia="仿宋_GB2312" w:hAnsi="Times New Roman" w:cs="Times New Roman" w:hint="default"/>
          <w:b/>
          <w:bCs/>
          <w:color w:val="auto"/>
          <w:highlight w:val="none"/>
        </w:rPr>
        <w:t xml:space="preserve">1.绩效评价目的</w:t>
      </w:r>
      <w:bookmarkEnd w:id="50"/>
      <w:bookmarkEnd w:id="51"/>
    </w:p>
    <w:p>
      <w:pPr>
        <w:bidi w:val="0"/>
        <w:jc w:val="both"/>
        <w:rPr>
          <w:color w:val="auto"/>
          <w:highlight w:val="none"/>
        </w:rPr>
      </w:pPr>
      <w:r>
        <w:rPr>
          <w:rFonts w:ascii="Times New Roman" w:eastAsia="仿宋_GB2312" w:hAnsi="Times New Roman" w:cs="Times New Roman" w:hint="default"/>
          <w:color w:val="auto"/>
          <w:highlight w:val="none"/>
        </w:rPr>
        <w:t xml:space="preserve">本次绩效评价遵循财政部《关于印发</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项目支出绩效评价管理办法</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的通知》（财预〔2020〕10号）文件精神，对</w:t>
      </w:r>
      <w:r>
        <w:rPr>
          <w:rFonts w:ascii="Times New Roman" w:hAnsi="Times New Roman" w:cs="Times New Roman" w:hint="eastAsia"/>
          <w:color w:val="auto"/>
          <w:highlight w:val="none"/>
          <w:lang w:eastAsia="zh-CN"/>
        </w:rPr>
        <w:t xml:space="preserve">乡镇国土空间规划和村庄规划编制项目</w:t>
      </w:r>
      <w:r>
        <w:rPr>
          <w:rFonts w:ascii="Times New Roman" w:eastAsia="仿宋_GB2312" w:hAnsi="Times New Roman" w:cs="Times New Roman" w:hint="default"/>
          <w:color w:val="auto"/>
          <w:highlight w:val="none"/>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2" w:name="OLE_LINK7"/>
      <w:bookmarkStart w:id="53" w:name="OLE_LINK1"/>
      <w:bookmarkStart w:id="54" w:name="_Toc8924"/>
      <w:bookmarkStart w:id="55" w:name="_Toc2159"/>
      <w:r>
        <w:rPr>
          <w:rFonts w:hint="eastAsia"/>
          <w:color w:val="auto"/>
          <w:highlight w:val="none"/>
        </w:rPr>
        <w:t xml:space="preserve">具体绩效评价的目的细分如下：</w:t>
      </w:r>
    </w:p>
    <w:p>
      <w:pPr>
        <w:ind w:firstLine="560"/>
        <w:rPr>
          <w:color w:val="auto"/>
          <w:highlight w:val="none"/>
        </w:rPr>
      </w:pPr>
      <w:r>
        <w:rPr>
          <w:rFonts w:hint="eastAsia"/>
          <w:color w:val="auto"/>
          <w:highlight w:val="none"/>
        </w:rPr>
        <w:t xml:space="preserve">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 xml:space="preserve">，</w:t>
      </w:r>
      <w:r>
        <w:rPr>
          <w:rFonts w:hint="eastAsia"/>
          <w:color w:val="auto"/>
          <w:highlight w:val="none"/>
        </w:rPr>
        <w:t xml:space="preserve">提升财政资金的使用效能。</w:t>
      </w:r>
    </w:p>
    <w:p>
      <w:pPr>
        <w:ind w:firstLine="560"/>
        <w:rPr>
          <w:color w:val="auto"/>
          <w:highlight w:val="none"/>
        </w:rPr>
      </w:pPr>
      <w:r>
        <w:rPr>
          <w:rFonts w:hint="eastAsia"/>
          <w:color w:val="auto"/>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ind w:firstLine="560"/>
        <w:rPr>
          <w:color w:val="auto"/>
          <w:highlight w:val="none"/>
        </w:rPr>
      </w:pPr>
      <w:r>
        <w:rPr>
          <w:rFonts w:hint="eastAsia"/>
          <w:color w:val="auto"/>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rPr>
          <w:rFonts w:hint="default"/>
          <w:color w:val="auto"/>
          <w:highlight w:val="none"/>
        </w:rPr>
      </w:pPr>
      <w:r>
        <w:rPr>
          <w:rFonts w:hint="eastAsia"/>
          <w:color w:val="auto"/>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2"/>
      <w:bookmarkEnd w:id="53"/>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2.绩效评价对象</w:t>
      </w:r>
      <w:bookmarkEnd w:id="54"/>
      <w:r>
        <w:rPr>
          <w:rFonts w:ascii="Times New Roman" w:eastAsia="仿宋_GB2312" w:hAnsi="Times New Roman" w:cs="Times New Roman" w:hint="default"/>
          <w:b/>
          <w:bCs/>
          <w:color w:val="auto"/>
          <w:highlight w:val="none"/>
        </w:rPr>
        <w:t xml:space="preserve">和范围</w:t>
      </w:r>
      <w:bookmarkEnd w:id="55"/>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根据《财政支出绩效评价管理办法》（财预〔2020〕10号）文件要求，对</w:t>
      </w:r>
      <w:r>
        <w:rPr>
          <w:rFonts w:ascii="Times New Roman" w:hAnsi="Times New Roman" w:cs="Times New Roman" w:hint="eastAsia"/>
          <w:color w:val="auto"/>
          <w:highlight w:val="none"/>
          <w:lang w:eastAsia="zh-CN"/>
        </w:rPr>
        <w:t xml:space="preserve">乡镇国土空间规划和村庄规划编制项目</w:t>
      </w:r>
      <w:r>
        <w:rPr>
          <w:rFonts w:ascii="Times New Roman" w:eastAsia="仿宋_GB2312" w:hAnsi="Times New Roman" w:cs="Times New Roman" w:hint="default"/>
          <w:color w:val="auto"/>
          <w:highlight w:val="none"/>
        </w:rPr>
        <w:t xml:space="preserve">开展绩效评价，本次绩效评价范围主要围绕项目决策（包括项目</w:t>
      </w:r>
      <w:r>
        <w:rPr>
          <w:rFonts w:ascii="Times New Roman" w:hAnsi="Times New Roman" w:cs="Times New Roman" w:hint="eastAsia"/>
          <w:color w:val="auto"/>
          <w:highlight w:val="none"/>
          <w:lang w:val="en-US" w:eastAsia="zh-CN"/>
        </w:rPr>
        <w:t xml:space="preserve">实施</w:t>
      </w:r>
      <w:r>
        <w:rPr>
          <w:rFonts w:ascii="Times New Roman" w:eastAsia="仿宋_GB2312" w:hAnsi="Times New Roman" w:cs="Times New Roman" w:hint="default"/>
          <w:color w:val="auto"/>
          <w:highlight w:val="none"/>
        </w:rPr>
        <w:t xml:space="preserve">、绩效目标、资金投入）、项目过程（包括资金管理、组织实施）、项目产出（包括产出数量、质量、时效、成本）和项目效益等进行评价。</w:t>
      </w:r>
    </w:p>
    <w:p>
      <w:pPr>
        <w:pStyle w:val="Heading3"/>
        <w:bidi w:val="0"/>
        <w:jc w:val="both"/>
        <w:outlineLvl w:val="1"/>
        <w:rPr>
          <w:rFonts w:ascii="楷体" w:eastAsia="楷体" w:hAnsi="楷体" w:cs="楷体" w:hint="eastAsia"/>
          <w:color w:val="auto"/>
          <w:highlight w:val="none"/>
        </w:rPr>
      </w:pPr>
      <w:bookmarkStart w:id="56" w:name="_Toc15409"/>
      <w:bookmarkStart w:id="57" w:name="_Toc13496"/>
      <w:bookmarkStart w:id="58" w:name="_Toc17158"/>
      <w:bookmarkStart w:id="59" w:name="_Toc376"/>
      <w:bookmarkStart w:id="60" w:name="_Toc19566"/>
      <w:r>
        <w:rPr>
          <w:rFonts w:ascii="楷体" w:eastAsia="楷体" w:hAnsi="楷体" w:cs="楷体" w:hint="eastAsia"/>
          <w:color w:val="auto"/>
          <w:highlight w:val="none"/>
        </w:rPr>
        <w:t xml:space="preserve">（二）绩效评价原则、评价指标体系、评价方法、评价标准</w:t>
      </w:r>
      <w:bookmarkEnd w:id="56"/>
      <w:bookmarkEnd w:id="57"/>
      <w:bookmarkEnd w:id="58"/>
      <w:bookmarkEnd w:id="59"/>
      <w:bookmarkEnd w:id="60"/>
    </w:p>
    <w:p>
      <w:pPr>
        <w:bidi w:val="0"/>
        <w:jc w:val="both"/>
        <w:rPr>
          <w:rFonts w:ascii="Times New Roman" w:eastAsia="仿宋_GB2312" w:hAnsi="Times New Roman" w:cs="Times New Roman" w:hint="default"/>
          <w:b/>
          <w:bCs/>
          <w:color w:val="auto"/>
          <w:highlight w:val="none"/>
        </w:rPr>
      </w:pPr>
      <w:bookmarkStart w:id="61" w:name="_Toc18268"/>
      <w:bookmarkStart w:id="62" w:name="_Toc23487"/>
      <w:r>
        <w:rPr>
          <w:rFonts w:ascii="Times New Roman" w:eastAsia="仿宋_GB2312" w:hAnsi="Times New Roman" w:cs="Times New Roman" w:hint="default"/>
          <w:b/>
          <w:bCs/>
          <w:color w:val="auto"/>
          <w:highlight w:val="none"/>
        </w:rPr>
        <w:t xml:space="preserve">1.绩效评价原则</w:t>
      </w:r>
      <w:bookmarkEnd w:id="61"/>
      <w:bookmarkEnd w:id="62"/>
    </w:p>
    <w:p>
      <w:pPr>
        <w:ind w:firstLine="560"/>
        <w:rPr>
          <w:color w:val="auto"/>
          <w:highlight w:val="none"/>
        </w:rPr>
      </w:pPr>
      <w:bookmarkStart w:id="63" w:name="OLE_LINK8"/>
      <w:bookmarkStart w:id="64" w:name="OLE_LINK2"/>
      <w:r>
        <w:rPr>
          <w:rFonts w:hint="eastAsia"/>
          <w:color w:val="auto"/>
          <w:highlight w:val="none"/>
        </w:rPr>
        <w:t xml:space="preserve">依据《中华人民共和国预算法》《中共中央国务院关于全面实施预算绩效管理的意见》（中发〔2018〕34号）《项目支出绩效评价管理办法》（财预〔2020〕10号</w:t>
      </w:r>
      <w:r>
        <w:rPr>
          <w:rFonts w:hint="eastAsia"/>
          <w:color w:val="auto"/>
          <w:highlight w:val="none"/>
          <w:lang w:eastAsia="zh-CN"/>
        </w:rPr>
        <w:t xml:space="preserve">）</w:t>
      </w:r>
      <w:r>
        <w:rPr>
          <w:rFonts w:hint="eastAsia"/>
          <w:color w:val="auto"/>
          <w:highlight w:val="none"/>
        </w:rPr>
        <w:t xml:space="preserve">《自治区党委自治区人民政府关于全面实施预算绩效管理的实施意见》（新党发〔2018〕30号）《自治区财政支出绩效评价管理暂行办法》（新财预〔2018〕189号）等要求，绩效评价应遵循如下原则：</w:t>
      </w:r>
      <w:bookmarkEnd w:id="63"/>
      <w:bookmarkEnd w:id="64"/>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（1）科学公正。绩效评价应当运用科学合理的方法，按照规范的程序，对项目绩效进行客观、</w:t>
      </w:r>
      <w:r>
        <w:rPr>
          <w:rFonts w:ascii="Times New Roman" w:eastAsia="仿宋_GB2312" w:hAnsi="Times New Roman" w:cs="Times New Roman" w:hint="default"/>
          <w:color w:val="auto"/>
          <w:highlight w:val="none"/>
          <w:lang w:eastAsia="zh-CN"/>
        </w:rPr>
        <w:t xml:space="preserve">公正地反映</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（2）统筹兼顾。单位自评应由项目单位自主实施，即“谁支出、谁自评”。</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（3）激励约束。绩效评价结果应与预算安排、政策调整、改进管理实质性挂钩，体现奖优罚劣和激励相容导向，有效要安排、低效要压减、无效要问责。</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（4）公开透明。</w:t>
      </w:r>
      <w:r>
        <w:rPr>
          <w:rFonts w:ascii="Times New Roman" w:eastAsia="仿宋_GB2312" w:hAnsi="Times New Roman" w:cs="Times New Roman" w:hint="default"/>
          <w:color w:val="auto"/>
          <w:highlight w:val="none"/>
          <w:lang w:val="en-US" w:eastAsia="zh-CN"/>
        </w:rPr>
        <w:t xml:space="preserve">本次项目支出绩效评价结果已依法依规在</w:t>
      </w:r>
      <w:r>
        <w:rPr>
          <w:rFonts w:ascii="Times New Roman" w:hAnsi="Times New Roman" w:cs="Times New Roman" w:hint="eastAsia"/>
          <w:color w:val="auto"/>
          <w:highlight w:val="none"/>
          <w:lang w:val="en-US" w:eastAsia="zh-CN"/>
        </w:rPr>
        <w:t xml:space="preserve">尉犁县</w:t>
      </w:r>
      <w:r>
        <w:rPr>
          <w:rFonts w:ascii="Times New Roman" w:eastAsia="仿宋_GB2312" w:hAnsi="Times New Roman" w:cs="Times New Roman" w:hint="default"/>
          <w:color w:val="auto"/>
          <w:highlight w:val="none"/>
          <w:lang w:val="en-US" w:eastAsia="zh-CN"/>
        </w:rPr>
        <w:t xml:space="preserve">人民政府网站上公开，并自觉接受社会监督</w:t>
      </w:r>
      <w:r>
        <w:rPr>
          <w:rFonts w:ascii="Times New Roman" w:eastAsia="仿宋_GB2312" w:hAnsi="Times New Roman" w:cs="Times New Roman" w:hint="default"/>
          <w:color w:val="auto"/>
          <w:highlight w:val="none"/>
        </w:rPr>
        <w:t xml:space="preserve">。</w:t>
      </w:r>
    </w:p>
    <w:p>
      <w:pPr>
        <w:bidi w:val="0"/>
        <w:rPr>
          <w:color w:val="auto"/>
          <w:highlight w:val="none"/>
        </w:rPr>
      </w:pPr>
      <w:bookmarkStart w:id="65" w:name="OLE_LINK9"/>
      <w:bookmarkStart w:id="66" w:name="OLE_LINK3"/>
      <w:r>
        <w:rPr>
          <w:rFonts w:hint="eastAsia"/>
          <w:color w:val="auto"/>
          <w:highlight w:val="none"/>
        </w:rPr>
        <w:t xml:space="preserve">根据以上原则</w:t>
      </w:r>
      <w:r>
        <w:rPr>
          <w:rFonts w:hint="eastAsia"/>
          <w:color w:val="auto"/>
          <w:highlight w:val="none"/>
          <w:lang w:eastAsia="zh-CN"/>
        </w:rPr>
        <w:t xml:space="preserve">，</w:t>
      </w:r>
      <w:r>
        <w:rPr>
          <w:rFonts w:hint="eastAsia"/>
          <w:color w:val="auto"/>
          <w:highlight w:val="none"/>
        </w:rPr>
        <w:t xml:space="preserve">绩效评价应遵循如下要求:</w:t>
      </w:r>
    </w:p>
    <w:p>
      <w:pPr>
        <w:bidi w:val="0"/>
        <w:rPr>
          <w:color w:val="auto"/>
          <w:highlight w:val="none"/>
        </w:rPr>
      </w:pPr>
      <w:r>
        <w:rPr>
          <w:rFonts w:hint="eastAsia"/>
          <w:color w:val="auto"/>
          <w:highlight w:val="none"/>
        </w:rPr>
        <w:t xml:space="preserve">（1）在数据采集时</w:t>
      </w:r>
      <w:r>
        <w:rPr>
          <w:rFonts w:hint="eastAsia"/>
          <w:color w:val="auto"/>
          <w:highlight w:val="none"/>
          <w:lang w:eastAsia="zh-CN"/>
        </w:rPr>
        <w:t xml:space="preserve">，</w:t>
      </w:r>
      <w:r>
        <w:rPr>
          <w:rFonts w:hint="eastAsia"/>
          <w:color w:val="auto"/>
          <w:highlight w:val="none"/>
        </w:rPr>
        <w:t xml:space="preserve">采取客观数据</w:t>
      </w:r>
      <w:r>
        <w:rPr>
          <w:rFonts w:hint="eastAsia"/>
          <w:color w:val="auto"/>
          <w:highlight w:val="none"/>
          <w:lang w:eastAsia="zh-CN"/>
        </w:rPr>
        <w:t xml:space="preserve">，</w:t>
      </w:r>
      <w:r>
        <w:rPr>
          <w:rFonts w:hint="eastAsia"/>
          <w:color w:val="auto"/>
          <w:highlight w:val="none"/>
        </w:rPr>
        <w:t xml:space="preserve">主管部门审查、社会中介组织复查</w:t>
      </w:r>
      <w:r>
        <w:rPr>
          <w:rFonts w:hint="eastAsia"/>
          <w:color w:val="auto"/>
          <w:highlight w:val="none"/>
          <w:lang w:eastAsia="zh-CN"/>
        </w:rPr>
        <w:t xml:space="preserve">，</w:t>
      </w:r>
      <w:r>
        <w:rPr>
          <w:rFonts w:hint="eastAsia"/>
          <w:color w:val="auto"/>
          <w:highlight w:val="none"/>
        </w:rPr>
        <w:t xml:space="preserve">与问卷调查相结合的形式</w:t>
      </w:r>
      <w:r>
        <w:rPr>
          <w:rFonts w:hint="eastAsia"/>
          <w:color w:val="auto"/>
          <w:highlight w:val="none"/>
          <w:lang w:eastAsia="zh-CN"/>
        </w:rPr>
        <w:t xml:space="preserve">，</w:t>
      </w:r>
      <w:r>
        <w:rPr>
          <w:rFonts w:hint="eastAsia"/>
          <w:color w:val="auto"/>
          <w:highlight w:val="none"/>
        </w:rPr>
        <w:t xml:space="preserve">以保证各项指标的真实性。</w:t>
      </w:r>
    </w:p>
    <w:p>
      <w:pPr>
        <w:bidi w:val="0"/>
        <w:rPr>
          <w:color w:val="auto"/>
          <w:highlight w:val="none"/>
        </w:rPr>
      </w:pPr>
      <w:r>
        <w:rPr>
          <w:rFonts w:hint="eastAsia"/>
          <w:color w:val="auto"/>
          <w:highlight w:val="none"/>
        </w:rPr>
        <w:t xml:space="preserve">（2）保证评价结果的真实性、公正性</w:t>
      </w:r>
      <w:r>
        <w:rPr>
          <w:rFonts w:hint="eastAsia"/>
          <w:color w:val="auto"/>
          <w:highlight w:val="none"/>
          <w:lang w:eastAsia="zh-CN"/>
        </w:rPr>
        <w:t xml:space="preserve">，</w:t>
      </w:r>
      <w:r>
        <w:rPr>
          <w:rFonts w:hint="eastAsia"/>
          <w:color w:val="auto"/>
          <w:highlight w:val="none"/>
        </w:rPr>
        <w:t xml:space="preserve">提高评价报告的公信力。</w:t>
      </w:r>
    </w:p>
    <w:p>
      <w:pPr>
        <w:bidi w:val="0"/>
        <w:rPr>
          <w:color w:val="auto"/>
          <w:highlight w:val="none"/>
        </w:rPr>
      </w:pPr>
      <w:r>
        <w:rPr>
          <w:rFonts w:hint="eastAsia"/>
          <w:color w:val="auto"/>
          <w:highlight w:val="none"/>
        </w:rPr>
        <w:t xml:space="preserve">（3）</w:t>
      </w:r>
      <w:r>
        <w:rPr>
          <w:rFonts w:hint="eastAsia"/>
          <w:color w:val="auto"/>
          <w:highlight w:val="none"/>
          <w:lang w:val="en-US" w:eastAsia="zh-CN"/>
        </w:rPr>
        <w:t xml:space="preserve">绩效</w:t>
      </w:r>
      <w:r>
        <w:rPr>
          <w:rFonts w:hint="eastAsia"/>
          <w:color w:val="auto"/>
          <w:highlight w:val="none"/>
        </w:rPr>
        <w:t xml:space="preserve">评价报告应当简明扼要</w:t>
      </w:r>
      <w:r>
        <w:rPr>
          <w:rFonts w:hint="eastAsia"/>
          <w:color w:val="auto"/>
          <w:highlight w:val="none"/>
          <w:lang w:eastAsia="zh-CN"/>
        </w:rPr>
        <w:t xml:space="preserve">，</w:t>
      </w:r>
      <w:r>
        <w:rPr>
          <w:rFonts w:hint="eastAsia"/>
          <w:color w:val="auto"/>
          <w:highlight w:val="none"/>
        </w:rPr>
        <w:t xml:space="preserve">除了对绩效评价的过程、结果描述外</w:t>
      </w:r>
      <w:r>
        <w:rPr>
          <w:rFonts w:hint="eastAsia"/>
          <w:color w:val="auto"/>
          <w:highlight w:val="none"/>
          <w:lang w:eastAsia="zh-CN"/>
        </w:rPr>
        <w:t xml:space="preserve">，</w:t>
      </w:r>
      <w:r>
        <w:rPr>
          <w:rFonts w:hint="eastAsia"/>
          <w:color w:val="auto"/>
          <w:highlight w:val="none"/>
        </w:rPr>
        <w:t xml:space="preserve">还应总结经验</w:t>
      </w:r>
      <w:r>
        <w:rPr>
          <w:rFonts w:hint="eastAsia"/>
          <w:color w:val="auto"/>
          <w:highlight w:val="none"/>
          <w:lang w:eastAsia="zh-CN"/>
        </w:rPr>
        <w:t xml:space="preserve">，</w:t>
      </w:r>
      <w:r>
        <w:rPr>
          <w:rFonts w:hint="eastAsia"/>
          <w:color w:val="auto"/>
          <w:highlight w:val="none"/>
        </w:rPr>
        <w:t xml:space="preserve">指出问题</w:t>
      </w:r>
      <w:r>
        <w:rPr>
          <w:rFonts w:hint="eastAsia"/>
          <w:color w:val="auto"/>
          <w:highlight w:val="none"/>
          <w:lang w:eastAsia="zh-CN"/>
        </w:rPr>
        <w:t xml:space="preserve">，</w:t>
      </w:r>
      <w:r>
        <w:rPr>
          <w:rFonts w:hint="eastAsia"/>
          <w:color w:val="auto"/>
          <w:highlight w:val="none"/>
        </w:rPr>
        <w:t xml:space="preserve">并就共性问题提出可操作性改进建议。评价工作组本着科学规范、公平公正、绩效相关的原则，</w:t>
      </w:r>
      <w:r>
        <w:rPr>
          <w:rFonts w:ascii="Times New Roman" w:eastAsia="仿宋_GB2312" w:hAnsi="Times New Roman" w:cs="Times New Roman" w:hint="eastAsia"/>
          <w:color w:val="auto"/>
          <w:highlight w:val="none"/>
        </w:rPr>
        <w:t xml:space="preserve">采用</w:t>
      </w:r>
      <w:r>
        <w:rPr>
          <w:rFonts w:hint="eastAsia"/>
          <w:color w:val="auto"/>
          <w:highlight w:val="none"/>
        </w:rPr>
        <w:t xml:space="preserve">全面、重点、现场和非现场相结合的方式进行评价。</w:t>
      </w:r>
      <w:bookmarkEnd w:id="65"/>
      <w:bookmarkEnd w:id="66"/>
    </w:p>
    <w:p>
      <w:pPr>
        <w:bidi w:val="0"/>
        <w:jc w:val="both"/>
        <w:rPr>
          <w:rFonts w:ascii="Times New Roman" w:eastAsia="仿宋_GB2312" w:hAnsi="Times New Roman" w:cs="Times New Roman" w:hint="default"/>
          <w:b/>
          <w:bCs/>
          <w:color w:val="auto"/>
          <w:highlight w:val="none"/>
        </w:rPr>
      </w:pPr>
      <w:bookmarkStart w:id="67" w:name="_Toc28342"/>
      <w:bookmarkStart w:id="68" w:name="_Toc23112"/>
      <w:r>
        <w:rPr>
          <w:rFonts w:ascii="Times New Roman" w:eastAsia="仿宋_GB2312" w:hAnsi="Times New Roman" w:cs="Times New Roman" w:hint="default"/>
          <w:b/>
          <w:bCs/>
          <w:color w:val="auto"/>
          <w:highlight w:val="none"/>
        </w:rPr>
        <w:t xml:space="preserve">2.评价指标体系</w:t>
      </w:r>
      <w:bookmarkEnd w:id="67"/>
      <w:bookmarkEnd w:id="68"/>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eastAsia="zh-CN"/>
        </w:rPr>
        <w:t xml:space="preserve">乡镇国土空间规划和村庄规划编制项目</w:t>
      </w:r>
      <w:r>
        <w:rPr>
          <w:rFonts w:ascii="Times New Roman" w:eastAsia="仿宋_GB2312" w:hAnsi="Times New Roman" w:cs="Times New Roman" w:hint="default"/>
          <w:color w:val="auto"/>
          <w:highlight w:val="none"/>
        </w:rPr>
        <w:t xml:space="preserve">绩效评价（部门自评）指标体系的设计，是在充分掌握项目状况的基础上，形成了</w:t>
      </w:r>
      <w:r>
        <w:rPr>
          <w:rFonts w:ascii="Times New Roman" w:hAnsi="Times New Roman" w:cs="Times New Roman" w:hint="eastAsia"/>
          <w:color w:val="auto"/>
          <w:highlight w:val="none"/>
          <w:lang w:eastAsia="zh-CN"/>
        </w:rPr>
        <w:t xml:space="preserve">乡镇国土空间规划和村庄规划编制项目</w:t>
      </w:r>
      <w:r>
        <w:rPr>
          <w:rFonts w:ascii="Times New Roman" w:eastAsia="仿宋_GB2312" w:hAnsi="Times New Roman" w:cs="Times New Roman" w:hint="default"/>
          <w:color w:val="auto"/>
          <w:highlight w:val="none"/>
        </w:rPr>
        <w:t xml:space="preserve">的项目支出绩效评价指标体系（部门自评）。本项目设计绩效评价指标体系满分100分。四个级别分别是：优、良、中、差，90（含）-100分为优、80（含）-90分为良、60（含）-80分为中、60分以下为差。</w:t>
      </w:r>
    </w:p>
    <w:p>
      <w:pPr>
        <w:bidi w:val="0"/>
        <w:ind w:left="0" w:firstLine="640" w:leftChars="0" w:firstLineChars="20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按照财预〔2020〕10号文件关于“原则上产出、效益指标权重不低于60%”的要求，本项目产出、效益指标权重60%（即60分）。</w:t>
      </w:r>
      <w:bookmarkStart w:id="69" w:name="_Toc10631"/>
      <w:bookmarkStart w:id="70" w:name="_Toc15680"/>
      <w:r>
        <w:rPr>
          <w:rFonts w:ascii="Times New Roman" w:eastAsia="仿宋_GB2312" w:hAnsi="Times New Roman" w:cs="Times New Roman" w:hint="default"/>
          <w:color w:val="auto"/>
          <w:highlight w:val="none"/>
        </w:rPr>
        <w:t xml:space="preserve">（详见：附表2）</w:t>
      </w:r>
    </w:p>
    <w:p>
      <w:pPr>
        <w:bidi w:val="0"/>
        <w:ind w:left="0" w:firstLine="640" w:leftChars="0" w:firstLineChars="200"/>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3.绩效评价方法</w:t>
      </w:r>
      <w:bookmarkEnd w:id="69"/>
      <w:bookmarkEnd w:id="70"/>
    </w:p>
    <w:p>
      <w:pPr>
        <w:bidi w:val="0"/>
        <w:rPr>
          <w:color w:val="auto"/>
          <w:highlight w:val="none"/>
        </w:rPr>
      </w:pPr>
      <w:bookmarkStart w:id="71" w:name="OLE_LINK10"/>
      <w:r>
        <w:rPr>
          <w:color w:val="auto"/>
          <w:highlight w:val="none"/>
          <w:lang w:val="en-US" w:eastAsia="zh-CN"/>
        </w:rPr>
        <w:t xml:space="preserve">绩效评价从项目决策、项目过程、项目产出、项目效益四</w:t>
      </w:r>
      <w:r>
        <w:rPr>
          <w:rFonts w:hint="eastAsia"/>
          <w:color w:val="auto"/>
          <w:highlight w:val="none"/>
          <w:lang w:val="en-US" w:eastAsia="zh-CN"/>
        </w:rPr>
        <w:t xml:space="preserve">个维度进行评价。评价对象为项目目标实施情况，评价核心为资金的支出完成情况和项目的产出效益。</w:t>
      </w:r>
      <w:bookmarkEnd w:id="71"/>
    </w:p>
    <w:p>
      <w:pPr>
        <w:bidi w:val="0"/>
        <w:jc w:val="both"/>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rPr>
        <w:t xml:space="preserve">结合</w:t>
      </w:r>
      <w:r>
        <w:rPr>
          <w:rFonts w:ascii="Times New Roman" w:hAnsi="Times New Roman" w:cs="Times New Roman" w:hint="eastAsia"/>
          <w:color w:val="auto"/>
          <w:highlight w:val="none"/>
          <w:lang w:eastAsia="zh-CN"/>
        </w:rPr>
        <w:t xml:space="preserve">乡镇国土空间规划和村庄规划编制项目</w:t>
      </w:r>
      <w:r>
        <w:rPr>
          <w:rFonts w:ascii="Times New Roman" w:eastAsia="仿宋_GB2312" w:hAnsi="Times New Roman" w:cs="Times New Roman" w:hint="default"/>
          <w:color w:val="auto"/>
          <w:highlight w:val="none"/>
        </w:rPr>
        <w:t xml:space="preserve">的特点，</w:t>
      </w:r>
      <w:r>
        <w:rPr>
          <w:rFonts w:ascii="Times New Roman" w:eastAsia="仿宋_GB2312" w:hAnsi="Times New Roman" w:cs="Times New Roman" w:hint="default"/>
          <w:color w:val="auto"/>
          <w:highlight w:val="none"/>
          <w:lang w:val="en-US" w:eastAsia="zh-CN"/>
        </w:rPr>
        <w:t xml:space="preserve">本项目绩效评价将项目实施情况即实际完成的</w:t>
      </w:r>
      <w:r>
        <w:rPr>
          <w:rFonts w:ascii="Times New Roman" w:hAnsi="Times New Roman" w:cs="Times New Roman" w:hint="eastAsia"/>
          <w:color w:val="auto"/>
          <w:highlight w:val="none"/>
          <w:lang w:val="en-US" w:eastAsia="zh-CN"/>
        </w:rPr>
        <w:t xml:space="preserve">提交乡（镇）规划成果</w:t>
      </w:r>
      <w:r>
        <w:rPr>
          <w:rFonts w:ascii="Times New Roman" w:eastAsia="仿宋_GB2312" w:hAnsi="Times New Roman" w:cs="Times New Roman" w:hint="default"/>
          <w:color w:val="auto"/>
          <w:highlight w:val="none"/>
          <w:lang w:val="en-US" w:eastAsia="zh-CN"/>
        </w:rPr>
        <w:t xml:space="preserve">、</w:t>
      </w:r>
      <w:r>
        <w:rPr>
          <w:rFonts w:ascii="Times New Roman" w:hAnsi="Times New Roman" w:cs="Times New Roman" w:hint="eastAsia"/>
          <w:color w:val="auto"/>
          <w:highlight w:val="none"/>
          <w:lang w:val="en-US" w:eastAsia="zh-CN"/>
        </w:rPr>
        <w:t xml:space="preserve">提交行政村规划成果、提交电子数据、规划编制涉及乡（镇）、规划编制涉及行政村</w:t>
      </w:r>
      <w:r>
        <w:rPr>
          <w:rFonts w:ascii="Times New Roman" w:eastAsia="仿宋_GB2312" w:hAnsi="Times New Roman" w:cs="Times New Roman" w:hint="default"/>
          <w:color w:val="auto"/>
          <w:highlight w:val="none"/>
          <w:lang w:val="en-US" w:eastAsia="zh-CN"/>
        </w:rPr>
        <w:t xml:space="preserve">等指标与年初设定的目标值进行比较</w:t>
      </w:r>
      <w:r>
        <w:rPr>
          <w:rFonts w:ascii="Times New Roman" w:hAnsi="Times New Roman" w:cs="Times New Roman" w:hint="eastAsia"/>
          <w:color w:val="auto"/>
          <w:highlight w:val="none"/>
          <w:lang w:val="en-US" w:eastAsia="zh-CN"/>
        </w:rPr>
        <w:t xml:space="preserve">，因此，本次评价运用的是：比较法</w:t>
      </w:r>
      <w:r>
        <w:rPr>
          <w:rFonts w:ascii="Times New Roman" w:eastAsia="仿宋_GB2312" w:hAnsi="Times New Roman" w:cs="Times New Roman" w:hint="default"/>
          <w:color w:val="auto"/>
          <w:highlight w:val="none"/>
        </w:rPr>
        <w:t xml:space="preserve">。</w:t>
      </w:r>
    </w:p>
    <w:p>
      <w:pPr>
        <w:bidi w:val="0"/>
        <w:ind w:left="0" w:firstLine="640" w:leftChars="0" w:firstLineChars="200"/>
        <w:jc w:val="both"/>
        <w:rPr>
          <w:rFonts w:ascii="Times New Roman" w:eastAsia="仿宋_GB2312" w:hAnsi="Times New Roman" w:cs="Times New Roman" w:hint="default"/>
          <w:b/>
          <w:bCs/>
          <w:color w:val="auto"/>
          <w:highlight w:val="none"/>
        </w:rPr>
      </w:pPr>
      <w:bookmarkStart w:id="72" w:name="_Toc3155"/>
      <w:bookmarkStart w:id="73" w:name="_Toc15525"/>
      <w:r>
        <w:rPr>
          <w:rFonts w:ascii="Times New Roman" w:eastAsia="仿宋_GB2312" w:hAnsi="Times New Roman" w:cs="Times New Roman" w:hint="default"/>
          <w:b/>
          <w:bCs/>
          <w:color w:val="auto"/>
          <w:highlight w:val="none"/>
        </w:rPr>
        <w:t xml:space="preserve">4.绩效评价标准</w:t>
      </w:r>
      <w:bookmarkEnd w:id="72"/>
      <w:bookmarkEnd w:id="73"/>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绩效评价标准通常包括计划标准、行业标准、历史标准等，用于对绩效指标完成情况进行比较。</w:t>
      </w:r>
    </w:p>
    <w:p>
      <w:pPr>
        <w:pStyle w:val="CommentText"/>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结合</w:t>
      </w:r>
      <w:r>
        <w:rPr>
          <w:rFonts w:ascii="Times New Roman" w:hAnsi="Times New Roman" w:cs="Times New Roman" w:hint="eastAsia"/>
          <w:color w:val="auto"/>
          <w:highlight w:val="none"/>
          <w:lang w:eastAsia="zh-CN"/>
        </w:rPr>
        <w:t xml:space="preserve">乡镇国土空间规划和村庄规划编制项目</w:t>
      </w:r>
      <w:r>
        <w:rPr>
          <w:rFonts w:ascii="Times New Roman" w:eastAsia="仿宋_GB2312" w:hAnsi="Times New Roman" w:cs="Times New Roman" w:hint="default"/>
          <w:color w:val="auto"/>
          <w:highlight w:val="none"/>
        </w:rPr>
        <w:t xml:space="preserve">的特点，</w:t>
      </w:r>
      <w:bookmarkStart w:id="74" w:name="_Toc26411"/>
      <w:bookmarkStart w:id="75" w:name="_Toc15381"/>
      <w:bookmarkStart w:id="76" w:name="_Toc30219"/>
      <w:bookmarkStart w:id="77" w:name="_Toc17851"/>
      <w:r>
        <w:rPr>
          <w:rFonts w:ascii="Times New Roman" w:eastAsia="仿宋_GB2312" w:hAnsi="Times New Roman" w:cs="Times New Roman" w:hint="default"/>
          <w:bCs/>
          <w:color w:val="auto"/>
          <w:kern w:val="2"/>
          <w:sz w:val="32"/>
          <w:szCs w:val="32"/>
          <w:highlight w:val="none"/>
          <w:lang w:val="en-US" w:eastAsia="zh-CN" w:bidi="ar-SA"/>
        </w:rPr>
        <w:t xml:space="preserve">本项目绩效评价以预先制定的</w:t>
      </w:r>
      <w:r>
        <w:rPr>
          <w:rFonts w:ascii="Times New Roman" w:hAnsi="Times New Roman" w:cs="Times New Roman" w:hint="eastAsia"/>
          <w:bCs/>
          <w:color w:val="auto"/>
          <w:kern w:val="2"/>
          <w:sz w:val="32"/>
          <w:szCs w:val="32"/>
          <w:highlight w:val="none"/>
          <w:lang w:val="en-US" w:eastAsia="zh-CN" w:bidi="ar-SA"/>
        </w:rPr>
        <w:t xml:space="preserve">提交乡（镇）规划成果</w:t>
      </w:r>
      <w:r>
        <w:rPr>
          <w:rFonts w:ascii="Times New Roman" w:eastAsia="仿宋_GB2312" w:hAnsi="Times New Roman" w:cs="Times New Roman" w:hint="default"/>
          <w:bCs/>
          <w:color w:val="auto"/>
          <w:kern w:val="2"/>
          <w:sz w:val="32"/>
          <w:szCs w:val="32"/>
          <w:highlight w:val="none"/>
          <w:lang w:val="en-US" w:eastAsia="zh-CN" w:bidi="ar-SA"/>
        </w:rPr>
        <w:t xml:space="preserve">、</w:t>
      </w:r>
      <w:r>
        <w:rPr>
          <w:rFonts w:ascii="Times New Roman" w:hAnsi="Times New Roman" w:cs="Times New Roman" w:hint="eastAsia"/>
          <w:bCs/>
          <w:color w:val="auto"/>
          <w:kern w:val="2"/>
          <w:sz w:val="32"/>
          <w:szCs w:val="32"/>
          <w:highlight w:val="none"/>
          <w:lang w:val="en-US" w:eastAsia="zh-CN" w:bidi="ar-SA"/>
        </w:rPr>
        <w:t xml:space="preserve">提交行政村规划成果、提交电子数据、规划编制涉及乡（镇）、规划编制涉及行政村</w:t>
      </w:r>
      <w:r>
        <w:rPr>
          <w:rFonts w:ascii="Times New Roman" w:eastAsia="仿宋_GB2312" w:hAnsi="Times New Roman" w:cs="Times New Roman" w:hint="default"/>
          <w:bCs/>
          <w:color w:val="auto"/>
          <w:kern w:val="2"/>
          <w:sz w:val="32"/>
          <w:szCs w:val="32"/>
          <w:highlight w:val="none"/>
          <w:lang w:val="en-US" w:eastAsia="zh-CN" w:bidi="ar-SA"/>
        </w:rPr>
        <w:t xml:space="preserve">为计划数作为评价标准</w:t>
      </w:r>
      <w:r>
        <w:rPr>
          <w:rFonts w:ascii="Times New Roman" w:hAnsi="Times New Roman" w:cs="Times New Roman" w:hint="eastAsia"/>
          <w:bCs/>
          <w:color w:val="auto"/>
          <w:kern w:val="2"/>
          <w:sz w:val="32"/>
          <w:szCs w:val="32"/>
          <w:highlight w:val="none"/>
          <w:lang w:val="en-US" w:eastAsia="zh-CN" w:bidi="ar-SA"/>
        </w:rPr>
        <w:t xml:space="preserve">，</w:t>
      </w:r>
      <w:r>
        <w:rPr>
          <w:rFonts w:ascii="Times New Roman" w:eastAsia="仿宋_GB2312" w:hAnsi="Times New Roman" w:cs="Times New Roman" w:hint="default"/>
          <w:bCs/>
          <w:color w:val="auto"/>
          <w:kern w:val="2"/>
          <w:sz w:val="32"/>
          <w:szCs w:val="32"/>
          <w:highlight w:val="none"/>
          <w:lang w:val="en-US" w:eastAsia="zh-CN" w:bidi="ar-SA"/>
        </w:rPr>
        <w:t xml:space="preserve">因此，</w:t>
      </w:r>
      <w:r>
        <w:rPr>
          <w:rFonts w:cs="Times New Roman" w:hint="eastAsia"/>
          <w:bCs/>
          <w:color w:val="auto"/>
          <w:kern w:val="2"/>
          <w:sz w:val="32"/>
          <w:szCs w:val="32"/>
          <w:highlight w:val="none"/>
          <w:lang w:val="en-US" w:eastAsia="zh-CN" w:bidi="ar-SA"/>
        </w:rPr>
        <w:t xml:space="preserve">本项目</w:t>
      </w:r>
      <w:r>
        <w:rPr>
          <w:rFonts w:ascii="Times New Roman" w:eastAsia="仿宋_GB2312" w:hAnsi="Times New Roman" w:cs="Times New Roman" w:hint="default"/>
          <w:bCs/>
          <w:color w:val="auto"/>
          <w:kern w:val="2"/>
          <w:sz w:val="32"/>
          <w:szCs w:val="32"/>
          <w:highlight w:val="none"/>
          <w:lang w:val="en-US" w:eastAsia="zh-CN" w:bidi="ar-SA"/>
        </w:rPr>
        <w:t xml:space="preserve">采取的绩效评价标准为：计划标准。</w:t>
      </w:r>
    </w:p>
    <w:p>
      <w:pPr>
        <w:pStyle w:val="Heading3"/>
        <w:bidi w:val="0"/>
        <w:jc w:val="both"/>
        <w:outlineLvl w:val="1"/>
        <w:rPr>
          <w:rFonts w:ascii="楷体" w:eastAsia="楷体" w:hAnsi="楷体" w:cs="楷体" w:hint="eastAsia"/>
          <w:color w:val="auto"/>
          <w:highlight w:val="none"/>
        </w:rPr>
      </w:pPr>
      <w:bookmarkStart w:id="78" w:name="_Toc7977"/>
      <w:r>
        <w:rPr>
          <w:rFonts w:ascii="楷体" w:eastAsia="楷体" w:hAnsi="楷体" w:cs="楷体" w:hint="eastAsia"/>
          <w:color w:val="auto"/>
          <w:highlight w:val="none"/>
        </w:rPr>
        <w:t xml:space="preserve">（三）绩效评价工作过程</w:t>
      </w:r>
      <w:bookmarkEnd w:id="74"/>
      <w:bookmarkEnd w:id="75"/>
      <w:bookmarkEnd w:id="76"/>
      <w:bookmarkEnd w:id="77"/>
      <w:bookmarkEnd w:id="78"/>
    </w:p>
    <w:p>
      <w:pPr>
        <w:bidi w:val="0"/>
        <w:jc w:val="both"/>
        <w:rPr>
          <w:rFonts w:ascii="Times New Roman" w:eastAsia="仿宋_GB2312" w:hAnsi="Times New Roman" w:cs="Times New Roman" w:hint="default"/>
          <w:b/>
          <w:bCs/>
          <w:color w:val="auto"/>
          <w:highlight w:val="none"/>
        </w:rPr>
      </w:pPr>
      <w:bookmarkStart w:id="79" w:name="_Toc22987"/>
      <w:bookmarkStart w:id="80" w:name="_Toc31054"/>
      <w:bookmarkStart w:id="81" w:name="_Toc27442"/>
      <w:bookmarkStart w:id="82" w:name="_Toc17595"/>
      <w:bookmarkStart w:id="83" w:name="_Toc30911"/>
      <w:r>
        <w:rPr>
          <w:rFonts w:ascii="Times New Roman" w:eastAsia="仿宋_GB2312" w:hAnsi="Times New Roman" w:cs="Times New Roman" w:hint="default"/>
          <w:b/>
          <w:bCs/>
          <w:color w:val="auto"/>
          <w:highlight w:val="none"/>
        </w:rPr>
        <w:t xml:space="preserve">1.前期准备</w:t>
      </w:r>
      <w:bookmarkEnd w:id="79"/>
      <w:bookmarkEnd w:id="80"/>
      <w:bookmarkEnd w:id="81"/>
      <w:bookmarkEnd w:id="82"/>
      <w:bookmarkEnd w:id="83"/>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2025年2月10日-2025年2月28日</w:t>
      </w:r>
      <w:r>
        <w:rPr>
          <w:rFonts w:ascii="Times New Roman" w:hAnsi="Times New Roman" w:cs="Times New Roman" w:hint="eastAsia"/>
          <w:b/>
          <w:bCs/>
          <w:color w:val="auto"/>
          <w:highlight w:val="none"/>
          <w:lang w:eastAsia="zh-CN"/>
        </w:rPr>
        <w:t xml:space="preserve">）</w:t>
      </w:r>
    </w:p>
    <w:p>
      <w:pPr>
        <w:spacing w:line="600" w:lineRule="exact"/>
        <w:ind w:firstLine="640"/>
        <w:jc w:val="both"/>
        <w:rPr>
          <w:rFonts w:ascii="Times New Roman" w:hAnsi="Times New Roman" w:cs="Times New Roman" w:hint="eastAsia"/>
          <w:bCs/>
          <w:color w:val="auto"/>
          <w:szCs w:val="32"/>
          <w:highlight w:val="none"/>
          <w:lang w:val="en-US" w:eastAsia="zh-CN"/>
        </w:rPr>
      </w:pPr>
      <w:bookmarkStart w:id="84" w:name="_Toc2579"/>
      <w:r>
        <w:rPr>
          <w:rFonts w:ascii="Times New Roman" w:eastAsia="仿宋_GB2312" w:hAnsi="Times New Roman" w:cs="Times New Roman" w:hint="default"/>
          <w:bCs/>
          <w:color w:val="auto"/>
          <w:szCs w:val="32"/>
          <w:highlight w:val="none"/>
        </w:rPr>
        <w:t xml:space="preserve">按照《项目支出绩效评价管理办法》（财预〔2020〕10号）文件要求，</w:t>
      </w:r>
      <w:r>
        <w:rPr>
          <w:rFonts w:ascii="Times New Roman" w:hAnsi="Times New Roman" w:cs="Times New Roman" w:hint="eastAsia"/>
          <w:color w:val="auto"/>
          <w:highlight w:val="none"/>
          <w:lang w:eastAsia="zh-CN"/>
        </w:rPr>
        <w:t xml:space="preserve">尉犁</w:t>
      </w:r>
      <w:r>
        <w:rPr>
          <w:rFonts w:ascii="Times New Roman" w:eastAsia="仿宋_GB2312" w:hAnsi="Times New Roman" w:cs="Times New Roman" w:hint="default"/>
          <w:color w:val="auto"/>
          <w:highlight w:val="none"/>
        </w:rPr>
        <w:t xml:space="preserve">县</w:t>
      </w:r>
      <w:r>
        <w:rPr>
          <w:rFonts w:ascii="Times New Roman" w:hAnsi="Times New Roman" w:cs="Times New Roman" w:hint="eastAsia"/>
          <w:color w:val="auto"/>
          <w:highlight w:val="none"/>
          <w:lang w:val="en-US" w:eastAsia="zh-CN"/>
        </w:rPr>
        <w:t xml:space="preserve">自然资源局</w:t>
      </w:r>
      <w:r>
        <w:rPr>
          <w:rFonts w:ascii="Times New Roman" w:eastAsia="仿宋_GB2312" w:hAnsi="Times New Roman" w:cs="Times New Roman" w:hint="default"/>
          <w:bCs/>
          <w:color w:val="auto"/>
          <w:szCs w:val="32"/>
          <w:highlight w:val="none"/>
        </w:rPr>
        <w:t xml:space="preserve">成立了绩效评价小组，对项目实施的全过程，收集、整理项目实施的相关资料，了解项目实施情况和资金支付情况。从项目内容出发，结合项目预期目标，制定绩效评价的指标体系。</w:t>
      </w:r>
      <w:bookmarkEnd w:id="84"/>
      <w:r>
        <w:rPr>
          <w:rFonts w:ascii="Times New Roman" w:hAnsi="Times New Roman" w:cs="Times New Roman" w:hint="eastAsia"/>
          <w:bCs/>
          <w:color w:val="auto"/>
          <w:szCs w:val="32"/>
          <w:highlight w:val="none"/>
          <w:lang w:val="en-US" w:eastAsia="zh-CN"/>
        </w:rPr>
        <w:t xml:space="preserve">绩效评价工作小组人员名单及分工如下：</w:t>
      </w:r>
    </w:p>
    <w:p>
      <w:pPr>
        <w:bidi w:val="0"/>
        <w:rPr>
          <w:rFonts w:hint="eastAsia"/>
          <w:color w:val="auto"/>
          <w:highlight w:val="none"/>
          <w:lang w:val="en-US" w:eastAsia="zh-CN"/>
        </w:rPr>
      </w:pPr>
      <w:r>
        <w:rPr>
          <w:rFonts w:hint="eastAsia"/>
          <w:color w:val="auto"/>
          <w:highlight w:val="none"/>
          <w:lang w:val="en-US" w:eastAsia="zh-CN"/>
        </w:rPr>
        <w:t xml:space="preserve">评价小组组长：孙成龙，主要负责协调相关科室、部门对项目整体运行情况进行验收、评估。</w:t>
      </w:r>
    </w:p>
    <w:p>
      <w:pPr>
        <w:bidi w:val="0"/>
        <w:rPr>
          <w:rFonts w:hint="default"/>
          <w:color w:val="auto"/>
          <w:highlight w:val="none"/>
          <w:lang w:val="en-US" w:eastAsia="zh-CN"/>
        </w:rPr>
      </w:pPr>
      <w:r>
        <w:rPr>
          <w:rFonts w:hint="eastAsia"/>
          <w:color w:val="auto"/>
          <w:highlight w:val="none"/>
          <w:lang w:val="en-US" w:eastAsia="zh-CN"/>
        </w:rPr>
        <w:t xml:space="preserve">评价小组组员赵卫红、陈亚男、易多普及相关乡镇工作人员，主要负责制定评价指标体系及评价标准。</w:t>
      </w:r>
    </w:p>
    <w:p>
      <w:pPr>
        <w:rPr>
          <w:rFonts w:hint="default"/>
          <w:color w:val="auto"/>
          <w:highlight w:val="none"/>
          <w:lang w:val="en-US" w:eastAsia="zh-CN"/>
        </w:rPr>
      </w:pPr>
      <w:r>
        <w:rPr>
          <w:rFonts w:hint="eastAsia"/>
          <w:color w:val="auto"/>
          <w:highlight w:val="none"/>
          <w:lang w:val="en-US" w:eastAsia="zh-CN"/>
        </w:rPr>
        <w:t xml:space="preserve">评价小组组员：赵卫红，主要负责乡镇国土空间规划和村庄规划编制、项目实施、监督、评估工作。</w:t>
      </w:r>
    </w:p>
    <w:p>
      <w:pPr>
        <w:bidi w:val="0"/>
        <w:rPr>
          <w:rFonts w:hint="default"/>
          <w:color w:val="auto"/>
          <w:highlight w:val="none"/>
        </w:rPr>
      </w:pPr>
      <w:r>
        <w:rPr>
          <w:rFonts w:hint="default"/>
          <w:color w:val="auto"/>
          <w:highlight w:val="none"/>
        </w:rPr>
        <w:t xml:space="preserve">2.组织实施</w:t>
      </w:r>
      <w:r>
        <w:rPr>
          <w:rFonts w:hint="eastAsia"/>
          <w:color w:val="auto"/>
          <w:highlight w:val="none"/>
          <w:lang w:eastAsia="zh-CN"/>
        </w:rPr>
        <w:t xml:space="preserve">（</w:t>
      </w:r>
      <w:r>
        <w:rPr>
          <w:rFonts w:hint="eastAsia"/>
          <w:color w:val="auto"/>
          <w:highlight w:val="none"/>
          <w:lang w:val="en-US" w:eastAsia="zh-CN"/>
        </w:rPr>
        <w:t xml:space="preserve">2025年3月1日-2025年3月10日</w:t>
      </w:r>
      <w:r>
        <w:rPr>
          <w:rFonts w:hint="eastAsia"/>
          <w:color w:val="auto"/>
          <w:highlight w:val="none"/>
          <w:lang w:eastAsia="zh-CN"/>
        </w:rPr>
        <w:t xml:space="preserve">）</w:t>
      </w:r>
    </w:p>
    <w:p>
      <w:pPr>
        <w:bidi w:val="0"/>
        <w:rPr>
          <w:rFonts w:hint="eastAsia"/>
          <w:color w:val="auto"/>
          <w:highlight w:val="none"/>
          <w:lang w:val="en-US" w:eastAsia="zh-CN"/>
        </w:rPr>
      </w:pPr>
      <w:bookmarkStart w:id="85" w:name="_Toc19781"/>
      <w:r>
        <w:rPr>
          <w:rFonts w:hint="eastAsia"/>
          <w:color w:val="auto"/>
          <w:highlight w:val="none"/>
          <w:lang w:val="en-US" w:eastAsia="zh-CN"/>
        </w:rPr>
        <w:t xml:space="preserve">评价的具体实施根据评价指标及评价工作要求，对具体评价内容和不同环节，采用以下取得的资料与评价方式。</w:t>
      </w:r>
    </w:p>
    <w:p>
      <w:pPr>
        <w:bidi w:val="0"/>
        <w:rPr>
          <w:rFonts w:hint="eastAsia"/>
          <w:color w:val="auto"/>
          <w:highlight w:val="none"/>
          <w:lang w:val="en-US" w:eastAsia="zh-CN"/>
        </w:rPr>
      </w:pPr>
      <w:r>
        <w:rPr>
          <w:rFonts w:hint="eastAsia"/>
          <w:color w:val="auto"/>
          <w:highlight w:val="none"/>
          <w:lang w:val="en-US" w:eastAsia="zh-CN"/>
        </w:rPr>
        <w:t xml:space="preserve">（1）根据绩效管理的要求，本单位成立项目评价小组，全过程跟踪监管项目实施过程，包括项目资金到位时绩效工作的安排、年中2次绩效监控工作的监督，项目实施完成之后收集资料开展项目绩效评价。</w:t>
      </w:r>
    </w:p>
    <w:p>
      <w:pPr>
        <w:bidi w:val="0"/>
        <w:rPr>
          <w:rFonts w:hint="eastAsia"/>
          <w:color w:val="auto"/>
          <w:highlight w:val="none"/>
          <w:lang w:val="en-US" w:eastAsia="zh-CN"/>
        </w:rPr>
      </w:pPr>
      <w:r>
        <w:rPr>
          <w:rFonts w:hint="eastAsia"/>
          <w:color w:val="auto"/>
          <w:highlight w:val="none"/>
          <w:lang w:val="en-US" w:eastAsia="zh-CN"/>
        </w:rPr>
        <w:t xml:space="preserve">（2）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rPr>
          <w:rFonts w:hint="eastAsia"/>
          <w:color w:val="auto"/>
          <w:highlight w:val="none"/>
          <w:lang w:val="en-US" w:eastAsia="zh-CN"/>
        </w:rPr>
      </w:pPr>
      <w:r>
        <w:rPr>
          <w:rFonts w:hint="eastAsia"/>
          <w:color w:val="auto"/>
          <w:highlight w:val="none"/>
          <w:lang w:val="en-US" w:eastAsia="zh-CN"/>
        </w:rPr>
        <w:t xml:space="preserve">（3）问卷调查。选择与项目评价有关的调查对象，设计调查问卷。通过问卷调查，对有关评价内容完成情况进行打分，并根据分值评价绩效目标完成情况，作为对项目评价的依据。</w:t>
      </w:r>
    </w:p>
    <w:p>
      <w:pPr>
        <w:bidi w:val="0"/>
        <w:rPr>
          <w:rFonts w:hint="eastAsia"/>
          <w:color w:val="auto"/>
          <w:highlight w:val="none"/>
          <w:lang w:eastAsia="zh-CN"/>
        </w:rPr>
      </w:pPr>
      <w:r>
        <w:rPr>
          <w:rFonts w:hint="eastAsia"/>
          <w:color w:val="auto"/>
          <w:highlight w:val="none"/>
          <w:lang w:val="en-US" w:eastAsia="zh-CN"/>
        </w:rPr>
        <w:t xml:space="preserve">（4）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rPr>
          <w:rFonts w:hint="default"/>
          <w:color w:val="auto"/>
          <w:highlight w:val="none"/>
        </w:rPr>
      </w:pPr>
      <w:r>
        <w:rPr>
          <w:rFonts w:hint="default"/>
          <w:color w:val="auto"/>
          <w:highlight w:val="none"/>
        </w:rPr>
        <w:t xml:space="preserve">3.数据集中分析</w:t>
      </w:r>
      <w:bookmarkEnd w:id="85"/>
      <w:r>
        <w:rPr>
          <w:rFonts w:hint="eastAsia"/>
          <w:color w:val="auto"/>
          <w:highlight w:val="none"/>
          <w:lang w:eastAsia="zh-CN"/>
        </w:rPr>
        <w:t xml:space="preserve">（</w:t>
      </w:r>
      <w:r>
        <w:rPr>
          <w:rFonts w:hint="eastAsia"/>
          <w:color w:val="auto"/>
          <w:highlight w:val="none"/>
          <w:lang w:val="en-US" w:eastAsia="zh-CN"/>
        </w:rPr>
        <w:t xml:space="preserve">2025年3月11日-2025年3月20日</w:t>
      </w:r>
      <w:r>
        <w:rPr>
          <w:rFonts w:hint="eastAsia"/>
          <w:color w:val="auto"/>
          <w:highlight w:val="none"/>
          <w:lang w:eastAsia="zh-CN"/>
        </w:rPr>
        <w:t xml:space="preserve">）</w:t>
      </w:r>
    </w:p>
    <w:p>
      <w:pPr>
        <w:bidi w:val="0"/>
        <w:rPr>
          <w:rFonts w:hint="eastAsia"/>
          <w:color w:val="auto"/>
          <w:highlight w:val="none"/>
          <w:lang w:eastAsia="zh-CN"/>
        </w:rPr>
      </w:pPr>
      <w:bookmarkStart w:id="86" w:name="_Toc5021"/>
      <w:r>
        <w:rPr>
          <w:rFonts w:hint="eastAsia"/>
          <w:color w:val="auto"/>
          <w:highlight w:val="none"/>
        </w:rPr>
        <w:t xml:space="preserve">对相关资料，包括资金文件、项目实施方案、相关管理办法，问卷调查等进行集中分析。在查阅大量项目资料的基础上，根据考察、考评的结果进行整理、分析。</w:t>
      </w:r>
    </w:p>
    <w:p>
      <w:pPr>
        <w:bidi w:val="0"/>
        <w:rPr>
          <w:rFonts w:hint="eastAsia"/>
          <w:color w:val="auto"/>
          <w:highlight w:val="none"/>
          <w:lang w:eastAsia="zh-CN"/>
        </w:rPr>
      </w:pPr>
      <w:r>
        <w:rPr>
          <w:rFonts w:hint="default"/>
          <w:color w:val="auto"/>
          <w:highlight w:val="none"/>
        </w:rPr>
        <w:t xml:space="preserve">4.分析总结</w:t>
      </w:r>
      <w:bookmarkEnd w:id="86"/>
      <w:r>
        <w:rPr>
          <w:rFonts w:hint="eastAsia"/>
          <w:color w:val="auto"/>
          <w:highlight w:val="none"/>
          <w:lang w:eastAsia="zh-CN"/>
        </w:rPr>
        <w:t xml:space="preserve">（</w:t>
      </w:r>
      <w:r>
        <w:rPr>
          <w:rFonts w:hint="eastAsia"/>
          <w:color w:val="auto"/>
          <w:highlight w:val="none"/>
          <w:lang w:val="en-US" w:eastAsia="zh-CN"/>
        </w:rPr>
        <w:t xml:space="preserve">2025年3月21日-2025年3月31日</w:t>
      </w:r>
      <w:r>
        <w:rPr>
          <w:rFonts w:hint="eastAsia"/>
          <w:color w:val="auto"/>
          <w:highlight w:val="none"/>
          <w:lang w:eastAsia="zh-CN"/>
        </w:rPr>
        <w:t xml:space="preserve">）</w:t>
      </w:r>
    </w:p>
    <w:p>
      <w:pPr>
        <w:bidi w:val="0"/>
        <w:rPr>
          <w:color w:val="auto"/>
          <w:highlight w:val="none"/>
        </w:rPr>
      </w:pPr>
      <w:r>
        <w:rPr>
          <w:rFonts w:hint="eastAsia"/>
          <w:color w:val="auto"/>
          <w:highlight w:val="none"/>
        </w:rPr>
        <w:t xml:space="preserve">（1）根据部门自评的意见及考察、考评的结果进行整理、分析，撰写绩效评价报告初稿。</w:t>
      </w:r>
    </w:p>
    <w:p>
      <w:pPr>
        <w:bidi w:val="0"/>
        <w:rPr>
          <w:rFonts w:hint="eastAsia"/>
          <w:color w:val="auto"/>
          <w:highlight w:val="none"/>
        </w:rPr>
      </w:pPr>
      <w:r>
        <w:rPr>
          <w:rFonts w:hint="eastAsia"/>
          <w:color w:val="auto"/>
          <w:highlight w:val="none"/>
        </w:rPr>
        <w:t xml:space="preserve">（2）就部门自评报告与部门具体有关科室征求意见，形成最终的绩效评价报告。</w:t>
      </w:r>
    </w:p>
    <w:p>
      <w:pPr>
        <w:bidi w:val="0"/>
        <w:rPr>
          <w:color w:val="auto"/>
          <w:highlight w:val="none"/>
        </w:rPr>
      </w:pPr>
      <w:bookmarkStart w:id="87" w:name="OLE_LINK11"/>
      <w:bookmarkStart w:id="88" w:name="OLE_LINK4"/>
      <w:r>
        <w:rPr>
          <w:rFonts w:hint="eastAsia"/>
          <w:color w:val="auto"/>
          <w:highlight w:val="none"/>
        </w:rPr>
        <w:t xml:space="preserve">5</w:t>
      </w:r>
      <w:r>
        <w:rPr>
          <w:rFonts w:hint="eastAsia"/>
          <w:color w:val="auto"/>
          <w:highlight w:val="none"/>
          <w:lang w:eastAsia="zh-CN"/>
        </w:rPr>
        <w:t xml:space="preserve">.</w:t>
      </w:r>
      <w:r>
        <w:rPr>
          <w:rFonts w:hint="eastAsia"/>
          <w:color w:val="auto"/>
          <w:highlight w:val="none"/>
        </w:rPr>
        <w:t xml:space="preserve">问题整改</w:t>
      </w:r>
    </w:p>
    <w:p>
      <w:pPr>
        <w:bidi w:val="0"/>
        <w:rPr>
          <w:color w:val="auto"/>
          <w:highlight w:val="none"/>
        </w:rPr>
      </w:pPr>
      <w:r>
        <w:rPr>
          <w:rFonts w:hint="eastAsia"/>
          <w:color w:val="auto"/>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bidi w:val="0"/>
        <w:rPr>
          <w:color w:val="auto"/>
          <w:highlight w:val="none"/>
        </w:rPr>
      </w:pPr>
      <w:r>
        <w:rPr>
          <w:rFonts w:hint="eastAsia"/>
          <w:color w:val="auto"/>
          <w:highlight w:val="none"/>
        </w:rPr>
        <w:t xml:space="preserve">6</w:t>
      </w:r>
      <w:r>
        <w:rPr>
          <w:rFonts w:hint="eastAsia"/>
          <w:color w:val="auto"/>
          <w:highlight w:val="none"/>
          <w:lang w:eastAsia="zh-CN"/>
        </w:rPr>
        <w:t xml:space="preserve">.</w:t>
      </w:r>
      <w:r>
        <w:rPr>
          <w:rFonts w:hint="eastAsia"/>
          <w:color w:val="auto"/>
          <w:highlight w:val="none"/>
        </w:rPr>
        <w:t xml:space="preserve">档案整理</w:t>
      </w:r>
    </w:p>
    <w:p>
      <w:pPr>
        <w:bidi w:val="0"/>
        <w:rPr>
          <w:color w:val="auto"/>
          <w:highlight w:val="none"/>
        </w:rPr>
      </w:pPr>
      <w:r>
        <w:rPr>
          <w:color w:val="auto"/>
          <w:highlight w:val="none"/>
        </w:rPr>
        <w:t xml:space="preserve">建立和落实档案管理制度，将项目相关资料存档，包括但不限于：评价项目基本情况和相关文件、评价实施方案、项目支付资料等相关档案。</w:t>
      </w:r>
      <w:bookmarkEnd w:id="87"/>
      <w:bookmarkEnd w:id="88"/>
    </w:p>
    <w:p>
      <w:pPr>
        <w:pStyle w:val="Heading2"/>
        <w:keepNext/>
        <w:keepLines w:val="0"/>
        <w:pageBreakBefore w:val="0"/>
        <w:widowControl w:val="0"/>
        <w:kinsoku/>
        <w:wordWrap/>
        <w:overflowPunct/>
        <w:topLinePunct w:val="0"/>
        <w:autoSpaceDE/>
        <w:autoSpaceDN/>
        <w:bidi w:val="0"/>
        <w:adjustRightInd/>
        <w:snapToGrid/>
        <w:ind w:left="0" w:firstLine="640" w:leftChars="0" w:firstLineChars="200"/>
        <w:jc w:val="both"/>
        <w:textAlignment w:val="auto"/>
        <w:outlineLvl w:val="0"/>
        <w:rPr>
          <w:rFonts w:ascii="黑体" w:eastAsia="黑体" w:hAnsi="黑体" w:cs="黑体" w:hint="eastAsia"/>
          <w:color w:val="auto"/>
          <w:highlight w:val="none"/>
        </w:rPr>
      </w:pPr>
      <w:bookmarkStart w:id="89" w:name="_Toc25201"/>
      <w:bookmarkStart w:id="90" w:name="_Toc31058"/>
      <w:bookmarkStart w:id="91" w:name="_Toc21627"/>
      <w:bookmarkStart w:id="92" w:name="_Toc32641"/>
      <w:bookmarkStart w:id="93" w:name="_Toc1808"/>
      <w:bookmarkStart w:id="94" w:name="_Toc13103"/>
      <w:r>
        <w:rPr>
          <w:rFonts w:ascii="黑体" w:eastAsia="黑体" w:hAnsi="黑体" w:cs="黑体" w:hint="eastAsia"/>
          <w:color w:val="auto"/>
          <w:highlight w:val="none"/>
        </w:rPr>
        <w:t xml:space="preserve">三、综合评价情况及评价结论</w:t>
      </w:r>
      <w:bookmarkEnd w:id="89"/>
      <w:bookmarkEnd w:id="90"/>
      <w:bookmarkEnd w:id="91"/>
      <w:bookmarkEnd w:id="92"/>
      <w:bookmarkEnd w:id="93"/>
      <w:bookmarkEnd w:id="94"/>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本项目的绩效评价结果为“优”，综合评分</w:t>
      </w:r>
      <w:r>
        <w:rPr>
          <w:rFonts w:ascii="Times New Roman" w:eastAsia="仿宋_GB2312" w:hAnsi="Times New Roman" w:cs="Times New Roman" w:hint="default"/>
          <w:color w:val="auto"/>
          <w:highlight w:val="none"/>
          <w:lang w:val="en-US" w:eastAsia="zh-CN"/>
        </w:rPr>
        <w:t xml:space="preserve">100</w:t>
      </w:r>
      <w:r>
        <w:rPr>
          <w:rFonts w:ascii="Times New Roman" w:eastAsia="仿宋_GB2312" w:hAnsi="Times New Roman" w:cs="Times New Roman" w:hint="default"/>
          <w:color w:val="auto"/>
          <w:highlight w:val="none"/>
        </w:rPr>
        <w:t xml:space="preserve">分。其中项目决策22分，项目过程1</w:t>
      </w:r>
      <w:r>
        <w:rPr>
          <w:rFonts w:ascii="Times New Roman" w:eastAsia="仿宋_GB2312" w:hAnsi="Times New Roman" w:cs="Times New Roman" w:hint="default"/>
          <w:color w:val="auto"/>
          <w:highlight w:val="none"/>
          <w:lang w:val="en-US" w:eastAsia="zh-CN"/>
        </w:rPr>
        <w:t xml:space="preserve">8</w:t>
      </w:r>
      <w:r>
        <w:rPr>
          <w:rFonts w:ascii="Times New Roman" w:eastAsia="仿宋_GB2312" w:hAnsi="Times New Roman" w:cs="Times New Roman" w:hint="default"/>
          <w:color w:val="auto"/>
          <w:highlight w:val="none"/>
        </w:rPr>
        <w:t xml:space="preserve">分，项目产出管理得分</w:t>
      </w:r>
      <w:r>
        <w:rPr>
          <w:rFonts w:ascii="Times New Roman" w:eastAsia="仿宋_GB2312" w:hAnsi="Times New Roman" w:cs="Times New Roman" w:hint="default"/>
          <w:color w:val="auto"/>
          <w:highlight w:val="none"/>
          <w:lang w:val="en-US" w:eastAsia="zh-CN"/>
        </w:rPr>
        <w:t xml:space="preserve">40</w:t>
      </w:r>
      <w:r>
        <w:rPr>
          <w:rFonts w:ascii="Times New Roman" w:eastAsia="仿宋_GB2312" w:hAnsi="Times New Roman" w:cs="Times New Roman" w:hint="default"/>
          <w:color w:val="auto"/>
          <w:highlight w:val="none"/>
        </w:rPr>
        <w:t xml:space="preserve">分，项目效益20分</w:t>
      </w:r>
      <w:r>
        <w:rPr>
          <w:rFonts w:ascii="Times New Roman" w:eastAsia="仿宋_GB2312" w:hAnsi="Times New Roman" w:cs="Times New Roman" w:hint="default"/>
          <w:color w:val="auto"/>
          <w:highlight w:val="none"/>
          <w:lang w:val="en-US" w:eastAsia="zh-CN"/>
        </w:rPr>
        <w:t xml:space="preserve">。各部分权重和绩效汇总分值如下表所示：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bidi w:val="0"/>
              <w:jc w:val="center"/>
              <w:rPr>
                <w:rFonts w:ascii="Times New Roman" w:eastAsia="仿宋_GB2312" w:hAnsi="Times New Roman" w:cs="Times New Roman" w:hint="default"/>
                <w:color w:val="auto"/>
                <w:highlight w:val="none"/>
              </w:rPr>
            </w:pPr>
            <w:bookmarkStart w:id="95" w:name="_Toc11819"/>
            <w:bookmarkStart w:id="96" w:name="_Toc26816"/>
            <w:bookmarkStart w:id="97" w:name="_Toc17356"/>
            <w:bookmarkStart w:id="98" w:name="_Toc30727"/>
            <w:r>
              <w:rPr>
                <w:rFonts w:ascii="Times New Roman" w:hAnsi="Times New Roman" w:cs="Times New Roman" w:hint="eastAsia"/>
                <w:color w:val="auto"/>
                <w:highlight w:val="none"/>
                <w:lang w:eastAsia="zh-CN"/>
              </w:rPr>
              <w:t xml:space="preserve">乡镇国土空间规划和村庄规划编制项目</w:t>
            </w:r>
            <w:bookmarkEnd w:id="95"/>
            <w:bookmarkEnd w:id="96"/>
          </w:p>
          <w:p>
            <w:pPr>
              <w:pStyle w:val="表格标题"/>
              <w:bidi w:val="0"/>
              <w:jc w:val="center"/>
              <w:rPr>
                <w:rFonts w:ascii="Times New Roman" w:eastAsia="仿宋_GB2312" w:hAnsi="Times New Roman" w:cs="Times New Roman" w:hint="default"/>
                <w:color w:val="auto"/>
                <w:highlight w:val="none"/>
              </w:rPr>
            </w:pPr>
            <w:bookmarkStart w:id="99" w:name="_Toc16086"/>
            <w:bookmarkStart w:id="100" w:name="_Toc2130"/>
            <w:bookmarkStart w:id="101" w:name="_Toc3703"/>
            <w:bookmarkStart w:id="102" w:name="_Toc28409"/>
            <w:r>
              <w:rPr>
                <w:rFonts w:ascii="Times New Roman" w:eastAsia="仿宋_GB2312" w:hAnsi="Times New Roman" w:cs="Times New Roman" w:hint="default"/>
                <w:color w:val="auto"/>
                <w:highlight w:val="none"/>
              </w:rPr>
              <w:t xml:space="preserve">绩效评价</w:t>
            </w:r>
            <w:r>
              <w:rPr>
                <w:rFonts w:ascii="Times New Roman" w:eastAsia="仿宋_GB2312" w:hAnsi="Times New Roman" w:cs="Times New Roman" w:hint="default"/>
                <w:color w:val="auto"/>
                <w:highlight w:val="none"/>
                <w:lang w:val="zh-TW" w:eastAsia="zh-TW"/>
              </w:rPr>
              <w:t xml:space="preserve">得分表</w:t>
            </w:r>
            <w:bookmarkEnd w:id="99"/>
            <w:bookmarkEnd w:id="100"/>
            <w:bookmarkEnd w:id="101"/>
            <w:bookmarkEnd w:id="102"/>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eastAsia"/>
                <w:color w:val="auto"/>
                <w:highlight w:val="none"/>
                <w:lang w:val="en-US" w:eastAsia="zh-CN"/>
              </w:rPr>
            </w:pPr>
            <w:r>
              <w:rPr>
                <w:rFonts w:ascii="Times New Roman" w:eastAsia="仿宋_GB2312" w:hAnsi="Times New Roman" w:cs="Times New Roman" w:hint="default"/>
                <w:color w:val="auto"/>
                <w:highlight w:val="none"/>
              </w:rPr>
              <w:t xml:space="preserve">100</w:t>
            </w:r>
            <w:r>
              <w:rPr>
                <w:rFonts w:cs="Times New Roman" w:hint="eastAsia"/>
                <w:color w:val="auto"/>
                <w:highlight w:val="none"/>
                <w:lang w:val="en-US" w:eastAsia="zh-CN"/>
              </w:rPr>
              <w:t xml:space="preserve">%</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lang w:val="en-US" w:eastAsia="zh-CN"/>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lang w:val="en-US" w:eastAsia="zh-CN"/>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lang w:val="en-US" w:eastAsia="zh-CN"/>
              </w:rPr>
              <w:t xml:space="preserve">100</w:t>
            </w:r>
          </w:p>
        </w:tc>
      </w:tr>
    </w:tbl>
    <w:p>
      <w:pPr>
        <w:bidi w:val="0"/>
        <w:rPr>
          <w:rFonts w:hint="eastAsia"/>
          <w:color w:val="auto"/>
          <w:highlight w:val="none"/>
        </w:rPr>
      </w:pPr>
      <w:bookmarkStart w:id="103" w:name="_Toc4904"/>
      <w:bookmarkStart w:id="104" w:name="_Toc29439"/>
      <w:bookmarkStart w:id="105" w:name="_Toc13630"/>
    </w:p>
    <w:p>
      <w:pPr>
        <w:pStyle w:val="Heading2"/>
        <w:bidi w:val="0"/>
        <w:jc w:val="both"/>
        <w:outlineLvl w:val="0"/>
        <w:rPr>
          <w:rFonts w:ascii="黑体" w:eastAsia="黑体" w:hAnsi="黑体" w:cs="黑体" w:hint="eastAsia"/>
          <w:color w:val="auto"/>
          <w:highlight w:val="none"/>
        </w:rPr>
      </w:pPr>
      <w:bookmarkStart w:id="106" w:name="_Toc26941"/>
      <w:r>
        <w:rPr>
          <w:rFonts w:ascii="黑体" w:eastAsia="黑体" w:hAnsi="黑体" w:cs="黑体" w:hint="eastAsia"/>
          <w:color w:val="auto"/>
          <w:highlight w:val="none"/>
        </w:rPr>
        <w:t xml:space="preserve">四、绩效评价指标分析</w:t>
      </w:r>
      <w:bookmarkEnd w:id="97"/>
      <w:bookmarkEnd w:id="98"/>
      <w:bookmarkEnd w:id="103"/>
      <w:bookmarkEnd w:id="104"/>
      <w:bookmarkEnd w:id="105"/>
      <w:bookmarkEnd w:id="106"/>
    </w:p>
    <w:p>
      <w:pPr>
        <w:pStyle w:val="Heading3"/>
        <w:bidi w:val="0"/>
        <w:jc w:val="both"/>
        <w:outlineLvl w:val="1"/>
        <w:rPr>
          <w:rFonts w:ascii="楷体" w:eastAsia="楷体" w:hAnsi="楷体" w:cs="楷体" w:hint="eastAsia"/>
          <w:color w:val="auto"/>
          <w:highlight w:val="none"/>
        </w:rPr>
      </w:pPr>
      <w:bookmarkStart w:id="107" w:name="_Toc28477"/>
      <w:bookmarkStart w:id="108" w:name="_Toc22323"/>
      <w:bookmarkStart w:id="109" w:name="_Toc17996"/>
      <w:bookmarkStart w:id="110" w:name="_Toc1968"/>
      <w:bookmarkStart w:id="111" w:name="_Toc2901"/>
      <w:r>
        <w:rPr>
          <w:rFonts w:ascii="楷体" w:eastAsia="楷体" w:hAnsi="楷体" w:cs="楷体" w:hint="eastAsia"/>
          <w:color w:val="auto"/>
          <w:highlight w:val="none"/>
        </w:rPr>
        <w:t xml:space="preserve">（一）项目决策情况</w:t>
      </w:r>
      <w:bookmarkEnd w:id="107"/>
      <w:bookmarkEnd w:id="108"/>
      <w:bookmarkEnd w:id="109"/>
      <w:bookmarkEnd w:id="110"/>
      <w:bookmarkEnd w:id="111"/>
    </w:p>
    <w:p>
      <w:pPr>
        <w:bidi w:val="0"/>
        <w:jc w:val="both"/>
        <w:rPr>
          <w:rFonts w:ascii="Times New Roman" w:eastAsia="仿宋_GB2312" w:hAnsi="Times New Roman" w:cs="Times New Roman" w:hint="default"/>
          <w:b/>
          <w:bCs/>
          <w:color w:val="auto"/>
          <w:highlight w:val="none"/>
        </w:rPr>
      </w:pPr>
      <w:bookmarkStart w:id="112" w:name="_Toc510"/>
      <w:bookmarkStart w:id="113" w:name="_Toc22511"/>
      <w:r>
        <w:rPr>
          <w:rFonts w:ascii="Times New Roman" w:eastAsia="仿宋_GB2312" w:hAnsi="Times New Roman" w:cs="Times New Roman" w:hint="default"/>
          <w:b/>
          <w:bCs/>
          <w:color w:val="auto"/>
          <w:highlight w:val="none"/>
        </w:rPr>
        <w:t xml:space="preserve">1.</w:t>
      </w:r>
      <w:r>
        <w:rPr>
          <w:rFonts w:ascii="Times New Roman" w:hAnsi="Times New Roman" w:cs="Times New Roman" w:hint="eastAsia"/>
          <w:b/>
          <w:bCs/>
          <w:color w:val="auto"/>
          <w:highlight w:val="none"/>
          <w:lang w:val="en-US" w:eastAsia="zh-CN"/>
        </w:rPr>
        <w:t xml:space="preserve">实施</w:t>
      </w:r>
      <w:r>
        <w:rPr>
          <w:rFonts w:ascii="Times New Roman" w:eastAsia="仿宋_GB2312" w:hAnsi="Times New Roman" w:cs="Times New Roman" w:hint="default"/>
          <w:b/>
          <w:bCs/>
          <w:color w:val="auto"/>
          <w:highlight w:val="none"/>
        </w:rPr>
        <w:t xml:space="preserve">依据充分性</w:t>
      </w:r>
      <w:bookmarkEnd w:id="112"/>
      <w:bookmarkEnd w:id="113"/>
    </w:p>
    <w:p>
      <w:pPr>
        <w:rPr>
          <w:rFonts w:ascii="方正仿宋_GBK" w:eastAsia="方正仿宋_GBK" w:hAnsi="方正仿宋_GBK" w:cs="方正仿宋_GBK" w:hint="eastAsia"/>
          <w:i w:val="0"/>
          <w:iCs w:val="0"/>
          <w:caps w:val="0"/>
          <w:color w:val="auto"/>
          <w:spacing w:val="0"/>
          <w:kern w:val="0"/>
          <w:sz w:val="32"/>
          <w:szCs w:val="32"/>
          <w:highlight w:val="none"/>
          <w:lang w:val="en-US" w:eastAsia="zh-CN"/>
        </w:rPr>
      </w:pPr>
      <w:r>
        <w:rPr>
          <w:rFonts w:hint="eastAsia"/>
          <w:color w:val="auto"/>
          <w:highlight w:val="none"/>
        </w:rPr>
        <w:t xml:space="preserve">本项目实施</w:t>
      </w:r>
      <w:r>
        <w:rPr>
          <w:rFonts w:hint="eastAsia"/>
          <w:color w:val="auto"/>
          <w:highlight w:val="none"/>
        </w:rPr>
        <w:t xml:space="preserve">符合</w:t>
      </w:r>
      <w:r>
        <w:rPr>
          <w:rFonts w:ascii="Times New Roman" w:hAnsi="Times New Roman" w:cs="Times New Roman" w:hint="eastAsia"/>
          <w:color w:val="auto"/>
          <w:highlight w:val="none"/>
          <w:lang w:eastAsia="zh-CN"/>
        </w:rPr>
        <w:t xml:space="preserve">中央、自治区及州人民政府颁发的</w:t>
      </w:r>
      <w:r>
        <w:rPr>
          <w:rFonts w:ascii="Times New Roman" w:hAnsi="Times New Roman" w:cs="Times New Roman" w:hint="eastAsia"/>
          <w:color w:val="auto"/>
          <w:highlight w:val="none"/>
        </w:rPr>
        <w:t xml:space="preserve">《中共中央国务院关于建立空间规划体系并监督实施的若干意见》（</w:t>
      </w:r>
      <w:r>
        <w:rPr>
          <w:rFonts w:ascii="Times New Roman" w:hAnsi="Times New Roman" w:cs="Times New Roman" w:hint="eastAsia"/>
          <w:color w:val="auto"/>
          <w:highlight w:val="none"/>
          <w:lang w:eastAsia="zh-CN"/>
        </w:rPr>
        <w:t xml:space="preserve">中</w:t>
      </w:r>
      <w:r>
        <w:rPr>
          <w:rFonts w:ascii="Times New Roman" w:hAnsi="Times New Roman" w:cs="Times New Roman" w:hint="eastAsia"/>
          <w:color w:val="auto"/>
          <w:highlight w:val="none"/>
        </w:rPr>
        <w:t xml:space="preserve">发(2019）</w:t>
      </w:r>
      <w:r>
        <w:rPr>
          <w:rFonts w:ascii="Times New Roman" w:hAnsi="Times New Roman" w:cs="Times New Roman" w:hint="eastAsia"/>
          <w:color w:val="auto"/>
          <w:highlight w:val="none"/>
          <w:lang w:val="en-US" w:eastAsia="zh-CN"/>
        </w:rPr>
        <w:t xml:space="preserve">18</w:t>
      </w:r>
      <w:r>
        <w:rPr>
          <w:rFonts w:ascii="Times New Roman" w:hAnsi="Times New Roman" w:cs="Times New Roman" w:hint="eastAsia"/>
          <w:color w:val="auto"/>
          <w:highlight w:val="none"/>
        </w:rPr>
        <w:t xml:space="preserve">号）</w:t>
      </w:r>
      <w:r>
        <w:rPr>
          <w:rFonts w:ascii="Times New Roman" w:hAnsi="Times New Roman" w:cs="Times New Roman" w:hint="eastAsia"/>
          <w:color w:val="auto"/>
          <w:highlight w:val="none"/>
          <w:lang w:eastAsia="zh-CN"/>
        </w:rPr>
        <w:t xml:space="preserve">、</w:t>
      </w:r>
      <w:r>
        <w:rPr>
          <w:rFonts w:ascii="Times New Roman" w:hAnsi="Times New Roman" w:cs="Times New Roman" w:hint="eastAsia"/>
          <w:color w:val="auto"/>
          <w:highlight w:val="none"/>
        </w:rPr>
        <w:t xml:space="preserve">《关于印发新疆全面开展国土空间规划编制工作方案的通知》（新政办发(2019）92号）文件以及《关于印发自治州全面开展国土空间规划编制工作方案的通知》（</w:t>
      </w:r>
      <w:r>
        <w:rPr>
          <w:rFonts w:ascii="Times New Roman" w:hAnsi="Times New Roman" w:cs="Times New Roman" w:hint="eastAsia"/>
          <w:color w:val="auto"/>
          <w:highlight w:val="none"/>
          <w:lang w:eastAsia="zh-CN"/>
        </w:rPr>
        <w:t xml:space="preserve">巴</w:t>
      </w:r>
      <w:r>
        <w:rPr>
          <w:rFonts w:ascii="Times New Roman" w:hAnsi="Times New Roman" w:cs="Times New Roman" w:hint="eastAsia"/>
          <w:color w:val="auto"/>
          <w:highlight w:val="none"/>
        </w:rPr>
        <w:t xml:space="preserve">政办发(2019）</w:t>
      </w:r>
      <w:r>
        <w:rPr>
          <w:rFonts w:ascii="Times New Roman" w:hAnsi="Times New Roman" w:cs="Times New Roman" w:hint="eastAsia"/>
          <w:color w:val="auto"/>
          <w:highlight w:val="none"/>
          <w:lang w:val="en-US" w:eastAsia="zh-CN"/>
        </w:rPr>
        <w:t xml:space="preserve">33</w:t>
      </w:r>
      <w:r>
        <w:rPr>
          <w:rFonts w:ascii="Times New Roman" w:hAnsi="Times New Roman" w:cs="Times New Roman" w:hint="eastAsia"/>
          <w:color w:val="auto"/>
          <w:highlight w:val="none"/>
        </w:rPr>
        <w:t xml:space="preserve">号）等相关要求</w:t>
      </w:r>
      <w:r>
        <w:rPr>
          <w:rFonts w:ascii="Times New Roman" w:hAnsi="Times New Roman" w:cs="Times New Roman" w:hint="eastAsia"/>
          <w:color w:val="auto"/>
          <w:highlight w:val="none"/>
          <w:lang w:eastAsia="zh-CN"/>
        </w:rPr>
        <w:t xml:space="preserve">中：“</w:t>
      </w:r>
      <w:r>
        <w:rPr>
          <w:rFonts w:ascii="Times New Roman" w:hAnsi="Times New Roman" w:cs="Times New Roman" w:hint="eastAsia"/>
          <w:color w:val="auto"/>
          <w:highlight w:val="none"/>
        </w:rPr>
        <w:t xml:space="preserve">秉持创新、协调、绿色、开放、共享新发展理念，坚持高质量发展和高品质生活要求，通过科学编制乡镇和村庄规划，统领县域各类空间，充分发挥国土空间规划的战略引领和刚性管控作用，提升国土空间治理能力，促进尉犁县经济社会更高效、公平、可持续发展</w:t>
      </w:r>
      <w:r>
        <w:rPr>
          <w:rFonts w:ascii="Times New Roman" w:hAnsi="Times New Roman" w:cs="Times New Roman" w:hint="eastAsia"/>
          <w:color w:val="auto"/>
          <w:highlight w:val="none"/>
          <w:lang w:eastAsia="zh-CN"/>
        </w:rPr>
        <w:t xml:space="preserve">”；本项目实施符合《尉犁县国土空间总体规划（2021-2035年）》《新疆维吾尔自治区乡镇国土空间总体规划编制技术规程（试行）》等中：“</w:t>
      </w:r>
      <w:r>
        <w:rPr>
          <w:rFonts w:ascii="Times New Roman" w:hAnsi="Times New Roman" w:cs="Times New Roman" w:hint="eastAsia"/>
          <w:color w:val="auto"/>
          <w:highlight w:val="none"/>
        </w:rPr>
        <w:t xml:space="preserve">国家、自治区关于国土空间规划的相关政策、法规和技术标准</w:t>
      </w:r>
      <w:r>
        <w:rPr>
          <w:rFonts w:ascii="Times New Roman" w:hAnsi="Times New Roman" w:cs="Times New Roman" w:hint="eastAsia"/>
          <w:color w:val="auto"/>
          <w:highlight w:val="none"/>
          <w:lang w:eastAsia="zh-CN"/>
        </w:rPr>
        <w:t xml:space="preserve">，</w:t>
      </w:r>
      <w:r>
        <w:rPr>
          <w:rFonts w:ascii="Times New Roman" w:hAnsi="Times New Roman" w:cs="Times New Roman" w:hint="eastAsia"/>
          <w:color w:val="auto"/>
          <w:highlight w:val="none"/>
        </w:rPr>
        <w:t xml:space="preserve">进一步推动我县“二级三类”国土空间规划体系建立</w:t>
      </w:r>
      <w:r>
        <w:rPr>
          <w:rFonts w:hint="eastAsia"/>
          <w:color w:val="auto"/>
          <w:highlight w:val="none"/>
          <w:lang w:eastAsia="zh-CN"/>
        </w:rPr>
        <w:t xml:space="preserve">”</w:t>
      </w:r>
      <w:r>
        <w:rPr>
          <w:rFonts w:hint="eastAsia"/>
          <w:color w:val="auto"/>
          <w:highlight w:val="none"/>
        </w:rPr>
        <w:t xml:space="preserve">内容，</w:t>
      </w:r>
      <w:r>
        <w:rPr>
          <w:rFonts w:hint="eastAsia"/>
          <w:color w:val="auto"/>
          <w:highlight w:val="none"/>
        </w:rPr>
        <w:t xml:space="preserve">符合行业发展规划和政策要求</w:t>
      </w:r>
      <w:r>
        <w:rPr>
          <w:rFonts w:hint="eastAsia"/>
          <w:color w:val="auto"/>
          <w:highlight w:val="none"/>
        </w:rPr>
        <w:t xml:space="preserve">；</w:t>
      </w:r>
    </w:p>
    <w:p>
      <w:pPr>
        <w:bidi w:val="0"/>
        <w:ind w:left="0" w:firstLine="640" w:leftChars="0" w:firstLineChars="200"/>
        <w:rPr>
          <w:color w:val="auto"/>
          <w:highlight w:val="none"/>
        </w:rPr>
      </w:pPr>
      <w:r>
        <w:rPr>
          <w:rFonts w:hint="eastAsia"/>
          <w:color w:val="auto"/>
          <w:highlight w:val="none"/>
        </w:rPr>
        <w:t xml:space="preserve">（1）本项目申报和审批符合国家法律法规、国民经济发展规划和相关政策；</w:t>
      </w:r>
    </w:p>
    <w:p>
      <w:pPr>
        <w:bidi w:val="0"/>
        <w:rPr>
          <w:color w:val="auto"/>
          <w:highlight w:val="none"/>
        </w:rPr>
      </w:pPr>
      <w:r>
        <w:rPr>
          <w:rFonts w:hint="eastAsia"/>
          <w:color w:val="auto"/>
          <w:highlight w:val="none"/>
        </w:rPr>
        <w:t xml:space="preserve">（2）本项目申报和审批符合行业发展规划和政策要求；</w:t>
      </w:r>
    </w:p>
    <w:p>
      <w:pPr>
        <w:bidi w:val="0"/>
        <w:rPr>
          <w:color w:val="auto"/>
          <w:highlight w:val="none"/>
        </w:rPr>
      </w:pPr>
      <w:r>
        <w:rPr>
          <w:rFonts w:hint="eastAsia"/>
          <w:color w:val="auto"/>
          <w:highlight w:val="none"/>
        </w:rPr>
        <w:t xml:space="preserve">（3）项目</w:t>
      </w:r>
      <w:r>
        <w:rPr>
          <w:rFonts w:hint="eastAsia"/>
          <w:color w:val="auto"/>
          <w:highlight w:val="none"/>
          <w:lang w:val="en-US" w:eastAsia="zh-CN"/>
        </w:rPr>
        <w:t xml:space="preserve">实施</w:t>
      </w:r>
      <w:r>
        <w:rPr>
          <w:rFonts w:hint="eastAsia"/>
          <w:color w:val="auto"/>
          <w:highlight w:val="none"/>
        </w:rPr>
        <w:t xml:space="preserve">与部门职责范围相符，属</w:t>
      </w:r>
      <w:r>
        <w:rPr>
          <w:rFonts w:hint="eastAsia"/>
          <w:color w:val="auto"/>
          <w:highlight w:val="none"/>
        </w:rPr>
        <w:t xml:space="preserve">干部</w:t>
      </w:r>
      <w:r>
        <w:rPr>
          <w:rFonts w:hint="eastAsia"/>
          <w:color w:val="auto"/>
          <w:highlight w:val="none"/>
        </w:rPr>
        <w:t xml:space="preserve">门履职所需；</w:t>
      </w:r>
    </w:p>
    <w:p>
      <w:pPr>
        <w:bidi w:val="0"/>
        <w:rPr>
          <w:color w:val="auto"/>
          <w:highlight w:val="none"/>
        </w:rPr>
      </w:pPr>
      <w:r>
        <w:rPr>
          <w:rFonts w:hint="eastAsia"/>
          <w:color w:val="auto"/>
          <w:highlight w:val="none"/>
        </w:rPr>
        <w:t xml:space="preserve">（4）本项目属于公共财政支持范围，符合中央、地方事权支出责任划分原则；</w:t>
      </w:r>
    </w:p>
    <w:p>
      <w:pPr>
        <w:bidi w:val="0"/>
        <w:rPr>
          <w:color w:val="auto"/>
          <w:highlight w:val="none"/>
        </w:rPr>
      </w:pPr>
      <w:r>
        <w:rPr>
          <w:rFonts w:hint="eastAsia"/>
          <w:color w:val="auto"/>
          <w:highlight w:val="none"/>
        </w:rPr>
        <w:t xml:space="preserve">（5）本项目与相关部门同类项目或部门内部相关项目</w:t>
      </w:r>
      <w:r>
        <w:rPr>
          <w:rFonts w:hint="eastAsia"/>
          <w:color w:val="auto"/>
          <w:highlight w:val="none"/>
          <w:lang w:val="en-US" w:eastAsia="zh-CN"/>
        </w:rPr>
        <w:t xml:space="preserve">不</w:t>
      </w:r>
      <w:r>
        <w:rPr>
          <w:rFonts w:hint="eastAsia"/>
          <w:color w:val="auto"/>
          <w:highlight w:val="none"/>
        </w:rPr>
        <w:t xml:space="preserve">重复。</w:t>
      </w:r>
    </w:p>
    <w:p>
      <w:pPr>
        <w:bidi w:val="0"/>
        <w:jc w:val="both"/>
        <w:rPr>
          <w:rFonts w:ascii="Times New Roman" w:eastAsia="仿宋_GB2312" w:hAnsi="Times New Roman" w:cs="Times New Roman" w:hint="default"/>
          <w:color w:val="auto"/>
          <w:highlight w:val="none"/>
        </w:rPr>
      </w:pPr>
      <w:r>
        <w:rPr>
          <w:rFonts w:hint="eastAsia"/>
          <w:color w:val="auto"/>
          <w:highlight w:val="none"/>
        </w:rPr>
        <w:t xml:space="preserve">本项满分3分，评估得分3分。</w:t>
      </w:r>
    </w:p>
    <w:p>
      <w:pPr>
        <w:bidi w:val="0"/>
        <w:jc w:val="both"/>
        <w:rPr>
          <w:rFonts w:ascii="Times New Roman" w:eastAsia="仿宋_GB2312" w:hAnsi="Times New Roman" w:cs="Times New Roman" w:hint="default"/>
          <w:b/>
          <w:bCs/>
          <w:color w:val="auto"/>
          <w:highlight w:val="none"/>
        </w:rPr>
      </w:pPr>
      <w:bookmarkStart w:id="114" w:name="_Toc283"/>
      <w:bookmarkStart w:id="115" w:name="_Toc27895"/>
      <w:r>
        <w:rPr>
          <w:rFonts w:ascii="Times New Roman" w:eastAsia="仿宋_GB2312" w:hAnsi="Times New Roman" w:cs="Times New Roman" w:hint="default"/>
          <w:b/>
          <w:bCs/>
          <w:color w:val="auto"/>
          <w:highlight w:val="none"/>
        </w:rPr>
        <w:t xml:space="preserve">2.</w:t>
      </w:r>
      <w:r>
        <w:rPr>
          <w:rFonts w:ascii="Times New Roman" w:hAnsi="Times New Roman" w:cs="Times New Roman" w:hint="eastAsia"/>
          <w:b/>
          <w:bCs/>
          <w:color w:val="auto"/>
          <w:highlight w:val="none"/>
          <w:lang w:eastAsia="zh-CN"/>
        </w:rPr>
        <w:t xml:space="preserve">实施</w:t>
      </w:r>
      <w:r>
        <w:rPr>
          <w:rFonts w:ascii="Times New Roman" w:eastAsia="仿宋_GB2312" w:hAnsi="Times New Roman" w:cs="Times New Roman" w:hint="default"/>
          <w:b/>
          <w:bCs/>
          <w:color w:val="auto"/>
          <w:highlight w:val="none"/>
        </w:rPr>
        <w:t xml:space="preserve">程序规范性</w:t>
      </w:r>
      <w:bookmarkEnd w:id="114"/>
      <w:bookmarkEnd w:id="115"/>
    </w:p>
    <w:p>
      <w:pPr>
        <w:rPr>
          <w:color w:val="auto"/>
          <w:highlight w:val="none"/>
        </w:rPr>
      </w:pPr>
      <w:r>
        <w:rPr>
          <w:rFonts w:ascii="Times New Roman" w:eastAsia="仿宋_GB2312" w:hAnsi="Times New Roman" w:cs="Times New Roman" w:hint="eastAsia"/>
          <w:bCs w:val="0"/>
          <w:iCs w:val="0"/>
          <w:color w:val="auto"/>
          <w:kern w:val="2"/>
          <w:sz w:val="32"/>
          <w:szCs w:val="22"/>
          <w:highlight w:val="none"/>
          <w:lang w:val="en-US" w:bidi="ar-SA"/>
        </w:rPr>
        <w:t xml:space="preserve">本项目</w:t>
      </w:r>
      <w:r>
        <w:rPr>
          <w:rFonts w:ascii="Times New Roman" w:eastAsia="仿宋_GB2312" w:hAnsi="Times New Roman" w:cs="Times New Roman" w:hint="eastAsia"/>
          <w:bCs w:val="0"/>
          <w:iCs w:val="0"/>
          <w:color w:val="auto"/>
          <w:kern w:val="2"/>
          <w:sz w:val="32"/>
          <w:szCs w:val="22"/>
          <w:highlight w:val="none"/>
          <w:lang w:val="en-US" w:eastAsia="zh-CN" w:bidi="ar-SA"/>
        </w:rPr>
        <w:t xml:space="preserve">实施</w:t>
      </w:r>
      <w:r>
        <w:rPr>
          <w:rFonts w:ascii="Times New Roman" w:eastAsia="仿宋_GB2312" w:hAnsi="Times New Roman" w:cs="Times New Roman" w:hint="eastAsia"/>
          <w:bCs w:val="0"/>
          <w:iCs w:val="0"/>
          <w:color w:val="auto"/>
          <w:kern w:val="2"/>
          <w:sz w:val="32"/>
          <w:szCs w:val="22"/>
          <w:highlight w:val="none"/>
          <w:lang w:val="en-US" w:bidi="ar-SA"/>
        </w:rPr>
        <w:t xml:space="preserve">资料</w:t>
      </w:r>
      <w:r>
        <w:rPr>
          <w:rFonts w:ascii="Times New Roman" w:hAnsi="Times New Roman" w:cs="Times New Roman" w:hint="eastAsia"/>
          <w:bCs w:val="0"/>
          <w:iCs w:val="0"/>
          <w:color w:val="auto"/>
          <w:kern w:val="2"/>
          <w:sz w:val="32"/>
          <w:szCs w:val="22"/>
          <w:highlight w:val="none"/>
          <w:lang w:val="en-US" w:eastAsia="zh-CN" w:bidi="ar-SA"/>
        </w:rPr>
        <w:t xml:space="preserve">齐</w:t>
      </w:r>
      <w:r>
        <w:rPr>
          <w:rFonts w:ascii="Times New Roman" w:eastAsia="仿宋_GB2312" w:hAnsi="Times New Roman" w:cs="Times New Roman" w:hint="eastAsia"/>
          <w:bCs w:val="0"/>
          <w:iCs w:val="0"/>
          <w:color w:val="auto"/>
          <w:kern w:val="2"/>
          <w:sz w:val="32"/>
          <w:szCs w:val="22"/>
          <w:highlight w:val="none"/>
          <w:lang w:val="en-US" w:bidi="ar-SA"/>
        </w:rPr>
        <w:t xml:space="preserve">全，</w:t>
      </w:r>
      <w:r>
        <w:rPr>
          <w:rFonts w:ascii="Times New Roman" w:eastAsia="仿宋_GB2312" w:hAnsi="Times New Roman" w:cs="Times New Roman" w:hint="default"/>
          <w:bCs w:val="0"/>
          <w:iCs w:val="0"/>
          <w:color w:val="auto"/>
          <w:kern w:val="2"/>
          <w:sz w:val="32"/>
          <w:szCs w:val="22"/>
          <w:highlight w:val="none"/>
          <w:lang w:val="en-US" w:bidi="ar-SA"/>
        </w:rPr>
        <w:t xml:space="preserve">编制了</w:t>
      </w:r>
      <w:r>
        <w:rPr>
          <w:rFonts w:ascii="Times New Roman" w:eastAsia="仿宋_GB2312" w:hAnsi="Times New Roman" w:cs="Times New Roman" w:hint="eastAsia"/>
          <w:bCs w:val="0"/>
          <w:iCs w:val="0"/>
          <w:color w:val="auto"/>
          <w:kern w:val="2"/>
          <w:sz w:val="32"/>
          <w:szCs w:val="22"/>
          <w:highlight w:val="none"/>
          <w:lang w:val="en-US" w:eastAsia="zh-CN" w:bidi="ar-SA"/>
        </w:rPr>
        <w:t xml:space="preserve">《</w:t>
      </w:r>
      <w:r>
        <w:rPr>
          <w:rFonts w:ascii="Times New Roman" w:hAnsi="Times New Roman" w:cs="Times New Roman" w:hint="eastAsia"/>
          <w:bCs w:val="0"/>
          <w:iCs w:val="0"/>
          <w:color w:val="auto"/>
          <w:kern w:val="2"/>
          <w:sz w:val="32"/>
          <w:szCs w:val="22"/>
          <w:highlight w:val="none"/>
          <w:lang w:val="en-US" w:eastAsia="zh-CN" w:bidi="ar-SA"/>
        </w:rPr>
        <w:t xml:space="preserve">尉犁县全面开展国土空间规划编制工作实施方案</w:t>
      </w:r>
      <w:r>
        <w:rPr>
          <w:rFonts w:ascii="Times New Roman" w:eastAsia="仿宋_GB2312" w:hAnsi="Times New Roman" w:cs="Times New Roman" w:hint="eastAsia"/>
          <w:bCs w:val="0"/>
          <w:iCs w:val="0"/>
          <w:color w:val="auto"/>
          <w:kern w:val="2"/>
          <w:sz w:val="32"/>
          <w:szCs w:val="22"/>
          <w:highlight w:val="none"/>
          <w:lang w:val="en-US" w:eastAsia="zh-CN" w:bidi="ar-SA"/>
        </w:rPr>
        <w:t xml:space="preserve">》</w:t>
      </w:r>
      <w:r>
        <w:rPr>
          <w:rFonts w:ascii="Times New Roman" w:eastAsia="仿宋_GB2312" w:hAnsi="Times New Roman" w:cs="Times New Roman" w:hint="default"/>
          <w:bCs w:val="0"/>
          <w:iCs w:val="0"/>
          <w:color w:val="auto"/>
          <w:kern w:val="2"/>
          <w:sz w:val="32"/>
          <w:szCs w:val="22"/>
          <w:highlight w:val="none"/>
          <w:lang w:val="en-US" w:bidi="ar-SA"/>
        </w:rPr>
        <w:t xml:space="preserve">。</w:t>
      </w:r>
      <w:r>
        <w:rPr>
          <w:rFonts w:ascii="Times New Roman" w:hAnsi="Times New Roman" w:cs="Times New Roman" w:hint="eastAsia"/>
          <w:bCs w:val="0"/>
          <w:iCs w:val="0"/>
          <w:color w:val="auto"/>
          <w:kern w:val="2"/>
          <w:sz w:val="32"/>
          <w:szCs w:val="22"/>
          <w:highlight w:val="none"/>
          <w:lang w:val="en-US" w:eastAsia="zh-CN" w:bidi="ar-SA"/>
        </w:rPr>
        <w:t xml:space="preserve">根据《</w:t>
      </w:r>
      <w:r>
        <w:rPr>
          <w:rFonts w:ascii="Times New Roman" w:eastAsia="仿宋_GB2312" w:hAnsi="Times New Roman" w:cs="Times New Roman" w:hint="default"/>
          <w:bCs w:val="0"/>
          <w:iCs w:val="0"/>
          <w:color w:val="auto"/>
          <w:kern w:val="2"/>
          <w:sz w:val="32"/>
          <w:szCs w:val="22"/>
          <w:highlight w:val="none"/>
          <w:lang w:val="en-US" w:bidi="ar-SA"/>
        </w:rPr>
        <w:t xml:space="preserve">关于印发</w:t>
      </w:r>
      <w:r>
        <w:rPr>
          <w:rFonts w:ascii="Times New Roman" w:hAnsi="Times New Roman" w:cs="Times New Roman" w:hint="eastAsia"/>
          <w:bCs w:val="0"/>
          <w:iCs w:val="0"/>
          <w:color w:val="auto"/>
          <w:kern w:val="2"/>
          <w:sz w:val="32"/>
          <w:szCs w:val="22"/>
          <w:highlight w:val="none"/>
          <w:lang w:val="en-US" w:eastAsia="zh-CN" w:bidi="ar-SA"/>
        </w:rPr>
        <w:t xml:space="preserve">&lt;</w:t>
      </w:r>
      <w:r>
        <w:rPr>
          <w:rFonts w:ascii="Times New Roman" w:eastAsia="仿宋_GB2312" w:hAnsi="Times New Roman" w:cs="Times New Roman" w:hint="default"/>
          <w:bCs w:val="0"/>
          <w:iCs w:val="0"/>
          <w:color w:val="auto"/>
          <w:kern w:val="2"/>
          <w:sz w:val="32"/>
          <w:szCs w:val="22"/>
          <w:highlight w:val="none"/>
          <w:lang w:val="en-US" w:bidi="ar-SA"/>
        </w:rPr>
        <w:t xml:space="preserve">尉犁县全面开展国土空间规划编制工作实施方案</w:t>
      </w:r>
      <w:r>
        <w:rPr>
          <w:rFonts w:ascii="Times New Roman" w:hAnsi="Times New Roman" w:cs="Times New Roman" w:hint="eastAsia"/>
          <w:bCs w:val="0"/>
          <w:iCs w:val="0"/>
          <w:color w:val="auto"/>
          <w:kern w:val="2"/>
          <w:sz w:val="32"/>
          <w:szCs w:val="22"/>
          <w:highlight w:val="none"/>
          <w:lang w:val="en-US" w:eastAsia="zh-CN" w:bidi="ar-SA"/>
        </w:rPr>
        <w:t xml:space="preserve">&gt;</w:t>
      </w:r>
      <w:r>
        <w:rPr>
          <w:rFonts w:ascii="Times New Roman" w:eastAsia="仿宋_GB2312" w:hAnsi="Times New Roman" w:cs="Times New Roman" w:hint="default"/>
          <w:bCs w:val="0"/>
          <w:iCs w:val="0"/>
          <w:color w:val="auto"/>
          <w:kern w:val="2"/>
          <w:sz w:val="32"/>
          <w:szCs w:val="22"/>
          <w:highlight w:val="none"/>
          <w:lang w:val="en-US" w:bidi="ar-SA"/>
        </w:rPr>
        <w:t xml:space="preserve">的通知</w:t>
      </w:r>
      <w:r>
        <w:rPr>
          <w:rFonts w:ascii="Times New Roman" w:hAnsi="Times New Roman" w:cs="Times New Roman" w:hint="eastAsia"/>
          <w:bCs w:val="0"/>
          <w:iCs w:val="0"/>
          <w:color w:val="auto"/>
          <w:kern w:val="2"/>
          <w:sz w:val="32"/>
          <w:szCs w:val="22"/>
          <w:highlight w:val="none"/>
          <w:lang w:val="en-US" w:eastAsia="zh-CN" w:bidi="ar-SA"/>
        </w:rPr>
        <w:t xml:space="preserve">》（</w:t>
      </w:r>
      <w:r>
        <w:rPr>
          <w:rFonts w:ascii="Times New Roman" w:eastAsia="仿宋_GB2312" w:hAnsi="Times New Roman" w:cs="Times New Roman" w:hint="default"/>
          <w:bCs w:val="0"/>
          <w:iCs w:val="0"/>
          <w:color w:val="auto"/>
          <w:kern w:val="2"/>
          <w:sz w:val="32"/>
          <w:szCs w:val="22"/>
          <w:highlight w:val="none"/>
          <w:lang w:val="en-US" w:bidi="ar-SA"/>
        </w:rPr>
        <w:t xml:space="preserve">尉政办发(2019]48号</w:t>
      </w:r>
      <w:r>
        <w:rPr>
          <w:rFonts w:ascii="Times New Roman" w:hAnsi="Times New Roman" w:cs="Times New Roman" w:hint="eastAsia"/>
          <w:bCs w:val="0"/>
          <w:iCs w:val="0"/>
          <w:color w:val="auto"/>
          <w:kern w:val="2"/>
          <w:sz w:val="32"/>
          <w:szCs w:val="22"/>
          <w:highlight w:val="none"/>
          <w:lang w:val="en-US" w:eastAsia="zh-CN" w:bidi="ar-SA"/>
        </w:rPr>
        <w:t xml:space="preserve">）文件精神，</w:t>
      </w:r>
      <w:r>
        <w:rPr>
          <w:rFonts w:ascii="Times New Roman" w:eastAsia="仿宋_GB2312" w:hAnsi="Times New Roman" w:cs="Times New Roman" w:hint="default"/>
          <w:bCs w:val="0"/>
          <w:iCs w:val="0"/>
          <w:color w:val="auto"/>
          <w:kern w:val="2"/>
          <w:sz w:val="32"/>
          <w:szCs w:val="22"/>
          <w:highlight w:val="none"/>
          <w:lang w:val="en-US" w:bidi="ar-SA"/>
        </w:rPr>
        <w:t xml:space="preserve">尉犁县人民政府研究</w:t>
      </w:r>
      <w:r>
        <w:rPr>
          <w:rFonts w:ascii="Times New Roman" w:hAnsi="Times New Roman" w:cs="Times New Roman" w:hint="eastAsia"/>
          <w:bCs w:val="0"/>
          <w:iCs w:val="0"/>
          <w:color w:val="auto"/>
          <w:kern w:val="2"/>
          <w:sz w:val="32"/>
          <w:szCs w:val="22"/>
          <w:highlight w:val="none"/>
          <w:lang w:val="en-US" w:eastAsia="zh-CN" w:bidi="ar-SA"/>
        </w:rPr>
        <w:t xml:space="preserve">决定</w:t>
      </w:r>
      <w:r>
        <w:rPr>
          <w:rFonts w:ascii="Times New Roman" w:eastAsia="仿宋_GB2312" w:hAnsi="Times New Roman" w:cs="Times New Roman" w:hint="eastAsia"/>
          <w:bCs w:val="0"/>
          <w:iCs w:val="0"/>
          <w:color w:val="auto"/>
          <w:kern w:val="2"/>
          <w:sz w:val="32"/>
          <w:szCs w:val="22"/>
          <w:highlight w:val="none"/>
          <w:lang w:val="en-US" w:eastAsia="zh-CN" w:bidi="ar-SA"/>
        </w:rPr>
        <w:t xml:space="preserve">实施该项目</w:t>
      </w:r>
      <w:r>
        <w:rPr>
          <w:rFonts w:ascii="Times New Roman" w:hAnsi="Times New Roman" w:cs="Times New Roman" w:hint="eastAsia"/>
          <w:bCs w:val="0"/>
          <w:iCs w:val="0"/>
          <w:color w:val="auto"/>
          <w:kern w:val="2"/>
          <w:sz w:val="32"/>
          <w:szCs w:val="22"/>
          <w:highlight w:val="none"/>
          <w:lang w:val="en-US" w:eastAsia="zh-CN" w:bidi="ar-SA"/>
        </w:rPr>
        <w:t xml:space="preserve">。</w:t>
      </w:r>
      <w:r>
        <w:rPr>
          <w:rFonts w:hint="eastAsia"/>
          <w:color w:val="auto"/>
          <w:highlight w:val="none"/>
        </w:rPr>
        <w:t xml:space="preserve"> </w:t>
      </w:r>
      <w:r>
        <w:rPr>
          <w:rFonts w:ascii="Times New Roman" w:eastAsia="仿宋_GB2312" w:hAnsi="Times New Roman" w:cs="Times New Roman" w:hint="eastAsia"/>
          <w:bCs w:val="0"/>
          <w:iCs w:val="0"/>
          <w:color w:val="auto"/>
          <w:kern w:val="2"/>
          <w:sz w:val="32"/>
          <w:szCs w:val="22"/>
          <w:highlight w:val="none"/>
          <w:lang w:val="en-US" w:eastAsia="zh-CN" w:bidi="ar-SA"/>
        </w:rPr>
        <w:t xml:space="preserve">因此，</w:t>
      </w:r>
      <w:r>
        <w:rPr>
          <w:rFonts w:hint="eastAsia"/>
          <w:color w:val="auto"/>
          <w:spacing w:val="-4"/>
          <w:szCs w:val="32"/>
          <w:highlight w:val="none"/>
          <w:lang w:val="en-US" w:eastAsia="zh-CN"/>
        </w:rPr>
        <w:t xml:space="preserve">实施</w:t>
      </w:r>
      <w:r>
        <w:rPr>
          <w:rFonts w:hint="eastAsia"/>
          <w:bCs/>
          <w:color w:val="auto"/>
          <w:szCs w:val="32"/>
          <w:highlight w:val="none"/>
        </w:rPr>
        <w:t xml:space="preserve">程序规范；审批文件、材料符合相关要求，事前已经过必要的集体决策，</w:t>
      </w:r>
      <w:r>
        <w:rPr>
          <w:rFonts w:hint="eastAsia"/>
          <w:color w:val="auto"/>
          <w:highlight w:val="none"/>
        </w:rPr>
        <w:t xml:space="preserve">实施程序规范。</w:t>
      </w:r>
    </w:p>
    <w:p>
      <w:pPr>
        <w:bidi w:val="0"/>
        <w:jc w:val="both"/>
        <w:rPr>
          <w:rFonts w:ascii="Times New Roman" w:eastAsia="仿宋_GB2312" w:hAnsi="Times New Roman" w:cs="Times New Roman" w:hint="default"/>
          <w:color w:val="auto"/>
          <w:highlight w:val="none"/>
        </w:rPr>
      </w:pPr>
      <w:r>
        <w:rPr>
          <w:rFonts w:hint="eastAsia"/>
          <w:color w:val="auto"/>
          <w:highlight w:val="none"/>
        </w:rPr>
        <w:t xml:space="preserve">本项满分3分，评估得分3分。</w:t>
      </w:r>
    </w:p>
    <w:p>
      <w:pPr>
        <w:bidi w:val="0"/>
        <w:jc w:val="both"/>
        <w:rPr>
          <w:rFonts w:ascii="Times New Roman" w:eastAsia="仿宋_GB2312" w:hAnsi="Times New Roman" w:cs="Times New Roman" w:hint="default"/>
          <w:b/>
          <w:bCs/>
          <w:color w:val="auto"/>
          <w:highlight w:val="none"/>
        </w:rPr>
      </w:pPr>
      <w:bookmarkStart w:id="116" w:name="_Toc13368"/>
      <w:bookmarkStart w:id="117" w:name="_Toc20471"/>
      <w:r>
        <w:rPr>
          <w:rFonts w:ascii="Times New Roman" w:eastAsia="仿宋_GB2312" w:hAnsi="Times New Roman" w:cs="Times New Roman" w:hint="default"/>
          <w:b/>
          <w:bCs/>
          <w:color w:val="auto"/>
          <w:highlight w:val="none"/>
        </w:rPr>
        <w:t xml:space="preserve">3.绩效目标合理性</w:t>
      </w:r>
      <w:bookmarkEnd w:id="116"/>
      <w:bookmarkEnd w:id="117"/>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eastAsia="zh-CN"/>
        </w:rPr>
        <w:t xml:space="preserve">乡镇国土空间规划和村庄规划编制项目</w:t>
      </w:r>
      <w:r>
        <w:rPr>
          <w:rFonts w:ascii="Times New Roman" w:eastAsia="仿宋_GB2312" w:hAnsi="Times New Roman" w:cs="Times New Roman" w:hint="default"/>
          <w:color w:val="auto"/>
          <w:highlight w:val="none"/>
        </w:rPr>
        <w:t xml:space="preserve">设立了项目绩效目标，绩效目标指标设置合理，项目绩效目标与实际工作内容相关性较强；项目预期产出效益和效果符合正常的业绩水平；绩效目标与预算确定的项目投资额相匹配。</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18" w:name="_Toc15543"/>
      <w:bookmarkStart w:id="119" w:name="_Toc21087"/>
      <w:r>
        <w:rPr>
          <w:rFonts w:ascii="Times New Roman" w:eastAsia="仿宋_GB2312" w:hAnsi="Times New Roman" w:cs="Times New Roman" w:hint="default"/>
          <w:b/>
          <w:bCs/>
          <w:color w:val="auto"/>
          <w:highlight w:val="none"/>
        </w:rPr>
        <w:t xml:space="preserve">4.绩效指标明确性</w:t>
      </w:r>
      <w:bookmarkEnd w:id="118"/>
      <w:bookmarkEnd w:id="119"/>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eastAsia="zh-CN"/>
        </w:rPr>
        <w:t xml:space="preserve">乡镇国土空间规划和村庄规划编制项目</w:t>
      </w:r>
      <w:r>
        <w:rPr>
          <w:rFonts w:ascii="Times New Roman" w:eastAsia="仿宋_GB2312" w:hAnsi="Times New Roman" w:cs="Times New Roman" w:hint="default"/>
          <w:color w:val="auto"/>
          <w:highlight w:val="none"/>
        </w:rPr>
        <w:t xml:space="preserve">，设置一级指标3条，二级指标</w:t>
      </w:r>
      <w:r>
        <w:rPr>
          <w:rFonts w:ascii="Times New Roman" w:hAnsi="Times New Roman" w:cs="Times New Roman" w:hint="eastAsia"/>
          <w:color w:val="auto"/>
          <w:highlight w:val="none"/>
          <w:lang w:val="en-US" w:eastAsia="zh-CN"/>
        </w:rPr>
        <w:t xml:space="preserve">6</w:t>
      </w:r>
      <w:r>
        <w:rPr>
          <w:rFonts w:ascii="Times New Roman" w:eastAsia="仿宋_GB2312" w:hAnsi="Times New Roman" w:cs="Times New Roman" w:hint="default"/>
          <w:color w:val="auto"/>
          <w:highlight w:val="none"/>
        </w:rPr>
        <w:t xml:space="preserve">条，三级指标</w:t>
      </w:r>
      <w:r>
        <w:rPr>
          <w:rFonts w:ascii="Times New Roman" w:hAnsi="Times New Roman" w:cs="Times New Roman" w:hint="eastAsia"/>
          <w:color w:val="auto"/>
          <w:highlight w:val="none"/>
          <w:lang w:val="en-US" w:eastAsia="zh-CN"/>
        </w:rPr>
        <w:t xml:space="preserve">10</w:t>
      </w:r>
      <w:r>
        <w:rPr>
          <w:rFonts w:ascii="Times New Roman" w:eastAsia="仿宋_GB2312" w:hAnsi="Times New Roman" w:cs="Times New Roman" w:hint="default"/>
          <w:color w:val="auto"/>
          <w:highlight w:val="none"/>
        </w:rPr>
        <w:t xml:space="preserve">条，其中量化指标</w:t>
      </w:r>
      <w:r>
        <w:rPr>
          <w:rFonts w:ascii="Times New Roman" w:hAnsi="Times New Roman" w:cs="Times New Roman" w:hint="eastAsia"/>
          <w:color w:val="auto"/>
          <w:highlight w:val="none"/>
          <w:lang w:val="en-US" w:eastAsia="zh-CN"/>
        </w:rPr>
        <w:t xml:space="preserve">8</w:t>
      </w:r>
      <w:r>
        <w:rPr>
          <w:rFonts w:ascii="Times New Roman" w:eastAsia="仿宋_GB2312" w:hAnsi="Times New Roman" w:cs="Times New Roman" w:hint="default"/>
          <w:color w:val="auto"/>
          <w:highlight w:val="none"/>
        </w:rPr>
        <w:t xml:space="preserve">条，绩效目标指标设定清晰、可衡量性较强，与项目目标任务计划数对应性较强。</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20" w:name="_Toc25638"/>
      <w:bookmarkStart w:id="121" w:name="_Toc21476"/>
      <w:r>
        <w:rPr>
          <w:rFonts w:ascii="Times New Roman" w:eastAsia="仿宋_GB2312" w:hAnsi="Times New Roman" w:cs="Times New Roman" w:hint="default"/>
          <w:b/>
          <w:bCs/>
          <w:color w:val="auto"/>
          <w:highlight w:val="none"/>
        </w:rPr>
        <w:t xml:space="preserve">5.预算编制科学性</w:t>
      </w:r>
      <w:bookmarkEnd w:id="120"/>
      <w:bookmarkEnd w:id="121"/>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本项目预算资金</w:t>
      </w:r>
      <w:r>
        <w:rPr>
          <w:rFonts w:ascii="Times New Roman" w:hAnsi="Times New Roman" w:cs="Times New Roman" w:hint="eastAsia"/>
          <w:color w:val="auto"/>
          <w:highlight w:val="none"/>
          <w:lang w:val="en-US" w:eastAsia="zh-CN"/>
        </w:rPr>
        <w:t xml:space="preserve">268</w:t>
      </w:r>
      <w:r>
        <w:rPr>
          <w:rFonts w:ascii="Times New Roman" w:eastAsia="仿宋_GB2312" w:hAnsi="Times New Roman" w:cs="Times New Roman" w:hint="default"/>
          <w:color w:val="auto"/>
          <w:highlight w:val="none"/>
        </w:rPr>
        <w:t xml:space="preserve">万元，来源为</w:t>
      </w:r>
      <w:r>
        <w:rPr>
          <w:rFonts w:ascii="Times New Roman" w:hAnsi="Times New Roman" w:cs="Times New Roman" w:hint="eastAsia"/>
          <w:color w:val="auto"/>
          <w:highlight w:val="none"/>
          <w:lang w:val="en-US" w:eastAsia="zh-CN"/>
        </w:rPr>
        <w:t xml:space="preserve">县级配套</w:t>
      </w:r>
      <w:r>
        <w:rPr>
          <w:rFonts w:ascii="Times New Roman" w:eastAsia="仿宋_GB2312" w:hAnsi="Times New Roman" w:cs="Times New Roman" w:hint="default"/>
          <w:color w:val="auto"/>
          <w:highlight w:val="none"/>
        </w:rPr>
        <w:t xml:space="preserve">资金</w:t>
      </w:r>
      <w:r>
        <w:rPr>
          <w:rFonts w:ascii="Times New Roman" w:hAnsi="Times New Roman" w:cs="Times New Roman" w:hint="eastAsia"/>
          <w:color w:val="auto"/>
          <w:highlight w:val="none"/>
          <w:lang w:val="en-US" w:eastAsia="zh-CN"/>
        </w:rPr>
        <w:t xml:space="preserve">268</w:t>
      </w:r>
      <w:r>
        <w:rPr>
          <w:rFonts w:ascii="Times New Roman" w:eastAsia="仿宋_GB2312" w:hAnsi="Times New Roman" w:cs="Times New Roman" w:hint="default"/>
          <w:color w:val="auto"/>
          <w:highlight w:val="none"/>
        </w:rPr>
        <w:t xml:space="preserve">万元，预算编制较为科学，预算内容与项目</w:t>
      </w:r>
      <w:r>
        <w:rPr>
          <w:rFonts w:ascii="Times New Roman" w:hAnsi="Times New Roman" w:cs="Times New Roman" w:hint="eastAsia"/>
          <w:color w:val="auto"/>
          <w:highlight w:val="none"/>
          <w:lang w:val="en-US" w:eastAsia="zh-CN"/>
        </w:rPr>
        <w:t xml:space="preserve">实施</w:t>
      </w:r>
      <w:r>
        <w:rPr>
          <w:rFonts w:ascii="Times New Roman" w:eastAsia="仿宋_GB2312" w:hAnsi="Times New Roman" w:cs="Times New Roman" w:hint="default"/>
          <w:color w:val="auto"/>
          <w:highlight w:val="none"/>
        </w:rPr>
        <w:t xml:space="preserve">内容相匹配，预算额度测算依据充分，预算确定的资金量与</w:t>
      </w:r>
      <w:r>
        <w:rPr>
          <w:rFonts w:ascii="Times New Roman" w:hAnsi="Times New Roman" w:cs="Times New Roman" w:hint="eastAsia"/>
          <w:color w:val="auto"/>
          <w:highlight w:val="none"/>
          <w:lang w:val="en-US" w:eastAsia="zh-CN"/>
        </w:rPr>
        <w:t xml:space="preserve">工作</w:t>
      </w:r>
      <w:r>
        <w:rPr>
          <w:rFonts w:ascii="Times New Roman" w:eastAsia="仿宋_GB2312" w:hAnsi="Times New Roman" w:cs="Times New Roman" w:hint="default"/>
          <w:color w:val="auto"/>
          <w:highlight w:val="none"/>
        </w:rPr>
        <w:t xml:space="preserve">量相匹配。</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22" w:name="_Toc21577"/>
      <w:bookmarkStart w:id="123" w:name="_Toc30661"/>
      <w:r>
        <w:rPr>
          <w:rFonts w:ascii="Times New Roman" w:eastAsia="仿宋_GB2312" w:hAnsi="Times New Roman" w:cs="Times New Roman" w:hint="default"/>
          <w:b/>
          <w:bCs/>
          <w:color w:val="auto"/>
          <w:highlight w:val="none"/>
        </w:rPr>
        <w:t xml:space="preserve">6.资金分配合理性</w:t>
      </w:r>
      <w:bookmarkEnd w:id="122"/>
      <w:bookmarkEnd w:id="123"/>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本项目预算资金分配依据充分；资金分配额度合理，与项目单位实际相适应。</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pStyle w:val="Heading3"/>
        <w:bidi w:val="0"/>
        <w:outlineLvl w:val="1"/>
        <w:rPr>
          <w:rFonts w:hint="eastAsia"/>
          <w:color w:val="auto"/>
          <w:highlight w:val="none"/>
        </w:rPr>
      </w:pPr>
      <w:bookmarkStart w:id="124" w:name="_Toc27855"/>
      <w:bookmarkStart w:id="125" w:name="_Toc30992"/>
      <w:bookmarkStart w:id="126" w:name="_Toc13442"/>
      <w:bookmarkStart w:id="127" w:name="_Toc9897"/>
      <w:bookmarkStart w:id="128" w:name="_Toc13213"/>
      <w:r>
        <w:rPr>
          <w:rFonts w:hint="eastAsia"/>
          <w:color w:val="auto"/>
          <w:highlight w:val="none"/>
        </w:rPr>
        <w:t xml:space="preserve">（二）项目过程情况</w:t>
      </w:r>
      <w:bookmarkEnd w:id="124"/>
      <w:bookmarkEnd w:id="125"/>
      <w:bookmarkEnd w:id="126"/>
      <w:bookmarkEnd w:id="127"/>
      <w:bookmarkEnd w:id="128"/>
    </w:p>
    <w:p>
      <w:pPr>
        <w:bidi w:val="0"/>
        <w:jc w:val="both"/>
        <w:rPr>
          <w:rFonts w:ascii="Times New Roman" w:eastAsia="仿宋_GB2312" w:hAnsi="Times New Roman" w:cs="Times New Roman" w:hint="default"/>
          <w:b/>
          <w:bCs/>
          <w:color w:val="auto"/>
          <w:highlight w:val="none"/>
        </w:rPr>
      </w:pPr>
      <w:bookmarkStart w:id="129" w:name="_Toc19854"/>
      <w:bookmarkStart w:id="130" w:name="_Toc29417"/>
      <w:r>
        <w:rPr>
          <w:rFonts w:ascii="Times New Roman" w:eastAsia="仿宋_GB2312" w:hAnsi="Times New Roman" w:cs="Times New Roman" w:hint="default"/>
          <w:b/>
          <w:bCs/>
          <w:color w:val="auto"/>
          <w:highlight w:val="none"/>
        </w:rPr>
        <w:t xml:space="preserve">1.资金到位率</w:t>
      </w:r>
      <w:bookmarkEnd w:id="129"/>
      <w:bookmarkEnd w:id="130"/>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本项目预算资金</w:t>
      </w:r>
      <w:r>
        <w:rPr>
          <w:rFonts w:ascii="Times New Roman" w:hAnsi="Times New Roman" w:cs="Times New Roman" w:hint="eastAsia"/>
          <w:color w:val="auto"/>
          <w:highlight w:val="none"/>
          <w:lang w:val="en-US" w:eastAsia="zh-CN"/>
        </w:rPr>
        <w:t xml:space="preserve">268</w:t>
      </w:r>
      <w:r>
        <w:rPr>
          <w:rFonts w:ascii="Times New Roman" w:eastAsia="仿宋_GB2312" w:hAnsi="Times New Roman" w:cs="Times New Roman" w:hint="default"/>
          <w:color w:val="auto"/>
          <w:highlight w:val="none"/>
        </w:rPr>
        <w:t xml:space="preserve">万元，实际到位资金</w:t>
      </w:r>
      <w:r>
        <w:rPr>
          <w:rFonts w:ascii="Times New Roman" w:hAnsi="Times New Roman" w:cs="Times New Roman" w:hint="eastAsia"/>
          <w:color w:val="auto"/>
          <w:highlight w:val="none"/>
          <w:lang w:val="en-US" w:eastAsia="zh-CN"/>
        </w:rPr>
        <w:t xml:space="preserve">268</w:t>
      </w:r>
      <w:r>
        <w:rPr>
          <w:rFonts w:ascii="Times New Roman" w:eastAsia="仿宋_GB2312" w:hAnsi="Times New Roman" w:cs="Times New Roman" w:hint="default"/>
          <w:color w:val="auto"/>
          <w:highlight w:val="none"/>
        </w:rPr>
        <w:t xml:space="preserve">万元，资金到位率100%。</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31" w:name="_Toc13724"/>
      <w:bookmarkStart w:id="132" w:name="_Toc29889"/>
      <w:r>
        <w:rPr>
          <w:rFonts w:ascii="Times New Roman" w:eastAsia="仿宋_GB2312" w:hAnsi="Times New Roman" w:cs="Times New Roman" w:hint="default"/>
          <w:b/>
          <w:bCs/>
          <w:color w:val="auto"/>
          <w:highlight w:val="none"/>
        </w:rPr>
        <w:t xml:space="preserve">2.预算执行率</w:t>
      </w:r>
      <w:bookmarkEnd w:id="131"/>
      <w:bookmarkEnd w:id="132"/>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本项目到位资金</w:t>
      </w:r>
      <w:r>
        <w:rPr>
          <w:rFonts w:ascii="Times New Roman" w:hAnsi="Times New Roman" w:cs="Times New Roman" w:hint="eastAsia"/>
          <w:color w:val="auto"/>
          <w:highlight w:val="none"/>
          <w:lang w:val="en-US" w:eastAsia="zh-CN"/>
        </w:rPr>
        <w:t xml:space="preserve">268</w:t>
      </w:r>
      <w:r>
        <w:rPr>
          <w:rFonts w:ascii="Times New Roman" w:eastAsia="仿宋_GB2312" w:hAnsi="Times New Roman" w:cs="Times New Roman" w:hint="default"/>
          <w:color w:val="auto"/>
          <w:highlight w:val="none"/>
        </w:rPr>
        <w:t xml:space="preserve">万元，实际支付资金</w:t>
      </w:r>
      <w:r>
        <w:rPr>
          <w:rFonts w:ascii="Times New Roman" w:hAnsi="Times New Roman" w:cs="Times New Roman" w:hint="eastAsia"/>
          <w:color w:val="auto"/>
          <w:highlight w:val="none"/>
          <w:lang w:val="en-US" w:eastAsia="zh-CN"/>
        </w:rPr>
        <w:t xml:space="preserve">268</w:t>
      </w:r>
      <w:r>
        <w:rPr>
          <w:rFonts w:ascii="Times New Roman" w:eastAsia="仿宋_GB2312" w:hAnsi="Times New Roman" w:cs="Times New Roman" w:hint="default"/>
          <w:color w:val="auto"/>
          <w:highlight w:val="none"/>
        </w:rPr>
        <w:t xml:space="preserve">万元，预算执行率为</w:t>
      </w:r>
      <w:r>
        <w:rPr>
          <w:rFonts w:ascii="Times New Roman" w:eastAsia="仿宋_GB2312" w:hAnsi="Times New Roman" w:cs="Times New Roman" w:hint="default"/>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w:t>
      </w:r>
      <w:r>
        <w:rPr>
          <w:rFonts w:ascii="Times New Roman" w:eastAsia="仿宋_GB2312" w:hAnsi="Times New Roman" w:cs="Times New Roman" w:hint="default"/>
          <w:color w:val="auto"/>
          <w:highlight w:val="none"/>
          <w:lang w:val="en-US" w:eastAsia="zh-CN"/>
        </w:rPr>
        <w:t xml:space="preserve">4</w:t>
      </w:r>
      <w:r>
        <w:rPr>
          <w:rFonts w:ascii="Times New Roman" w:eastAsia="仿宋_GB2312" w:hAnsi="Times New Roman" w:cs="Times New Roman" w:hint="default"/>
          <w:color w:val="auto"/>
          <w:highlight w:val="none"/>
        </w:rPr>
        <w:t xml:space="preserve">分。</w:t>
      </w:r>
    </w:p>
    <w:p>
      <w:pPr>
        <w:bidi w:val="0"/>
        <w:jc w:val="both"/>
        <w:rPr>
          <w:rFonts w:ascii="Times New Roman" w:eastAsia="仿宋_GB2312" w:hAnsi="Times New Roman" w:cs="Times New Roman" w:hint="default"/>
          <w:b/>
          <w:bCs/>
          <w:color w:val="auto"/>
          <w:highlight w:val="none"/>
        </w:rPr>
      </w:pPr>
      <w:bookmarkStart w:id="133" w:name="_Toc2484"/>
      <w:bookmarkStart w:id="134" w:name="_Toc8316"/>
      <w:r>
        <w:rPr>
          <w:rFonts w:ascii="Times New Roman" w:eastAsia="仿宋_GB2312" w:hAnsi="Times New Roman" w:cs="Times New Roman" w:hint="default"/>
          <w:b/>
          <w:bCs/>
          <w:color w:val="auto"/>
          <w:highlight w:val="none"/>
        </w:rPr>
        <w:t xml:space="preserve">3.资金使用合规性</w:t>
      </w:r>
      <w:bookmarkEnd w:id="133"/>
      <w:bookmarkEnd w:id="134"/>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本项目资金的使用符合</w:t>
      </w:r>
      <w:r>
        <w:rPr>
          <w:rFonts w:ascii="Times New Roman" w:eastAsia="仿宋_GB2312" w:hAnsi="Times New Roman" w:cs="Times New Roman" w:hint="default"/>
          <w:color w:val="auto"/>
          <w:highlight w:val="none"/>
          <w:lang w:val="en-US" w:eastAsia="zh-CN"/>
        </w:rPr>
        <w:t xml:space="preserve">《中华人民共和国预算法》《中华人民共和国会计法》《中华人民共和国招标投</w:t>
      </w:r>
      <w:bookmarkStart w:id="135" w:name="OLE_LINK13"/>
      <w:r>
        <w:rPr>
          <w:rFonts w:ascii="Times New Roman" w:eastAsia="仿宋_GB2312" w:hAnsi="Times New Roman" w:cs="Times New Roman" w:hint="default"/>
          <w:color w:val="auto"/>
          <w:highlight w:val="none"/>
          <w:lang w:val="en-US" w:eastAsia="zh-CN"/>
        </w:rPr>
        <w:t xml:space="preserve">标</w:t>
      </w:r>
      <w:bookmarkEnd w:id="135"/>
      <w:r>
        <w:rPr>
          <w:rFonts w:ascii="Times New Roman" w:eastAsia="仿宋_GB2312" w:hAnsi="Times New Roman" w:cs="Times New Roman" w:hint="default"/>
          <w:color w:val="auto"/>
          <w:highlight w:val="none"/>
          <w:lang w:val="en-US" w:eastAsia="zh-CN"/>
        </w:rPr>
        <w:t xml:space="preserve">法》等</w:t>
      </w:r>
      <w:r>
        <w:rPr>
          <w:rFonts w:ascii="Times New Roman" w:eastAsia="仿宋_GB2312" w:hAnsi="Times New Roman" w:cs="Times New Roman" w:hint="default"/>
          <w:color w:val="auto"/>
          <w:highlight w:val="none"/>
          <w:lang w:eastAsia="zh-CN"/>
        </w:rPr>
        <w:t xml:space="preserve">国家</w:t>
      </w:r>
      <w:r>
        <w:rPr>
          <w:rFonts w:ascii="Times New Roman" w:eastAsia="仿宋_GB2312" w:hAnsi="Times New Roman" w:cs="Times New Roman" w:hint="default"/>
          <w:color w:val="auto"/>
          <w:highlight w:val="none"/>
          <w:lang w:val="en-US" w:eastAsia="zh-CN"/>
        </w:rPr>
        <w:t xml:space="preserve">有关</w:t>
      </w:r>
      <w:r>
        <w:rPr>
          <w:rFonts w:ascii="Times New Roman" w:eastAsia="仿宋_GB2312" w:hAnsi="Times New Roman" w:cs="Times New Roman" w:hint="default"/>
          <w:color w:val="auto"/>
          <w:highlight w:val="none"/>
          <w:lang w:eastAsia="zh-CN"/>
        </w:rPr>
        <w:t xml:space="preserve">财经法规</w:t>
      </w:r>
      <w:r>
        <w:rPr>
          <w:rFonts w:ascii="Times New Roman" w:eastAsia="仿宋_GB2312" w:hAnsi="Times New Roman" w:cs="Times New Roman" w:hint="default"/>
          <w:color w:val="auto"/>
          <w:highlight w:val="none"/>
          <w:lang w:val="en-US" w:eastAsia="zh-CN"/>
        </w:rPr>
        <w:t xml:space="preserve">以及预算管理制度。</w:t>
      </w:r>
      <w:r>
        <w:rPr>
          <w:rFonts w:ascii="Times New Roman" w:eastAsia="仿宋_GB2312" w:hAnsi="Times New Roman" w:cs="Times New Roman" w:hint="default"/>
          <w:color w:val="auto"/>
          <w:highlight w:val="none"/>
        </w:rPr>
        <w:t xml:space="preserve">资金的</w:t>
      </w:r>
      <w:r>
        <w:rPr>
          <w:rFonts w:ascii="Times New Roman" w:eastAsia="仿宋_GB2312" w:hAnsi="Times New Roman" w:cs="Times New Roman" w:hint="default"/>
          <w:color w:val="auto"/>
          <w:highlight w:val="none"/>
          <w:lang w:val="en-US" w:eastAsia="zh-CN"/>
        </w:rPr>
        <w:t xml:space="preserve">审批和</w:t>
      </w:r>
      <w:r>
        <w:rPr>
          <w:rFonts w:ascii="Times New Roman" w:eastAsia="仿宋_GB2312" w:hAnsi="Times New Roman" w:cs="Times New Roman" w:hint="default"/>
          <w:color w:val="auto"/>
          <w:highlight w:val="none"/>
        </w:rPr>
        <w:t xml:space="preserve">拨付</w:t>
      </w:r>
      <w:r>
        <w:rPr>
          <w:rFonts w:ascii="Times New Roman" w:eastAsia="仿宋_GB2312" w:hAnsi="Times New Roman" w:cs="Times New Roman" w:hint="default"/>
          <w:color w:val="auto"/>
          <w:highlight w:val="none"/>
          <w:lang w:val="en-US" w:eastAsia="zh-CN"/>
        </w:rPr>
        <w:t xml:space="preserve">按照《</w:t>
      </w:r>
      <w:r>
        <w:rPr>
          <w:rFonts w:ascii="Times New Roman" w:hAnsi="Times New Roman" w:cs="Times New Roman" w:hint="eastAsia"/>
          <w:color w:val="auto"/>
          <w:highlight w:val="none"/>
          <w:lang w:val="en-US" w:eastAsia="zh-CN"/>
        </w:rPr>
        <w:t xml:space="preserve">尉犁</w:t>
      </w:r>
      <w:r>
        <w:rPr>
          <w:rFonts w:ascii="Times New Roman" w:eastAsia="仿宋_GB2312" w:hAnsi="Times New Roman" w:cs="Times New Roman" w:hint="default"/>
          <w:color w:val="auto"/>
          <w:highlight w:val="none"/>
          <w:lang w:val="en-US" w:eastAsia="zh-CN"/>
        </w:rPr>
        <w:t xml:space="preserve">县财政资金审批管理办法》执行</w:t>
      </w:r>
      <w:r>
        <w:rPr>
          <w:rFonts w:ascii="Times New Roman" w:eastAsia="仿宋_GB2312" w:hAnsi="Times New Roman" w:cs="Times New Roman" w:hint="default"/>
          <w:color w:val="auto"/>
          <w:highlight w:val="none"/>
        </w:rPr>
        <w:t xml:space="preserve">。资金的拨付</w:t>
      </w:r>
      <w:r>
        <w:rPr>
          <w:rFonts w:ascii="Times New Roman" w:hAnsi="Times New Roman" w:cs="Times New Roman" w:hint="eastAsia"/>
          <w:color w:val="auto"/>
          <w:highlight w:val="none"/>
          <w:lang w:val="en-US" w:eastAsia="zh-CN"/>
        </w:rPr>
        <w:t xml:space="preserve">应</w:t>
      </w:r>
      <w:r>
        <w:rPr>
          <w:rFonts w:ascii="Times New Roman" w:eastAsia="仿宋_GB2312" w:hAnsi="Times New Roman" w:cs="Times New Roman" w:hint="default"/>
          <w:color w:val="auto"/>
          <w:highlight w:val="none"/>
        </w:rPr>
        <w:t xml:space="preserve">有完整的审批程序和手续；资金使用</w:t>
      </w:r>
      <w:r>
        <w:rPr>
          <w:rFonts w:ascii="Times New Roman" w:hAnsi="Times New Roman" w:cs="Times New Roman" w:hint="eastAsia"/>
          <w:color w:val="auto"/>
          <w:highlight w:val="none"/>
          <w:lang w:val="en-US" w:eastAsia="zh-CN"/>
        </w:rPr>
        <w:t xml:space="preserve">应</w:t>
      </w:r>
      <w:r>
        <w:rPr>
          <w:rFonts w:ascii="Times New Roman" w:eastAsia="仿宋_GB2312" w:hAnsi="Times New Roman" w:cs="Times New Roman" w:hint="default"/>
          <w:color w:val="auto"/>
          <w:highlight w:val="none"/>
        </w:rPr>
        <w:t xml:space="preserve">符合专项资金支持的范围。不存在截留、挤占、挪用、虚列支出等情况。</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36" w:name="_Toc15332"/>
      <w:bookmarkStart w:id="137" w:name="_Toc20651"/>
      <w:r>
        <w:rPr>
          <w:rFonts w:ascii="Times New Roman" w:eastAsia="仿宋_GB2312" w:hAnsi="Times New Roman" w:cs="Times New Roman" w:hint="default"/>
          <w:b/>
          <w:bCs/>
          <w:color w:val="auto"/>
          <w:highlight w:val="none"/>
        </w:rPr>
        <w:t xml:space="preserve">4.管理制度健全性</w:t>
      </w:r>
      <w:bookmarkEnd w:id="136"/>
      <w:bookmarkEnd w:id="137"/>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尉犁县自然资源局</w:t>
      </w:r>
      <w:r>
        <w:rPr>
          <w:rFonts w:ascii="Times New Roman" w:eastAsia="仿宋_GB2312" w:hAnsi="Times New Roman" w:cs="Times New Roman" w:hint="default"/>
          <w:color w:val="auto"/>
          <w:highlight w:val="none"/>
        </w:rPr>
        <w:t xml:space="preserve">制定了</w:t>
      </w:r>
      <w:r>
        <w:rPr>
          <w:rFonts w:ascii="Times New Roman" w:eastAsia="仿宋_GB2312" w:hAnsi="Times New Roman" w:cs="Times New Roman" w:hint="default"/>
          <w:color w:val="auto"/>
          <w:highlight w:val="none"/>
          <w:lang w:val="en-US" w:eastAsia="zh-CN"/>
        </w:rPr>
        <w:t xml:space="preserve">《</w:t>
      </w:r>
      <w:r>
        <w:rPr>
          <w:rFonts w:ascii="Times New Roman" w:hAnsi="Times New Roman" w:cs="Times New Roman" w:hint="eastAsia"/>
          <w:color w:val="auto"/>
          <w:highlight w:val="none"/>
          <w:lang w:val="en-US" w:eastAsia="zh-CN"/>
        </w:rPr>
        <w:t xml:space="preserve">尉犁县自然资源局</w:t>
      </w:r>
      <w:r>
        <w:rPr>
          <w:rFonts w:ascii="Times New Roman" w:eastAsia="仿宋_GB2312" w:hAnsi="Times New Roman" w:cs="Times New Roman" w:hint="default"/>
          <w:color w:val="auto"/>
          <w:highlight w:val="none"/>
          <w:lang w:val="en-US" w:eastAsia="zh-CN"/>
        </w:rPr>
        <w:t xml:space="preserve">财务管理制度》和《</w:t>
      </w:r>
      <w:r>
        <w:rPr>
          <w:rFonts w:ascii="Times New Roman" w:hAnsi="Times New Roman" w:cs="Times New Roman" w:hint="eastAsia"/>
          <w:color w:val="auto"/>
          <w:highlight w:val="none"/>
          <w:lang w:val="en-US" w:eastAsia="zh-CN"/>
        </w:rPr>
        <w:t xml:space="preserve">尉犁县自然资源局</w:t>
      </w:r>
      <w:r>
        <w:rPr>
          <w:rFonts w:ascii="Times New Roman" w:eastAsia="仿宋_GB2312" w:hAnsi="Times New Roman" w:cs="Times New Roman" w:hint="default"/>
          <w:color w:val="auto"/>
          <w:highlight w:val="none"/>
          <w:lang w:val="en-US" w:eastAsia="zh-CN"/>
        </w:rPr>
        <w:t xml:space="preserve">预算管理内控制度》，制定了较为全面的项目管理制度，对项目实施、组织与管理、跟踪与验收、监督与评价以及资金管理等方面都做出明确的规范要求。同时，项目的实施严格遵守《中华人民共和国预算法》《中华人民共和国会计法》《中华人民共和国招标投</w:t>
      </w:r>
      <w:bookmarkStart w:id="138" w:name="OLE_LINK14"/>
      <w:r>
        <w:rPr>
          <w:rFonts w:ascii="Times New Roman" w:eastAsia="仿宋_GB2312" w:hAnsi="Times New Roman" w:cs="Times New Roman" w:hint="default"/>
          <w:color w:val="auto"/>
          <w:highlight w:val="none"/>
          <w:lang w:val="en-US" w:eastAsia="zh-CN"/>
        </w:rPr>
        <w:t xml:space="preserve">标</w:t>
      </w:r>
      <w:bookmarkEnd w:id="138"/>
      <w:r>
        <w:rPr>
          <w:rFonts w:ascii="Times New Roman" w:eastAsia="仿宋_GB2312" w:hAnsi="Times New Roman" w:cs="Times New Roman" w:hint="default"/>
          <w:color w:val="auto"/>
          <w:highlight w:val="none"/>
          <w:lang w:val="en-US" w:eastAsia="zh-CN"/>
        </w:rPr>
        <w:t xml:space="preserve">法》《政府投资条例》等法律法规、财经制度的要求，</w:t>
      </w:r>
      <w:r>
        <w:rPr>
          <w:rFonts w:ascii="Times New Roman" w:eastAsia="仿宋_GB2312" w:hAnsi="Times New Roman" w:cs="Times New Roman" w:hint="default"/>
          <w:color w:val="auto"/>
          <w:highlight w:val="none"/>
        </w:rPr>
        <w:t xml:space="preserve">资金管理等方面都做出明确的规范的要求</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财务制度和业务管理制度</w:t>
      </w:r>
      <w:r>
        <w:rPr>
          <w:rFonts w:ascii="Times New Roman" w:eastAsia="仿宋_GB2312" w:hAnsi="Times New Roman" w:cs="Times New Roman" w:hint="default"/>
          <w:color w:val="auto"/>
          <w:highlight w:val="none"/>
          <w:lang w:val="en-US" w:eastAsia="zh-CN"/>
        </w:rPr>
        <w:t xml:space="preserve">健全</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本项满分3分，评估得分3分。</w:t>
      </w:r>
    </w:p>
    <w:p>
      <w:pPr>
        <w:bidi w:val="0"/>
        <w:jc w:val="both"/>
        <w:rPr>
          <w:rFonts w:ascii="Times New Roman" w:eastAsia="仿宋_GB2312" w:hAnsi="Times New Roman" w:cs="Times New Roman" w:hint="default"/>
          <w:b/>
          <w:bCs/>
          <w:color w:val="auto"/>
          <w:highlight w:val="none"/>
        </w:rPr>
      </w:pPr>
      <w:bookmarkStart w:id="139" w:name="_Toc14023"/>
      <w:bookmarkStart w:id="140" w:name="_Toc14853"/>
      <w:r>
        <w:rPr>
          <w:rFonts w:ascii="Times New Roman" w:eastAsia="仿宋_GB2312" w:hAnsi="Times New Roman" w:cs="Times New Roman" w:hint="default"/>
          <w:b/>
          <w:bCs/>
          <w:color w:val="auto"/>
          <w:highlight w:val="none"/>
        </w:rPr>
        <w:t xml:space="preserve">5.制度执行有效性</w:t>
      </w:r>
      <w:bookmarkEnd w:id="139"/>
      <w:bookmarkEnd w:id="140"/>
    </w:p>
    <w:p>
      <w:pPr>
        <w:bidi w:val="0"/>
        <w:jc w:val="both"/>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rPr>
        <w:t xml:space="preserve">本项目在实施过程中严格遵守相关法律法规和相关管理规定，如《中华人民共和国预算法</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中华人民共和国会计法</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中华人民共和国</w:t>
      </w:r>
      <w:r>
        <w:rPr>
          <w:rFonts w:ascii="Times New Roman" w:hAnsi="Times New Roman" w:cs="Times New Roman" w:hint="eastAsia"/>
          <w:color w:val="auto"/>
          <w:highlight w:val="none"/>
          <w:lang w:val="en-US" w:eastAsia="zh-CN"/>
        </w:rPr>
        <w:t xml:space="preserve">政府</w:t>
      </w:r>
      <w:r>
        <w:rPr>
          <w:rFonts w:ascii="Times New Roman" w:eastAsia="仿宋_GB2312" w:hAnsi="Times New Roman" w:cs="Times New Roman" w:hint="default"/>
          <w:color w:val="auto"/>
          <w:highlight w:val="none"/>
        </w:rPr>
        <w:t xml:space="preserve">采购法》等，</w:t>
      </w:r>
      <w:r>
        <w:rPr>
          <w:rFonts w:hint="eastAsia"/>
          <w:color w:val="auto"/>
          <w:highlight w:val="none"/>
        </w:rPr>
        <w:t xml:space="preserve">严格执行项目管理相关文件要求和程序，项目申报、审批、实施、资金拨付、检查及审计等有关资料齐全，并及时整理归档。本项目无项目调整及支出调整，制度执行有效性较高。</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本项满分3分，评估得分3分。</w:t>
      </w:r>
    </w:p>
    <w:p>
      <w:pPr>
        <w:pStyle w:val="Heading3"/>
        <w:bidi w:val="0"/>
        <w:jc w:val="both"/>
        <w:outlineLvl w:val="1"/>
        <w:rPr>
          <w:rFonts w:ascii="楷体" w:eastAsia="楷体" w:hAnsi="楷体" w:cs="楷体" w:hint="eastAsia"/>
          <w:color w:val="auto"/>
          <w:highlight w:val="none"/>
        </w:rPr>
      </w:pPr>
      <w:bookmarkStart w:id="141" w:name="_Toc4701"/>
      <w:bookmarkStart w:id="142" w:name="_Toc5161"/>
      <w:bookmarkStart w:id="143" w:name="_Toc6865"/>
      <w:bookmarkStart w:id="144" w:name="_Toc22156"/>
      <w:bookmarkStart w:id="145" w:name="_Toc31545"/>
      <w:r>
        <w:rPr>
          <w:rFonts w:ascii="楷体" w:eastAsia="楷体" w:hAnsi="楷体" w:cs="楷体" w:hint="eastAsia"/>
          <w:color w:val="auto"/>
          <w:highlight w:val="none"/>
        </w:rPr>
        <w:t xml:space="preserve">（三）项目产出情况</w:t>
      </w:r>
      <w:bookmarkEnd w:id="141"/>
      <w:bookmarkEnd w:id="142"/>
      <w:bookmarkEnd w:id="143"/>
      <w:bookmarkEnd w:id="144"/>
      <w:bookmarkEnd w:id="145"/>
    </w:p>
    <w:p>
      <w:pPr>
        <w:bidi w:val="0"/>
        <w:jc w:val="both"/>
        <w:rPr>
          <w:rFonts w:ascii="Times New Roman" w:eastAsia="仿宋_GB2312" w:hAnsi="Times New Roman" w:cs="Times New Roman" w:hint="default"/>
          <w:b/>
          <w:bCs/>
          <w:color w:val="auto"/>
          <w:highlight w:val="none"/>
        </w:rPr>
      </w:pPr>
      <w:bookmarkStart w:id="146" w:name="_Toc4184"/>
      <w:bookmarkStart w:id="147" w:name="_Toc31041"/>
      <w:r>
        <w:rPr>
          <w:rFonts w:ascii="Times New Roman" w:eastAsia="仿宋_GB2312" w:hAnsi="Times New Roman" w:cs="Times New Roman" w:hint="default"/>
          <w:b/>
          <w:bCs/>
          <w:color w:val="auto"/>
          <w:highlight w:val="none"/>
        </w:rPr>
        <w:t xml:space="preserve">1.产出数量</w:t>
      </w:r>
      <w:bookmarkEnd w:id="146"/>
      <w:bookmarkEnd w:id="147"/>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bCs/>
          <w:color w:val="auto"/>
          <w:szCs w:val="32"/>
          <w:highlight w:val="none"/>
          <w:lang w:val="en-US" w:eastAsia="zh-CN"/>
        </w:rPr>
        <w:t xml:space="preserve">指标1：</w:t>
      </w:r>
      <w:r>
        <w:rPr>
          <w:rFonts w:ascii="Times New Roman" w:hAnsi="Times New Roman" w:cs="Times New Roman" w:hint="eastAsia"/>
          <w:color w:val="auto"/>
          <w:highlight w:val="none"/>
          <w:lang w:val="en-US" w:eastAsia="zh-CN"/>
        </w:rPr>
        <w:t xml:space="preserve">提交乡（镇）规划成果</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eastAsia="zh-CN"/>
        </w:rPr>
        <w:t xml:space="preserve">等于</w:t>
      </w:r>
      <w:r>
        <w:rPr>
          <w:rFonts w:ascii="Times New Roman" w:eastAsia="仿宋_GB2312" w:hAnsi="Times New Roman" w:cs="Times New Roman" w:hint="default"/>
          <w:color w:val="auto"/>
          <w:highlight w:val="none"/>
        </w:rPr>
        <w:t xml:space="preserve">6套，指标完成值：</w:t>
      </w:r>
      <w:r>
        <w:rPr>
          <w:rFonts w:ascii="Times New Roman" w:hAnsi="Times New Roman" w:cs="Times New Roman" w:hint="eastAsia"/>
          <w:color w:val="auto"/>
          <w:highlight w:val="none"/>
          <w:lang w:val="en-US" w:eastAsia="zh-CN"/>
        </w:rPr>
        <w:t xml:space="preserve">6套</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hAnsi="Times New Roman" w:cs="Times New Roman" w:hint="eastAsia"/>
          <w:color w:val="auto"/>
          <w:highlight w:val="none"/>
          <w:lang w:val="en-US" w:eastAsia="zh-CN"/>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指标2：</w:t>
      </w:r>
      <w:r>
        <w:rPr>
          <w:rFonts w:ascii="Times New Roman" w:hAnsi="Times New Roman" w:cs="Times New Roman" w:hint="eastAsia"/>
          <w:color w:val="auto"/>
          <w:highlight w:val="none"/>
          <w:lang w:val="en-US" w:eastAsia="zh-CN"/>
        </w:rPr>
        <w:t xml:space="preserve">提交行政村规划成果，预期指标值等于35套，指标完成值：35套，完成率：100%；</w:t>
      </w:r>
    </w:p>
    <w:p>
      <w:pPr>
        <w:pageBreakBefore w:val="0"/>
        <w:widowControl w:val="0"/>
        <w:kinsoku/>
        <w:wordWrap/>
        <w:overflowPunct/>
        <w:topLinePunct w:val="0"/>
        <w:autoSpaceDE/>
        <w:autoSpaceDN/>
        <w:bidi w:val="0"/>
        <w:adjustRightInd/>
        <w:snapToGrid/>
        <w:textAlignment w:val="auto"/>
        <w:outlineLvl w:val="9"/>
        <w:rPr>
          <w:rFonts w:ascii="Times New Roman" w:eastAsia="仿宋_GB2312" w:hAnsi="Times New Roman" w:cs="Times New Roman" w:hint="eastAsia"/>
          <w:b w:val="0"/>
          <w:bCs/>
          <w:color w:val="auto"/>
          <w:kern w:val="2"/>
          <w:sz w:val="32"/>
          <w:szCs w:val="32"/>
          <w:highlight w:val="none"/>
          <w:lang w:val="en-US" w:eastAsia="zh-CN" w:bidi="ar-SA"/>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w:t>
      </w:r>
      <w:r>
        <w:rPr>
          <w:rFonts w:ascii="Times New Roman" w:eastAsia="仿宋_GB2312" w:hAnsi="Times New Roman" w:cs="Times New Roman" w:hint="eastAsia"/>
          <w:b w:val="0"/>
          <w:bCs/>
          <w:color w:val="auto"/>
          <w:kern w:val="2"/>
          <w:sz w:val="32"/>
          <w:szCs w:val="32"/>
          <w:highlight w:val="none"/>
          <w:lang w:val="en-US" w:eastAsia="zh-CN" w:bidi="ar-SA"/>
        </w:rPr>
        <w:t xml:space="preserve">3</w:t>
      </w:r>
      <w:r>
        <w:rPr>
          <w:rFonts w:ascii="Times New Roman" w:eastAsia="仿宋_GB2312" w:hAnsi="Times New Roman" w:cs="Times New Roman" w:hint="default"/>
          <w:b w:val="0"/>
          <w:bCs/>
          <w:color w:val="auto"/>
          <w:kern w:val="2"/>
          <w:sz w:val="32"/>
          <w:szCs w:val="32"/>
          <w:highlight w:val="none"/>
          <w:lang w:val="en-US" w:eastAsia="zh-CN" w:bidi="ar-SA"/>
        </w:rPr>
        <w:t xml:space="preserve">：</w:t>
      </w:r>
      <w:r>
        <w:rPr>
          <w:rFonts w:ascii="Times New Roman" w:eastAsia="仿宋_GB2312" w:hAnsi="Times New Roman" w:cs="Times New Roman" w:hint="eastAsia"/>
          <w:b w:val="0"/>
          <w:bCs/>
          <w:color w:val="auto"/>
          <w:kern w:val="2"/>
          <w:sz w:val="32"/>
          <w:szCs w:val="32"/>
          <w:highlight w:val="none"/>
          <w:lang w:val="en-US" w:eastAsia="zh-CN" w:bidi="ar-SA"/>
        </w:rPr>
        <w:t xml:space="preserve">提交电子数据</w:t>
      </w:r>
      <w:r>
        <w:rPr>
          <w:rFonts w:ascii="Times New Roman" w:eastAsia="仿宋_GB2312" w:hAnsi="Times New Roman" w:cs="Times New Roman" w:hint="default"/>
          <w:b w:val="0"/>
          <w:bCs/>
          <w:color w:val="auto"/>
          <w:kern w:val="2"/>
          <w:sz w:val="32"/>
          <w:szCs w:val="32"/>
          <w:highlight w:val="none"/>
          <w:lang w:val="en-US" w:eastAsia="zh-CN" w:bidi="ar-SA"/>
        </w:rPr>
        <w:t xml:space="preserve">，预期指标值</w:t>
      </w:r>
      <w:r>
        <w:rPr>
          <w:rFonts w:ascii="Times New Roman" w:hAnsi="Times New Roman" w:cs="Times New Roman" w:hint="eastAsia"/>
          <w:b w:val="0"/>
          <w:bCs/>
          <w:color w:val="auto"/>
          <w:kern w:val="2"/>
          <w:sz w:val="32"/>
          <w:szCs w:val="32"/>
          <w:highlight w:val="none"/>
          <w:lang w:val="en-US" w:eastAsia="zh-CN" w:bidi="ar-SA"/>
        </w:rPr>
        <w:t xml:space="preserve">等于</w:t>
      </w:r>
      <w:r>
        <w:rPr>
          <w:rFonts w:ascii="Times New Roman" w:eastAsia="仿宋_GB2312" w:hAnsi="Times New Roman" w:cs="Times New Roman" w:hint="default"/>
          <w:b w:val="0"/>
          <w:bCs/>
          <w:color w:val="auto"/>
          <w:kern w:val="2"/>
          <w:sz w:val="32"/>
          <w:szCs w:val="32"/>
          <w:highlight w:val="none"/>
          <w:lang w:val="en-US" w:eastAsia="zh-CN" w:bidi="ar-SA"/>
        </w:rPr>
        <w:t xml:space="preserve">2套，指标完成值：</w:t>
      </w:r>
      <w:r>
        <w:rPr>
          <w:rFonts w:ascii="Times New Roman" w:eastAsia="仿宋_GB2312" w:hAnsi="Times New Roman" w:cs="Times New Roman" w:hint="eastAsia"/>
          <w:b w:val="0"/>
          <w:bCs/>
          <w:color w:val="auto"/>
          <w:kern w:val="2"/>
          <w:sz w:val="32"/>
          <w:szCs w:val="32"/>
          <w:highlight w:val="none"/>
          <w:lang w:val="en-US" w:eastAsia="zh-CN" w:bidi="ar-SA"/>
        </w:rPr>
        <w:t xml:space="preserve">2套</w:t>
      </w:r>
      <w:r>
        <w:rPr>
          <w:rFonts w:ascii="Times New Roman" w:eastAsia="仿宋_GB2312" w:hAnsi="Times New Roman" w:cs="Times New Roman" w:hint="default"/>
          <w:b w:val="0"/>
          <w:bCs/>
          <w:color w:val="auto"/>
          <w:kern w:val="2"/>
          <w:sz w:val="32"/>
          <w:szCs w:val="32"/>
          <w:highlight w:val="none"/>
          <w:lang w:val="en-US" w:eastAsia="zh-CN" w:bidi="ar-SA"/>
        </w:rPr>
        <w:t xml:space="preserve">，完成率：</w:t>
      </w:r>
      <w:r>
        <w:rPr>
          <w:rFonts w:ascii="Times New Roman" w:eastAsia="仿宋_GB2312" w:hAnsi="Times New Roman" w:cs="Times New Roman" w:hint="eastAsia"/>
          <w:b w:val="0"/>
          <w:bCs/>
          <w:color w:val="auto"/>
          <w:kern w:val="2"/>
          <w:sz w:val="32"/>
          <w:szCs w:val="32"/>
          <w:highlight w:val="none"/>
          <w:lang w:val="en-US" w:eastAsia="zh-CN" w:bidi="ar-SA"/>
        </w:rPr>
        <w:t xml:space="preserve">100%</w:t>
      </w:r>
      <w:r>
        <w:rPr>
          <w:rFonts w:ascii="Times New Roman" w:eastAsia="仿宋_GB2312" w:hAnsi="Times New Roman" w:cs="Times New Roman" w:hint="default"/>
          <w:b w:val="0"/>
          <w:bCs/>
          <w:color w:val="auto"/>
          <w:kern w:val="2"/>
          <w:sz w:val="32"/>
          <w:szCs w:val="32"/>
          <w:highlight w:val="none"/>
          <w:lang w:val="en-US" w:eastAsia="zh-CN" w:bidi="ar-SA"/>
        </w:rPr>
        <w:t xml:space="preserve">；</w:t>
      </w:r>
    </w:p>
    <w:p>
      <w:pPr>
        <w:pageBreakBefore w:val="0"/>
        <w:widowControl w:val="0"/>
        <w:kinsoku/>
        <w:wordWrap/>
        <w:overflowPunct/>
        <w:topLinePunct w:val="0"/>
        <w:autoSpaceDE/>
        <w:autoSpaceDN/>
        <w:bidi w:val="0"/>
        <w:adjustRightInd/>
        <w:snapToGrid/>
        <w:textAlignment w:val="auto"/>
        <w:outlineLvl w:val="9"/>
        <w:rPr>
          <w:rFonts w:ascii="Times New Roman" w:hAnsi="Times New Roman" w:cs="Times New Roman" w:hint="eastAsia"/>
          <w:color w:val="auto"/>
          <w:highlight w:val="none"/>
          <w:lang w:val="en-US" w:eastAsia="zh-CN"/>
        </w:rPr>
      </w:pPr>
      <w:r>
        <w:rPr>
          <w:rFonts w:ascii="Times New Roman" w:hAnsi="Times New Roman" w:cs="Times New Roman" w:hint="eastAsia"/>
          <w:color w:val="auto"/>
          <w:highlight w:val="none"/>
          <w:lang w:val="en-US" w:eastAsia="zh-CN"/>
        </w:rPr>
        <w:t xml:space="preserve">指标4：规划编制涉及乡（镇），预期指标值等于6个，指标完成值：6个，完成率：100%；</w:t>
      </w:r>
    </w:p>
    <w:p>
      <w:pPr>
        <w:pageBreakBefore w:val="0"/>
        <w:widowControl w:val="0"/>
        <w:kinsoku/>
        <w:wordWrap/>
        <w:overflowPunct/>
        <w:topLinePunct w:val="0"/>
        <w:autoSpaceDE/>
        <w:autoSpaceDN/>
        <w:bidi w:val="0"/>
        <w:adjustRightInd/>
        <w:snapToGrid/>
        <w:textAlignment w:val="auto"/>
        <w:outlineLvl w:val="9"/>
        <w:rPr>
          <w:rFonts w:ascii="Times New Roman" w:eastAsia="仿宋_GB2312" w:hAnsi="Times New Roman" w:cs="Times New Roman" w:hint="eastAsia"/>
          <w:b w:val="0"/>
          <w:color w:val="auto"/>
          <w:kern w:val="2"/>
          <w:sz w:val="32"/>
          <w:szCs w:val="22"/>
          <w:highlight w:val="none"/>
          <w:lang w:val="en-US" w:eastAsia="zh-CN" w:bidi="ar-SA"/>
        </w:rPr>
      </w:pPr>
      <w:r>
        <w:rPr>
          <w:rFonts w:ascii="Times New Roman" w:eastAsia="仿宋_GB2312" w:hAnsi="Times New Roman" w:cs="Times New Roman" w:hint="eastAsia"/>
          <w:b w:val="0"/>
          <w:color w:val="auto"/>
          <w:kern w:val="2"/>
          <w:sz w:val="32"/>
          <w:szCs w:val="22"/>
          <w:highlight w:val="none"/>
          <w:lang w:val="en-US" w:eastAsia="zh-CN" w:bidi="ar-SA"/>
        </w:rPr>
        <w:t xml:space="preserve">指标5：规划编制涉及行政村，预期指标值</w:t>
      </w:r>
      <w:r>
        <w:rPr>
          <w:rFonts w:ascii="Times New Roman" w:hAnsi="Times New Roman" w:cs="Times New Roman" w:hint="eastAsia"/>
          <w:b w:val="0"/>
          <w:color w:val="auto"/>
          <w:kern w:val="2"/>
          <w:sz w:val="32"/>
          <w:szCs w:val="22"/>
          <w:highlight w:val="none"/>
          <w:lang w:val="en-US" w:eastAsia="zh-CN" w:bidi="ar-SA"/>
        </w:rPr>
        <w:t xml:space="preserve">等于</w:t>
      </w:r>
      <w:r>
        <w:rPr>
          <w:rFonts w:ascii="Times New Roman" w:eastAsia="仿宋_GB2312" w:hAnsi="Times New Roman" w:cs="Times New Roman" w:hint="eastAsia"/>
          <w:b w:val="0"/>
          <w:color w:val="auto"/>
          <w:kern w:val="2"/>
          <w:sz w:val="32"/>
          <w:szCs w:val="22"/>
          <w:highlight w:val="none"/>
          <w:lang w:val="en-US" w:eastAsia="zh-CN" w:bidi="ar-SA"/>
        </w:rPr>
        <w:t xml:space="preserve">39个，指标完成值：39个，完成率：100%；</w:t>
      </w:r>
    </w:p>
    <w:p>
      <w:pPr>
        <w:pageBreakBefore w:val="0"/>
        <w:widowControl w:val="0"/>
        <w:kinsoku/>
        <w:wordWrap/>
        <w:overflowPunct/>
        <w:topLinePunct w:val="0"/>
        <w:autoSpaceDE/>
        <w:autoSpaceDN/>
        <w:bidi w:val="0"/>
        <w:adjustRightInd/>
        <w:snapToGrid/>
        <w:ind w:left="0" w:firstLine="640" w:leftChars="0" w:firstLineChars="200"/>
        <w:jc w:val="both"/>
        <w:textAlignment w:val="auto"/>
        <w:outlineLvl w:val="9"/>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本项满分12分，评估得分12分。</w:t>
      </w:r>
    </w:p>
    <w:p>
      <w:pPr>
        <w:bidi w:val="0"/>
        <w:jc w:val="both"/>
        <w:rPr>
          <w:rFonts w:ascii="Times New Roman" w:eastAsia="仿宋_GB2312" w:hAnsi="Times New Roman" w:cs="Times New Roman" w:hint="default"/>
          <w:b/>
          <w:bCs/>
          <w:color w:val="auto"/>
          <w:highlight w:val="none"/>
        </w:rPr>
      </w:pPr>
      <w:bookmarkStart w:id="148" w:name="_Toc7420"/>
      <w:bookmarkStart w:id="149" w:name="_Toc21607"/>
      <w:r>
        <w:rPr>
          <w:rFonts w:ascii="Times New Roman" w:eastAsia="仿宋_GB2312" w:hAnsi="Times New Roman" w:cs="Times New Roman" w:hint="default"/>
          <w:b/>
          <w:bCs/>
          <w:color w:val="auto"/>
          <w:highlight w:val="none"/>
        </w:rPr>
        <w:t xml:space="preserve">2.产出质量</w:t>
      </w:r>
      <w:bookmarkEnd w:id="148"/>
      <w:bookmarkEnd w:id="149"/>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指标1：</w:t>
      </w:r>
      <w:r>
        <w:rPr>
          <w:rFonts w:ascii="Times New Roman" w:hAnsi="Times New Roman" w:cs="Times New Roman" w:hint="eastAsia"/>
          <w:color w:val="auto"/>
          <w:highlight w:val="none"/>
          <w:lang w:val="en-US" w:eastAsia="zh-CN"/>
        </w:rPr>
        <w:t xml:space="preserve">数据库成果准确率</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eastAsia="zh-CN"/>
        </w:rPr>
        <w:t xml:space="preserve">等于</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本项满分12分，评估得分12分。</w:t>
      </w:r>
    </w:p>
    <w:p>
      <w:pPr>
        <w:bidi w:val="0"/>
        <w:jc w:val="both"/>
        <w:rPr>
          <w:rFonts w:ascii="Times New Roman" w:eastAsia="仿宋_GB2312" w:hAnsi="Times New Roman" w:cs="Times New Roman" w:hint="default"/>
          <w:b/>
          <w:bCs/>
          <w:color w:val="auto"/>
          <w:highlight w:val="none"/>
        </w:rPr>
      </w:pPr>
      <w:bookmarkStart w:id="150" w:name="_Toc5394"/>
      <w:bookmarkStart w:id="151" w:name="_Toc6277"/>
      <w:r>
        <w:rPr>
          <w:rFonts w:ascii="Times New Roman" w:eastAsia="仿宋_GB2312" w:hAnsi="Times New Roman" w:cs="Times New Roman" w:hint="default"/>
          <w:b/>
          <w:bCs/>
          <w:color w:val="auto"/>
          <w:highlight w:val="none"/>
        </w:rPr>
        <w:t xml:space="preserve">3.产出时效</w:t>
      </w:r>
      <w:bookmarkEnd w:id="150"/>
      <w:bookmarkEnd w:id="151"/>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指标1：</w:t>
      </w:r>
      <w:r>
        <w:rPr>
          <w:rFonts w:ascii="Times New Roman" w:hAnsi="Times New Roman" w:cs="Times New Roman" w:hint="eastAsia"/>
          <w:color w:val="auto"/>
          <w:highlight w:val="none"/>
          <w:lang w:val="en-US" w:eastAsia="zh-CN"/>
        </w:rPr>
        <w:t xml:space="preserve">资金支付及时率</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eastAsia="zh-CN"/>
        </w:rPr>
        <w:t xml:space="preserve">等于</w:t>
      </w:r>
      <w:r>
        <w:rPr>
          <w:rFonts w:ascii="Times New Roman" w:eastAsia="仿宋_GB2312" w:hAnsi="Times New Roman" w:cs="Times New Roman" w:hint="default"/>
          <w:color w:val="auto"/>
          <w:highlight w:val="none"/>
        </w:rPr>
        <w:t xml:space="preserve">100%，指标完成值：100，完成率：100%；</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本项满分12分，评估得分</w:t>
      </w:r>
      <w:r>
        <w:rPr>
          <w:rFonts w:ascii="Times New Roman" w:eastAsia="仿宋_GB2312" w:hAnsi="Times New Roman" w:cs="Times New Roman" w:hint="default"/>
          <w:color w:val="auto"/>
          <w:highlight w:val="none"/>
          <w:lang w:val="en-US" w:eastAsia="zh-CN"/>
        </w:rPr>
        <w:t xml:space="preserve">12</w:t>
      </w:r>
      <w:r>
        <w:rPr>
          <w:rFonts w:ascii="Times New Roman" w:eastAsia="仿宋_GB2312" w:hAnsi="Times New Roman" w:cs="Times New Roman" w:hint="default"/>
          <w:color w:val="auto"/>
          <w:highlight w:val="none"/>
        </w:rPr>
        <w:t xml:space="preserve">分。</w:t>
      </w:r>
    </w:p>
    <w:p>
      <w:pPr>
        <w:bidi w:val="0"/>
        <w:jc w:val="both"/>
        <w:rPr>
          <w:rFonts w:ascii="Times New Roman" w:eastAsia="仿宋_GB2312" w:hAnsi="Times New Roman" w:cs="Times New Roman" w:hint="default"/>
          <w:b/>
          <w:bCs/>
          <w:color w:val="auto"/>
          <w:highlight w:val="none"/>
        </w:rPr>
      </w:pPr>
      <w:bookmarkStart w:id="152" w:name="_Toc28975"/>
      <w:bookmarkStart w:id="153" w:name="_Toc18558"/>
      <w:r>
        <w:rPr>
          <w:rFonts w:ascii="Times New Roman" w:eastAsia="仿宋_GB2312" w:hAnsi="Times New Roman" w:cs="Times New Roman" w:hint="default"/>
          <w:b/>
          <w:bCs/>
          <w:color w:val="auto"/>
          <w:highlight w:val="none"/>
        </w:rPr>
        <w:t xml:space="preserve">4.产出成本</w:t>
      </w:r>
      <w:bookmarkEnd w:id="152"/>
      <w:bookmarkEnd w:id="153"/>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指标1：</w:t>
      </w:r>
      <w:r>
        <w:rPr>
          <w:rFonts w:ascii="Times New Roman" w:hAnsi="Times New Roman" w:cs="Times New Roman" w:hint="eastAsia"/>
          <w:color w:val="auto"/>
          <w:highlight w:val="none"/>
          <w:lang w:val="en-US" w:eastAsia="zh-CN"/>
        </w:rPr>
        <w:t xml:space="preserve">规划编制技术服务费</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val="en-US" w:eastAsia="zh-CN"/>
        </w:rPr>
        <w:t xml:space="preserve">小于等于268万元</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268万元</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w:t>
      </w:r>
      <w:r>
        <w:rPr>
          <w:rFonts w:ascii="Times New Roman" w:eastAsia="仿宋_GB2312" w:hAnsi="Times New Roman" w:cs="Times New Roman" w:hint="default"/>
          <w:color w:val="auto"/>
          <w:highlight w:val="none"/>
          <w:lang w:val="en-US" w:eastAsia="zh-CN"/>
        </w:rPr>
        <w:t xml:space="preserve">4</w:t>
      </w:r>
      <w:r>
        <w:rPr>
          <w:rFonts w:ascii="Times New Roman" w:eastAsia="仿宋_GB2312" w:hAnsi="Times New Roman" w:cs="Times New Roman" w:hint="default"/>
          <w:color w:val="auto"/>
          <w:highlight w:val="none"/>
        </w:rPr>
        <w:t xml:space="preserve">分。</w:t>
      </w:r>
    </w:p>
    <w:p>
      <w:pPr>
        <w:pStyle w:val="Heading3"/>
        <w:bidi w:val="0"/>
        <w:jc w:val="both"/>
        <w:outlineLvl w:val="1"/>
        <w:rPr>
          <w:rFonts w:ascii="楷体" w:eastAsia="楷体" w:hAnsi="楷体" w:cs="楷体" w:hint="eastAsia"/>
          <w:color w:val="auto"/>
          <w:highlight w:val="none"/>
        </w:rPr>
      </w:pPr>
      <w:bookmarkStart w:id="154" w:name="_Toc24492"/>
      <w:bookmarkStart w:id="155" w:name="_Toc27548"/>
      <w:bookmarkStart w:id="156" w:name="_Toc18194"/>
      <w:bookmarkStart w:id="157" w:name="_Toc9589"/>
      <w:bookmarkStart w:id="158" w:name="_Toc14881"/>
      <w:r>
        <w:rPr>
          <w:rFonts w:ascii="楷体" w:eastAsia="楷体" w:hAnsi="楷体" w:cs="楷体" w:hint="eastAsia"/>
          <w:color w:val="auto"/>
          <w:highlight w:val="none"/>
        </w:rPr>
        <w:t xml:space="preserve">（四）项目效益情况</w:t>
      </w:r>
      <w:bookmarkEnd w:id="154"/>
      <w:bookmarkEnd w:id="155"/>
      <w:bookmarkEnd w:id="156"/>
      <w:bookmarkEnd w:id="157"/>
      <w:bookmarkEnd w:id="158"/>
    </w:p>
    <w:p>
      <w:pPr>
        <w:bidi w:val="0"/>
        <w:jc w:val="both"/>
        <w:rPr>
          <w:rFonts w:ascii="Times New Roman" w:eastAsia="仿宋_GB2312" w:hAnsi="Times New Roman" w:cs="Times New Roman" w:hint="default"/>
          <w:b/>
          <w:bCs/>
          <w:color w:val="auto"/>
          <w:highlight w:val="none"/>
        </w:rPr>
      </w:pPr>
      <w:bookmarkStart w:id="159" w:name="_Toc15599"/>
      <w:bookmarkStart w:id="160" w:name="_Toc8370"/>
      <w:r>
        <w:rPr>
          <w:rFonts w:ascii="Times New Roman" w:eastAsia="仿宋_GB2312" w:hAnsi="Times New Roman" w:cs="Times New Roman" w:hint="default"/>
          <w:b/>
          <w:bCs/>
          <w:color w:val="auto"/>
          <w:highlight w:val="none"/>
        </w:rPr>
        <w:t xml:space="preserve">1.实施效益</w:t>
      </w:r>
      <w:bookmarkEnd w:id="159"/>
      <w:bookmarkEnd w:id="160"/>
    </w:p>
    <w:p>
      <w:pPr>
        <w:bidi w:val="0"/>
        <w:jc w:val="both"/>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rPr>
        <w:t xml:space="preserve">本项目实施所产生的效益主要包括经济效益和生态效益。项目的实施</w:t>
      </w:r>
      <w:r>
        <w:rPr>
          <w:rFonts w:ascii="Times New Roman" w:hAnsi="Times New Roman" w:cs="Times New Roman" w:hint="eastAsia"/>
          <w:color w:val="auto"/>
          <w:highlight w:val="none"/>
          <w:lang w:val="en-US" w:eastAsia="zh-CN"/>
        </w:rPr>
        <w:t xml:space="preserve">通过规划实施，引导产业合理布局，推动了土地资源的节约集约利用，促进了乡镇和村庄产业发展，可有效推动乡村振兴，经济效益显著。本项目的实施注重生态环境保护和资源合理利用，加强了生态保护红线区域的保护，提出了有效的生态修复措施，促进了生态系统的稳定和生态服务功能的提升；规划中明确了尉犁县各级的生态保护区域，禁止在该区域进行无序开发，规划实施后，有效减少了农村环境污染，保护了生态空间，有效推进生态文明建设，生态效益良好。</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w:t>
      </w:r>
      <w:r>
        <w:rPr>
          <w:rFonts w:ascii="Times New Roman" w:hAnsi="Times New Roman" w:cs="Times New Roman" w:hint="eastAsia"/>
          <w:color w:val="auto"/>
          <w:highlight w:val="none"/>
          <w:lang w:val="en-US" w:eastAsia="zh-CN"/>
        </w:rPr>
        <w:t xml:space="preserve">20</w:t>
      </w:r>
      <w:r>
        <w:rPr>
          <w:rFonts w:ascii="Times New Roman" w:eastAsia="仿宋_GB2312" w:hAnsi="Times New Roman" w:cs="Times New Roman" w:hint="default"/>
          <w:color w:val="auto"/>
          <w:highlight w:val="none"/>
        </w:rPr>
        <w:t xml:space="preserve">分，评估得分</w:t>
      </w:r>
      <w:r>
        <w:rPr>
          <w:rFonts w:ascii="Times New Roman" w:hAnsi="Times New Roman" w:cs="Times New Roman" w:hint="eastAsia"/>
          <w:color w:val="auto"/>
          <w:highlight w:val="none"/>
          <w:lang w:val="en-US" w:eastAsia="zh-CN"/>
        </w:rPr>
        <w:t xml:space="preserve">20</w:t>
      </w:r>
      <w:r>
        <w:rPr>
          <w:rFonts w:ascii="Times New Roman" w:eastAsia="仿宋_GB2312" w:hAnsi="Times New Roman" w:cs="Times New Roman" w:hint="default"/>
          <w:color w:val="auto"/>
          <w:highlight w:val="none"/>
        </w:rPr>
        <w:t xml:space="preserve">分。</w:t>
      </w:r>
    </w:p>
    <w:p>
      <w:pPr>
        <w:pStyle w:val="Heading2"/>
        <w:bidi w:val="0"/>
        <w:ind w:left="0" w:firstLine="640" w:leftChars="0" w:firstLineChars="200"/>
        <w:jc w:val="both"/>
        <w:outlineLvl w:val="0"/>
        <w:rPr>
          <w:rFonts w:ascii="Times New Roman" w:eastAsia="仿宋_GB2312" w:hAnsi="Times New Roman" w:cs="Times New Roman" w:hint="default"/>
          <w:color w:val="auto"/>
          <w:highlight w:val="none"/>
        </w:rPr>
      </w:pPr>
      <w:bookmarkStart w:id="161" w:name="_Toc24261"/>
      <w:bookmarkStart w:id="162" w:name="_Toc3310"/>
      <w:bookmarkStart w:id="163" w:name="_Toc23114"/>
      <w:bookmarkStart w:id="164" w:name="_Toc17413"/>
      <w:bookmarkStart w:id="165" w:name="_Toc20473"/>
      <w:bookmarkStart w:id="166" w:name="_Toc13266"/>
      <w:r>
        <w:rPr>
          <w:rFonts w:ascii="黑体" w:eastAsia="黑体" w:hAnsi="黑体" w:cs="黑体" w:hint="eastAsia"/>
          <w:color w:val="auto"/>
          <w:highlight w:val="none"/>
        </w:rPr>
        <w:t xml:space="preserve">五、主要经验及做法、存在的问题及原因分析</w:t>
      </w:r>
      <w:bookmarkEnd w:id="161"/>
      <w:bookmarkEnd w:id="162"/>
      <w:bookmarkEnd w:id="163"/>
      <w:bookmarkEnd w:id="164"/>
      <w:bookmarkEnd w:id="165"/>
      <w:bookmarkEnd w:id="166"/>
    </w:p>
    <w:p>
      <w:pPr>
        <w:pStyle w:val="Heading3"/>
        <w:bidi w:val="0"/>
        <w:jc w:val="both"/>
        <w:outlineLvl w:val="1"/>
        <w:rPr>
          <w:rFonts w:ascii="楷体" w:eastAsia="楷体" w:hAnsi="楷体" w:cs="楷体" w:hint="eastAsia"/>
          <w:color w:val="auto"/>
          <w:highlight w:val="none"/>
        </w:rPr>
      </w:pPr>
      <w:bookmarkStart w:id="167" w:name="_Toc10514"/>
      <w:bookmarkStart w:id="168" w:name="_Toc6522"/>
      <w:bookmarkStart w:id="169" w:name="_Toc28865"/>
      <w:bookmarkStart w:id="170" w:name="_Toc6741"/>
      <w:bookmarkStart w:id="171" w:name="_Toc14362"/>
      <w:r>
        <w:rPr>
          <w:rFonts w:ascii="楷体" w:eastAsia="楷体" w:hAnsi="楷体" w:cs="楷体" w:hint="eastAsia"/>
          <w:color w:val="auto"/>
          <w:highlight w:val="none"/>
        </w:rPr>
        <w:t xml:space="preserve">（一）主要经验及做法</w:t>
      </w:r>
      <w:bookmarkEnd w:id="167"/>
      <w:bookmarkEnd w:id="168"/>
      <w:bookmarkEnd w:id="169"/>
      <w:bookmarkEnd w:id="170"/>
      <w:bookmarkEnd w:id="171"/>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尉犁县自然资源局</w:t>
      </w:r>
      <w:r>
        <w:rPr>
          <w:rFonts w:ascii="Times New Roman" w:eastAsia="仿宋_GB2312" w:hAnsi="Times New Roman" w:cs="Times New Roman" w:hint="default"/>
          <w:color w:val="auto"/>
          <w:highlight w:val="none"/>
        </w:rPr>
        <w:t xml:space="preserve">在</w:t>
      </w:r>
      <w:r>
        <w:rPr>
          <w:rFonts w:ascii="Times New Roman" w:hAnsi="Times New Roman" w:cs="Times New Roman" w:hint="eastAsia"/>
          <w:color w:val="auto"/>
          <w:highlight w:val="none"/>
          <w:lang w:eastAsia="zh-CN"/>
        </w:rPr>
        <w:t xml:space="preserve">尉犁</w:t>
      </w:r>
      <w:r>
        <w:rPr>
          <w:rFonts w:ascii="Times New Roman" w:eastAsia="仿宋_GB2312" w:hAnsi="Times New Roman" w:cs="Times New Roman" w:hint="default"/>
          <w:color w:val="auto"/>
          <w:highlight w:val="none"/>
          <w:lang w:eastAsia="zh-CN"/>
        </w:rPr>
        <w:t xml:space="preserve">县委、县政府</w:t>
      </w:r>
      <w:r>
        <w:rPr>
          <w:rFonts w:ascii="Times New Roman" w:eastAsia="仿宋_GB2312" w:hAnsi="Times New Roman" w:cs="Times New Roman" w:hint="default"/>
          <w:color w:val="auto"/>
          <w:highlight w:val="none"/>
        </w:rPr>
        <w:t xml:space="preserve">的支持下，在相关部门的配合下，全面顺利完成，绩效评价“优”，主要经验及做法如下：</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1.加强组织领导，明确责任分工：成立了由县政府主要领导任组长的规划编制工作领导小组，明确各部门、各乡镇的职责分工，加强协调配合，形成工作合力，确保规划编制工作顺利推进。</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深入开展调研，广泛征求意见：规划编制前，组织多部门联合调研小组，深入各乡镇和村庄，开展全面细致的实地调研，广泛征求基层干部和村民的意见建议，充分了解当地实际情况和发展需求，使规划编制更具针对性和可操作性。</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3.严格把控质量，规范编制流程：制定了严格的规划编制质量控制制度，规范编制流程，加强对规划编制各个环节的审核把关。邀请专家对规划成果进行评审，确保规划成果符合相关技术标准和规范要求。</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4.强化宣传培训，提高规划意识：通过多种形式加强对规划的宣传和培训，提高乡镇干部和村民对规划重要性的认识，增强他们参与规划编制和实施的积极性和主动性。</w:t>
      </w:r>
    </w:p>
    <w:p>
      <w:pPr>
        <w:pStyle w:val="Heading3"/>
        <w:bidi w:val="0"/>
        <w:jc w:val="both"/>
        <w:outlineLvl w:val="1"/>
        <w:rPr>
          <w:rFonts w:ascii="楷体" w:eastAsia="楷体" w:hAnsi="楷体" w:cs="楷体" w:hint="eastAsia"/>
          <w:color w:val="auto"/>
          <w:highlight w:val="none"/>
        </w:rPr>
      </w:pPr>
      <w:bookmarkStart w:id="172" w:name="_Toc27408"/>
      <w:bookmarkStart w:id="173" w:name="_Toc1295"/>
      <w:bookmarkStart w:id="174" w:name="_Toc11238"/>
      <w:bookmarkStart w:id="175" w:name="_Toc4673"/>
      <w:bookmarkStart w:id="176" w:name="_Toc6359"/>
      <w:r>
        <w:rPr>
          <w:rFonts w:ascii="楷体" w:eastAsia="楷体" w:hAnsi="楷体" w:cs="楷体" w:hint="eastAsia"/>
          <w:color w:val="auto"/>
          <w:highlight w:val="none"/>
        </w:rPr>
        <w:t xml:space="preserve">（二）存在的问题及分析</w:t>
      </w:r>
      <w:bookmarkEnd w:id="172"/>
      <w:bookmarkEnd w:id="173"/>
      <w:bookmarkEnd w:id="174"/>
      <w:bookmarkEnd w:id="175"/>
      <w:bookmarkEnd w:id="176"/>
    </w:p>
    <w:p>
      <w:pPr>
        <w:bidi w:val="0"/>
        <w:rPr>
          <w:rFonts w:ascii="Times New Roman" w:eastAsia="仿宋_GB2312" w:hAnsi="Times New Roman" w:cs="Times New Roman" w:hint="default"/>
          <w:color w:val="auto"/>
          <w:highlight w:val="none"/>
        </w:rPr>
      </w:pPr>
      <w:bookmarkStart w:id="177" w:name="_Toc13270"/>
      <w:bookmarkStart w:id="178" w:name="_Toc5702"/>
      <w:bookmarkStart w:id="179" w:name="_Toc13345"/>
      <w:bookmarkStart w:id="180" w:name="_Toc20116"/>
      <w:bookmarkStart w:id="181" w:name="_Toc22271"/>
      <w:r>
        <w:rPr>
          <w:rFonts w:ascii="Times New Roman" w:eastAsia="仿宋_GB2312" w:hAnsi="Times New Roman" w:cs="Times New Roman" w:hint="default"/>
          <w:color w:val="auto"/>
          <w:highlight w:val="none"/>
        </w:rPr>
        <w:t xml:space="preserve">1.部分村民参与度有待提高：虽然在规划编制过程中通过座谈会、问卷调查等方式征求了村民意见，但仍有部分村民对规划编制工作关注度不高，参与度较低。原因主要是宣传方式不够多样化，部分村民对规划的内容和意义了解不够深入；同时，一些村民存在</w:t>
      </w:r>
      <w:r>
        <w:rPr>
          <w:rFonts w:ascii="Times New Roman" w:hAnsi="Times New Roman" w:cs="Times New Roman" w:hint="eastAsia"/>
          <w:color w:val="auto"/>
          <w:highlight w:val="none"/>
          <w:lang w:eastAsia="zh-CN"/>
        </w:rPr>
        <w:t xml:space="preserve">“</w:t>
      </w:r>
      <w:r>
        <w:rPr>
          <w:rFonts w:ascii="Times New Roman" w:eastAsia="仿宋_GB2312" w:hAnsi="Times New Roman" w:cs="Times New Roman" w:hint="default"/>
          <w:color w:val="auto"/>
          <w:highlight w:val="none"/>
        </w:rPr>
        <w:t xml:space="preserve">等靠要</w:t>
      </w:r>
      <w:r>
        <w:rPr>
          <w:rFonts w:ascii="Times New Roman" w:hAnsi="Times New Roman" w:cs="Times New Roman" w:hint="eastAsia"/>
          <w:color w:val="auto"/>
          <w:highlight w:val="none"/>
          <w:lang w:eastAsia="zh-CN"/>
        </w:rPr>
        <w:t xml:space="preserve">”</w:t>
      </w:r>
      <w:r>
        <w:rPr>
          <w:rFonts w:ascii="Times New Roman" w:eastAsia="仿宋_GB2312" w:hAnsi="Times New Roman" w:cs="Times New Roman" w:hint="default"/>
          <w:color w:val="auto"/>
          <w:highlight w:val="none"/>
        </w:rPr>
        <w:t xml:space="preserve">思想，缺乏主动参与意识。</w:t>
      </w:r>
    </w:p>
    <w:p>
      <w:pPr>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规划实施保障机制有待完善：目前，规划实施的保障机制还不够健全，缺乏有效的监督考核机制和资金保障机制。在规划实施过程中，可能会出现部门之间协调不畅、资金落实不到位等问题，影响规划的顺利实施。</w:t>
      </w:r>
    </w:p>
    <w:p>
      <w:pPr>
        <w:bidi w:val="0"/>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rPr>
        <w:t xml:space="preserve">3.规划与其他专项规划的衔接不够紧密：在规划编制过程中，与交通、水利、产业等专项规划的衔接还不够紧密，存在规划内容不一致、相互矛盾的情况。原因是各部门之间信息沟通不畅，缺乏有效的协调机制</w:t>
      </w:r>
      <w:r>
        <w:rPr>
          <w:rFonts w:ascii="Times New Roman" w:eastAsia="仿宋_GB2312" w:hAnsi="Times New Roman" w:cs="Times New Roman" w:hint="default"/>
          <w:color w:val="auto"/>
          <w:highlight w:val="none"/>
          <w:lang w:eastAsia="zh-CN"/>
        </w:rPr>
        <w:t xml:space="preserve">。</w:t>
      </w:r>
    </w:p>
    <w:p>
      <w:pPr>
        <w:pStyle w:val="Heading2"/>
        <w:bidi w:val="0"/>
        <w:jc w:val="both"/>
        <w:outlineLvl w:val="0"/>
        <w:rPr>
          <w:rFonts w:ascii="黑体" w:eastAsia="黑体" w:hAnsi="黑体" w:cs="黑体" w:hint="eastAsia"/>
          <w:color w:val="auto"/>
          <w:highlight w:val="none"/>
        </w:rPr>
      </w:pPr>
      <w:bookmarkStart w:id="182" w:name="_Toc7492"/>
      <w:r>
        <w:rPr>
          <w:rFonts w:ascii="黑体" w:eastAsia="黑体" w:hAnsi="黑体" w:cs="黑体" w:hint="eastAsia"/>
          <w:color w:val="auto"/>
          <w:highlight w:val="none"/>
        </w:rPr>
        <w:t xml:space="preserve">六、有关建议</w:t>
      </w:r>
      <w:bookmarkEnd w:id="177"/>
      <w:bookmarkEnd w:id="178"/>
      <w:bookmarkEnd w:id="179"/>
      <w:bookmarkEnd w:id="180"/>
      <w:bookmarkEnd w:id="181"/>
      <w:bookmarkEnd w:id="182"/>
      <w:bookmarkStart w:id="183" w:name="_Toc21621"/>
      <w:bookmarkStart w:id="184" w:name="_Toc5794"/>
      <w:bookmarkStart w:id="185" w:name="_Toc24871"/>
      <w:bookmarkStart w:id="186" w:name="_Toc22823"/>
      <w:bookmarkStart w:id="187" w:name="_Toc12100"/>
    </w:p>
    <w:p>
      <w:pPr>
        <w:bidi w:val="0"/>
        <w:rPr>
          <w:rFonts w:hint="default"/>
          <w:color w:val="auto"/>
          <w:highlight w:val="none"/>
        </w:rPr>
      </w:pPr>
      <w:bookmarkStart w:id="188" w:name="_Toc14767"/>
      <w:r>
        <w:rPr>
          <w:rFonts w:hint="eastAsia"/>
          <w:color w:val="auto"/>
          <w:highlight w:val="none"/>
          <w:lang w:val="en-US" w:eastAsia="zh-CN"/>
        </w:rPr>
        <w:t xml:space="preserve">1.</w:t>
      </w:r>
      <w:r>
        <w:rPr>
          <w:rFonts w:hint="default"/>
          <w:color w:val="auto"/>
          <w:highlight w:val="none"/>
        </w:rPr>
        <w:t xml:space="preserve">进一步提高村民参与度</w:t>
      </w:r>
      <w:bookmarkEnd w:id="188"/>
    </w:p>
    <w:p>
      <w:pPr>
        <w:bidi w:val="0"/>
        <w:rPr>
          <w:rFonts w:hint="default"/>
          <w:color w:val="auto"/>
          <w:highlight w:val="none"/>
        </w:rPr>
      </w:pPr>
      <w:r>
        <w:rPr>
          <w:rFonts w:hint="default"/>
          <w:color w:val="auto"/>
          <w:highlight w:val="none"/>
        </w:rPr>
        <w:t xml:space="preserve">丰富宣传方式，除传统的座谈会、宣传栏外，利用新媒体平台如微信公众号、短视频等进行规划宣传，提高村民对规划的知晓度和认同感。同时，建立村民参与规划的激励机制，对积极参与规划编制和实施的村民给予一定的奖励，充分调动村民的积极性。</w:t>
      </w:r>
    </w:p>
    <w:p>
      <w:pPr>
        <w:bidi w:val="0"/>
        <w:rPr>
          <w:rFonts w:hint="default"/>
          <w:color w:val="auto"/>
          <w:highlight w:val="none"/>
        </w:rPr>
      </w:pPr>
      <w:bookmarkStart w:id="189" w:name="_Toc11388"/>
      <w:r>
        <w:rPr>
          <w:rFonts w:hint="eastAsia"/>
          <w:color w:val="auto"/>
          <w:highlight w:val="none"/>
          <w:lang w:val="en-US" w:eastAsia="zh-CN"/>
        </w:rPr>
        <w:t xml:space="preserve">2.</w:t>
      </w:r>
      <w:r>
        <w:rPr>
          <w:rFonts w:hint="default"/>
          <w:color w:val="auto"/>
          <w:highlight w:val="none"/>
        </w:rPr>
        <w:t xml:space="preserve">完善规划实施保障机制</w:t>
      </w:r>
      <w:bookmarkEnd w:id="189"/>
    </w:p>
    <w:p>
      <w:pPr>
        <w:bidi w:val="0"/>
        <w:rPr>
          <w:rFonts w:hint="default"/>
          <w:color w:val="auto"/>
          <w:highlight w:val="none"/>
        </w:rPr>
      </w:pPr>
      <w:r>
        <w:rPr>
          <w:rFonts w:hint="default"/>
          <w:color w:val="auto"/>
          <w:highlight w:val="none"/>
        </w:rPr>
        <w:t xml:space="preserve">建立健全规划实施监督考核机制，明确各部门、各乡镇在规划实施中的职责和任务，定期对规划实施情况进行监督检查和考核评估，将考核结果纳入政府绩效考核体系。加强资金保障，拓宽资金筹集渠道，加大财政投入力度，积极争取上级资金支持，引导社会资本参与规划实施。</w:t>
      </w:r>
    </w:p>
    <w:p>
      <w:pPr>
        <w:bidi w:val="0"/>
        <w:rPr>
          <w:rFonts w:hint="default"/>
          <w:color w:val="auto"/>
          <w:highlight w:val="none"/>
        </w:rPr>
      </w:pPr>
      <w:bookmarkStart w:id="190" w:name="_Toc28809"/>
      <w:r>
        <w:rPr>
          <w:rFonts w:hint="eastAsia"/>
          <w:color w:val="auto"/>
          <w:highlight w:val="none"/>
          <w:lang w:val="en-US" w:eastAsia="zh-CN"/>
        </w:rPr>
        <w:t xml:space="preserve">3.</w:t>
      </w:r>
      <w:r>
        <w:rPr>
          <w:rFonts w:hint="default"/>
          <w:color w:val="auto"/>
          <w:highlight w:val="none"/>
        </w:rPr>
        <w:t xml:space="preserve">加强规划之间的衔接协调</w:t>
      </w:r>
      <w:bookmarkEnd w:id="190"/>
    </w:p>
    <w:p>
      <w:pPr>
        <w:bidi w:val="0"/>
        <w:rPr>
          <w:rFonts w:hint="default"/>
          <w:color w:val="auto"/>
          <w:highlight w:val="none"/>
        </w:rPr>
      </w:pPr>
      <w:r>
        <w:rPr>
          <w:rFonts w:hint="default"/>
          <w:color w:val="auto"/>
          <w:highlight w:val="none"/>
        </w:rPr>
        <w:t xml:space="preserve">建立规划协调机制，加强自然资源、交通、水利、农业农村等部门之间的沟通协作，在规划编制过程中，充分征求各部门意见，确保乡镇总体规划和村庄规划与其他专项规划相互衔接、相互融合，形成统一的规划体系。</w:t>
      </w:r>
    </w:p>
    <w:p>
      <w:pPr>
        <w:pStyle w:val="Heading2"/>
        <w:bidi w:val="0"/>
        <w:jc w:val="both"/>
        <w:outlineLvl w:val="0"/>
        <w:rPr>
          <w:rFonts w:ascii="黑体" w:eastAsia="黑体" w:hAnsi="黑体" w:cs="黑体" w:hint="default"/>
          <w:bCs/>
          <w:iCs/>
          <w:color w:val="auto"/>
          <w:highlight w:val="none"/>
        </w:rPr>
      </w:pPr>
      <w:bookmarkStart w:id="191" w:name="_Toc29174"/>
      <w:r>
        <w:rPr>
          <w:rFonts w:ascii="黑体" w:eastAsia="黑体" w:hAnsi="黑体" w:cs="黑体" w:hint="default"/>
          <w:bCs/>
          <w:iCs/>
          <w:color w:val="auto"/>
          <w:highlight w:val="none"/>
        </w:rPr>
        <w:t xml:space="preserve">七、其他需要说明的问题</w:t>
      </w:r>
      <w:bookmarkEnd w:id="183"/>
      <w:bookmarkEnd w:id="184"/>
      <w:bookmarkEnd w:id="185"/>
      <w:bookmarkEnd w:id="186"/>
      <w:bookmarkEnd w:id="187"/>
      <w:bookmarkEnd w:id="191"/>
    </w:p>
    <w:p>
      <w:pPr>
        <w:bidi w:val="0"/>
        <w:rPr>
          <w:rFonts w:hint="default"/>
          <w:color w:val="auto"/>
          <w:highlight w:val="none"/>
        </w:rPr>
      </w:pPr>
      <w:bookmarkStart w:id="192" w:name="OLE_LINK6"/>
      <w:bookmarkStart w:id="193" w:name="OLE_LINK5"/>
      <w:bookmarkStart w:id="194" w:name="_Toc4210"/>
      <w:bookmarkStart w:id="195" w:name="_Toc30245"/>
      <w:bookmarkStart w:id="196" w:name="_Toc28493"/>
      <w:r>
        <w:rPr>
          <w:rFonts w:hint="eastAsia"/>
          <w:color w:val="auto"/>
          <w:highlight w:val="none"/>
          <w:lang w:val="en-US" w:eastAsia="zh-CN"/>
        </w:rPr>
        <w:t xml:space="preserve">1、</w:t>
      </w:r>
      <w:r>
        <w:rPr>
          <w:rFonts w:hint="default"/>
          <w:color w:val="auto"/>
          <w:highlight w:val="none"/>
        </w:rPr>
        <w:t xml:space="preserve">本项目部分间接产生的效果无法准确在短期内衡量，因此很难认定项目产生的全部效果。通过指标来反映绩效，指标的科学性和全面性需要不断地完善和研究。</w:t>
      </w:r>
    </w:p>
    <w:p>
      <w:pPr>
        <w:bidi w:val="0"/>
        <w:rPr>
          <w:rFonts w:hint="default"/>
          <w:color w:val="auto"/>
          <w:highlight w:val="none"/>
        </w:rPr>
      </w:pPr>
      <w:r>
        <w:rPr>
          <w:rFonts w:hint="eastAsia"/>
          <w:color w:val="auto"/>
          <w:highlight w:val="none"/>
          <w:lang w:val="en-US" w:eastAsia="zh-CN"/>
        </w:rPr>
        <w:t xml:space="preserve">2、</w:t>
      </w:r>
      <w:r>
        <w:rPr>
          <w:rFonts w:hint="default"/>
          <w:color w:val="auto"/>
          <w:highlight w:val="none"/>
        </w:rPr>
        <w:t xml:space="preserve">评价结果分别编入政府决算和部门预算，报送本级人民代表大会常务委员会，并依法予以公开。</w:t>
      </w:r>
      <w:bookmarkEnd w:id="192"/>
      <w:bookmarkEnd w:id="193"/>
    </w:p>
    <w:p>
      <w:pPr>
        <w:pStyle w:val="Heading2"/>
        <w:bidi w:val="0"/>
        <w:rPr>
          <w:rFonts w:hint="default"/>
          <w:color w:val="auto"/>
          <w:highlight w:val="none"/>
        </w:rPr>
      </w:pPr>
      <w:bookmarkStart w:id="197" w:name="_Toc1500"/>
      <w:r>
        <w:rPr>
          <w:rFonts w:hint="default"/>
          <w:color w:val="auto"/>
          <w:highlight w:val="none"/>
        </w:rPr>
        <w:t xml:space="preserve">八、附件</w:t>
      </w:r>
      <w:bookmarkEnd w:id="194"/>
      <w:bookmarkEnd w:id="195"/>
      <w:bookmarkEnd w:id="196"/>
      <w:bookmarkEnd w:id="197"/>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1、项目支出绩效自评表</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2、项目支出绩效评价指标体系及评分</w:t>
      </w:r>
    </w:p>
    <w:p>
      <w:pPr>
        <w:pStyle w:val="Heading2"/>
        <w:bidi w:val="0"/>
        <w:ind w:left="0" w:firstLine="0" w:leftChars="0" w:firstLineChars="0"/>
        <w:jc w:val="both"/>
        <w:outlineLvl w:val="0"/>
        <w:rPr>
          <w:rFonts w:ascii="Times New Roman" w:eastAsia="仿宋_GB2312" w:hAnsi="Times New Roman" w:cs="Times New Roman" w:hint="default"/>
          <w:bCs/>
          <w:iCs/>
          <w:color w:val="auto"/>
          <w:highlight w:val="none"/>
        </w:rPr>
        <w:sectPr>
          <w:footerReference w:type="default" r:id="rId4"/>
          <w:pgSz w:w="11906" w:h="16838" w:orient="portrait"/>
          <w:pgMar w:top="1440" w:right="1800" w:bottom="1440" w:left="1800" w:header="851" w:footer="992" w:gutter="0"/>
          <w:pgBorders/>
          <w:pgNumType w:fmt="decimal" w:start="1"/>
          <w:cols w:num="1" w:space="720">
            <w:col w:w="8306" w:space="720"/>
          </w:cols>
          <w:docGrid w:type="lines" w:linePitch="312" w:charSpace="0"/>
        </w:sectPr>
      </w:pPr>
      <w:bookmarkStart w:id="198" w:name="_Toc28598"/>
      <w:bookmarkStart w:id="199" w:name="_Toc15698"/>
    </w:p>
    <w:p>
      <w:pPr>
        <w:pStyle w:val="Heading2"/>
        <w:bidi w:val="0"/>
        <w:ind w:left="0" w:firstLine="0" w:leftChars="0" w:firstLineChars="0"/>
        <w:jc w:val="both"/>
        <w:outlineLvl w:val="0"/>
        <w:rPr>
          <w:rFonts w:ascii="Times New Roman" w:eastAsia="仿宋_GB2312" w:hAnsi="Times New Roman" w:cs="Times New Roman" w:hint="default"/>
          <w:color w:val="auto"/>
          <w:highlight w:val="none"/>
        </w:rPr>
      </w:pPr>
      <w:bookmarkStart w:id="200" w:name="_Toc5739"/>
      <w:r>
        <w:rPr>
          <w:rFonts w:ascii="Times New Roman" w:eastAsia="仿宋_GB2312" w:hAnsi="Times New Roman" w:cs="Times New Roman" w:hint="default"/>
          <w:bCs/>
          <w:iCs/>
          <w:color w:val="auto"/>
          <w:highlight w:val="none"/>
        </w:rPr>
        <w:t xml:space="preserve">附件1：</w:t>
      </w:r>
      <w:bookmarkEnd w:id="198"/>
      <w:bookmarkEnd w:id="199"/>
      <w:r>
        <w:rPr>
          <w:rFonts w:ascii="Times New Roman" w:eastAsia="仿宋_GB2312" w:hAnsi="Times New Roman" w:cs="Times New Roman" w:hint="default"/>
          <w:color w:val="auto"/>
          <w:highlight w:val="none"/>
        </w:rPr>
        <w:t xml:space="preserve">项目支出绩效自评表</w:t>
      </w:r>
      <w:bookmarkEnd w:id="200"/>
    </w:p>
    <w:tbl>
      <w:tblPr>
        <w:tblStyle w:val="NormalTable"/>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Look w:firstRow="0" w:lastRow="0" w:firstColumn="0" w:lastColumn="0" w:noHBand="1" w:noVBand="1"/>
      </w:tblPr>
      <w:tblGrid>
        <w:gridCol w:w="1029"/>
        <w:gridCol w:w="1043"/>
        <w:gridCol w:w="1041"/>
        <w:gridCol w:w="1779"/>
        <w:gridCol w:w="1623"/>
        <w:gridCol w:w="1041"/>
        <w:gridCol w:w="892"/>
        <w:gridCol w:w="1030"/>
        <w:gridCol w:w="912"/>
        <w:gridCol w:w="1041"/>
        <w:gridCol w:w="1360"/>
        <w:gridCol w:w="1197"/>
      </w:tblGrid>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90"/>
        </w:trPr>
        <w:tc>
          <w:tcPr>
            <w:tcW w:w="5000" w:type="pct"/>
            <w:gridSpan w:val="1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标题"/>
              <w:bidi w:val="0"/>
              <w:rPr>
                <w:color w:val="auto"/>
                <w:highlight w:val="none"/>
              </w:rPr>
            </w:pPr>
            <w:bookmarkStart w:id="201" w:name="_Toc14702"/>
            <w:bookmarkStart w:id="202" w:name="_Toc24753"/>
            <w:bookmarkStart w:id="203" w:name="_Toc5134"/>
            <w:bookmarkStart w:id="204" w:name="_Toc1641"/>
            <w:bookmarkStart w:id="205" w:name="_Toc29757"/>
            <w:bookmarkStart w:id="206" w:name="_Toc22143"/>
            <w:bookmarkStart w:id="207" w:name="_Toc31300"/>
            <w:bookmarkStart w:id="208" w:name="_Toc28099"/>
            <w:r>
              <w:rPr>
                <w:rFonts w:hint="default"/>
                <w:color w:val="auto"/>
                <w:highlight w:val="none"/>
                <w:lang w:val="en-US" w:eastAsia="zh-CN"/>
              </w:rPr>
              <w:t xml:space="preserve">项目支出绩效自评表</w:t>
            </w:r>
            <w:bookmarkEnd w:id="201"/>
            <w:bookmarkEnd w:id="202"/>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449"/>
        </w:trPr>
        <w:tc>
          <w:tcPr>
            <w:tcW w:w="5000" w:type="pct"/>
            <w:gridSpan w:val="1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(2024年度)</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270"/>
        </w:trPr>
        <w:tc>
          <w:tcPr>
            <w:tcW w:w="741"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项目名称</w:t>
            </w:r>
          </w:p>
        </w:tc>
        <w:tc>
          <w:tcPr>
            <w:tcW w:w="4258" w:type="pct"/>
            <w:gridSpan w:val="10"/>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乡镇国土空间规划和村庄规划编制项目</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600"/>
        </w:trPr>
        <w:tc>
          <w:tcPr>
            <w:tcW w:w="741"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主管部门</w:t>
            </w:r>
          </w:p>
        </w:tc>
        <w:tc>
          <w:tcPr>
            <w:tcW w:w="2279" w:type="pct"/>
            <w:gridSpan w:val="5"/>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尉犁县自然资源局</w:t>
            </w:r>
          </w:p>
        </w:tc>
        <w:tc>
          <w:tcPr>
            <w:tcW w:w="694"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实施单位</w:t>
            </w:r>
          </w:p>
        </w:tc>
        <w:tc>
          <w:tcPr>
            <w:tcW w:w="1285" w:type="pct"/>
            <w:gridSpan w:val="3"/>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尉犁县自然资源局</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440"/>
        </w:trPr>
        <w:tc>
          <w:tcPr>
            <w:tcW w:w="741" w:type="pct"/>
            <w:gridSpan w:val="2"/>
            <w:vMerge w:val="restar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项目资金</w:t>
            </w:r>
            <w:r>
              <w:rPr>
                <w:rFonts w:hint="eastAsia"/>
                <w:color w:val="auto"/>
                <w:highlight w:val="none"/>
                <w:lang w:val="en-US" w:eastAsia="zh-CN"/>
              </w:rPr>
              <w:br/>
            </w:r>
            <w:r>
              <w:rPr>
                <w:rFonts w:hint="eastAsia"/>
                <w:color w:val="auto"/>
                <w:highlight w:val="none"/>
                <w:lang w:val="en-US" w:eastAsia="zh-CN"/>
              </w:rPr>
              <w:t xml:space="preserve">（万元）</w:t>
            </w:r>
          </w:p>
        </w:tc>
        <w:tc>
          <w:tcPr>
            <w:tcW w:w="1008"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资金来源</w:t>
            </w:r>
          </w:p>
        </w:tc>
        <w:tc>
          <w:tcPr>
            <w:tcW w:w="580"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年初预算数</w:t>
            </w:r>
          </w:p>
        </w:tc>
        <w:tc>
          <w:tcPr>
            <w:tcW w:w="690"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全年预算数</w:t>
            </w:r>
          </w:p>
        </w:tc>
        <w:tc>
          <w:tcPr>
            <w:tcW w:w="694"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全年执行数</w:t>
            </w: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分值权重</w:t>
            </w:r>
          </w:p>
        </w:tc>
        <w:tc>
          <w:tcPr>
            <w:tcW w:w="48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执行率</w:t>
            </w:r>
          </w:p>
        </w:tc>
        <w:tc>
          <w:tcPr>
            <w:tcW w:w="427"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得分</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440"/>
        </w:trPr>
        <w:tc>
          <w:tcPr>
            <w:tcW w:w="741" w:type="pct"/>
            <w:gridSpan w:val="2"/>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c>
          <w:tcPr>
            <w:tcW w:w="1008"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年度资金总额</w:t>
            </w:r>
          </w:p>
        </w:tc>
        <w:tc>
          <w:tcPr>
            <w:tcW w:w="580"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268.00</w:t>
            </w:r>
          </w:p>
        </w:tc>
        <w:tc>
          <w:tcPr>
            <w:tcW w:w="690"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268.00</w:t>
            </w:r>
          </w:p>
        </w:tc>
        <w:tc>
          <w:tcPr>
            <w:tcW w:w="694"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268.00</w:t>
            </w: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10</w:t>
            </w:r>
          </w:p>
        </w:tc>
        <w:tc>
          <w:tcPr>
            <w:tcW w:w="48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100.00%</w:t>
            </w:r>
          </w:p>
        </w:tc>
        <w:tc>
          <w:tcPr>
            <w:tcW w:w="427"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10.00分</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440"/>
        </w:trPr>
        <w:tc>
          <w:tcPr>
            <w:tcW w:w="741" w:type="pct"/>
            <w:gridSpan w:val="2"/>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c>
          <w:tcPr>
            <w:tcW w:w="1008"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其中：当年财政拨款</w:t>
            </w:r>
          </w:p>
        </w:tc>
        <w:tc>
          <w:tcPr>
            <w:tcW w:w="580"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268</w:t>
            </w:r>
          </w:p>
        </w:tc>
        <w:tc>
          <w:tcPr>
            <w:tcW w:w="690"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268</w:t>
            </w:r>
          </w:p>
        </w:tc>
        <w:tc>
          <w:tcPr>
            <w:tcW w:w="694"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268</w:t>
            </w: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w:t>
            </w:r>
          </w:p>
        </w:tc>
        <w:tc>
          <w:tcPr>
            <w:tcW w:w="48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w:t>
            </w:r>
          </w:p>
        </w:tc>
        <w:tc>
          <w:tcPr>
            <w:tcW w:w="427"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440"/>
        </w:trPr>
        <w:tc>
          <w:tcPr>
            <w:tcW w:w="741" w:type="pct"/>
            <w:gridSpan w:val="2"/>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c>
          <w:tcPr>
            <w:tcW w:w="1008"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其他资金</w:t>
            </w:r>
          </w:p>
        </w:tc>
        <w:tc>
          <w:tcPr>
            <w:tcW w:w="580"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0.00</w:t>
            </w:r>
          </w:p>
        </w:tc>
        <w:tc>
          <w:tcPr>
            <w:tcW w:w="690"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0.00</w:t>
            </w:r>
          </w:p>
        </w:tc>
        <w:tc>
          <w:tcPr>
            <w:tcW w:w="694" w:type="pct"/>
            <w:gridSpan w:val="2"/>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eastAsia="仿宋_GB2312" w:hint="default"/>
                <w:color w:val="auto"/>
                <w:highlight w:val="none"/>
                <w:lang w:val="en-US" w:eastAsia="zh-CN"/>
              </w:rPr>
            </w:pPr>
            <w:r>
              <w:rPr>
                <w:rFonts w:hint="eastAsia"/>
                <w:color w:val="auto"/>
                <w:highlight w:val="none"/>
                <w:lang w:val="en-US" w:eastAsia="zh-CN"/>
              </w:rPr>
              <w:t xml:space="preserve">0.00</w:t>
            </w: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w:t>
            </w:r>
          </w:p>
        </w:tc>
        <w:tc>
          <w:tcPr>
            <w:tcW w:w="48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w:t>
            </w:r>
          </w:p>
        </w:tc>
        <w:tc>
          <w:tcPr>
            <w:tcW w:w="427"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445"/>
        </w:trPr>
        <w:tc>
          <w:tcPr>
            <w:tcW w:w="368" w:type="pct"/>
            <w:vMerge w:val="restar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年度总体目标</w:t>
            </w:r>
          </w:p>
        </w:tc>
        <w:tc>
          <w:tcPr>
            <w:tcW w:w="2651" w:type="pct"/>
            <w:gridSpan w:val="6"/>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总体目标</w:t>
            </w:r>
          </w:p>
        </w:tc>
        <w:tc>
          <w:tcPr>
            <w:tcW w:w="1979" w:type="pct"/>
            <w:gridSpan w:val="5"/>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总体目标完成情况</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860"/>
        </w:trPr>
        <w:tc>
          <w:tcPr>
            <w:tcW w:w="368" w:type="pct"/>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c>
          <w:tcPr>
            <w:tcW w:w="2651" w:type="pct"/>
            <w:gridSpan w:val="6"/>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按照建立我县“两级三类”国土空间规划体系的要求，根据自治州党委、自治州人民政府关于全面推进乡村振兴，加快农业农村现代化的实施方案，不断推进乡镇级国土空间规划和“多规合一”实用性村庄规划的编制工作，使我县乡村振兴、村庄建设工作有章可循，2024年度需完成6个乡镇国土空间规划和39个行政村的规划编制工作，提交乡（镇）规划成果6套、提交行政村规划成果35套，使数据成果的准确率达到100%。</w:t>
            </w:r>
          </w:p>
        </w:tc>
        <w:tc>
          <w:tcPr>
            <w:tcW w:w="1979" w:type="pct"/>
            <w:gridSpan w:val="5"/>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按照建立我县“两级三类”国土空间规划体系的要求，根据自治州党委、自治州人民政府关于全面推进乡村振兴，加快农业农村现代化的实施方案，不断推进乡镇级国土空间规划和“多规合一”实用性村庄规划的编制工作，使我县乡村振兴、村庄建设工作有章可循，2024年度已完成6个乡镇国土空间规划和39个行政村的规划编制工作，提交乡（镇）规划成果6套、提交行政村规划成果35套，使数据成果的准确率达到100%，资金268万元已全部支付完毕，有效推动了我县乡村振兴和生态文明建设工作。</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890"/>
        </w:trPr>
        <w:tc>
          <w:tcPr>
            <w:tcW w:w="368"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一级指标</w:t>
            </w: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二级指标</w:t>
            </w:r>
          </w:p>
        </w:tc>
        <w:tc>
          <w:tcPr>
            <w:tcW w:w="635"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三级指标</w:t>
            </w:r>
          </w:p>
        </w:tc>
        <w:tc>
          <w:tcPr>
            <w:tcW w:w="580"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指标值</w:t>
            </w: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指标值设置依据</w:t>
            </w:r>
          </w:p>
        </w:tc>
        <w:tc>
          <w:tcPr>
            <w:tcW w:w="318"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上年完成值</w:t>
            </w:r>
          </w:p>
        </w:tc>
        <w:tc>
          <w:tcPr>
            <w:tcW w:w="368"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指标分值权重</w:t>
            </w:r>
          </w:p>
        </w:tc>
        <w:tc>
          <w:tcPr>
            <w:tcW w:w="325"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指标赋分规则</w:t>
            </w: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佐证资料</w:t>
            </w:r>
          </w:p>
        </w:tc>
        <w:tc>
          <w:tcPr>
            <w:tcW w:w="48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完成率</w:t>
            </w:r>
          </w:p>
        </w:tc>
        <w:tc>
          <w:tcPr>
            <w:tcW w:w="427"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偏差原因分析及改进措施</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600"/>
        </w:trPr>
        <w:tc>
          <w:tcPr>
            <w:tcW w:w="368" w:type="pct"/>
            <w:vMerge w:val="restar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年度绩效指标完成情况</w:t>
            </w:r>
          </w:p>
        </w:tc>
        <w:tc>
          <w:tcPr>
            <w:tcW w:w="372" w:type="pct"/>
            <w:vMerge w:val="restar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产出指标</w:t>
            </w: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数量指标</w:t>
            </w:r>
          </w:p>
        </w:tc>
        <w:tc>
          <w:tcPr>
            <w:tcW w:w="635"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提交乡（镇）规划成果</w:t>
            </w:r>
          </w:p>
        </w:tc>
        <w:tc>
          <w:tcPr>
            <w:tcW w:w="580"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=6套</w:t>
            </w: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318"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w:t>
            </w:r>
          </w:p>
        </w:tc>
        <w:tc>
          <w:tcPr>
            <w:tcW w:w="368"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6</w:t>
            </w:r>
          </w:p>
        </w:tc>
        <w:tc>
          <w:tcPr>
            <w:tcW w:w="325"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按照完成比例赋分</w:t>
            </w: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工作资料</w:t>
            </w:r>
          </w:p>
        </w:tc>
        <w:tc>
          <w:tcPr>
            <w:tcW w:w="48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427"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600"/>
        </w:trPr>
        <w:tc>
          <w:tcPr>
            <w:tcW w:w="368" w:type="pct"/>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c>
          <w:tcPr>
            <w:tcW w:w="372" w:type="pct"/>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数量指标</w:t>
            </w:r>
          </w:p>
        </w:tc>
        <w:tc>
          <w:tcPr>
            <w:tcW w:w="635"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提交行政村规划成果</w:t>
            </w:r>
          </w:p>
        </w:tc>
        <w:tc>
          <w:tcPr>
            <w:tcW w:w="580"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=35套</w:t>
            </w: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318"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w:t>
            </w:r>
          </w:p>
        </w:tc>
        <w:tc>
          <w:tcPr>
            <w:tcW w:w="368"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6</w:t>
            </w:r>
          </w:p>
        </w:tc>
        <w:tc>
          <w:tcPr>
            <w:tcW w:w="325"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按照完成比例赋分</w:t>
            </w: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工作资料</w:t>
            </w:r>
          </w:p>
        </w:tc>
        <w:tc>
          <w:tcPr>
            <w:tcW w:w="48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427"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600"/>
        </w:trPr>
        <w:tc>
          <w:tcPr>
            <w:tcW w:w="368" w:type="pct"/>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c>
          <w:tcPr>
            <w:tcW w:w="372" w:type="pct"/>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数量指标</w:t>
            </w:r>
          </w:p>
        </w:tc>
        <w:tc>
          <w:tcPr>
            <w:tcW w:w="635"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提交电子数据</w:t>
            </w:r>
          </w:p>
        </w:tc>
        <w:tc>
          <w:tcPr>
            <w:tcW w:w="580"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=2套</w:t>
            </w: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318"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w:t>
            </w:r>
          </w:p>
        </w:tc>
        <w:tc>
          <w:tcPr>
            <w:tcW w:w="368"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6</w:t>
            </w:r>
          </w:p>
        </w:tc>
        <w:tc>
          <w:tcPr>
            <w:tcW w:w="325"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按照完成比例赋分</w:t>
            </w: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工作资料</w:t>
            </w:r>
          </w:p>
        </w:tc>
        <w:tc>
          <w:tcPr>
            <w:tcW w:w="48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427"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600"/>
        </w:trPr>
        <w:tc>
          <w:tcPr>
            <w:tcW w:w="368" w:type="pct"/>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c>
          <w:tcPr>
            <w:tcW w:w="372" w:type="pct"/>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数量指标</w:t>
            </w:r>
          </w:p>
        </w:tc>
        <w:tc>
          <w:tcPr>
            <w:tcW w:w="635"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规划编制涉及乡（镇）</w:t>
            </w:r>
          </w:p>
        </w:tc>
        <w:tc>
          <w:tcPr>
            <w:tcW w:w="580"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=6个</w:t>
            </w: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318"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w:t>
            </w:r>
          </w:p>
        </w:tc>
        <w:tc>
          <w:tcPr>
            <w:tcW w:w="368"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6</w:t>
            </w:r>
          </w:p>
        </w:tc>
        <w:tc>
          <w:tcPr>
            <w:tcW w:w="325"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按照完成比例赋分</w:t>
            </w: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工作资料</w:t>
            </w:r>
          </w:p>
        </w:tc>
        <w:tc>
          <w:tcPr>
            <w:tcW w:w="48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427"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600"/>
        </w:trPr>
        <w:tc>
          <w:tcPr>
            <w:tcW w:w="368" w:type="pct"/>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c>
          <w:tcPr>
            <w:tcW w:w="372" w:type="pct"/>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数量指标</w:t>
            </w:r>
          </w:p>
        </w:tc>
        <w:tc>
          <w:tcPr>
            <w:tcW w:w="635"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规划编制涉及行政村</w:t>
            </w:r>
          </w:p>
        </w:tc>
        <w:tc>
          <w:tcPr>
            <w:tcW w:w="580"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=39个</w:t>
            </w: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318"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w:t>
            </w:r>
          </w:p>
        </w:tc>
        <w:tc>
          <w:tcPr>
            <w:tcW w:w="368"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6</w:t>
            </w:r>
          </w:p>
        </w:tc>
        <w:tc>
          <w:tcPr>
            <w:tcW w:w="325"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按照完成比例赋分</w:t>
            </w: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工作资料</w:t>
            </w:r>
          </w:p>
        </w:tc>
        <w:tc>
          <w:tcPr>
            <w:tcW w:w="48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427"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600"/>
        </w:trPr>
        <w:tc>
          <w:tcPr>
            <w:tcW w:w="368" w:type="pct"/>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c>
          <w:tcPr>
            <w:tcW w:w="372" w:type="pct"/>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质量指标</w:t>
            </w:r>
          </w:p>
        </w:tc>
        <w:tc>
          <w:tcPr>
            <w:tcW w:w="635"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数据库成果准确率</w:t>
            </w:r>
          </w:p>
        </w:tc>
        <w:tc>
          <w:tcPr>
            <w:tcW w:w="580"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318"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w:t>
            </w:r>
          </w:p>
        </w:tc>
        <w:tc>
          <w:tcPr>
            <w:tcW w:w="368"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5</w:t>
            </w:r>
          </w:p>
        </w:tc>
        <w:tc>
          <w:tcPr>
            <w:tcW w:w="325"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按照完成比例赋分</w:t>
            </w: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工作资料</w:t>
            </w:r>
          </w:p>
        </w:tc>
        <w:tc>
          <w:tcPr>
            <w:tcW w:w="48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427"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600"/>
        </w:trPr>
        <w:tc>
          <w:tcPr>
            <w:tcW w:w="368" w:type="pct"/>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c>
          <w:tcPr>
            <w:tcW w:w="372" w:type="pct"/>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时效指标</w:t>
            </w:r>
          </w:p>
        </w:tc>
        <w:tc>
          <w:tcPr>
            <w:tcW w:w="635"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资金支付及时率</w:t>
            </w:r>
          </w:p>
        </w:tc>
        <w:tc>
          <w:tcPr>
            <w:tcW w:w="580"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318"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w:t>
            </w:r>
          </w:p>
        </w:tc>
        <w:tc>
          <w:tcPr>
            <w:tcW w:w="368"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5</w:t>
            </w:r>
          </w:p>
        </w:tc>
        <w:tc>
          <w:tcPr>
            <w:tcW w:w="325"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按照完成比例赋分</w:t>
            </w: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原始凭证</w:t>
            </w:r>
          </w:p>
        </w:tc>
        <w:tc>
          <w:tcPr>
            <w:tcW w:w="48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427"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600"/>
        </w:trPr>
        <w:tc>
          <w:tcPr>
            <w:tcW w:w="368" w:type="pct"/>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成本指标</w:t>
            </w: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经济成本指标</w:t>
            </w:r>
          </w:p>
        </w:tc>
        <w:tc>
          <w:tcPr>
            <w:tcW w:w="635"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规划编制技术服务费</w:t>
            </w:r>
          </w:p>
        </w:tc>
        <w:tc>
          <w:tcPr>
            <w:tcW w:w="580"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&lt;=268万元</w:t>
            </w: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318"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w:t>
            </w:r>
          </w:p>
        </w:tc>
        <w:tc>
          <w:tcPr>
            <w:tcW w:w="368"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20</w:t>
            </w:r>
          </w:p>
        </w:tc>
        <w:tc>
          <w:tcPr>
            <w:tcW w:w="325"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按照完成比例赋分</w:t>
            </w: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原始凭证</w:t>
            </w:r>
          </w:p>
        </w:tc>
        <w:tc>
          <w:tcPr>
            <w:tcW w:w="48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427"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600"/>
        </w:trPr>
        <w:tc>
          <w:tcPr>
            <w:tcW w:w="368" w:type="pct"/>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c>
          <w:tcPr>
            <w:tcW w:w="372" w:type="pct"/>
            <w:vMerge w:val="restar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效益指标</w:t>
            </w: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经济效益指标</w:t>
            </w:r>
          </w:p>
        </w:tc>
        <w:tc>
          <w:tcPr>
            <w:tcW w:w="635"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推动乡村振兴</w:t>
            </w:r>
          </w:p>
        </w:tc>
        <w:tc>
          <w:tcPr>
            <w:tcW w:w="580"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有效推动</w:t>
            </w: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318"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w:t>
            </w:r>
          </w:p>
        </w:tc>
        <w:tc>
          <w:tcPr>
            <w:tcW w:w="368"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15</w:t>
            </w:r>
          </w:p>
        </w:tc>
        <w:tc>
          <w:tcPr>
            <w:tcW w:w="325"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按评判等级赋分</w:t>
            </w: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工作资料</w:t>
            </w:r>
          </w:p>
        </w:tc>
        <w:tc>
          <w:tcPr>
            <w:tcW w:w="48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427"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600"/>
        </w:trPr>
        <w:tc>
          <w:tcPr>
            <w:tcW w:w="368" w:type="pct"/>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c>
          <w:tcPr>
            <w:tcW w:w="372" w:type="pct"/>
            <w:vMerge/>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生态效益指标</w:t>
            </w:r>
          </w:p>
        </w:tc>
        <w:tc>
          <w:tcPr>
            <w:tcW w:w="635"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推进生态文明建设</w:t>
            </w:r>
          </w:p>
        </w:tc>
        <w:tc>
          <w:tcPr>
            <w:tcW w:w="580"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有效推进</w:t>
            </w: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计划标准</w:t>
            </w:r>
          </w:p>
        </w:tc>
        <w:tc>
          <w:tcPr>
            <w:tcW w:w="318"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w:t>
            </w:r>
          </w:p>
        </w:tc>
        <w:tc>
          <w:tcPr>
            <w:tcW w:w="368"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15</w:t>
            </w:r>
          </w:p>
        </w:tc>
        <w:tc>
          <w:tcPr>
            <w:tcW w:w="325"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按评判等级赋分</w:t>
            </w: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工作资料</w:t>
            </w:r>
          </w:p>
        </w:tc>
        <w:tc>
          <w:tcPr>
            <w:tcW w:w="48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100%</w:t>
            </w:r>
          </w:p>
        </w:tc>
        <w:tc>
          <w:tcPr>
            <w:tcW w:w="427"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val="500"/>
        </w:trPr>
        <w:tc>
          <w:tcPr>
            <w:tcW w:w="1749" w:type="pct"/>
            <w:gridSpan w:val="4"/>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r>
              <w:rPr>
                <w:rFonts w:hint="eastAsia"/>
                <w:color w:val="auto"/>
                <w:highlight w:val="none"/>
                <w:lang w:val="en-US" w:eastAsia="zh-CN"/>
              </w:rPr>
              <w:t xml:space="preserve">总分</w:t>
            </w:r>
          </w:p>
        </w:tc>
        <w:tc>
          <w:tcPr>
            <w:tcW w:w="580"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c>
          <w:tcPr>
            <w:tcW w:w="318"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c>
          <w:tcPr>
            <w:tcW w:w="368"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c>
          <w:tcPr>
            <w:tcW w:w="325"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c>
          <w:tcPr>
            <w:tcW w:w="372"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c>
          <w:tcPr>
            <w:tcW w:w="486"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c>
          <w:tcPr>
            <w:tcW w:w="427" w:type="pct"/>
            <w:tcBorders>
              <w:top w:val="single" w:sz="4" w:space="0" w:color="auto"/>
              <w:left w:val="single" w:sz="4" w:space="0" w:color="auto"/>
              <w:bottom w:val="single" w:sz="4" w:space="0" w:color="auto"/>
              <w:right w:val="single" w:sz="4" w:space="0" w:color="auto"/>
            </w:tcBorders>
            <w:noWrap w:val="0"/>
            <w:tcMar>
              <w:top w:w="15" w:type="dxa"/>
              <w:left w:w="15" w:type="dxa"/>
              <w:bottom w:w="0" w:type="dxa"/>
              <w:right w:w="15" w:type="dxa"/>
            </w:tcMar>
            <w:vAlign w:val="center"/>
          </w:tcPr>
          <w:p>
            <w:pPr>
              <w:pStyle w:val="表格内容"/>
              <w:bidi w:val="0"/>
              <w:rPr>
                <w:rFonts w:hint="eastAsia"/>
                <w:color w:val="auto"/>
                <w:highlight w:val="none"/>
              </w:rPr>
            </w:pPr>
          </w:p>
        </w:tc>
      </w:tr>
    </w:tbl>
    <w:p>
      <w:pPr>
        <w:pStyle w:val="Heading2"/>
        <w:bidi w:val="0"/>
        <w:jc w:val="both"/>
        <w:outlineLvl w:val="9"/>
        <w:rPr>
          <w:rFonts w:ascii="Times New Roman" w:eastAsia="仿宋_GB2312" w:hAnsi="Times New Roman" w:cs="Times New Roman" w:hint="default"/>
          <w:color w:val="auto"/>
          <w:highlight w:val="none"/>
        </w:rPr>
        <w:sectPr>
          <w:pgSz w:w="16838" w:h="11906" w:orient="landscape"/>
          <w:pgMar w:top="1800" w:right="1440" w:bottom="1800" w:left="1440" w:header="851" w:footer="992" w:gutter="0"/>
          <w:pgBorders/>
          <w:pgNumType w:fmt="decimal"/>
          <w:cols w:num="1" w:space="720">
            <w:col w:w="13958" w:space="720"/>
          </w:cols>
          <w:docGrid w:type="lines" w:linePitch="312" w:charSpace="0"/>
        </w:sectPr>
      </w:pPr>
    </w:p>
    <w:p>
      <w:pPr>
        <w:pStyle w:val="Heading2"/>
        <w:bidi w:val="0"/>
        <w:jc w:val="both"/>
        <w:outlineLvl w:val="0"/>
        <w:rPr>
          <w:rFonts w:ascii="Times New Roman" w:eastAsia="仿宋_GB2312" w:hAnsi="Times New Roman" w:cs="Times New Roman" w:hint="default"/>
          <w:color w:val="auto"/>
          <w:highlight w:val="none"/>
        </w:rPr>
      </w:pPr>
      <w:bookmarkStart w:id="209" w:name="_Toc26113"/>
      <w:r>
        <w:rPr>
          <w:rFonts w:ascii="Times New Roman" w:eastAsia="仿宋_GB2312" w:hAnsi="Times New Roman" w:cs="Times New Roman" w:hint="default"/>
          <w:color w:val="auto"/>
          <w:highlight w:val="none"/>
        </w:rPr>
        <w:t xml:space="preserve">附件2：</w:t>
      </w:r>
      <w:bookmarkEnd w:id="203"/>
      <w:bookmarkEnd w:id="204"/>
      <w:bookmarkEnd w:id="205"/>
      <w:bookmarkEnd w:id="206"/>
      <w:bookmarkEnd w:id="207"/>
      <w:bookmarkEnd w:id="208"/>
      <w:r>
        <w:rPr>
          <w:rFonts w:ascii="Times New Roman" w:eastAsia="仿宋_GB2312" w:hAnsi="Times New Roman" w:cs="Times New Roman" w:hint="default"/>
          <w:color w:val="auto"/>
          <w:highlight w:val="none"/>
        </w:rPr>
        <w:t xml:space="preserve">项目支出绩效评价指标体系及评分</w:t>
      </w:r>
      <w:bookmarkEnd w:id="209"/>
    </w:p>
    <w:p>
      <w:pPr>
        <w:pStyle w:val="表格标题"/>
        <w:bidi w:val="0"/>
        <w:jc w:val="center"/>
        <w:rPr>
          <w:rFonts w:ascii="Times New Roman" w:eastAsia="仿宋_GB2312" w:hAnsi="Times New Roman" w:cs="Times New Roman" w:hint="default"/>
          <w:color w:val="auto"/>
          <w:highlight w:val="none"/>
        </w:rPr>
      </w:pPr>
      <w:bookmarkStart w:id="210" w:name="_Toc28172"/>
      <w:bookmarkStart w:id="211" w:name="_Toc9316"/>
      <w:bookmarkStart w:id="212" w:name="_Toc29561"/>
      <w:bookmarkStart w:id="213" w:name="_Toc15097"/>
      <w:r>
        <w:rPr>
          <w:rFonts w:ascii="Times New Roman" w:eastAsia="仿宋_GB2312" w:hAnsi="Times New Roman" w:cs="Times New Roman" w:hint="default"/>
          <w:color w:val="auto"/>
          <w:highlight w:val="none"/>
        </w:rPr>
        <w:t xml:space="preserve">项目支出绩效评价指标体系及评分</w:t>
      </w:r>
      <w:bookmarkEnd w:id="210"/>
      <w:bookmarkEnd w:id="211"/>
      <w:bookmarkEnd w:id="212"/>
      <w:bookmarkEnd w:id="213"/>
    </w:p>
    <w:tbl>
      <w:tblPr>
        <w:tblStyle w:val="NormalTable"/>
        <w:tblW w:w="5674" w:type="pct"/>
        <w:jc w:val="center"/>
        <w:tblLayout w:type="fixed"/>
        <w:tblCellMar>
          <w:top w:w="0" w:type="dxa"/>
          <w:left w:w="108" w:type="dxa"/>
          <w:bottom w:w="0" w:type="dxa"/>
          <w:right w:w="108" w:type="dxa"/>
        </w:tblCellMar>
        <w:tblLook w:firstRow="0" w:lastRow="0" w:firstColumn="0" w:lastColumn="0" w:noHBand="1" w:noVBand="1"/>
      </w:tblPr>
      <w:tblGrid>
        <w:gridCol w:w="592"/>
        <w:gridCol w:w="669"/>
        <w:gridCol w:w="816"/>
        <w:gridCol w:w="2173"/>
        <w:gridCol w:w="4183"/>
        <w:gridCol w:w="613"/>
        <w:gridCol w:w="625"/>
      </w:tblGrid>
      <w:tr>
        <w:trPr>
          <w:trHeight w:val="460"/>
          <w:jc w:val="center"/>
        </w:trPr>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一级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w:t>
            </w:r>
          </w:p>
        </w:tc>
        <w:tc>
          <w:tcPr>
            <w:tcW w:w="34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二级指标</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三级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指标解释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指标说明</w:t>
            </w:r>
          </w:p>
        </w:tc>
        <w:tc>
          <w:tcPr>
            <w:tcW w:w="3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分值</w:t>
            </w:r>
          </w:p>
        </w:tc>
        <w:tc>
          <w:tcPr>
            <w:tcW w:w="32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得分</w:t>
            </w:r>
          </w:p>
        </w:tc>
      </w:tr>
      <w:tr>
        <w:tblPrEx>
          <w:tblW w:w="5674" w:type="pct"/>
          <w:tblLayout w:type="fixed"/>
          <w:tblCellMar>
            <w:top w:w="0" w:type="dxa"/>
            <w:left w:w="108" w:type="dxa"/>
            <w:bottom w:w="0" w:type="dxa"/>
            <w:right w:w="108" w:type="dxa"/>
          </w:tblCellMar>
        </w:tblPrEx>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决策</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eastAsia"/>
                <w:color w:val="auto"/>
                <w:sz w:val="18"/>
                <w:szCs w:val="18"/>
                <w:highlight w:val="none"/>
                <w:lang w:eastAsia="zh-CN"/>
              </w:rPr>
            </w:pPr>
            <w:r>
              <w:rPr>
                <w:rFonts w:ascii="Times New Roman" w:eastAsia="仿宋_GB2312" w:hAnsi="Times New Roman" w:cs="Times New Roman" w:hint="default"/>
                <w:color w:val="auto"/>
                <w:sz w:val="18"/>
                <w:szCs w:val="18"/>
                <w:highlight w:val="none"/>
              </w:rPr>
              <w:t xml:space="preserve">项目</w:t>
            </w:r>
            <w:r>
              <w:rPr>
                <w:rFonts w:cs="Times New Roman" w:hint="eastAsia"/>
                <w:color w:val="auto"/>
                <w:sz w:val="18"/>
                <w:szCs w:val="18"/>
                <w:highlight w:val="none"/>
                <w:lang w:eastAsia="zh-CN"/>
              </w:rPr>
              <w:t xml:space="preserve">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依据充分性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是否符合法律法规、相关政策、发展规划以及部门职责，用以反映和考核项目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依据情况。</w:t>
            </w: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⑤项目是否与相关部门同类项目或部门内部相关项目重复。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3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程序规范性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项目申请、设立过程是否符合相关要求，用以反映和考核项目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的规范情况。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10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254"/>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22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绩效目标</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绩效目标合理性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15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①项目是否有绩效目标；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9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53"/>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绩效指标明确性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4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3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资金投入</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预算编制科学性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76"/>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资金分配合理性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08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top"/>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过程</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资金管理</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资金到位率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资金到位率=（实际到位资金/预算资金）×100%。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58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预算执行率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预算执行率=（实际支出资金/实际到位资金）×100%。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eastAsia="zh-CN"/>
              </w:rPr>
            </w:pPr>
            <w:r>
              <w:rPr>
                <w:rFonts w:ascii="Times New Roman" w:eastAsia="仿宋_GB2312" w:hAnsi="Times New Roman" w:cs="Times New Roman" w:hint="default"/>
                <w:color w:val="auto"/>
                <w:sz w:val="18"/>
                <w:szCs w:val="18"/>
                <w:highlight w:val="none"/>
                <w:lang w:val="en-US" w:eastAsia="zh-CN"/>
              </w:rPr>
              <w:t xml:space="preserve">4</w:t>
            </w:r>
          </w:p>
        </w:tc>
      </w:tr>
      <w:tr>
        <w:tblPrEx>
          <w:tblW w:w="5674" w:type="pct"/>
          <w:tblLayout w:type="fixed"/>
          <w:tblCellMar>
            <w:top w:w="0" w:type="dxa"/>
            <w:left w:w="108" w:type="dxa"/>
            <w:bottom w:w="0" w:type="dxa"/>
            <w:right w:w="108" w:type="dxa"/>
          </w:tblCellMar>
        </w:tblPrEx>
        <w:trPr>
          <w:trHeight w:val="62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资金使用合规性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19"/>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组织实施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管理制度健全性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233"/>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制度执行有效性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15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产出数量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实际完成率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实际完成率=（实际产出数/计划产出数）×100%。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33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产出质量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质量达标率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质量达标率=（质量达标产出数/实际产出数）×100%。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r>
      <w:tr>
        <w:tblPrEx>
          <w:tblW w:w="5674" w:type="pct"/>
          <w:tblLayout w:type="fixed"/>
          <w:tblCellMar>
            <w:top w:w="0" w:type="dxa"/>
            <w:left w:w="108" w:type="dxa"/>
            <w:bottom w:w="0" w:type="dxa"/>
            <w:right w:w="108" w:type="dxa"/>
          </w:tblCellMar>
        </w:tblPrEx>
        <w:trPr>
          <w:trHeight w:val="88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产出时效</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完成及时性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ascii="Times New Roman" w:eastAsia="仿宋_GB2312" w:hAnsi="Times New Roman" w:cs="Times New Roman" w:hint="default"/>
                <w:color w:val="auto"/>
                <w:sz w:val="18"/>
                <w:szCs w:val="18"/>
                <w:highlight w:val="none"/>
                <w:lang w:val="en-US" w:eastAsia="zh-CN"/>
              </w:rPr>
              <w:t xml:space="preserve">12</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产出成本</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成本节约率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ascii="Times New Roman" w:eastAsia="仿宋_GB2312" w:hAnsi="Times New Roman" w:cs="Times New Roman" w:hint="default"/>
                <w:color w:val="auto"/>
                <w:sz w:val="18"/>
                <w:szCs w:val="18"/>
                <w:highlight w:val="none"/>
                <w:lang w:val="en-US" w:eastAsia="zh-CN"/>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成本节约率=〔（计划成本</w:t>
            </w:r>
            <w:r>
              <w:rPr>
                <w:rFonts w:ascii="Times New Roman" w:eastAsia="仿宋_GB2312" w:hAnsi="Times New Roman" w:cs="Times New Roman" w:hint="default"/>
                <w:color w:val="auto"/>
                <w:sz w:val="18"/>
                <w:szCs w:val="18"/>
                <w:highlight w:val="none"/>
                <w:lang w:eastAsia="zh-CN"/>
              </w:rPr>
              <w:t xml:space="preserve">－</w:t>
            </w:r>
            <w:r>
              <w:rPr>
                <w:rFonts w:ascii="Times New Roman" w:eastAsia="仿宋_GB2312" w:hAnsi="Times New Roman" w:cs="Times New Roman" w:hint="default"/>
                <w:color w:val="auto"/>
                <w:sz w:val="18"/>
                <w:szCs w:val="18"/>
                <w:highlight w:val="none"/>
              </w:rPr>
              <w:t xml:space="preserve">实际成本）/计划成本〕×100%。</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780"/>
          <w:jc w:val="center"/>
        </w:trPr>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效益</w:t>
            </w:r>
          </w:p>
        </w:tc>
        <w:tc>
          <w:tcPr>
            <w:tcW w:w="34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项目效益</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实施</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效益</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项目实施所产生的效益。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w:t>
            </w:r>
          </w:p>
        </w:tc>
      </w:tr>
      <w:tr>
        <w:tblPrEx>
          <w:tblW w:w="5674" w:type="pct"/>
          <w:tblLayout w:type="fixed"/>
          <w:tblCellMar>
            <w:top w:w="0" w:type="dxa"/>
            <w:left w:w="108" w:type="dxa"/>
            <w:bottom w:w="0" w:type="dxa"/>
            <w:right w:w="108" w:type="dxa"/>
          </w:tblCellMar>
        </w:tblPrEx>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合计</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ascii="Times New Roman" w:eastAsia="仿宋_GB2312" w:hAnsi="Times New Roman" w:cs="Times New Roman" w:hint="default"/>
                <w:color w:val="auto"/>
                <w:sz w:val="18"/>
                <w:szCs w:val="18"/>
                <w:highlight w:val="none"/>
                <w:lang w:val="en-US" w:eastAsia="zh-CN"/>
              </w:rPr>
              <w:t xml:space="preserve">100</w:t>
            </w:r>
            <w:bookmarkEnd w:id="0"/>
          </w:p>
        </w:tc>
      </w:tr>
    </w:tbl>
    <w:p>
      <w:pPr>
        <w:ind w:firstLine="640"/>
        <w:jc w:val="both"/>
        <w:rPr>
          <w:rFonts w:ascii="Times New Roman" w:eastAsia="仿宋_GB2312" w:hAnsi="Times New Roman" w:cs="Times New Roman" w:hint="default"/>
          <w:color w:val="auto"/>
          <w:highlight w:val="none"/>
        </w:rPr>
      </w:pPr>
    </w:p>
    <w:sectPr>
      <w:pgSz w:w="11906" w:h="16838" w:orient="portrait"/>
      <w:pgMar w:top="1440" w:right="1800" w:bottom="1440" w:left="1800" w:header="851" w:footer="992" w:gutter="0"/>
      <w:pgBorders/>
      <w:pgNumType w:fmt="decimal"/>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FDC142C-9C76-447B-9C61-0E3C5DA5A30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C2867BA5-A41D-48F3-823C-BF618360D20E}"/>
  </w:font>
  <w:font w:name="方正小标宋_GBK">
    <w:altName w:val="微软雅黑"/>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auto"/>
    <w:pitch w:val="default"/>
    <w:sig w:usb0="800002BF" w:usb1="38CF7CFA" w:usb2="00000016" w:usb3="00000000" w:csb0="00040001" w:csb1="00000000"/>
    <w:embedRegular r:id="rId3" w:fontKey="{FF91F93B-428D-4B4C-A6D5-3DD041D4A647}"/>
  </w:font>
  <w:font w:name="方正仿宋_GBK">
    <w:panose1 w:val="02000000000000000000"/>
    <w:charset w:val="86"/>
    <w:family w:val="script"/>
    <w:pitch w:val="default"/>
    <w:sig w:usb0="A00002BF" w:usb1="38CF7CFA" w:usb2="00082016" w:usb3="00000000" w:csb0="00040001" w:csb1="00000000"/>
    <w:embedRegular r:id="rId4" w:fontKey="{36464B68-1B1C-44B0-BDDB-40E3F88FA560}"/>
  </w:font>
  <w:font w:name="仿宋">
    <w:panose1 w:val="00000000000000000000"/>
    <w:charset w:val="01"/>
    <w:family w:val="auto"/>
    <w:pitch w:val="default"/>
    <w:sig w:usb0="00000000" w:usb1="00000000" w:usb2="00000000" w:usb3="00000000" w:csb0="00000000" w:csb1="00000000"/>
  </w:font>
  <w:font w:name="方正仿宋">
    <w:panose1 w:val="00000000000000000000"/>
    <w:charset w:val="01"/>
    <w:family w:val="auto"/>
    <w:pitch w:val="default"/>
    <w:sig w:usb0="00000000" w:usb1="00000000" w:usb2="00000000" w:usb3="00000000" w:csb0="00000000" w:csb1="00000000"/>
  </w:font>
  <w:font w:name="方正小标宋">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pict>
        <v:shapetype id="_x0000_t202" coordsize="21600,21600" o:spt="202" path="m,l,21600r21600,l21600,xe">
          <v:stroke joinstyle="miter"/>
          <v:path gradientshapeok="t" o:connecttype="rect"/>
        </v:shapetype>
        <v:shape id="_x0000_s2060" o:spid="_x0000_s2049"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4</w:t>
                </w:r>
                <w:r>
                  <w:fldChar w:fldCharType="end"/>
                </w:r>
              </w:p>
            </w:txbxContent>
          </v:textbox>
          <w10:wrap anchorx="margin"/>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w:zoom w:percent="110"/>
  <w:embedTrueTypeFonts/>
  <w:saveSubsetFonts/>
  <w:bordersDoNotSurroundFooter w:val="0"/>
  <w:bordersDoNotSurroundHeader w:val="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qFormat="1"/>
    <w:lsdException w:name="annotation text" w:semiHidden="0" w:uiPriority="0" w:unhideWhenUsed="0"/>
    <w:lsdException w:name="header" w:semiHidden="0"/>
    <w:lsdException w:name="footer" w:semiHidden="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eastAsia="仿宋_GB2312"/>
      <w:kern w:val="2"/>
      <w:sz w:val="32"/>
      <w:szCs w:val="22"/>
      <w:lang w:val="en-US" w:eastAsia="zh-CN" w:bidi="ar-SA"/>
    </w:rPr>
  </w:style>
  <w:style w:type="paragraph" w:styleId="Heading1">
    <w:name w:val="Heading 1"/>
    <w:basedOn w:val="Normal"/>
    <w:next w:val="Normal"/>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qFormat/>
    <w:pPr>
      <w:keepNext/>
      <w:keepLines/>
      <w:spacing w:before="280" w:after="290" w:line="376" w:lineRule="auto"/>
      <w:outlineLvl w:val="3"/>
    </w:pPr>
    <w:rPr>
      <w:rFonts w:ascii="Cambria" w:eastAsia="宋体" w:hAnsi="Cambria"/>
      <w:b/>
      <w:bCs/>
      <w:sz w:val="28"/>
      <w:szCs w:val="28"/>
    </w:rPr>
  </w:style>
  <w:style w:type="character" w:default="1" w:styleId="DefaultParagraphFont">
    <w:name w:val="Default Paragraph Font"/>
    <w:uiPriority w:val="1"/>
    <w:unhideWhenUsed/>
    <w:rPr/>
  </w:style>
  <w:style w:type="table" w:default="1" w:styleId="NormalTable">
    <w:name w:val="Normal Table"/>
    <w:semiHidden/>
    <w:qFormat/>
    <w:rPr/>
    <w:tblPr>
      <w:tblCellMar>
        <w:top w:w="0" w:type="dxa"/>
        <w:left w:w="108" w:type="dxa"/>
        <w:bottom w:w="0" w:type="dxa"/>
        <w:right w:w="108" w:type="dxa"/>
      </w:tblCellMar>
    </w:tblPr>
  </w:style>
  <w:style w:type="paragraph" w:styleId="CommentText">
    <w:name w:val="Comment Text"/>
    <w:basedOn w:val="Normal"/>
    <w:qFormat/>
    <w:pPr>
      <w:jc w:val="left"/>
    </w:pPr>
    <w:rPr/>
  </w:style>
  <w:style w:type="paragraph" w:styleId="TOC3">
    <w:name w:val="TOC 3"/>
    <w:basedOn w:val="Normal"/>
    <w:next w:val="Normal"/>
    <w:uiPriority w:val="39"/>
    <w:qFormat/>
    <w:pPr>
      <w:ind w:left="840" w:leftChars="400"/>
    </w:pPr>
    <w:rPr/>
  </w:style>
  <w:style w:type="paragraph" w:styleId="Footer">
    <w:name w:val="Footer"/>
    <w:basedOn w:val="Normal"/>
    <w:link w:val="页脚字符"/>
    <w:uiPriority w:val="99"/>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TOC1">
    <w:name w:val="TOC 1"/>
    <w:basedOn w:val="Normal"/>
    <w:next w:val="Normal"/>
    <w:uiPriority w:val="39"/>
    <w:qFormat/>
    <w:rPr/>
  </w:style>
  <w:style w:type="paragraph" w:styleId="TOC2">
    <w:name w:val="TOC 2"/>
    <w:basedOn w:val="Normal"/>
    <w:next w:val="Normal"/>
    <w:uiPriority w:val="39"/>
    <w:qFormat/>
    <w:pPr>
      <w:ind w:left="420" w:leftChars="200"/>
    </w:pPr>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页眉字符">
    <w:name w:val="页眉 字符"/>
    <w:link w:val="Header"/>
    <w:uiPriority w:val="99"/>
    <w:rPr>
      <w:rFonts w:eastAsia="仿宋_GB2312" w:cs="Times New Roman"/>
      <w:kern w:val="2"/>
      <w:sz w:val="18"/>
      <w:szCs w:val="22"/>
    </w:rPr>
  </w:style>
  <w:style w:type="character" w:customStyle="1" w:styleId="标题3字符">
    <w:name w:val="标题 3 字符"/>
    <w:link w:val="Heading3"/>
    <w:uiPriority w:val="9"/>
    <w:qFormat/>
    <w:rPr>
      <w:rFonts w:eastAsia="楷体_GB2312" w:cs="Times New Roman"/>
      <w:b/>
      <w:kern w:val="2"/>
      <w:sz w:val="32"/>
      <w:szCs w:val="22"/>
    </w:rPr>
  </w:style>
  <w:style w:type="character" w:customStyle="1" w:styleId="font112">
    <w:name w:val="font112"/>
    <w:basedOn w:val="DefaultParagraphFont"/>
    <w:rPr>
      <w:rFonts w:ascii="宋体" w:eastAsia="宋体" w:hAnsi="宋体" w:cs="宋体" w:hint="eastAsia"/>
      <w:color w:val="000000"/>
      <w:sz w:val="22"/>
      <w:szCs w:val="22"/>
      <w:u w:val="none"/>
    </w:rPr>
  </w:style>
  <w:style w:type="character" w:customStyle="1" w:styleId="font21">
    <w:name w:val="font21"/>
    <w:basedOn w:val="DefaultParagraphFont"/>
    <w:rPr>
      <w:rFonts w:ascii="Times New Roman" w:hAnsi="Times New Roman" w:cs="Times New Roman" w:hint="default"/>
      <w:color w:val="000000"/>
      <w:sz w:val="22"/>
      <w:szCs w:val="22"/>
      <w:u w:val="none"/>
    </w:rPr>
  </w:style>
  <w:style w:type="character" w:customStyle="1" w:styleId="font81">
    <w:name w:val="font81"/>
    <w:basedOn w:val="DefaultParagraphFont"/>
    <w:rPr>
      <w:rFonts w:ascii="宋体" w:eastAsia="宋体" w:hAnsi="宋体" w:cs="宋体" w:hint="eastAsia"/>
      <w:color w:val="000000"/>
      <w:sz w:val="22"/>
      <w:szCs w:val="22"/>
      <w:u w:val="none"/>
    </w:rPr>
  </w:style>
  <w:style w:type="character" w:customStyle="1" w:styleId="font131">
    <w:name w:val="font131"/>
    <w:basedOn w:val="DefaultParagraphFont"/>
    <w:rPr>
      <w:rFonts w:ascii="宋体" w:eastAsia="宋体" w:hAnsi="宋体" w:cs="宋体" w:hint="eastAsia"/>
      <w:color w:val="000000"/>
      <w:sz w:val="18"/>
      <w:szCs w:val="18"/>
      <w:u w:val="none"/>
    </w:rPr>
  </w:style>
  <w:style w:type="character" w:customStyle="1" w:styleId="标题2字符">
    <w:name w:val="标题 2 字符"/>
    <w:link w:val="Heading2"/>
    <w:uiPriority w:val="99"/>
    <w:qFormat/>
    <w:rPr>
      <w:rFonts w:eastAsia="黑体"/>
      <w:bCs/>
      <w:iCs/>
      <w:kern w:val="2"/>
      <w:sz w:val="32"/>
      <w:szCs w:val="21"/>
    </w:rPr>
  </w:style>
  <w:style w:type="character" w:customStyle="1" w:styleId="页脚字符">
    <w:name w:val="页脚 字符"/>
    <w:link w:val="Footer"/>
    <w:uiPriority w:val="99"/>
    <w:rPr>
      <w:rFonts w:eastAsia="仿宋_GB2312" w:cs="Times New Roman"/>
      <w:kern w:val="2"/>
      <w:sz w:val="18"/>
      <w:szCs w:val="22"/>
    </w:rPr>
  </w:style>
  <w:style w:type="character" w:customStyle="1" w:styleId="font101">
    <w:name w:val="font101"/>
    <w:basedOn w:val="DefaultParagraphFont"/>
    <w:rPr>
      <w:rFonts w:ascii="宋体" w:eastAsia="宋体" w:hAnsi="宋体" w:cs="宋体" w:hint="eastAsia"/>
      <w:color w:val="000000"/>
      <w:sz w:val="18"/>
      <w:szCs w:val="18"/>
      <w:u w:val="none"/>
    </w:rPr>
  </w:style>
  <w:style w:type="character" w:customStyle="1" w:styleId="font41">
    <w:name w:val="font41"/>
    <w:basedOn w:val="DefaultParagraphFont"/>
    <w:rPr>
      <w:rFonts w:ascii="宋体" w:eastAsia="宋体" w:hAnsi="宋体" w:cs="宋体" w:hint="eastAsia"/>
      <w:color w:val="000000"/>
      <w:sz w:val="22"/>
      <w:szCs w:val="22"/>
      <w:u w:val="none"/>
    </w:rPr>
  </w:style>
  <w:style w:type="character" w:customStyle="1" w:styleId="表格内容Char">
    <w:name w:val="表格内容 Char"/>
    <w:link w:val="表格内容"/>
    <w:rPr>
      <w:rFonts w:ascii="Times New Roman" w:hAnsi="Times New Roman" w:hint="eastAsia"/>
      <w:kern w:val="44"/>
      <w:sz w:val="21"/>
    </w:rPr>
  </w:style>
  <w:style w:type="paragraph" w:customStyle="1" w:styleId="表格内容">
    <w:name w:val="表格内容"/>
    <w:basedOn w:val="Normal"/>
    <w:next w:val="Normal"/>
    <w:link w:val="表格内容Char"/>
    <w:qFormat/>
    <w:pPr>
      <w:keepNext w:val="0"/>
      <w:keepLines/>
      <w:spacing w:line="240" w:lineRule="auto"/>
      <w:ind w:firstLine="0" w:firstLineChars="0"/>
      <w:jc w:val="center"/>
      <w:outlineLvl w:val="9"/>
    </w:pPr>
    <w:rPr>
      <w:rFonts w:ascii="Times New Roman" w:hAnsi="Times New Roman" w:hint="eastAsia"/>
      <w:kern w:val="44"/>
      <w:sz w:val="21"/>
    </w:rPr>
  </w:style>
  <w:style w:type="character" w:customStyle="1" w:styleId="font91">
    <w:name w:val="font91"/>
    <w:basedOn w:val="DefaultParagraphFont"/>
    <w:rPr>
      <w:rFonts w:ascii="Times New Roman" w:hAnsi="Times New Roman" w:cs="Times New Roman" w:hint="default"/>
      <w:color w:val="000000"/>
      <w:sz w:val="18"/>
      <w:szCs w:val="18"/>
      <w:u w:val="none"/>
    </w:rPr>
  </w:style>
  <w:style w:type="character" w:customStyle="1" w:styleId="font71">
    <w:name w:val="font71"/>
    <w:basedOn w:val="DefaultParagraphFont"/>
    <w:rPr>
      <w:rFonts w:ascii="宋体" w:eastAsia="宋体" w:hAnsi="宋体" w:cs="宋体" w:hint="eastAsia"/>
      <w:color w:val="000000"/>
      <w:sz w:val="22"/>
      <w:szCs w:val="22"/>
      <w:u w:val="none"/>
    </w:rPr>
  </w:style>
  <w:style w:type="paragraph" w:customStyle="1" w:styleId="WPSOffice手动目录1">
    <w:name w:val="WPSOffice手动目录 1"/>
    <w:pPr>
      <w:ind w:leftChars="0"/>
    </w:pPr>
    <w:rPr>
      <w:sz w:val="20"/>
      <w:szCs w:val="20"/>
    </w:rPr>
  </w:style>
  <w:style w:type="paragraph" w:customStyle="1" w:styleId="WPSOffice手动目录2">
    <w:name w:val="WPSOffice手动目录 2"/>
    <w:pPr>
      <w:ind w:leftChars="200"/>
    </w:pPr>
    <w:rPr>
      <w:sz w:val="20"/>
      <w:szCs w:val="20"/>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settings" Target="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 Id="rId2" Type="http://schemas.openxmlformats.org/officeDocument/2006/relationships/font" Target="fonts/font2.odttf"/><Relationship Id="rId3" Type="http://schemas.openxmlformats.org/officeDocument/2006/relationships/font" Target="fonts/font3.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F969E3D936A24FF5A9192B0D76B61DB0_13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60" textRotate="1"/>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TotalTime>
  <Pages>27</Pages>
  <Words>9256</Words>
  <Characters>9628</Characters>
  <Application>WPS Office_12.1.0.15120_F1E327BC-269C-435d-A152-05C5408002CA</Application>
  <DocSecurity>0</DocSecurity>
  <Lines>110</Lines>
  <Paragraphs>31</Paragraphs>
  <Company>Microsoft</Company>
  <CharactersWithSpaces>9653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郭子歪</cp:lastModifiedBy>
  <cp:revision>3</cp:revision>
  <dcterms:created xsi:type="dcterms:W3CDTF">2019-11-25T12:51:00Z</dcterms:created>
  <dcterms:modified xsi:type="dcterms:W3CDTF">2025-09-04T07:43:00Z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2052-12.1.0.15120</vt:lpwstr>
  </property>
  <property fmtid="{D5CDD505-2E9C-101B-9397-08002B2CF9AE}" pid="3" name="ICV">
    <vt:lpwstr>F969E3D936A24FF5A9192B0D76B61DB0_13</vt:lpwstr>
  </property>
  <property fmtid="{D5CDD505-2E9C-101B-9397-08002B2CF9AE}" pid="4" name="commondata">
    <vt:lpwstr>eyJoZGlkIjoiMzFhODQ1NGNmNGU5ZTQ0MGUxMDEzMGEzNzMxNWFjNDkifQ_x003D__x003D_</vt:lpwstr>
  </property>
  <property fmtid="{D5CDD505-2E9C-101B-9397-08002B2CF9AE}" pid="5" name="KSOTemplateDocerSaveRecord">
    <vt:lpwstr>eyJoZGlkIjoiODRhYjhkNzI4OGQ5M2E5NzE5YzFiNzg2M2ZlMzkxMWUiLCJ1c2VySWQiOiIxMTQ4NTc0MTIzIn0_x003D_</vt:lpwstr>
  </property>
</Properties>
</file>