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11D6" w:rsidRDefault="00AE11D6">
      <w:pPr>
        <w:rPr>
          <w:rFonts w:ascii="黑体" w:eastAsia="黑体" w:hAnsi="黑体"/>
          <w:szCs w:val="32"/>
        </w:rPr>
      </w:pPr>
    </w:p>
    <w:p w:rsidR="00AE11D6" w:rsidRDefault="00AE11D6">
      <w:pPr>
        <w:jc w:val="center"/>
        <w:rPr>
          <w:rFonts w:ascii="方正小标宋_GBK" w:eastAsia="方正小标宋_GBK" w:hAnsi="宋体"/>
          <w:sz w:val="44"/>
          <w:szCs w:val="44"/>
        </w:rPr>
      </w:pPr>
    </w:p>
    <w:p w:rsidR="00AE11D6" w:rsidRDefault="00AE11D6">
      <w:pPr>
        <w:jc w:val="center"/>
        <w:rPr>
          <w:rFonts w:ascii="方正小标宋_GBK" w:eastAsia="方正小标宋_GBK" w:hAnsi="宋体"/>
          <w:sz w:val="44"/>
          <w:szCs w:val="44"/>
        </w:rPr>
      </w:pPr>
    </w:p>
    <w:p w:rsidR="00AE11D6" w:rsidRDefault="00AE11D6">
      <w:pPr>
        <w:jc w:val="center"/>
        <w:rPr>
          <w:rFonts w:ascii="方正小标宋_GBK" w:eastAsia="方正小标宋_GBK" w:hAnsi="宋体"/>
          <w:sz w:val="44"/>
          <w:szCs w:val="44"/>
        </w:rPr>
      </w:pPr>
    </w:p>
    <w:p w:rsidR="00AE11D6" w:rsidRDefault="00AE11D6">
      <w:pPr>
        <w:jc w:val="center"/>
        <w:rPr>
          <w:rFonts w:ascii="方正小标宋_GBK" w:eastAsia="方正小标宋_GBK" w:hAnsi="宋体"/>
          <w:sz w:val="44"/>
          <w:szCs w:val="44"/>
        </w:rPr>
      </w:pPr>
    </w:p>
    <w:p w:rsidR="00AE11D6" w:rsidRDefault="00F049C8">
      <w:pPr>
        <w:spacing w:line="640" w:lineRule="exact"/>
        <w:jc w:val="center"/>
        <w:rPr>
          <w:rFonts w:ascii="方正小标宋_GBK" w:eastAsia="方正小标宋_GBK" w:hAnsi="宋体"/>
          <w:sz w:val="44"/>
          <w:szCs w:val="44"/>
        </w:rPr>
      </w:pPr>
      <w:r>
        <w:rPr>
          <w:rFonts w:ascii="方正小标宋_GBK" w:eastAsia="方正小标宋_GBK" w:hAnsi="宋体" w:hint="eastAsia"/>
          <w:sz w:val="44"/>
          <w:szCs w:val="44"/>
        </w:rPr>
        <w:t>尉犁县自然资源局2024年度部门决算</w:t>
      </w:r>
    </w:p>
    <w:p w:rsidR="00AE11D6" w:rsidRDefault="00F049C8">
      <w:pPr>
        <w:spacing w:line="640" w:lineRule="exact"/>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AE11D6" w:rsidRDefault="00F049C8">
      <w:pPr>
        <w:jc w:val="center"/>
        <w:rPr>
          <w:rFonts w:ascii="仿宋_GB2312" w:eastAsia="仿宋_GB2312" w:hAnsi="仿宋_GB2312" w:cs="仿宋_GB2312"/>
          <w:bCs/>
          <w:kern w:val="0"/>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lastRenderedPageBreak/>
        <w:t>目  录</w:t>
      </w:r>
    </w:p>
    <w:p w:rsidR="00AE11D6" w:rsidRDefault="00F049C8">
      <w:pPr>
        <w:pStyle w:val="1"/>
        <w:tabs>
          <w:tab w:val="right" w:leader="dot" w:pos="8306"/>
        </w:tabs>
        <w:rPr>
          <w:rFonts w:ascii="仿宋_GB2312" w:eastAsia="仿宋_GB2312" w:hAnsi="仿宋_GB2312" w:cs="仿宋_GB2312"/>
          <w:szCs w:val="32"/>
        </w:rPr>
      </w:pPr>
      <w:r>
        <w:rPr>
          <w:rFonts w:ascii="仿宋_GB2312" w:eastAsia="仿宋_GB2312" w:hAnsi="仿宋_GB2312" w:cs="仿宋_GB2312" w:hint="eastAsia"/>
          <w:szCs w:val="32"/>
        </w:rPr>
        <w:fldChar w:fldCharType="begin"/>
      </w:r>
      <w:r>
        <w:rPr>
          <w:rFonts w:ascii="仿宋_GB2312" w:eastAsia="仿宋_GB2312" w:hAnsi="仿宋_GB2312" w:cs="仿宋_GB2312" w:hint="eastAsia"/>
          <w:szCs w:val="32"/>
        </w:rPr>
        <w:instrText xml:space="preserve">TOC \o "1-3" \n  \h \u </w:instrText>
      </w:r>
      <w:r>
        <w:rPr>
          <w:rFonts w:ascii="仿宋_GB2312" w:eastAsia="仿宋_GB2312" w:hAnsi="仿宋_GB2312" w:cs="仿宋_GB2312" w:hint="eastAsia"/>
          <w:szCs w:val="32"/>
        </w:rPr>
        <w:fldChar w:fldCharType="separate"/>
      </w:r>
      <w:hyperlink w:anchor="_Toc31918" w:history="1">
        <w:r>
          <w:rPr>
            <w:rFonts w:ascii="仿宋_GB2312" w:eastAsia="仿宋_GB2312" w:hAnsi="仿宋_GB2312" w:cs="仿宋_GB2312" w:hint="eastAsia"/>
            <w:b/>
            <w:bCs/>
            <w:szCs w:val="32"/>
          </w:rPr>
          <w:t>第一部分 单位概况</w:t>
        </w:r>
      </w:hyperlink>
    </w:p>
    <w:p w:rsidR="00AE11D6" w:rsidRDefault="00EA193A">
      <w:pPr>
        <w:pStyle w:val="2"/>
        <w:tabs>
          <w:tab w:val="right" w:leader="dot" w:pos="8306"/>
        </w:tabs>
        <w:ind w:leftChars="0" w:left="0"/>
        <w:rPr>
          <w:rFonts w:ascii="仿宋_GB2312" w:eastAsia="仿宋_GB2312" w:hAnsi="仿宋_GB2312" w:cs="仿宋_GB2312"/>
          <w:szCs w:val="32"/>
        </w:rPr>
      </w:pPr>
      <w:hyperlink w:anchor="_Toc2898" w:history="1">
        <w:r w:rsidR="00F049C8">
          <w:rPr>
            <w:rFonts w:ascii="仿宋_GB2312" w:eastAsia="仿宋_GB2312" w:hAnsi="仿宋_GB2312" w:cs="仿宋_GB2312" w:hint="eastAsia"/>
            <w:bCs/>
            <w:kern w:val="0"/>
            <w:szCs w:val="32"/>
          </w:rPr>
          <w:t>一、主要职能</w:t>
        </w:r>
      </w:hyperlink>
    </w:p>
    <w:p w:rsidR="00AE11D6" w:rsidRDefault="00EA193A">
      <w:pPr>
        <w:pStyle w:val="2"/>
        <w:tabs>
          <w:tab w:val="right" w:leader="dot" w:pos="8306"/>
        </w:tabs>
        <w:ind w:leftChars="0" w:left="0"/>
        <w:rPr>
          <w:rFonts w:ascii="仿宋_GB2312" w:eastAsia="仿宋_GB2312" w:hAnsi="仿宋_GB2312" w:cs="仿宋_GB2312"/>
          <w:szCs w:val="32"/>
        </w:rPr>
      </w:pPr>
      <w:hyperlink w:anchor="_Toc1387" w:history="1">
        <w:r w:rsidR="00F049C8">
          <w:rPr>
            <w:rFonts w:ascii="仿宋_GB2312" w:eastAsia="仿宋_GB2312" w:hAnsi="仿宋_GB2312" w:cs="仿宋_GB2312" w:hint="eastAsia"/>
            <w:bCs/>
            <w:kern w:val="0"/>
            <w:szCs w:val="32"/>
          </w:rPr>
          <w:t>二、机构设置及人员情况</w:t>
        </w:r>
      </w:hyperlink>
    </w:p>
    <w:p w:rsidR="00AE11D6" w:rsidRDefault="00EA193A">
      <w:pPr>
        <w:pStyle w:val="1"/>
        <w:tabs>
          <w:tab w:val="right" w:leader="dot" w:pos="8306"/>
        </w:tabs>
        <w:rPr>
          <w:rFonts w:ascii="仿宋_GB2312" w:eastAsia="仿宋_GB2312" w:hAnsi="仿宋_GB2312" w:cs="仿宋_GB2312"/>
          <w:b/>
          <w:bCs/>
          <w:szCs w:val="32"/>
        </w:rPr>
      </w:pPr>
      <w:hyperlink w:anchor="_Toc7559" w:history="1">
        <w:r w:rsidR="00F049C8">
          <w:rPr>
            <w:rFonts w:ascii="仿宋_GB2312" w:eastAsia="仿宋_GB2312" w:hAnsi="仿宋_GB2312" w:cs="仿宋_GB2312" w:hint="eastAsia"/>
            <w:b/>
            <w:bCs/>
            <w:szCs w:val="32"/>
          </w:rPr>
          <w:t>第二部分 部门决算情况说明</w:t>
        </w:r>
      </w:hyperlink>
    </w:p>
    <w:p w:rsidR="00AE11D6" w:rsidRDefault="00EA193A">
      <w:pPr>
        <w:pStyle w:val="2"/>
        <w:tabs>
          <w:tab w:val="right" w:leader="dot" w:pos="8306"/>
        </w:tabs>
        <w:ind w:leftChars="0" w:left="0"/>
        <w:rPr>
          <w:rFonts w:ascii="仿宋_GB2312" w:eastAsia="仿宋_GB2312" w:hAnsi="仿宋_GB2312" w:cs="仿宋_GB2312"/>
          <w:szCs w:val="32"/>
        </w:rPr>
      </w:pPr>
      <w:hyperlink w:anchor="_Toc6321" w:history="1">
        <w:r w:rsidR="00F049C8">
          <w:rPr>
            <w:rFonts w:ascii="仿宋_GB2312" w:eastAsia="仿宋_GB2312" w:hAnsi="仿宋_GB2312" w:cs="仿宋_GB2312" w:hint="eastAsia"/>
            <w:bCs/>
            <w:kern w:val="0"/>
            <w:szCs w:val="32"/>
          </w:rPr>
          <w:t>一、收入支出决算总体情况说明</w:t>
        </w:r>
      </w:hyperlink>
    </w:p>
    <w:p w:rsidR="00AE11D6" w:rsidRDefault="00EA193A">
      <w:pPr>
        <w:pStyle w:val="2"/>
        <w:tabs>
          <w:tab w:val="right" w:leader="dot" w:pos="8306"/>
        </w:tabs>
        <w:ind w:leftChars="0" w:left="0"/>
        <w:rPr>
          <w:rFonts w:ascii="仿宋_GB2312" w:eastAsia="仿宋_GB2312" w:hAnsi="仿宋_GB2312" w:cs="仿宋_GB2312"/>
          <w:szCs w:val="32"/>
        </w:rPr>
      </w:pPr>
      <w:hyperlink w:anchor="_Toc6311" w:history="1">
        <w:r w:rsidR="00F049C8">
          <w:rPr>
            <w:rFonts w:ascii="仿宋_GB2312" w:eastAsia="仿宋_GB2312" w:hAnsi="仿宋_GB2312" w:cs="仿宋_GB2312" w:hint="eastAsia"/>
            <w:bCs/>
            <w:kern w:val="0"/>
            <w:szCs w:val="32"/>
          </w:rPr>
          <w:t>二、收入决算情况说明</w:t>
        </w:r>
      </w:hyperlink>
    </w:p>
    <w:p w:rsidR="00AE11D6" w:rsidRDefault="00EA193A">
      <w:pPr>
        <w:pStyle w:val="2"/>
        <w:tabs>
          <w:tab w:val="right" w:leader="dot" w:pos="8306"/>
        </w:tabs>
        <w:ind w:leftChars="0" w:left="0"/>
        <w:rPr>
          <w:rFonts w:ascii="仿宋_GB2312" w:eastAsia="仿宋_GB2312" w:hAnsi="仿宋_GB2312" w:cs="仿宋_GB2312"/>
          <w:szCs w:val="32"/>
        </w:rPr>
      </w:pPr>
      <w:hyperlink w:anchor="_Toc20629" w:history="1">
        <w:r w:rsidR="00F049C8">
          <w:rPr>
            <w:rFonts w:ascii="仿宋_GB2312" w:eastAsia="仿宋_GB2312" w:hAnsi="仿宋_GB2312" w:cs="仿宋_GB2312" w:hint="eastAsia"/>
            <w:bCs/>
            <w:kern w:val="0"/>
            <w:szCs w:val="32"/>
          </w:rPr>
          <w:t>三、支出决算情况说明</w:t>
        </w:r>
      </w:hyperlink>
    </w:p>
    <w:p w:rsidR="00AE11D6" w:rsidRDefault="00EA193A">
      <w:pPr>
        <w:pStyle w:val="2"/>
        <w:tabs>
          <w:tab w:val="right" w:leader="dot" w:pos="8306"/>
        </w:tabs>
        <w:ind w:leftChars="0" w:left="0"/>
        <w:rPr>
          <w:rFonts w:ascii="仿宋_GB2312" w:eastAsia="仿宋_GB2312" w:hAnsi="仿宋_GB2312" w:cs="仿宋_GB2312"/>
          <w:szCs w:val="32"/>
        </w:rPr>
      </w:pPr>
      <w:hyperlink w:anchor="_Toc7371" w:history="1">
        <w:r w:rsidR="00F049C8">
          <w:rPr>
            <w:rFonts w:ascii="仿宋_GB2312" w:eastAsia="仿宋_GB2312" w:hAnsi="仿宋_GB2312" w:cs="仿宋_GB2312" w:hint="eastAsia"/>
            <w:bCs/>
            <w:kern w:val="0"/>
            <w:szCs w:val="32"/>
          </w:rPr>
          <w:t>四、财政拨款收入支出决算总体情况说明</w:t>
        </w:r>
      </w:hyperlink>
    </w:p>
    <w:p w:rsidR="00AE11D6" w:rsidRDefault="00EA193A">
      <w:pPr>
        <w:pStyle w:val="2"/>
        <w:tabs>
          <w:tab w:val="right" w:leader="dot" w:pos="8306"/>
        </w:tabs>
        <w:ind w:leftChars="0" w:left="0"/>
        <w:rPr>
          <w:rFonts w:ascii="仿宋_GB2312" w:eastAsia="仿宋_GB2312" w:hAnsi="仿宋_GB2312" w:cs="仿宋_GB2312"/>
          <w:szCs w:val="32"/>
        </w:rPr>
      </w:pPr>
      <w:hyperlink w:anchor="_Toc18905" w:history="1">
        <w:r w:rsidR="00F049C8">
          <w:rPr>
            <w:rFonts w:ascii="仿宋_GB2312" w:eastAsia="仿宋_GB2312" w:hAnsi="仿宋_GB2312" w:cs="仿宋_GB2312" w:hint="eastAsia"/>
            <w:bCs/>
            <w:kern w:val="0"/>
            <w:szCs w:val="32"/>
          </w:rPr>
          <w:t>五、一般公共预算财政拨款支出决算情况说明</w:t>
        </w:r>
      </w:hyperlink>
    </w:p>
    <w:p w:rsidR="00AE11D6" w:rsidRDefault="00EA193A">
      <w:pPr>
        <w:pStyle w:val="3"/>
        <w:tabs>
          <w:tab w:val="right" w:leader="dot" w:pos="8306"/>
        </w:tabs>
        <w:ind w:leftChars="0" w:left="0"/>
        <w:rPr>
          <w:rFonts w:ascii="仿宋_GB2312" w:eastAsia="仿宋_GB2312" w:hAnsi="仿宋_GB2312" w:cs="仿宋_GB2312"/>
          <w:szCs w:val="32"/>
        </w:rPr>
      </w:pPr>
      <w:hyperlink w:anchor="_Toc1165" w:history="1">
        <w:r w:rsidR="00F049C8">
          <w:rPr>
            <w:rFonts w:ascii="仿宋_GB2312" w:eastAsia="仿宋_GB2312" w:hAnsi="仿宋_GB2312" w:cs="仿宋_GB2312" w:hint="eastAsia"/>
            <w:szCs w:val="32"/>
          </w:rPr>
          <w:t>（一）一般公共预算财政拨款支出决算总体情况</w:t>
        </w:r>
      </w:hyperlink>
    </w:p>
    <w:p w:rsidR="00AE11D6" w:rsidRDefault="00EA193A">
      <w:pPr>
        <w:pStyle w:val="3"/>
        <w:tabs>
          <w:tab w:val="right" w:leader="dot" w:pos="8306"/>
        </w:tabs>
        <w:ind w:leftChars="0" w:left="0"/>
        <w:rPr>
          <w:rFonts w:ascii="仿宋_GB2312" w:eastAsia="仿宋_GB2312" w:hAnsi="仿宋_GB2312" w:cs="仿宋_GB2312"/>
          <w:szCs w:val="32"/>
        </w:rPr>
      </w:pPr>
      <w:hyperlink w:anchor="_Toc27147" w:history="1">
        <w:r w:rsidR="00F049C8">
          <w:rPr>
            <w:rFonts w:ascii="仿宋_GB2312" w:eastAsia="仿宋_GB2312" w:hAnsi="仿宋_GB2312" w:cs="仿宋_GB2312" w:hint="eastAsia"/>
            <w:szCs w:val="32"/>
          </w:rPr>
          <w:t>（二）一般公共预算财政拨款支出决算结构情况</w:t>
        </w:r>
      </w:hyperlink>
    </w:p>
    <w:p w:rsidR="00AE11D6" w:rsidRDefault="00EA193A">
      <w:pPr>
        <w:pStyle w:val="3"/>
        <w:tabs>
          <w:tab w:val="right" w:leader="dot" w:pos="8306"/>
        </w:tabs>
        <w:ind w:leftChars="0" w:left="0"/>
        <w:rPr>
          <w:rFonts w:ascii="仿宋_GB2312" w:eastAsia="仿宋_GB2312" w:hAnsi="仿宋_GB2312" w:cs="仿宋_GB2312"/>
          <w:szCs w:val="32"/>
        </w:rPr>
      </w:pPr>
      <w:hyperlink w:anchor="_Toc10037" w:history="1">
        <w:r w:rsidR="00F049C8">
          <w:rPr>
            <w:rFonts w:ascii="仿宋_GB2312" w:eastAsia="仿宋_GB2312" w:hAnsi="仿宋_GB2312" w:cs="仿宋_GB2312" w:hint="eastAsia"/>
            <w:szCs w:val="32"/>
          </w:rPr>
          <w:t>（三）一般公共预算财政拨款支出决算具体情况</w:t>
        </w:r>
      </w:hyperlink>
    </w:p>
    <w:p w:rsidR="00AE11D6" w:rsidRDefault="00EA193A">
      <w:pPr>
        <w:pStyle w:val="2"/>
        <w:tabs>
          <w:tab w:val="right" w:leader="dot" w:pos="8306"/>
        </w:tabs>
        <w:ind w:leftChars="0" w:left="0"/>
        <w:rPr>
          <w:rFonts w:ascii="仿宋_GB2312" w:eastAsia="仿宋_GB2312" w:hAnsi="仿宋_GB2312" w:cs="仿宋_GB2312"/>
          <w:szCs w:val="32"/>
        </w:rPr>
      </w:pPr>
      <w:hyperlink w:anchor="_Toc23415" w:history="1">
        <w:r w:rsidR="00F049C8">
          <w:rPr>
            <w:rFonts w:ascii="仿宋_GB2312" w:eastAsia="仿宋_GB2312" w:hAnsi="仿宋_GB2312" w:cs="仿宋_GB2312" w:hint="eastAsia"/>
            <w:bCs/>
            <w:kern w:val="0"/>
            <w:szCs w:val="32"/>
          </w:rPr>
          <w:t>六、一般公共预算财政拨款基本支出决算情况说明</w:t>
        </w:r>
      </w:hyperlink>
    </w:p>
    <w:p w:rsidR="00AE11D6" w:rsidRDefault="00EA193A">
      <w:pPr>
        <w:pStyle w:val="2"/>
        <w:tabs>
          <w:tab w:val="right" w:leader="dot" w:pos="8306"/>
        </w:tabs>
        <w:ind w:leftChars="0" w:left="0"/>
        <w:rPr>
          <w:rFonts w:ascii="仿宋_GB2312" w:eastAsia="仿宋_GB2312" w:hAnsi="仿宋_GB2312" w:cs="仿宋_GB2312"/>
          <w:szCs w:val="32"/>
        </w:rPr>
      </w:pPr>
      <w:hyperlink w:anchor="_Toc7523" w:history="1">
        <w:r w:rsidR="00F049C8">
          <w:rPr>
            <w:rFonts w:ascii="仿宋_GB2312" w:eastAsia="仿宋_GB2312" w:hAnsi="仿宋_GB2312" w:cs="仿宋_GB2312" w:hint="eastAsia"/>
            <w:bCs/>
            <w:kern w:val="0"/>
            <w:szCs w:val="32"/>
          </w:rPr>
          <w:t>七、政府性基金预算财政拨款收入支出决算情况说明</w:t>
        </w:r>
      </w:hyperlink>
    </w:p>
    <w:p w:rsidR="00AE11D6" w:rsidRDefault="00EA193A">
      <w:pPr>
        <w:pStyle w:val="2"/>
        <w:tabs>
          <w:tab w:val="right" w:leader="dot" w:pos="8306"/>
        </w:tabs>
        <w:ind w:leftChars="0" w:left="0"/>
        <w:rPr>
          <w:rFonts w:ascii="仿宋_GB2312" w:eastAsia="仿宋_GB2312" w:hAnsi="仿宋_GB2312" w:cs="仿宋_GB2312"/>
          <w:szCs w:val="32"/>
        </w:rPr>
      </w:pPr>
      <w:hyperlink w:anchor="_Toc5563" w:history="1">
        <w:r w:rsidR="00F049C8">
          <w:rPr>
            <w:rFonts w:ascii="仿宋_GB2312" w:eastAsia="仿宋_GB2312" w:hAnsi="仿宋_GB2312" w:cs="仿宋_GB2312" w:hint="eastAsia"/>
            <w:bCs/>
            <w:kern w:val="0"/>
            <w:szCs w:val="32"/>
          </w:rPr>
          <w:t>八、国有资本经营预算财政拨款收入支出决算情况说明</w:t>
        </w:r>
      </w:hyperlink>
    </w:p>
    <w:p w:rsidR="00AE11D6" w:rsidRDefault="00EA193A">
      <w:pPr>
        <w:pStyle w:val="2"/>
        <w:tabs>
          <w:tab w:val="right" w:leader="dot" w:pos="8306"/>
        </w:tabs>
        <w:ind w:leftChars="0" w:left="0"/>
        <w:rPr>
          <w:rFonts w:ascii="仿宋_GB2312" w:eastAsia="仿宋_GB2312" w:hAnsi="仿宋_GB2312" w:cs="仿宋_GB2312"/>
          <w:szCs w:val="32"/>
        </w:rPr>
      </w:pPr>
      <w:hyperlink w:anchor="_Toc9161" w:history="1">
        <w:r w:rsidR="00F049C8">
          <w:rPr>
            <w:rFonts w:ascii="仿宋_GB2312" w:eastAsia="仿宋_GB2312" w:hAnsi="仿宋_GB2312" w:cs="仿宋_GB2312" w:hint="eastAsia"/>
            <w:bCs/>
            <w:kern w:val="0"/>
            <w:szCs w:val="32"/>
          </w:rPr>
          <w:t>九、财政拨款“三公”经费支出决算情况说明</w:t>
        </w:r>
      </w:hyperlink>
    </w:p>
    <w:p w:rsidR="00AE11D6" w:rsidRDefault="00EA193A">
      <w:pPr>
        <w:pStyle w:val="2"/>
        <w:tabs>
          <w:tab w:val="right" w:leader="dot" w:pos="8306"/>
        </w:tabs>
        <w:ind w:leftChars="0" w:left="0"/>
        <w:rPr>
          <w:rFonts w:ascii="仿宋_GB2312" w:eastAsia="仿宋_GB2312" w:hAnsi="仿宋_GB2312" w:cs="仿宋_GB2312"/>
          <w:szCs w:val="32"/>
        </w:rPr>
      </w:pPr>
      <w:hyperlink w:anchor="_Toc16395" w:history="1">
        <w:r w:rsidR="00F049C8">
          <w:rPr>
            <w:rFonts w:ascii="仿宋_GB2312" w:eastAsia="仿宋_GB2312" w:hAnsi="仿宋_GB2312" w:cs="仿宋_GB2312" w:hint="eastAsia"/>
            <w:bCs/>
            <w:kern w:val="0"/>
            <w:szCs w:val="32"/>
          </w:rPr>
          <w:t>十、其他重要事项的情况说明</w:t>
        </w:r>
      </w:hyperlink>
    </w:p>
    <w:p w:rsidR="00AE11D6" w:rsidRDefault="00EA193A">
      <w:pPr>
        <w:pStyle w:val="3"/>
        <w:tabs>
          <w:tab w:val="right" w:leader="dot" w:pos="8306"/>
        </w:tabs>
        <w:ind w:leftChars="0" w:left="0"/>
        <w:rPr>
          <w:rFonts w:ascii="仿宋_GB2312" w:eastAsia="仿宋_GB2312" w:hAnsi="仿宋_GB2312" w:cs="仿宋_GB2312"/>
          <w:szCs w:val="32"/>
        </w:rPr>
      </w:pPr>
      <w:hyperlink w:anchor="_Toc21748" w:history="1">
        <w:r w:rsidR="00F049C8">
          <w:rPr>
            <w:rFonts w:ascii="仿宋_GB2312" w:eastAsia="仿宋_GB2312" w:hAnsi="仿宋_GB2312" w:cs="仿宋_GB2312" w:hint="eastAsia"/>
            <w:szCs w:val="32"/>
          </w:rPr>
          <w:t>（一）机关运行经费及公用经费支出情况</w:t>
        </w:r>
      </w:hyperlink>
    </w:p>
    <w:p w:rsidR="00AE11D6" w:rsidRDefault="00EA193A">
      <w:pPr>
        <w:pStyle w:val="3"/>
        <w:tabs>
          <w:tab w:val="right" w:leader="dot" w:pos="8306"/>
        </w:tabs>
        <w:ind w:leftChars="0" w:left="0"/>
        <w:rPr>
          <w:rFonts w:ascii="仿宋_GB2312" w:eastAsia="仿宋_GB2312" w:hAnsi="仿宋_GB2312" w:cs="仿宋_GB2312"/>
          <w:szCs w:val="32"/>
        </w:rPr>
      </w:pPr>
      <w:hyperlink w:anchor="_Toc25177" w:history="1">
        <w:r w:rsidR="00F049C8">
          <w:rPr>
            <w:rFonts w:ascii="仿宋_GB2312" w:eastAsia="仿宋_GB2312" w:hAnsi="仿宋_GB2312" w:cs="仿宋_GB2312" w:hint="eastAsia"/>
            <w:szCs w:val="32"/>
          </w:rPr>
          <w:t>（二）政府采购情况</w:t>
        </w:r>
      </w:hyperlink>
    </w:p>
    <w:p w:rsidR="00AE11D6" w:rsidRDefault="00EA193A">
      <w:pPr>
        <w:pStyle w:val="3"/>
        <w:tabs>
          <w:tab w:val="right" w:leader="dot" w:pos="8306"/>
        </w:tabs>
        <w:ind w:leftChars="0" w:left="0"/>
        <w:rPr>
          <w:rFonts w:ascii="仿宋_GB2312" w:eastAsia="仿宋_GB2312" w:hAnsi="仿宋_GB2312" w:cs="仿宋_GB2312"/>
          <w:szCs w:val="32"/>
        </w:rPr>
      </w:pPr>
      <w:hyperlink w:anchor="_Toc31294" w:history="1">
        <w:r w:rsidR="00F049C8">
          <w:rPr>
            <w:rFonts w:ascii="仿宋_GB2312" w:eastAsia="仿宋_GB2312" w:hAnsi="仿宋_GB2312" w:cs="仿宋_GB2312" w:hint="eastAsia"/>
            <w:szCs w:val="32"/>
          </w:rPr>
          <w:t>（三）国有资产占用情况说明</w:t>
        </w:r>
      </w:hyperlink>
    </w:p>
    <w:p w:rsidR="00AE11D6" w:rsidRDefault="00EA193A">
      <w:pPr>
        <w:pStyle w:val="2"/>
        <w:tabs>
          <w:tab w:val="right" w:leader="dot" w:pos="8306"/>
        </w:tabs>
        <w:ind w:leftChars="0" w:left="0"/>
        <w:rPr>
          <w:rFonts w:ascii="仿宋_GB2312" w:eastAsia="仿宋_GB2312" w:hAnsi="仿宋_GB2312" w:cs="仿宋_GB2312"/>
          <w:szCs w:val="32"/>
        </w:rPr>
      </w:pPr>
      <w:hyperlink w:anchor="_Toc17664" w:history="1">
        <w:r w:rsidR="00F049C8">
          <w:rPr>
            <w:rFonts w:ascii="仿宋_GB2312" w:eastAsia="仿宋_GB2312" w:hAnsi="仿宋_GB2312" w:cs="仿宋_GB2312" w:hint="eastAsia"/>
            <w:bCs/>
            <w:kern w:val="0"/>
            <w:szCs w:val="32"/>
          </w:rPr>
          <w:t>十一、预算绩效的情况说明</w:t>
        </w:r>
      </w:hyperlink>
    </w:p>
    <w:p w:rsidR="00AE11D6" w:rsidRDefault="00F049C8">
      <w:pPr>
        <w:pStyle w:val="2"/>
        <w:tabs>
          <w:tab w:val="right" w:leader="dot" w:pos="8306"/>
        </w:tabs>
        <w:ind w:leftChars="0" w:left="0"/>
        <w:rPr>
          <w:rFonts w:ascii="仿宋_GB2312" w:eastAsia="仿宋_GB2312" w:hAnsi="仿宋_GB2312" w:cs="仿宋_GB2312"/>
          <w:szCs w:val="32"/>
        </w:rPr>
      </w:pPr>
      <w:r>
        <w:rPr>
          <w:rFonts w:ascii="仿宋_GB2312" w:eastAsia="仿宋_GB2312" w:hAnsi="仿宋_GB2312" w:cs="仿宋_GB2312" w:hint="eastAsia"/>
          <w:szCs w:val="32"/>
        </w:rPr>
        <w:t>十二、其他需说明的事项</w:t>
      </w:r>
    </w:p>
    <w:p w:rsidR="00AE11D6" w:rsidRDefault="00EA193A">
      <w:pPr>
        <w:pStyle w:val="1"/>
        <w:tabs>
          <w:tab w:val="right" w:leader="dot" w:pos="8306"/>
        </w:tabs>
        <w:rPr>
          <w:rFonts w:ascii="仿宋_GB2312" w:eastAsia="仿宋_GB2312" w:hAnsi="仿宋_GB2312" w:cs="仿宋_GB2312"/>
          <w:b/>
          <w:bCs/>
          <w:szCs w:val="32"/>
        </w:rPr>
      </w:pPr>
      <w:hyperlink w:anchor="_Toc30038" w:history="1">
        <w:r w:rsidR="00F049C8">
          <w:rPr>
            <w:rFonts w:ascii="仿宋_GB2312" w:eastAsia="仿宋_GB2312" w:hAnsi="仿宋_GB2312" w:cs="仿宋_GB2312" w:hint="eastAsia"/>
            <w:b/>
            <w:bCs/>
            <w:szCs w:val="32"/>
          </w:rPr>
          <w:t>第三部分 专业名词解释</w:t>
        </w:r>
      </w:hyperlink>
    </w:p>
    <w:p w:rsidR="00AE11D6" w:rsidRDefault="00EA193A">
      <w:pPr>
        <w:pStyle w:val="1"/>
        <w:tabs>
          <w:tab w:val="right" w:leader="dot" w:pos="8306"/>
        </w:tabs>
        <w:rPr>
          <w:rFonts w:ascii="仿宋_GB2312" w:eastAsia="仿宋_GB2312" w:hAnsi="仿宋_GB2312" w:cs="仿宋_GB2312"/>
          <w:b/>
          <w:bCs/>
          <w:szCs w:val="32"/>
        </w:rPr>
      </w:pPr>
      <w:hyperlink w:anchor="_Toc6831" w:history="1">
        <w:r w:rsidR="00F049C8">
          <w:rPr>
            <w:rFonts w:ascii="仿宋_GB2312" w:eastAsia="仿宋_GB2312" w:hAnsi="仿宋_GB2312" w:cs="仿宋_GB2312" w:hint="eastAsia"/>
            <w:b/>
            <w:bCs/>
            <w:szCs w:val="32"/>
          </w:rPr>
          <w:t>第四部分 部门决算报表（见附表）</w:t>
        </w:r>
      </w:hyperlink>
    </w:p>
    <w:p w:rsidR="00AE11D6" w:rsidRDefault="00EA193A">
      <w:pPr>
        <w:pStyle w:val="2"/>
        <w:tabs>
          <w:tab w:val="right" w:leader="dot" w:pos="8306"/>
        </w:tabs>
        <w:ind w:leftChars="0" w:left="0"/>
        <w:rPr>
          <w:rFonts w:ascii="仿宋_GB2312" w:eastAsia="仿宋_GB2312" w:hAnsi="仿宋_GB2312" w:cs="仿宋_GB2312"/>
          <w:szCs w:val="32"/>
        </w:rPr>
      </w:pPr>
      <w:hyperlink w:anchor="_Toc3845" w:history="1">
        <w:r w:rsidR="00F049C8">
          <w:rPr>
            <w:rFonts w:ascii="仿宋_GB2312" w:eastAsia="仿宋_GB2312" w:hAnsi="仿宋_GB2312" w:cs="仿宋_GB2312" w:hint="eastAsia"/>
            <w:bCs/>
            <w:kern w:val="0"/>
            <w:szCs w:val="32"/>
          </w:rPr>
          <w:t>一、《收入支出决算总表》</w:t>
        </w:r>
      </w:hyperlink>
    </w:p>
    <w:p w:rsidR="00AE11D6" w:rsidRDefault="00EA193A">
      <w:pPr>
        <w:pStyle w:val="2"/>
        <w:tabs>
          <w:tab w:val="right" w:leader="dot" w:pos="8306"/>
        </w:tabs>
        <w:ind w:leftChars="0" w:left="0"/>
        <w:rPr>
          <w:rFonts w:ascii="仿宋_GB2312" w:eastAsia="仿宋_GB2312" w:hAnsi="仿宋_GB2312" w:cs="仿宋_GB2312"/>
          <w:szCs w:val="32"/>
        </w:rPr>
      </w:pPr>
      <w:hyperlink w:anchor="_Toc11927" w:history="1">
        <w:r w:rsidR="00F049C8">
          <w:rPr>
            <w:rFonts w:ascii="仿宋_GB2312" w:eastAsia="仿宋_GB2312" w:hAnsi="仿宋_GB2312" w:cs="仿宋_GB2312" w:hint="eastAsia"/>
            <w:bCs/>
            <w:kern w:val="0"/>
            <w:szCs w:val="32"/>
          </w:rPr>
          <w:t>二、《收入决算表》</w:t>
        </w:r>
      </w:hyperlink>
    </w:p>
    <w:p w:rsidR="00AE11D6" w:rsidRDefault="00EA193A">
      <w:pPr>
        <w:pStyle w:val="2"/>
        <w:tabs>
          <w:tab w:val="right" w:leader="dot" w:pos="8306"/>
        </w:tabs>
        <w:ind w:leftChars="0" w:left="0"/>
        <w:rPr>
          <w:rFonts w:ascii="仿宋_GB2312" w:eastAsia="仿宋_GB2312" w:hAnsi="仿宋_GB2312" w:cs="仿宋_GB2312"/>
          <w:szCs w:val="32"/>
        </w:rPr>
      </w:pPr>
      <w:hyperlink w:anchor="_Toc7443" w:history="1">
        <w:r w:rsidR="00F049C8">
          <w:rPr>
            <w:rFonts w:ascii="仿宋_GB2312" w:eastAsia="仿宋_GB2312" w:hAnsi="仿宋_GB2312" w:cs="仿宋_GB2312" w:hint="eastAsia"/>
            <w:bCs/>
            <w:kern w:val="0"/>
            <w:szCs w:val="32"/>
          </w:rPr>
          <w:t>三、《支出决算表》</w:t>
        </w:r>
      </w:hyperlink>
    </w:p>
    <w:p w:rsidR="00AE11D6" w:rsidRDefault="00EA193A">
      <w:pPr>
        <w:pStyle w:val="2"/>
        <w:tabs>
          <w:tab w:val="right" w:leader="dot" w:pos="8306"/>
        </w:tabs>
        <w:ind w:leftChars="0" w:left="0"/>
        <w:rPr>
          <w:rFonts w:ascii="仿宋_GB2312" w:eastAsia="仿宋_GB2312" w:hAnsi="仿宋_GB2312" w:cs="仿宋_GB2312"/>
          <w:szCs w:val="32"/>
        </w:rPr>
      </w:pPr>
      <w:hyperlink w:anchor="_Toc24884" w:history="1">
        <w:r w:rsidR="00F049C8">
          <w:rPr>
            <w:rFonts w:ascii="仿宋_GB2312" w:eastAsia="仿宋_GB2312" w:hAnsi="仿宋_GB2312" w:cs="仿宋_GB2312" w:hint="eastAsia"/>
            <w:bCs/>
            <w:kern w:val="0"/>
            <w:szCs w:val="32"/>
          </w:rPr>
          <w:t>四、《财政拨款收入支出决算总表》</w:t>
        </w:r>
      </w:hyperlink>
    </w:p>
    <w:p w:rsidR="00AE11D6" w:rsidRDefault="00EA193A">
      <w:pPr>
        <w:pStyle w:val="2"/>
        <w:tabs>
          <w:tab w:val="right" w:leader="dot" w:pos="8306"/>
        </w:tabs>
        <w:ind w:leftChars="0" w:left="0"/>
        <w:rPr>
          <w:rFonts w:ascii="仿宋_GB2312" w:eastAsia="仿宋_GB2312" w:hAnsi="仿宋_GB2312" w:cs="仿宋_GB2312"/>
          <w:szCs w:val="32"/>
        </w:rPr>
      </w:pPr>
      <w:hyperlink w:anchor="_Toc16518" w:history="1">
        <w:r w:rsidR="00F049C8">
          <w:rPr>
            <w:rFonts w:ascii="仿宋_GB2312" w:eastAsia="仿宋_GB2312" w:hAnsi="仿宋_GB2312" w:cs="仿宋_GB2312" w:hint="eastAsia"/>
            <w:bCs/>
            <w:kern w:val="0"/>
            <w:szCs w:val="32"/>
          </w:rPr>
          <w:t>五、《一般公共预算财政拨款支出决算表》</w:t>
        </w:r>
      </w:hyperlink>
    </w:p>
    <w:p w:rsidR="00AE11D6" w:rsidRDefault="00EA193A">
      <w:pPr>
        <w:pStyle w:val="2"/>
        <w:tabs>
          <w:tab w:val="right" w:leader="dot" w:pos="8306"/>
        </w:tabs>
        <w:ind w:leftChars="0" w:left="0"/>
        <w:rPr>
          <w:rFonts w:ascii="仿宋_GB2312" w:eastAsia="仿宋_GB2312" w:hAnsi="仿宋_GB2312" w:cs="仿宋_GB2312"/>
          <w:szCs w:val="32"/>
        </w:rPr>
      </w:pPr>
      <w:hyperlink w:anchor="_Toc20514" w:history="1">
        <w:r w:rsidR="00F049C8">
          <w:rPr>
            <w:rFonts w:ascii="仿宋_GB2312" w:eastAsia="仿宋_GB2312" w:hAnsi="仿宋_GB2312" w:cs="仿宋_GB2312" w:hint="eastAsia"/>
            <w:bCs/>
            <w:kern w:val="0"/>
            <w:szCs w:val="32"/>
          </w:rPr>
          <w:t>六、《一般公共预算财政拨款基本支出决算表》</w:t>
        </w:r>
      </w:hyperlink>
    </w:p>
    <w:p w:rsidR="00AE11D6" w:rsidRDefault="00EA193A">
      <w:pPr>
        <w:pStyle w:val="2"/>
        <w:tabs>
          <w:tab w:val="right" w:leader="dot" w:pos="8306"/>
        </w:tabs>
        <w:ind w:leftChars="0" w:left="0"/>
        <w:rPr>
          <w:rFonts w:ascii="仿宋_GB2312" w:eastAsia="仿宋_GB2312" w:hAnsi="仿宋_GB2312" w:cs="仿宋_GB2312"/>
          <w:szCs w:val="32"/>
        </w:rPr>
      </w:pPr>
      <w:hyperlink w:anchor="_Toc18055" w:history="1">
        <w:r w:rsidR="00F049C8">
          <w:rPr>
            <w:rFonts w:ascii="仿宋_GB2312" w:eastAsia="仿宋_GB2312" w:hAnsi="仿宋_GB2312" w:cs="仿宋_GB2312" w:hint="eastAsia"/>
            <w:bCs/>
            <w:kern w:val="0"/>
            <w:szCs w:val="32"/>
          </w:rPr>
          <w:t>七、《政府性基金预算财政拨款收入支出决算表》</w:t>
        </w:r>
      </w:hyperlink>
    </w:p>
    <w:p w:rsidR="00AE11D6" w:rsidRDefault="00EA193A">
      <w:pPr>
        <w:pStyle w:val="2"/>
        <w:tabs>
          <w:tab w:val="right" w:leader="dot" w:pos="8306"/>
        </w:tabs>
        <w:ind w:leftChars="0" w:left="0"/>
        <w:rPr>
          <w:rFonts w:ascii="仿宋_GB2312" w:eastAsia="仿宋_GB2312" w:hAnsi="仿宋_GB2312" w:cs="仿宋_GB2312"/>
          <w:szCs w:val="32"/>
        </w:rPr>
      </w:pPr>
      <w:hyperlink w:anchor="_Toc10719" w:history="1">
        <w:r w:rsidR="00F049C8">
          <w:rPr>
            <w:rFonts w:ascii="仿宋_GB2312" w:eastAsia="仿宋_GB2312" w:hAnsi="仿宋_GB2312" w:cs="仿宋_GB2312" w:hint="eastAsia"/>
            <w:bCs/>
            <w:kern w:val="0"/>
            <w:szCs w:val="32"/>
          </w:rPr>
          <w:t>八、《国有资本经营预算财政拨款收入支出决算表》</w:t>
        </w:r>
      </w:hyperlink>
    </w:p>
    <w:p w:rsidR="00AE11D6" w:rsidRDefault="00EA193A">
      <w:pPr>
        <w:pStyle w:val="2"/>
        <w:tabs>
          <w:tab w:val="right" w:leader="dot" w:pos="8306"/>
        </w:tabs>
        <w:ind w:leftChars="0" w:left="0"/>
        <w:rPr>
          <w:rFonts w:ascii="仿宋_GB2312" w:eastAsia="仿宋_GB2312" w:hAnsi="仿宋_GB2312" w:cs="仿宋_GB2312"/>
          <w:szCs w:val="32"/>
        </w:rPr>
      </w:pPr>
      <w:hyperlink w:anchor="_Toc18861" w:history="1">
        <w:r w:rsidR="00F049C8">
          <w:rPr>
            <w:rFonts w:ascii="仿宋_GB2312" w:eastAsia="仿宋_GB2312" w:hAnsi="仿宋_GB2312" w:cs="仿宋_GB2312" w:hint="eastAsia"/>
            <w:bCs/>
            <w:kern w:val="0"/>
            <w:szCs w:val="32"/>
          </w:rPr>
          <w:t>九、《财政拨款“三公”经费支出决算表》</w:t>
        </w:r>
      </w:hyperlink>
    </w:p>
    <w:p w:rsidR="00AE11D6" w:rsidRDefault="00F049C8">
      <w:pPr>
        <w:pStyle w:val="2"/>
        <w:tabs>
          <w:tab w:val="right" w:pos="8306"/>
        </w:tabs>
        <w:ind w:leftChars="0" w:left="0"/>
        <w:rPr>
          <w:rFonts w:ascii="仿宋_GB2312" w:eastAsia="仿宋_GB2312" w:hAnsi="仿宋_GB2312" w:cs="仿宋_GB2312"/>
          <w:szCs w:val="32"/>
        </w:rPr>
      </w:pPr>
      <w:r>
        <w:rPr>
          <w:rFonts w:ascii="仿宋_GB2312" w:eastAsia="仿宋_GB2312" w:hAnsi="仿宋_GB2312" w:cs="仿宋_GB2312" w:hint="eastAsia"/>
          <w:szCs w:val="32"/>
        </w:rPr>
        <w:fldChar w:fldCharType="end"/>
      </w:r>
    </w:p>
    <w:p w:rsidR="00AE11D6" w:rsidRDefault="00F049C8">
      <w:r>
        <w:br w:type="page"/>
      </w:r>
    </w:p>
    <w:p w:rsidR="00AE11D6" w:rsidRDefault="00F049C8">
      <w:pPr>
        <w:spacing w:line="640" w:lineRule="exact"/>
        <w:jc w:val="center"/>
        <w:outlineLvl w:val="1"/>
      </w:pPr>
      <w:r>
        <w:rPr>
          <w:rFonts w:ascii="黑体" w:eastAsia="黑体" w:hAnsi="黑体"/>
        </w:rPr>
        <w:lastRenderedPageBreak/>
        <w:t>第一部分 单位概况</w:t>
      </w:r>
    </w:p>
    <w:p w:rsidR="00AE11D6" w:rsidRDefault="00F049C8">
      <w:pPr>
        <w:spacing w:line="640" w:lineRule="exact"/>
        <w:ind w:firstLine="640"/>
        <w:outlineLvl w:val="2"/>
      </w:pPr>
      <w:r>
        <w:rPr>
          <w:rFonts w:ascii="黑体" w:eastAsia="黑体" w:hAnsi="黑体"/>
        </w:rPr>
        <w:t>一、主要职能</w:t>
      </w:r>
    </w:p>
    <w:p w:rsidR="00AE11D6" w:rsidRDefault="00F049C8">
      <w:pPr>
        <w:spacing w:line="580" w:lineRule="exact"/>
        <w:ind w:firstLine="640"/>
      </w:pPr>
      <w:r>
        <w:rPr>
          <w:rFonts w:ascii="仿宋_GB2312" w:eastAsia="仿宋_GB2312" w:hAnsi="仿宋_GB2312"/>
        </w:rPr>
        <w:t>1、履行全民所有土地、矿产、森林、草原、湿地、水等自然资源资产所有者职责和所有国土空间用途管制职责。贯彻执行自然资源和国土空间规划及测绘等法律法规，拟定尉犁县自然资源和国土空间规划及测绘等方面的规范性文件。</w:t>
      </w:r>
    </w:p>
    <w:p w:rsidR="00AE11D6" w:rsidRDefault="00F049C8">
      <w:pPr>
        <w:spacing w:line="580" w:lineRule="exact"/>
        <w:ind w:firstLine="640"/>
      </w:pPr>
      <w:r>
        <w:rPr>
          <w:rFonts w:ascii="仿宋_GB2312" w:eastAsia="仿宋_GB2312" w:hAnsi="仿宋_GB2312"/>
        </w:rPr>
        <w:t>2、负责自然资源调查监测评价。贯彻执行国家自然资源调查监测评价的指标体系和统计标准，建立统一规范的自然资源调查监测评价制度。实施自然资源基础调查、专项调查和监测。负责自然资源调查监测评价成果的监督管理和信息发布。</w:t>
      </w:r>
    </w:p>
    <w:p w:rsidR="00AE11D6" w:rsidRDefault="00F049C8">
      <w:pPr>
        <w:spacing w:line="580" w:lineRule="exact"/>
        <w:ind w:firstLine="640"/>
      </w:pPr>
      <w:r>
        <w:rPr>
          <w:rFonts w:ascii="仿宋_GB2312" w:eastAsia="仿宋_GB2312" w:hAnsi="仿宋_GB2312"/>
        </w:rPr>
        <w:t>3、负责自然资源统一确权登记工作。贯彻执行国家各类自然资源和不动产统一确权登记、权籍调查、不动产测绘、争议调处、成果应用的制度、标准、规范。建立健全自然资源和不动产登记信息管理基础平台。负责尉犁县自然资源和不动产登记资料收集、整理、共享、汇交管理等。会同有关部门提出处理土地、草场等纠纷的配套政策。组织有关部门调查、裁定尉犁县内土地、草场、矿山、林地、水域等权属纠纷。</w:t>
      </w:r>
    </w:p>
    <w:p w:rsidR="00AE11D6" w:rsidRDefault="00F049C8">
      <w:pPr>
        <w:spacing w:line="580" w:lineRule="exact"/>
        <w:ind w:firstLine="640"/>
      </w:pPr>
      <w:r>
        <w:rPr>
          <w:rFonts w:ascii="仿宋_GB2312" w:eastAsia="仿宋_GB2312" w:hAnsi="仿宋_GB2312"/>
        </w:rPr>
        <w:t>4、负责自然资源资产有偿使用工作。贯彻执行国家全民所有自然资源资产统计制度，负责尉犁县全民所有自然资源资产核算。编制尉犁县全民所有自然资源资产负债表，拟订考核标准。贯彻执行国家全民所有自然资源资产划拨、出让、租赁、作价出</w:t>
      </w:r>
      <w:r>
        <w:rPr>
          <w:rFonts w:ascii="仿宋_GB2312" w:eastAsia="仿宋_GB2312" w:hAnsi="仿宋_GB2312"/>
        </w:rPr>
        <w:lastRenderedPageBreak/>
        <w:t>资和土地储备政策并拟订尉犁县有关政策，合理配置尉犁县全民所有自然资源资产。负责尉犁县自然资源资产价值评估管理，依法收缴相关资产收益。</w:t>
      </w:r>
    </w:p>
    <w:p w:rsidR="00AE11D6" w:rsidRDefault="00F049C8">
      <w:pPr>
        <w:spacing w:line="580" w:lineRule="exact"/>
        <w:ind w:firstLine="640"/>
      </w:pPr>
      <w:r>
        <w:rPr>
          <w:rFonts w:ascii="仿宋_GB2312" w:eastAsia="仿宋_GB2312" w:hAnsi="仿宋_GB2312"/>
        </w:rPr>
        <w:t>5、负责自然资源的合理开发利用。组织拟订尉犁县自然资源发展规划和战略，拟订自然资源开发利用标准并组织实施，建立政府公示自然资源价格体系，组织开展自然资源分等定级价格评估，开展自然资源利用评价考核，指导节约集约利用。负责尉犁县自然资源市场监管。组织研究尉犁县自然资源管理涉及宏观调控、区域协调和城乡统筹的政策措施。</w:t>
      </w:r>
    </w:p>
    <w:p w:rsidR="00AE11D6" w:rsidRDefault="00F049C8">
      <w:pPr>
        <w:spacing w:line="580" w:lineRule="exact"/>
        <w:ind w:firstLine="640"/>
      </w:pPr>
      <w:r>
        <w:rPr>
          <w:rFonts w:ascii="仿宋_GB2312" w:eastAsia="仿宋_GB2312" w:hAnsi="仿宋_GB2312"/>
        </w:rPr>
        <w:t>6、负责建立空间规划体系并监督实施。推进尉犁</w:t>
      </w:r>
      <w:proofErr w:type="gramStart"/>
      <w:r>
        <w:rPr>
          <w:rFonts w:ascii="仿宋_GB2312" w:eastAsia="仿宋_GB2312" w:hAnsi="仿宋_GB2312"/>
        </w:rPr>
        <w:t>县主体</w:t>
      </w:r>
      <w:proofErr w:type="gramEnd"/>
      <w:r>
        <w:rPr>
          <w:rFonts w:ascii="仿宋_GB2312" w:eastAsia="仿宋_GB2312" w:hAnsi="仿宋_GB2312"/>
        </w:rPr>
        <w:t>功能区战略和制度，组织编制并监督实施国土空间规划和相关专项规划。开展尉犁县国土空间开发适宜性评价，建立国土空间规划实施监测、评估和预警体系。组织划定尉犁县生态保护红线、永久基本农田、城镇开发边界等控制线，构建节约资源和保护环境的生产、生活、生态空间布局。建立健全尉犁县国土空间用途管制制度，研究拟订城乡规划政策并监督实施。组织拟订并实施尉犁县土地等自然资源年度利用计划。负责尉犁县土地等国土空间用途转用工作。</w:t>
      </w:r>
    </w:p>
    <w:p w:rsidR="00AE11D6" w:rsidRDefault="00F049C8">
      <w:pPr>
        <w:spacing w:line="580" w:lineRule="exact"/>
        <w:ind w:firstLine="640"/>
      </w:pPr>
      <w:r>
        <w:rPr>
          <w:rFonts w:ascii="仿宋_GB2312" w:eastAsia="仿宋_GB2312" w:hAnsi="仿宋_GB2312"/>
        </w:rPr>
        <w:t>7、负责统筹国土空间生态修复。牵头组织编制尉犁县国土空间生态修复规划并实施有关生态修复重大工程。负责尉犁县国土空间综合整治、土地整理复垦、矿山地质环境恢复治理等工作。</w:t>
      </w:r>
      <w:r>
        <w:rPr>
          <w:rFonts w:ascii="仿宋_GB2312" w:eastAsia="仿宋_GB2312" w:hAnsi="仿宋_GB2312"/>
        </w:rPr>
        <w:lastRenderedPageBreak/>
        <w:t>牵头拟订和实施尉犁县生态保护补偿制度，拟订合理利用社会资金进行生态修复的政策措施，提出重大备选项目。</w:t>
      </w:r>
    </w:p>
    <w:p w:rsidR="00AE11D6" w:rsidRDefault="00F049C8">
      <w:pPr>
        <w:spacing w:line="580" w:lineRule="exact"/>
        <w:ind w:firstLine="640"/>
      </w:pPr>
      <w:r>
        <w:rPr>
          <w:rFonts w:ascii="仿宋_GB2312" w:eastAsia="仿宋_GB2312" w:hAnsi="仿宋_GB2312"/>
        </w:rPr>
        <w:t>8、负责组织实施最严格的耕地保护制度。贯彻执行国家耕地保护政策并牵头拟订和实施尉犁县有关规定，负责耕地数量、质量、生态保护。组织实施尉犁县耕地保护责任目标考核和永久基本农田特殊保护。完善尉犁县耕地占补平衡制度，监督占用耕地补偿制度执行情况。</w:t>
      </w:r>
    </w:p>
    <w:p w:rsidR="00AE11D6" w:rsidRDefault="00F049C8">
      <w:pPr>
        <w:spacing w:line="580" w:lineRule="exact"/>
        <w:ind w:firstLine="640"/>
      </w:pPr>
      <w:r>
        <w:rPr>
          <w:rFonts w:ascii="仿宋_GB2312" w:eastAsia="仿宋_GB2312" w:hAnsi="仿宋_GB2312"/>
        </w:rPr>
        <w:t>9、负责尉犁县地质工作。编制尉犁县地质勘查规划并监督检查执行情况。负责尉犁县地质灾害预防和治理。</w:t>
      </w:r>
    </w:p>
    <w:p w:rsidR="00AE11D6" w:rsidRDefault="00F049C8">
      <w:pPr>
        <w:spacing w:line="580" w:lineRule="exact"/>
        <w:ind w:firstLine="640"/>
      </w:pPr>
      <w:r>
        <w:rPr>
          <w:rFonts w:ascii="仿宋_GB2312" w:eastAsia="仿宋_GB2312" w:hAnsi="仿宋_GB2312"/>
        </w:rPr>
        <w:t>10、负责落实综合防灾减灾规划相关要求，组织编制尉犁县地质灾害防治规划和防护标准并指导实施。组织指导协调和监督尉犁县地质灾害调查评价及隐患的普查、详查、排查。指导开展群测群防、专业监测和预报预警等工作，指导开展地质灾害工程治理工作。承担尉犁县地质灾害应急救援的技术支撑工作。</w:t>
      </w:r>
    </w:p>
    <w:p w:rsidR="00AE11D6" w:rsidRDefault="00F049C8">
      <w:pPr>
        <w:spacing w:line="580" w:lineRule="exact"/>
        <w:ind w:firstLine="640"/>
      </w:pPr>
      <w:r>
        <w:rPr>
          <w:rFonts w:ascii="仿宋_GB2312" w:eastAsia="仿宋_GB2312" w:hAnsi="仿宋_GB2312"/>
        </w:rPr>
        <w:t>11、负责矿产资源管理工作。负责尉犁县矿产资源储量管理及压覆矿产资源审核。负责尉犁县矿业权管理。会同有关部门落实尉犁县保护性开采的特定矿种、优势矿产的调控及相关管理工作。监督指导全县矿产资源合理利用和保护。</w:t>
      </w:r>
    </w:p>
    <w:p w:rsidR="00AE11D6" w:rsidRDefault="00F049C8">
      <w:pPr>
        <w:spacing w:line="580" w:lineRule="exact"/>
        <w:ind w:firstLine="640"/>
      </w:pPr>
      <w:r>
        <w:rPr>
          <w:rFonts w:ascii="仿宋_GB2312" w:eastAsia="仿宋_GB2312" w:hAnsi="仿宋_GB2312"/>
        </w:rPr>
        <w:t>12、负责测绘地理信息管理工作。负责尉犁县基础测绘和测绘行业管理。负责尉犁县测绘资质资格与信用管理，监督管理尉犁县地理信息安全和市场秩序。负责尉犁县地理信息公共服务管</w:t>
      </w:r>
      <w:r>
        <w:rPr>
          <w:rFonts w:ascii="仿宋_GB2312" w:eastAsia="仿宋_GB2312" w:hAnsi="仿宋_GB2312"/>
        </w:rPr>
        <w:lastRenderedPageBreak/>
        <w:t>理。负责尉犁县测量标志保护。</w:t>
      </w:r>
    </w:p>
    <w:p w:rsidR="00AE11D6" w:rsidRDefault="00F049C8">
      <w:pPr>
        <w:spacing w:line="580" w:lineRule="exact"/>
        <w:ind w:firstLine="640"/>
      </w:pPr>
      <w:r>
        <w:rPr>
          <w:rFonts w:ascii="仿宋_GB2312" w:eastAsia="仿宋_GB2312" w:hAnsi="仿宋_GB2312"/>
        </w:rPr>
        <w:t>13、推动自然资源领域科技发展。制定并实施尉犁县自然资源领域科技创新发展和人才培养战略、规划和计划。组织实施尉犁</w:t>
      </w:r>
      <w:proofErr w:type="gramStart"/>
      <w:r>
        <w:rPr>
          <w:rFonts w:ascii="仿宋_GB2312" w:eastAsia="仿宋_GB2312" w:hAnsi="仿宋_GB2312"/>
        </w:rPr>
        <w:t>县重大</w:t>
      </w:r>
      <w:proofErr w:type="gramEnd"/>
      <w:r>
        <w:rPr>
          <w:rFonts w:ascii="仿宋_GB2312" w:eastAsia="仿宋_GB2312" w:hAnsi="仿宋_GB2312"/>
        </w:rPr>
        <w:t>科技工程及创新能力建设，推进自然资源信息化和信息资料的公共服务。组织参与自然资源领域对外交流合作。</w:t>
      </w:r>
    </w:p>
    <w:p w:rsidR="00AE11D6" w:rsidRDefault="00F049C8">
      <w:pPr>
        <w:spacing w:line="580" w:lineRule="exact"/>
        <w:ind w:firstLine="640"/>
      </w:pPr>
      <w:r>
        <w:rPr>
          <w:rFonts w:ascii="仿宋_GB2312" w:eastAsia="仿宋_GB2312" w:hAnsi="仿宋_GB2312"/>
        </w:rPr>
        <w:t>14、根据授权，对乡（镇）政府落实党中央、国务院关于自然资源和国土空间规划的重大方针政策、决策部署和尉犁县党委、尉犁县人民政府工作要求及法律法规执行情况进行督察。查处自然资源开发利用和国土空间规划及测绘重大违法案件。指导乡（镇）有关行政执法工作。</w:t>
      </w:r>
    </w:p>
    <w:p w:rsidR="00AE11D6" w:rsidRDefault="00F049C8">
      <w:pPr>
        <w:spacing w:line="580" w:lineRule="exact"/>
        <w:ind w:firstLine="640"/>
      </w:pPr>
      <w:r>
        <w:rPr>
          <w:rFonts w:ascii="仿宋_GB2312" w:eastAsia="仿宋_GB2312" w:hAnsi="仿宋_GB2312"/>
        </w:rPr>
        <w:t>15、统一管理和协调尉犁县林业和草原局。</w:t>
      </w:r>
    </w:p>
    <w:p w:rsidR="00AE11D6" w:rsidRDefault="00F049C8">
      <w:pPr>
        <w:spacing w:line="580" w:lineRule="exact"/>
        <w:ind w:firstLine="640"/>
      </w:pPr>
      <w:r>
        <w:rPr>
          <w:rFonts w:ascii="仿宋_GB2312" w:eastAsia="仿宋_GB2312" w:hAnsi="仿宋_GB2312"/>
        </w:rPr>
        <w:t>16、承担本部门党的建设、党风廉政建设和反腐败、精神文明、维护稳定、综合治理、民族团结、“两个全覆盖”、安全生产、扶贫等工作。</w:t>
      </w:r>
    </w:p>
    <w:p w:rsidR="00AE11D6" w:rsidRDefault="00F049C8">
      <w:pPr>
        <w:spacing w:line="580" w:lineRule="exact"/>
        <w:ind w:firstLine="640"/>
      </w:pPr>
      <w:r>
        <w:rPr>
          <w:rFonts w:ascii="仿宋_GB2312" w:eastAsia="仿宋_GB2312" w:hAnsi="仿宋_GB2312"/>
        </w:rPr>
        <w:t>17、完成县委、县政府及上级部门交办的其他任务。</w:t>
      </w:r>
    </w:p>
    <w:p w:rsidR="00AE11D6" w:rsidRDefault="00F049C8">
      <w:pPr>
        <w:spacing w:line="640" w:lineRule="exact"/>
        <w:ind w:firstLine="640"/>
        <w:outlineLvl w:val="2"/>
      </w:pPr>
      <w:r>
        <w:rPr>
          <w:rFonts w:ascii="黑体" w:eastAsia="黑体" w:hAnsi="黑体"/>
        </w:rPr>
        <w:t>二、机构设置及人员情况</w:t>
      </w:r>
    </w:p>
    <w:p w:rsidR="00AE11D6" w:rsidRDefault="00F049C8">
      <w:pPr>
        <w:spacing w:line="580" w:lineRule="exact"/>
        <w:ind w:firstLine="640"/>
      </w:pPr>
      <w:r>
        <w:rPr>
          <w:rFonts w:ascii="仿宋_GB2312" w:eastAsia="仿宋_GB2312" w:hAnsi="仿宋_GB2312"/>
        </w:rPr>
        <w:t>尉犁县自然资源局2024年度，实有人数63人，其中：在职人员41人，减少1人；离休人员0人，增加0人；退休人员22人,增加1人。</w:t>
      </w:r>
    </w:p>
    <w:p w:rsidR="00AE11D6" w:rsidRDefault="00F049C8">
      <w:pPr>
        <w:spacing w:line="580" w:lineRule="exact"/>
        <w:ind w:firstLine="640"/>
      </w:pPr>
      <w:r>
        <w:rPr>
          <w:rFonts w:ascii="仿宋_GB2312" w:eastAsia="仿宋_GB2312" w:hAnsi="仿宋_GB2312"/>
        </w:rPr>
        <w:t>尉犁县</w:t>
      </w:r>
      <w:proofErr w:type="gramStart"/>
      <w:r>
        <w:rPr>
          <w:rFonts w:ascii="仿宋_GB2312" w:eastAsia="仿宋_GB2312" w:hAnsi="仿宋_GB2312"/>
        </w:rPr>
        <w:t>自然资源局无下属</w:t>
      </w:r>
      <w:proofErr w:type="gramEnd"/>
      <w:r>
        <w:rPr>
          <w:rFonts w:ascii="仿宋_GB2312" w:eastAsia="仿宋_GB2312" w:hAnsi="仿宋_GB2312"/>
        </w:rPr>
        <w:t>预算单位，下设5个科室，分别是：办公室、土地征地事务中心、耕地保护规划中心、土地储备交易</w:t>
      </w:r>
      <w:r>
        <w:rPr>
          <w:rFonts w:ascii="仿宋_GB2312" w:eastAsia="仿宋_GB2312" w:hAnsi="仿宋_GB2312"/>
        </w:rPr>
        <w:lastRenderedPageBreak/>
        <w:t>测绘中心、不动产登记中心。</w:t>
      </w:r>
    </w:p>
    <w:p w:rsidR="00AE11D6" w:rsidRDefault="00F049C8">
      <w:r>
        <w:br w:type="page"/>
      </w:r>
    </w:p>
    <w:p w:rsidR="00AE11D6" w:rsidRDefault="00F049C8">
      <w:pPr>
        <w:jc w:val="center"/>
        <w:outlineLvl w:val="1"/>
      </w:pPr>
      <w:r>
        <w:rPr>
          <w:rFonts w:ascii="黑体" w:eastAsia="黑体" w:hAnsi="黑体"/>
        </w:rPr>
        <w:lastRenderedPageBreak/>
        <w:t>第二部分 部门决算情况说明</w:t>
      </w:r>
    </w:p>
    <w:p w:rsidR="00AE11D6" w:rsidRDefault="00F049C8">
      <w:pPr>
        <w:spacing w:line="640" w:lineRule="exact"/>
        <w:ind w:firstLine="640"/>
        <w:outlineLvl w:val="2"/>
      </w:pPr>
      <w:r>
        <w:rPr>
          <w:rFonts w:ascii="黑体" w:eastAsia="黑体" w:hAnsi="黑体"/>
        </w:rPr>
        <w:t>一、收入支出决算总体情况说明</w:t>
      </w:r>
    </w:p>
    <w:p w:rsidR="00AE11D6" w:rsidRDefault="00F049C8">
      <w:pPr>
        <w:spacing w:line="580" w:lineRule="exact"/>
        <w:ind w:firstLine="640"/>
      </w:pPr>
      <w:r>
        <w:rPr>
          <w:rFonts w:ascii="仿宋_GB2312" w:eastAsia="仿宋_GB2312" w:hAnsi="仿宋_GB2312"/>
          <w:b/>
        </w:rPr>
        <w:t>2024年度收入总计13,618.86万元，</w:t>
      </w:r>
      <w:r>
        <w:rPr>
          <w:rFonts w:ascii="仿宋_GB2312" w:eastAsia="仿宋_GB2312" w:hAnsi="仿宋_GB2312"/>
        </w:rPr>
        <w:t>其中：本年收入合计13,611.08万元，使用非财政拨款结余（含专用结余）0.00万元，年初结转和结余7.78万元。</w:t>
      </w:r>
    </w:p>
    <w:p w:rsidR="00AE11D6" w:rsidRDefault="00F049C8">
      <w:pPr>
        <w:spacing w:line="580" w:lineRule="exact"/>
        <w:ind w:firstLine="640"/>
      </w:pPr>
      <w:r>
        <w:rPr>
          <w:rFonts w:ascii="仿宋_GB2312" w:eastAsia="仿宋_GB2312" w:hAnsi="仿宋_GB2312"/>
          <w:b/>
        </w:rPr>
        <w:t>2024年度支出总计13,618.86万元，</w:t>
      </w:r>
      <w:r>
        <w:rPr>
          <w:rFonts w:ascii="仿宋_GB2312" w:eastAsia="仿宋_GB2312" w:hAnsi="仿宋_GB2312"/>
        </w:rPr>
        <w:t>其中：本年支出合计13,617.46万元，结余分配0.00万元，年末结转和结余1.41万元。</w:t>
      </w:r>
    </w:p>
    <w:p w:rsidR="00AE11D6" w:rsidRDefault="00F049C8">
      <w:pPr>
        <w:spacing w:line="580" w:lineRule="exact"/>
        <w:ind w:firstLine="640"/>
      </w:pPr>
      <w:r>
        <w:rPr>
          <w:rFonts w:ascii="仿宋_GB2312" w:eastAsia="仿宋_GB2312" w:hAnsi="仿宋_GB2312"/>
        </w:rPr>
        <w:t>收入支出总体与上年相比，增加7,759.30万元，增长132.42%，主要原因是：本年增加2023年中央土地指标跨省域调剂收入-古勒巴格乡直属土地开发项目（结转）、2023年</w:t>
      </w:r>
      <w:proofErr w:type="gramStart"/>
      <w:r>
        <w:rPr>
          <w:rFonts w:ascii="仿宋_GB2312" w:eastAsia="仿宋_GB2312" w:hAnsi="仿宋_GB2312"/>
        </w:rPr>
        <w:t>卫片执法</w:t>
      </w:r>
      <w:proofErr w:type="gramEnd"/>
      <w:r>
        <w:rPr>
          <w:rFonts w:ascii="仿宋_GB2312" w:eastAsia="仿宋_GB2312" w:hAnsi="仿宋_GB2312"/>
        </w:rPr>
        <w:t>工作技术服务费、2023年度国土变更调查工作技术服务费、格尔木至库尔勒铁路扩能改造项目、2024年第一批建设用地等项目耕地开垦费、乡镇规划2024年第二批建设用地耕地占用税、新建库尔勒至格尔木铁路还本付息等项目经费，导致相关经费增加。</w:t>
      </w:r>
    </w:p>
    <w:p w:rsidR="00AE11D6" w:rsidRDefault="00F049C8">
      <w:pPr>
        <w:spacing w:line="640" w:lineRule="exact"/>
        <w:ind w:firstLine="640"/>
        <w:outlineLvl w:val="2"/>
      </w:pPr>
      <w:r>
        <w:rPr>
          <w:rFonts w:ascii="黑体" w:eastAsia="黑体" w:hAnsi="黑体"/>
        </w:rPr>
        <w:t>二、收入决算情况说明</w:t>
      </w:r>
    </w:p>
    <w:p w:rsidR="00AE11D6" w:rsidRDefault="00F049C8">
      <w:pPr>
        <w:spacing w:line="580" w:lineRule="exact"/>
        <w:ind w:firstLine="640"/>
      </w:pPr>
      <w:r>
        <w:rPr>
          <w:rFonts w:ascii="仿宋_GB2312" w:eastAsia="仿宋_GB2312" w:hAnsi="仿宋_GB2312"/>
          <w:b/>
        </w:rPr>
        <w:t>本年收入13,611.08万元，</w:t>
      </w:r>
      <w:r>
        <w:rPr>
          <w:rFonts w:ascii="仿宋_GB2312" w:eastAsia="仿宋_GB2312" w:hAnsi="仿宋_GB2312"/>
        </w:rPr>
        <w:t>其中：财政拨款收入13,594.08万元，占99.88%；上级补助收入0.00万元，占0.00%；事业收入0.00万元，占0.00%；经营收入0.00万元，占0.00%；附属单位上缴收入0.00万元，占0.00%；其他收入17.00万元，占0.12%。</w:t>
      </w:r>
    </w:p>
    <w:p w:rsidR="00AE11D6" w:rsidRDefault="00F049C8">
      <w:pPr>
        <w:spacing w:line="640" w:lineRule="exact"/>
        <w:ind w:firstLine="640"/>
        <w:outlineLvl w:val="2"/>
      </w:pPr>
      <w:r>
        <w:rPr>
          <w:rFonts w:ascii="黑体" w:eastAsia="黑体" w:hAnsi="黑体"/>
        </w:rPr>
        <w:t>三、支出决算情况说明</w:t>
      </w:r>
    </w:p>
    <w:p w:rsidR="00AE11D6" w:rsidRDefault="00F049C8">
      <w:pPr>
        <w:spacing w:line="580" w:lineRule="exact"/>
        <w:ind w:firstLine="640"/>
      </w:pPr>
      <w:r>
        <w:rPr>
          <w:rFonts w:ascii="仿宋_GB2312" w:eastAsia="仿宋_GB2312" w:hAnsi="仿宋_GB2312"/>
          <w:b/>
        </w:rPr>
        <w:t>本年支出13,617.46万元，</w:t>
      </w:r>
      <w:r>
        <w:rPr>
          <w:rFonts w:ascii="仿宋_GB2312" w:eastAsia="仿宋_GB2312" w:hAnsi="仿宋_GB2312"/>
        </w:rPr>
        <w:t>其中：基本支出722.91万元，占</w:t>
      </w:r>
      <w:r>
        <w:rPr>
          <w:rFonts w:ascii="仿宋_GB2312" w:eastAsia="仿宋_GB2312" w:hAnsi="仿宋_GB2312"/>
        </w:rPr>
        <w:lastRenderedPageBreak/>
        <w:t>5.31%；项目支出12,894.55万元，占94.69%；上缴上级支出0.00万元，占0.00%；经营支出0.00万元，占0.00%；对附属单位补助支出0.00万元，占0.00%。</w:t>
      </w:r>
    </w:p>
    <w:p w:rsidR="00AE11D6" w:rsidRDefault="00F049C8">
      <w:pPr>
        <w:spacing w:line="640" w:lineRule="exact"/>
        <w:ind w:firstLine="640"/>
        <w:outlineLvl w:val="2"/>
      </w:pPr>
      <w:r>
        <w:rPr>
          <w:rFonts w:ascii="黑体" w:eastAsia="黑体" w:hAnsi="黑体"/>
        </w:rPr>
        <w:t>四、财政拨款收入支出决算总体情况说明</w:t>
      </w:r>
    </w:p>
    <w:p w:rsidR="00AE11D6" w:rsidRDefault="00F049C8">
      <w:pPr>
        <w:spacing w:line="580" w:lineRule="exact"/>
        <w:ind w:firstLine="640"/>
      </w:pPr>
      <w:r>
        <w:rPr>
          <w:rFonts w:ascii="仿宋_GB2312" w:eastAsia="仿宋_GB2312" w:hAnsi="仿宋_GB2312"/>
          <w:b/>
        </w:rPr>
        <w:t>2024年度财政拨款收入总计13,594.08万元，</w:t>
      </w:r>
      <w:r>
        <w:rPr>
          <w:rFonts w:ascii="仿宋_GB2312" w:eastAsia="仿宋_GB2312" w:hAnsi="仿宋_GB2312"/>
        </w:rPr>
        <w:t>其中：年初财政拨款结转和结余0.00万元，本年财政拨款收入13,594.08万元。</w:t>
      </w:r>
      <w:r>
        <w:rPr>
          <w:rFonts w:ascii="仿宋_GB2312" w:eastAsia="仿宋_GB2312" w:hAnsi="仿宋_GB2312"/>
          <w:b/>
        </w:rPr>
        <w:t>财政拨款支出总计13,594.08万元，</w:t>
      </w:r>
      <w:r>
        <w:rPr>
          <w:rFonts w:ascii="仿宋_GB2312" w:eastAsia="仿宋_GB2312" w:hAnsi="仿宋_GB2312"/>
        </w:rPr>
        <w:t>其中：年末财政拨款结转和结余0.00万元，本年财政拨款支出13,594.08万元。</w:t>
      </w:r>
    </w:p>
    <w:p w:rsidR="00AE11D6" w:rsidRDefault="00F049C8">
      <w:pPr>
        <w:spacing w:line="580" w:lineRule="exact"/>
        <w:ind w:firstLine="640"/>
      </w:pPr>
      <w:r>
        <w:rPr>
          <w:rFonts w:ascii="仿宋_GB2312" w:eastAsia="仿宋_GB2312" w:hAnsi="仿宋_GB2312"/>
          <w:b/>
        </w:rPr>
        <w:t>财政拨款收入支出总体与上年相比，</w:t>
      </w:r>
      <w:r>
        <w:rPr>
          <w:rFonts w:ascii="仿宋_GB2312" w:eastAsia="仿宋_GB2312" w:hAnsi="仿宋_GB2312"/>
        </w:rPr>
        <w:t>增加11,583.32万元，增长576.07%，主要原因是：本年增加2023年中央土地指标跨省域调剂收入-古勒巴格乡直属土地开发项目（结转）、2023年</w:t>
      </w:r>
      <w:proofErr w:type="gramStart"/>
      <w:r>
        <w:rPr>
          <w:rFonts w:ascii="仿宋_GB2312" w:eastAsia="仿宋_GB2312" w:hAnsi="仿宋_GB2312"/>
        </w:rPr>
        <w:t>卫片执法</w:t>
      </w:r>
      <w:proofErr w:type="gramEnd"/>
      <w:r>
        <w:rPr>
          <w:rFonts w:ascii="仿宋_GB2312" w:eastAsia="仿宋_GB2312" w:hAnsi="仿宋_GB2312"/>
        </w:rPr>
        <w:t>工作技术服务费、2023年度国土变更调查工作技术服务费、格尔木至库尔勒铁路扩能改造项目、2024年第一批建设用地等项目耕地开垦费、乡镇规划2024年第二批建设用地耕地占用税、新建库尔勒至格尔木铁路还本付息等项目经费，导致相关经费增加。</w:t>
      </w:r>
      <w:r>
        <w:rPr>
          <w:rFonts w:ascii="仿宋_GB2312" w:eastAsia="仿宋_GB2312" w:hAnsi="仿宋_GB2312"/>
          <w:b/>
        </w:rPr>
        <w:t>与年初预算相比，</w:t>
      </w:r>
      <w:r>
        <w:rPr>
          <w:rFonts w:ascii="仿宋_GB2312" w:eastAsia="仿宋_GB2312" w:hAnsi="仿宋_GB2312"/>
        </w:rPr>
        <w:t>年初预算数3,898.08万元，决算数13,594.08万元，预决算差异率248.74%，主要原因是：年中追加工作队经费、乡镇国土空间规划和村庄规划编制技术服务费、矿山地质环境治理恢复保证金、</w:t>
      </w:r>
      <w:proofErr w:type="gramStart"/>
      <w:r>
        <w:rPr>
          <w:rFonts w:ascii="仿宋_GB2312" w:eastAsia="仿宋_GB2312" w:hAnsi="仿宋_GB2312"/>
        </w:rPr>
        <w:t>格库铁路</w:t>
      </w:r>
      <w:proofErr w:type="gramEnd"/>
      <w:r>
        <w:rPr>
          <w:rFonts w:ascii="仿宋_GB2312" w:eastAsia="仿宋_GB2312" w:hAnsi="仿宋_GB2312"/>
        </w:rPr>
        <w:t>还本付息、2023年中央土地指标跨省域调剂收入-古勒巴格乡直属土地开发项目（结转）、格尔木至库尔勒铁路扩能改造项目、2024年第一批建设</w:t>
      </w:r>
      <w:r>
        <w:rPr>
          <w:rFonts w:ascii="仿宋_GB2312" w:eastAsia="仿宋_GB2312" w:hAnsi="仿宋_GB2312"/>
        </w:rPr>
        <w:lastRenderedPageBreak/>
        <w:t>用地等项目耕地开垦费、乡镇规划2024年第二批建设用地耕地占用税、新建库尔勒至格尔木铁路还本付息等项目经费，导致预决算差异。</w:t>
      </w:r>
    </w:p>
    <w:p w:rsidR="00AE11D6" w:rsidRDefault="00F049C8">
      <w:pPr>
        <w:spacing w:line="640" w:lineRule="exact"/>
        <w:ind w:firstLine="640"/>
        <w:outlineLvl w:val="2"/>
      </w:pPr>
      <w:r>
        <w:rPr>
          <w:rFonts w:ascii="黑体" w:eastAsia="黑体" w:hAnsi="黑体"/>
        </w:rPr>
        <w:t>五、一般公共预算财政拨款支出决算情况说明</w:t>
      </w:r>
    </w:p>
    <w:p w:rsidR="00AE11D6" w:rsidRDefault="00F049C8">
      <w:pPr>
        <w:spacing w:line="640" w:lineRule="exact"/>
        <w:ind w:firstLine="640"/>
        <w:outlineLvl w:val="3"/>
      </w:pPr>
      <w:r>
        <w:rPr>
          <w:rFonts w:ascii="楷体_GB2312" w:eastAsia="楷体_GB2312" w:hAnsi="楷体_GB2312"/>
          <w:b/>
        </w:rPr>
        <w:t>（一）一般公共预算财政拨款支出决算总体情况</w:t>
      </w:r>
    </w:p>
    <w:p w:rsidR="00AE11D6" w:rsidRDefault="00F049C8">
      <w:pPr>
        <w:spacing w:line="580" w:lineRule="exact"/>
        <w:ind w:firstLine="640"/>
      </w:pPr>
      <w:r>
        <w:rPr>
          <w:rFonts w:ascii="仿宋_GB2312" w:eastAsia="仿宋_GB2312" w:hAnsi="仿宋_GB2312"/>
          <w:b/>
        </w:rPr>
        <w:t>2024年度一般公共预算财政拨款支出2,876.06万元，</w:t>
      </w:r>
      <w:r>
        <w:rPr>
          <w:rFonts w:ascii="仿宋_GB2312" w:eastAsia="仿宋_GB2312" w:hAnsi="仿宋_GB2312"/>
        </w:rPr>
        <w:t>占本年支出合计的21.12%。</w:t>
      </w:r>
      <w:r>
        <w:rPr>
          <w:rFonts w:ascii="仿宋_GB2312" w:eastAsia="仿宋_GB2312" w:hAnsi="仿宋_GB2312"/>
          <w:b/>
        </w:rPr>
        <w:t>与上年相比，</w:t>
      </w:r>
      <w:r>
        <w:rPr>
          <w:rFonts w:ascii="仿宋_GB2312" w:eastAsia="仿宋_GB2312" w:hAnsi="仿宋_GB2312"/>
        </w:rPr>
        <w:t>增加1,095.32万元，增长61.51%，主要原因是：本年增加2023年中央土地指标跨省域调剂收入-古勒巴格乡直属土地开发项目（结转）、2023年</w:t>
      </w:r>
      <w:proofErr w:type="gramStart"/>
      <w:r>
        <w:rPr>
          <w:rFonts w:ascii="仿宋_GB2312" w:eastAsia="仿宋_GB2312" w:hAnsi="仿宋_GB2312"/>
        </w:rPr>
        <w:t>卫片执法</w:t>
      </w:r>
      <w:proofErr w:type="gramEnd"/>
      <w:r>
        <w:rPr>
          <w:rFonts w:ascii="仿宋_GB2312" w:eastAsia="仿宋_GB2312" w:hAnsi="仿宋_GB2312"/>
        </w:rPr>
        <w:t>工作技术服务费、2023年度国土变更调查工作技术服务费等项目经费，导致相关经费增加。</w:t>
      </w:r>
      <w:r>
        <w:rPr>
          <w:rFonts w:ascii="仿宋_GB2312" w:eastAsia="仿宋_GB2312" w:hAnsi="仿宋_GB2312"/>
          <w:b/>
        </w:rPr>
        <w:t>与年初预算相比,</w:t>
      </w:r>
      <w:r>
        <w:rPr>
          <w:rFonts w:ascii="仿宋_GB2312" w:eastAsia="仿宋_GB2312" w:hAnsi="仿宋_GB2312"/>
        </w:rPr>
        <w:t>年初预算数3,898.08万元，决算数2,876.06万元，预决算差异率-26.22%，主要原因是：年</w:t>
      </w:r>
      <w:proofErr w:type="gramStart"/>
      <w:r>
        <w:rPr>
          <w:rFonts w:ascii="仿宋_GB2312" w:eastAsia="仿宋_GB2312" w:hAnsi="仿宋_GB2312"/>
        </w:rPr>
        <w:t>中调减格库铁路</w:t>
      </w:r>
      <w:proofErr w:type="gramEnd"/>
      <w:r>
        <w:rPr>
          <w:rFonts w:ascii="仿宋_GB2312" w:eastAsia="仿宋_GB2312" w:hAnsi="仿宋_GB2312"/>
        </w:rPr>
        <w:t>还本项目资金、国家统筹补充耕地经费项目预算，导致预决算差异。</w:t>
      </w:r>
    </w:p>
    <w:p w:rsidR="00AE11D6" w:rsidRDefault="00F049C8">
      <w:pPr>
        <w:spacing w:line="640" w:lineRule="exact"/>
        <w:ind w:firstLine="640"/>
        <w:outlineLvl w:val="3"/>
      </w:pPr>
      <w:r>
        <w:rPr>
          <w:rFonts w:ascii="楷体_GB2312" w:eastAsia="楷体_GB2312" w:hAnsi="楷体_GB2312"/>
          <w:b/>
        </w:rPr>
        <w:t>（二）一般公共预算财政拨款支出决算结构情况</w:t>
      </w:r>
    </w:p>
    <w:p w:rsidR="00AE11D6" w:rsidRDefault="00F049C8">
      <w:pPr>
        <w:spacing w:line="580" w:lineRule="exact"/>
        <w:ind w:firstLine="640"/>
      </w:pPr>
      <w:r>
        <w:rPr>
          <w:rFonts w:ascii="仿宋_GB2312" w:eastAsia="仿宋_GB2312" w:hAnsi="仿宋_GB2312"/>
        </w:rPr>
        <w:t>1.一般公共服务支出(类)11.77万元,占0.41%。</w:t>
      </w:r>
    </w:p>
    <w:p w:rsidR="00AE11D6" w:rsidRDefault="00F049C8">
      <w:pPr>
        <w:spacing w:line="580" w:lineRule="exact"/>
        <w:ind w:firstLine="640"/>
      </w:pPr>
      <w:r>
        <w:rPr>
          <w:rFonts w:ascii="仿宋_GB2312" w:eastAsia="仿宋_GB2312" w:hAnsi="仿宋_GB2312"/>
        </w:rPr>
        <w:t>2.教育支出(类)1.89万元,占0.07%。</w:t>
      </w:r>
    </w:p>
    <w:p w:rsidR="00AE11D6" w:rsidRDefault="00F049C8">
      <w:pPr>
        <w:spacing w:line="580" w:lineRule="exact"/>
        <w:ind w:firstLine="640"/>
      </w:pPr>
      <w:r>
        <w:rPr>
          <w:rFonts w:ascii="仿宋_GB2312" w:eastAsia="仿宋_GB2312" w:hAnsi="仿宋_GB2312"/>
        </w:rPr>
        <w:t>3.科学技术支出(类)396.89万元,占13.80%。</w:t>
      </w:r>
    </w:p>
    <w:p w:rsidR="00AE11D6" w:rsidRDefault="00F049C8">
      <w:pPr>
        <w:spacing w:line="580" w:lineRule="exact"/>
        <w:ind w:firstLine="640"/>
      </w:pPr>
      <w:r>
        <w:rPr>
          <w:rFonts w:ascii="仿宋_GB2312" w:eastAsia="仿宋_GB2312" w:hAnsi="仿宋_GB2312"/>
        </w:rPr>
        <w:t>4.社会保障和就业支出(类)90.39万元,占3.14%。</w:t>
      </w:r>
    </w:p>
    <w:p w:rsidR="00AE11D6" w:rsidRDefault="00F049C8">
      <w:pPr>
        <w:spacing w:line="580" w:lineRule="exact"/>
        <w:ind w:firstLine="640"/>
      </w:pPr>
      <w:r>
        <w:rPr>
          <w:rFonts w:ascii="仿宋_GB2312" w:eastAsia="仿宋_GB2312" w:hAnsi="仿宋_GB2312"/>
        </w:rPr>
        <w:t>5.卫生健康支出(类)31.74万元,占1.10%。</w:t>
      </w:r>
    </w:p>
    <w:p w:rsidR="00AE11D6" w:rsidRDefault="00F049C8">
      <w:pPr>
        <w:spacing w:line="580" w:lineRule="exact"/>
        <w:ind w:firstLine="640"/>
      </w:pPr>
      <w:r>
        <w:rPr>
          <w:rFonts w:ascii="仿宋_GB2312" w:eastAsia="仿宋_GB2312" w:hAnsi="仿宋_GB2312"/>
        </w:rPr>
        <w:t>6.农林水支出(类)1,629.70万元,占56.66%。</w:t>
      </w:r>
    </w:p>
    <w:p w:rsidR="00AE11D6" w:rsidRDefault="00F049C8">
      <w:pPr>
        <w:spacing w:line="580" w:lineRule="exact"/>
        <w:ind w:firstLine="640"/>
      </w:pPr>
      <w:r>
        <w:rPr>
          <w:rFonts w:ascii="仿宋_GB2312" w:eastAsia="仿宋_GB2312" w:hAnsi="仿宋_GB2312"/>
        </w:rPr>
        <w:lastRenderedPageBreak/>
        <w:t>7.自然资源海洋气象等支出(类)659.53万元,占22.93%。</w:t>
      </w:r>
    </w:p>
    <w:p w:rsidR="00AE11D6" w:rsidRDefault="00F049C8">
      <w:pPr>
        <w:spacing w:line="580" w:lineRule="exact"/>
        <w:ind w:firstLine="640"/>
      </w:pPr>
      <w:r>
        <w:rPr>
          <w:rFonts w:ascii="仿宋_GB2312" w:eastAsia="仿宋_GB2312" w:hAnsi="仿宋_GB2312"/>
        </w:rPr>
        <w:t>8.住房保障支出(类)54.15万元,占1.88%。</w:t>
      </w:r>
    </w:p>
    <w:p w:rsidR="00AE11D6" w:rsidRDefault="00F049C8">
      <w:pPr>
        <w:spacing w:line="640" w:lineRule="exact"/>
        <w:ind w:firstLine="640"/>
        <w:outlineLvl w:val="3"/>
      </w:pPr>
      <w:r>
        <w:rPr>
          <w:rFonts w:ascii="楷体_GB2312" w:eastAsia="楷体_GB2312" w:hAnsi="楷体_GB2312"/>
          <w:b/>
        </w:rPr>
        <w:t>（三）一般公共预算财政拨款支出决算具体情况</w:t>
      </w:r>
    </w:p>
    <w:p w:rsidR="00AE11D6" w:rsidRDefault="00F049C8">
      <w:pPr>
        <w:spacing w:line="580" w:lineRule="exact"/>
        <w:ind w:firstLine="640"/>
      </w:pPr>
      <w:r>
        <w:rPr>
          <w:rFonts w:ascii="仿宋_GB2312" w:eastAsia="仿宋_GB2312" w:hAnsi="仿宋_GB2312"/>
        </w:rPr>
        <w:t>1.一般公共服务支出(类)组织事务(款)其他组织事务支出(项):支出决算数为11.77万元，比上年决算增加6.86万元，增长139.71%,主要原因是：本年增加工作队经费、老干部集中管理经费，导致相关经费增加。</w:t>
      </w:r>
    </w:p>
    <w:p w:rsidR="00AE11D6" w:rsidRDefault="00F049C8">
      <w:pPr>
        <w:spacing w:line="580" w:lineRule="exact"/>
        <w:ind w:firstLine="640"/>
      </w:pPr>
      <w:r>
        <w:rPr>
          <w:rFonts w:ascii="仿宋_GB2312" w:eastAsia="仿宋_GB2312" w:hAnsi="仿宋_GB2312"/>
        </w:rPr>
        <w:t>2.教育支出(类)进修及培训(款)培训支出(项):支出决算数为1.89万元，比上年决算增加1.59万元，增长530.00%,主要原因是：本年增加培训费，导致相关经费增加。</w:t>
      </w:r>
    </w:p>
    <w:p w:rsidR="00AE11D6" w:rsidRDefault="00F049C8">
      <w:pPr>
        <w:spacing w:line="580" w:lineRule="exact"/>
        <w:ind w:firstLine="640"/>
      </w:pPr>
      <w:r>
        <w:rPr>
          <w:rFonts w:ascii="仿宋_GB2312" w:eastAsia="仿宋_GB2312" w:hAnsi="仿宋_GB2312"/>
        </w:rPr>
        <w:t>3.科学技术支出(类)技术研究与开发(款)科技成果转化与扩散(项):支出决算数为396.89万元，比上年决算增加396.89万元，增长100.00%,主要原因是：本年增加了乡镇国土空间规划和村庄规划编制技术、矿山地质环境治理恢复保证金等项目经费，导致相关经费增加。</w:t>
      </w:r>
    </w:p>
    <w:p w:rsidR="00AE11D6" w:rsidRDefault="00F049C8">
      <w:pPr>
        <w:spacing w:line="580" w:lineRule="exact"/>
        <w:ind w:firstLine="640"/>
      </w:pPr>
      <w:r>
        <w:rPr>
          <w:rFonts w:ascii="仿宋_GB2312" w:eastAsia="仿宋_GB2312" w:hAnsi="仿宋_GB2312"/>
        </w:rPr>
        <w:t>4.社会保障和就业支出(类)行政事业单位养老支出(款)行政单位离退休(项):支出决算数为16.97万元，比上年决算增加4.51万元，增长36.20%,主要原因是：本年退休人员增加，退休费支出增加。</w:t>
      </w:r>
    </w:p>
    <w:p w:rsidR="00AE11D6" w:rsidRDefault="00F049C8">
      <w:pPr>
        <w:spacing w:line="580" w:lineRule="exact"/>
        <w:ind w:firstLine="640"/>
      </w:pPr>
      <w:r>
        <w:rPr>
          <w:rFonts w:ascii="仿宋_GB2312" w:eastAsia="仿宋_GB2312" w:hAnsi="仿宋_GB2312"/>
        </w:rPr>
        <w:t>5.社会保障和就业支出(类)行政事业单位养老支出(款)机关事业单位基本养老保险缴费支出(项):支出决算数为66.14万元，</w:t>
      </w:r>
      <w:r>
        <w:rPr>
          <w:rFonts w:ascii="仿宋_GB2312" w:eastAsia="仿宋_GB2312" w:hAnsi="仿宋_GB2312"/>
        </w:rPr>
        <w:lastRenderedPageBreak/>
        <w:t>比上年决算增加6.55万元，增长10.99%,主要原因是：本年在职人员工资基数调增，养老缴费基数上涨，相应支出增加。</w:t>
      </w:r>
    </w:p>
    <w:p w:rsidR="00AE11D6" w:rsidRDefault="00F049C8">
      <w:pPr>
        <w:spacing w:line="580" w:lineRule="exact"/>
        <w:ind w:firstLine="640"/>
      </w:pPr>
      <w:r>
        <w:rPr>
          <w:rFonts w:ascii="仿宋_GB2312" w:eastAsia="仿宋_GB2312" w:hAnsi="仿宋_GB2312"/>
        </w:rPr>
        <w:t>6.社会保障和就业支出(类)行政事业单位养老支出(款)机关事业单位职业年金缴费支出(项):支出决算数为7.29万元，比上年决算增加7.29万元，增长100.00%,主要原因是：本年新增退休人员，职业年金缴费支出增加。</w:t>
      </w:r>
    </w:p>
    <w:p w:rsidR="00AE11D6" w:rsidRDefault="00F049C8">
      <w:pPr>
        <w:spacing w:line="580" w:lineRule="exact"/>
        <w:ind w:firstLine="640"/>
      </w:pPr>
      <w:r>
        <w:rPr>
          <w:rFonts w:ascii="仿宋_GB2312" w:eastAsia="仿宋_GB2312" w:hAnsi="仿宋_GB2312"/>
        </w:rPr>
        <w:t>7.卫生健康支出(类)行政事业单位医疗(款)行政单位医疗(项):支出决算数为30.16万元，比上年决算增加2.54万元，增长9.20%,主要原因是：本年在职人员工资基数调增，医疗缴费基数上涨，相应支出增加。</w:t>
      </w:r>
    </w:p>
    <w:p w:rsidR="00AE11D6" w:rsidRDefault="00F049C8">
      <w:pPr>
        <w:spacing w:line="580" w:lineRule="exact"/>
        <w:ind w:firstLine="640"/>
      </w:pPr>
      <w:r>
        <w:rPr>
          <w:rFonts w:ascii="仿宋_GB2312" w:eastAsia="仿宋_GB2312" w:hAnsi="仿宋_GB2312"/>
        </w:rPr>
        <w:t>8.卫生健康支出(类)行政事业单位医疗(款)公务员医疗补助(项):支出决算数为1.58万元，比上年决算增加0.01万元，增长0.64%,主要原因是：本年在职人员工资基数调增，医疗缴费基数上涨，相应支出增加。</w:t>
      </w:r>
    </w:p>
    <w:p w:rsidR="00AE11D6" w:rsidRDefault="00F049C8">
      <w:pPr>
        <w:spacing w:line="580" w:lineRule="exact"/>
        <w:ind w:firstLine="640"/>
      </w:pPr>
      <w:r>
        <w:rPr>
          <w:rFonts w:ascii="仿宋_GB2312" w:eastAsia="仿宋_GB2312" w:hAnsi="仿宋_GB2312"/>
        </w:rPr>
        <w:t>9.城乡社区支出(类)城乡社区管理事务(款)其他城乡社区管理事务支出(项):支出决算数为0.00万元，比上年决算减少206.00万元，下降100.00%,主要原因是：本年减少新建库尔勒至格尔木铁路还本项目经费，导致相关经费减少。</w:t>
      </w:r>
    </w:p>
    <w:p w:rsidR="00AE11D6" w:rsidRDefault="00F049C8">
      <w:pPr>
        <w:spacing w:line="580" w:lineRule="exact"/>
        <w:ind w:firstLine="640"/>
      </w:pPr>
      <w:r>
        <w:rPr>
          <w:rFonts w:ascii="仿宋_GB2312" w:eastAsia="仿宋_GB2312" w:hAnsi="仿宋_GB2312"/>
        </w:rPr>
        <w:t>10.城乡社区支出(类)其他城乡社区支出(款)其他城乡社区支出(项):支出决算数为0.00万元，比上年决算减少37.08万元，下降100.00%,主要原因是：本年减少2022年不动产登记信息平台</w:t>
      </w:r>
      <w:r>
        <w:rPr>
          <w:rFonts w:ascii="仿宋_GB2312" w:eastAsia="仿宋_GB2312" w:hAnsi="仿宋_GB2312"/>
        </w:rPr>
        <w:lastRenderedPageBreak/>
        <w:t>系统运行维护技术服务费，导致相关经费减少。</w:t>
      </w:r>
    </w:p>
    <w:p w:rsidR="00AE11D6" w:rsidRDefault="00F049C8">
      <w:pPr>
        <w:spacing w:line="580" w:lineRule="exact"/>
        <w:ind w:firstLine="640"/>
      </w:pPr>
      <w:r>
        <w:rPr>
          <w:rFonts w:ascii="仿宋_GB2312" w:eastAsia="仿宋_GB2312" w:hAnsi="仿宋_GB2312"/>
        </w:rPr>
        <w:t>11.农林水支出(类)其他农林水支出(款)其他农林水支出(项):支出决算数为1,629.70万元，比上年决算增加749.98万元，增长85.25%,主要原因是：本年增加2023年中央土地指标跨省域调剂收入-古勒巴格乡直属土地开发项目（结转）项目经费，导致相关经费增加。</w:t>
      </w:r>
    </w:p>
    <w:p w:rsidR="00AE11D6" w:rsidRDefault="00F049C8">
      <w:pPr>
        <w:spacing w:line="580" w:lineRule="exact"/>
        <w:ind w:firstLine="640"/>
      </w:pPr>
      <w:r>
        <w:rPr>
          <w:rFonts w:ascii="仿宋_GB2312" w:eastAsia="仿宋_GB2312" w:hAnsi="仿宋_GB2312"/>
        </w:rPr>
        <w:t>12.自然资源海洋气象等支出(类)自然资源事务(款)行政运行(项):支出决算数为97.53万元，比上年决算减少4.13万元，下降4.06%,主要原因是：本年在职人员减少，相应人员经费较上年减少。</w:t>
      </w:r>
    </w:p>
    <w:p w:rsidR="00AE11D6" w:rsidRDefault="00F049C8">
      <w:pPr>
        <w:spacing w:line="580" w:lineRule="exact"/>
        <w:ind w:firstLine="640"/>
      </w:pPr>
      <w:r>
        <w:rPr>
          <w:rFonts w:ascii="仿宋_GB2312" w:eastAsia="仿宋_GB2312" w:hAnsi="仿宋_GB2312"/>
        </w:rPr>
        <w:t>13.自然资源海洋气象等支出(类)自然资源事务(款)自然资源规划及管理(项):支出决算数为30.00万元，比上年决算增加30.00万元，增长100.00%,主要原因是：本年增加尉犁县国土空间总体规划（2020-2035）编制项目经费，导致相关经费增加。</w:t>
      </w:r>
    </w:p>
    <w:p w:rsidR="00AE11D6" w:rsidRDefault="00F049C8">
      <w:pPr>
        <w:spacing w:line="580" w:lineRule="exact"/>
        <w:ind w:firstLine="640"/>
      </w:pPr>
      <w:r>
        <w:rPr>
          <w:rFonts w:ascii="仿宋_GB2312" w:eastAsia="仿宋_GB2312" w:hAnsi="仿宋_GB2312"/>
        </w:rPr>
        <w:t>14.自然资源海洋气象等支出(类)自然资源事务(款)自然资源利用与保护(项):支出决算数为2.36万元，比上年决算增加2.36万元，增长100.00%,主要原因是：本年增加缴纳尉犁县2023年土地出让收益印花税项目经费，导致相关经费增加。</w:t>
      </w:r>
    </w:p>
    <w:p w:rsidR="00AE11D6" w:rsidRDefault="00F049C8">
      <w:pPr>
        <w:spacing w:line="580" w:lineRule="exact"/>
        <w:ind w:firstLine="640"/>
      </w:pPr>
      <w:r>
        <w:rPr>
          <w:rFonts w:ascii="仿宋_GB2312" w:eastAsia="仿宋_GB2312" w:hAnsi="仿宋_GB2312"/>
        </w:rPr>
        <w:t>15.自然资源海洋气象等支出(类)自然资源事务(款)自然资源调查与确权登记(项):支出决算数为42.00万元，比上年决算增加42.00万元，增长100.00%,主要原因是：本年增加了罗布淖尔国</w:t>
      </w:r>
      <w:r>
        <w:rPr>
          <w:rFonts w:ascii="仿宋_GB2312" w:eastAsia="仿宋_GB2312" w:hAnsi="仿宋_GB2312"/>
        </w:rPr>
        <w:lastRenderedPageBreak/>
        <w:t>家湿地公园、罗布人村寨、罗布淖尔国家沙漠公园自然资源统一确权登记项目、园地、林地、草地定级与基准地价制订工作项目经费，导致相关经费增加。</w:t>
      </w:r>
    </w:p>
    <w:p w:rsidR="00AE11D6" w:rsidRDefault="00F049C8">
      <w:pPr>
        <w:spacing w:line="580" w:lineRule="exact"/>
        <w:ind w:firstLine="640"/>
      </w:pPr>
      <w:r>
        <w:rPr>
          <w:rFonts w:ascii="仿宋_GB2312" w:eastAsia="仿宋_GB2312" w:hAnsi="仿宋_GB2312"/>
        </w:rPr>
        <w:t>16.自然资源海洋气象等支出(类)自然资源事务(款)基础测绘与地理信息监管(项):支出决算数为63.80万元，比上年决算增加63.80万元，增长100.00%,主要原因是：本年增加了2023年</w:t>
      </w:r>
      <w:proofErr w:type="gramStart"/>
      <w:r>
        <w:rPr>
          <w:rFonts w:ascii="仿宋_GB2312" w:eastAsia="仿宋_GB2312" w:hAnsi="仿宋_GB2312"/>
        </w:rPr>
        <w:t>卫片执法</w:t>
      </w:r>
      <w:proofErr w:type="gramEnd"/>
      <w:r>
        <w:rPr>
          <w:rFonts w:ascii="仿宋_GB2312" w:eastAsia="仿宋_GB2312" w:hAnsi="仿宋_GB2312"/>
        </w:rPr>
        <w:t>工作技术服务费、2023年度国土变更调查工作技术服务费项目经费，导致相关经费增加。</w:t>
      </w:r>
    </w:p>
    <w:p w:rsidR="00AE11D6" w:rsidRDefault="00F049C8">
      <w:pPr>
        <w:spacing w:line="580" w:lineRule="exact"/>
        <w:ind w:firstLine="640"/>
      </w:pPr>
      <w:r>
        <w:rPr>
          <w:rFonts w:ascii="仿宋_GB2312" w:eastAsia="仿宋_GB2312" w:hAnsi="仿宋_GB2312"/>
        </w:rPr>
        <w:t>17.自然资源海洋气象等支出(类)自然资源事务(款)事业运行(项):支出决算数为423.84万元，比上年决算增加19.19万元，增长4.74%,主要原因是：本年在职人员工资调增，导致相关人员经费较上年有所增加。</w:t>
      </w:r>
    </w:p>
    <w:p w:rsidR="00AE11D6" w:rsidRDefault="00F049C8">
      <w:pPr>
        <w:spacing w:line="580" w:lineRule="exact"/>
        <w:ind w:firstLine="640"/>
      </w:pPr>
      <w:r>
        <w:rPr>
          <w:rFonts w:ascii="仿宋_GB2312" w:eastAsia="仿宋_GB2312" w:hAnsi="仿宋_GB2312"/>
        </w:rPr>
        <w:t>18.住房保障支出(类)住房改革支出(款)住房公积金(项):支出决算数为54.15万元，比上年决算增加8.97万元，增长19.85%,主要原因是：本年在职人员工资基数调增，公积金缴费基数上涨，相应支出增加。</w:t>
      </w:r>
    </w:p>
    <w:p w:rsidR="00AE11D6" w:rsidRDefault="00F049C8">
      <w:pPr>
        <w:spacing w:line="640" w:lineRule="exact"/>
        <w:ind w:firstLine="640"/>
        <w:outlineLvl w:val="2"/>
      </w:pPr>
      <w:r>
        <w:rPr>
          <w:rFonts w:ascii="黑体" w:eastAsia="黑体" w:hAnsi="黑体"/>
        </w:rPr>
        <w:t>六、一般公共预算财政拨款基本支出决算情况说明</w:t>
      </w:r>
    </w:p>
    <w:p w:rsidR="00AE11D6" w:rsidRDefault="00F049C8">
      <w:pPr>
        <w:spacing w:line="580" w:lineRule="exact"/>
        <w:ind w:firstLine="640"/>
      </w:pPr>
      <w:r>
        <w:rPr>
          <w:rFonts w:ascii="仿宋_GB2312" w:eastAsia="仿宋_GB2312" w:hAnsi="仿宋_GB2312"/>
        </w:rPr>
        <w:t>2024年度一般公共预算财政拨款基本支出699.54万元，其中：</w:t>
      </w:r>
      <w:r>
        <w:rPr>
          <w:rFonts w:ascii="仿宋_GB2312" w:eastAsia="仿宋_GB2312" w:hAnsi="仿宋_GB2312"/>
          <w:b/>
        </w:rPr>
        <w:t>人员经费655.21万元，</w:t>
      </w:r>
      <w:r>
        <w:rPr>
          <w:rFonts w:ascii="仿宋_GB2312" w:eastAsia="仿宋_GB2312" w:hAnsi="仿宋_GB2312"/>
        </w:rPr>
        <w:t>包括：基本工资、津贴补贴、奖金、机关事业单位基本养老保险缴费、职业年金缴费、职工基本医疗保险缴费、公务员医疗补助缴费、其他社会保障缴费、住房公积</w:t>
      </w:r>
      <w:r>
        <w:rPr>
          <w:rFonts w:ascii="仿宋_GB2312" w:eastAsia="仿宋_GB2312" w:hAnsi="仿宋_GB2312"/>
        </w:rPr>
        <w:lastRenderedPageBreak/>
        <w:t>金、医疗费、退休费、生活补助、奖励金。</w:t>
      </w:r>
    </w:p>
    <w:p w:rsidR="00AE11D6" w:rsidRDefault="00F049C8">
      <w:pPr>
        <w:spacing w:line="580" w:lineRule="exact"/>
        <w:ind w:firstLine="640"/>
      </w:pPr>
      <w:r>
        <w:rPr>
          <w:rFonts w:ascii="仿宋_GB2312" w:eastAsia="仿宋_GB2312" w:hAnsi="仿宋_GB2312"/>
          <w:b/>
        </w:rPr>
        <w:t>公用经费44.33万元，</w:t>
      </w:r>
      <w:r>
        <w:rPr>
          <w:rFonts w:ascii="仿宋_GB2312" w:eastAsia="仿宋_GB2312" w:hAnsi="仿宋_GB2312"/>
        </w:rPr>
        <w:t>包括：办公费、水费、电费、邮电费、取暖费、物业管理费、差旅费、培训费、工会经费、福利费、公务用车运行维护费、其他商品和服务支出。</w:t>
      </w:r>
    </w:p>
    <w:p w:rsidR="00AE11D6" w:rsidRDefault="00F049C8">
      <w:pPr>
        <w:spacing w:line="640" w:lineRule="exact"/>
        <w:ind w:firstLine="640"/>
        <w:outlineLvl w:val="2"/>
      </w:pPr>
      <w:r>
        <w:rPr>
          <w:rFonts w:ascii="黑体" w:eastAsia="黑体" w:hAnsi="黑体"/>
        </w:rPr>
        <w:t>七、政府性基金预算财政拨款收入支出决算情况说明</w:t>
      </w:r>
    </w:p>
    <w:p w:rsidR="00AE11D6" w:rsidRDefault="00F049C8">
      <w:pPr>
        <w:spacing w:line="580" w:lineRule="exact"/>
        <w:ind w:firstLine="640"/>
      </w:pPr>
      <w:r>
        <w:rPr>
          <w:rFonts w:ascii="仿宋_GB2312" w:eastAsia="仿宋_GB2312" w:hAnsi="仿宋_GB2312"/>
          <w:b/>
        </w:rPr>
        <w:t>2024年度政府性基金预算财政拨款收入总计10,718.03万元，</w:t>
      </w:r>
      <w:r>
        <w:rPr>
          <w:rFonts w:ascii="仿宋_GB2312" w:eastAsia="仿宋_GB2312" w:hAnsi="仿宋_GB2312"/>
        </w:rPr>
        <w:t>其中：年初结转和结余0.00万元，本年收入10,718.03万元。</w:t>
      </w:r>
      <w:r>
        <w:rPr>
          <w:rFonts w:ascii="仿宋_GB2312" w:eastAsia="仿宋_GB2312" w:hAnsi="仿宋_GB2312"/>
          <w:b/>
        </w:rPr>
        <w:t>政府性基金预算财政拨款支出总计10,718.03万元，</w:t>
      </w:r>
      <w:r>
        <w:rPr>
          <w:rFonts w:ascii="仿宋_GB2312" w:eastAsia="仿宋_GB2312" w:hAnsi="仿宋_GB2312"/>
        </w:rPr>
        <w:t>其中：年末结转和结余0.00万元，本年支出10,718.03万元。</w:t>
      </w:r>
    </w:p>
    <w:p w:rsidR="00AE11D6" w:rsidRDefault="00F049C8">
      <w:pPr>
        <w:spacing w:line="580" w:lineRule="exact"/>
        <w:ind w:firstLine="640"/>
      </w:pPr>
      <w:r>
        <w:rPr>
          <w:rFonts w:ascii="仿宋_GB2312" w:eastAsia="仿宋_GB2312" w:hAnsi="仿宋_GB2312"/>
          <w:b/>
        </w:rPr>
        <w:t>政府性基金预算财政拨款收入支出总体与上年相比，</w:t>
      </w:r>
      <w:r>
        <w:rPr>
          <w:rFonts w:ascii="仿宋_GB2312" w:eastAsia="仿宋_GB2312" w:hAnsi="仿宋_GB2312"/>
        </w:rPr>
        <w:t>增加10,488.01万元，增长4,559.61%，主要原因是：增加了格尔木至库尔勒铁路扩能改造项目、2024年第一批建设用地等项目耕地开垦费、乡镇规划2024年第二批建设用地耕地占用税、新建库尔勒至格尔木铁路还本付息等项目经费，导致相关经费增加。</w:t>
      </w:r>
      <w:r>
        <w:rPr>
          <w:rFonts w:ascii="仿宋_GB2312" w:eastAsia="仿宋_GB2312" w:hAnsi="仿宋_GB2312"/>
          <w:b/>
        </w:rPr>
        <w:t>与年初预算相比，</w:t>
      </w:r>
      <w:r>
        <w:rPr>
          <w:rFonts w:ascii="仿宋_GB2312" w:eastAsia="仿宋_GB2312" w:hAnsi="仿宋_GB2312"/>
        </w:rPr>
        <w:t>年初预算数0.00万元，决算数10,718.03万元，预决算差异率100.00%，主要原因是：年中追加格尔木至库尔勒铁路扩能改造项目、2024年第一批建设用地等项目耕地开垦费、乡镇规划2024年第二批建设用地耕地占用税、新建库尔勒至格尔木铁路还本付息等项目，导致预决算存在差异。</w:t>
      </w:r>
    </w:p>
    <w:p w:rsidR="00AE11D6" w:rsidRDefault="00F049C8">
      <w:pPr>
        <w:spacing w:line="580" w:lineRule="exact"/>
        <w:ind w:firstLine="640"/>
      </w:pPr>
      <w:r>
        <w:rPr>
          <w:rFonts w:ascii="仿宋_GB2312" w:eastAsia="仿宋_GB2312" w:hAnsi="仿宋_GB2312"/>
        </w:rPr>
        <w:t>政府性基金预算财政拨款支出10,718.03万元。</w:t>
      </w:r>
    </w:p>
    <w:p w:rsidR="00AE11D6" w:rsidRDefault="00F049C8">
      <w:pPr>
        <w:spacing w:line="580" w:lineRule="exact"/>
        <w:ind w:firstLine="640"/>
      </w:pPr>
      <w:r>
        <w:rPr>
          <w:rFonts w:ascii="仿宋_GB2312" w:eastAsia="仿宋_GB2312" w:hAnsi="仿宋_GB2312"/>
        </w:rPr>
        <w:t>1.城乡社区支出(类)国有土地使用权出让收入安排的支出</w:t>
      </w:r>
      <w:r>
        <w:rPr>
          <w:rFonts w:ascii="仿宋_GB2312" w:eastAsia="仿宋_GB2312" w:hAnsi="仿宋_GB2312"/>
        </w:rPr>
        <w:lastRenderedPageBreak/>
        <w:t>(款)征地和拆迁补偿支出(项):支出决算数为1.72万元，比上年决算减少228.30万元，下降99.25%,主要原因是：本年减少2022年第3-4季度、2023年</w:t>
      </w:r>
      <w:proofErr w:type="gramStart"/>
      <w:r>
        <w:rPr>
          <w:rFonts w:ascii="仿宋_GB2312" w:eastAsia="仿宋_GB2312" w:hAnsi="仿宋_GB2312"/>
        </w:rPr>
        <w:t>全年格库铁路</w:t>
      </w:r>
      <w:proofErr w:type="gramEnd"/>
      <w:r>
        <w:rPr>
          <w:rFonts w:ascii="仿宋_GB2312" w:eastAsia="仿宋_GB2312" w:hAnsi="仿宋_GB2312"/>
        </w:rPr>
        <w:t>贷款还息项目经费，导致相关经费减少。</w:t>
      </w:r>
    </w:p>
    <w:p w:rsidR="00AE11D6" w:rsidRDefault="00F049C8">
      <w:pPr>
        <w:spacing w:line="580" w:lineRule="exact"/>
        <w:ind w:firstLine="640"/>
      </w:pPr>
      <w:r>
        <w:rPr>
          <w:rFonts w:ascii="仿宋_GB2312" w:eastAsia="仿宋_GB2312" w:hAnsi="仿宋_GB2312"/>
        </w:rPr>
        <w:t>2.城乡社区支出(类)国有土地使用权出让收入安排的支出(款)农业农村生态环境支出(项):支出决算数为687.60万元，比上年决算增加687.60万元，增长100.00%,主要原因是：本年增加了2024年第一批建设用地等项目耕地开垦费、乡镇规划2024年第二批建设用地耕地占用税项目经费，导致相关经费增加。</w:t>
      </w:r>
    </w:p>
    <w:p w:rsidR="00AE11D6" w:rsidRDefault="00F049C8">
      <w:pPr>
        <w:spacing w:line="580" w:lineRule="exact"/>
        <w:ind w:firstLine="640"/>
      </w:pPr>
      <w:r>
        <w:rPr>
          <w:rFonts w:ascii="仿宋_GB2312" w:eastAsia="仿宋_GB2312" w:hAnsi="仿宋_GB2312"/>
        </w:rPr>
        <w:t>3.城乡社区支出(类)国有土地使用权出让收入安排的支出(款)其他国有土地使用权出让收入安排的支出(项):支出决算数为540.71万元，比上年决算增加540.71万元，增长100.00%,主要原因是：本年增加了新建库尔勒至格尔木铁路还息项目经费，导致相关经费增加。</w:t>
      </w:r>
    </w:p>
    <w:p w:rsidR="00AE11D6" w:rsidRDefault="00F049C8">
      <w:pPr>
        <w:spacing w:line="580" w:lineRule="exact"/>
        <w:ind w:firstLine="640"/>
      </w:pPr>
      <w:r>
        <w:rPr>
          <w:rFonts w:ascii="仿宋_GB2312" w:eastAsia="仿宋_GB2312" w:hAnsi="仿宋_GB2312"/>
        </w:rPr>
        <w:t>4.城乡社区支出(类)国有土地使用权出让收入对应专项债务收入安排的支出(款)其他国有土地使用权出让收入对应专项债务收入安排的支出(项):支出决算数为9,488.00万元，比上年决算增加9,488.00万元，增长100.00%,主要原因是：本年增加了新建库尔勒至格尔木铁路项目经费，导致相关经费增加。</w:t>
      </w:r>
    </w:p>
    <w:p w:rsidR="00AE11D6" w:rsidRDefault="00F049C8">
      <w:pPr>
        <w:spacing w:line="640" w:lineRule="exact"/>
        <w:ind w:firstLine="640"/>
        <w:outlineLvl w:val="2"/>
      </w:pPr>
      <w:r>
        <w:rPr>
          <w:rFonts w:ascii="黑体" w:eastAsia="黑体" w:hAnsi="黑体"/>
        </w:rPr>
        <w:t>八、国有资本经营预算财政拨款收入支出决算情况说明</w:t>
      </w:r>
    </w:p>
    <w:p w:rsidR="00AE11D6" w:rsidRDefault="00F049C8">
      <w:pPr>
        <w:spacing w:line="580" w:lineRule="exact"/>
        <w:ind w:firstLine="640"/>
      </w:pPr>
      <w:r>
        <w:rPr>
          <w:rFonts w:ascii="仿宋_GB2312" w:eastAsia="仿宋_GB2312" w:hAnsi="仿宋_GB2312"/>
        </w:rPr>
        <w:t>本单位本年度无国有资本经营预算财政拨款收入、支出及结</w:t>
      </w:r>
      <w:r>
        <w:rPr>
          <w:rFonts w:ascii="仿宋_GB2312" w:eastAsia="仿宋_GB2312" w:hAnsi="仿宋_GB2312"/>
        </w:rPr>
        <w:lastRenderedPageBreak/>
        <w:t>转和结余，国有资本经营预算财政拨款收入支出决算表为空表。</w:t>
      </w:r>
    </w:p>
    <w:p w:rsidR="00AE11D6" w:rsidRDefault="00F049C8">
      <w:pPr>
        <w:spacing w:line="640" w:lineRule="exact"/>
        <w:ind w:firstLine="640"/>
        <w:outlineLvl w:val="2"/>
      </w:pPr>
      <w:r>
        <w:rPr>
          <w:rFonts w:ascii="黑体" w:eastAsia="黑体" w:hAnsi="黑体"/>
        </w:rPr>
        <w:t>九、财政拨款“三公”经费支出决算情况说明</w:t>
      </w:r>
    </w:p>
    <w:p w:rsidR="00AE11D6" w:rsidRDefault="00F049C8">
      <w:pPr>
        <w:spacing w:line="580" w:lineRule="exact"/>
        <w:ind w:firstLine="640"/>
      </w:pPr>
      <w:r>
        <w:rPr>
          <w:rFonts w:ascii="仿宋_GB2312" w:eastAsia="仿宋_GB2312" w:hAnsi="仿宋_GB2312"/>
          <w:b/>
        </w:rPr>
        <w:t>2024年度财政拨款“三公”经费支出9.44万元，</w:t>
      </w:r>
      <w:r>
        <w:rPr>
          <w:rFonts w:ascii="仿宋_GB2312" w:eastAsia="仿宋_GB2312" w:hAnsi="仿宋_GB2312"/>
        </w:rPr>
        <w:t>比上年增加3.28万元，增长53.25%，主要原因是：本年因业务需求，用车次数增加，燃油费增加，导致公务用车运行维护费较上年增加。其中：因公出国（境）费支出0.00万元，占0.00%，比上年增加0.00万元，增长0.00%，主要原因是：2023年与2024年均未安排因公出国（境）费支出。公务用车购置及运行维护费支出9.44万元，占100.00%，比上年增加3.28万元，增长53.25%，主要原因是：本年因业务需求，用车次数增加，燃油费增加，导致公务用车运行维护费较上年增加。公务接待费支出0.00万元，占0.00%，比上年增加0.00万元，增长0.00%，主要原因是：2023年与2024年均未安排公务接待费支出。</w:t>
      </w:r>
    </w:p>
    <w:p w:rsidR="00AE11D6" w:rsidRDefault="00F049C8">
      <w:pPr>
        <w:spacing w:line="580" w:lineRule="exact"/>
        <w:ind w:firstLine="640"/>
      </w:pPr>
      <w:r>
        <w:rPr>
          <w:rFonts w:ascii="仿宋_GB2312" w:eastAsia="仿宋_GB2312" w:hAnsi="仿宋_GB2312"/>
          <w:b/>
        </w:rPr>
        <w:t>具体情况如下：</w:t>
      </w:r>
    </w:p>
    <w:p w:rsidR="00AE11D6" w:rsidRDefault="00F049C8">
      <w:pPr>
        <w:spacing w:line="580" w:lineRule="exact"/>
        <w:ind w:firstLine="640"/>
      </w:pPr>
      <w:r>
        <w:rPr>
          <w:rFonts w:ascii="仿宋_GB2312" w:eastAsia="仿宋_GB2312" w:hAnsi="仿宋_GB2312"/>
        </w:rPr>
        <w:t>因公出国（境）费支出0.00万元，开支内容包括本单位无因公出国（境）费。单位全年安排的因公出国（境）团组0个，因公出国（境）0人次。</w:t>
      </w:r>
    </w:p>
    <w:p w:rsidR="00AE11D6" w:rsidRDefault="00F049C8">
      <w:pPr>
        <w:spacing w:line="580" w:lineRule="exact"/>
        <w:ind w:firstLine="640"/>
      </w:pPr>
      <w:r>
        <w:rPr>
          <w:rFonts w:ascii="仿宋_GB2312" w:eastAsia="仿宋_GB2312" w:hAnsi="仿宋_GB2312"/>
        </w:rPr>
        <w:t>公务用车购置及运行维护费9.44万元，其中：公务用车购置费0.00万元，公务用车运行维护费9.44万元。公务用车运行维护费开支内容包括车辆加油费、维修费、保险费、审车费、过路费等。公务用车购置数0辆，公务用车保有量3辆。国有资产</w:t>
      </w:r>
      <w:r>
        <w:rPr>
          <w:rFonts w:ascii="仿宋_GB2312" w:eastAsia="仿宋_GB2312" w:hAnsi="仿宋_GB2312"/>
        </w:rPr>
        <w:lastRenderedPageBreak/>
        <w:t>占用情况中固定资产车辆3辆，与公务用车保有量差异原因是：本单位固定资产车辆与公务用车保有量一致无差异。</w:t>
      </w:r>
    </w:p>
    <w:p w:rsidR="00AE11D6" w:rsidRDefault="00F049C8">
      <w:pPr>
        <w:spacing w:line="580" w:lineRule="exact"/>
        <w:ind w:firstLine="640"/>
      </w:pPr>
      <w:r>
        <w:rPr>
          <w:rFonts w:ascii="仿宋_GB2312" w:eastAsia="仿宋_GB2312" w:hAnsi="仿宋_GB2312"/>
        </w:rPr>
        <w:t>公务接待费0.00万元，开支内容包括本单位无公务接待费。单位全年安排的国内公务接待0批次，0人次。</w:t>
      </w:r>
    </w:p>
    <w:p w:rsidR="00AE11D6" w:rsidRDefault="00F049C8">
      <w:pPr>
        <w:spacing w:line="580" w:lineRule="exact"/>
        <w:ind w:firstLine="640"/>
      </w:pPr>
      <w:r>
        <w:rPr>
          <w:rFonts w:ascii="仿宋_GB2312" w:eastAsia="仿宋_GB2312" w:hAnsi="仿宋_GB2312"/>
          <w:b/>
        </w:rPr>
        <w:t>与全年预算相比，</w:t>
      </w:r>
      <w:r>
        <w:rPr>
          <w:rFonts w:ascii="仿宋_GB2312" w:eastAsia="仿宋_GB2312" w:hAnsi="仿宋_GB2312"/>
        </w:rPr>
        <w:t>财政拨款“三公”经费支出全年预算数10.80万元，决算数9.44万元，预决算差异率-12.59%，主要原因是：严格落实中央八项规定精神，厉行节约，减少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10.80万元，决算数9.44万元，预决算差异率-12.59%，主要原因是：严格落实中央八项规定精神，厉行节约，减少经费支出。公务接待费全年预算数0.00万元，决算数0.00万元，预决算差异率0.00%，主要原因是：本单位无公务接待费。</w:t>
      </w:r>
    </w:p>
    <w:p w:rsidR="00AE11D6" w:rsidRDefault="00F049C8">
      <w:pPr>
        <w:spacing w:line="640" w:lineRule="exact"/>
        <w:ind w:firstLine="640"/>
        <w:outlineLvl w:val="2"/>
      </w:pPr>
      <w:r>
        <w:rPr>
          <w:rFonts w:ascii="黑体" w:eastAsia="黑体" w:hAnsi="黑体"/>
        </w:rPr>
        <w:t>十、其他重要事项的情况说明</w:t>
      </w:r>
    </w:p>
    <w:p w:rsidR="00AE11D6" w:rsidRDefault="00F049C8">
      <w:pPr>
        <w:spacing w:line="640" w:lineRule="exact"/>
        <w:ind w:firstLine="640"/>
        <w:outlineLvl w:val="3"/>
      </w:pPr>
      <w:r>
        <w:rPr>
          <w:rFonts w:ascii="楷体_GB2312" w:eastAsia="楷体_GB2312" w:hAnsi="楷体_GB2312"/>
          <w:b/>
        </w:rPr>
        <w:t>（一）机关运行经费及公用经费支出情况</w:t>
      </w:r>
    </w:p>
    <w:p w:rsidR="00AE11D6" w:rsidRDefault="00F049C8">
      <w:pPr>
        <w:spacing w:line="580" w:lineRule="exact"/>
        <w:ind w:firstLine="640"/>
      </w:pPr>
      <w:r>
        <w:rPr>
          <w:rFonts w:ascii="仿宋_GB2312" w:eastAsia="仿宋_GB2312" w:hAnsi="仿宋_GB2312"/>
        </w:rPr>
        <w:t>2024年度尉犁县自然资源局（行政单位和参照公务员法管理事业单位）机关运行经费支出44.33万元，比上年增加4.09万元，增长10.16%，主要原因是：本年业务量增加，机关运行经</w:t>
      </w:r>
      <w:r>
        <w:rPr>
          <w:rFonts w:ascii="仿宋_GB2312" w:eastAsia="仿宋_GB2312" w:hAnsi="仿宋_GB2312"/>
        </w:rPr>
        <w:lastRenderedPageBreak/>
        <w:t>费增加。</w:t>
      </w:r>
    </w:p>
    <w:p w:rsidR="00AE11D6" w:rsidRDefault="00F049C8">
      <w:pPr>
        <w:spacing w:line="640" w:lineRule="exact"/>
        <w:ind w:firstLine="640"/>
        <w:outlineLvl w:val="3"/>
      </w:pPr>
      <w:r>
        <w:rPr>
          <w:rFonts w:ascii="楷体_GB2312" w:eastAsia="楷体_GB2312" w:hAnsi="楷体_GB2312"/>
          <w:b/>
        </w:rPr>
        <w:t>（二）政府采购情况</w:t>
      </w:r>
    </w:p>
    <w:p w:rsidR="00AE11D6" w:rsidRDefault="00F049C8">
      <w:pPr>
        <w:spacing w:line="580" w:lineRule="exact"/>
        <w:ind w:firstLine="640"/>
      </w:pPr>
      <w:r>
        <w:rPr>
          <w:rFonts w:ascii="仿宋_GB2312" w:eastAsia="仿宋_GB2312" w:hAnsi="仿宋_GB2312"/>
        </w:rPr>
        <w:t>2024年度政府采购支出总额240.29万元，其中：政府采购货物支出1.15万元、政府采购工程支出6.72万元、政府采购服务支出232.42万元。</w:t>
      </w:r>
    </w:p>
    <w:p w:rsidR="00AE11D6" w:rsidRDefault="00F049C8">
      <w:pPr>
        <w:spacing w:line="580" w:lineRule="exact"/>
        <w:ind w:firstLine="640"/>
      </w:pPr>
      <w:r>
        <w:rPr>
          <w:rFonts w:ascii="仿宋_GB2312" w:eastAsia="仿宋_GB2312" w:hAnsi="仿宋_GB2312"/>
        </w:rPr>
        <w:t>授予中小企业合同金额240.29万元，占政府采购支出总额的100.00%，其中：授予小</w:t>
      </w:r>
      <w:proofErr w:type="gramStart"/>
      <w:r>
        <w:rPr>
          <w:rFonts w:ascii="仿宋_GB2312" w:eastAsia="仿宋_GB2312" w:hAnsi="仿宋_GB2312"/>
        </w:rPr>
        <w:t>微企业</w:t>
      </w:r>
      <w:proofErr w:type="gramEnd"/>
      <w:r>
        <w:rPr>
          <w:rFonts w:ascii="仿宋_GB2312" w:eastAsia="仿宋_GB2312" w:hAnsi="仿宋_GB2312"/>
        </w:rPr>
        <w:t>合同金额11.90万元，占政府采购支出总额的4.95%。</w:t>
      </w:r>
    </w:p>
    <w:p w:rsidR="00AE11D6" w:rsidRDefault="00F049C8">
      <w:pPr>
        <w:spacing w:line="640" w:lineRule="exact"/>
        <w:ind w:firstLine="640"/>
        <w:outlineLvl w:val="3"/>
      </w:pPr>
      <w:r>
        <w:rPr>
          <w:rFonts w:ascii="楷体_GB2312" w:eastAsia="楷体_GB2312" w:hAnsi="楷体_GB2312"/>
          <w:b/>
        </w:rPr>
        <w:t>（三）国有资产占用情况说明</w:t>
      </w:r>
    </w:p>
    <w:p w:rsidR="00AE11D6" w:rsidRDefault="00F049C8">
      <w:pPr>
        <w:spacing w:line="580" w:lineRule="exact"/>
        <w:ind w:firstLine="640"/>
      </w:pPr>
      <w:r>
        <w:rPr>
          <w:rFonts w:ascii="仿宋_GB2312" w:eastAsia="仿宋_GB2312" w:hAnsi="仿宋_GB2312"/>
        </w:rPr>
        <w:t>截至2024年12月31日，房屋3,241.44平方米，价值504.24万元。车辆3辆，价值53.70万元，其中：副部（省）级及以上领导用车0辆、主要负责人用车0辆、机要通信用车0辆、应急保障用车0辆、执法执勤用车0辆、特种专业技术用车0辆、离退休干部服务用车0辆、其他用车3辆，其他用车主要是：一般公务用车。单价100万元（含）以上设备（不含车辆）0台（套）。</w:t>
      </w:r>
    </w:p>
    <w:p w:rsidR="00AE11D6" w:rsidRDefault="00F049C8">
      <w:pPr>
        <w:spacing w:line="640" w:lineRule="exact"/>
        <w:ind w:firstLine="640"/>
        <w:outlineLvl w:val="2"/>
      </w:pPr>
      <w:r>
        <w:rPr>
          <w:rFonts w:ascii="黑体" w:eastAsia="黑体" w:hAnsi="黑体"/>
        </w:rPr>
        <w:t>十一、预算绩效的情况说明</w:t>
      </w:r>
    </w:p>
    <w:p w:rsidR="00AE11D6" w:rsidRDefault="00F049C8">
      <w:pPr>
        <w:spacing w:line="580" w:lineRule="exact"/>
        <w:ind w:firstLine="640"/>
      </w:pPr>
      <w:r>
        <w:rPr>
          <w:rFonts w:ascii="仿宋_GB2312" w:eastAsia="仿宋_GB2312" w:hAnsi="仿宋_GB2312"/>
        </w:rPr>
        <w:t>根据预算绩效管理要求，本单位2024年度预算绩效管理形成整体支出绩效自评表1个，全年预算总额14,144.79万元，实际执行总额13,617.46万元；预算绩效评价项目20个，全年预算数2,912.64万元，全年执行数2,911.85万元。预算绩效管理取得的成效：一是确保资金的高效使用，切实发挥财政资金的使用效</w:t>
      </w:r>
      <w:r>
        <w:rPr>
          <w:rFonts w:ascii="仿宋_GB2312" w:eastAsia="仿宋_GB2312" w:hAnsi="仿宋_GB2312"/>
        </w:rPr>
        <w:lastRenderedPageBreak/>
        <w:t>果。二是严格按照工作职责和相关文件依据，确保专款专用。三是严格控制资金的流出方向，确保资金的合</w:t>
      </w:r>
      <w:proofErr w:type="gramStart"/>
      <w:r>
        <w:rPr>
          <w:rFonts w:ascii="仿宋_GB2312" w:eastAsia="仿宋_GB2312" w:hAnsi="仿宋_GB2312"/>
        </w:rPr>
        <w:t>规</w:t>
      </w:r>
      <w:proofErr w:type="gramEnd"/>
      <w:r>
        <w:rPr>
          <w:rFonts w:ascii="仿宋_GB2312" w:eastAsia="仿宋_GB2312" w:hAnsi="仿宋_GB2312"/>
        </w:rPr>
        <w:t>性。发现的问题及原因：一是预算管理体制不够完善，管理标准不够明确；二是项目支出绩效评价存在局限，客观性有待加强；三是对全面实施绩效管理认识不够，绩效水平不高，业务人员业务能力和素质还有待进一步提升。下一步改进措施：一是加强学习，进一步明确如何参照考核体系，科学合理设定绩效目标，充分发挥预算绩效管理工作效用。二是财务上会计核算要更加详细，为本单位各项工作的开展、总结、评估提供有效数据资料支撑,为各项业务工作更好的开展提供帮助。三是从源头上强化对专项资金预算管理，实行专项资金预算管理，结合单位实际,按轻重缓急统筹安排编制预算,提高预算编制科学性和合理性，优化资金结构。具体</w:t>
      </w:r>
      <w:proofErr w:type="gramStart"/>
      <w:r>
        <w:rPr>
          <w:rFonts w:ascii="仿宋_GB2312" w:eastAsia="仿宋_GB2312" w:hAnsi="仿宋_GB2312"/>
        </w:rPr>
        <w:t>附整体</w:t>
      </w:r>
      <w:proofErr w:type="gramEnd"/>
      <w:r>
        <w:rPr>
          <w:rFonts w:ascii="仿宋_GB2312" w:eastAsia="仿宋_GB2312" w:hAnsi="仿宋_GB2312"/>
        </w:rPr>
        <w:t>支出绩效自评表，项目支出绩效自评表和评价报告。</w:t>
      </w:r>
    </w:p>
    <w:p w:rsidR="00AE11D6" w:rsidRDefault="00F049C8">
      <w:r>
        <w:br w:type="page"/>
      </w:r>
    </w:p>
    <w:tbl>
      <w:tblPr>
        <w:tblW w:w="0" w:type="auto"/>
        <w:tblLook w:val="04A0" w:firstRow="1" w:lastRow="0" w:firstColumn="1" w:lastColumn="0" w:noHBand="0" w:noVBand="1"/>
      </w:tblPr>
      <w:tblGrid>
        <w:gridCol w:w="1105"/>
        <w:gridCol w:w="1105"/>
        <w:gridCol w:w="1105"/>
        <w:gridCol w:w="1105"/>
        <w:gridCol w:w="1105"/>
        <w:gridCol w:w="1105"/>
        <w:gridCol w:w="1105"/>
        <w:gridCol w:w="1105"/>
      </w:tblGrid>
      <w:tr w:rsidR="00AE11D6">
        <w:tc>
          <w:tcPr>
            <w:tcW w:w="8840" w:type="dxa"/>
            <w:gridSpan w:val="8"/>
            <w:vAlign w:val="center"/>
          </w:tcPr>
          <w:p w:rsidR="00AE11D6" w:rsidRDefault="00F049C8">
            <w:pPr>
              <w:jc w:val="center"/>
            </w:pPr>
            <w:r>
              <w:rPr>
                <w:rFonts w:ascii="宋体" w:hAnsi="宋体"/>
                <w:sz w:val="24"/>
              </w:rPr>
              <w:lastRenderedPageBreak/>
              <w:t>单位整体支出绩效自评表</w:t>
            </w:r>
          </w:p>
        </w:tc>
      </w:tr>
      <w:tr w:rsidR="00AE11D6">
        <w:tc>
          <w:tcPr>
            <w:tcW w:w="8840" w:type="dxa"/>
            <w:gridSpan w:val="8"/>
            <w:vAlign w:val="center"/>
          </w:tcPr>
          <w:p w:rsidR="00AE11D6" w:rsidRDefault="00F049C8">
            <w:pPr>
              <w:jc w:val="center"/>
            </w:pPr>
            <w:r>
              <w:rPr>
                <w:rFonts w:ascii="宋体" w:hAnsi="宋体"/>
                <w:sz w:val="24"/>
              </w:rPr>
              <w:t>（2024年度）</w:t>
            </w:r>
          </w:p>
        </w:tc>
      </w:tr>
      <w:tr w:rsidR="00AE11D6">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单位名称</w:t>
            </w:r>
          </w:p>
        </w:tc>
        <w:tc>
          <w:tcPr>
            <w:tcW w:w="7735" w:type="dxa"/>
            <w:gridSpan w:val="7"/>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尉犁县自然资源局</w:t>
            </w:r>
          </w:p>
        </w:tc>
      </w:tr>
      <w:tr w:rsidR="00AE11D6">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部门资金（万元）</w:t>
            </w:r>
          </w:p>
        </w:tc>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资金来源</w:t>
            </w:r>
          </w:p>
        </w:tc>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年初预算数</w:t>
            </w:r>
          </w:p>
        </w:tc>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全年预算数</w:t>
            </w:r>
          </w:p>
        </w:tc>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全年执行数</w:t>
            </w:r>
          </w:p>
        </w:tc>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分值权重</w:t>
            </w:r>
          </w:p>
        </w:tc>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执行率</w:t>
            </w:r>
          </w:p>
        </w:tc>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得分</w:t>
            </w:r>
          </w:p>
        </w:tc>
      </w:tr>
      <w:tr w:rsidR="00AE11D6">
        <w:tc>
          <w:tcPr>
            <w:tcW w:w="1105" w:type="dxa"/>
            <w:vMerge/>
            <w:tcBorders>
              <w:top w:val="single" w:sz="10" w:space="0" w:color="auto"/>
              <w:left w:val="single" w:sz="10" w:space="0" w:color="auto"/>
              <w:bottom w:val="single" w:sz="10" w:space="0" w:color="auto"/>
              <w:right w:val="single" w:sz="10" w:space="0" w:color="auto"/>
            </w:tcBorders>
          </w:tcPr>
          <w:p w:rsidR="00AE11D6" w:rsidRDefault="00AE11D6"/>
        </w:tc>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年度总资金</w:t>
            </w:r>
          </w:p>
        </w:tc>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3,901.08</w:t>
            </w:r>
          </w:p>
        </w:tc>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14,144.79</w:t>
            </w:r>
          </w:p>
        </w:tc>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13,617.46</w:t>
            </w:r>
          </w:p>
        </w:tc>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96.27%</w:t>
            </w:r>
          </w:p>
        </w:tc>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9.63</w:t>
            </w:r>
          </w:p>
        </w:tc>
      </w:tr>
      <w:tr w:rsidR="00AE11D6">
        <w:tc>
          <w:tcPr>
            <w:tcW w:w="1105" w:type="dxa"/>
            <w:vMerge/>
            <w:tcBorders>
              <w:top w:val="single" w:sz="10" w:space="0" w:color="auto"/>
              <w:left w:val="single" w:sz="10" w:space="0" w:color="auto"/>
              <w:bottom w:val="single" w:sz="10" w:space="0" w:color="auto"/>
              <w:right w:val="single" w:sz="10" w:space="0" w:color="auto"/>
            </w:tcBorders>
          </w:tcPr>
          <w:p w:rsidR="00AE11D6" w:rsidRDefault="00AE11D6"/>
        </w:tc>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其中:上级安排（万元）</w:t>
            </w:r>
          </w:p>
        </w:tc>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2,120.28</w:t>
            </w:r>
          </w:p>
        </w:tc>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2,120.28</w:t>
            </w:r>
          </w:p>
        </w:tc>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1,629.70</w:t>
            </w:r>
          </w:p>
        </w:tc>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r>
      <w:tr w:rsidR="00AE11D6">
        <w:tc>
          <w:tcPr>
            <w:tcW w:w="1105" w:type="dxa"/>
            <w:vMerge/>
            <w:tcBorders>
              <w:top w:val="single" w:sz="10" w:space="0" w:color="auto"/>
              <w:left w:val="single" w:sz="10" w:space="0" w:color="auto"/>
              <w:bottom w:val="single" w:sz="10" w:space="0" w:color="auto"/>
              <w:right w:val="single" w:sz="10" w:space="0" w:color="auto"/>
            </w:tcBorders>
          </w:tcPr>
          <w:p w:rsidR="00AE11D6" w:rsidRDefault="00AE11D6"/>
        </w:tc>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本级安排（万元）</w:t>
            </w:r>
          </w:p>
        </w:tc>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1,777.80</w:t>
            </w:r>
          </w:p>
        </w:tc>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12,021.51</w:t>
            </w:r>
          </w:p>
        </w:tc>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11,984.76</w:t>
            </w:r>
          </w:p>
        </w:tc>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r>
      <w:tr w:rsidR="00AE11D6">
        <w:tc>
          <w:tcPr>
            <w:tcW w:w="1105" w:type="dxa"/>
            <w:vMerge/>
            <w:tcBorders>
              <w:top w:val="single" w:sz="10" w:space="0" w:color="auto"/>
              <w:left w:val="single" w:sz="10" w:space="0" w:color="auto"/>
              <w:bottom w:val="single" w:sz="10" w:space="0" w:color="auto"/>
              <w:right w:val="single" w:sz="10" w:space="0" w:color="auto"/>
            </w:tcBorders>
          </w:tcPr>
          <w:p w:rsidR="00AE11D6" w:rsidRDefault="00AE11D6"/>
        </w:tc>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其他资金（万元）</w:t>
            </w:r>
          </w:p>
        </w:tc>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3.00</w:t>
            </w:r>
          </w:p>
        </w:tc>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3.00</w:t>
            </w:r>
          </w:p>
        </w:tc>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3.00</w:t>
            </w:r>
          </w:p>
        </w:tc>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r>
      <w:tr w:rsidR="00AE11D6">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年度总体目标</w:t>
            </w:r>
          </w:p>
        </w:tc>
        <w:tc>
          <w:tcPr>
            <w:tcW w:w="3315" w:type="dxa"/>
            <w:gridSpan w:val="3"/>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预期目标</w:t>
            </w:r>
          </w:p>
        </w:tc>
        <w:tc>
          <w:tcPr>
            <w:tcW w:w="4420" w:type="dxa"/>
            <w:gridSpan w:val="4"/>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实际完成情况</w:t>
            </w:r>
          </w:p>
        </w:tc>
      </w:tr>
      <w:tr w:rsidR="00AE11D6">
        <w:tc>
          <w:tcPr>
            <w:tcW w:w="1105" w:type="dxa"/>
            <w:vMerge/>
            <w:tcBorders>
              <w:top w:val="single" w:sz="10" w:space="0" w:color="auto"/>
              <w:left w:val="single" w:sz="10" w:space="0" w:color="auto"/>
              <w:bottom w:val="single" w:sz="10" w:space="0" w:color="auto"/>
              <w:right w:val="single" w:sz="10" w:space="0" w:color="auto"/>
            </w:tcBorders>
          </w:tcPr>
          <w:p w:rsidR="00AE11D6" w:rsidRDefault="00AE11D6"/>
        </w:tc>
        <w:tc>
          <w:tcPr>
            <w:tcW w:w="3315" w:type="dxa"/>
            <w:gridSpan w:val="3"/>
            <w:tcBorders>
              <w:top w:val="single" w:sz="10" w:space="0" w:color="auto"/>
              <w:left w:val="single" w:sz="10" w:space="0" w:color="auto"/>
              <w:bottom w:val="single" w:sz="10" w:space="0" w:color="auto"/>
              <w:right w:val="single" w:sz="10" w:space="0" w:color="auto"/>
            </w:tcBorders>
            <w:vAlign w:val="center"/>
          </w:tcPr>
          <w:p w:rsidR="00AE11D6" w:rsidRDefault="00F049C8">
            <w:r>
              <w:rPr>
                <w:rFonts w:ascii="宋体" w:hAnsi="宋体"/>
                <w:sz w:val="16"/>
              </w:rPr>
              <w:t>贯彻落实自然资源保护与合理利用政策和规划工作要求，以保护资源、保障发展、维护权益、服务社会为宗旨，依法履行好本部门监管职责，不断提高资源管理服务水平。具体目标如下：加强国土空间规划，严格耕地保护工作，做好用地要素保障，加快推进不动产登记工作，履行行业领域安全生产监督管理责任。</w:t>
            </w:r>
          </w:p>
        </w:tc>
        <w:tc>
          <w:tcPr>
            <w:tcW w:w="4420" w:type="dxa"/>
            <w:gridSpan w:val="4"/>
            <w:tcBorders>
              <w:top w:val="single" w:sz="10" w:space="0" w:color="auto"/>
              <w:left w:val="single" w:sz="10" w:space="0" w:color="auto"/>
              <w:bottom w:val="single" w:sz="10" w:space="0" w:color="auto"/>
              <w:right w:val="single" w:sz="10" w:space="0" w:color="auto"/>
            </w:tcBorders>
            <w:vAlign w:val="center"/>
          </w:tcPr>
          <w:p w:rsidR="00AE11D6" w:rsidRDefault="00F049C8">
            <w:r>
              <w:rPr>
                <w:rFonts w:ascii="宋体" w:hAnsi="宋体"/>
                <w:sz w:val="16"/>
              </w:rPr>
              <w:t>全面贯彻落实自然资源保护与合理利用政策和规划工作要求，以保护资源、保障发展、维护权益、服务社会为宗旨，依法履行好本部门监管职责，不断提高资源管理服务水平。具体完成如下工作任务：实施国土空间总体规划和乡镇规划7个；采取“长牙齿”的硬措施，严守102万亩耕地红线；持续解决不动产办证难问题，全县不动产登记及国有农用地确权登记发证覆盖率达到100%；有序推进矿产资源开发利用与保护，依法查处矿产资源问题隐患及时整改处置率达到100%。</w:t>
            </w:r>
          </w:p>
        </w:tc>
      </w:tr>
      <w:tr w:rsidR="00AE11D6">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一级指标</w:t>
            </w:r>
          </w:p>
        </w:tc>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二级指标</w:t>
            </w:r>
          </w:p>
        </w:tc>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三级指标</w:t>
            </w:r>
          </w:p>
        </w:tc>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预期指标值</w:t>
            </w:r>
          </w:p>
        </w:tc>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指标值设定依据</w:t>
            </w:r>
          </w:p>
        </w:tc>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分值权重</w:t>
            </w:r>
          </w:p>
        </w:tc>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实际完成指标值</w:t>
            </w:r>
          </w:p>
        </w:tc>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得分</w:t>
            </w:r>
          </w:p>
        </w:tc>
      </w:tr>
      <w:tr w:rsidR="00AE11D6">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履职效能</w:t>
            </w:r>
          </w:p>
        </w:tc>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数量指标</w:t>
            </w:r>
          </w:p>
        </w:tc>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实施国土空间总体规划和乡镇规划个数</w:t>
            </w:r>
          </w:p>
        </w:tc>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=7个</w:t>
            </w:r>
          </w:p>
        </w:tc>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15</w:t>
            </w:r>
          </w:p>
        </w:tc>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7个</w:t>
            </w:r>
          </w:p>
        </w:tc>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15</w:t>
            </w:r>
          </w:p>
        </w:tc>
      </w:tr>
      <w:tr w:rsidR="00AE11D6">
        <w:tc>
          <w:tcPr>
            <w:tcW w:w="1105" w:type="dxa"/>
            <w:vMerge/>
            <w:tcBorders>
              <w:top w:val="single" w:sz="10" w:space="0" w:color="auto"/>
              <w:left w:val="single" w:sz="10" w:space="0" w:color="auto"/>
              <w:bottom w:val="single" w:sz="10" w:space="0" w:color="auto"/>
              <w:right w:val="single" w:sz="10" w:space="0" w:color="auto"/>
            </w:tcBorders>
          </w:tcPr>
          <w:p w:rsidR="00AE11D6" w:rsidRDefault="00AE11D6"/>
        </w:tc>
        <w:tc>
          <w:tcPr>
            <w:tcW w:w="1105" w:type="dxa"/>
            <w:vMerge/>
            <w:tcBorders>
              <w:top w:val="single" w:sz="10" w:space="0" w:color="auto"/>
              <w:left w:val="single" w:sz="10" w:space="0" w:color="auto"/>
              <w:bottom w:val="single" w:sz="10" w:space="0" w:color="auto"/>
              <w:right w:val="single" w:sz="10" w:space="0" w:color="auto"/>
            </w:tcBorders>
          </w:tcPr>
          <w:p w:rsidR="00AE11D6" w:rsidRDefault="00AE11D6"/>
        </w:tc>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永久基本农田保护和管理面积</w:t>
            </w:r>
          </w:p>
        </w:tc>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&gt;=102万亩</w:t>
            </w:r>
          </w:p>
        </w:tc>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15</w:t>
            </w:r>
          </w:p>
        </w:tc>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102万亩</w:t>
            </w:r>
          </w:p>
        </w:tc>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15</w:t>
            </w:r>
          </w:p>
        </w:tc>
      </w:tr>
      <w:tr w:rsidR="00AE11D6">
        <w:tc>
          <w:tcPr>
            <w:tcW w:w="1105" w:type="dxa"/>
            <w:vMerge/>
            <w:tcBorders>
              <w:top w:val="single" w:sz="10" w:space="0" w:color="auto"/>
              <w:left w:val="single" w:sz="10" w:space="0" w:color="auto"/>
              <w:bottom w:val="single" w:sz="10" w:space="0" w:color="auto"/>
              <w:right w:val="single" w:sz="10" w:space="0" w:color="auto"/>
            </w:tcBorders>
          </w:tcPr>
          <w:p w:rsidR="00AE11D6" w:rsidRDefault="00AE11D6"/>
        </w:tc>
        <w:tc>
          <w:tcPr>
            <w:tcW w:w="1105" w:type="dxa"/>
            <w:vMerge/>
            <w:tcBorders>
              <w:top w:val="single" w:sz="10" w:space="0" w:color="auto"/>
              <w:left w:val="single" w:sz="10" w:space="0" w:color="auto"/>
              <w:bottom w:val="single" w:sz="10" w:space="0" w:color="auto"/>
              <w:right w:val="single" w:sz="10" w:space="0" w:color="auto"/>
            </w:tcBorders>
          </w:tcPr>
          <w:p w:rsidR="00AE11D6" w:rsidRDefault="00AE11D6"/>
        </w:tc>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不动产登记及国有农用地确权登记发证覆盖率</w:t>
            </w:r>
          </w:p>
        </w:tc>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&gt;=70%</w:t>
            </w:r>
          </w:p>
        </w:tc>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20</w:t>
            </w:r>
          </w:p>
        </w:tc>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20</w:t>
            </w:r>
          </w:p>
        </w:tc>
      </w:tr>
      <w:tr w:rsidR="00AE11D6">
        <w:tc>
          <w:tcPr>
            <w:tcW w:w="1105" w:type="dxa"/>
            <w:vMerge/>
            <w:tcBorders>
              <w:top w:val="single" w:sz="10" w:space="0" w:color="auto"/>
              <w:left w:val="single" w:sz="10" w:space="0" w:color="auto"/>
              <w:bottom w:val="single" w:sz="10" w:space="0" w:color="auto"/>
              <w:right w:val="single" w:sz="10" w:space="0" w:color="auto"/>
            </w:tcBorders>
          </w:tcPr>
          <w:p w:rsidR="00AE11D6" w:rsidRDefault="00AE11D6"/>
        </w:tc>
        <w:tc>
          <w:tcPr>
            <w:tcW w:w="1105" w:type="dxa"/>
            <w:vMerge/>
            <w:tcBorders>
              <w:top w:val="single" w:sz="10" w:space="0" w:color="auto"/>
              <w:left w:val="single" w:sz="10" w:space="0" w:color="auto"/>
              <w:bottom w:val="single" w:sz="10" w:space="0" w:color="auto"/>
              <w:right w:val="single" w:sz="10" w:space="0" w:color="auto"/>
            </w:tcBorders>
          </w:tcPr>
          <w:p w:rsidR="00AE11D6" w:rsidRDefault="00AE11D6"/>
        </w:tc>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合</w:t>
            </w:r>
            <w:proofErr w:type="gramStart"/>
            <w:r>
              <w:rPr>
                <w:rFonts w:ascii="宋体" w:hAnsi="宋体"/>
                <w:sz w:val="16"/>
              </w:rPr>
              <w:t>规</w:t>
            </w:r>
            <w:proofErr w:type="gramEnd"/>
            <w:r>
              <w:rPr>
                <w:rFonts w:ascii="宋体" w:hAnsi="宋体"/>
                <w:sz w:val="16"/>
              </w:rPr>
              <w:t>用地要素保障率</w:t>
            </w:r>
          </w:p>
        </w:tc>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&gt;=95%</w:t>
            </w:r>
          </w:p>
        </w:tc>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20</w:t>
            </w:r>
          </w:p>
        </w:tc>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20</w:t>
            </w:r>
          </w:p>
        </w:tc>
      </w:tr>
      <w:tr w:rsidR="00AE11D6">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社会效益</w:t>
            </w:r>
          </w:p>
        </w:tc>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社会效益</w:t>
            </w:r>
          </w:p>
        </w:tc>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依法查处矿产资源问题隐患及时整改处置率</w:t>
            </w:r>
          </w:p>
        </w:tc>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20</w:t>
            </w:r>
          </w:p>
        </w:tc>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20</w:t>
            </w:r>
          </w:p>
        </w:tc>
      </w:tr>
    </w:tbl>
    <w:p w:rsidR="00AE11D6" w:rsidRDefault="00F049C8">
      <w:r>
        <w:lastRenderedPageBreak/>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632"/>
        <w:gridCol w:w="696"/>
        <w:gridCol w:w="632"/>
      </w:tblGrid>
      <w:tr w:rsidR="00AE11D6">
        <w:tc>
          <w:tcPr>
            <w:tcW w:w="8848" w:type="dxa"/>
            <w:gridSpan w:val="14"/>
            <w:vAlign w:val="center"/>
          </w:tcPr>
          <w:p w:rsidR="00AE11D6" w:rsidRDefault="00F049C8">
            <w:pPr>
              <w:jc w:val="center"/>
            </w:pPr>
            <w:r>
              <w:rPr>
                <w:rFonts w:ascii="宋体" w:hAnsi="宋体"/>
                <w:sz w:val="24"/>
              </w:rPr>
              <w:lastRenderedPageBreak/>
              <w:t>项目支出绩效自评表</w:t>
            </w:r>
          </w:p>
        </w:tc>
      </w:tr>
      <w:tr w:rsidR="00AE11D6">
        <w:tc>
          <w:tcPr>
            <w:tcW w:w="8848" w:type="dxa"/>
            <w:gridSpan w:val="14"/>
            <w:vAlign w:val="center"/>
          </w:tcPr>
          <w:p w:rsidR="00AE11D6" w:rsidRDefault="00F049C8">
            <w:pPr>
              <w:jc w:val="center"/>
            </w:pPr>
            <w:r>
              <w:rPr>
                <w:rFonts w:ascii="宋体" w:hAnsi="宋体"/>
                <w:sz w:val="24"/>
              </w:rPr>
              <w:t>(2024年度)</w:t>
            </w:r>
          </w:p>
        </w:tc>
      </w:tr>
      <w:tr w:rsidR="00AE11D6">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工作经费</w:t>
            </w:r>
          </w:p>
        </w:tc>
      </w:tr>
      <w:tr w:rsidR="00AE11D6">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尉犁县自然资源局</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尉犁县自然资源局</w:t>
            </w:r>
          </w:p>
        </w:tc>
      </w:tr>
      <w:tr w:rsidR="00AE11D6">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得分</w:t>
            </w:r>
          </w:p>
        </w:tc>
      </w:tr>
      <w:tr w:rsidR="00AE11D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4.20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4.20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4.20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10.00</w:t>
            </w: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4.20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4.20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4.20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r>
      <w:tr w:rsidR="00AE11D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总体目标完成情况</w:t>
            </w: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AE11D6" w:rsidRDefault="00F049C8">
            <w:r>
              <w:rPr>
                <w:rFonts w:ascii="宋体" w:hAnsi="宋体"/>
                <w:sz w:val="16"/>
              </w:rPr>
              <w:t>为进一步提高服务保障能力，严格落实县委、县人民政府工作部署，全力做好油气资源开发利用和项目用地要素保障，单位多次委派干部</w:t>
            </w:r>
            <w:proofErr w:type="gramStart"/>
            <w:r>
              <w:rPr>
                <w:rFonts w:ascii="宋体" w:hAnsi="宋体"/>
                <w:sz w:val="16"/>
              </w:rPr>
              <w:t>赴厅跑办</w:t>
            </w:r>
            <w:proofErr w:type="gramEnd"/>
            <w:r>
              <w:rPr>
                <w:rFonts w:ascii="宋体" w:hAnsi="宋体"/>
                <w:sz w:val="16"/>
              </w:rPr>
              <w:t>、对接进展情况，需要得到各项经费支持（用于差旅费、网络使用费等），以确保不动产窗口等各项工作正常开展。</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AE11D6" w:rsidRDefault="00F049C8">
            <w:r>
              <w:rPr>
                <w:rFonts w:ascii="宋体" w:hAnsi="宋体"/>
                <w:sz w:val="16"/>
              </w:rPr>
              <w:t>为进一步提高服务保障能力，严格落实县委、县人民政府工作部署，全力做好油气资源开发利用和项目用地要素保障，单位多次委派干部</w:t>
            </w:r>
            <w:proofErr w:type="gramStart"/>
            <w:r>
              <w:rPr>
                <w:rFonts w:ascii="宋体" w:hAnsi="宋体"/>
                <w:sz w:val="16"/>
              </w:rPr>
              <w:t>赴厅跑办</w:t>
            </w:r>
            <w:proofErr w:type="gramEnd"/>
            <w:r>
              <w:rPr>
                <w:rFonts w:ascii="宋体" w:hAnsi="宋体"/>
                <w:sz w:val="16"/>
              </w:rPr>
              <w:t>、对接进展情况，支付差旅费1.5万元、网络使用费等其他费用2.7万元，共计4.2万元，资金的及时支付，确保了不动产窗口等各项工作正常开展。</w:t>
            </w:r>
          </w:p>
        </w:tc>
      </w:tr>
      <w:tr w:rsidR="00AE11D6">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偏差原因分析及改进措施</w:t>
            </w:r>
          </w:p>
        </w:tc>
      </w:tr>
      <w:tr w:rsidR="00AE11D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资金保障方面</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=3个方面</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=3个方面</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对接项目用地要素保障率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对接油气资源开发</w:t>
            </w:r>
            <w:r>
              <w:rPr>
                <w:rFonts w:ascii="宋体" w:hAnsi="宋体"/>
                <w:sz w:val="16"/>
              </w:rPr>
              <w:lastRenderedPageBreak/>
              <w:t>利用进展保障率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差旅费资金投入</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&lt;=1.50万元</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=1.5万元</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其他费用资金投入</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&lt;=2.70万元</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=2.7万元</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经济效益指标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促进县域经济发展</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效果明显</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2528" w:type="dxa"/>
            <w:gridSpan w:val="4"/>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AE11D6" w:rsidRDefault="00AE11D6"/>
        </w:tc>
      </w:tr>
    </w:tbl>
    <w:p w:rsidR="00AE11D6" w:rsidRDefault="00F049C8">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632"/>
        <w:gridCol w:w="696"/>
        <w:gridCol w:w="632"/>
      </w:tblGrid>
      <w:tr w:rsidR="00AE11D6">
        <w:tc>
          <w:tcPr>
            <w:tcW w:w="8848" w:type="dxa"/>
            <w:gridSpan w:val="14"/>
            <w:vAlign w:val="center"/>
          </w:tcPr>
          <w:p w:rsidR="00AE11D6" w:rsidRDefault="00F049C8">
            <w:pPr>
              <w:jc w:val="center"/>
            </w:pPr>
            <w:r>
              <w:rPr>
                <w:rFonts w:ascii="宋体" w:hAnsi="宋体"/>
                <w:sz w:val="24"/>
              </w:rPr>
              <w:lastRenderedPageBreak/>
              <w:t>项目支出绩效自评表</w:t>
            </w:r>
          </w:p>
        </w:tc>
      </w:tr>
      <w:tr w:rsidR="00AE11D6">
        <w:tc>
          <w:tcPr>
            <w:tcW w:w="8848" w:type="dxa"/>
            <w:gridSpan w:val="14"/>
            <w:vAlign w:val="center"/>
          </w:tcPr>
          <w:p w:rsidR="00AE11D6" w:rsidRDefault="00F049C8">
            <w:pPr>
              <w:jc w:val="center"/>
            </w:pPr>
            <w:r>
              <w:rPr>
                <w:rFonts w:ascii="宋体" w:hAnsi="宋体"/>
                <w:sz w:val="24"/>
              </w:rPr>
              <w:t>(2024年度)</w:t>
            </w:r>
          </w:p>
        </w:tc>
      </w:tr>
      <w:tr w:rsidR="00AE11D6">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购买不动产证书工作经费</w:t>
            </w:r>
          </w:p>
        </w:tc>
      </w:tr>
      <w:tr w:rsidR="00AE11D6">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尉犁县自然资源局</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尉犁县自然资源局</w:t>
            </w:r>
          </w:p>
        </w:tc>
      </w:tr>
      <w:tr w:rsidR="00AE11D6">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得分</w:t>
            </w:r>
          </w:p>
        </w:tc>
      </w:tr>
      <w:tr w:rsidR="00AE11D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2.82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2.82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2.82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10.00</w:t>
            </w: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2.82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2.82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2.82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r>
      <w:tr w:rsidR="00AE11D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总体目标完成情况</w:t>
            </w: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AE11D6" w:rsidRDefault="00F049C8">
            <w:r>
              <w:rPr>
                <w:rFonts w:ascii="宋体" w:hAnsi="宋体"/>
                <w:sz w:val="16"/>
              </w:rPr>
              <w:t>为做好我县不动产登记发证工作，按照我县每年不动产证书发放量，需购买不动产证书3000本，使发证及时率达到100%。</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AE11D6" w:rsidRDefault="00F049C8">
            <w:r>
              <w:rPr>
                <w:rFonts w:ascii="宋体" w:hAnsi="宋体"/>
                <w:sz w:val="16"/>
              </w:rPr>
              <w:t>为做好我县不动产登记发证工作，按照我县每年不动产证书发放量，共购买不动产证书3000本，支付资金2.82万元，有效提高了不动产登记中心办证率，使发证及时率达到了100%。</w:t>
            </w:r>
          </w:p>
        </w:tc>
      </w:tr>
      <w:tr w:rsidR="00AE11D6">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偏差原因分析及改进措施</w:t>
            </w:r>
          </w:p>
        </w:tc>
      </w:tr>
      <w:tr w:rsidR="00AE11D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购买不动产证书数量</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=3000本</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=3000本</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购买不动产证书完成率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发证及时</w:t>
            </w:r>
            <w:r>
              <w:rPr>
                <w:rFonts w:ascii="宋体" w:hAnsi="宋体"/>
                <w:sz w:val="16"/>
              </w:rPr>
              <w:lastRenderedPageBreak/>
              <w:t>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w:t>
            </w:r>
            <w:proofErr w:type="gramStart"/>
            <w:r>
              <w:rPr>
                <w:rFonts w:ascii="宋体" w:hAnsi="宋体"/>
                <w:sz w:val="16"/>
              </w:rPr>
              <w:lastRenderedPageBreak/>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每本证书单价</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&lt;=9.4元/本</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=9.4元/本</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提高办证效率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有效提高</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方便群众办证</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有效</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2528" w:type="dxa"/>
            <w:gridSpan w:val="4"/>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AE11D6" w:rsidRDefault="00AE11D6"/>
        </w:tc>
      </w:tr>
    </w:tbl>
    <w:p w:rsidR="00AE11D6" w:rsidRDefault="00F049C8">
      <w:r>
        <w:br w:type="page"/>
      </w:r>
    </w:p>
    <w:tbl>
      <w:tblPr>
        <w:tblW w:w="0" w:type="auto"/>
        <w:tblLook w:val="04A0" w:firstRow="1" w:lastRow="0" w:firstColumn="1" w:lastColumn="0" w:noHBand="0" w:noVBand="1"/>
      </w:tblPr>
      <w:tblGrid>
        <w:gridCol w:w="630"/>
        <w:gridCol w:w="625"/>
        <w:gridCol w:w="624"/>
        <w:gridCol w:w="629"/>
        <w:gridCol w:w="776"/>
        <w:gridCol w:w="624"/>
        <w:gridCol w:w="624"/>
        <w:gridCol w:w="627"/>
        <w:gridCol w:w="624"/>
        <w:gridCol w:w="624"/>
        <w:gridCol w:w="696"/>
        <w:gridCol w:w="629"/>
        <w:gridCol w:w="696"/>
        <w:gridCol w:w="632"/>
      </w:tblGrid>
      <w:tr w:rsidR="00AE11D6">
        <w:tc>
          <w:tcPr>
            <w:tcW w:w="8848" w:type="dxa"/>
            <w:gridSpan w:val="14"/>
            <w:vAlign w:val="center"/>
          </w:tcPr>
          <w:p w:rsidR="00AE11D6" w:rsidRDefault="00F049C8">
            <w:pPr>
              <w:jc w:val="center"/>
            </w:pPr>
            <w:r>
              <w:rPr>
                <w:rFonts w:ascii="宋体" w:hAnsi="宋体"/>
                <w:sz w:val="24"/>
              </w:rPr>
              <w:lastRenderedPageBreak/>
              <w:t>项目支出绩效自评表</w:t>
            </w:r>
          </w:p>
        </w:tc>
      </w:tr>
      <w:tr w:rsidR="00AE11D6">
        <w:tc>
          <w:tcPr>
            <w:tcW w:w="8848" w:type="dxa"/>
            <w:gridSpan w:val="14"/>
            <w:vAlign w:val="center"/>
          </w:tcPr>
          <w:p w:rsidR="00AE11D6" w:rsidRDefault="00F049C8">
            <w:pPr>
              <w:jc w:val="center"/>
            </w:pPr>
            <w:r>
              <w:rPr>
                <w:rFonts w:ascii="宋体" w:hAnsi="宋体"/>
                <w:sz w:val="24"/>
              </w:rPr>
              <w:t>(2024年度)</w:t>
            </w:r>
          </w:p>
        </w:tc>
      </w:tr>
      <w:tr w:rsidR="00AE11D6">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缴纳耕地占用税-国道218线</w:t>
            </w:r>
          </w:p>
        </w:tc>
      </w:tr>
      <w:tr w:rsidR="00AE11D6">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尉犁县自然资源局</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尉犁县自然资源局</w:t>
            </w:r>
          </w:p>
        </w:tc>
      </w:tr>
      <w:tr w:rsidR="00AE11D6">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得分</w:t>
            </w:r>
          </w:p>
        </w:tc>
      </w:tr>
      <w:tr w:rsidR="00AE11D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71.60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71.60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71.60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10.00</w:t>
            </w: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71.60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71.60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71.60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r>
      <w:tr w:rsidR="00AE11D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总体目标完成情况</w:t>
            </w: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AE11D6" w:rsidRDefault="00F049C8">
            <w:r>
              <w:rPr>
                <w:rFonts w:ascii="宋体" w:hAnsi="宋体"/>
                <w:sz w:val="16"/>
              </w:rPr>
              <w:t>根据《中华人民共和国耕地占用税法》规定，占用耕地及其他农用地进行建设的，应依法缴纳耕地占用税，需缴纳耕地占用税的项目1个，涉及1个批次用地，完成耕地占用税的税款申报及缴纳划转工作。</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AE11D6" w:rsidRDefault="00F049C8">
            <w:r>
              <w:rPr>
                <w:rFonts w:ascii="宋体" w:hAnsi="宋体"/>
                <w:sz w:val="16"/>
              </w:rPr>
              <w:t>有效提高我县税收收入，占用耕地及其他农用地进行建设的，应依法缴纳耕地占用税，根据项目用地占地情况，缴纳耕地占用税-国道218线，涉及用地面积6.25公顷，占用林地、园地及其他用地缴纳耕地占用税50.96万元、占用耕地（非基本农田）缴纳耕地占用税20.64万元。</w:t>
            </w:r>
            <w:r>
              <w:rPr>
                <w:rFonts w:ascii="宋体" w:hAnsi="宋体"/>
                <w:sz w:val="16"/>
              </w:rPr>
              <w:br/>
            </w:r>
          </w:p>
        </w:tc>
      </w:tr>
      <w:tr w:rsidR="00AE11D6">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偏差原因分析及改进措施</w:t>
            </w:r>
          </w:p>
        </w:tc>
      </w:tr>
      <w:tr w:rsidR="00AE11D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涉及项目个数</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涉及用地批次</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涉及用地面积</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=6.25公顷</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=6.25公顷</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耕地占用税申报缴纳完成率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耕地占用税申报缴纳及时率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占用林地、园地及其他用地缴纳耕地占用税</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&lt;=50.96万元</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=50.96万元</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占用耕地（非基本农田）缴纳耕地占用税</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=20.64万元</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=20.64万元</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提高我县税收收入</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有效提高</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2528" w:type="dxa"/>
            <w:gridSpan w:val="4"/>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AE11D6" w:rsidRDefault="00AE11D6"/>
        </w:tc>
      </w:tr>
    </w:tbl>
    <w:p w:rsidR="00AE11D6" w:rsidRDefault="00F049C8">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632"/>
        <w:gridCol w:w="696"/>
        <w:gridCol w:w="632"/>
      </w:tblGrid>
      <w:tr w:rsidR="00AE11D6">
        <w:tc>
          <w:tcPr>
            <w:tcW w:w="8848" w:type="dxa"/>
            <w:gridSpan w:val="14"/>
            <w:vAlign w:val="center"/>
          </w:tcPr>
          <w:p w:rsidR="00AE11D6" w:rsidRDefault="00F049C8">
            <w:pPr>
              <w:jc w:val="center"/>
            </w:pPr>
            <w:r>
              <w:rPr>
                <w:rFonts w:ascii="宋体" w:hAnsi="宋体"/>
                <w:sz w:val="24"/>
              </w:rPr>
              <w:lastRenderedPageBreak/>
              <w:t>项目支出绩效自评表</w:t>
            </w:r>
          </w:p>
        </w:tc>
      </w:tr>
      <w:tr w:rsidR="00AE11D6">
        <w:tc>
          <w:tcPr>
            <w:tcW w:w="8848" w:type="dxa"/>
            <w:gridSpan w:val="14"/>
            <w:vAlign w:val="center"/>
          </w:tcPr>
          <w:p w:rsidR="00AE11D6" w:rsidRDefault="00F049C8">
            <w:pPr>
              <w:jc w:val="center"/>
            </w:pPr>
            <w:r>
              <w:rPr>
                <w:rFonts w:ascii="宋体" w:hAnsi="宋体"/>
                <w:sz w:val="24"/>
              </w:rPr>
              <w:t>(2024年度)</w:t>
            </w:r>
          </w:p>
        </w:tc>
      </w:tr>
      <w:tr w:rsidR="00AE11D6">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缴纳尉犁县2023年土地出让收益印花税</w:t>
            </w:r>
          </w:p>
        </w:tc>
      </w:tr>
      <w:tr w:rsidR="00AE11D6">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尉犁县自然资源局</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尉犁县自然资源局</w:t>
            </w:r>
          </w:p>
        </w:tc>
      </w:tr>
      <w:tr w:rsidR="00AE11D6">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得分</w:t>
            </w:r>
          </w:p>
        </w:tc>
      </w:tr>
      <w:tr w:rsidR="00AE11D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0.74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2.36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2.36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10.00</w:t>
            </w: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0.74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2.36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2.36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r>
      <w:tr w:rsidR="00AE11D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总体目标完成情况</w:t>
            </w: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AE11D6" w:rsidRDefault="00F049C8">
            <w:r>
              <w:rPr>
                <w:rFonts w:ascii="宋体" w:hAnsi="宋体"/>
                <w:sz w:val="16"/>
              </w:rPr>
              <w:t>按照国家税务</w:t>
            </w:r>
            <w:r w:rsidR="007F0687">
              <w:rPr>
                <w:rFonts w:ascii="宋体" w:hAnsi="宋体"/>
                <w:sz w:val="16"/>
              </w:rPr>
              <w:t>总</w:t>
            </w:r>
            <w:r>
              <w:rPr>
                <w:rFonts w:ascii="宋体" w:hAnsi="宋体"/>
                <w:sz w:val="16"/>
              </w:rPr>
              <w:t>局尉犁县税务局的通知《尉通税[2023]》021205号，根据税法规定完成2023-2024年215份土地出让合同收益印花税的税款申报及缴纳划转工作。</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AE11D6" w:rsidRDefault="00F049C8">
            <w:r>
              <w:rPr>
                <w:rFonts w:ascii="宋体" w:hAnsi="宋体"/>
                <w:sz w:val="16"/>
              </w:rPr>
              <w:t>按照国家税务</w:t>
            </w:r>
            <w:r w:rsidR="007F0687">
              <w:rPr>
                <w:rFonts w:ascii="宋体" w:hAnsi="宋体"/>
                <w:sz w:val="16"/>
              </w:rPr>
              <w:t>总</w:t>
            </w:r>
            <w:r>
              <w:rPr>
                <w:rFonts w:ascii="宋体" w:hAnsi="宋体"/>
                <w:sz w:val="16"/>
              </w:rPr>
              <w:t>局尉犁县税务局的通知《尉通税[2023]》021205号，根据税法规定，完成2023-2024年215份土地出让合同收益印花税的税款申报及缴纳划转工作，共缴纳印花税2.36万元，有效提高了我县税收收入。</w:t>
            </w:r>
          </w:p>
        </w:tc>
      </w:tr>
      <w:tr w:rsidR="00AE11D6">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偏差原因分析及改进措施</w:t>
            </w:r>
          </w:p>
        </w:tc>
      </w:tr>
      <w:tr w:rsidR="00AE11D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涉及土地出让合同份数</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=215份</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=215份</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涉及企业户数</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=43户</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=43户</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涉及个人人数</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=165人</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=165人</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印花税申</w:t>
            </w:r>
            <w:r>
              <w:rPr>
                <w:rFonts w:ascii="宋体" w:hAnsi="宋体"/>
                <w:sz w:val="16"/>
              </w:rPr>
              <w:lastRenderedPageBreak/>
              <w:t>报缴纳完成率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w:t>
            </w:r>
            <w:proofErr w:type="gramStart"/>
            <w:r>
              <w:rPr>
                <w:rFonts w:ascii="宋体" w:hAnsi="宋体"/>
                <w:sz w:val="16"/>
              </w:rPr>
              <w:lastRenderedPageBreak/>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印花税申报缴纳及时率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43户企业缴纳印花税</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&lt;=2.32万元</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=2.32万元</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165人企业缴纳印花税</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&lt;=0.04万元</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=0.04万元</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促进我县税收收入</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有效提高</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2528" w:type="dxa"/>
            <w:gridSpan w:val="4"/>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AE11D6" w:rsidRDefault="00AE11D6"/>
        </w:tc>
      </w:tr>
    </w:tbl>
    <w:p w:rsidR="00AE11D6" w:rsidRDefault="00F049C8">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96"/>
        <w:gridCol w:w="632"/>
        <w:gridCol w:w="696"/>
        <w:gridCol w:w="632"/>
      </w:tblGrid>
      <w:tr w:rsidR="00AE11D6">
        <w:tc>
          <w:tcPr>
            <w:tcW w:w="8848" w:type="dxa"/>
            <w:gridSpan w:val="14"/>
            <w:vAlign w:val="center"/>
          </w:tcPr>
          <w:p w:rsidR="00AE11D6" w:rsidRDefault="00F049C8">
            <w:pPr>
              <w:jc w:val="center"/>
            </w:pPr>
            <w:r>
              <w:rPr>
                <w:rFonts w:ascii="宋体" w:hAnsi="宋体"/>
                <w:sz w:val="24"/>
              </w:rPr>
              <w:lastRenderedPageBreak/>
              <w:t>项目支出绩效自评表</w:t>
            </w:r>
          </w:p>
        </w:tc>
      </w:tr>
      <w:tr w:rsidR="00AE11D6">
        <w:tc>
          <w:tcPr>
            <w:tcW w:w="8848" w:type="dxa"/>
            <w:gridSpan w:val="14"/>
            <w:vAlign w:val="center"/>
          </w:tcPr>
          <w:p w:rsidR="00AE11D6" w:rsidRDefault="00F049C8">
            <w:pPr>
              <w:jc w:val="center"/>
            </w:pPr>
            <w:r>
              <w:rPr>
                <w:rFonts w:ascii="宋体" w:hAnsi="宋体"/>
                <w:sz w:val="24"/>
              </w:rPr>
              <w:t>(2024年度)</w:t>
            </w:r>
          </w:p>
        </w:tc>
      </w:tr>
      <w:tr w:rsidR="00AE11D6">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缴纳新增建设用地土地有偿使用费</w:t>
            </w:r>
          </w:p>
        </w:tc>
      </w:tr>
      <w:tr w:rsidR="00AE11D6">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尉犁县自然资源局</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尉犁县自然资源局</w:t>
            </w:r>
          </w:p>
        </w:tc>
      </w:tr>
      <w:tr w:rsidR="00AE11D6">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得分</w:t>
            </w:r>
          </w:p>
        </w:tc>
      </w:tr>
      <w:tr w:rsidR="00AE11D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23.93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23.93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23.93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10.00</w:t>
            </w: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23.93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23.93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23.93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r>
      <w:tr w:rsidR="00AE11D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总体目标完成情况</w:t>
            </w: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AE11D6" w:rsidRDefault="00F049C8">
            <w:r>
              <w:rPr>
                <w:rFonts w:ascii="宋体" w:hAnsi="宋体"/>
                <w:sz w:val="16"/>
              </w:rPr>
              <w:t>根据自治区下发《新增建设用地土地有偿使用费缴款通知书》，我县申报的“国道218线尉犁县城段改建工程”建设用地，涉及缴纳新增建设用地土地有偿使用费17095平方米，需缴纳新增建设用地土地有偿使用费调库手续划转至中央及自治区金库23.93万元。</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AE11D6" w:rsidRDefault="00F049C8">
            <w:r>
              <w:rPr>
                <w:rFonts w:ascii="宋体" w:hAnsi="宋体"/>
                <w:sz w:val="16"/>
              </w:rPr>
              <w:t>根据自治区下发《新增建设用地土地有偿使用费缴款通知书》，我县申报的“国道218线尉犁县城段改建工程”建设用地，缴纳新增建设用地土地有偿使用费面积17095平方米、23.93万元，于2014年3月14日及时通过县财政直接划转，顺利完成我县项目用地审批并使项目及时落地，有效促进我县经济发展。</w:t>
            </w:r>
          </w:p>
        </w:tc>
      </w:tr>
      <w:tr w:rsidR="00AE11D6">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偏差原因分析及改进措施</w:t>
            </w:r>
          </w:p>
        </w:tc>
      </w:tr>
      <w:tr w:rsidR="00AE11D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涉及项目个数</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涉及用地单位</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涉及用地面积</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=17095平方米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=17095平方米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资金划转</w:t>
            </w:r>
            <w:r>
              <w:rPr>
                <w:rFonts w:ascii="宋体" w:hAnsi="宋体"/>
                <w:sz w:val="16"/>
              </w:rPr>
              <w:lastRenderedPageBreak/>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w:t>
            </w:r>
            <w:proofErr w:type="gramStart"/>
            <w:r>
              <w:rPr>
                <w:rFonts w:ascii="宋体" w:hAnsi="宋体"/>
                <w:sz w:val="16"/>
              </w:rPr>
              <w:lastRenderedPageBreak/>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资金划转及时率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划转中央金库资金数</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=7.18万元</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=7.18万元</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划转自治区金库资金数</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=16.75万元</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=16.75万元</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经济效益指标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促进经济发展</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有效促进</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2528" w:type="dxa"/>
            <w:gridSpan w:val="4"/>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AE11D6" w:rsidRDefault="00AE11D6"/>
        </w:tc>
      </w:tr>
    </w:tbl>
    <w:p w:rsidR="00AE11D6" w:rsidRDefault="00F049C8">
      <w:r>
        <w:br w:type="page"/>
      </w:r>
    </w:p>
    <w:tbl>
      <w:tblPr>
        <w:tblW w:w="0" w:type="auto"/>
        <w:tblLook w:val="04A0" w:firstRow="1" w:lastRow="0" w:firstColumn="1" w:lastColumn="0" w:noHBand="0" w:noVBand="1"/>
      </w:tblPr>
      <w:tblGrid>
        <w:gridCol w:w="625"/>
        <w:gridCol w:w="615"/>
        <w:gridCol w:w="615"/>
        <w:gridCol w:w="615"/>
        <w:gridCol w:w="776"/>
        <w:gridCol w:w="616"/>
        <w:gridCol w:w="616"/>
        <w:gridCol w:w="621"/>
        <w:gridCol w:w="616"/>
        <w:gridCol w:w="616"/>
        <w:gridCol w:w="776"/>
        <w:gridCol w:w="626"/>
        <w:gridCol w:w="696"/>
        <w:gridCol w:w="631"/>
      </w:tblGrid>
      <w:tr w:rsidR="00AE11D6">
        <w:tc>
          <w:tcPr>
            <w:tcW w:w="8848" w:type="dxa"/>
            <w:gridSpan w:val="14"/>
            <w:vAlign w:val="center"/>
          </w:tcPr>
          <w:p w:rsidR="00AE11D6" w:rsidRDefault="00F049C8">
            <w:pPr>
              <w:jc w:val="center"/>
            </w:pPr>
            <w:r>
              <w:rPr>
                <w:rFonts w:ascii="宋体" w:hAnsi="宋体"/>
                <w:sz w:val="24"/>
              </w:rPr>
              <w:lastRenderedPageBreak/>
              <w:t>项目支出绩效自评表</w:t>
            </w:r>
          </w:p>
        </w:tc>
      </w:tr>
      <w:tr w:rsidR="00AE11D6">
        <w:tc>
          <w:tcPr>
            <w:tcW w:w="8848" w:type="dxa"/>
            <w:gridSpan w:val="14"/>
            <w:vAlign w:val="center"/>
          </w:tcPr>
          <w:p w:rsidR="00AE11D6" w:rsidRDefault="00F049C8">
            <w:pPr>
              <w:jc w:val="center"/>
            </w:pPr>
            <w:r>
              <w:rPr>
                <w:rFonts w:ascii="宋体" w:hAnsi="宋体"/>
                <w:sz w:val="24"/>
              </w:rPr>
              <w:t>(2024年度)</w:t>
            </w:r>
          </w:p>
        </w:tc>
      </w:tr>
      <w:tr w:rsidR="00AE11D6">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矿山地质环境治理恢复保证金</w:t>
            </w:r>
          </w:p>
        </w:tc>
      </w:tr>
      <w:tr w:rsidR="00AE11D6">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尉犁县自然资源局</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尉犁县自然资源局</w:t>
            </w:r>
          </w:p>
        </w:tc>
      </w:tr>
      <w:tr w:rsidR="00AE11D6">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得分</w:t>
            </w:r>
          </w:p>
        </w:tc>
      </w:tr>
      <w:tr w:rsidR="00AE11D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128.89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128.89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128.89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10.00</w:t>
            </w: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128.89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128.89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128.89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r>
      <w:tr w:rsidR="00AE11D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总体目标完成情况</w:t>
            </w: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AE11D6" w:rsidRDefault="00F049C8">
            <w:r>
              <w:rPr>
                <w:rFonts w:ascii="宋体" w:hAnsi="宋体"/>
                <w:sz w:val="16"/>
              </w:rPr>
              <w:t>根据尉犁县人民法</w:t>
            </w:r>
            <w:r w:rsidR="007F0687">
              <w:rPr>
                <w:rFonts w:ascii="宋体" w:hAnsi="宋体"/>
                <w:sz w:val="16"/>
              </w:rPr>
              <w:t>院</w:t>
            </w:r>
            <w:r>
              <w:rPr>
                <w:rFonts w:ascii="宋体" w:hAnsi="宋体"/>
                <w:sz w:val="16"/>
              </w:rPr>
              <w:t>执行裁定书，完成尉犁县天成矿业开发有限责任公司矿山地质环境治理恢复保证金扣划至尉犁县人民法院的工作。</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AE11D6" w:rsidRDefault="00F049C8">
            <w:r>
              <w:rPr>
                <w:rFonts w:ascii="宋体" w:hAnsi="宋体"/>
                <w:sz w:val="16"/>
              </w:rPr>
              <w:t>根据尉犁县人民法</w:t>
            </w:r>
            <w:r w:rsidR="007F0687">
              <w:rPr>
                <w:rFonts w:ascii="宋体" w:hAnsi="宋体"/>
                <w:sz w:val="16"/>
              </w:rPr>
              <w:t>院</w:t>
            </w:r>
            <w:r>
              <w:rPr>
                <w:rFonts w:ascii="宋体" w:hAnsi="宋体"/>
                <w:sz w:val="16"/>
              </w:rPr>
              <w:t>执行裁定书，我单位于2024年3月11日及时按规定将尉犁县天成矿业开发有限责任公司矿山地质环境治理恢复保证金扣划至尉犁县人民法院账户。</w:t>
            </w:r>
          </w:p>
        </w:tc>
      </w:tr>
      <w:tr w:rsidR="00AE11D6">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偏差原因分析及改进措施</w:t>
            </w:r>
          </w:p>
        </w:tc>
      </w:tr>
      <w:tr w:rsidR="00AE11D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涉及项目个数</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涉及企业个数</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资金扣划完成率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项目资金成本</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=128.89万元</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=128.89万元</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对矿山企业环境保护</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有效提升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2528" w:type="dxa"/>
            <w:gridSpan w:val="4"/>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AE11D6" w:rsidRDefault="00AE11D6"/>
        </w:tc>
      </w:tr>
    </w:tbl>
    <w:p w:rsidR="00AE11D6" w:rsidRDefault="00F049C8">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776"/>
        <w:gridCol w:w="632"/>
        <w:gridCol w:w="632"/>
      </w:tblGrid>
      <w:tr w:rsidR="00AE11D6">
        <w:tc>
          <w:tcPr>
            <w:tcW w:w="8848" w:type="dxa"/>
            <w:gridSpan w:val="14"/>
            <w:vAlign w:val="center"/>
          </w:tcPr>
          <w:p w:rsidR="00AE11D6" w:rsidRDefault="00F049C8">
            <w:pPr>
              <w:jc w:val="center"/>
            </w:pPr>
            <w:r>
              <w:rPr>
                <w:rFonts w:ascii="宋体" w:hAnsi="宋体"/>
                <w:sz w:val="24"/>
              </w:rPr>
              <w:lastRenderedPageBreak/>
              <w:t>项目支出绩效自评表</w:t>
            </w:r>
          </w:p>
        </w:tc>
      </w:tr>
      <w:tr w:rsidR="00AE11D6">
        <w:tc>
          <w:tcPr>
            <w:tcW w:w="8848" w:type="dxa"/>
            <w:gridSpan w:val="14"/>
            <w:vAlign w:val="center"/>
          </w:tcPr>
          <w:p w:rsidR="00AE11D6" w:rsidRDefault="00F049C8">
            <w:pPr>
              <w:jc w:val="center"/>
            </w:pPr>
            <w:r>
              <w:rPr>
                <w:rFonts w:ascii="宋体" w:hAnsi="宋体"/>
                <w:sz w:val="24"/>
              </w:rPr>
              <w:t>(2024年度)</w:t>
            </w:r>
          </w:p>
        </w:tc>
      </w:tr>
      <w:tr w:rsidR="00AE11D6">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罗布淖尔国家湿地公园、罗布人村寨、罗布淖尔国家沙漠公园自然资源统一确权登记工作经费（十三届第十一次财经会）</w:t>
            </w:r>
          </w:p>
        </w:tc>
      </w:tr>
      <w:tr w:rsidR="00AE11D6">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尉犁县自然资源局</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尉犁县自然资源局</w:t>
            </w:r>
          </w:p>
        </w:tc>
      </w:tr>
      <w:tr w:rsidR="00AE11D6">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得分</w:t>
            </w:r>
          </w:p>
        </w:tc>
      </w:tr>
      <w:tr w:rsidR="00AE11D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27.00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27.00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27.00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10.00</w:t>
            </w: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27.00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27.00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27.00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r>
      <w:tr w:rsidR="00AE11D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总体目标完成情况</w:t>
            </w: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AE11D6" w:rsidRDefault="00F049C8">
            <w:r>
              <w:rPr>
                <w:rFonts w:ascii="宋体" w:hAnsi="宋体"/>
                <w:sz w:val="16"/>
              </w:rPr>
              <w:t>按照巴州人民政府下发的《自治州自然资源统一确权登记工作方案》（</w:t>
            </w:r>
            <w:proofErr w:type="gramStart"/>
            <w:r>
              <w:rPr>
                <w:rFonts w:ascii="宋体" w:hAnsi="宋体"/>
                <w:sz w:val="16"/>
              </w:rPr>
              <w:t>巴政办</w:t>
            </w:r>
            <w:proofErr w:type="gramEnd"/>
            <w:r>
              <w:rPr>
                <w:rFonts w:ascii="宋体" w:hAnsi="宋体"/>
                <w:sz w:val="16"/>
              </w:rPr>
              <w:t>发〔2020〕15号）的要求，有序推进全县自然资源统一确权登记，支撑自然资源合理开发，有效保护，严格监管，2024年度需提交三个项目确权登记的数据库成果3个、权籍调查成果图件3套、文字报告书3本，使登记发证比例达到80%、确保自然资源合理开发与有效保护。</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AE11D6" w:rsidRDefault="00F049C8">
            <w:r>
              <w:rPr>
                <w:rFonts w:ascii="宋体" w:hAnsi="宋体"/>
                <w:sz w:val="16"/>
              </w:rPr>
              <w:t>按照巴州人民政府下发的《自治州自然资源统一确权登记工作方案》（</w:t>
            </w:r>
            <w:proofErr w:type="gramStart"/>
            <w:r>
              <w:rPr>
                <w:rFonts w:ascii="宋体" w:hAnsi="宋体"/>
                <w:sz w:val="16"/>
              </w:rPr>
              <w:t>巴政办</w:t>
            </w:r>
            <w:proofErr w:type="gramEnd"/>
            <w:r>
              <w:rPr>
                <w:rFonts w:ascii="宋体" w:hAnsi="宋体"/>
                <w:sz w:val="16"/>
              </w:rPr>
              <w:t>发〔2020〕15号）的要求，有序推进全县自然资源统一确权登记，支撑自然资源合理开发，有效保护，严格监管，2024年度已提交三个项目确权登记的数据库成果3个、权籍调查成果图件3套、文字报告书3本，共支付资金27万元，登记发证比例达到了80%，确保了自然资源合理开发与有效保护。</w:t>
            </w:r>
          </w:p>
        </w:tc>
      </w:tr>
      <w:tr w:rsidR="00AE11D6">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偏差原因分析及改进措施</w:t>
            </w:r>
          </w:p>
        </w:tc>
      </w:tr>
      <w:tr w:rsidR="00AE11D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提交文字报告书数量</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&gt;=3本</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=3本</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自然资源权籍调查成果图件数量</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&gt;=3套</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=3套</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数据库建设个数</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&gt;=3个</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=3个</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登记发证比例</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&gt;=80%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=80%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项目完成及时率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9.47</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年初预期指标值设置较低，项目按计划已完成</w:t>
            </w: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自然资源统一确权登记技术服务费</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&lt;=27万元</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=27万元</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自然资源合理开发与有效保护</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效果显著</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保持良好生态环境</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成效明显</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2528" w:type="dxa"/>
            <w:gridSpan w:val="4"/>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99.47分</w:t>
            </w:r>
          </w:p>
        </w:tc>
        <w:tc>
          <w:tcPr>
            <w:tcW w:w="632" w:type="dxa"/>
            <w:tcBorders>
              <w:top w:val="single" w:sz="10" w:space="0" w:color="auto"/>
              <w:left w:val="single" w:sz="10" w:space="0" w:color="auto"/>
              <w:bottom w:val="single" w:sz="10" w:space="0" w:color="auto"/>
              <w:right w:val="single" w:sz="10" w:space="0" w:color="auto"/>
            </w:tcBorders>
          </w:tcPr>
          <w:p w:rsidR="00AE11D6" w:rsidRDefault="00AE11D6"/>
        </w:tc>
      </w:tr>
    </w:tbl>
    <w:p w:rsidR="00AE11D6" w:rsidRDefault="00F049C8">
      <w:r>
        <w:lastRenderedPageBreak/>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632"/>
        <w:gridCol w:w="696"/>
        <w:gridCol w:w="632"/>
      </w:tblGrid>
      <w:tr w:rsidR="00AE11D6">
        <w:tc>
          <w:tcPr>
            <w:tcW w:w="8848" w:type="dxa"/>
            <w:gridSpan w:val="14"/>
            <w:vAlign w:val="center"/>
          </w:tcPr>
          <w:p w:rsidR="00AE11D6" w:rsidRDefault="00F049C8">
            <w:pPr>
              <w:jc w:val="center"/>
            </w:pPr>
            <w:r>
              <w:rPr>
                <w:rFonts w:ascii="宋体" w:hAnsi="宋体"/>
                <w:sz w:val="24"/>
              </w:rPr>
              <w:lastRenderedPageBreak/>
              <w:t>项目支出绩效自评表</w:t>
            </w:r>
          </w:p>
        </w:tc>
      </w:tr>
      <w:tr w:rsidR="00AE11D6">
        <w:tc>
          <w:tcPr>
            <w:tcW w:w="8848" w:type="dxa"/>
            <w:gridSpan w:val="14"/>
            <w:vAlign w:val="center"/>
          </w:tcPr>
          <w:p w:rsidR="00AE11D6" w:rsidRDefault="00F049C8">
            <w:pPr>
              <w:jc w:val="center"/>
            </w:pPr>
            <w:r>
              <w:rPr>
                <w:rFonts w:ascii="宋体" w:hAnsi="宋体"/>
                <w:sz w:val="24"/>
              </w:rPr>
              <w:t>(2024年度)</w:t>
            </w:r>
          </w:p>
        </w:tc>
      </w:tr>
      <w:tr w:rsidR="00AE11D6">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退还不动产登记费</w:t>
            </w:r>
          </w:p>
        </w:tc>
      </w:tr>
      <w:tr w:rsidR="00AE11D6">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尉犁县自然资源局</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尉犁县自然资源局</w:t>
            </w:r>
          </w:p>
        </w:tc>
      </w:tr>
      <w:tr w:rsidR="00AE11D6">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得分</w:t>
            </w:r>
          </w:p>
        </w:tc>
      </w:tr>
      <w:tr w:rsidR="00AE11D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0.61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0.61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0.61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10.00</w:t>
            </w: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0.61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0.61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0.61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r>
      <w:tr w:rsidR="00AE11D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总体目标完成情况</w:t>
            </w: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AE11D6" w:rsidRDefault="00F049C8">
            <w:r>
              <w:rPr>
                <w:rFonts w:ascii="宋体" w:hAnsi="宋体"/>
                <w:sz w:val="16"/>
              </w:rPr>
              <w:t>根据《国家发改委、财政部关于不动产登记收费标准等有关问题的通知》（</w:t>
            </w:r>
            <w:proofErr w:type="gramStart"/>
            <w:r>
              <w:rPr>
                <w:rFonts w:ascii="宋体" w:hAnsi="宋体"/>
                <w:sz w:val="16"/>
              </w:rPr>
              <w:t>发改价格</w:t>
            </w:r>
            <w:proofErr w:type="gramEnd"/>
            <w:r>
              <w:rPr>
                <w:rFonts w:ascii="宋体" w:hAnsi="宋体"/>
                <w:sz w:val="16"/>
              </w:rPr>
              <w:t>[2016]2559号）和《关于印发中小企业划型标准规定的通知》（工信部联企业[2011]300号）的规定，2024年7月按照国家税务总局尉犁县税务局认定的11家小微企业，需退还11家企业已缴纳的不动产登记费6050元。</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AE11D6" w:rsidRDefault="00F049C8">
            <w:r>
              <w:rPr>
                <w:rFonts w:ascii="宋体" w:hAnsi="宋体"/>
                <w:sz w:val="16"/>
              </w:rPr>
              <w:t>根据《国家发改委、财政部关于不动产登记收费标准等有关问题的通知》（</w:t>
            </w:r>
            <w:proofErr w:type="gramStart"/>
            <w:r>
              <w:rPr>
                <w:rFonts w:ascii="宋体" w:hAnsi="宋体"/>
                <w:sz w:val="16"/>
              </w:rPr>
              <w:t>发改价格</w:t>
            </w:r>
            <w:proofErr w:type="gramEnd"/>
            <w:r>
              <w:rPr>
                <w:rFonts w:ascii="宋体" w:hAnsi="宋体"/>
                <w:sz w:val="16"/>
              </w:rPr>
              <w:t>[2016]2559号）和《关于印发中小企业划型标准规定的通知》（工信部联企业[2011]300号）的规定，2024年7月按照国家税务总局尉犁县税务局认定的11家小微企业，已退还11家企业已缴纳的不动产登记费6050元，有效改善了我县的营商环境。</w:t>
            </w:r>
          </w:p>
        </w:tc>
      </w:tr>
      <w:tr w:rsidR="00AE11D6">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偏差原因分析及改进措施</w:t>
            </w:r>
          </w:p>
        </w:tc>
      </w:tr>
      <w:tr w:rsidR="00AE11D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退还不动产登记费涉及企业家数</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=11个</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=11个</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涉及收费事项</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=1项</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=1项</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退费精准</w:t>
            </w:r>
            <w:r>
              <w:rPr>
                <w:rFonts w:ascii="宋体" w:hAnsi="宋体"/>
                <w:sz w:val="16"/>
              </w:rPr>
              <w:lastRenderedPageBreak/>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w:t>
            </w:r>
            <w:proofErr w:type="gramStart"/>
            <w:r>
              <w:rPr>
                <w:rFonts w:ascii="宋体" w:hAnsi="宋体"/>
                <w:sz w:val="16"/>
              </w:rPr>
              <w:lastRenderedPageBreak/>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退费及时率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国有建设用地使用权首次登记退费</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&lt;=0.50万元</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=0.5万元</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其他登记退费</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&lt;=0.11万元</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=0.11万元</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改善营商环境</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有效改善</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2528" w:type="dxa"/>
            <w:gridSpan w:val="4"/>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AE11D6" w:rsidRDefault="00AE11D6"/>
        </w:tc>
      </w:tr>
    </w:tbl>
    <w:p w:rsidR="00AE11D6" w:rsidRDefault="00F049C8">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632"/>
        <w:gridCol w:w="696"/>
        <w:gridCol w:w="632"/>
      </w:tblGrid>
      <w:tr w:rsidR="00AE11D6">
        <w:tc>
          <w:tcPr>
            <w:tcW w:w="8848" w:type="dxa"/>
            <w:gridSpan w:val="14"/>
            <w:vAlign w:val="center"/>
          </w:tcPr>
          <w:p w:rsidR="00AE11D6" w:rsidRDefault="00F049C8">
            <w:pPr>
              <w:jc w:val="center"/>
            </w:pPr>
            <w:r>
              <w:rPr>
                <w:rFonts w:ascii="宋体" w:hAnsi="宋体"/>
                <w:sz w:val="24"/>
              </w:rPr>
              <w:lastRenderedPageBreak/>
              <w:t>项目支出绩效自评表</w:t>
            </w:r>
          </w:p>
        </w:tc>
      </w:tr>
      <w:tr w:rsidR="00AE11D6">
        <w:tc>
          <w:tcPr>
            <w:tcW w:w="8848" w:type="dxa"/>
            <w:gridSpan w:val="14"/>
            <w:vAlign w:val="center"/>
          </w:tcPr>
          <w:p w:rsidR="00AE11D6" w:rsidRDefault="00F049C8">
            <w:pPr>
              <w:jc w:val="center"/>
            </w:pPr>
            <w:r>
              <w:rPr>
                <w:rFonts w:ascii="宋体" w:hAnsi="宋体"/>
                <w:sz w:val="24"/>
              </w:rPr>
              <w:t>(2024年度)</w:t>
            </w:r>
          </w:p>
        </w:tc>
      </w:tr>
      <w:tr w:rsidR="00AE11D6">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尉犁县国土空间总体规划（2020-2035）编制项目</w:t>
            </w:r>
          </w:p>
        </w:tc>
      </w:tr>
      <w:tr w:rsidR="00AE11D6">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尉犁县自然资源局</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尉犁县自然资源局</w:t>
            </w:r>
          </w:p>
        </w:tc>
      </w:tr>
      <w:tr w:rsidR="00AE11D6">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得分</w:t>
            </w:r>
          </w:p>
        </w:tc>
      </w:tr>
      <w:tr w:rsidR="00AE11D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10.00</w:t>
            </w: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r>
      <w:tr w:rsidR="00AE11D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总体目标完成情况</w:t>
            </w: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AE11D6" w:rsidRDefault="00F049C8">
            <w:r>
              <w:rPr>
                <w:rFonts w:ascii="宋体" w:hAnsi="宋体"/>
                <w:sz w:val="16"/>
              </w:rPr>
              <w:t>根据国家和自治区的统一部署，尉犁县人民政府组织开展了《尉犁县国土空间总体规划（2021-2035年）》的编制工作。为加快我县国土空间规划编制规程，需由两个设计单位完成尉犁县国土空间规划的规划编制工作，提交规划文本及数据库成果各10套、规划图件10套、规划说明及专题研究报告等资料各10套、电子版成果1个，使数据成果的准确率达到100%。</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AE11D6" w:rsidRDefault="00F049C8">
            <w:r>
              <w:rPr>
                <w:rFonts w:ascii="宋体" w:hAnsi="宋体"/>
                <w:sz w:val="16"/>
              </w:rPr>
              <w:t>已完成尉犁县国土空间规划的规划编制工作，提交规划文本及数据库成果各10套、规划图件10套、规划说明及专题研究报告等资料各10套、电子版成果1个，数据成果的准确率达到100%。</w:t>
            </w:r>
          </w:p>
        </w:tc>
      </w:tr>
      <w:tr w:rsidR="00AE11D6">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偏差原因分析及改进措施</w:t>
            </w:r>
          </w:p>
        </w:tc>
      </w:tr>
      <w:tr w:rsidR="00AE11D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规划文本及数据库</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=10套</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=10套</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规划图件</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=10套</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=10套</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规划说明及专题研究报</w:t>
            </w:r>
            <w:r>
              <w:rPr>
                <w:rFonts w:ascii="宋体" w:hAnsi="宋体"/>
                <w:sz w:val="16"/>
              </w:rPr>
              <w:lastRenderedPageBreak/>
              <w:t>告等资料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lastRenderedPageBreak/>
              <w:t>=10套</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=10套</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电子版成果</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数据库成果准确率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规划编制完成及时率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规划设计人</w:t>
            </w:r>
            <w:proofErr w:type="gramStart"/>
            <w:r>
              <w:rPr>
                <w:rFonts w:ascii="宋体" w:hAnsi="宋体"/>
                <w:sz w:val="16"/>
              </w:rPr>
              <w:t>一</w:t>
            </w:r>
            <w:proofErr w:type="gramEnd"/>
            <w:r>
              <w:rPr>
                <w:rFonts w:ascii="宋体" w:hAnsi="宋体"/>
                <w:sz w:val="16"/>
              </w:rPr>
              <w:t>设计费</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&lt;=30万元</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=30万元</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为县域国土空间保护、开发利用提供依据</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有效</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2528" w:type="dxa"/>
            <w:gridSpan w:val="4"/>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AE11D6" w:rsidRDefault="00AE11D6"/>
        </w:tc>
      </w:tr>
    </w:tbl>
    <w:p w:rsidR="00AE11D6" w:rsidRDefault="00F049C8">
      <w:r>
        <w:br w:type="page"/>
      </w:r>
    </w:p>
    <w:tbl>
      <w:tblPr>
        <w:tblW w:w="0" w:type="auto"/>
        <w:tblLook w:val="04A0" w:firstRow="1" w:lastRow="0" w:firstColumn="1" w:lastColumn="0" w:noHBand="0" w:noVBand="1"/>
      </w:tblPr>
      <w:tblGrid>
        <w:gridCol w:w="632"/>
        <w:gridCol w:w="632"/>
        <w:gridCol w:w="632"/>
        <w:gridCol w:w="696"/>
        <w:gridCol w:w="632"/>
        <w:gridCol w:w="632"/>
        <w:gridCol w:w="632"/>
        <w:gridCol w:w="632"/>
        <w:gridCol w:w="632"/>
        <w:gridCol w:w="632"/>
        <w:gridCol w:w="632"/>
        <w:gridCol w:w="632"/>
        <w:gridCol w:w="696"/>
        <w:gridCol w:w="632"/>
      </w:tblGrid>
      <w:tr w:rsidR="00AE11D6">
        <w:tc>
          <w:tcPr>
            <w:tcW w:w="8848" w:type="dxa"/>
            <w:gridSpan w:val="14"/>
            <w:vAlign w:val="center"/>
          </w:tcPr>
          <w:p w:rsidR="00AE11D6" w:rsidRDefault="00F049C8">
            <w:pPr>
              <w:jc w:val="center"/>
            </w:pPr>
            <w:r>
              <w:rPr>
                <w:rFonts w:ascii="宋体" w:hAnsi="宋体"/>
                <w:sz w:val="24"/>
              </w:rPr>
              <w:lastRenderedPageBreak/>
              <w:t>项目支出绩效自评表</w:t>
            </w:r>
          </w:p>
        </w:tc>
      </w:tr>
      <w:tr w:rsidR="00AE11D6">
        <w:tc>
          <w:tcPr>
            <w:tcW w:w="8848" w:type="dxa"/>
            <w:gridSpan w:val="14"/>
            <w:vAlign w:val="center"/>
          </w:tcPr>
          <w:p w:rsidR="00AE11D6" w:rsidRDefault="00F049C8">
            <w:pPr>
              <w:jc w:val="center"/>
            </w:pPr>
            <w:r>
              <w:rPr>
                <w:rFonts w:ascii="宋体" w:hAnsi="宋体"/>
                <w:sz w:val="24"/>
              </w:rPr>
              <w:t>(2024年度)</w:t>
            </w:r>
          </w:p>
        </w:tc>
      </w:tr>
      <w:tr w:rsidR="00AE11D6">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乡镇国土空间规划和村庄规划编制项目</w:t>
            </w:r>
          </w:p>
        </w:tc>
      </w:tr>
      <w:tr w:rsidR="00AE11D6">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尉犁县自然资源局</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尉犁县自然资源局</w:t>
            </w:r>
          </w:p>
        </w:tc>
      </w:tr>
      <w:tr w:rsidR="00AE11D6">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得分</w:t>
            </w:r>
          </w:p>
        </w:tc>
      </w:tr>
      <w:tr w:rsidR="00AE11D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268.00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268.00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268.00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10.00</w:t>
            </w: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268.00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268.00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268.00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r>
      <w:tr w:rsidR="00AE11D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总体目标完成情况</w:t>
            </w: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AE11D6" w:rsidRDefault="00F049C8">
            <w:r>
              <w:rPr>
                <w:rFonts w:ascii="宋体" w:hAnsi="宋体"/>
                <w:sz w:val="16"/>
              </w:rPr>
              <w:t>按照建立我县“两级三类”国土空间规划体系的要求，根据自治州党委、自治州人民政府关于全面推进乡村振兴，加快农业农村现代化的实施方案，不断推进乡镇级国土空间规划和“多规合一”实用性村庄规划的编制工作，使我县乡村振兴、村庄建设工作有章可循，2024年度需完成6个乡镇国土空间规划和39个行政村的规划编制工作，提交乡（镇）规划成果6套、提交行政村规划成果35套，使数据成果的准确率达到100%。</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AE11D6" w:rsidRDefault="00F049C8">
            <w:r>
              <w:rPr>
                <w:rFonts w:ascii="宋体" w:hAnsi="宋体"/>
                <w:sz w:val="16"/>
              </w:rPr>
              <w:t>按照建立我县“两级三类”国土空间规划体系的要求，根据自治州党委、自治州人民政府关于全面推进乡村振兴，加快农业农村现代化的实施方案，不断推进乡镇级国土空间规划和“多规合一”实用性村庄规划的编制工作，使我县乡村振兴、村庄建设工作有章可循，2024年度已完成6个乡镇国土空间规划和39个行政村的规划编制工作，提交乡（镇）规划成果6套、提交行政村规划成果35套，使数据成果的准确率达到100%，资金268万元已全部支付完毕，有效推动了我县乡村振兴和生态文明建设工作。</w:t>
            </w:r>
          </w:p>
        </w:tc>
      </w:tr>
      <w:tr w:rsidR="00AE11D6">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偏差原因分析及改进措施</w:t>
            </w:r>
          </w:p>
        </w:tc>
      </w:tr>
      <w:tr w:rsidR="00AE11D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提交乡（镇）规划成果</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=6套</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=6套</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提交行政村规划成果</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=35套</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=35套</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提交电子数据</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=2套</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w:t>
            </w:r>
            <w:proofErr w:type="gramStart"/>
            <w:r>
              <w:rPr>
                <w:rFonts w:ascii="宋体" w:hAnsi="宋体"/>
                <w:sz w:val="16"/>
              </w:rPr>
              <w:lastRenderedPageBreak/>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=2套</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规划编制涉及乡（镇）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=6个</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=6个</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规划编制涉及行政村</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=39个</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=39个</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数据库成果准确率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规划编制技术服务费</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&lt;=268万元</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=268万元</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经济效益指标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推动乡村振兴</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有效推动</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推进生态文明建设</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有效推进</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2528" w:type="dxa"/>
            <w:gridSpan w:val="4"/>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AE11D6" w:rsidRDefault="00AE11D6"/>
        </w:tc>
      </w:tr>
    </w:tbl>
    <w:p w:rsidR="00AE11D6" w:rsidRDefault="00F049C8">
      <w:r>
        <w:br w:type="page"/>
      </w:r>
    </w:p>
    <w:tbl>
      <w:tblPr>
        <w:tblW w:w="0" w:type="auto"/>
        <w:tblLook w:val="04A0" w:firstRow="1" w:lastRow="0" w:firstColumn="1" w:lastColumn="0" w:noHBand="0" w:noVBand="1"/>
      </w:tblPr>
      <w:tblGrid>
        <w:gridCol w:w="611"/>
        <w:gridCol w:w="572"/>
        <w:gridCol w:w="572"/>
        <w:gridCol w:w="572"/>
        <w:gridCol w:w="856"/>
        <w:gridCol w:w="587"/>
        <w:gridCol w:w="581"/>
        <w:gridCol w:w="595"/>
        <w:gridCol w:w="574"/>
        <w:gridCol w:w="572"/>
        <w:gridCol w:w="936"/>
        <w:gridCol w:w="776"/>
        <w:gridCol w:w="628"/>
        <w:gridCol w:w="628"/>
      </w:tblGrid>
      <w:tr w:rsidR="00AE11D6">
        <w:tc>
          <w:tcPr>
            <w:tcW w:w="8848" w:type="dxa"/>
            <w:gridSpan w:val="14"/>
            <w:vAlign w:val="center"/>
          </w:tcPr>
          <w:p w:rsidR="00AE11D6" w:rsidRDefault="00F049C8">
            <w:pPr>
              <w:jc w:val="center"/>
            </w:pPr>
            <w:r>
              <w:rPr>
                <w:rFonts w:ascii="宋体" w:hAnsi="宋体"/>
                <w:sz w:val="24"/>
              </w:rPr>
              <w:lastRenderedPageBreak/>
              <w:t>项目支出绩效自评表</w:t>
            </w:r>
          </w:p>
        </w:tc>
      </w:tr>
      <w:tr w:rsidR="00AE11D6">
        <w:tc>
          <w:tcPr>
            <w:tcW w:w="8848" w:type="dxa"/>
            <w:gridSpan w:val="14"/>
            <w:vAlign w:val="center"/>
          </w:tcPr>
          <w:p w:rsidR="00AE11D6" w:rsidRDefault="00F049C8">
            <w:pPr>
              <w:jc w:val="center"/>
            </w:pPr>
            <w:r>
              <w:rPr>
                <w:rFonts w:ascii="宋体" w:hAnsi="宋体"/>
                <w:sz w:val="24"/>
              </w:rPr>
              <w:t>(2024年度)</w:t>
            </w:r>
          </w:p>
        </w:tc>
      </w:tr>
      <w:tr w:rsidR="00AE11D6">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2023年中央土地指标跨省域调剂收入-古勒巴格乡直属土地开发项目（结转）</w:t>
            </w:r>
          </w:p>
        </w:tc>
      </w:tr>
      <w:tr w:rsidR="00AE11D6">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尉犁县自然资源局</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尉犁县自然资源局</w:t>
            </w:r>
          </w:p>
        </w:tc>
      </w:tr>
      <w:tr w:rsidR="00AE11D6">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得分</w:t>
            </w:r>
          </w:p>
        </w:tc>
      </w:tr>
      <w:tr w:rsidR="00AE11D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2,120.28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1,629.70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1,629.70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10.00</w:t>
            </w: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2,120.28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1,629.70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1,629.70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r>
      <w:tr w:rsidR="00AE11D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总体目标完成情况</w:t>
            </w: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AE11D6" w:rsidRDefault="00F049C8">
            <w:r>
              <w:rPr>
                <w:rFonts w:ascii="宋体" w:hAnsi="宋体"/>
                <w:sz w:val="16"/>
              </w:rPr>
              <w:t>1、巩固拓展脱贫攻坚成果和支持乡村振兴战略，优先用于高标准农田建设等补充耕地任务。                      2、项目区内未利用地开发新增耕地面积至少达到6000亩。 3、项目区内新增防护林绿化率达到新增耕地面积的12%。</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AE11D6" w:rsidRDefault="00F049C8">
            <w:r>
              <w:rPr>
                <w:rFonts w:ascii="宋体" w:hAnsi="宋体"/>
                <w:sz w:val="16"/>
              </w:rPr>
              <w:t>1、完成项目区内高标准农田建设等补充耕地任务</w:t>
            </w:r>
            <w:r>
              <w:rPr>
                <w:rFonts w:ascii="宋体" w:hAnsi="宋体"/>
                <w:sz w:val="16"/>
              </w:rPr>
              <w:br/>
              <w:t>2、完成项目区内未利用地开发新增耕地面积为6098.703亩；</w:t>
            </w:r>
            <w:r>
              <w:rPr>
                <w:rFonts w:ascii="宋体" w:hAnsi="宋体"/>
                <w:sz w:val="16"/>
              </w:rPr>
              <w:br/>
              <w:t>3、项目区内新增防护林绿化率达到新增耕地面积的12%。粮食产能达到80万公斤，耕地质量得到有效提升。</w:t>
            </w:r>
          </w:p>
        </w:tc>
      </w:tr>
      <w:tr w:rsidR="00AE11D6">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偏差原因分析及改进措施</w:t>
            </w:r>
          </w:p>
        </w:tc>
      </w:tr>
      <w:tr w:rsidR="00AE11D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新增耕地面积</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&gt;=6000亩</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=6098.703亩</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101.65%</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7.87</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年初设定预期目标偏低，设置指标不精准；措施：加强项目绩效目标设置，合</w:t>
            </w:r>
            <w:r>
              <w:rPr>
                <w:rFonts w:ascii="宋体" w:hAnsi="宋体"/>
                <w:sz w:val="16"/>
              </w:rPr>
              <w:lastRenderedPageBreak/>
              <w:t>理设定预期目标</w:t>
            </w: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新增粮食产能</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&gt;=80万公斤</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=80万公斤</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新增防护林绿化率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&gt;=12%</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=12%</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项目验收合格率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7.58</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本项目资金拨付进度及实施进度正常开展，项目目前已经完工，正在组织竣工验收及工程结算审计。下一步工作措施：加快项目验收进度，</w:t>
            </w:r>
            <w:r>
              <w:rPr>
                <w:rFonts w:ascii="宋体" w:hAnsi="宋体"/>
                <w:sz w:val="16"/>
              </w:rPr>
              <w:lastRenderedPageBreak/>
              <w:t>达成目标。</w:t>
            </w: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项目完工及时率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7.58</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本项目资金拨付进度及实施进度正常开展，项目目前已经完工</w:t>
            </w: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新增耕地平均补助标准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=2716.17元/亩</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=2672.21元/亩</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98.38%</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19.19</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加强项目绩效目标设置，合理设定预期目标</w:t>
            </w: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粮食综合生产能力</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有所提升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耕地质量</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有所提升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受益群体满意度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2528" w:type="dxa"/>
            <w:gridSpan w:val="4"/>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98.22分</w:t>
            </w:r>
          </w:p>
        </w:tc>
        <w:tc>
          <w:tcPr>
            <w:tcW w:w="632" w:type="dxa"/>
            <w:tcBorders>
              <w:top w:val="single" w:sz="10" w:space="0" w:color="auto"/>
              <w:left w:val="single" w:sz="10" w:space="0" w:color="auto"/>
              <w:bottom w:val="single" w:sz="10" w:space="0" w:color="auto"/>
              <w:right w:val="single" w:sz="10" w:space="0" w:color="auto"/>
            </w:tcBorders>
          </w:tcPr>
          <w:p w:rsidR="00AE11D6" w:rsidRDefault="00AE11D6"/>
        </w:tc>
      </w:tr>
    </w:tbl>
    <w:p w:rsidR="00AE11D6" w:rsidRDefault="00F049C8">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776"/>
        <w:gridCol w:w="632"/>
        <w:gridCol w:w="632"/>
      </w:tblGrid>
      <w:tr w:rsidR="00AE11D6">
        <w:tc>
          <w:tcPr>
            <w:tcW w:w="8848" w:type="dxa"/>
            <w:gridSpan w:val="14"/>
            <w:vAlign w:val="center"/>
          </w:tcPr>
          <w:p w:rsidR="00AE11D6" w:rsidRDefault="00F049C8">
            <w:pPr>
              <w:jc w:val="center"/>
            </w:pPr>
            <w:r>
              <w:rPr>
                <w:rFonts w:ascii="宋体" w:hAnsi="宋体"/>
                <w:sz w:val="24"/>
              </w:rPr>
              <w:lastRenderedPageBreak/>
              <w:t>项目支出绩效自评表</w:t>
            </w:r>
          </w:p>
        </w:tc>
      </w:tr>
      <w:tr w:rsidR="00AE11D6">
        <w:tc>
          <w:tcPr>
            <w:tcW w:w="8848" w:type="dxa"/>
            <w:gridSpan w:val="14"/>
            <w:vAlign w:val="center"/>
          </w:tcPr>
          <w:p w:rsidR="00AE11D6" w:rsidRDefault="00F049C8">
            <w:pPr>
              <w:jc w:val="center"/>
            </w:pPr>
            <w:r>
              <w:rPr>
                <w:rFonts w:ascii="宋体" w:hAnsi="宋体"/>
                <w:sz w:val="24"/>
              </w:rPr>
              <w:t>(2024年度)</w:t>
            </w:r>
          </w:p>
        </w:tc>
      </w:tr>
      <w:tr w:rsidR="00AE11D6">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园地、林地、草地定级与基准地价制订工作项目</w:t>
            </w:r>
          </w:p>
        </w:tc>
      </w:tr>
      <w:tr w:rsidR="00AE11D6">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尉犁县自然资源局</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尉犁县自然资源局</w:t>
            </w:r>
          </w:p>
        </w:tc>
      </w:tr>
      <w:tr w:rsidR="00AE11D6">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得分</w:t>
            </w:r>
          </w:p>
        </w:tc>
      </w:tr>
      <w:tr w:rsidR="00AE11D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48.83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10.00</w:t>
            </w: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48.83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r>
      <w:tr w:rsidR="00AE11D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总体目标完成情况</w:t>
            </w: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AE11D6" w:rsidRDefault="00F049C8">
            <w:r>
              <w:rPr>
                <w:rFonts w:ascii="宋体" w:hAnsi="宋体"/>
                <w:sz w:val="16"/>
              </w:rPr>
              <w:t>按照《自然资源部办公厅关于做好2022年度自然资源评价评估工作的通知》（自然资办发〔2022〕13号）及《自然资源部办公厅关于做好园地林地草地定级和基准地价制定有关工作的通知》（自然资办函〔2023〕399号）要求，加快建立健全尉犁县自然资源分等定级和价格评估体系，2024年需完成本县园地、林地、草地定级与基准地价制定工作，提交文字报告书及表格成果各4套、提交电子数据库1套、提交图件成果2套，数据库准确率达到100%。</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AE11D6" w:rsidRDefault="00F049C8">
            <w:r>
              <w:rPr>
                <w:rFonts w:ascii="宋体" w:hAnsi="宋体"/>
                <w:sz w:val="16"/>
              </w:rPr>
              <w:t>2024年已完成本县园地、林地、草地定级与基准地价制定工作，提交文字报告书及表格成果各4套、提交电子数据库1套、提交图件成果2套，数据库准确率达到100%。</w:t>
            </w:r>
          </w:p>
        </w:tc>
      </w:tr>
      <w:tr w:rsidR="00AE11D6">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偏差原因分析及改进措施</w:t>
            </w:r>
          </w:p>
        </w:tc>
      </w:tr>
      <w:tr w:rsidR="00AE11D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提交文字报告书数量</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=4项</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=4项</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提交图件成果套数</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=2套</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=2套</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提交表格成果</w:t>
            </w:r>
            <w:r>
              <w:rPr>
                <w:rFonts w:ascii="宋体" w:hAnsi="宋体"/>
                <w:sz w:val="16"/>
              </w:rPr>
              <w:lastRenderedPageBreak/>
              <w:t>套数</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lastRenderedPageBreak/>
              <w:t>=4套</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w:t>
            </w:r>
            <w:proofErr w:type="gramStart"/>
            <w:r>
              <w:rPr>
                <w:rFonts w:ascii="宋体" w:hAnsi="宋体"/>
                <w:sz w:val="16"/>
              </w:rPr>
              <w:t>比例</w:t>
            </w:r>
            <w:r>
              <w:rPr>
                <w:rFonts w:ascii="宋体" w:hAnsi="宋体"/>
                <w:sz w:val="16"/>
              </w:rPr>
              <w:lastRenderedPageBreak/>
              <w:t>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=4套</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电子数据库套数</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=4套</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=4套</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数据库准确率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项目完成及时率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9.47</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年初预期指标设置较低，项目按照计划已完成</w:t>
            </w: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园地定级与基准地价制订费用</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&lt;=15万元</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=15万元</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加强自然资源保护与合理开发利用</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效果显著</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2528" w:type="dxa"/>
            <w:gridSpan w:val="4"/>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99.47分</w:t>
            </w:r>
          </w:p>
        </w:tc>
        <w:tc>
          <w:tcPr>
            <w:tcW w:w="632" w:type="dxa"/>
            <w:tcBorders>
              <w:top w:val="single" w:sz="10" w:space="0" w:color="auto"/>
              <w:left w:val="single" w:sz="10" w:space="0" w:color="auto"/>
              <w:bottom w:val="single" w:sz="10" w:space="0" w:color="auto"/>
              <w:right w:val="single" w:sz="10" w:space="0" w:color="auto"/>
            </w:tcBorders>
          </w:tcPr>
          <w:p w:rsidR="00AE11D6" w:rsidRDefault="00AE11D6"/>
        </w:tc>
      </w:tr>
    </w:tbl>
    <w:p w:rsidR="00AE11D6" w:rsidRDefault="00F049C8">
      <w:r>
        <w:br w:type="page"/>
      </w:r>
    </w:p>
    <w:tbl>
      <w:tblPr>
        <w:tblW w:w="0" w:type="auto"/>
        <w:tblLook w:val="04A0" w:firstRow="1" w:lastRow="0" w:firstColumn="1" w:lastColumn="0" w:noHBand="0" w:noVBand="1"/>
      </w:tblPr>
      <w:tblGrid>
        <w:gridCol w:w="628"/>
        <w:gridCol w:w="623"/>
        <w:gridCol w:w="623"/>
        <w:gridCol w:w="623"/>
        <w:gridCol w:w="776"/>
        <w:gridCol w:w="623"/>
        <w:gridCol w:w="623"/>
        <w:gridCol w:w="626"/>
        <w:gridCol w:w="623"/>
        <w:gridCol w:w="623"/>
        <w:gridCol w:w="631"/>
        <w:gridCol w:w="776"/>
        <w:gridCol w:w="631"/>
        <w:gridCol w:w="631"/>
      </w:tblGrid>
      <w:tr w:rsidR="00AE11D6">
        <w:tc>
          <w:tcPr>
            <w:tcW w:w="8848" w:type="dxa"/>
            <w:gridSpan w:val="14"/>
            <w:vAlign w:val="center"/>
          </w:tcPr>
          <w:p w:rsidR="00AE11D6" w:rsidRDefault="00F049C8">
            <w:pPr>
              <w:jc w:val="center"/>
            </w:pPr>
            <w:r>
              <w:rPr>
                <w:rFonts w:ascii="宋体" w:hAnsi="宋体"/>
                <w:sz w:val="24"/>
              </w:rPr>
              <w:lastRenderedPageBreak/>
              <w:t>项目支出绩效自评表</w:t>
            </w:r>
          </w:p>
        </w:tc>
      </w:tr>
      <w:tr w:rsidR="00AE11D6">
        <w:tc>
          <w:tcPr>
            <w:tcW w:w="8848" w:type="dxa"/>
            <w:gridSpan w:val="14"/>
            <w:vAlign w:val="center"/>
          </w:tcPr>
          <w:p w:rsidR="00AE11D6" w:rsidRDefault="00F049C8">
            <w:pPr>
              <w:jc w:val="center"/>
            </w:pPr>
            <w:r>
              <w:rPr>
                <w:rFonts w:ascii="宋体" w:hAnsi="宋体"/>
                <w:sz w:val="24"/>
              </w:rPr>
              <w:t>(2024年度)</w:t>
            </w:r>
          </w:p>
        </w:tc>
      </w:tr>
      <w:tr w:rsidR="00AE11D6">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2023年度国土变更调查工作技术服务费（十三届第十一次财经会）</w:t>
            </w:r>
          </w:p>
        </w:tc>
      </w:tr>
      <w:tr w:rsidR="00AE11D6">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尉犁县自然资源局</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尉犁县自然资源局</w:t>
            </w:r>
          </w:p>
        </w:tc>
      </w:tr>
      <w:tr w:rsidR="00AE11D6">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得分</w:t>
            </w:r>
          </w:p>
        </w:tc>
      </w:tr>
      <w:tr w:rsidR="00AE11D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34.30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34.30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34.30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10.00</w:t>
            </w: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34.30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34.30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34.30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r>
      <w:tr w:rsidR="00AE11D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总体目标完成情况</w:t>
            </w: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AE11D6" w:rsidRDefault="00F049C8">
            <w:r>
              <w:rPr>
                <w:rFonts w:ascii="宋体" w:hAnsi="宋体"/>
                <w:sz w:val="16"/>
              </w:rPr>
              <w:t>根据《关于开展2023年度自治区国土变更调查工作的通知》（新自然资办发﹝2023﹞22号）文件要求，为保持第三次全国国土调查成果的现势性，掌握2023年度国土利用变化情况，进一步夯实国土调查成果作为自然资源管理工作底数、底版和底图的工作基础，有效支撑高质量发展和国土空间治理现代化，2024年度需完成尉犁县国土变更调查数据库成果1个，提交文字成果报告4项、提交表格成果16项、使数据成果的正确性达到90%以上。</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AE11D6" w:rsidRDefault="00F049C8">
            <w:r>
              <w:rPr>
                <w:rFonts w:ascii="宋体" w:hAnsi="宋体"/>
                <w:sz w:val="16"/>
              </w:rPr>
              <w:t>根据《关于开展2023年度自治区国土变更调查工作的通知》（新自然资办发﹝2023﹞22号）文件要求，为保持第三次全国国土调查成果的现势性，掌握2023年度国土利用变化情况，进一步夯实国土调查成果作为自然资源管理工作底数、底版和底图的工作基础，有效支撑高质量发展和国土空间治理现代化，2024年度完成尉犁县国土变更调查数据库成果1个，提交文字成果报告4项、提交表格成果16项、数据成果的正确性达到90%，使我县经济高质量发展得到有效支撑。</w:t>
            </w:r>
          </w:p>
        </w:tc>
      </w:tr>
      <w:tr w:rsidR="00AE11D6">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偏差原因分析及改进措施</w:t>
            </w:r>
          </w:p>
        </w:tc>
      </w:tr>
      <w:tr w:rsidR="00AE11D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提交数据库更新成果数量</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提交文字成果报告项数</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=4项</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=4项</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涉及项目个数</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提交表格成果项数</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=16项</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=16项</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数据库成果正确性</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8.89</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年度预期指标</w:t>
            </w:r>
            <w:proofErr w:type="gramStart"/>
            <w:r>
              <w:rPr>
                <w:rFonts w:ascii="宋体" w:hAnsi="宋体"/>
                <w:sz w:val="16"/>
              </w:rPr>
              <w:t>值设施</w:t>
            </w:r>
            <w:proofErr w:type="gramEnd"/>
            <w:r>
              <w:rPr>
                <w:rFonts w:ascii="宋体" w:hAnsi="宋体"/>
                <w:sz w:val="16"/>
              </w:rPr>
              <w:t>较低，完成值较好，导致数据存在偏差</w:t>
            </w: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数据库成果更新技术服务费</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&lt;=34.30万元</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=34.3万元</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经济效益指标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支撑高质量发展</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有效支撑</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2528" w:type="dxa"/>
            <w:gridSpan w:val="4"/>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98.89分</w:t>
            </w:r>
          </w:p>
        </w:tc>
        <w:tc>
          <w:tcPr>
            <w:tcW w:w="632" w:type="dxa"/>
            <w:tcBorders>
              <w:top w:val="single" w:sz="10" w:space="0" w:color="auto"/>
              <w:left w:val="single" w:sz="10" w:space="0" w:color="auto"/>
              <w:bottom w:val="single" w:sz="10" w:space="0" w:color="auto"/>
              <w:right w:val="single" w:sz="10" w:space="0" w:color="auto"/>
            </w:tcBorders>
          </w:tcPr>
          <w:p w:rsidR="00AE11D6" w:rsidRDefault="00AE11D6"/>
        </w:tc>
      </w:tr>
    </w:tbl>
    <w:p w:rsidR="00AE11D6" w:rsidRDefault="00F049C8">
      <w:r>
        <w:br w:type="page"/>
      </w:r>
    </w:p>
    <w:tbl>
      <w:tblPr>
        <w:tblW w:w="0" w:type="auto"/>
        <w:tblLook w:val="04A0" w:firstRow="1" w:lastRow="0" w:firstColumn="1" w:lastColumn="0" w:noHBand="0" w:noVBand="1"/>
      </w:tblPr>
      <w:tblGrid>
        <w:gridCol w:w="629"/>
        <w:gridCol w:w="623"/>
        <w:gridCol w:w="622"/>
        <w:gridCol w:w="628"/>
        <w:gridCol w:w="776"/>
        <w:gridCol w:w="622"/>
        <w:gridCol w:w="622"/>
        <w:gridCol w:w="625"/>
        <w:gridCol w:w="622"/>
        <w:gridCol w:w="622"/>
        <w:gridCol w:w="631"/>
        <w:gridCol w:w="776"/>
        <w:gridCol w:w="631"/>
        <w:gridCol w:w="631"/>
      </w:tblGrid>
      <w:tr w:rsidR="00AE11D6">
        <w:tc>
          <w:tcPr>
            <w:tcW w:w="8848" w:type="dxa"/>
            <w:gridSpan w:val="14"/>
            <w:vAlign w:val="center"/>
          </w:tcPr>
          <w:p w:rsidR="00AE11D6" w:rsidRDefault="00F049C8">
            <w:pPr>
              <w:jc w:val="center"/>
            </w:pPr>
            <w:r>
              <w:rPr>
                <w:rFonts w:ascii="宋体" w:hAnsi="宋体"/>
                <w:sz w:val="24"/>
              </w:rPr>
              <w:lastRenderedPageBreak/>
              <w:t>项目支出绩效自评表</w:t>
            </w:r>
          </w:p>
        </w:tc>
      </w:tr>
      <w:tr w:rsidR="00AE11D6">
        <w:tc>
          <w:tcPr>
            <w:tcW w:w="8848" w:type="dxa"/>
            <w:gridSpan w:val="14"/>
            <w:vAlign w:val="center"/>
          </w:tcPr>
          <w:p w:rsidR="00AE11D6" w:rsidRDefault="00F049C8">
            <w:pPr>
              <w:jc w:val="center"/>
            </w:pPr>
            <w:r>
              <w:rPr>
                <w:rFonts w:ascii="宋体" w:hAnsi="宋体"/>
                <w:sz w:val="24"/>
              </w:rPr>
              <w:t>(2024年度)</w:t>
            </w:r>
          </w:p>
        </w:tc>
      </w:tr>
      <w:tr w:rsidR="00AE11D6">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2023年</w:t>
            </w:r>
            <w:proofErr w:type="gramStart"/>
            <w:r>
              <w:rPr>
                <w:rFonts w:ascii="宋体" w:hAnsi="宋体"/>
                <w:sz w:val="16"/>
              </w:rPr>
              <w:t>卫片执法</w:t>
            </w:r>
            <w:proofErr w:type="gramEnd"/>
            <w:r>
              <w:rPr>
                <w:rFonts w:ascii="宋体" w:hAnsi="宋体"/>
                <w:sz w:val="16"/>
              </w:rPr>
              <w:t>工作技术服务费（十三届第十一次财经会）</w:t>
            </w:r>
          </w:p>
        </w:tc>
      </w:tr>
      <w:tr w:rsidR="00AE11D6">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尉犁县自然资源局</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尉犁县自然资源局</w:t>
            </w:r>
          </w:p>
        </w:tc>
      </w:tr>
      <w:tr w:rsidR="00AE11D6">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得分</w:t>
            </w:r>
          </w:p>
        </w:tc>
      </w:tr>
      <w:tr w:rsidR="00AE11D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29.50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29.50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29.50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10.00</w:t>
            </w: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29.50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29.50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29.50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r>
      <w:tr w:rsidR="00AE11D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总体目标完成情况</w:t>
            </w: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AE11D6" w:rsidRDefault="00F049C8">
            <w:r>
              <w:rPr>
                <w:rFonts w:ascii="宋体" w:hAnsi="宋体"/>
                <w:sz w:val="16"/>
              </w:rPr>
              <w:t>根据《关于开展2023年卫片执法工作的通知》（新</w:t>
            </w:r>
            <w:proofErr w:type="gramStart"/>
            <w:r>
              <w:rPr>
                <w:rFonts w:ascii="宋体" w:hAnsi="宋体"/>
                <w:sz w:val="16"/>
              </w:rPr>
              <w:t>自然资发〔2023〕</w:t>
            </w:r>
            <w:proofErr w:type="gramEnd"/>
            <w:r>
              <w:rPr>
                <w:rFonts w:ascii="宋体" w:hAnsi="宋体"/>
                <w:sz w:val="16"/>
              </w:rPr>
              <w:t>33号）文件要求，为全方面夯实粮食安全根基，全面落实粮食安全党政同责，牢牢守住18亿亩耕地红线，以高质量自然资源执法工作助力经济社会高质量发展和乡村振兴工作，2024年度需提交2023年</w:t>
            </w:r>
            <w:proofErr w:type="gramStart"/>
            <w:r>
              <w:rPr>
                <w:rFonts w:ascii="宋体" w:hAnsi="宋体"/>
                <w:sz w:val="16"/>
              </w:rPr>
              <w:t>卫片执法</w:t>
            </w:r>
            <w:proofErr w:type="gramEnd"/>
            <w:r>
              <w:rPr>
                <w:rFonts w:ascii="宋体" w:hAnsi="宋体"/>
                <w:sz w:val="16"/>
              </w:rPr>
              <w:t>矢量成果1套、提交表格成果4项，有力提升自然资源执法工作。</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AE11D6" w:rsidRDefault="00F049C8">
            <w:r>
              <w:rPr>
                <w:rFonts w:ascii="宋体" w:hAnsi="宋体"/>
                <w:sz w:val="16"/>
              </w:rPr>
              <w:t>根据《关于开展2023年卫片执法工作的通知》（新</w:t>
            </w:r>
            <w:proofErr w:type="gramStart"/>
            <w:r>
              <w:rPr>
                <w:rFonts w:ascii="宋体" w:hAnsi="宋体"/>
                <w:sz w:val="16"/>
              </w:rPr>
              <w:t>自然资发〔2023〕</w:t>
            </w:r>
            <w:proofErr w:type="gramEnd"/>
            <w:r>
              <w:rPr>
                <w:rFonts w:ascii="宋体" w:hAnsi="宋体"/>
                <w:sz w:val="16"/>
              </w:rPr>
              <w:t>33号）文件要求，为全方面夯实粮食安全根基，全面落实粮食安全党政同责，牢牢守住18亿亩耕地红线，以高质量自然资源执法工作助力经济社会高质量发展和乡村振兴工作，2024年度已提交2023年</w:t>
            </w:r>
            <w:proofErr w:type="gramStart"/>
            <w:r>
              <w:rPr>
                <w:rFonts w:ascii="宋体" w:hAnsi="宋体"/>
                <w:sz w:val="16"/>
              </w:rPr>
              <w:t>卫片执法</w:t>
            </w:r>
            <w:proofErr w:type="gramEnd"/>
            <w:r>
              <w:rPr>
                <w:rFonts w:ascii="宋体" w:hAnsi="宋体"/>
                <w:sz w:val="16"/>
              </w:rPr>
              <w:t>矢量成果1套、提交表格成果4项，资金已支付29.5万元，自然资源执法工作得到有力提升。</w:t>
            </w:r>
          </w:p>
        </w:tc>
      </w:tr>
      <w:tr w:rsidR="00AE11D6">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偏差原因分析及改进措施</w:t>
            </w:r>
          </w:p>
        </w:tc>
      </w:tr>
      <w:tr w:rsidR="00AE11D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提交2023年</w:t>
            </w:r>
            <w:proofErr w:type="gramStart"/>
            <w:r>
              <w:rPr>
                <w:rFonts w:ascii="宋体" w:hAnsi="宋体"/>
                <w:sz w:val="16"/>
              </w:rPr>
              <w:t>卫片执法</w:t>
            </w:r>
            <w:proofErr w:type="gramEnd"/>
            <w:r>
              <w:rPr>
                <w:rFonts w:ascii="宋体" w:hAnsi="宋体"/>
                <w:sz w:val="16"/>
              </w:rPr>
              <w:t>矢量成果数量</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提交表格成果项数</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=4项</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=4项</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涉及项目个数</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数据库成果准确率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7.11</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年初预期指标值设置较低，数据库成果数据准确，导致存在偏差</w:t>
            </w: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proofErr w:type="gramStart"/>
            <w:r>
              <w:rPr>
                <w:rFonts w:ascii="宋体" w:hAnsi="宋体"/>
                <w:sz w:val="16"/>
              </w:rPr>
              <w:t>卫片执法</w:t>
            </w:r>
            <w:proofErr w:type="gramEnd"/>
            <w:r>
              <w:rPr>
                <w:rFonts w:ascii="宋体" w:hAnsi="宋体"/>
                <w:sz w:val="16"/>
              </w:rPr>
              <w:t>矢量成果技术服务费</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&lt;=29.50万元</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=29.5万元</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自然资源执法工作</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有力提升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2528" w:type="dxa"/>
            <w:gridSpan w:val="4"/>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99.11分</w:t>
            </w:r>
          </w:p>
        </w:tc>
        <w:tc>
          <w:tcPr>
            <w:tcW w:w="632" w:type="dxa"/>
            <w:tcBorders>
              <w:top w:val="single" w:sz="10" w:space="0" w:color="auto"/>
              <w:left w:val="single" w:sz="10" w:space="0" w:color="auto"/>
              <w:bottom w:val="single" w:sz="10" w:space="0" w:color="auto"/>
              <w:right w:val="single" w:sz="10" w:space="0" w:color="auto"/>
            </w:tcBorders>
          </w:tcPr>
          <w:p w:rsidR="00AE11D6" w:rsidRDefault="00AE11D6"/>
        </w:tc>
      </w:tr>
    </w:tbl>
    <w:p w:rsidR="00AE11D6" w:rsidRDefault="00F049C8">
      <w:r>
        <w:br w:type="page"/>
      </w:r>
    </w:p>
    <w:tbl>
      <w:tblPr>
        <w:tblW w:w="0" w:type="auto"/>
        <w:tblLook w:val="04A0" w:firstRow="1" w:lastRow="0" w:firstColumn="1" w:lastColumn="0" w:noHBand="0" w:noVBand="1"/>
      </w:tblPr>
      <w:tblGrid>
        <w:gridCol w:w="623"/>
        <w:gridCol w:w="607"/>
        <w:gridCol w:w="606"/>
        <w:gridCol w:w="606"/>
        <w:gridCol w:w="776"/>
        <w:gridCol w:w="606"/>
        <w:gridCol w:w="606"/>
        <w:gridCol w:w="614"/>
        <w:gridCol w:w="606"/>
        <w:gridCol w:w="606"/>
        <w:gridCol w:w="856"/>
        <w:gridCol w:w="696"/>
        <w:gridCol w:w="630"/>
        <w:gridCol w:w="622"/>
      </w:tblGrid>
      <w:tr w:rsidR="00AE11D6">
        <w:tc>
          <w:tcPr>
            <w:tcW w:w="8848" w:type="dxa"/>
            <w:gridSpan w:val="14"/>
            <w:vAlign w:val="center"/>
          </w:tcPr>
          <w:p w:rsidR="00AE11D6" w:rsidRDefault="00F049C8">
            <w:pPr>
              <w:jc w:val="center"/>
            </w:pPr>
            <w:r>
              <w:rPr>
                <w:rFonts w:ascii="宋体" w:hAnsi="宋体"/>
                <w:sz w:val="24"/>
              </w:rPr>
              <w:lastRenderedPageBreak/>
              <w:t>项目支出绩效自评表</w:t>
            </w:r>
          </w:p>
        </w:tc>
      </w:tr>
      <w:tr w:rsidR="00AE11D6">
        <w:tc>
          <w:tcPr>
            <w:tcW w:w="8848" w:type="dxa"/>
            <w:gridSpan w:val="14"/>
            <w:vAlign w:val="center"/>
          </w:tcPr>
          <w:p w:rsidR="00AE11D6" w:rsidRDefault="00F049C8">
            <w:pPr>
              <w:jc w:val="center"/>
            </w:pPr>
            <w:r>
              <w:rPr>
                <w:rFonts w:ascii="宋体" w:hAnsi="宋体"/>
                <w:sz w:val="24"/>
              </w:rPr>
              <w:t>(2024年度)</w:t>
            </w:r>
          </w:p>
        </w:tc>
      </w:tr>
      <w:tr w:rsidR="00AE11D6">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2024年宣传制作费（自有资金）</w:t>
            </w:r>
          </w:p>
        </w:tc>
      </w:tr>
      <w:tr w:rsidR="00AE11D6">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尉犁县自然资源局</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尉犁县自然资源局</w:t>
            </w:r>
          </w:p>
        </w:tc>
      </w:tr>
      <w:tr w:rsidR="00AE11D6">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得分</w:t>
            </w:r>
          </w:p>
        </w:tc>
      </w:tr>
      <w:tr w:rsidR="00AE11D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2.82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94.00%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8.50</w:t>
            </w: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r>
      <w:tr w:rsidR="00AE11D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总体目标完成情况</w:t>
            </w: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AE11D6" w:rsidRDefault="00F049C8">
            <w:r>
              <w:rPr>
                <w:rFonts w:ascii="宋体" w:hAnsi="宋体"/>
                <w:sz w:val="16"/>
              </w:rPr>
              <w:t>完成楼梯文化、形象墙集成墙板、党员活动中心文化墙等宣传制作工作。</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AE11D6" w:rsidRDefault="00F049C8">
            <w:r>
              <w:rPr>
                <w:rFonts w:ascii="宋体" w:hAnsi="宋体"/>
                <w:sz w:val="16"/>
              </w:rPr>
              <w:t>完成6组楼梯文化、44平方米形象墙集成墙板、38.62平方米党员活动中心文化墙等宣传制作工作，总计支付资金项目验收合格率、项目完成及时率均达到100%，有效加强自然资源政策宣传。</w:t>
            </w:r>
          </w:p>
        </w:tc>
      </w:tr>
      <w:tr w:rsidR="00AE11D6">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偏差原因分析及改进措施</w:t>
            </w:r>
          </w:p>
        </w:tc>
      </w:tr>
      <w:tr w:rsidR="00AE11D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楼梯文化宣传制作数量</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=6组</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=6组</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制作形象墙集成墙板面积</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=44平方米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=44平方米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制作党员活动中心文化</w:t>
            </w:r>
            <w:proofErr w:type="gramStart"/>
            <w:r>
              <w:rPr>
                <w:rFonts w:ascii="宋体" w:hAnsi="宋体"/>
                <w:sz w:val="16"/>
              </w:rPr>
              <w:lastRenderedPageBreak/>
              <w:t>墙面积</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lastRenderedPageBreak/>
              <w:t>=38.62平方米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=38.62平方米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项目验收合格率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项目完成及时率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楼梯文化宣传制作成本</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&lt;=7200元</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=6768元</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94%</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5.95</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采购存在优惠率</w:t>
            </w: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制作形象墙集成墙板成本</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&lt;=12760元</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=11994.4元</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94%</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5.95</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采购存在优惠率</w:t>
            </w: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制作党员活动中心文化</w:t>
            </w:r>
            <w:proofErr w:type="gramStart"/>
            <w:r>
              <w:rPr>
                <w:rFonts w:ascii="宋体" w:hAnsi="宋体"/>
                <w:sz w:val="16"/>
              </w:rPr>
              <w:t>墙成本</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&lt;=10040元</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=9437.6元</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93.99%</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5.1</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采购存在优惠率</w:t>
            </w: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加强自然资源政策宣传</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有效</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2528" w:type="dxa"/>
            <w:gridSpan w:val="4"/>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96.04分</w:t>
            </w:r>
          </w:p>
        </w:tc>
        <w:tc>
          <w:tcPr>
            <w:tcW w:w="632" w:type="dxa"/>
            <w:tcBorders>
              <w:top w:val="single" w:sz="10" w:space="0" w:color="auto"/>
              <w:left w:val="single" w:sz="10" w:space="0" w:color="auto"/>
              <w:bottom w:val="single" w:sz="10" w:space="0" w:color="auto"/>
              <w:right w:val="single" w:sz="10" w:space="0" w:color="auto"/>
            </w:tcBorders>
          </w:tcPr>
          <w:p w:rsidR="00AE11D6" w:rsidRDefault="00AE11D6"/>
        </w:tc>
      </w:tr>
    </w:tbl>
    <w:p w:rsidR="00AE11D6" w:rsidRDefault="00F049C8">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632"/>
        <w:gridCol w:w="696"/>
        <w:gridCol w:w="632"/>
      </w:tblGrid>
      <w:tr w:rsidR="00AE11D6">
        <w:tc>
          <w:tcPr>
            <w:tcW w:w="8848" w:type="dxa"/>
            <w:gridSpan w:val="14"/>
            <w:vAlign w:val="center"/>
          </w:tcPr>
          <w:p w:rsidR="00AE11D6" w:rsidRDefault="00F049C8">
            <w:pPr>
              <w:jc w:val="center"/>
            </w:pPr>
            <w:r>
              <w:rPr>
                <w:rFonts w:ascii="宋体" w:hAnsi="宋体"/>
                <w:sz w:val="24"/>
              </w:rPr>
              <w:lastRenderedPageBreak/>
              <w:t>项目支出绩效自评表</w:t>
            </w:r>
          </w:p>
        </w:tc>
      </w:tr>
      <w:tr w:rsidR="00AE11D6">
        <w:tc>
          <w:tcPr>
            <w:tcW w:w="8848" w:type="dxa"/>
            <w:gridSpan w:val="14"/>
            <w:vAlign w:val="center"/>
          </w:tcPr>
          <w:p w:rsidR="00AE11D6" w:rsidRDefault="00F049C8">
            <w:pPr>
              <w:jc w:val="center"/>
            </w:pPr>
            <w:r>
              <w:rPr>
                <w:rFonts w:ascii="宋体" w:hAnsi="宋体"/>
                <w:sz w:val="24"/>
              </w:rPr>
              <w:t>(2024年度)</w:t>
            </w:r>
          </w:p>
        </w:tc>
      </w:tr>
      <w:tr w:rsidR="00AE11D6">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2024年自然资源局驻村工作经费</w:t>
            </w:r>
          </w:p>
        </w:tc>
      </w:tr>
      <w:tr w:rsidR="00AE11D6">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尉犁县自然资源局</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尉犁县自然资源局</w:t>
            </w:r>
          </w:p>
        </w:tc>
      </w:tr>
      <w:tr w:rsidR="00AE11D6">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得分</w:t>
            </w:r>
          </w:p>
        </w:tc>
      </w:tr>
      <w:tr w:rsidR="00AE11D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13.39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95.64%</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10.00</w:t>
            </w: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13.39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r>
      <w:tr w:rsidR="00AE11D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总体目标完成情况</w:t>
            </w: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AE11D6" w:rsidRDefault="00F049C8">
            <w:r>
              <w:rPr>
                <w:rFonts w:ascii="宋体" w:hAnsi="宋体"/>
                <w:sz w:val="16"/>
              </w:rPr>
              <w:t>开展好兴地村、</w:t>
            </w:r>
            <w:proofErr w:type="gramStart"/>
            <w:r>
              <w:rPr>
                <w:rFonts w:ascii="宋体" w:hAnsi="宋体"/>
                <w:sz w:val="16"/>
              </w:rPr>
              <w:t>琼买里</w:t>
            </w:r>
            <w:proofErr w:type="gramEnd"/>
            <w:r>
              <w:rPr>
                <w:rFonts w:ascii="宋体" w:hAnsi="宋体"/>
                <w:sz w:val="16"/>
              </w:rPr>
              <w:t>村村民的帮扶工作，为群众送信息、送服务、送温暖，为民办实事件数达到15件以上，访贫问苦162人，培养后备干部吸收新鲜血液12人，壮大党员队伍发展预备党员2人；同时保障驻村帮扶工作有序开展，驻村工作队队员工作积极性得到提高，有效推动基层工作的开展。</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AE11D6" w:rsidRDefault="00F049C8">
            <w:r>
              <w:rPr>
                <w:rFonts w:ascii="宋体" w:hAnsi="宋体"/>
                <w:sz w:val="16"/>
              </w:rPr>
              <w:t>完成兴地村、</w:t>
            </w:r>
            <w:proofErr w:type="gramStart"/>
            <w:r>
              <w:rPr>
                <w:rFonts w:ascii="宋体" w:hAnsi="宋体"/>
                <w:sz w:val="16"/>
              </w:rPr>
              <w:t>琼买里</w:t>
            </w:r>
            <w:proofErr w:type="gramEnd"/>
            <w:r>
              <w:rPr>
                <w:rFonts w:ascii="宋体" w:hAnsi="宋体"/>
                <w:sz w:val="16"/>
              </w:rPr>
              <w:t>村村民的帮扶工作，同时保障了驻村帮扶工作有序开展，驻村工作队队员工作积极性得到提高，有效推动了基层工作的开展。为群众送信息、送服务、送温暖，为民办实事件数达到15件，访贫问苦162人，培养后备干部吸收新鲜血液12人，壮大党员队伍发展预备党员2人；2个村支出13.39万元，基层工作得到了有效推动。</w:t>
            </w:r>
          </w:p>
        </w:tc>
      </w:tr>
      <w:tr w:rsidR="00AE11D6">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偏差原因分析及改进措施</w:t>
            </w:r>
          </w:p>
        </w:tc>
      </w:tr>
      <w:tr w:rsidR="00AE11D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访贫问苦人数</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=162人</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=162人</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为民办实事数量</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&gt;=15件</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=15件</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培养后备干部吸收新鲜</w:t>
            </w:r>
            <w:r>
              <w:rPr>
                <w:rFonts w:ascii="宋体" w:hAnsi="宋体"/>
                <w:sz w:val="16"/>
              </w:rPr>
              <w:lastRenderedPageBreak/>
              <w:t>血液人数</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lastRenderedPageBreak/>
              <w:t>=12人</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=12人</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壮大党员队伍发展预备党员</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=2人</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=2人</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为民办实事完成率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访贫问苦完成及时率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兴地村工作经费</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&lt;=5万元</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=4.77万元</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proofErr w:type="gramStart"/>
            <w:r>
              <w:rPr>
                <w:rFonts w:ascii="宋体" w:hAnsi="宋体"/>
                <w:sz w:val="16"/>
              </w:rPr>
              <w:t>琼买里</w:t>
            </w:r>
            <w:proofErr w:type="gramEnd"/>
            <w:r>
              <w:rPr>
                <w:rFonts w:ascii="宋体" w:hAnsi="宋体"/>
                <w:sz w:val="16"/>
              </w:rPr>
              <w:t>村工作经费</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&lt;=9万元</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=8.62万元</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推动基层工作开展</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有效推动</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村民满意度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2528" w:type="dxa"/>
            <w:gridSpan w:val="4"/>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AE11D6" w:rsidRDefault="00AE11D6"/>
        </w:tc>
      </w:tr>
    </w:tbl>
    <w:p w:rsidR="00AE11D6" w:rsidRDefault="00F049C8">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776"/>
        <w:gridCol w:w="632"/>
        <w:gridCol w:w="632"/>
      </w:tblGrid>
      <w:tr w:rsidR="00AE11D6">
        <w:tc>
          <w:tcPr>
            <w:tcW w:w="8848" w:type="dxa"/>
            <w:gridSpan w:val="14"/>
            <w:vAlign w:val="center"/>
          </w:tcPr>
          <w:p w:rsidR="00AE11D6" w:rsidRDefault="00F049C8">
            <w:pPr>
              <w:jc w:val="center"/>
            </w:pPr>
            <w:r>
              <w:rPr>
                <w:rFonts w:ascii="宋体" w:hAnsi="宋体"/>
                <w:sz w:val="24"/>
              </w:rPr>
              <w:lastRenderedPageBreak/>
              <w:t>项目支出绩效自评表</w:t>
            </w:r>
          </w:p>
        </w:tc>
      </w:tr>
      <w:tr w:rsidR="00AE11D6">
        <w:tc>
          <w:tcPr>
            <w:tcW w:w="8848" w:type="dxa"/>
            <w:gridSpan w:val="14"/>
            <w:vAlign w:val="center"/>
          </w:tcPr>
          <w:p w:rsidR="00AE11D6" w:rsidRDefault="00F049C8">
            <w:pPr>
              <w:jc w:val="center"/>
            </w:pPr>
            <w:r>
              <w:rPr>
                <w:rFonts w:ascii="宋体" w:hAnsi="宋体"/>
                <w:sz w:val="24"/>
              </w:rPr>
              <w:t>(2024年度)</w:t>
            </w:r>
          </w:p>
        </w:tc>
      </w:tr>
      <w:tr w:rsidR="00AE11D6">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不动产登记土地承包经营权系统升级改造项目</w:t>
            </w:r>
          </w:p>
        </w:tc>
      </w:tr>
      <w:tr w:rsidR="00AE11D6">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尉犁县自然资源局</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尉犁县自然资源局</w:t>
            </w:r>
          </w:p>
        </w:tc>
      </w:tr>
      <w:tr w:rsidR="00AE11D6">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得分</w:t>
            </w:r>
          </w:p>
        </w:tc>
      </w:tr>
      <w:tr w:rsidR="00AE11D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10.00</w:t>
            </w: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r>
      <w:tr w:rsidR="00AE11D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总体目标完成情况</w:t>
            </w: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AE11D6" w:rsidRDefault="00F049C8">
            <w:r>
              <w:rPr>
                <w:rFonts w:ascii="宋体" w:hAnsi="宋体"/>
                <w:sz w:val="16"/>
              </w:rPr>
              <w:t>依据自然资源部、农业农村部《关于做好不动产统一登记与土地承包合同管理工作有序衔接的通知》（</w:t>
            </w:r>
            <w:proofErr w:type="gramStart"/>
            <w:r>
              <w:rPr>
                <w:rFonts w:ascii="宋体" w:hAnsi="宋体"/>
                <w:sz w:val="16"/>
              </w:rPr>
              <w:t>自然资发〔2022〕</w:t>
            </w:r>
            <w:proofErr w:type="gramEnd"/>
            <w:r>
              <w:rPr>
                <w:rFonts w:ascii="宋体" w:hAnsi="宋体"/>
                <w:sz w:val="16"/>
              </w:rPr>
              <w:t>157号），要求土地承包经营权和土地经营权纳入不动产统一登记，在2024年年底前要完成不动产登记土地承包经营权数据整合和系统升级改造工作，提交研究开发成果交付的内容共3项、完成系统建设模块3个、提交建设成果数据库1套，数据库准确率达到100%。</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AE11D6" w:rsidRDefault="00F049C8">
            <w:r>
              <w:rPr>
                <w:rFonts w:ascii="宋体" w:hAnsi="宋体"/>
                <w:sz w:val="16"/>
              </w:rPr>
              <w:t>2024年底前已完成不动产登记土地承包经营权数据整合和系统升级改造工作，提交研究开发成果交付的内容共3项、完成系统建设模块3个、提交建设成果数据库1套，数据库准确率达到100%。</w:t>
            </w:r>
          </w:p>
        </w:tc>
      </w:tr>
      <w:tr w:rsidR="00AE11D6">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偏差原因分析及改进措施</w:t>
            </w:r>
          </w:p>
        </w:tc>
      </w:tr>
      <w:tr w:rsidR="00AE11D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提交研究开发成果交付的内容项数</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=3项</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=3项</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系统建设模块</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=3个</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=3个</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提交建设成果数据库套数</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=1套</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=1套</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数据库准确率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项目完成及时率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9.47</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年初预期指标设置较低，项目按照计划已完成</w:t>
            </w: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农村土地承包经营权数据接收入库费用</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&lt;=10万元</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=10万元</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加强自然资源保护与合理开发利用</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效果显著</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2528" w:type="dxa"/>
            <w:gridSpan w:val="4"/>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99.47分</w:t>
            </w:r>
          </w:p>
        </w:tc>
        <w:tc>
          <w:tcPr>
            <w:tcW w:w="632" w:type="dxa"/>
            <w:tcBorders>
              <w:top w:val="single" w:sz="10" w:space="0" w:color="auto"/>
              <w:left w:val="single" w:sz="10" w:space="0" w:color="auto"/>
              <w:bottom w:val="single" w:sz="10" w:space="0" w:color="auto"/>
              <w:right w:val="single" w:sz="10" w:space="0" w:color="auto"/>
            </w:tcBorders>
          </w:tcPr>
          <w:p w:rsidR="00AE11D6" w:rsidRDefault="00AE11D6"/>
        </w:tc>
      </w:tr>
    </w:tbl>
    <w:p w:rsidR="00AE11D6" w:rsidRDefault="00F049C8">
      <w:r>
        <w:lastRenderedPageBreak/>
        <w:br w:type="page"/>
      </w:r>
    </w:p>
    <w:tbl>
      <w:tblPr>
        <w:tblW w:w="0" w:type="auto"/>
        <w:tblLook w:val="04A0" w:firstRow="1" w:lastRow="0" w:firstColumn="1" w:lastColumn="0" w:noHBand="0" w:noVBand="1"/>
      </w:tblPr>
      <w:tblGrid>
        <w:gridCol w:w="625"/>
        <w:gridCol w:w="615"/>
        <w:gridCol w:w="615"/>
        <w:gridCol w:w="615"/>
        <w:gridCol w:w="776"/>
        <w:gridCol w:w="616"/>
        <w:gridCol w:w="616"/>
        <w:gridCol w:w="621"/>
        <w:gridCol w:w="616"/>
        <w:gridCol w:w="616"/>
        <w:gridCol w:w="776"/>
        <w:gridCol w:w="626"/>
        <w:gridCol w:w="696"/>
        <w:gridCol w:w="631"/>
      </w:tblGrid>
      <w:tr w:rsidR="00AE11D6">
        <w:tc>
          <w:tcPr>
            <w:tcW w:w="8848" w:type="dxa"/>
            <w:gridSpan w:val="14"/>
            <w:vAlign w:val="center"/>
          </w:tcPr>
          <w:p w:rsidR="00AE11D6" w:rsidRDefault="00F049C8">
            <w:pPr>
              <w:jc w:val="center"/>
            </w:pPr>
            <w:r>
              <w:rPr>
                <w:rFonts w:ascii="宋体" w:hAnsi="宋体"/>
                <w:sz w:val="24"/>
              </w:rPr>
              <w:lastRenderedPageBreak/>
              <w:t>项目支出绩效自评表</w:t>
            </w:r>
          </w:p>
        </w:tc>
      </w:tr>
      <w:tr w:rsidR="00AE11D6">
        <w:tc>
          <w:tcPr>
            <w:tcW w:w="8848" w:type="dxa"/>
            <w:gridSpan w:val="14"/>
            <w:vAlign w:val="center"/>
          </w:tcPr>
          <w:p w:rsidR="00AE11D6" w:rsidRDefault="00F049C8">
            <w:pPr>
              <w:jc w:val="center"/>
            </w:pPr>
            <w:r>
              <w:rPr>
                <w:rFonts w:ascii="宋体" w:hAnsi="宋体"/>
                <w:sz w:val="24"/>
              </w:rPr>
              <w:t>(2024年度)</w:t>
            </w:r>
          </w:p>
        </w:tc>
      </w:tr>
      <w:tr w:rsidR="00AE11D6">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耕地开垦费（十三届第十三次财经会）</w:t>
            </w:r>
          </w:p>
        </w:tc>
      </w:tr>
      <w:tr w:rsidR="00AE11D6">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尉犁县自然资源局</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尉犁县自然资源局</w:t>
            </w:r>
          </w:p>
        </w:tc>
      </w:tr>
      <w:tr w:rsidR="00AE11D6">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得分</w:t>
            </w:r>
          </w:p>
        </w:tc>
      </w:tr>
      <w:tr w:rsidR="00AE11D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32.61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32.61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32.61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10.00</w:t>
            </w: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32.61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32.61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32.61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r>
      <w:tr w:rsidR="00AE11D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总体目标完成情况</w:t>
            </w: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AE11D6" w:rsidRDefault="00F049C8">
            <w:r>
              <w:rPr>
                <w:rFonts w:ascii="宋体" w:hAnsi="宋体"/>
                <w:sz w:val="16"/>
              </w:rPr>
              <w:t>根据《中华人民共和国土地管理法》《新疆维吾尔自治区实施〈中华人民共和国土地管理法〉办法》等法律法规和文件的相关规定，建设项目占用耕地需缴纳耕地开垦费，按照《自治区国土资源系统土地管理</w:t>
            </w:r>
            <w:r w:rsidR="00EA193A">
              <w:rPr>
                <w:rFonts w:ascii="宋体" w:hAnsi="宋体"/>
                <w:sz w:val="16"/>
              </w:rPr>
              <w:t>行政事业性收费</w:t>
            </w:r>
            <w:r>
              <w:rPr>
                <w:rFonts w:ascii="宋体" w:hAnsi="宋体"/>
                <w:sz w:val="16"/>
              </w:rPr>
              <w:t>标准》（新计价房〔2001〕500号）文件规定，2024年7月需缴纳耕地开垦费的项目2个、涉及2个批次用地、占用耕地面积108.71亩，2024年7月31日前完成足额上缴非税的相关划转工作。</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AE11D6" w:rsidRDefault="00F049C8">
            <w:r>
              <w:rPr>
                <w:rFonts w:ascii="宋体" w:hAnsi="宋体"/>
                <w:sz w:val="16"/>
              </w:rPr>
              <w:t>根据《中华人民共和国土地管理法》《新疆维吾尔自治区实施〈中华人民共和国土地管理法〉办法》等法律法规和文件的相关规定，建设项目占用耕地需缴纳耕地开垦费，按照《自治区国土资源系统土地管理</w:t>
            </w:r>
            <w:r w:rsidR="00EA193A">
              <w:rPr>
                <w:rFonts w:ascii="宋体" w:hAnsi="宋体"/>
                <w:sz w:val="16"/>
              </w:rPr>
              <w:t>行政事业性收费</w:t>
            </w:r>
            <w:r>
              <w:rPr>
                <w:rFonts w:ascii="宋体" w:hAnsi="宋体"/>
                <w:sz w:val="16"/>
              </w:rPr>
              <w:t>标准》（新计价房〔2001〕500号）文件规定，2024年7月完成2个项目、2个批次用地、面积共108.71亩耕地开垦费的缴纳申报及划转工作。</w:t>
            </w:r>
          </w:p>
        </w:tc>
      </w:tr>
      <w:tr w:rsidR="00AE11D6">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偏差原因分析及改进措施</w:t>
            </w:r>
          </w:p>
        </w:tc>
      </w:tr>
      <w:tr w:rsidR="00AE11D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数</w:t>
            </w:r>
            <w:bookmarkStart w:id="0" w:name="_GoBack"/>
            <w:bookmarkEnd w:id="0"/>
            <w:r>
              <w:rPr>
                <w:rFonts w:ascii="宋体" w:hAnsi="宋体"/>
                <w:sz w:val="16"/>
              </w:rPr>
              <w:t>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缴纳耕地开垦费项目个数</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=2个</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=2个</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建设用地批次</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=2批次</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=2批次</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耕地占用面积</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=108.71亩</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w:t>
            </w:r>
            <w:proofErr w:type="gramStart"/>
            <w:r>
              <w:rPr>
                <w:rFonts w:ascii="宋体" w:hAnsi="宋体"/>
                <w:sz w:val="16"/>
              </w:rPr>
              <w:t>比例</w:t>
            </w:r>
            <w:r>
              <w:rPr>
                <w:rFonts w:ascii="宋体" w:hAnsi="宋体"/>
                <w:sz w:val="16"/>
              </w:rPr>
              <w:lastRenderedPageBreak/>
              <w:t>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=108.71亩</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耕地开垦费足额上缴非税完成率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耕地开垦费缴纳及时率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第一批建设用地占用耕地缴纳耕地开垦费</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&lt;=16.68万元</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=16.68万元</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第二批建设用地占用耕地缴纳耕地开垦费</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&lt;=15.93万元</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=15.93万元</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县财政收入</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增收</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2528" w:type="dxa"/>
            <w:gridSpan w:val="4"/>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AE11D6" w:rsidRDefault="00AE11D6"/>
        </w:tc>
      </w:tr>
    </w:tbl>
    <w:p w:rsidR="00AE11D6" w:rsidRDefault="00F049C8">
      <w:r>
        <w:br w:type="page"/>
      </w:r>
    </w:p>
    <w:tbl>
      <w:tblPr>
        <w:tblW w:w="0" w:type="auto"/>
        <w:tblLook w:val="04A0" w:firstRow="1" w:lastRow="0" w:firstColumn="1" w:lastColumn="0" w:noHBand="0" w:noVBand="1"/>
      </w:tblPr>
      <w:tblGrid>
        <w:gridCol w:w="627"/>
        <w:gridCol w:w="616"/>
        <w:gridCol w:w="615"/>
        <w:gridCol w:w="696"/>
        <w:gridCol w:w="776"/>
        <w:gridCol w:w="615"/>
        <w:gridCol w:w="615"/>
        <w:gridCol w:w="621"/>
        <w:gridCol w:w="615"/>
        <w:gridCol w:w="615"/>
        <w:gridCol w:w="696"/>
        <w:gridCol w:w="626"/>
        <w:gridCol w:w="696"/>
        <w:gridCol w:w="631"/>
      </w:tblGrid>
      <w:tr w:rsidR="00AE11D6">
        <w:tc>
          <w:tcPr>
            <w:tcW w:w="8848" w:type="dxa"/>
            <w:gridSpan w:val="14"/>
            <w:vAlign w:val="center"/>
          </w:tcPr>
          <w:p w:rsidR="00AE11D6" w:rsidRDefault="00F049C8">
            <w:pPr>
              <w:jc w:val="center"/>
            </w:pPr>
            <w:r>
              <w:rPr>
                <w:rFonts w:ascii="宋体" w:hAnsi="宋体"/>
                <w:sz w:val="24"/>
              </w:rPr>
              <w:lastRenderedPageBreak/>
              <w:t>项目支出绩效自评表</w:t>
            </w:r>
          </w:p>
        </w:tc>
      </w:tr>
      <w:tr w:rsidR="00AE11D6">
        <w:tc>
          <w:tcPr>
            <w:tcW w:w="8848" w:type="dxa"/>
            <w:gridSpan w:val="14"/>
            <w:vAlign w:val="center"/>
          </w:tcPr>
          <w:p w:rsidR="00AE11D6" w:rsidRDefault="00F049C8">
            <w:pPr>
              <w:jc w:val="center"/>
            </w:pPr>
            <w:r>
              <w:rPr>
                <w:rFonts w:ascii="宋体" w:hAnsi="宋体"/>
                <w:sz w:val="24"/>
              </w:rPr>
              <w:t>(2024年度)</w:t>
            </w:r>
          </w:p>
        </w:tc>
      </w:tr>
      <w:tr w:rsidR="00AE11D6">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耕地占用税（十三届第十二次财经会）</w:t>
            </w:r>
          </w:p>
        </w:tc>
      </w:tr>
      <w:tr w:rsidR="00AE11D6">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尉犁县自然资源局</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尉犁县自然资源局</w:t>
            </w:r>
          </w:p>
        </w:tc>
      </w:tr>
      <w:tr w:rsidR="00AE11D6">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得分</w:t>
            </w:r>
          </w:p>
        </w:tc>
      </w:tr>
      <w:tr w:rsidR="00AE11D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87.56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87.56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87.56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10.00</w:t>
            </w: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87.56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87.56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87.56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r>
      <w:tr w:rsidR="00AE11D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总体目标完成情况</w:t>
            </w: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AE11D6" w:rsidRDefault="00F049C8">
            <w:r>
              <w:rPr>
                <w:rFonts w:ascii="宋体" w:hAnsi="宋体"/>
                <w:sz w:val="16"/>
              </w:rPr>
              <w:t>根据《中华人民共和国耕地占用税法》规定，占用耕地及其他农用地进行建设的，应依法缴纳耕地占用税，2024年7月需缴纳耕地占用税的项目3个，涉及3个批次用地，分别于2024年5月31日、7月31日前完成耕地占用税的税款申报及缴纳划转工作。</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AE11D6" w:rsidRDefault="00F049C8">
            <w:r>
              <w:rPr>
                <w:rFonts w:ascii="宋体" w:hAnsi="宋体"/>
                <w:sz w:val="16"/>
              </w:rPr>
              <w:t>根据《中华人民共和国耕地占用税法》规定，占用耕地及其他农用地进行建设的，应依法缴纳耕地占用税，2024年7月完成3个项目、涉及3个批次用地、占地面积共6.83公顷纳耕地占用税的税款申报及缴纳划转工作。</w:t>
            </w:r>
          </w:p>
        </w:tc>
      </w:tr>
      <w:tr w:rsidR="00AE11D6">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偏差原因分析及改进措施</w:t>
            </w:r>
          </w:p>
        </w:tc>
      </w:tr>
      <w:tr w:rsidR="00AE11D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缴纳耕地占用税的项目个数</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=3个</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=3个</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涉及用地批次</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=3批次</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=3批次</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涉及用地面积</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=6.83</w:t>
            </w:r>
            <w:r w:rsidR="00EA193A">
              <w:rPr>
                <w:rFonts w:ascii="宋体" w:hAnsi="宋体"/>
                <w:sz w:val="16"/>
              </w:rPr>
              <w:t>公顷</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=6.83</w:t>
            </w:r>
            <w:r w:rsidR="00EA193A">
              <w:rPr>
                <w:rFonts w:ascii="宋体" w:hAnsi="宋体"/>
                <w:sz w:val="16"/>
              </w:rPr>
              <w:t>公顷</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耕地占用税申报缴纳</w:t>
            </w:r>
            <w:r>
              <w:rPr>
                <w:rFonts w:ascii="宋体" w:hAnsi="宋体"/>
                <w:sz w:val="16"/>
              </w:rPr>
              <w:lastRenderedPageBreak/>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w:t>
            </w:r>
            <w:proofErr w:type="gramStart"/>
            <w:r>
              <w:rPr>
                <w:rFonts w:ascii="宋体" w:hAnsi="宋体"/>
                <w:sz w:val="16"/>
              </w:rPr>
              <w:t>比例</w:t>
            </w:r>
            <w:r>
              <w:rPr>
                <w:rFonts w:ascii="宋体" w:hAnsi="宋体"/>
                <w:sz w:val="16"/>
              </w:rPr>
              <w:lastRenderedPageBreak/>
              <w:t>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耕地占用税申报缴纳及时率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占用耕地（非基本农田）、林地、园地及草地缴纳耕地占用税</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&lt;=84.96万元</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=84.96万元</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占用其他土地缴纳耕地占用税</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&lt;=2.60万元</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=2.6万元</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促进税收收入</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增加</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2528" w:type="dxa"/>
            <w:gridSpan w:val="4"/>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AE11D6" w:rsidRDefault="00AE11D6"/>
        </w:tc>
      </w:tr>
    </w:tbl>
    <w:p w:rsidR="00AE11D6" w:rsidRDefault="00F049C8">
      <w:r>
        <w:br w:type="page"/>
      </w:r>
    </w:p>
    <w:tbl>
      <w:tblPr>
        <w:tblW w:w="0" w:type="auto"/>
        <w:tblLook w:val="04A0" w:firstRow="1" w:lastRow="0" w:firstColumn="1" w:lastColumn="0" w:noHBand="0" w:noVBand="1"/>
      </w:tblPr>
      <w:tblGrid>
        <w:gridCol w:w="621"/>
        <w:gridCol w:w="604"/>
        <w:gridCol w:w="604"/>
        <w:gridCol w:w="622"/>
        <w:gridCol w:w="856"/>
        <w:gridCol w:w="604"/>
        <w:gridCol w:w="604"/>
        <w:gridCol w:w="613"/>
        <w:gridCol w:w="604"/>
        <w:gridCol w:w="604"/>
        <w:gridCol w:w="776"/>
        <w:gridCol w:w="622"/>
        <w:gridCol w:w="696"/>
        <w:gridCol w:w="630"/>
      </w:tblGrid>
      <w:tr w:rsidR="00AE11D6">
        <w:tc>
          <w:tcPr>
            <w:tcW w:w="8848" w:type="dxa"/>
            <w:gridSpan w:val="14"/>
            <w:vAlign w:val="center"/>
          </w:tcPr>
          <w:p w:rsidR="00AE11D6" w:rsidRDefault="00F049C8">
            <w:pPr>
              <w:jc w:val="center"/>
            </w:pPr>
            <w:r>
              <w:rPr>
                <w:rFonts w:ascii="宋体" w:hAnsi="宋体"/>
                <w:sz w:val="24"/>
              </w:rPr>
              <w:lastRenderedPageBreak/>
              <w:t>项目支出绩效自评表</w:t>
            </w:r>
          </w:p>
        </w:tc>
      </w:tr>
      <w:tr w:rsidR="00AE11D6">
        <w:tc>
          <w:tcPr>
            <w:tcW w:w="8848" w:type="dxa"/>
            <w:gridSpan w:val="14"/>
            <w:vAlign w:val="center"/>
          </w:tcPr>
          <w:p w:rsidR="00AE11D6" w:rsidRDefault="00F049C8">
            <w:pPr>
              <w:jc w:val="center"/>
            </w:pPr>
            <w:r>
              <w:rPr>
                <w:rFonts w:ascii="宋体" w:hAnsi="宋体"/>
                <w:sz w:val="24"/>
              </w:rPr>
              <w:t>(2024年度)</w:t>
            </w:r>
          </w:p>
        </w:tc>
      </w:tr>
      <w:tr w:rsidR="00AE11D6">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耕地占用税</w:t>
            </w:r>
          </w:p>
        </w:tc>
      </w:tr>
      <w:tr w:rsidR="00AE11D6">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尉犁县自然资源局</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尉犁县自然资源局</w:t>
            </w:r>
          </w:p>
        </w:tc>
      </w:tr>
      <w:tr w:rsidR="00AE11D6">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得分</w:t>
            </w:r>
          </w:p>
        </w:tc>
      </w:tr>
      <w:tr w:rsidR="00AE11D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64.46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497.56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497.56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10.00</w:t>
            </w: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64.46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497.56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497.56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r>
      <w:tr w:rsidR="00AE11D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总体目标完成情况</w:t>
            </w: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AE11D6" w:rsidRDefault="00F049C8">
            <w:r>
              <w:rPr>
                <w:rFonts w:ascii="宋体" w:hAnsi="宋体"/>
                <w:sz w:val="16"/>
              </w:rPr>
              <w:t>根据《中华人民共和国耕地占用税法》规定，占用耕地及其他农用地进行建设的，应依法缴纳耕地占用税，2024年需缴纳耕地占用税的项目9个，涉及8个批次用地，涉及用地面积45.45公顷。2024年1月30日、8月25日、9月26日、11月26日前完成耕地占用税的税款申报及缴纳划转工作。</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AE11D6" w:rsidRDefault="00F049C8">
            <w:r>
              <w:rPr>
                <w:rFonts w:ascii="宋体" w:hAnsi="宋体"/>
                <w:sz w:val="16"/>
              </w:rPr>
              <w:t>根据《中华人民共和国耕地占用税法》规定，占用耕地及其他农用地进行建设的，应依法缴纳耕地占用税，2024年完成9个项目，涉及8个批次用地、面积45.45公顷的耕地占用税的税款申报及缴纳划转工作，有效提高了我县税收收入。</w:t>
            </w:r>
          </w:p>
        </w:tc>
      </w:tr>
      <w:tr w:rsidR="00AE11D6">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偏差原因分析及改进措施</w:t>
            </w:r>
          </w:p>
        </w:tc>
      </w:tr>
      <w:tr w:rsidR="00AE11D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涉及项目个数</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=9个</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=9个</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涉及用地批次</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=8批次</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=8批次</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涉及用地面积</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=45.45公顷</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=45.45公顷</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耕地占用税申</w:t>
            </w:r>
            <w:r>
              <w:rPr>
                <w:rFonts w:ascii="宋体" w:hAnsi="宋体"/>
                <w:sz w:val="16"/>
              </w:rPr>
              <w:lastRenderedPageBreak/>
              <w:t>报缴纳完成率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w:t>
            </w:r>
            <w:proofErr w:type="gramStart"/>
            <w:r>
              <w:rPr>
                <w:rFonts w:ascii="宋体" w:hAnsi="宋体"/>
                <w:sz w:val="16"/>
              </w:rPr>
              <w:t>比例</w:t>
            </w:r>
            <w:r>
              <w:rPr>
                <w:rFonts w:ascii="宋体" w:hAnsi="宋体"/>
                <w:sz w:val="16"/>
              </w:rPr>
              <w:lastRenderedPageBreak/>
              <w:t>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耕地占用税申报缴纳及时率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占用林地、园地及草地缴纳耕地占用税</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&lt;=442.99万元</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=442.99万元</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占用其他土地缴纳耕地占用税</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&lt;=54.57万元</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=54.57万元</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促进我县税收收入</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有效提高</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2528" w:type="dxa"/>
            <w:gridSpan w:val="4"/>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AE11D6" w:rsidRDefault="00AE11D6"/>
        </w:tc>
      </w:tr>
    </w:tbl>
    <w:p w:rsidR="00AE11D6" w:rsidRDefault="00F049C8">
      <w:r>
        <w:br w:type="page"/>
      </w:r>
    </w:p>
    <w:p w:rsidR="00AE11D6" w:rsidRDefault="00F049C8">
      <w:pPr>
        <w:spacing w:line="640" w:lineRule="exact"/>
        <w:ind w:firstLine="640"/>
        <w:outlineLvl w:val="2"/>
      </w:pPr>
      <w:r>
        <w:rPr>
          <w:rFonts w:ascii="黑体" w:eastAsia="黑体" w:hAnsi="黑体"/>
        </w:rPr>
        <w:lastRenderedPageBreak/>
        <w:t>十二、其他需说明的事项</w:t>
      </w:r>
    </w:p>
    <w:p w:rsidR="00AE11D6" w:rsidRDefault="00F049C8">
      <w:pPr>
        <w:spacing w:line="580" w:lineRule="exact"/>
        <w:ind w:firstLine="640"/>
      </w:pPr>
      <w:r>
        <w:rPr>
          <w:rFonts w:ascii="仿宋_GB2312" w:eastAsia="仿宋_GB2312" w:hAnsi="仿宋_GB2312"/>
        </w:rPr>
        <w:t>本单位无其他需说明的事项。</w:t>
      </w:r>
    </w:p>
    <w:p w:rsidR="00AE11D6" w:rsidRDefault="00F049C8">
      <w:r>
        <w:br w:type="page"/>
      </w:r>
    </w:p>
    <w:p w:rsidR="00AE11D6" w:rsidRDefault="00F049C8">
      <w:pPr>
        <w:jc w:val="center"/>
        <w:outlineLvl w:val="1"/>
      </w:pPr>
      <w:r>
        <w:rPr>
          <w:rFonts w:ascii="黑体" w:eastAsia="黑体" w:hAnsi="黑体"/>
        </w:rPr>
        <w:lastRenderedPageBreak/>
        <w:t>第三部分 专业名词解释</w:t>
      </w:r>
    </w:p>
    <w:p w:rsidR="00AE11D6" w:rsidRDefault="00F049C8">
      <w:pPr>
        <w:ind w:firstLine="640"/>
      </w:pPr>
      <w:r>
        <w:rPr>
          <w:rFonts w:ascii="仿宋_GB2312" w:eastAsia="仿宋_GB2312" w:hAnsi="仿宋_GB2312"/>
          <w:b/>
        </w:rPr>
        <w:t>一、财政拨款收入：</w:t>
      </w:r>
      <w:r>
        <w:rPr>
          <w:rFonts w:ascii="仿宋_GB2312" w:eastAsia="仿宋_GB2312" w:hAnsi="仿宋_GB2312"/>
        </w:rPr>
        <w:t>指同级财政当年拨付的资金。</w:t>
      </w:r>
    </w:p>
    <w:p w:rsidR="00AE11D6" w:rsidRDefault="00F049C8">
      <w:pPr>
        <w:ind w:firstLine="640"/>
      </w:pPr>
      <w:r>
        <w:rPr>
          <w:rFonts w:ascii="仿宋_GB2312" w:eastAsia="仿宋_GB2312" w:hAnsi="仿宋_GB2312"/>
          <w:b/>
        </w:rPr>
        <w:t>二、上级补助收入：</w:t>
      </w:r>
      <w:r>
        <w:rPr>
          <w:rFonts w:ascii="仿宋_GB2312" w:eastAsia="仿宋_GB2312" w:hAnsi="仿宋_GB2312"/>
        </w:rPr>
        <w:t>指事业单位从主管部门和上级单位取得的非财政补助收入。</w:t>
      </w:r>
    </w:p>
    <w:p w:rsidR="00AE11D6" w:rsidRDefault="00F049C8">
      <w:pPr>
        <w:ind w:firstLine="640"/>
      </w:pPr>
      <w:r>
        <w:rPr>
          <w:rFonts w:ascii="仿宋_GB2312" w:eastAsia="仿宋_GB2312" w:hAnsi="仿宋_GB2312"/>
          <w:b/>
        </w:rPr>
        <w:t>三、事业收入：</w:t>
      </w:r>
      <w:r>
        <w:rPr>
          <w:rFonts w:ascii="仿宋_GB2312" w:eastAsia="仿宋_GB2312" w:hAnsi="仿宋_GB2312"/>
        </w:rPr>
        <w:t>指事业单位开展专业业务活动及其辅助活动所取得的收入。</w:t>
      </w:r>
    </w:p>
    <w:p w:rsidR="00AE11D6" w:rsidRDefault="00F049C8">
      <w:pPr>
        <w:ind w:firstLine="640"/>
      </w:pPr>
      <w:r>
        <w:rPr>
          <w:rFonts w:ascii="仿宋_GB2312" w:eastAsia="仿宋_GB2312" w:hAnsi="仿宋_GB2312"/>
          <w:b/>
        </w:rPr>
        <w:t>四、经营收入：</w:t>
      </w:r>
      <w:r>
        <w:rPr>
          <w:rFonts w:ascii="仿宋_GB2312" w:eastAsia="仿宋_GB2312" w:hAnsi="仿宋_GB2312"/>
        </w:rPr>
        <w:t>指事业单位在专业业务活动及其辅助活动之外开展非独立核算经营活动取得的收入。</w:t>
      </w:r>
    </w:p>
    <w:p w:rsidR="00AE11D6" w:rsidRDefault="00F049C8">
      <w:pPr>
        <w:ind w:firstLine="640"/>
      </w:pPr>
      <w:r>
        <w:rPr>
          <w:rFonts w:ascii="仿宋_GB2312" w:eastAsia="仿宋_GB2312" w:hAnsi="仿宋_GB2312"/>
          <w:b/>
        </w:rPr>
        <w:t>五、附属单位上缴收入：</w:t>
      </w:r>
      <w:r>
        <w:rPr>
          <w:rFonts w:ascii="仿宋_GB2312" w:eastAsia="仿宋_GB2312" w:hAnsi="仿宋_GB2312"/>
        </w:rPr>
        <w:t>指事业单位附属的独立核算单位按有关规定上缴的收入。</w:t>
      </w:r>
    </w:p>
    <w:p w:rsidR="00AE11D6" w:rsidRDefault="00F049C8">
      <w:pPr>
        <w:ind w:firstLine="640"/>
      </w:pPr>
      <w:r>
        <w:rPr>
          <w:rFonts w:ascii="仿宋_GB2312" w:eastAsia="仿宋_GB2312" w:hAnsi="仿宋_GB2312"/>
          <w:b/>
        </w:rPr>
        <w:t>六、其他收入：</w:t>
      </w:r>
      <w:r>
        <w:rPr>
          <w:rFonts w:ascii="仿宋_GB2312" w:eastAsia="仿宋_GB2312" w:hAnsi="仿宋_GB2312"/>
        </w:rPr>
        <w:t>指除上述“财政拨款收入”、“事业收入”、“经营收入”、“附属单位上缴收入”等之外取得的收入。</w:t>
      </w:r>
    </w:p>
    <w:p w:rsidR="00AE11D6" w:rsidRDefault="00F049C8">
      <w:pPr>
        <w:ind w:firstLine="640"/>
      </w:pPr>
      <w:r>
        <w:rPr>
          <w:rFonts w:ascii="仿宋_GB2312" w:eastAsia="仿宋_GB2312" w:hAnsi="仿宋_GB2312"/>
          <w:b/>
        </w:rPr>
        <w:t>七、年初结转和结余：</w:t>
      </w:r>
      <w:r>
        <w:rPr>
          <w:rFonts w:ascii="仿宋_GB2312" w:eastAsia="仿宋_GB2312" w:hAnsi="仿宋_GB2312"/>
        </w:rPr>
        <w:t>指以前年度支出预算因客观条件变化未执行完毕、结转到本年度按有关规定继续使用的资金，既包括财政拨款结转和结余，也包括事业收入、经营收入、其他收入的结转和结余。</w:t>
      </w:r>
    </w:p>
    <w:p w:rsidR="00AE11D6" w:rsidRDefault="00F049C8">
      <w:pPr>
        <w:ind w:firstLine="640"/>
      </w:pPr>
      <w:r>
        <w:rPr>
          <w:rFonts w:ascii="仿宋_GB2312" w:eastAsia="仿宋_GB2312" w:hAnsi="仿宋_GB2312"/>
          <w:b/>
        </w:rPr>
        <w:t>八、年末结转和结余：</w:t>
      </w:r>
      <w:r>
        <w:rPr>
          <w:rFonts w:ascii="仿宋_GB2312" w:eastAsia="仿宋_GB2312" w:hAnsi="仿宋_GB2312"/>
        </w:rPr>
        <w:t>指本年度或以前年度预算安排、因客观条件发生变化无法按原计划实施，需要延迟到以后年度按有关规定继续使用的资金，既包括财政拨款结转和结余，也包括事业收入、经营收入、其他收入的结转和结余。</w:t>
      </w:r>
    </w:p>
    <w:p w:rsidR="00AE11D6" w:rsidRDefault="00F049C8">
      <w:pPr>
        <w:ind w:firstLine="640"/>
      </w:pPr>
      <w:r>
        <w:rPr>
          <w:rFonts w:ascii="仿宋_GB2312" w:eastAsia="仿宋_GB2312" w:hAnsi="仿宋_GB2312"/>
          <w:b/>
        </w:rPr>
        <w:lastRenderedPageBreak/>
        <w:t>九、基本支出：</w:t>
      </w:r>
      <w:r>
        <w:rPr>
          <w:rFonts w:ascii="仿宋_GB2312" w:eastAsia="仿宋_GB2312" w:hAnsi="仿宋_GB2312"/>
        </w:rPr>
        <w:t>指为保障机构正常运转、完成日常工作任务而发生的人员支出和公用支出。</w:t>
      </w:r>
    </w:p>
    <w:p w:rsidR="00AE11D6" w:rsidRDefault="00F049C8">
      <w:pPr>
        <w:ind w:firstLine="640"/>
      </w:pPr>
      <w:r>
        <w:rPr>
          <w:rFonts w:ascii="仿宋_GB2312" w:eastAsia="仿宋_GB2312" w:hAnsi="仿宋_GB2312"/>
          <w:b/>
        </w:rPr>
        <w:t>十、项目支出：</w:t>
      </w:r>
      <w:r>
        <w:rPr>
          <w:rFonts w:ascii="仿宋_GB2312" w:eastAsia="仿宋_GB2312" w:hAnsi="仿宋_GB2312"/>
        </w:rPr>
        <w:t>指在基本支出之外为完成特定行政任务和事业发展目标所发生的支出。</w:t>
      </w:r>
    </w:p>
    <w:p w:rsidR="00AE11D6" w:rsidRDefault="00F049C8">
      <w:pPr>
        <w:ind w:firstLine="640"/>
      </w:pPr>
      <w:r>
        <w:rPr>
          <w:rFonts w:ascii="仿宋_GB2312" w:eastAsia="仿宋_GB2312" w:hAnsi="仿宋_GB2312"/>
          <w:b/>
        </w:rPr>
        <w:t>十一、经营支出：</w:t>
      </w:r>
      <w:r>
        <w:rPr>
          <w:rFonts w:ascii="仿宋_GB2312" w:eastAsia="仿宋_GB2312" w:hAnsi="仿宋_GB2312"/>
        </w:rPr>
        <w:t>指事业单位在专业业务活动及其辅助活动之外开展非独立核算经营活动发生的支出。</w:t>
      </w:r>
    </w:p>
    <w:p w:rsidR="00AE11D6" w:rsidRDefault="00F049C8">
      <w:pPr>
        <w:ind w:firstLine="640"/>
      </w:pPr>
      <w:r>
        <w:rPr>
          <w:rFonts w:ascii="仿宋_GB2312" w:eastAsia="仿宋_GB2312" w:hAnsi="仿宋_GB2312"/>
          <w:b/>
        </w:rPr>
        <w:t>十二、对附属单位补助支出：</w:t>
      </w:r>
      <w:r>
        <w:rPr>
          <w:rFonts w:ascii="仿宋_GB2312" w:eastAsia="仿宋_GB2312" w:hAnsi="仿宋_GB2312"/>
        </w:rPr>
        <w:t>指事业单位发生的用非财政预算资金对附属单位的补助支出。</w:t>
      </w:r>
    </w:p>
    <w:p w:rsidR="00AE11D6" w:rsidRDefault="00F049C8">
      <w:pPr>
        <w:ind w:firstLine="640"/>
      </w:pPr>
      <w:r>
        <w:rPr>
          <w:rFonts w:ascii="仿宋_GB2312" w:eastAsia="仿宋_GB2312" w:hAnsi="仿宋_GB2312"/>
          <w:b/>
        </w:rPr>
        <w:t>十三、“三公”经费：</w:t>
      </w:r>
      <w:r>
        <w:rPr>
          <w:rFonts w:ascii="仿宋_GB2312" w:eastAsia="仿宋_GB2312" w:hAnsi="仿宋_GB2312"/>
        </w:rPr>
        <w:t>指用财政拨款安排的因公出国（境）费、公务用车购置及运行费和公务接待费。其中，因公出国（境）</w:t>
      </w:r>
      <w:proofErr w:type="gramStart"/>
      <w:r>
        <w:rPr>
          <w:rFonts w:ascii="仿宋_GB2312" w:eastAsia="仿宋_GB2312" w:hAnsi="仿宋_GB2312"/>
        </w:rPr>
        <w:t>费反映</w:t>
      </w:r>
      <w:proofErr w:type="gramEnd"/>
      <w:r>
        <w:rPr>
          <w:rFonts w:ascii="仿宋_GB2312" w:eastAsia="仿宋_GB2312" w:hAnsi="仿宋_GB2312"/>
        </w:rPr>
        <w:t>单位公务出国（境）的国际旅费、国外城市间交通费、住宿费、伙食费、培训费、公杂费等支出；公务用车购置反映公务用车购置支出（</w:t>
      </w:r>
      <w:proofErr w:type="gramStart"/>
      <w:r>
        <w:rPr>
          <w:rFonts w:ascii="仿宋_GB2312" w:eastAsia="仿宋_GB2312" w:hAnsi="仿宋_GB2312"/>
        </w:rPr>
        <w:t>含车辆</w:t>
      </w:r>
      <w:proofErr w:type="gramEnd"/>
      <w:r>
        <w:rPr>
          <w:rFonts w:ascii="仿宋_GB2312" w:eastAsia="仿宋_GB2312" w:hAnsi="仿宋_GB2312"/>
        </w:rPr>
        <w:t>购置税、牌照费）；公务用车运行维护费反映单位按规定保留的公务用车燃料费、维修费、过路过桥费、保险费、安全奖励费用等支出；公务接待</w:t>
      </w:r>
      <w:proofErr w:type="gramStart"/>
      <w:r>
        <w:rPr>
          <w:rFonts w:ascii="仿宋_GB2312" w:eastAsia="仿宋_GB2312" w:hAnsi="仿宋_GB2312"/>
        </w:rPr>
        <w:t>费反映</w:t>
      </w:r>
      <w:proofErr w:type="gramEnd"/>
      <w:r>
        <w:rPr>
          <w:rFonts w:ascii="仿宋_GB2312" w:eastAsia="仿宋_GB2312" w:hAnsi="仿宋_GB2312"/>
        </w:rPr>
        <w:t>单位按规定开支的各类公务接待（含外宾接待）费用。</w:t>
      </w:r>
    </w:p>
    <w:p w:rsidR="00AE11D6" w:rsidRDefault="00F049C8">
      <w:pPr>
        <w:ind w:firstLine="640"/>
      </w:pPr>
      <w:r>
        <w:rPr>
          <w:rFonts w:ascii="仿宋_GB2312" w:eastAsia="仿宋_GB2312" w:hAnsi="仿宋_GB2312"/>
          <w:b/>
        </w:rPr>
        <w:t>十四、机关运行经费：</w:t>
      </w:r>
      <w:r>
        <w:rPr>
          <w:rFonts w:ascii="仿宋_GB2312" w:eastAsia="仿宋_GB2312" w:hAnsi="仿宋_GB2312"/>
        </w:rPr>
        <w:t>行政单位和参照公务员法管理的事业单位财政拨款基本支出中的公用经费支出。</w:t>
      </w:r>
    </w:p>
    <w:p w:rsidR="00AE11D6" w:rsidRDefault="00F049C8">
      <w:r>
        <w:br w:type="page"/>
      </w:r>
    </w:p>
    <w:p w:rsidR="00AE11D6" w:rsidRDefault="00F049C8">
      <w:pPr>
        <w:jc w:val="center"/>
        <w:outlineLvl w:val="1"/>
      </w:pPr>
      <w:r>
        <w:rPr>
          <w:rFonts w:ascii="黑体" w:eastAsia="黑体" w:hAnsi="黑体"/>
        </w:rPr>
        <w:lastRenderedPageBreak/>
        <w:t>第四部分 部门决算报表（见附表）</w:t>
      </w:r>
    </w:p>
    <w:p w:rsidR="00AE11D6" w:rsidRDefault="00F049C8">
      <w:pPr>
        <w:ind w:firstLine="640"/>
      </w:pPr>
      <w:r>
        <w:rPr>
          <w:rFonts w:ascii="仿宋_GB2312" w:eastAsia="仿宋_GB2312" w:hAnsi="仿宋_GB2312"/>
        </w:rPr>
        <w:t>一、《收入支出决算总表》</w:t>
      </w:r>
    </w:p>
    <w:p w:rsidR="00AE11D6" w:rsidRDefault="00F049C8">
      <w:pPr>
        <w:ind w:firstLine="640"/>
      </w:pPr>
      <w:r>
        <w:rPr>
          <w:rFonts w:ascii="仿宋_GB2312" w:eastAsia="仿宋_GB2312" w:hAnsi="仿宋_GB2312"/>
        </w:rPr>
        <w:t>二、《收入决算表》</w:t>
      </w:r>
    </w:p>
    <w:p w:rsidR="00AE11D6" w:rsidRDefault="00F049C8">
      <w:pPr>
        <w:ind w:firstLine="640"/>
      </w:pPr>
      <w:r>
        <w:rPr>
          <w:rFonts w:ascii="仿宋_GB2312" w:eastAsia="仿宋_GB2312" w:hAnsi="仿宋_GB2312"/>
        </w:rPr>
        <w:t>三、《支出决算表》</w:t>
      </w:r>
    </w:p>
    <w:p w:rsidR="00AE11D6" w:rsidRDefault="00F049C8">
      <w:pPr>
        <w:ind w:firstLine="640"/>
      </w:pPr>
      <w:r>
        <w:rPr>
          <w:rFonts w:ascii="仿宋_GB2312" w:eastAsia="仿宋_GB2312" w:hAnsi="仿宋_GB2312"/>
        </w:rPr>
        <w:t>四、《财政拨款收入支出决算总表》</w:t>
      </w:r>
    </w:p>
    <w:p w:rsidR="00AE11D6" w:rsidRDefault="00F049C8">
      <w:pPr>
        <w:ind w:firstLine="640"/>
      </w:pPr>
      <w:r>
        <w:rPr>
          <w:rFonts w:ascii="仿宋_GB2312" w:eastAsia="仿宋_GB2312" w:hAnsi="仿宋_GB2312"/>
        </w:rPr>
        <w:t>五、《一般公共预算财政拨款支出决算表》</w:t>
      </w:r>
    </w:p>
    <w:p w:rsidR="00AE11D6" w:rsidRDefault="00F049C8">
      <w:pPr>
        <w:ind w:firstLine="640"/>
      </w:pPr>
      <w:r>
        <w:rPr>
          <w:rFonts w:ascii="仿宋_GB2312" w:eastAsia="仿宋_GB2312" w:hAnsi="仿宋_GB2312"/>
        </w:rPr>
        <w:t>六、《一般公共预算财政拨款基本支出决算表》</w:t>
      </w:r>
    </w:p>
    <w:p w:rsidR="00AE11D6" w:rsidRDefault="00F049C8">
      <w:pPr>
        <w:ind w:firstLine="640"/>
      </w:pPr>
      <w:r>
        <w:rPr>
          <w:rFonts w:ascii="仿宋_GB2312" w:eastAsia="仿宋_GB2312" w:hAnsi="仿宋_GB2312"/>
        </w:rPr>
        <w:t>七、《政府性基金预算财政拨款收入支出决算表》</w:t>
      </w:r>
    </w:p>
    <w:p w:rsidR="00AE11D6" w:rsidRDefault="00F049C8">
      <w:pPr>
        <w:ind w:firstLine="640"/>
      </w:pPr>
      <w:r>
        <w:rPr>
          <w:rFonts w:ascii="仿宋_GB2312" w:eastAsia="仿宋_GB2312" w:hAnsi="仿宋_GB2312"/>
        </w:rPr>
        <w:t>八、《国有资本经营预算财政拨款收入支出决算表》</w:t>
      </w:r>
    </w:p>
    <w:p w:rsidR="00AE11D6" w:rsidRDefault="00F049C8">
      <w:pPr>
        <w:ind w:firstLine="640"/>
      </w:pPr>
      <w:r>
        <w:rPr>
          <w:rFonts w:ascii="仿宋_GB2312" w:eastAsia="仿宋_GB2312" w:hAnsi="仿宋_GB2312"/>
        </w:rPr>
        <w:t>九、《财政拨款“三公”经费支出决算表》</w:t>
      </w:r>
    </w:p>
    <w:p w:rsidR="00AE11D6" w:rsidRDefault="00AE11D6">
      <w:pPr>
        <w:ind w:firstLine="640"/>
      </w:pPr>
    </w:p>
    <w:p w:rsidR="00AE11D6" w:rsidRDefault="00AE11D6">
      <w:pPr>
        <w:ind w:firstLine="640"/>
      </w:pPr>
    </w:p>
    <w:p w:rsidR="00AE11D6" w:rsidRDefault="00AE11D6">
      <w:pPr>
        <w:ind w:firstLine="640"/>
      </w:pPr>
    </w:p>
    <w:p w:rsidR="00AE11D6" w:rsidRDefault="00AE11D6">
      <w:pPr>
        <w:ind w:firstLine="640"/>
      </w:pPr>
    </w:p>
    <w:p w:rsidR="00AE11D6" w:rsidRDefault="00AE11D6">
      <w:pPr>
        <w:ind w:firstLine="640"/>
      </w:pPr>
    </w:p>
    <w:sectPr w:rsidR="00AE11D6">
      <w:footerReference w:type="default" r:id="rId7"/>
      <w:pgSz w:w="11906" w:h="16838"/>
      <w:pgMar w:top="2098" w:right="1531" w:bottom="1984" w:left="1531"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49C8" w:rsidRDefault="00F049C8">
      <w:r>
        <w:separator/>
      </w:r>
    </w:p>
  </w:endnote>
  <w:endnote w:type="continuationSeparator" w:id="0">
    <w:p w:rsidR="00F049C8" w:rsidRDefault="00F049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0030101010101"/>
    <w:charset w:val="86"/>
    <w:family w:val="auto"/>
    <w:pitch w:val="variable"/>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11D6" w:rsidRDefault="00F049C8">
    <w:pPr>
      <w:pStyle w:val="a4"/>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AE11D6" w:rsidRDefault="00F049C8">
                          <w:pPr>
                            <w:pStyle w:val="a4"/>
                          </w:pPr>
                          <w:r>
                            <w:rPr>
                              <w:rFonts w:hint="eastAsia"/>
                            </w:rPr>
                            <w:fldChar w:fldCharType="begin"/>
                          </w:r>
                          <w:r>
                            <w:rPr>
                              <w:rFonts w:hint="eastAsia"/>
                            </w:rPr>
                            <w:instrText xml:space="preserve"> PAGE  \* MERGEFORMAT </w:instrText>
                          </w:r>
                          <w:r>
                            <w:rPr>
                              <w:rFonts w:hint="eastAsia"/>
                            </w:rPr>
                            <w:fldChar w:fldCharType="separate"/>
                          </w:r>
                          <w:r w:rsidR="00EA193A">
                            <w:rPr>
                              <w:noProof/>
                            </w:rPr>
                            <w:t>56</w:t>
                          </w:r>
                          <w:r>
                            <w:rPr>
                              <w:rFonts w:hint="eastAsia"/>
                            </w:rPr>
                            <w:fldChar w:fldCharType="end"/>
                          </w:r>
                        </w:p>
                      </w:txbxContent>
                    </wps:txbx>
                    <wps:bodyPr vert="horz" wrap="none" lIns="0" tIns="0" rIns="0" bIns="0" anchor="t" anchorCtr="0">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1I/QwwEAAGQDAAAOAAAAZHJzL2Uyb0RvYy54bWysU8Fu2zAMvQ/oPwi6N3JyGAIjTtGt6DBg&#10;2AZ0+wBFlmIBkihIauzsA7Y/2GmX3fdd+Y5Rsp123a3oRaZI6vE9kt5cDdaQgwxRg2voclFRIp2A&#10;Vrt9Q79+ub1cUxITdy034GRDjzLSq+3Fq03va7mCDkwrA0EQF+veN7RLydeMRdFJy+MCvHQYVBAs&#10;T3gNe9YG3iO6NWxVVa9ZD6H1AYSMEb03Y5BuC75SUqRPSkWZiGkockvlDOXc5ZNtN7zeB+47LSYa&#10;/BksLNcOi56hbnji5D7o/6CsFgEiqLQQYBkopYUsGlDNsnqi5q7jXhYt2Jzoz22KLwcrPh4+B6Jb&#10;nB0ljlsc0ennj9OvP6ff38kyt6f3scasO495aXgDQ06d/BGdWfWggs1f1EMwjo0+npsrh0REfrRe&#10;rdcVhgTG5gvisIfnPsT0ToIl2WhowOmVpvLDh5jG1DklV3Nwq41BP6+N+8eBmNnDMveRY7bSsBsm&#10;4jtoj6gHFxfrdBC+UdLjEjTU4ZZSYt477HHel9kIs7GbDe4EPmxoomQ036ayV5lI9Nf3CdkV0rn0&#10;WG9ihKMssqe1y7vy+F6yHn6O7V8AAAD//wMAUEsDBBQABgAIAAAAIQAMSvDu1gAAAAUBAAAPAAAA&#10;ZHJzL2Rvd25yZXYueG1sTI9Ba8MwDIXvg/4Ho8Juq9MetpDFKaXQS2/rxmA3N1bjMFsOtpsm/37a&#10;GGwXoccTT9+rt5N3YsSY+kAK1qsCBFIbTE+dgrfXw0MJImVNRrtAqGDGBNtmcVfryoQbveB4yp3g&#10;EEqVVmBzHiopU2vR67QKAxJ7lxC9zixjJ03UNw73Tm6K4lF63RN/sHrAvcX283T1Cp6m94BDwj1+&#10;XMY22n4u3XFW6n457Z5BZJzy3zF84zM6NMx0DlcySTgFXCT/TPY2Zcny/LvIppb/6ZsvAAAA//8D&#10;AFBLAQItABQABgAIAAAAIQC2gziS/gAAAOEBAAATAAAAAAAAAAAAAAAAAAAAAABbQ29udGVudF9U&#10;eXBlc10ueG1sUEsBAi0AFAAGAAgAAAAhADj9If/WAAAAlAEAAAsAAAAAAAAAAAAAAAAALwEAAF9y&#10;ZWxzLy5yZWxzUEsBAi0AFAAGAAgAAAAhABbUj9DDAQAAZAMAAA4AAAAAAAAAAAAAAAAALgIAAGRy&#10;cy9lMm9Eb2MueG1sUEsBAi0AFAAGAAgAAAAhAAxK8O7WAAAABQEAAA8AAAAAAAAAAAAAAAAAHQQA&#10;AGRycy9kb3ducmV2LnhtbFBLBQYAAAAABAAEAPMAAAAgBQAAAAA=&#10;" filled="f" stroked="f">
              <v:textbox style="mso-fit-shape-to-text:t" inset="0,0,0,0">
                <w:txbxContent>
                  <w:p w:rsidR="00AE11D6" w:rsidRDefault="00F049C8">
                    <w:pPr>
                      <w:pStyle w:val="a4"/>
                    </w:pPr>
                    <w:r>
                      <w:rPr>
                        <w:rFonts w:hint="eastAsia"/>
                      </w:rPr>
                      <w:fldChar w:fldCharType="begin"/>
                    </w:r>
                    <w:r>
                      <w:rPr>
                        <w:rFonts w:hint="eastAsia"/>
                      </w:rPr>
                      <w:instrText xml:space="preserve"> PAGE  \* MERGEFORMAT </w:instrText>
                    </w:r>
                    <w:r>
                      <w:rPr>
                        <w:rFonts w:hint="eastAsia"/>
                      </w:rPr>
                      <w:fldChar w:fldCharType="separate"/>
                    </w:r>
                    <w:r w:rsidR="00EA193A">
                      <w:rPr>
                        <w:noProof/>
                      </w:rPr>
                      <w:t>56</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49C8" w:rsidRDefault="00F049C8">
      <w:r>
        <w:separator/>
      </w:r>
    </w:p>
  </w:footnote>
  <w:footnote w:type="continuationSeparator" w:id="0">
    <w:p w:rsidR="00F049C8" w:rsidRDefault="00F049C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AE11D6"/>
    <w:rsid w:val="007F0687"/>
    <w:rsid w:val="00AE11D6"/>
    <w:rsid w:val="00EA193A"/>
    <w:rsid w:val="00F049C8"/>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0BF42C3-FDE4-476C-B8C9-173A40AF9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qFormat/>
  </w:style>
  <w:style w:type="paragraph" w:styleId="2">
    <w:name w:val="toc 2"/>
    <w:basedOn w:val="a"/>
    <w:next w:val="a"/>
    <w:qFormat/>
    <w:pPr>
      <w:ind w:leftChars="200" w:left="420"/>
    </w:pPr>
  </w:style>
  <w:style w:type="paragraph" w:styleId="HTML">
    <w:name w:val="HTML Preformatted"/>
    <w:basedOn w:val="a"/>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70</Pages>
  <Words>5369</Words>
  <Characters>30606</Characters>
  <Application>Microsoft Office Word</Application>
  <DocSecurity>0</DocSecurity>
  <Lines>255</Lines>
  <Paragraphs>71</Paragraphs>
  <ScaleCrop>false</ScaleCrop>
  <Company>Organization</Company>
  <LinksUpToDate>false</LinksUpToDate>
  <CharactersWithSpaces>35904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Windows 用户</cp:lastModifiedBy>
  <cp:revision>3</cp:revision>
  <cp:lastPrinted>2024-07-22T11:58:00Z</cp:lastPrinted>
  <dcterms:created xsi:type="dcterms:W3CDTF">2014-10-29T12:08:00Z</dcterms:created>
  <dcterms:modified xsi:type="dcterms:W3CDTF">2025-09-19T11:55:00Z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