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color w:val="auto"/>
          <w:highlight w:val="none"/>
        </w:rPr>
      </w:pPr>
      <w:bookmarkStart w:id="0" w:name="OLE_LINK12"/>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pStyle w:val="3"/>
        <w:bidi w:val="0"/>
        <w:rPr>
          <w:rFonts w:hint="default" w:ascii="Times New Roman" w:hAnsi="Times New Roman" w:cs="Times New Roman"/>
          <w:color w:val="auto"/>
          <w:sz w:val="44"/>
          <w:szCs w:val="44"/>
          <w:highlight w:val="none"/>
        </w:rPr>
      </w:pPr>
      <w:bookmarkStart w:id="1" w:name="_Toc24054"/>
      <w:bookmarkStart w:id="2" w:name="_Toc8876"/>
      <w:bookmarkStart w:id="3" w:name="_Toc3641"/>
      <w:bookmarkStart w:id="4" w:name="_Toc28201"/>
      <w:r>
        <w:rPr>
          <w:rFonts w:hint="default" w:ascii="Times New Roman" w:hAnsi="Times New Roman" w:cs="Times New Roman"/>
          <w:color w:val="auto"/>
          <w:sz w:val="44"/>
          <w:szCs w:val="44"/>
          <w:highlight w:val="none"/>
        </w:rPr>
        <w:t>项目支出绩效评价报告</w:t>
      </w:r>
      <w:bookmarkEnd w:id="1"/>
      <w:bookmarkEnd w:id="2"/>
      <w:bookmarkEnd w:id="3"/>
      <w:bookmarkEnd w:id="4"/>
    </w:p>
    <w:p>
      <w:pPr>
        <w:ind w:firstLine="883"/>
        <w:jc w:val="both"/>
        <w:rPr>
          <w:rFonts w:hint="default" w:ascii="Times New Roman" w:hAnsi="Times New Roman" w:eastAsia="宋体" w:cs="Times New Roman"/>
          <w:b/>
          <w:bCs/>
          <w:color w:val="auto"/>
          <w:sz w:val="44"/>
          <w:szCs w:val="44"/>
          <w:highlight w:val="none"/>
        </w:rPr>
      </w:pPr>
    </w:p>
    <w:p>
      <w:pPr>
        <w:bidi w:val="0"/>
        <w:jc w:val="both"/>
        <w:rPr>
          <w:rFonts w:hint="default" w:ascii="Times New Roman" w:hAnsi="Times New Roman" w:eastAsia="宋体" w:cs="Times New Roman"/>
          <w:color w:val="auto"/>
          <w:highlight w:val="none"/>
        </w:rPr>
      </w:pPr>
    </w:p>
    <w:p>
      <w:pPr>
        <w:bidi w:val="0"/>
        <w:ind w:left="0" w:leftChars="0" w:firstLine="0" w:firstLineChars="0"/>
        <w:jc w:val="center"/>
        <w:rPr>
          <w:rFonts w:hint="default" w:ascii="Times New Roman" w:hAnsi="Times New Roman" w:eastAsia="宋体" w:cs="Times New Roman"/>
          <w:color w:val="auto"/>
          <w:highlight w:val="none"/>
        </w:rPr>
      </w:pPr>
      <w:r>
        <w:rPr>
          <w:color w:val="auto"/>
          <w:sz w:val="28"/>
          <w:szCs w:val="28"/>
          <w:highlight w:val="none"/>
        </w:rPr>
        <w:t>（202</w:t>
      </w:r>
      <w:r>
        <w:rPr>
          <w:rFonts w:hint="eastAsia"/>
          <w:color w:val="auto"/>
          <w:sz w:val="28"/>
          <w:szCs w:val="28"/>
          <w:highlight w:val="none"/>
          <w:lang w:val="en-US" w:eastAsia="zh-CN"/>
        </w:rPr>
        <w:t>4</w:t>
      </w:r>
      <w:r>
        <w:rPr>
          <w:color w:val="auto"/>
          <w:sz w:val="28"/>
          <w:szCs w:val="28"/>
          <w:highlight w:val="none"/>
        </w:rPr>
        <w:t>年度）</w:t>
      </w: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b/>
          <w:bCs/>
          <w:color w:val="auto"/>
          <w:highlight w:val="none"/>
        </w:rPr>
      </w:pPr>
    </w:p>
    <w:p>
      <w:pPr>
        <w:bidi w:val="0"/>
        <w:jc w:val="both"/>
        <w:rPr>
          <w:rFonts w:hint="eastAsia" w:ascii="仿宋_GB2312" w:hAnsi="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项目名称：</w:t>
      </w:r>
      <w:r>
        <w:rPr>
          <w:rFonts w:hint="eastAsia" w:ascii="仿宋_GB2312" w:hAnsi="仿宋_GB2312" w:cs="仿宋_GB2312"/>
          <w:b w:val="0"/>
          <w:bCs w:val="0"/>
          <w:color w:val="auto"/>
          <w:highlight w:val="none"/>
          <w:lang w:val="en-US" w:eastAsia="zh-CN"/>
        </w:rPr>
        <w:t>乡镇国土空间规划和村庄规划编制项目</w:t>
      </w:r>
    </w:p>
    <w:p>
      <w:pPr>
        <w:bidi w:val="0"/>
        <w:jc w:val="both"/>
        <w:rPr>
          <w:rFonts w:hint="eastAsia" w:ascii="仿宋_GB2312" w:hAnsi="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实施单位（公章）：</w:t>
      </w:r>
      <w:r>
        <w:rPr>
          <w:rFonts w:hint="eastAsia" w:ascii="仿宋_GB2312" w:hAnsi="仿宋_GB2312" w:cs="仿宋_GB2312"/>
          <w:b w:val="0"/>
          <w:bCs w:val="0"/>
          <w:color w:val="auto"/>
          <w:highlight w:val="none"/>
          <w:lang w:val="en-US" w:eastAsia="zh-CN"/>
        </w:rPr>
        <w:t>尉犁县自然资源局</w:t>
      </w:r>
    </w:p>
    <w:p>
      <w:pPr>
        <w:bidi w:val="0"/>
        <w:jc w:val="both"/>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主管部门（公章）：</w:t>
      </w:r>
      <w:r>
        <w:rPr>
          <w:rFonts w:hint="eastAsia" w:ascii="仿宋_GB2312" w:hAnsi="仿宋_GB2312" w:eastAsia="仿宋_GB2312" w:cs="仿宋_GB2312"/>
          <w:b w:val="0"/>
          <w:bCs w:val="0"/>
          <w:color w:val="auto"/>
          <w:highlight w:val="none"/>
          <w:lang w:val="en-US" w:eastAsia="zh-CN"/>
        </w:rPr>
        <w:t>尉犁县自然资源局</w:t>
      </w:r>
    </w:p>
    <w:p>
      <w:pPr>
        <w:bidi w:val="0"/>
        <w:jc w:val="both"/>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项目负责人（签章）：</w:t>
      </w:r>
      <w:r>
        <w:rPr>
          <w:rFonts w:hint="eastAsia" w:ascii="仿宋_GB2312" w:hAnsi="仿宋_GB2312" w:cs="仿宋_GB2312"/>
          <w:b w:val="0"/>
          <w:bCs w:val="0"/>
          <w:color w:val="auto"/>
          <w:highlight w:val="none"/>
          <w:lang w:val="en-US" w:eastAsia="zh-CN"/>
        </w:rPr>
        <w:t>赵卫红</w:t>
      </w:r>
    </w:p>
    <w:p>
      <w:pPr>
        <w:bidi w:val="0"/>
        <w:jc w:val="both"/>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填报时间：</w:t>
      </w:r>
      <w:r>
        <w:rPr>
          <w:rFonts w:hint="eastAsia" w:ascii="仿宋_GB2312" w:hAnsi="仿宋_GB2312" w:cs="仿宋_GB2312"/>
          <w:b w:val="0"/>
          <w:bCs w:val="0"/>
          <w:color w:val="auto"/>
          <w:highlight w:val="none"/>
          <w:lang w:val="en-US" w:eastAsia="zh-CN"/>
        </w:rPr>
        <w:t>2025</w:t>
      </w:r>
      <w:r>
        <w:rPr>
          <w:rFonts w:hint="eastAsia" w:ascii="仿宋_GB2312" w:hAnsi="仿宋_GB2312" w:eastAsia="仿宋_GB2312" w:cs="仿宋_GB2312"/>
          <w:b w:val="0"/>
          <w:bCs w:val="0"/>
          <w:color w:val="auto"/>
          <w:highlight w:val="none"/>
        </w:rPr>
        <w:t>年</w:t>
      </w:r>
      <w:r>
        <w:rPr>
          <w:rFonts w:hint="eastAsia" w:ascii="仿宋_GB2312" w:hAnsi="仿宋_GB2312" w:cs="仿宋_GB2312"/>
          <w:b w:val="0"/>
          <w:bCs w:val="0"/>
          <w:color w:val="auto"/>
          <w:highlight w:val="none"/>
          <w:lang w:val="en-US" w:eastAsia="zh-CN"/>
        </w:rPr>
        <w:t>03</w:t>
      </w:r>
      <w:r>
        <w:rPr>
          <w:rFonts w:hint="eastAsia" w:ascii="仿宋_GB2312" w:hAnsi="仿宋_GB2312" w:eastAsia="仿宋_GB2312" w:cs="仿宋_GB2312"/>
          <w:b w:val="0"/>
          <w:bCs w:val="0"/>
          <w:color w:val="auto"/>
          <w:highlight w:val="none"/>
        </w:rPr>
        <w:t>月</w:t>
      </w:r>
      <w:r>
        <w:rPr>
          <w:rFonts w:hint="eastAsia" w:ascii="仿宋_GB2312" w:hAnsi="仿宋_GB2312" w:cs="仿宋_GB2312"/>
          <w:b w:val="0"/>
          <w:bCs w:val="0"/>
          <w:color w:val="auto"/>
          <w:highlight w:val="none"/>
          <w:lang w:val="en-US" w:eastAsia="zh-CN"/>
        </w:rPr>
        <w:t>31</w:t>
      </w:r>
      <w:r>
        <w:rPr>
          <w:rFonts w:hint="eastAsia" w:ascii="仿宋_GB2312" w:hAnsi="仿宋_GB2312" w:eastAsia="仿宋_GB2312" w:cs="仿宋_GB2312"/>
          <w:b w:val="0"/>
          <w:bCs w:val="0"/>
          <w:color w:val="auto"/>
          <w:highlight w:val="none"/>
        </w:rPr>
        <w:t>日</w:t>
      </w:r>
    </w:p>
    <w:p>
      <w:pPr>
        <w:bidi w:val="0"/>
        <w:jc w:val="both"/>
        <w:rPr>
          <w:rFonts w:hint="default" w:ascii="Times New Roman" w:hAnsi="Times New Roman" w:eastAsia="宋体" w:cs="Times New Roman"/>
          <w:b w:val="0"/>
          <w:bCs w:val="0"/>
          <w:color w:val="auto"/>
          <w:highlight w:val="none"/>
        </w:rPr>
      </w:pPr>
    </w:p>
    <w:p>
      <w:pPr>
        <w:bidi w:val="0"/>
        <w:jc w:val="both"/>
        <w:rPr>
          <w:rFonts w:hint="default" w:ascii="Times New Roman" w:hAnsi="Times New Roman" w:eastAsia="宋体" w:cs="Times New Roman"/>
          <w:b w:val="0"/>
          <w:bCs w:val="0"/>
          <w:color w:val="auto"/>
          <w:highlight w:val="none"/>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after="0" w:line="580" w:lineRule="exact"/>
        <w:ind w:left="0" w:leftChars="0" w:right="0" w:rightChars="0" w:firstLine="0" w:firstLineChars="0"/>
        <w:jc w:val="center"/>
        <w:textAlignment w:val="auto"/>
        <w:rPr>
          <w:b/>
          <w:bCs/>
          <w:color w:val="auto"/>
          <w:sz w:val="32"/>
          <w:szCs w:val="32"/>
          <w:highlight w:val="none"/>
        </w:rPr>
      </w:pPr>
      <w:bookmarkStart w:id="5" w:name="_Toc14721"/>
      <w:bookmarkStart w:id="6" w:name="_Toc15542"/>
      <w:bookmarkStart w:id="7" w:name="_Toc1891"/>
      <w:bookmarkStart w:id="8" w:name="_Toc11827"/>
      <w:bookmarkStart w:id="9" w:name="_Toc5473"/>
      <w:bookmarkStart w:id="10" w:name="_Toc18707"/>
      <w:r>
        <w:rPr>
          <w:rFonts w:ascii="宋体" w:hAnsi="宋体" w:eastAsia="宋体"/>
          <w:b/>
          <w:bCs/>
          <w:color w:val="auto"/>
          <w:sz w:val="32"/>
          <w:szCs w:val="32"/>
          <w:highlight w:val="none"/>
        </w:rPr>
        <w:t>目</w:t>
      </w:r>
      <w:r>
        <w:rPr>
          <w:rFonts w:hint="eastAsia" w:ascii="宋体" w:hAnsi="宋体" w:eastAsia="宋体"/>
          <w:b/>
          <w:bCs/>
          <w:color w:val="auto"/>
          <w:sz w:val="32"/>
          <w:szCs w:val="32"/>
          <w:highlight w:val="none"/>
          <w:lang w:val="en-US" w:eastAsia="zh-CN"/>
        </w:rPr>
        <w:t xml:space="preserve">  </w:t>
      </w:r>
      <w:r>
        <w:rPr>
          <w:rFonts w:ascii="宋体" w:hAnsi="宋体" w:eastAsia="宋体"/>
          <w:b/>
          <w:bCs/>
          <w:color w:val="auto"/>
          <w:sz w:val="32"/>
          <w:szCs w:val="32"/>
          <w:highlight w:val="none"/>
        </w:rPr>
        <w:t>录</w:t>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rPr>
          <w:color w:val="auto"/>
          <w:sz w:val="32"/>
          <w:szCs w:val="32"/>
          <w:highlight w:val="none"/>
        </w:rPr>
        <w:fldChar w:fldCharType="begin"/>
      </w:r>
      <w:r>
        <w:rPr>
          <w:color w:val="auto"/>
          <w:sz w:val="32"/>
          <w:szCs w:val="32"/>
          <w:highlight w:val="none"/>
        </w:rPr>
        <w:instrText xml:space="preserve">TOC \o "1-2" \h \u</w:instrText>
      </w:r>
      <w:r>
        <w:rPr>
          <w:color w:val="auto"/>
          <w:sz w:val="32"/>
          <w:szCs w:val="32"/>
          <w:highlight w:val="none"/>
        </w:rPr>
        <w:fldChar w:fldCharType="separate"/>
      </w:r>
      <w:r>
        <w:fldChar w:fldCharType="begin"/>
      </w:r>
      <w:r>
        <w:instrText xml:space="preserve"> HYPERLINK \l "_Toc20346" </w:instrText>
      </w:r>
      <w:r>
        <w:fldChar w:fldCharType="separate"/>
      </w:r>
      <w:r>
        <w:rPr>
          <w:rFonts w:hint="default" w:ascii="Times New Roman" w:hAnsi="Times New Roman" w:eastAsia="黑体" w:cs="Times New Roman"/>
          <w:bCs/>
          <w:iCs/>
          <w:color w:val="auto"/>
          <w:kern w:val="2"/>
          <w:szCs w:val="21"/>
          <w:highlight w:val="none"/>
          <w:lang w:val="en-US" w:eastAsia="zh-CN" w:bidi="ar-SA"/>
        </w:rPr>
        <w:t>一、基本情况</w:t>
      </w:r>
      <w:r>
        <w:rPr>
          <w:color w:val="auto"/>
          <w:highlight w:val="none"/>
        </w:rPr>
        <w:tab/>
      </w:r>
      <w:r>
        <w:rPr>
          <w:color w:val="auto"/>
          <w:highlight w:val="none"/>
        </w:rPr>
        <w:fldChar w:fldCharType="begin"/>
      </w:r>
      <w:r>
        <w:rPr>
          <w:color w:val="auto"/>
          <w:highlight w:val="none"/>
        </w:rPr>
        <w:instrText xml:space="preserve"> PAGEREF _Toc20346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"_Toc18967" </w:instrText>
      </w:r>
      <w:r>
        <w:fldChar w:fldCharType="separate"/>
      </w:r>
      <w:r>
        <w:rPr>
          <w:rFonts w:hint="default" w:ascii="Times New Roman" w:hAnsi="Times New Roman" w:eastAsia="楷体" w:cs="Times New Roman"/>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_Toc18967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"_Toc10641" </w:instrText>
      </w:r>
      <w:r>
        <w:fldChar w:fldCharType="separate"/>
      </w:r>
      <w:r>
        <w:rPr>
          <w:rFonts w:hint="default" w:ascii="Times New Roman" w:hAnsi="Times New Roman" w:eastAsia="楷体" w:cs="Times New Roman"/>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_Toc10641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"_Toc15842" </w:instrText>
      </w:r>
      <w:r>
        <w:fldChar w:fldCharType="separate"/>
      </w:r>
      <w:r>
        <w:rPr>
          <w:rFonts w:hint="default" w:ascii="Times New Roman" w:hAnsi="Times New Roman" w:eastAsia="黑体" w:cs="Times New Roman"/>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_Toc15842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"_Toc18082" </w:instrText>
      </w:r>
      <w:r>
        <w:fldChar w:fldCharType="separate"/>
      </w:r>
      <w:r>
        <w:rPr>
          <w:rFonts w:hint="default" w:ascii="Times New Roman" w:hAnsi="Times New Roman" w:eastAsia="楷体" w:cs="Times New Roman"/>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_Toc18082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"_Toc376" </w:instrText>
      </w:r>
      <w:r>
        <w:fldChar w:fldCharType="separate"/>
      </w:r>
      <w:r>
        <w:rPr>
          <w:rFonts w:hint="eastAsia" w:ascii="楷体" w:hAnsi="楷体" w:eastAsia="楷体" w:cs="楷体"/>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_Toc376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"_Toc7977" </w:instrText>
      </w:r>
      <w:r>
        <w:fldChar w:fldCharType="separate"/>
      </w:r>
      <w:r>
        <w:rPr>
          <w:rFonts w:hint="eastAsia" w:ascii="楷体" w:hAnsi="楷体" w:eastAsia="楷体" w:cs="楷体"/>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_Toc7977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"_Toc13103" </w:instrText>
      </w:r>
      <w:r>
        <w:fldChar w:fldCharType="separate"/>
      </w:r>
      <w:r>
        <w:rPr>
          <w:rFonts w:hint="eastAsia" w:ascii="黑体" w:hAnsi="黑体" w:eastAsia="黑体" w:cs="黑体"/>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_Toc13103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"_Toc26941" </w:instrText>
      </w:r>
      <w:r>
        <w:fldChar w:fldCharType="separate"/>
      </w:r>
      <w:r>
        <w:rPr>
          <w:rFonts w:hint="eastAsia" w:ascii="黑体" w:hAnsi="黑体" w:eastAsia="黑体" w:cs="黑体"/>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_Toc26941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"_Toc17996" </w:instrText>
      </w:r>
      <w:r>
        <w:fldChar w:fldCharType="separate"/>
      </w:r>
      <w:r>
        <w:rPr>
          <w:rFonts w:hint="eastAsia" w:ascii="楷体" w:hAnsi="楷体" w:eastAsia="楷体" w:cs="楷体"/>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_Toc17996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"_Toc13213" </w:instrText>
      </w:r>
      <w: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_Toc13213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"_Toc4701" </w:instrText>
      </w:r>
      <w:r>
        <w:fldChar w:fldCharType="separate"/>
      </w:r>
      <w:r>
        <w:rPr>
          <w:rFonts w:hint="eastAsia" w:ascii="楷体" w:hAnsi="楷体" w:eastAsia="楷体" w:cs="楷体"/>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_Toc4701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"_Toc9589" </w:instrText>
      </w:r>
      <w:r>
        <w:fldChar w:fldCharType="separate"/>
      </w:r>
      <w:r>
        <w:rPr>
          <w:rFonts w:hint="eastAsia" w:ascii="楷体" w:hAnsi="楷体" w:eastAsia="楷体" w:cs="楷体"/>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_Toc9589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"_Toc13266" </w:instrText>
      </w:r>
      <w:r>
        <w:fldChar w:fldCharType="separate"/>
      </w:r>
      <w:r>
        <w:rPr>
          <w:rFonts w:hint="eastAsia" w:ascii="黑体" w:hAnsi="黑体" w:eastAsia="黑体" w:cs="黑体"/>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_Toc13266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"_Toc28865" </w:instrText>
      </w:r>
      <w:r>
        <w:fldChar w:fldCharType="separate"/>
      </w:r>
      <w:r>
        <w:rPr>
          <w:rFonts w:hint="eastAsia" w:ascii="楷体" w:hAnsi="楷体" w:eastAsia="楷体" w:cs="楷体"/>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_Toc28865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"_Toc1295" </w:instrText>
      </w:r>
      <w:r>
        <w:fldChar w:fldCharType="separate"/>
      </w:r>
      <w:r>
        <w:rPr>
          <w:rFonts w:hint="eastAsia" w:ascii="楷体" w:hAnsi="楷体" w:eastAsia="楷体" w:cs="楷体"/>
          <w:color w:val="auto"/>
          <w:highlight w:val="none"/>
        </w:rPr>
        <w:t>（二）存在的问题及分析</w:t>
      </w:r>
      <w:r>
        <w:rPr>
          <w:color w:val="auto"/>
          <w:highlight w:val="none"/>
        </w:rPr>
        <w:tab/>
      </w:r>
      <w:r>
        <w:rPr>
          <w:color w:val="auto"/>
          <w:highlight w:val="none"/>
        </w:rPr>
        <w:fldChar w:fldCharType="begin"/>
      </w:r>
      <w:r>
        <w:rPr>
          <w:color w:val="auto"/>
          <w:highlight w:val="none"/>
        </w:rPr>
        <w:instrText xml:space="preserve"> PAGEREF _Toc1295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"_Toc7492" </w:instrText>
      </w:r>
      <w:r>
        <w:fldChar w:fldCharType="separate"/>
      </w:r>
      <w:r>
        <w:rPr>
          <w:rFonts w:hint="eastAsia" w:ascii="黑体" w:hAnsi="黑体" w:eastAsia="黑体" w:cs="黑体"/>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_Toc7492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"_Toc29174" </w:instrText>
      </w:r>
      <w:r>
        <w:fldChar w:fldCharType="separate"/>
      </w:r>
      <w:r>
        <w:rPr>
          <w:rFonts w:hint="default" w:ascii="黑体" w:hAnsi="黑体" w:eastAsia="黑体" w:cs="黑体"/>
          <w:bCs/>
          <w:iCs/>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_Toc29174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color w:val="auto"/>
          <w:highlight w:val="none"/>
        </w:rPr>
      </w:pPr>
      <w:r>
        <w:fldChar w:fldCharType="begin"/>
      </w:r>
      <w:r>
        <w:instrText xml:space="preserve"> HYPERLINK \l "_Toc1500" </w:instrText>
      </w:r>
      <w:r>
        <w:fldChar w:fldCharType="separate"/>
      </w:r>
      <w:r>
        <w:rPr>
          <w:rFonts w:hint="default" w:ascii="黑体" w:hAnsi="黑体" w:eastAsia="黑体" w:cs="黑体"/>
          <w:bCs/>
          <w:iCs/>
          <w:color w:val="auto"/>
          <w:highlight w:val="none"/>
        </w:rPr>
        <w:t>八、附件</w:t>
      </w:r>
      <w:r>
        <w:rPr>
          <w:color w:val="auto"/>
          <w:highlight w:val="none"/>
        </w:rPr>
        <w:tab/>
      </w:r>
      <w:r>
        <w:rPr>
          <w:color w:val="auto"/>
          <w:highlight w:val="none"/>
        </w:rPr>
        <w:fldChar w:fldCharType="begin"/>
      </w:r>
      <w:r>
        <w:rPr>
          <w:color w:val="auto"/>
          <w:highlight w:val="none"/>
        </w:rPr>
        <w:instrText xml:space="preserve"> PAGEREF _Toc1500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"_Toc5739" </w:instrText>
      </w:r>
      <w:r>
        <w:fldChar w:fldCharType="separate"/>
      </w:r>
      <w:r>
        <w:rPr>
          <w:rFonts w:hint="default" w:ascii="Times New Roman" w:hAnsi="Times New Roman" w:eastAsia="仿宋_GB2312" w:cs="Times New Roman"/>
          <w:bCs/>
          <w:iCs/>
          <w:color w:val="auto"/>
          <w:highlight w:val="none"/>
        </w:rPr>
        <w:t>附件1：</w:t>
      </w:r>
      <w:r>
        <w:rPr>
          <w:rFonts w:hint="default" w:ascii="Times New Roman" w:hAnsi="Times New Roman" w:eastAsia="仿宋_GB2312" w:cs="Times New Roman"/>
          <w:color w:val="auto"/>
          <w:highlight w:val="none"/>
        </w:rPr>
        <w:t>项目支出绩效自评表</w:t>
      </w:r>
      <w:r>
        <w:rPr>
          <w:color w:val="auto"/>
          <w:highlight w:val="none"/>
        </w:rPr>
        <w:tab/>
      </w:r>
      <w:r>
        <w:rPr>
          <w:color w:val="auto"/>
          <w:highlight w:val="none"/>
        </w:rPr>
        <w:fldChar w:fldCharType="begin"/>
      </w:r>
      <w:r>
        <w:rPr>
          <w:color w:val="auto"/>
          <w:highlight w:val="none"/>
        </w:rPr>
        <w:instrText xml:space="preserve"> PAGEREF _Toc5739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p>
    <w:p>
      <w:pPr>
        <w:pStyle w:val="10"/>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fldChar w:fldCharType="begin"/>
      </w:r>
      <w:r>
        <w:instrText xml:space="preserve"> HYPERLINK \l "_Toc26113" </w:instrText>
      </w:r>
      <w:r>
        <w:fldChar w:fldCharType="separate"/>
      </w:r>
      <w:r>
        <w:rPr>
          <w:rFonts w:hint="default" w:ascii="Times New Roman" w:hAnsi="Times New Roman" w:eastAsia="仿宋_GB2312" w:cs="Times New Roman"/>
          <w:color w:val="auto"/>
          <w:highlight w:val="none"/>
        </w:rPr>
        <w:t>附件2：项目支出绩效评价指标体系及评分</w:t>
      </w:r>
      <w:r>
        <w:rPr>
          <w:color w:val="auto"/>
          <w:highlight w:val="none"/>
        </w:rPr>
        <w:tab/>
      </w:r>
      <w:r>
        <w:rPr>
          <w:color w:val="auto"/>
          <w:highlight w:val="none"/>
        </w:rPr>
        <w:fldChar w:fldCharType="begin"/>
      </w:r>
      <w:r>
        <w:rPr>
          <w:color w:val="auto"/>
          <w:highlight w:val="none"/>
        </w:rPr>
        <w:instrText xml:space="preserve"> PAGEREF _Toc26113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auto"/>
          <w:szCs w:val="32"/>
          <w:highlight w:val="none"/>
        </w:rPr>
      </w:pPr>
      <w:r>
        <w:rPr>
          <w:color w:val="auto"/>
          <w:szCs w:val="32"/>
          <w:highlight w:val="none"/>
        </w:rPr>
        <w:fldChar w:fldCharType="end"/>
      </w:r>
    </w:p>
    <w:p>
      <w:pPr>
        <w:pStyle w:val="2"/>
        <w:bidi w:val="0"/>
        <w:rPr>
          <w:rFonts w:hint="default" w:ascii="Times New Roman" w:hAnsi="Times New Roman" w:eastAsia="黑体" w:cs="Times New Roman"/>
          <w:bCs/>
          <w:iCs/>
          <w:color w:val="auto"/>
          <w:kern w:val="2"/>
          <w:sz w:val="32"/>
          <w:szCs w:val="21"/>
          <w:highlight w:val="none"/>
          <w:lang w:val="en-US" w:eastAsia="zh-CN" w:bidi="ar-SA"/>
        </w:rPr>
        <w:sectPr>
          <w:footerReference r:id="rId3" w:type="default"/>
          <w:pgSz w:w="11906" w:h="16838"/>
          <w:pgMar w:top="1440" w:right="1800" w:bottom="1440" w:left="1800" w:header="851" w:footer="992" w:gutter="0"/>
          <w:pgNumType w:fmt="decimal"/>
          <w:cols w:space="720" w:num="1"/>
          <w:docGrid w:type="lines" w:linePitch="312" w:charSpace="0"/>
        </w:sectPr>
      </w:pPr>
      <w:bookmarkStart w:id="11" w:name="_Toc20346"/>
    </w:p>
    <w:p>
      <w:pPr>
        <w:pStyle w:val="2"/>
        <w:bidi w:val="0"/>
        <w:rPr>
          <w:rFonts w:hint="default" w:ascii="Times New Roman" w:hAnsi="Times New Roman" w:eastAsia="黑体" w:cs="Times New Roman"/>
          <w:bCs/>
          <w:iCs/>
          <w:color w:val="auto"/>
          <w:kern w:val="2"/>
          <w:sz w:val="32"/>
          <w:szCs w:val="21"/>
          <w:highlight w:val="none"/>
          <w:lang w:val="en-US" w:eastAsia="zh-CN" w:bidi="ar-SA"/>
        </w:rPr>
      </w:pPr>
      <w:r>
        <w:rPr>
          <w:rFonts w:hint="default" w:ascii="Times New Roman" w:hAnsi="Times New Roman" w:eastAsia="黑体" w:cs="Times New Roman"/>
          <w:bCs/>
          <w:iCs/>
          <w:color w:val="auto"/>
          <w:kern w:val="2"/>
          <w:sz w:val="32"/>
          <w:szCs w:val="21"/>
          <w:highlight w:val="none"/>
          <w:lang w:val="en-US" w:eastAsia="zh-CN" w:bidi="ar-SA"/>
        </w:rPr>
        <w:t>一、基本情况</w:t>
      </w:r>
      <w:bookmarkEnd w:id="5"/>
      <w:bookmarkEnd w:id="6"/>
      <w:bookmarkEnd w:id="7"/>
      <w:bookmarkEnd w:id="8"/>
      <w:bookmarkEnd w:id="9"/>
      <w:bookmarkEnd w:id="10"/>
      <w:bookmarkEnd w:id="11"/>
      <w:bookmarkStart w:id="12" w:name="_Toc27593"/>
    </w:p>
    <w:p>
      <w:pPr>
        <w:pStyle w:val="4"/>
        <w:bidi w:val="0"/>
        <w:jc w:val="both"/>
        <w:outlineLvl w:val="1"/>
        <w:rPr>
          <w:rFonts w:hint="default" w:ascii="Times New Roman" w:hAnsi="Times New Roman" w:eastAsia="楷体" w:cs="Times New Roman"/>
          <w:color w:val="auto"/>
          <w:highlight w:val="none"/>
        </w:rPr>
      </w:pPr>
      <w:bookmarkStart w:id="13" w:name="_Toc26183"/>
      <w:bookmarkStart w:id="14" w:name="_Toc18967"/>
      <w:bookmarkStart w:id="15" w:name="_Toc24048"/>
      <w:bookmarkStart w:id="16" w:name="_Toc9236"/>
      <w:bookmarkStart w:id="17" w:name="_Toc24706"/>
      <w:r>
        <w:rPr>
          <w:rFonts w:hint="default" w:ascii="Times New Roman" w:hAnsi="Times New Roman" w:eastAsia="楷体" w:cs="Times New Roman"/>
          <w:color w:val="auto"/>
          <w:highlight w:val="none"/>
        </w:rPr>
        <w:t>（一）项目概况</w:t>
      </w:r>
      <w:bookmarkEnd w:id="12"/>
      <w:bookmarkEnd w:id="13"/>
      <w:bookmarkEnd w:id="14"/>
      <w:bookmarkEnd w:id="15"/>
      <w:bookmarkEnd w:id="16"/>
      <w:bookmarkEnd w:id="17"/>
    </w:p>
    <w:p>
      <w:pPr>
        <w:bidi w:val="0"/>
        <w:jc w:val="both"/>
        <w:rPr>
          <w:rFonts w:hint="default" w:ascii="Times New Roman" w:hAnsi="Times New Roman" w:eastAsia="仿宋_GB2312" w:cs="Times New Roman"/>
          <w:b/>
          <w:bCs/>
          <w:color w:val="auto"/>
          <w:highlight w:val="none"/>
        </w:rPr>
      </w:pPr>
      <w:bookmarkStart w:id="18" w:name="_Toc11427"/>
      <w:bookmarkStart w:id="19" w:name="_Toc19984"/>
      <w:r>
        <w:rPr>
          <w:rFonts w:hint="default" w:ascii="Times New Roman" w:hAnsi="Times New Roman" w:eastAsia="仿宋_GB2312" w:cs="Times New Roman"/>
          <w:b/>
          <w:bCs/>
          <w:color w:val="auto"/>
          <w:highlight w:val="none"/>
        </w:rPr>
        <w:t>1.项目背景</w:t>
      </w:r>
      <w:bookmarkEnd w:id="18"/>
      <w:bookmarkEnd w:id="19"/>
    </w:p>
    <w:p>
      <w:pPr>
        <w:bidi w:val="0"/>
        <w:jc w:val="both"/>
        <w:rPr>
          <w:rFonts w:hint="eastAsia" w:ascii="Times New Roman" w:hAnsi="Times New Roman" w:cs="Times New Roman"/>
          <w:color w:val="auto"/>
          <w:highlight w:val="none"/>
          <w:lang w:val="en-US" w:eastAsia="zh-CN"/>
        </w:rPr>
      </w:pPr>
      <w:bookmarkStart w:id="20" w:name="_Toc22216"/>
      <w:r>
        <w:rPr>
          <w:rFonts w:hint="eastAsia" w:ascii="Times New Roman" w:hAnsi="Times New Roman" w:cs="Times New Roman"/>
          <w:color w:val="auto"/>
          <w:highlight w:val="none"/>
          <w:lang w:val="en-US" w:eastAsia="zh-CN"/>
        </w:rPr>
        <w:t>为深入贯彻落实党中央、国务院关于建立国土空间规划体系并监督实施的重大决策部署，按照《关于印发新疆全面开展国土空间规划编制工作方案的通知》（新政办发(2019）92号）文件精神，为进一步推动我县“二级三类”国土空间规划体系建立，按照自治区、自治州党委和政府关于国土空间规划以及自治区自然资源厅工作安排，我县积极推进乡镇和村庄国土空间规划编制工作，主要依据乡镇和村庄规划的目标与任务，结合当地实际情况，选取土地利用、产业发展、基础设施建设、生态环境等方面的关键指标，如耕地保护率、特色产业增长率、道路硬化率、森林覆盖率等。</w:t>
      </w:r>
    </w:p>
    <w:p>
      <w:p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尉犁县地处新疆维吾尔自治区中部，是连接南北疆的交通要道。随着乡村振兴战略的深入推进以及新型城镇化建设的加速，为统筹城乡发展、优化空间布局、提升乡村发展质量，尉犁县启动乡镇总体规划和村庄规划编制工作，旨在构建布局合理、功能完善、生态宜居的城乡发展格局，推动县域经济社会可持续发展。</w:t>
      </w:r>
      <w:bookmarkStart w:id="21" w:name="_Toc22079"/>
      <w:r>
        <w:rPr>
          <w:rFonts w:hint="eastAsia" w:ascii="Times New Roman" w:hAnsi="Times New Roman" w:cs="Times New Roman"/>
          <w:color w:val="auto"/>
          <w:highlight w:val="none"/>
          <w:lang w:val="en-US" w:eastAsia="zh-CN"/>
        </w:rPr>
        <w:t>本项目的实施注重生态环境保护和资源合理利用，加强生态保护红线区域的保护，提出有效的生态修复措施，促进生态系统的稳定和生态服务功能的提升；规划中明确尉犁县各级的生态保护区域，禁止在该区域进行无序开发，规划实施后，有效减少农村环境污染，保护生态空间，有效推进生态文明建设。</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2.项目主要内容</w:t>
      </w:r>
      <w:bookmarkEnd w:id="20"/>
      <w:bookmarkEnd w:id="21"/>
    </w:p>
    <w:p>
      <w:pPr>
        <w:bidi w:val="0"/>
        <w:jc w:val="both"/>
        <w:rPr>
          <w:rFonts w:hint="default" w:ascii="Times New Roman" w:hAnsi="Times New Roman" w:eastAsia="仿宋_GB2312" w:cs="Times New Roman"/>
          <w:color w:val="auto"/>
          <w:highlight w:val="none"/>
        </w:rPr>
      </w:pPr>
      <w:bookmarkStart w:id="22" w:name="_Toc21529"/>
      <w:r>
        <w:rPr>
          <w:rFonts w:hint="eastAsia" w:ascii="Times New Roman" w:hAnsi="Times New Roman" w:cs="Times New Roman"/>
          <w:color w:val="auto"/>
          <w:highlight w:val="none"/>
          <w:lang w:val="en-US" w:eastAsia="zh-CN"/>
        </w:rPr>
        <w:t>编制科学合理、符合尉犁县实际发展需求的乡镇总体规划和村庄规划，实现城乡空间资源的优化配置，促进产业融合发展，提升乡村基础设施和公共服务水平，保护生态环境，助力乡村振兴战略实施。完成六个乡镇的总体规划编制，明确各乡镇的发展定位、规模、空间布局以及产业发展方向，确定基础设施和公共服务设施的配置标准和建设要求；完成39个村庄的规划编制，优化村庄居民点布局，完善基础设施和公共服务设施，挖掘村庄特色资源，发展特色产业，塑造具有地域特色的乡村风貌。</w:t>
      </w:r>
    </w:p>
    <w:p>
      <w:pPr>
        <w:bidi w:val="0"/>
        <w:jc w:val="both"/>
        <w:rPr>
          <w:rFonts w:hint="default" w:ascii="Times New Roman" w:hAnsi="Times New Roman" w:eastAsia="仿宋_GB2312" w:cs="Times New Roman"/>
          <w:b/>
          <w:bCs/>
          <w:color w:val="auto"/>
          <w:highlight w:val="none"/>
        </w:rPr>
      </w:pPr>
      <w:bookmarkStart w:id="23" w:name="_Toc31519"/>
      <w:r>
        <w:rPr>
          <w:rFonts w:hint="default" w:ascii="Times New Roman" w:hAnsi="Times New Roman" w:eastAsia="仿宋_GB2312" w:cs="Times New Roman"/>
          <w:b/>
          <w:bCs/>
          <w:color w:val="auto"/>
          <w:highlight w:val="none"/>
        </w:rPr>
        <w:t>3.项目实施情况</w:t>
      </w:r>
      <w:bookmarkEnd w:id="22"/>
      <w:bookmarkEnd w:id="23"/>
      <w:bookmarkStart w:id="24" w:name="_Toc20138"/>
    </w:p>
    <w:p>
      <w:pPr>
        <w:bidi w:val="0"/>
        <w:jc w:val="both"/>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我县于2023年2月启动乡镇国土空间规划和村庄规划编制工作，编制单位为新疆国源测绘规划设计院。8月完成规划成果初稿，2024年4月，自治区下发《新疆维吾尔自治区乡镇国土空间总体规划编制技术规程（试行）》，按照编制规程，编制单位对规划成果进行修正和完善。2024年12月5日-6日，我局组织召开尉犁县6个乡镇国土空间总体规划专家和部门单位评审会。目前，按照专家和部门单位的评审意见，技术单位正在对规划成果进行修改和优化。2024年度已完成6个乡镇国土空间规划和39个行政村的规划编制工作，提交乡（镇）规划成果6套、提交行政村规划成果35套，使数据成果的准确率达到100%，有效推动了我县乡村振兴和生态文明建设工作。</w:t>
      </w:r>
    </w:p>
    <w:p>
      <w:pPr>
        <w:bidi w:val="0"/>
        <w:jc w:val="both"/>
        <w:rPr>
          <w:rFonts w:hint="default" w:ascii="Times New Roman" w:hAnsi="Times New Roman" w:eastAsia="仿宋_GB2312" w:cs="Times New Roman"/>
          <w:b/>
          <w:bCs/>
          <w:color w:val="auto"/>
          <w:highlight w:val="none"/>
        </w:rPr>
      </w:pPr>
      <w:bookmarkStart w:id="25" w:name="_Toc1111"/>
      <w:r>
        <w:rPr>
          <w:rFonts w:hint="default" w:ascii="Times New Roman" w:hAnsi="Times New Roman" w:eastAsia="仿宋_GB2312" w:cs="Times New Roman"/>
          <w:b/>
          <w:bCs/>
          <w:color w:val="auto"/>
          <w:highlight w:val="none"/>
        </w:rPr>
        <w:t>4.资金投入情况</w:t>
      </w:r>
      <w:bookmarkEnd w:id="24"/>
      <w:bookmarkEnd w:id="25"/>
    </w:p>
    <w:p>
      <w:pPr>
        <w:bidi w:val="0"/>
        <w:jc w:val="both"/>
        <w:rPr>
          <w:rFonts w:hint="default" w:ascii="Times New Roman" w:hAnsi="Times New Roman" w:eastAsia="仿宋_GB2312" w:cs="Times New Roman"/>
          <w:color w:val="auto"/>
          <w:highlight w:val="none"/>
          <w:lang w:eastAsia="zh-CN"/>
        </w:rPr>
      </w:pPr>
      <w:bookmarkStart w:id="26" w:name="_Toc7324"/>
      <w:r>
        <w:rPr>
          <w:rFonts w:hint="default" w:ascii="Times New Roman" w:hAnsi="Times New Roman" w:eastAsia="仿宋_GB2312" w:cs="Times New Roman"/>
          <w:color w:val="auto"/>
          <w:highlight w:val="none"/>
        </w:rPr>
        <w:t>根据</w:t>
      </w:r>
      <w:r>
        <w:rPr>
          <w:rFonts w:hint="eastAsia" w:ascii="Times New Roman" w:hAnsi="Times New Roman" w:cs="Times New Roman"/>
          <w:color w:val="auto"/>
          <w:highlight w:val="none"/>
          <w:lang w:eastAsia="zh-CN"/>
        </w:rPr>
        <w:t>《关于下达乡镇国土空间规划和村庄规划编制项目资金的通知》（</w:t>
      </w:r>
      <w:r>
        <w:rPr>
          <w:rFonts w:hint="default" w:ascii="Times New Roman" w:hAnsi="Times New Roman" w:eastAsia="仿宋_GB2312" w:cs="Times New Roman"/>
          <w:color w:val="auto"/>
          <w:highlight w:val="none"/>
        </w:rPr>
        <w:t>尉财预[2024]176号</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下达</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w:t>
      </w:r>
      <w:r>
        <w:rPr>
          <w:rFonts w:hint="eastAsia" w:ascii="Times New Roman" w:hAnsi="Times New Roman" w:cs="Times New Roman"/>
          <w:color w:val="auto"/>
          <w:highlight w:val="none"/>
          <w:lang w:eastAsia="zh-CN"/>
        </w:rPr>
        <w:t>全部</w:t>
      </w:r>
      <w:r>
        <w:rPr>
          <w:rFonts w:hint="default" w:ascii="Times New Roman" w:hAnsi="Times New Roman" w:eastAsia="仿宋_GB2312" w:cs="Times New Roman"/>
          <w:color w:val="auto"/>
          <w:highlight w:val="none"/>
        </w:rPr>
        <w:t>用于乡镇国土空间规划和村庄规划编制</w:t>
      </w:r>
      <w:r>
        <w:rPr>
          <w:rFonts w:hint="eastAsia" w:ascii="Times New Roman" w:hAnsi="Times New Roman" w:cs="Times New Roman"/>
          <w:color w:val="auto"/>
          <w:highlight w:val="none"/>
          <w:lang w:eastAsia="zh-CN"/>
        </w:rPr>
        <w:t>项目技术服务费</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p>
    <w:p>
      <w:pPr>
        <w:bidi w:val="0"/>
        <w:jc w:val="both"/>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实施</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投入</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万元，其中</w:t>
      </w:r>
      <w:r>
        <w:rPr>
          <w:rFonts w:hint="eastAsia" w:ascii="Times New Roman" w:hAnsi="Times New Roman" w:cs="Times New Roman"/>
          <w:color w:val="auto"/>
          <w:highlight w:val="none"/>
          <w:lang w:val="en-US" w:eastAsia="zh-CN"/>
        </w:rPr>
        <w:t>县级</w:t>
      </w:r>
      <w:r>
        <w:rPr>
          <w:rFonts w:hint="default" w:ascii="Times New Roman" w:hAnsi="Times New Roman" w:eastAsia="仿宋_GB2312" w:cs="Times New Roman"/>
          <w:color w:val="auto"/>
          <w:highlight w:val="none"/>
          <w:lang w:val="en-US" w:eastAsia="zh-CN"/>
        </w:rPr>
        <w:t>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lang w:val="en-US" w:eastAsia="zh-CN"/>
        </w:rPr>
        <w:t>万元</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b/>
          <w:bCs/>
          <w:color w:val="auto"/>
          <w:highlight w:val="none"/>
        </w:rPr>
      </w:pPr>
      <w:bookmarkStart w:id="27" w:name="_Toc10837"/>
      <w:r>
        <w:rPr>
          <w:rFonts w:hint="default" w:ascii="Times New Roman" w:hAnsi="Times New Roman" w:eastAsia="仿宋_GB2312" w:cs="Times New Roman"/>
          <w:b/>
          <w:bCs/>
          <w:color w:val="auto"/>
          <w:highlight w:val="none"/>
        </w:rPr>
        <w:t>5.资金使用情况</w:t>
      </w:r>
      <w:bookmarkEnd w:id="26"/>
      <w:bookmarkEnd w:id="27"/>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2024</w:t>
      </w:r>
      <w:r>
        <w:rPr>
          <w:rFonts w:hint="default" w:ascii="Times New Roman" w:hAnsi="Times New Roman" w:eastAsia="仿宋_GB2312" w:cs="Times New Roman"/>
          <w:color w:val="auto"/>
          <w:sz w:val="32"/>
          <w:szCs w:val="32"/>
          <w:highlight w:val="none"/>
          <w:lang w:eastAsia="zh-CN"/>
        </w:rPr>
        <w:t>年初预算数</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实际到位资金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截</w:t>
      </w:r>
      <w:r>
        <w:rPr>
          <w:rFonts w:hint="eastAsia" w:ascii="Times New Roman" w:hAnsi="Times New Roman" w:cs="Times New Roman"/>
          <w:color w:val="auto"/>
          <w:highlight w:val="none"/>
          <w:lang w:val="en-US" w:eastAsia="zh-CN"/>
        </w:rPr>
        <w:t>至</w:t>
      </w: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年12月31日</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项目实际使用资金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万元，资金</w:t>
      </w:r>
      <w:r>
        <w:rPr>
          <w:rFonts w:hint="default" w:ascii="Times New Roman" w:hAnsi="Times New Roman" w:eastAsia="仿宋_GB2312" w:cs="Times New Roman"/>
          <w:color w:val="auto"/>
          <w:highlight w:val="none"/>
          <w:lang w:val="en-US" w:eastAsia="zh-CN"/>
        </w:rPr>
        <w:t>使用</w:t>
      </w:r>
      <w:r>
        <w:rPr>
          <w:rFonts w:hint="default" w:ascii="Times New Roman" w:hAnsi="Times New Roman" w:eastAsia="仿宋_GB2312" w:cs="Times New Roman"/>
          <w:color w:val="auto"/>
          <w:highlight w:val="none"/>
        </w:rPr>
        <w:t>率达到了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%。具体资金支付情况</w:t>
      </w:r>
      <w:r>
        <w:rPr>
          <w:rFonts w:hint="eastAsia" w:ascii="Times New Roman" w:hAnsi="Times New Roman" w:cs="Times New Roman"/>
          <w:color w:val="auto"/>
          <w:highlight w:val="none"/>
          <w:lang w:val="en-US" w:eastAsia="zh-CN"/>
        </w:rPr>
        <w:t>如下</w:t>
      </w:r>
      <w:r>
        <w:rPr>
          <w:rFonts w:hint="default" w:ascii="Times New Roman" w:hAnsi="Times New Roman" w:eastAsia="仿宋_GB2312" w:cs="Times New Roman"/>
          <w:color w:val="auto"/>
          <w:highlight w:val="none"/>
        </w:rPr>
        <w:t>：</w:t>
      </w:r>
    </w:p>
    <w:p>
      <w:pPr>
        <w:bidi w:val="0"/>
        <w:jc w:val="both"/>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w:t>
      </w:r>
      <w:r>
        <w:rPr>
          <w:rFonts w:hint="eastAsia"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月</w:t>
      </w:r>
      <w:r>
        <w:rPr>
          <w:rFonts w:hint="eastAsia" w:ascii="Times New Roman" w:hAnsi="Times New Roman" w:cs="Times New Roman"/>
          <w:color w:val="auto"/>
          <w:highlight w:val="none"/>
          <w:lang w:val="en-US" w:eastAsia="zh-CN"/>
        </w:rPr>
        <w:t>27</w:t>
      </w:r>
      <w:r>
        <w:rPr>
          <w:rFonts w:hint="default" w:ascii="Times New Roman" w:hAnsi="Times New Roman" w:eastAsia="仿宋_GB2312" w:cs="Times New Roman"/>
          <w:color w:val="auto"/>
          <w:highlight w:val="none"/>
        </w:rPr>
        <w:t>日，支付</w:t>
      </w:r>
      <w:r>
        <w:rPr>
          <w:rFonts w:hint="eastAsia" w:ascii="Times New Roman" w:hAnsi="Times New Roman" w:cs="Times New Roman"/>
          <w:color w:val="auto"/>
          <w:highlight w:val="none"/>
          <w:lang w:val="en-US" w:eastAsia="zh-CN"/>
        </w:rPr>
        <w:t>新疆国源测绘规划有限公司268</w:t>
      </w:r>
      <w:r>
        <w:rPr>
          <w:rFonts w:hint="default" w:ascii="Times New Roman" w:hAnsi="Times New Roman" w:eastAsia="仿宋_GB2312" w:cs="Times New Roman"/>
          <w:color w:val="auto"/>
          <w:highlight w:val="none"/>
        </w:rPr>
        <w:t>万元</w:t>
      </w:r>
      <w:r>
        <w:rPr>
          <w:rFonts w:hint="eastAsia" w:ascii="Times New Roman" w:hAnsi="Times New Roman" w:cs="Times New Roman"/>
          <w:color w:val="auto"/>
          <w:highlight w:val="none"/>
          <w:lang w:eastAsia="zh-CN"/>
        </w:rPr>
        <w:t>。</w:t>
      </w:r>
    </w:p>
    <w:p>
      <w:pPr>
        <w:pStyle w:val="4"/>
        <w:bidi w:val="0"/>
        <w:jc w:val="both"/>
        <w:outlineLvl w:val="1"/>
        <w:rPr>
          <w:rFonts w:hint="default" w:ascii="Times New Roman" w:hAnsi="Times New Roman" w:eastAsia="楷体" w:cs="Times New Roman"/>
          <w:color w:val="auto"/>
          <w:highlight w:val="none"/>
        </w:rPr>
      </w:pPr>
      <w:bookmarkStart w:id="28" w:name="_Toc14296"/>
      <w:bookmarkStart w:id="29" w:name="_Toc10641"/>
      <w:bookmarkStart w:id="30" w:name="_Toc31302"/>
      <w:bookmarkStart w:id="31" w:name="_Toc26395"/>
      <w:bookmarkStart w:id="32" w:name="_Toc9567"/>
      <w:bookmarkStart w:id="33" w:name="_Toc11967"/>
      <w:r>
        <w:rPr>
          <w:rFonts w:hint="default" w:ascii="Times New Roman" w:hAnsi="Times New Roman" w:eastAsia="楷体" w:cs="Times New Roman"/>
          <w:color w:val="auto"/>
          <w:highlight w:val="none"/>
        </w:rPr>
        <w:t>（二）项目绩效目标</w:t>
      </w:r>
      <w:bookmarkEnd w:id="28"/>
      <w:bookmarkEnd w:id="29"/>
      <w:bookmarkEnd w:id="30"/>
      <w:bookmarkEnd w:id="31"/>
      <w:bookmarkEnd w:id="32"/>
      <w:bookmarkEnd w:id="33"/>
    </w:p>
    <w:p>
      <w:pPr>
        <w:bidi w:val="0"/>
        <w:jc w:val="both"/>
        <w:rPr>
          <w:rFonts w:hint="default" w:ascii="Times New Roman" w:hAnsi="Times New Roman" w:eastAsia="仿宋_GB2312" w:cs="Times New Roman"/>
          <w:b/>
          <w:bCs/>
          <w:color w:val="auto"/>
          <w:highlight w:val="none"/>
        </w:rPr>
      </w:pPr>
      <w:bookmarkStart w:id="34" w:name="_Toc18809"/>
      <w:bookmarkStart w:id="35" w:name="_Toc905"/>
      <w:r>
        <w:rPr>
          <w:rFonts w:hint="default" w:ascii="Times New Roman" w:hAnsi="Times New Roman" w:eastAsia="仿宋_GB2312" w:cs="Times New Roman"/>
          <w:b/>
          <w:bCs/>
          <w:color w:val="auto"/>
          <w:highlight w:val="none"/>
        </w:rPr>
        <w:t>1.总体目标</w:t>
      </w:r>
      <w:bookmarkEnd w:id="34"/>
      <w:bookmarkEnd w:id="35"/>
    </w:p>
    <w:p>
      <w:pPr>
        <w:bidi w:val="0"/>
        <w:jc w:val="both"/>
        <w:rPr>
          <w:rFonts w:hint="eastAsia" w:ascii="Times New Roman" w:hAnsi="Times New Roman" w:cs="Times New Roman"/>
          <w:color w:val="auto"/>
          <w:highlight w:val="none"/>
          <w:lang w:eastAsia="zh-CN"/>
        </w:rPr>
      </w:pPr>
      <w:bookmarkStart w:id="36" w:name="_Toc11195"/>
      <w:bookmarkStart w:id="37" w:name="_Toc10045"/>
      <w:r>
        <w:rPr>
          <w:rFonts w:hint="eastAsia" w:ascii="Times New Roman" w:hAnsi="Times New Roman" w:cs="Times New Roman"/>
          <w:color w:val="auto"/>
          <w:highlight w:val="none"/>
          <w:lang w:eastAsia="zh-CN"/>
        </w:rPr>
        <w:t>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需完成6个乡镇国土空间规划和39个行政村的规划编制工作，提交乡（镇）规划成果6套、提交行政村规划成果35套，使数据成果的准确率达到100%。</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2.阶段性目标</w:t>
      </w:r>
      <w:bookmarkEnd w:id="36"/>
      <w:bookmarkEnd w:id="37"/>
    </w:p>
    <w:p>
      <w:pPr>
        <w:bidi w:val="0"/>
        <w:rPr>
          <w:rFonts w:hint="eastAsia"/>
          <w:color w:val="auto"/>
          <w:highlight w:val="none"/>
          <w:lang w:val="en-US" w:eastAsia="zh-CN"/>
        </w:rPr>
      </w:pPr>
      <w:bookmarkStart w:id="38" w:name="_Toc31122"/>
      <w:bookmarkStart w:id="39" w:name="_Toc6156"/>
      <w:bookmarkStart w:id="40" w:name="_Toc25321"/>
      <w:bookmarkStart w:id="41" w:name="_Toc6534"/>
      <w:bookmarkStart w:id="42" w:name="_Toc857"/>
      <w:r>
        <w:rPr>
          <w:rFonts w:hint="eastAsia"/>
          <w:color w:val="auto"/>
          <w:highlight w:val="none"/>
          <w:lang w:val="en-US" w:eastAsia="zh-CN"/>
        </w:rPr>
        <w:t>（1）计划2024年12月，完成6个乡镇国土空间规划和39个行政村的规划编制工作，提交乡（镇）规划成果6套、提交行政村规划成果35套。</w:t>
      </w:r>
    </w:p>
    <w:p>
      <w:pPr>
        <w:bidi w:val="0"/>
        <w:rPr>
          <w:rFonts w:hint="eastAsia"/>
          <w:color w:val="auto"/>
          <w:highlight w:val="none"/>
          <w:lang w:val="en-US" w:eastAsia="zh-CN"/>
        </w:rPr>
      </w:pPr>
      <w:r>
        <w:rPr>
          <w:rFonts w:hint="eastAsia"/>
          <w:color w:val="auto"/>
          <w:highlight w:val="none"/>
          <w:lang w:val="en-US" w:eastAsia="zh-CN"/>
        </w:rPr>
        <w:t>（2）计划2024年12月，组织召开尉犁县6个乡镇国土空间总体规划专家和部门单位评审会。按照专家和部门单位的评审意见，技术单位正在对规划成果进行修改和优化。</w:t>
      </w:r>
    </w:p>
    <w:p>
      <w:pPr>
        <w:pStyle w:val="2"/>
        <w:bidi w:val="0"/>
        <w:jc w:val="both"/>
        <w:outlineLvl w:val="0"/>
        <w:rPr>
          <w:rFonts w:hint="default" w:ascii="Times New Roman" w:hAnsi="Times New Roman" w:eastAsia="黑体" w:cs="Times New Roman"/>
          <w:color w:val="auto"/>
          <w:highlight w:val="none"/>
        </w:rPr>
      </w:pPr>
      <w:bookmarkStart w:id="43" w:name="_Toc15842"/>
      <w:r>
        <w:rPr>
          <w:rFonts w:hint="default" w:ascii="Times New Roman" w:hAnsi="Times New Roman" w:eastAsia="黑体" w:cs="Times New Roman"/>
          <w:color w:val="auto"/>
          <w:highlight w:val="none"/>
        </w:rPr>
        <w:t>二、绩效评价工作开展情况</w:t>
      </w:r>
      <w:bookmarkEnd w:id="38"/>
      <w:bookmarkEnd w:id="39"/>
      <w:bookmarkEnd w:id="40"/>
      <w:bookmarkEnd w:id="41"/>
      <w:bookmarkEnd w:id="42"/>
      <w:bookmarkEnd w:id="43"/>
    </w:p>
    <w:p>
      <w:pPr>
        <w:pStyle w:val="4"/>
        <w:bidi w:val="0"/>
        <w:jc w:val="both"/>
        <w:outlineLvl w:val="1"/>
        <w:rPr>
          <w:rFonts w:hint="default" w:ascii="Times New Roman" w:hAnsi="Times New Roman" w:eastAsia="楷体" w:cs="Times New Roman"/>
          <w:color w:val="auto"/>
          <w:highlight w:val="none"/>
        </w:rPr>
      </w:pPr>
      <w:bookmarkStart w:id="44" w:name="_Toc30569"/>
      <w:bookmarkStart w:id="45" w:name="_Toc18082"/>
      <w:bookmarkStart w:id="46" w:name="_Toc17516"/>
      <w:bookmarkStart w:id="47" w:name="_Toc10300"/>
      <w:bookmarkStart w:id="48" w:name="_Toc32557"/>
      <w:r>
        <w:rPr>
          <w:rFonts w:hint="default" w:ascii="Times New Roman" w:hAnsi="Times New Roman" w:eastAsia="楷体" w:cs="Times New Roman"/>
          <w:color w:val="auto"/>
          <w:highlight w:val="none"/>
        </w:rPr>
        <w:t>（一）绩效评价目的、对象和范围</w:t>
      </w:r>
      <w:bookmarkEnd w:id="44"/>
      <w:bookmarkEnd w:id="45"/>
      <w:bookmarkEnd w:id="46"/>
      <w:bookmarkEnd w:id="47"/>
      <w:bookmarkEnd w:id="48"/>
    </w:p>
    <w:p>
      <w:pPr>
        <w:bidi w:val="0"/>
        <w:jc w:val="both"/>
        <w:rPr>
          <w:rFonts w:hint="default" w:ascii="Times New Roman" w:hAnsi="Times New Roman" w:eastAsia="仿宋_GB2312" w:cs="Times New Roman"/>
          <w:b/>
          <w:bCs/>
          <w:color w:val="auto"/>
          <w:highlight w:val="none"/>
        </w:rPr>
      </w:pPr>
      <w:bookmarkStart w:id="49" w:name="_Toc12440"/>
      <w:bookmarkStart w:id="50" w:name="_Toc11562"/>
      <w:r>
        <w:rPr>
          <w:rFonts w:hint="default" w:ascii="Times New Roman" w:hAnsi="Times New Roman" w:eastAsia="仿宋_GB2312" w:cs="Times New Roman"/>
          <w:b/>
          <w:bCs/>
          <w:color w:val="auto"/>
          <w:highlight w:val="none"/>
        </w:rPr>
        <w:t>1.绩效评价目的</w:t>
      </w:r>
      <w:bookmarkEnd w:id="49"/>
      <w:bookmarkEnd w:id="50"/>
    </w:p>
    <w:p>
      <w:pPr>
        <w:bidi w:val="0"/>
        <w:jc w:val="both"/>
        <w:rPr>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bookmarkStart w:id="52" w:name="OLE_LINK1"/>
      <w:bookmarkStart w:id="53" w:name="_Toc8924"/>
      <w:bookmarkStart w:id="54" w:name="_Toc2159"/>
      <w:r>
        <w:rPr>
          <w:rFonts w:hint="eastAsia"/>
          <w:color w:val="auto"/>
          <w:highlight w:val="none"/>
        </w:rPr>
        <w:t>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bookmarkEnd w:id="52"/>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2.绩效评价对象</w:t>
      </w:r>
      <w:bookmarkEnd w:id="53"/>
      <w:r>
        <w:rPr>
          <w:rFonts w:hint="default" w:ascii="Times New Roman" w:hAnsi="Times New Roman" w:eastAsia="仿宋_GB2312" w:cs="Times New Roman"/>
          <w:b/>
          <w:bCs/>
          <w:color w:val="auto"/>
          <w:highlight w:val="none"/>
        </w:rPr>
        <w:t>和范围</w:t>
      </w:r>
      <w:bookmarkEnd w:id="5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根据《财政支出绩效评价管理办法》（财预〔2020〕10号）文件要求，对</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开展绩效评价，本次绩效评价范围主要围绕项目决策（包括项目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rPr>
        <w:t>、绩效目标、资金投入）、项目过程（包括资金管理、组织实施）、项目产出（包括产出数量、质量、时效、成本）和项目效益等进行评价。</w:t>
      </w:r>
    </w:p>
    <w:p>
      <w:pPr>
        <w:pStyle w:val="4"/>
        <w:bidi w:val="0"/>
        <w:jc w:val="both"/>
        <w:outlineLvl w:val="1"/>
        <w:rPr>
          <w:rFonts w:hint="eastAsia" w:ascii="楷体" w:hAnsi="楷体" w:eastAsia="楷体" w:cs="楷体"/>
          <w:color w:val="auto"/>
          <w:highlight w:val="none"/>
        </w:rPr>
      </w:pPr>
      <w:bookmarkStart w:id="55" w:name="_Toc15409"/>
      <w:bookmarkStart w:id="56" w:name="_Toc13496"/>
      <w:bookmarkStart w:id="57" w:name="_Toc17158"/>
      <w:bookmarkStart w:id="58" w:name="_Toc376"/>
      <w:bookmarkStart w:id="59" w:name="_Toc19566"/>
      <w:r>
        <w:rPr>
          <w:rFonts w:hint="eastAsia" w:ascii="楷体" w:hAnsi="楷体" w:eastAsia="楷体" w:cs="楷体"/>
          <w:color w:val="auto"/>
          <w:highlight w:val="none"/>
        </w:rPr>
        <w:t>（二）绩效评价原则、评价指标体系、评价方法、评价标准</w:t>
      </w:r>
      <w:bookmarkEnd w:id="55"/>
      <w:bookmarkEnd w:id="56"/>
      <w:bookmarkEnd w:id="57"/>
      <w:bookmarkEnd w:id="58"/>
      <w:bookmarkEnd w:id="59"/>
    </w:p>
    <w:p>
      <w:pPr>
        <w:bidi w:val="0"/>
        <w:jc w:val="both"/>
        <w:rPr>
          <w:rFonts w:hint="default" w:ascii="Times New Roman" w:hAnsi="Times New Roman" w:eastAsia="仿宋_GB2312" w:cs="Times New Roman"/>
          <w:b/>
          <w:bCs/>
          <w:color w:val="auto"/>
          <w:highlight w:val="none"/>
        </w:rPr>
      </w:pPr>
      <w:bookmarkStart w:id="60" w:name="_Toc18268"/>
      <w:bookmarkStart w:id="61" w:name="_Toc23487"/>
      <w:r>
        <w:rPr>
          <w:rFonts w:hint="default" w:ascii="Times New Roman" w:hAnsi="Times New Roman" w:eastAsia="仿宋_GB2312" w:cs="Times New Roman"/>
          <w:b/>
          <w:bCs/>
          <w:color w:val="auto"/>
          <w:highlight w:val="none"/>
        </w:rPr>
        <w:t>1.绩效评价原则</w:t>
      </w:r>
      <w:bookmarkEnd w:id="60"/>
      <w:bookmarkEnd w:id="61"/>
    </w:p>
    <w:p>
      <w:pPr>
        <w:ind w:firstLine="560"/>
        <w:rPr>
          <w:color w:val="auto"/>
          <w:highlight w:val="none"/>
        </w:rPr>
      </w:pPr>
      <w:bookmarkStart w:id="62" w:name="OLE_LINK2"/>
      <w:bookmarkStart w:id="63" w:name="OLE_LINK8"/>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bookmarkEnd w:id="62"/>
      <w:bookmarkEnd w:id="6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（1）科学公正。绩效评价应当运用科学合理的方法，按照规范的程序，对项目绩效进行客观、</w:t>
      </w:r>
      <w:r>
        <w:rPr>
          <w:rFonts w:hint="default" w:ascii="Times New Roman" w:hAnsi="Times New Roman" w:eastAsia="仿宋_GB2312" w:cs="Times New Roman"/>
          <w:color w:val="auto"/>
          <w:highlight w:val="none"/>
          <w:lang w:eastAsia="zh-CN"/>
        </w:rPr>
        <w:t>公正地反映</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（2）统筹兼顾。单位自评应由项目单位自主实施，即“谁支出、谁自评”。</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（3）激励约束。绩效评价结果应与预算安排、政策调整、改进管理实质性挂钩，体现奖优罚劣和激励相容导向，有效要安排、低效要压减、无效要问责。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（4）公开透明。</w:t>
      </w:r>
      <w:r>
        <w:rPr>
          <w:rFonts w:hint="default" w:ascii="Times New Roman" w:hAnsi="Times New Roman" w:eastAsia="仿宋_GB2312" w:cs="Times New Roman"/>
          <w:color w:val="auto"/>
          <w:highlight w:val="none"/>
          <w:lang w:val="en-US" w:eastAsia="zh-CN"/>
        </w:rPr>
        <w:t>本次项目支出绩效评价结果已依法依规在</w:t>
      </w:r>
      <w:r>
        <w:rPr>
          <w:rFonts w:hint="eastAsia" w:ascii="Times New Roman" w:hAnsi="Times New Roman" w:cs="Times New Roman"/>
          <w:color w:val="auto"/>
          <w:highlight w:val="none"/>
          <w:lang w:val="en-US" w:eastAsia="zh-CN"/>
        </w:rPr>
        <w:t>尉犁县</w:t>
      </w:r>
      <w:r>
        <w:rPr>
          <w:rFonts w:hint="default" w:ascii="Times New Roman" w:hAnsi="Times New Roman" w:eastAsia="仿宋_GB2312" w:cs="Times New Roman"/>
          <w:color w:val="auto"/>
          <w:highlight w:val="none"/>
          <w:lang w:val="en-US" w:eastAsia="zh-CN"/>
        </w:rPr>
        <w:t>人民政府网站上公开，并自觉接受社会监督</w:t>
      </w:r>
      <w:r>
        <w:rPr>
          <w:rFonts w:hint="default" w:ascii="Times New Roman" w:hAnsi="Times New Roman" w:eastAsia="仿宋_GB2312" w:cs="Times New Roman"/>
          <w:color w:val="auto"/>
          <w:highlight w:val="none"/>
        </w:rPr>
        <w:t>。</w:t>
      </w:r>
    </w:p>
    <w:p>
      <w:pPr>
        <w:bidi w:val="0"/>
        <w:rPr>
          <w:color w:val="auto"/>
          <w:highlight w:val="none"/>
        </w:rPr>
      </w:pPr>
      <w:bookmarkStart w:id="64" w:name="OLE_LINK9"/>
      <w:bookmarkStart w:id="65" w:name="OLE_LINK3"/>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bidi w:val="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bidi w:val="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bidi w:val="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w:t>
      </w:r>
      <w:r>
        <w:rPr>
          <w:rFonts w:hint="eastAsia" w:ascii="Times New Roman" w:hAnsi="Times New Roman" w:eastAsia="仿宋_GB2312" w:cs="Times New Roman"/>
          <w:color w:val="auto"/>
          <w:highlight w:val="none"/>
        </w:rPr>
        <w:t>采用</w:t>
      </w:r>
      <w:r>
        <w:rPr>
          <w:rFonts w:hint="eastAsia"/>
          <w:color w:val="auto"/>
          <w:highlight w:val="none"/>
        </w:rPr>
        <w:t>全面、重点、现场和非现场相结合的方式进行评价。</w:t>
      </w:r>
      <w:bookmarkEnd w:id="64"/>
      <w:bookmarkEnd w:id="65"/>
    </w:p>
    <w:p>
      <w:pPr>
        <w:bidi w:val="0"/>
        <w:jc w:val="both"/>
        <w:rPr>
          <w:rFonts w:hint="default" w:ascii="Times New Roman" w:hAnsi="Times New Roman" w:eastAsia="仿宋_GB2312" w:cs="Times New Roman"/>
          <w:b/>
          <w:bCs/>
          <w:color w:val="auto"/>
          <w:highlight w:val="none"/>
        </w:rPr>
      </w:pPr>
      <w:bookmarkStart w:id="66" w:name="_Toc23112"/>
      <w:bookmarkStart w:id="67" w:name="_Toc28342"/>
      <w:r>
        <w:rPr>
          <w:rFonts w:hint="default" w:ascii="Times New Roman" w:hAnsi="Times New Roman" w:eastAsia="仿宋_GB2312" w:cs="Times New Roman"/>
          <w:b/>
          <w:bCs/>
          <w:color w:val="auto"/>
          <w:highlight w:val="none"/>
        </w:rPr>
        <w:t>2.评价指标体系</w:t>
      </w:r>
      <w:bookmarkEnd w:id="66"/>
      <w:bookmarkEnd w:id="67"/>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绩效评价（部门自评）指标体系的设计，是在充分掌握项目状况的基础上，形成了</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的项目支出绩效评价指标体系（部门自评）。本项目设计绩效评价指标体系满分100分。四个级别分别是：优、良、中、差，90（含）-100分为优、80（含）-90分为良、60（含）-80分为中、60分以下为差。</w:t>
      </w:r>
    </w:p>
    <w:p>
      <w:pPr>
        <w:bidi w:val="0"/>
        <w:ind w:left="0" w:leftChars="0" w:firstLine="640"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w:t>
      </w:r>
      <w:bookmarkStart w:id="68" w:name="_Toc10631"/>
      <w:bookmarkStart w:id="69" w:name="_Toc15680"/>
      <w:r>
        <w:rPr>
          <w:rFonts w:hint="default" w:ascii="Times New Roman" w:hAnsi="Times New Roman" w:eastAsia="仿宋_GB2312" w:cs="Times New Roman"/>
          <w:color w:val="auto"/>
          <w:highlight w:val="none"/>
        </w:rPr>
        <w:t>（详见：附表2）</w:t>
      </w:r>
    </w:p>
    <w:p>
      <w:pPr>
        <w:bidi w:val="0"/>
        <w:ind w:left="0" w:leftChars="0" w:firstLine="643" w:firstLineChars="200"/>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3.绩效评价方法</w:t>
      </w:r>
      <w:bookmarkEnd w:id="68"/>
      <w:bookmarkEnd w:id="69"/>
    </w:p>
    <w:p>
      <w:pPr>
        <w:bidi w:val="0"/>
        <w:rPr>
          <w:color w:val="auto"/>
          <w:highlight w:val="none"/>
        </w:rPr>
      </w:pPr>
      <w:bookmarkStart w:id="70" w:name="OLE_LINK10"/>
      <w:r>
        <w:rPr>
          <w:color w:val="auto"/>
          <w:highlight w:val="none"/>
          <w:lang w:val="en-US" w:eastAsia="zh-CN"/>
        </w:rPr>
        <w:t>绩效评价从项目决策、项目过程、项目产出、项目效益四</w:t>
      </w:r>
      <w:r>
        <w:rPr>
          <w:rFonts w:hint="eastAsia"/>
          <w:color w:val="auto"/>
          <w:highlight w:val="none"/>
          <w:lang w:val="en-US" w:eastAsia="zh-CN"/>
        </w:rPr>
        <w:t>个维度进行评价。评价对象为项目目标实施情况，评价核心为资金的支出完成情况和项目的产出效益。</w:t>
      </w:r>
      <w:bookmarkEnd w:id="70"/>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结合</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color w:val="auto"/>
          <w:highlight w:val="none"/>
          <w:lang w:val="en-US" w:eastAsia="zh-CN"/>
        </w:rPr>
        <w:t>本项目绩效评价将项目实施情况即实际完成的</w:t>
      </w:r>
      <w:r>
        <w:rPr>
          <w:rFonts w:hint="eastAsia" w:ascii="Times New Roman" w:hAnsi="Times New Roman" w:cs="Times New Roman"/>
          <w:color w:val="auto"/>
          <w:highlight w:val="none"/>
          <w:lang w:val="en-US" w:eastAsia="zh-CN"/>
        </w:rPr>
        <w:t>提交乡（镇）规划成果</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提交行政村规划成果、提交电子数据、规划编制涉及乡（镇）、规划编制涉及行政村</w:t>
      </w:r>
      <w:r>
        <w:rPr>
          <w:rFonts w:hint="default" w:ascii="Times New Roman" w:hAnsi="Times New Roman" w:eastAsia="仿宋_GB2312" w:cs="Times New Roman"/>
          <w:color w:val="auto"/>
          <w:highlight w:val="none"/>
          <w:lang w:val="en-US" w:eastAsia="zh-CN"/>
        </w:rPr>
        <w:t>等指标与年初设定的目标值进行比较</w:t>
      </w:r>
      <w:r>
        <w:rPr>
          <w:rFonts w:hint="eastAsia" w:ascii="Times New Roman" w:hAnsi="Times New Roman" w:cs="Times New Roman"/>
          <w:color w:val="auto"/>
          <w:highlight w:val="none"/>
          <w:lang w:val="en-US" w:eastAsia="zh-CN"/>
        </w:rPr>
        <w:t>，因此，本次评价运用的是：比较法</w:t>
      </w:r>
      <w:r>
        <w:rPr>
          <w:rFonts w:hint="default" w:ascii="Times New Roman" w:hAnsi="Times New Roman" w:eastAsia="仿宋_GB2312" w:cs="Times New Roman"/>
          <w:color w:val="auto"/>
          <w:highlight w:val="none"/>
        </w:rPr>
        <w:t>。</w:t>
      </w:r>
    </w:p>
    <w:p>
      <w:pPr>
        <w:bidi w:val="0"/>
        <w:ind w:left="0" w:leftChars="0" w:firstLine="643" w:firstLineChars="200"/>
        <w:jc w:val="both"/>
        <w:rPr>
          <w:rFonts w:hint="default" w:ascii="Times New Roman" w:hAnsi="Times New Roman" w:eastAsia="仿宋_GB2312" w:cs="Times New Roman"/>
          <w:b/>
          <w:bCs/>
          <w:color w:val="auto"/>
          <w:highlight w:val="none"/>
        </w:rPr>
      </w:pPr>
      <w:bookmarkStart w:id="71" w:name="_Toc3155"/>
      <w:bookmarkStart w:id="72" w:name="_Toc15525"/>
      <w:r>
        <w:rPr>
          <w:rFonts w:hint="default" w:ascii="Times New Roman" w:hAnsi="Times New Roman" w:eastAsia="仿宋_GB2312" w:cs="Times New Roman"/>
          <w:b/>
          <w:bCs/>
          <w:color w:val="auto"/>
          <w:highlight w:val="none"/>
        </w:rPr>
        <w:t>4.绩效评价标准</w:t>
      </w:r>
      <w:bookmarkEnd w:id="71"/>
      <w:bookmarkEnd w:id="72"/>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pPr>
        <w:pStyle w:val="15"/>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的特点，</w:t>
      </w:r>
      <w:bookmarkStart w:id="73" w:name="_Toc26411"/>
      <w:bookmarkStart w:id="74" w:name="_Toc15381"/>
      <w:bookmarkStart w:id="75" w:name="_Toc30219"/>
      <w:bookmarkStart w:id="76" w:name="_Toc17851"/>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提交乡（镇）规划成果</w:t>
      </w:r>
      <w:r>
        <w:rPr>
          <w:rFonts w:hint="default" w:ascii="Times New Roman" w:hAnsi="Times New Roman" w:eastAsia="仿宋_GB2312" w:cs="Times New Roman"/>
          <w:bCs/>
          <w:color w:val="auto"/>
          <w:kern w:val="2"/>
          <w:sz w:val="32"/>
          <w:szCs w:val="32"/>
          <w:highlight w:val="none"/>
          <w:lang w:val="en-US" w:eastAsia="zh-CN" w:bidi="ar-SA"/>
        </w:rPr>
        <w:t>、</w:t>
      </w:r>
      <w:r>
        <w:rPr>
          <w:rFonts w:hint="eastAsia" w:ascii="Times New Roman" w:hAnsi="Times New Roman" w:cs="Times New Roman"/>
          <w:bCs/>
          <w:color w:val="auto"/>
          <w:kern w:val="2"/>
          <w:sz w:val="32"/>
          <w:szCs w:val="32"/>
          <w:highlight w:val="none"/>
          <w:lang w:val="en-US" w:eastAsia="zh-CN" w:bidi="ar-SA"/>
        </w:rPr>
        <w:t>提交行政村规划成果、提交电子数据、规划编制涉及乡（镇）、规划编制涉及行政村</w:t>
      </w:r>
      <w:r>
        <w:rPr>
          <w:rFonts w:hint="default" w:ascii="Times New Roman" w:hAnsi="Times New Roman" w:eastAsia="仿宋_GB2312" w:cs="Times New Roman"/>
          <w:bCs/>
          <w:color w:val="auto"/>
          <w:kern w:val="2"/>
          <w:sz w:val="32"/>
          <w:szCs w:val="32"/>
          <w:highlight w:val="none"/>
          <w:lang w:val="en-US" w:eastAsia="zh-CN" w:bidi="ar-SA"/>
        </w:rPr>
        <w:t>为计划数作为评价标准</w:t>
      </w:r>
      <w:r>
        <w:rPr>
          <w:rFonts w:hint="eastAsia" w:ascii="Times New Roman" w:hAnsi="Times New Roman" w:cs="Times New Roman"/>
          <w:bCs/>
          <w:color w:val="auto"/>
          <w:kern w:val="2"/>
          <w:sz w:val="32"/>
          <w:szCs w:val="32"/>
          <w:highlight w:val="none"/>
          <w:lang w:val="en-US" w:eastAsia="zh-CN" w:bidi="ar-SA"/>
        </w:rPr>
        <w:t>，</w:t>
      </w:r>
      <w:r>
        <w:rPr>
          <w:rFonts w:hint="default" w:ascii="Times New Roman" w:hAnsi="Times New Roman" w:eastAsia="仿宋_GB2312" w:cs="Times New Roman"/>
          <w:bCs/>
          <w:color w:val="auto"/>
          <w:kern w:val="2"/>
          <w:sz w:val="32"/>
          <w:szCs w:val="32"/>
          <w:highlight w:val="none"/>
          <w:lang w:val="en-US" w:eastAsia="zh-CN" w:bidi="ar-SA"/>
        </w:rPr>
        <w:t>因此，</w:t>
      </w:r>
      <w:r>
        <w:rPr>
          <w:rFonts w:hint="eastAsia" w:cs="Times New Roman"/>
          <w:bCs/>
          <w:color w:val="auto"/>
          <w:kern w:val="2"/>
          <w:sz w:val="32"/>
          <w:szCs w:val="32"/>
          <w:highlight w:val="none"/>
          <w:lang w:val="en-US" w:eastAsia="zh-CN" w:bidi="ar-SA"/>
        </w:rPr>
        <w:t>本项目</w:t>
      </w:r>
      <w:r>
        <w:rPr>
          <w:rFonts w:hint="default" w:ascii="Times New Roman" w:hAnsi="Times New Roman" w:eastAsia="仿宋_GB2312" w:cs="Times New Roman"/>
          <w:bCs/>
          <w:color w:val="auto"/>
          <w:kern w:val="2"/>
          <w:sz w:val="32"/>
          <w:szCs w:val="32"/>
          <w:highlight w:val="none"/>
          <w:lang w:val="en-US" w:eastAsia="zh-CN" w:bidi="ar-SA"/>
        </w:rPr>
        <w:t>采取的绩效评价标准为：计划标准。</w:t>
      </w:r>
    </w:p>
    <w:p>
      <w:pPr>
        <w:pStyle w:val="4"/>
        <w:bidi w:val="0"/>
        <w:jc w:val="both"/>
        <w:outlineLvl w:val="1"/>
        <w:rPr>
          <w:rFonts w:hint="eastAsia" w:ascii="楷体" w:hAnsi="楷体" w:eastAsia="楷体" w:cs="楷体"/>
          <w:color w:val="auto"/>
          <w:highlight w:val="none"/>
        </w:rPr>
      </w:pPr>
      <w:bookmarkStart w:id="77" w:name="_Toc7977"/>
      <w:r>
        <w:rPr>
          <w:rFonts w:hint="eastAsia" w:ascii="楷体" w:hAnsi="楷体" w:eastAsia="楷体" w:cs="楷体"/>
          <w:color w:val="auto"/>
          <w:highlight w:val="none"/>
        </w:rPr>
        <w:t>（三）绩效评价工作过程</w:t>
      </w:r>
      <w:bookmarkEnd w:id="73"/>
      <w:bookmarkEnd w:id="74"/>
      <w:bookmarkEnd w:id="75"/>
      <w:bookmarkEnd w:id="76"/>
      <w:bookmarkEnd w:id="77"/>
    </w:p>
    <w:p>
      <w:pPr>
        <w:bidi w:val="0"/>
        <w:jc w:val="both"/>
        <w:rPr>
          <w:rFonts w:hint="default" w:ascii="Times New Roman" w:hAnsi="Times New Roman" w:eastAsia="仿宋_GB2312" w:cs="Times New Roman"/>
          <w:b/>
          <w:bCs/>
          <w:color w:val="auto"/>
          <w:highlight w:val="none"/>
        </w:rPr>
      </w:pPr>
      <w:bookmarkStart w:id="78" w:name="_Toc22987"/>
      <w:bookmarkStart w:id="79" w:name="_Toc31054"/>
      <w:bookmarkStart w:id="80" w:name="_Toc30911"/>
      <w:bookmarkStart w:id="81" w:name="_Toc17595"/>
      <w:bookmarkStart w:id="82" w:name="_Toc27442"/>
      <w:r>
        <w:rPr>
          <w:rFonts w:hint="default" w:ascii="Times New Roman" w:hAnsi="Times New Roman" w:eastAsia="仿宋_GB2312" w:cs="Times New Roman"/>
          <w:b/>
          <w:bCs/>
          <w:color w:val="auto"/>
          <w:highlight w:val="none"/>
        </w:rPr>
        <w:t>1.前期准备</w:t>
      </w:r>
      <w:bookmarkEnd w:id="78"/>
      <w:bookmarkEnd w:id="79"/>
      <w:bookmarkEnd w:id="80"/>
      <w:bookmarkEnd w:id="81"/>
      <w:bookmarkEnd w:id="82"/>
      <w:r>
        <w:rPr>
          <w:rFonts w:hint="eastAsia" w:ascii="Times New Roman" w:hAnsi="Times New Roman" w:cs="Times New Roman"/>
          <w:b/>
          <w:bCs/>
          <w:color w:val="auto"/>
          <w:highlight w:val="none"/>
          <w:lang w:eastAsia="zh-CN"/>
        </w:rPr>
        <w:t>（</w:t>
      </w:r>
      <w:r>
        <w:rPr>
          <w:rFonts w:hint="eastAsia" w:ascii="Times New Roman" w:hAnsi="Times New Roman" w:cs="Times New Roman"/>
          <w:b/>
          <w:bCs/>
          <w:color w:val="auto"/>
          <w:highlight w:val="none"/>
          <w:lang w:val="en-US" w:eastAsia="zh-CN"/>
        </w:rPr>
        <w:t>2025年2月10日-2025年2月28日</w:t>
      </w:r>
      <w:r>
        <w:rPr>
          <w:rFonts w:hint="eastAsia" w:ascii="Times New Roman" w:hAnsi="Times New Roman" w:cs="Times New Roman"/>
          <w:b/>
          <w:bCs/>
          <w:color w:val="auto"/>
          <w:highlight w:val="none"/>
          <w:lang w:eastAsia="zh-CN"/>
        </w:rPr>
        <w:t>）</w:t>
      </w:r>
    </w:p>
    <w:p>
      <w:pPr>
        <w:spacing w:line="600" w:lineRule="exact"/>
        <w:ind w:firstLine="640"/>
        <w:jc w:val="both"/>
        <w:rPr>
          <w:rFonts w:hint="eastAsia" w:ascii="Times New Roman" w:hAnsi="Times New Roman" w:cs="Times New Roman"/>
          <w:bCs/>
          <w:color w:val="auto"/>
          <w:szCs w:val="32"/>
          <w:highlight w:val="none"/>
          <w:lang w:val="en-US" w:eastAsia="zh-CN"/>
        </w:rPr>
      </w:pPr>
      <w:bookmarkStart w:id="83"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eastAsia" w:ascii="Times New Roman" w:hAnsi="Times New Roman" w:cs="Times New Roman"/>
          <w:color w:val="auto"/>
          <w:highlight w:val="none"/>
          <w:lang w:eastAsia="zh-CN"/>
        </w:rPr>
        <w:t>尉犁</w:t>
      </w:r>
      <w:r>
        <w:rPr>
          <w:rFonts w:hint="default" w:ascii="Times New Roman" w:hAnsi="Times New Roman" w:eastAsia="仿宋_GB2312" w:cs="Times New Roman"/>
          <w:color w:val="auto"/>
          <w:highlight w:val="none"/>
        </w:rPr>
        <w:t>县</w:t>
      </w:r>
      <w:r>
        <w:rPr>
          <w:rFonts w:hint="eastAsia" w:ascii="Times New Roman" w:hAnsi="Times New Roman" w:cs="Times New Roman"/>
          <w:color w:val="auto"/>
          <w:highlight w:val="none"/>
          <w:lang w:val="en-US" w:eastAsia="zh-CN"/>
        </w:rPr>
        <w:t>自然资源局</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bookmarkEnd w:id="83"/>
      <w:r>
        <w:rPr>
          <w:rFonts w:hint="eastAsia" w:ascii="Times New Roman" w:hAnsi="Times New Roman" w:cs="Times New Roman"/>
          <w:bCs/>
          <w:color w:val="auto"/>
          <w:szCs w:val="32"/>
          <w:highlight w:val="none"/>
          <w:lang w:val="en-US" w:eastAsia="zh-CN"/>
        </w:rPr>
        <w:t>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评价小组组长：孙成龙，主要负责协调相关科室、部门对项目整体运行情况进行验收、评估。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评价小组组员赵卫红、陈亚男、易多普及相关乡镇工作人员，主要负责制定评价指标体系及评价标准。</w:t>
      </w:r>
    </w:p>
    <w:p>
      <w:pPr>
        <w:rPr>
          <w:rFonts w:hint="default"/>
          <w:color w:val="auto"/>
          <w:highlight w:val="none"/>
          <w:lang w:val="en-US" w:eastAsia="zh-CN"/>
        </w:rPr>
      </w:pPr>
      <w:r>
        <w:rPr>
          <w:rFonts w:hint="eastAsia"/>
          <w:color w:val="auto"/>
          <w:highlight w:val="none"/>
          <w:lang w:val="en-US" w:eastAsia="zh-CN"/>
        </w:rPr>
        <w:t>评价小组组员：赵卫红，主要负责乡镇国土空间规划和村庄规划编制、项目实施、监督、评估工作。</w:t>
      </w:r>
    </w:p>
    <w:p>
      <w:pPr>
        <w:bidi w:val="0"/>
        <w:rPr>
          <w:rFonts w:hint="default"/>
          <w:color w:val="auto"/>
          <w:highlight w:val="none"/>
        </w:rPr>
      </w:pPr>
      <w:r>
        <w:rPr>
          <w:rFonts w:hint="default"/>
          <w:color w:val="auto"/>
          <w:highlight w:val="none"/>
        </w:rPr>
        <w:t>2.组织实施</w:t>
      </w:r>
      <w:r>
        <w:rPr>
          <w:rFonts w:hint="eastAsia"/>
          <w:color w:val="auto"/>
          <w:highlight w:val="none"/>
          <w:lang w:eastAsia="zh-CN"/>
        </w:rPr>
        <w:t>（</w:t>
      </w:r>
      <w:r>
        <w:rPr>
          <w:rFonts w:hint="eastAsia"/>
          <w:color w:val="auto"/>
          <w:highlight w:val="none"/>
          <w:lang w:val="en-US" w:eastAsia="zh-CN"/>
        </w:rPr>
        <w:t>2025年3月1日-2025年3月10日</w:t>
      </w:r>
      <w:r>
        <w:rPr>
          <w:rFonts w:hint="eastAsia"/>
          <w:color w:val="auto"/>
          <w:highlight w:val="none"/>
          <w:lang w:eastAsia="zh-CN"/>
        </w:rPr>
        <w:t>）</w:t>
      </w:r>
    </w:p>
    <w:p>
      <w:pPr>
        <w:bidi w:val="0"/>
        <w:rPr>
          <w:rFonts w:hint="eastAsia"/>
          <w:color w:val="auto"/>
          <w:highlight w:val="none"/>
          <w:lang w:val="en-US" w:eastAsia="zh-CN"/>
        </w:rPr>
      </w:pPr>
      <w:bookmarkStart w:id="84" w:name="_Toc19781"/>
      <w:r>
        <w:rPr>
          <w:rFonts w:hint="eastAsia"/>
          <w:color w:val="auto"/>
          <w:highlight w:val="none"/>
          <w:lang w:val="en-US" w:eastAsia="zh-CN"/>
        </w:rPr>
        <w:t>评价的具体实施根据评价指标及评价工作要求，对具体评价内容和不同环节，采用以下取得的资料与评价方式。</w:t>
      </w:r>
    </w:p>
    <w:p>
      <w:pPr>
        <w:bidi w:val="0"/>
        <w:rPr>
          <w:rFonts w:hint="eastAsia"/>
          <w:color w:val="auto"/>
          <w:highlight w:val="none"/>
          <w:lang w:val="en-US" w:eastAsia="zh-CN"/>
        </w:rPr>
      </w:pPr>
      <w:r>
        <w:rPr>
          <w:rFonts w:hint="eastAsia"/>
          <w:color w:val="auto"/>
          <w:highlight w:val="none"/>
          <w:lang w:val="en-US" w:eastAsia="zh-CN"/>
        </w:rPr>
        <w:t>（1）根据绩效管理的要求，本单位成立项目评价小组，全过程跟踪监管项目实施过程，包括项目资金到位时绩效工作的安排、年中2次绩效监控工作的监督，项目实施完成之后收集资料开展项目绩效评价。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hint="eastAsia"/>
          <w:color w:val="auto"/>
          <w:highlight w:val="none"/>
          <w:lang w:val="en-US" w:eastAsia="zh-CN"/>
        </w:rPr>
      </w:pPr>
      <w:r>
        <w:rPr>
          <w:rFonts w:hint="eastAsia"/>
          <w:color w:val="auto"/>
          <w:highlight w:val="none"/>
          <w:lang w:val="en-US" w:eastAsia="zh-CN"/>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eastAsia"/>
          <w:color w:val="auto"/>
          <w:highlight w:val="none"/>
          <w:lang w:val="en-US" w:eastAsia="zh-CN"/>
        </w:rPr>
      </w:pPr>
      <w:r>
        <w:rPr>
          <w:rFonts w:hint="eastAsia"/>
          <w:color w:val="auto"/>
          <w:highlight w:val="none"/>
          <w:lang w:val="en-US" w:eastAsia="zh-CN"/>
        </w:rPr>
        <w:t>（3）问卷调查。选择与项目评价有关的调查对象，设计调查问卷。通过问卷调查，对有关评价内容完成情况进行打分，并根据分值评价绩效目标完成情况，作为对项目评价的依据。</w:t>
      </w:r>
    </w:p>
    <w:p>
      <w:pPr>
        <w:bidi w:val="0"/>
        <w:rPr>
          <w:rFonts w:hint="eastAsia"/>
          <w:color w:val="auto"/>
          <w:highlight w:val="none"/>
          <w:lang w:eastAsia="zh-CN"/>
        </w:rPr>
      </w:pPr>
      <w:r>
        <w:rPr>
          <w:rFonts w:hint="eastAsia"/>
          <w:color w:val="auto"/>
          <w:highlight w:val="none"/>
          <w:lang w:val="en-US" w:eastAsia="zh-CN"/>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hint="default"/>
          <w:color w:val="auto"/>
          <w:highlight w:val="none"/>
        </w:rPr>
      </w:pPr>
      <w:r>
        <w:rPr>
          <w:rFonts w:hint="default"/>
          <w:color w:val="auto"/>
          <w:highlight w:val="none"/>
        </w:rPr>
        <w:t>3.数据集中分析</w:t>
      </w:r>
      <w:bookmarkEnd w:id="84"/>
      <w:r>
        <w:rPr>
          <w:rFonts w:hint="eastAsia"/>
          <w:color w:val="auto"/>
          <w:highlight w:val="none"/>
          <w:lang w:eastAsia="zh-CN"/>
        </w:rPr>
        <w:t>（</w:t>
      </w:r>
      <w:r>
        <w:rPr>
          <w:rFonts w:hint="eastAsia"/>
          <w:color w:val="auto"/>
          <w:highlight w:val="none"/>
          <w:lang w:val="en-US" w:eastAsia="zh-CN"/>
        </w:rPr>
        <w:t>2025年3月11日-2025年3月20日</w:t>
      </w:r>
      <w:r>
        <w:rPr>
          <w:rFonts w:hint="eastAsia"/>
          <w:color w:val="auto"/>
          <w:highlight w:val="none"/>
          <w:lang w:eastAsia="zh-CN"/>
        </w:rPr>
        <w:t>）</w:t>
      </w:r>
    </w:p>
    <w:p>
      <w:pPr>
        <w:bidi w:val="0"/>
        <w:rPr>
          <w:rFonts w:hint="eastAsia"/>
          <w:color w:val="auto"/>
          <w:highlight w:val="none"/>
          <w:lang w:eastAsia="zh-CN"/>
        </w:rPr>
      </w:pPr>
      <w:bookmarkStart w:id="85" w:name="_Toc5021"/>
      <w:r>
        <w:rPr>
          <w:rFonts w:hint="eastAsia"/>
          <w:color w:val="auto"/>
          <w:highlight w:val="none"/>
        </w:rPr>
        <w:t>对相关资料，包括资金文件、项目实施方案、相关管理办法，问卷调查等进行集中分析。在查阅大量项目资料的基础上，根据考察、考评的结果进行整理、分析。</w:t>
      </w:r>
    </w:p>
    <w:p>
      <w:pPr>
        <w:bidi w:val="0"/>
        <w:rPr>
          <w:rFonts w:hint="eastAsia"/>
          <w:color w:val="auto"/>
          <w:highlight w:val="none"/>
          <w:lang w:eastAsia="zh-CN"/>
        </w:rPr>
      </w:pPr>
      <w:r>
        <w:rPr>
          <w:rFonts w:hint="default"/>
          <w:color w:val="auto"/>
          <w:highlight w:val="none"/>
        </w:rPr>
        <w:t>4.分析总结</w:t>
      </w:r>
      <w:bookmarkEnd w:id="85"/>
      <w:r>
        <w:rPr>
          <w:rFonts w:hint="eastAsia"/>
          <w:color w:val="auto"/>
          <w:highlight w:val="none"/>
          <w:lang w:eastAsia="zh-CN"/>
        </w:rPr>
        <w:t>（</w:t>
      </w:r>
      <w:r>
        <w:rPr>
          <w:rFonts w:hint="eastAsia"/>
          <w:color w:val="auto"/>
          <w:highlight w:val="none"/>
          <w:lang w:val="en-US" w:eastAsia="zh-CN"/>
        </w:rPr>
        <w:t>2025年3月21日-2025年3月31日</w:t>
      </w:r>
      <w:r>
        <w:rPr>
          <w:rFonts w:hint="eastAsia"/>
          <w:color w:val="auto"/>
          <w:highlight w:val="none"/>
          <w:lang w:eastAsia="zh-CN"/>
        </w:rPr>
        <w:t>）</w:t>
      </w:r>
    </w:p>
    <w:p>
      <w:pPr>
        <w:bidi w:val="0"/>
        <w:rPr>
          <w:color w:val="auto"/>
          <w:highlight w:val="none"/>
        </w:rPr>
      </w:pPr>
      <w:r>
        <w:rPr>
          <w:rFonts w:hint="eastAsia"/>
          <w:color w:val="auto"/>
          <w:highlight w:val="none"/>
        </w:rPr>
        <w:t>（1）根据部门自评的意见及考察、考评的结果进行整理、分析，撰写绩效评价报告初稿。</w:t>
      </w:r>
    </w:p>
    <w:p>
      <w:pPr>
        <w:bidi w:val="0"/>
        <w:rPr>
          <w:rFonts w:hint="eastAsia"/>
          <w:color w:val="auto"/>
          <w:highlight w:val="none"/>
        </w:rPr>
      </w:pPr>
      <w:r>
        <w:rPr>
          <w:rFonts w:hint="eastAsia"/>
          <w:color w:val="auto"/>
          <w:highlight w:val="none"/>
        </w:rPr>
        <w:t>（2）就部门自评报告与部门具体有关科室征求意见，形成最终的绩效评价报告。</w:t>
      </w:r>
    </w:p>
    <w:p>
      <w:pPr>
        <w:bidi w:val="0"/>
        <w:rPr>
          <w:color w:val="auto"/>
          <w:highlight w:val="none"/>
        </w:rPr>
      </w:pPr>
      <w:bookmarkStart w:id="86" w:name="OLE_LINK11"/>
      <w:bookmarkStart w:id="87" w:name="OLE_LINK4"/>
      <w:r>
        <w:rPr>
          <w:rFonts w:hint="eastAsia"/>
          <w:color w:val="auto"/>
          <w:highlight w:val="none"/>
        </w:rPr>
        <w:t>5</w:t>
      </w:r>
      <w:r>
        <w:rPr>
          <w:rFonts w:hint="eastAsia"/>
          <w:color w:val="auto"/>
          <w:highlight w:val="none"/>
          <w:lang w:eastAsia="zh-CN"/>
        </w:rPr>
        <w:t>.</w:t>
      </w:r>
      <w:r>
        <w:rPr>
          <w:rFonts w:hint="eastAsia"/>
          <w:color w:val="auto"/>
          <w:highlight w:val="none"/>
        </w:rPr>
        <w:t>问题整改</w:t>
      </w:r>
    </w:p>
    <w:p>
      <w:pPr>
        <w:bidi w:val="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color w:val="auto"/>
          <w:highlight w:val="none"/>
        </w:rPr>
      </w:pPr>
      <w:r>
        <w:rPr>
          <w:rFonts w:hint="eastAsia"/>
          <w:color w:val="auto"/>
          <w:highlight w:val="none"/>
        </w:rPr>
        <w:t>6</w:t>
      </w:r>
      <w:r>
        <w:rPr>
          <w:rFonts w:hint="eastAsia"/>
          <w:color w:val="auto"/>
          <w:highlight w:val="none"/>
          <w:lang w:eastAsia="zh-CN"/>
        </w:rPr>
        <w:t>.</w:t>
      </w:r>
      <w:r>
        <w:rPr>
          <w:rFonts w:hint="eastAsia"/>
          <w:color w:val="auto"/>
          <w:highlight w:val="none"/>
        </w:rPr>
        <w:t>档案整理</w:t>
      </w:r>
    </w:p>
    <w:p>
      <w:pPr>
        <w:bidi w:val="0"/>
        <w:rPr>
          <w:color w:val="auto"/>
          <w:highlight w:val="none"/>
        </w:rPr>
      </w:pPr>
      <w:r>
        <w:rPr>
          <w:color w:val="auto"/>
          <w:highlight w:val="none"/>
        </w:rPr>
        <w:t>建立和落实档案管理制度，将项目相关资料存档，包括但不限于：评价项目基本情况和相关文件、评价实施方案、项目支付资料等相关档案。</w:t>
      </w:r>
      <w:bookmarkEnd w:id="86"/>
      <w:bookmarkEnd w:id="87"/>
    </w:p>
    <w:p>
      <w:pPr>
        <w:pStyle w:val="2"/>
        <w:keepNext/>
        <w:keepLines w:val="0"/>
        <w:pageBreakBefore w:val="0"/>
        <w:widowControl w:val="0"/>
        <w:kinsoku/>
        <w:wordWrap/>
        <w:overflowPunct/>
        <w:topLinePunct w:val="0"/>
        <w:autoSpaceDE/>
        <w:autoSpaceDN/>
        <w:bidi w:val="0"/>
        <w:adjustRightInd/>
        <w:snapToGrid/>
        <w:ind w:left="0" w:leftChars="0" w:firstLine="640" w:firstLineChars="200"/>
        <w:jc w:val="both"/>
        <w:textAlignment w:val="auto"/>
        <w:outlineLvl w:val="0"/>
        <w:rPr>
          <w:rFonts w:hint="eastAsia" w:ascii="黑体" w:hAnsi="黑体" w:eastAsia="黑体" w:cs="黑体"/>
          <w:color w:val="auto"/>
          <w:highlight w:val="none"/>
        </w:rPr>
      </w:pPr>
      <w:bookmarkStart w:id="88" w:name="_Toc25201"/>
      <w:bookmarkStart w:id="89" w:name="_Toc31058"/>
      <w:bookmarkStart w:id="90" w:name="_Toc21627"/>
      <w:bookmarkStart w:id="91" w:name="_Toc32641"/>
      <w:bookmarkStart w:id="92" w:name="_Toc1808"/>
      <w:bookmarkStart w:id="93" w:name="_Toc13103"/>
      <w:r>
        <w:rPr>
          <w:rFonts w:hint="eastAsia" w:ascii="黑体" w:hAnsi="黑体" w:eastAsia="黑体" w:cs="黑体"/>
          <w:color w:val="auto"/>
          <w:highlight w:val="none"/>
        </w:rPr>
        <w:t>三、综合评价情况及评价结论</w:t>
      </w:r>
      <w:bookmarkEnd w:id="88"/>
      <w:bookmarkEnd w:id="89"/>
      <w:bookmarkEnd w:id="90"/>
      <w:bookmarkEnd w:id="91"/>
      <w:bookmarkEnd w:id="92"/>
      <w:bookmarkEnd w:id="9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本项目的绩效评价结果为“优”，综合评分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分。其中项目决策22分，项目过程1</w:t>
      </w:r>
      <w:r>
        <w:rPr>
          <w:rFonts w:hint="default" w:ascii="Times New Roman" w:hAnsi="Times New Roman" w:eastAsia="仿宋_GB2312" w:cs="Times New Roman"/>
          <w:color w:val="auto"/>
          <w:highlight w:val="none"/>
          <w:lang w:val="en-US" w:eastAsia="zh-CN"/>
        </w:rPr>
        <w:t>8</w:t>
      </w:r>
      <w:r>
        <w:rPr>
          <w:rFonts w:hint="default" w:ascii="Times New Roman" w:hAnsi="Times New Roman" w:eastAsia="仿宋_GB2312" w:cs="Times New Roman"/>
          <w:color w:val="auto"/>
          <w:highlight w:val="none"/>
        </w:rPr>
        <w:t>分，项目产出管理得分</w:t>
      </w:r>
      <w:r>
        <w:rPr>
          <w:rFonts w:hint="default" w:ascii="Times New Roman" w:hAnsi="Times New Roman" w:eastAsia="仿宋_GB2312" w:cs="Times New Roman"/>
          <w:color w:val="auto"/>
          <w:highlight w:val="none"/>
          <w:lang w:val="en-US" w:eastAsia="zh-CN"/>
        </w:rPr>
        <w:t>40</w:t>
      </w:r>
      <w:r>
        <w:rPr>
          <w:rFonts w:hint="default" w:ascii="Times New Roman" w:hAnsi="Times New Roman" w:eastAsia="仿宋_GB2312" w:cs="Times New Roman"/>
          <w:color w:val="auto"/>
          <w:highlight w:val="none"/>
        </w:rPr>
        <w:t>分，项目效益20分</w:t>
      </w:r>
      <w:r>
        <w:rPr>
          <w:rFonts w:hint="default" w:ascii="Times New Roman" w:hAnsi="Times New Roman" w:eastAsia="仿宋_GB2312" w:cs="Times New Roman"/>
          <w:color w:val="auto"/>
          <w:highlight w:val="none"/>
          <w:lang w:val="en-US" w:eastAsia="zh-CN"/>
        </w:rPr>
        <w:t>。各部分权重和绩效汇总分值如下表所示：</w:t>
      </w:r>
    </w:p>
    <w:tbl>
      <w:tblPr>
        <w:tblStyle w:val="12"/>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32"/>
              <w:bidi w:val="0"/>
              <w:jc w:val="center"/>
              <w:rPr>
                <w:rFonts w:hint="default" w:ascii="Times New Roman" w:hAnsi="Times New Roman" w:eastAsia="仿宋_GB2312" w:cs="Times New Roman"/>
                <w:color w:val="auto"/>
                <w:highlight w:val="none"/>
              </w:rPr>
            </w:pPr>
            <w:bookmarkStart w:id="94" w:name="_Toc11819"/>
            <w:bookmarkStart w:id="95" w:name="_Toc26816"/>
            <w:bookmarkStart w:id="96" w:name="_Toc17356"/>
            <w:bookmarkStart w:id="97" w:name="_Toc30727"/>
            <w:r>
              <w:rPr>
                <w:rFonts w:hint="eastAsia" w:ascii="Times New Roman" w:hAnsi="Times New Roman" w:cs="Times New Roman"/>
                <w:color w:val="auto"/>
                <w:highlight w:val="none"/>
                <w:lang w:eastAsia="zh-CN"/>
              </w:rPr>
              <w:t>乡镇国土空间规划和村庄规划编制项目</w:t>
            </w:r>
            <w:bookmarkEnd w:id="94"/>
            <w:bookmarkEnd w:id="95"/>
          </w:p>
          <w:p>
            <w:pPr>
              <w:pStyle w:val="32"/>
              <w:bidi w:val="0"/>
              <w:jc w:val="center"/>
              <w:rPr>
                <w:rFonts w:hint="default" w:ascii="Times New Roman" w:hAnsi="Times New Roman" w:eastAsia="仿宋_GB2312" w:cs="Times New Roman"/>
                <w:color w:val="auto"/>
                <w:highlight w:val="none"/>
              </w:rPr>
            </w:pPr>
            <w:bookmarkStart w:id="98" w:name="_Toc16086"/>
            <w:bookmarkStart w:id="99" w:name="_Toc2130"/>
            <w:bookmarkStart w:id="100" w:name="_Toc3703"/>
            <w:bookmarkStart w:id="101" w:name="_Toc28409"/>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98"/>
            <w:bookmarkEnd w:id="99"/>
            <w:bookmarkEnd w:id="100"/>
            <w:bookmarkEnd w:id="101"/>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27"/>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100</w:t>
            </w:r>
          </w:p>
        </w:tc>
      </w:tr>
    </w:tbl>
    <w:p>
      <w:pPr>
        <w:bidi w:val="0"/>
        <w:rPr>
          <w:rFonts w:hint="eastAsia"/>
          <w:color w:val="auto"/>
          <w:highlight w:val="none"/>
        </w:rPr>
      </w:pPr>
      <w:bookmarkStart w:id="102" w:name="_Toc13630"/>
      <w:bookmarkStart w:id="103" w:name="_Toc29439"/>
      <w:bookmarkStart w:id="104" w:name="_Toc4904"/>
    </w:p>
    <w:p>
      <w:pPr>
        <w:pStyle w:val="2"/>
        <w:bidi w:val="0"/>
        <w:jc w:val="both"/>
        <w:outlineLvl w:val="0"/>
        <w:rPr>
          <w:rFonts w:hint="eastAsia" w:ascii="黑体" w:hAnsi="黑体" w:eastAsia="黑体" w:cs="黑体"/>
          <w:color w:val="auto"/>
          <w:highlight w:val="none"/>
        </w:rPr>
      </w:pPr>
      <w:bookmarkStart w:id="105" w:name="_Toc26941"/>
      <w:r>
        <w:rPr>
          <w:rFonts w:hint="eastAsia" w:ascii="黑体" w:hAnsi="黑体" w:eastAsia="黑体" w:cs="黑体"/>
          <w:color w:val="auto"/>
          <w:highlight w:val="none"/>
        </w:rPr>
        <w:t>四、绩效评价指标分析</w:t>
      </w:r>
      <w:bookmarkEnd w:id="96"/>
      <w:bookmarkEnd w:id="97"/>
      <w:bookmarkEnd w:id="102"/>
      <w:bookmarkEnd w:id="103"/>
      <w:bookmarkEnd w:id="104"/>
      <w:bookmarkEnd w:id="105"/>
    </w:p>
    <w:p>
      <w:pPr>
        <w:pStyle w:val="4"/>
        <w:bidi w:val="0"/>
        <w:jc w:val="both"/>
        <w:outlineLvl w:val="1"/>
        <w:rPr>
          <w:rFonts w:hint="eastAsia" w:ascii="楷体" w:hAnsi="楷体" w:eastAsia="楷体" w:cs="楷体"/>
          <w:color w:val="auto"/>
          <w:highlight w:val="none"/>
        </w:rPr>
      </w:pPr>
      <w:bookmarkStart w:id="106" w:name="_Toc2901"/>
      <w:bookmarkStart w:id="107" w:name="_Toc1968"/>
      <w:bookmarkStart w:id="108" w:name="_Toc17996"/>
      <w:bookmarkStart w:id="109" w:name="_Toc22323"/>
      <w:bookmarkStart w:id="110" w:name="_Toc28477"/>
      <w:r>
        <w:rPr>
          <w:rFonts w:hint="eastAsia" w:ascii="楷体" w:hAnsi="楷体" w:eastAsia="楷体" w:cs="楷体"/>
          <w:color w:val="auto"/>
          <w:highlight w:val="none"/>
        </w:rPr>
        <w:t>（一）项目决策情况</w:t>
      </w:r>
      <w:bookmarkEnd w:id="106"/>
      <w:bookmarkEnd w:id="107"/>
      <w:bookmarkEnd w:id="108"/>
      <w:bookmarkEnd w:id="109"/>
      <w:bookmarkEnd w:id="110"/>
    </w:p>
    <w:p>
      <w:pPr>
        <w:bidi w:val="0"/>
        <w:jc w:val="both"/>
        <w:rPr>
          <w:rFonts w:hint="default" w:ascii="Times New Roman" w:hAnsi="Times New Roman" w:eastAsia="仿宋_GB2312" w:cs="Times New Roman"/>
          <w:b/>
          <w:bCs/>
          <w:color w:val="auto"/>
          <w:highlight w:val="none"/>
        </w:rPr>
      </w:pPr>
      <w:bookmarkStart w:id="111" w:name="_Toc22511"/>
      <w:bookmarkStart w:id="112" w:name="_Toc510"/>
      <w:r>
        <w:rPr>
          <w:rFonts w:hint="default" w:ascii="Times New Roman" w:hAnsi="Times New Roman" w:eastAsia="仿宋_GB2312" w:cs="Times New Roman"/>
          <w:b/>
          <w:bCs/>
          <w:color w:val="auto"/>
          <w:highlight w:val="none"/>
        </w:rPr>
        <w:t>1.</w:t>
      </w:r>
      <w:r>
        <w:rPr>
          <w:rFonts w:hint="eastAsia" w:ascii="Times New Roman" w:hAnsi="Times New Roman" w:cs="Times New Roman"/>
          <w:b/>
          <w:bCs/>
          <w:color w:val="auto"/>
          <w:highlight w:val="none"/>
          <w:lang w:val="en-US" w:eastAsia="zh-CN"/>
        </w:rPr>
        <w:t>实施</w:t>
      </w:r>
      <w:r>
        <w:rPr>
          <w:rFonts w:hint="default" w:ascii="Times New Roman" w:hAnsi="Times New Roman" w:eastAsia="仿宋_GB2312" w:cs="Times New Roman"/>
          <w:b/>
          <w:bCs/>
          <w:color w:val="auto"/>
          <w:highlight w:val="none"/>
        </w:rPr>
        <w:t>依据充分性</w:t>
      </w:r>
      <w:bookmarkEnd w:id="111"/>
      <w:bookmarkEnd w:id="112"/>
    </w:p>
    <w:p>
      <w:pPr>
        <w:rPr>
          <w:rFonts w:hint="eastAsia" w:ascii="方正仿宋_GBK" w:hAnsi="方正仿宋_GBK" w:eastAsia="方正仿宋_GBK" w:cs="方正仿宋_GBK"/>
          <w:i w:val="0"/>
          <w:iCs w:val="0"/>
          <w:caps w:val="0"/>
          <w:color w:val="auto"/>
          <w:spacing w:val="0"/>
          <w:kern w:val="0"/>
          <w:sz w:val="32"/>
          <w:szCs w:val="32"/>
          <w:highlight w:val="none"/>
          <w:lang w:val="en-US" w:eastAsia="zh-CN"/>
        </w:rPr>
      </w:pPr>
      <w:r>
        <w:rPr>
          <w:rFonts w:hint="eastAsia"/>
          <w:color w:val="auto"/>
          <w:highlight w:val="none"/>
        </w:rPr>
        <w:t>本项目实施符合</w:t>
      </w:r>
      <w:r>
        <w:rPr>
          <w:rFonts w:hint="eastAsia" w:ascii="Times New Roman" w:hAnsi="Times New Roman" w:cs="Times New Roman"/>
          <w:color w:val="auto"/>
          <w:highlight w:val="none"/>
          <w:lang w:eastAsia="zh-CN"/>
        </w:rPr>
        <w:t>中央、自治区及州人民政府颁发的</w:t>
      </w:r>
      <w:r>
        <w:rPr>
          <w:rFonts w:hint="eastAsia" w:ascii="Times New Roman" w:hAnsi="Times New Roman" w:cs="Times New Roman"/>
          <w:color w:val="auto"/>
          <w:highlight w:val="none"/>
        </w:rPr>
        <w:t>《中共中央国务院关于建立空间规划体系并监督实施的若干意见》（</w:t>
      </w:r>
      <w:r>
        <w:rPr>
          <w:rFonts w:hint="eastAsia" w:ascii="Times New Roman" w:hAnsi="Times New Roman" w:cs="Times New Roman"/>
          <w:color w:val="auto"/>
          <w:highlight w:val="none"/>
          <w:lang w:eastAsia="zh-CN"/>
        </w:rPr>
        <w:t>中</w:t>
      </w:r>
      <w:r>
        <w:rPr>
          <w:rFonts w:hint="eastAsia" w:ascii="Times New Roman" w:hAnsi="Times New Roman" w:cs="Times New Roman"/>
          <w:color w:val="auto"/>
          <w:highlight w:val="none"/>
        </w:rPr>
        <w:t>发(2019）</w:t>
      </w:r>
      <w:r>
        <w:rPr>
          <w:rFonts w:hint="eastAsia" w:ascii="Times New Roman" w:hAnsi="Times New Roman" w:cs="Times New Roman"/>
          <w:color w:val="auto"/>
          <w:highlight w:val="none"/>
          <w:lang w:val="en-US" w:eastAsia="zh-CN"/>
        </w:rPr>
        <w:t>18</w:t>
      </w:r>
      <w:r>
        <w:rPr>
          <w:rFonts w:hint="eastAsia" w:ascii="Times New Roman" w:hAnsi="Times New Roman" w:cs="Times New Roman"/>
          <w:color w:val="auto"/>
          <w:highlight w:val="none"/>
        </w:rPr>
        <w:t>号）</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《关于印发新疆全面开展国土空间规划编制工作方案的通知》（新政办发(2019）92号）文件以及《关于印发自治州全面开展国土空间规划编制工作方案的通知》（</w:t>
      </w:r>
      <w:r>
        <w:rPr>
          <w:rFonts w:hint="eastAsia" w:ascii="Times New Roman" w:hAnsi="Times New Roman" w:cs="Times New Roman"/>
          <w:color w:val="auto"/>
          <w:highlight w:val="none"/>
          <w:lang w:eastAsia="zh-CN"/>
        </w:rPr>
        <w:t>巴</w:t>
      </w:r>
      <w:r>
        <w:rPr>
          <w:rFonts w:hint="eastAsia" w:ascii="Times New Roman" w:hAnsi="Times New Roman" w:cs="Times New Roman"/>
          <w:color w:val="auto"/>
          <w:highlight w:val="none"/>
        </w:rPr>
        <w:t>政办发(2019）</w:t>
      </w:r>
      <w:r>
        <w:rPr>
          <w:rFonts w:hint="eastAsia" w:ascii="Times New Roman" w:hAnsi="Times New Roman" w:cs="Times New Roman"/>
          <w:color w:val="auto"/>
          <w:highlight w:val="none"/>
          <w:lang w:val="en-US" w:eastAsia="zh-CN"/>
        </w:rPr>
        <w:t>33</w:t>
      </w:r>
      <w:r>
        <w:rPr>
          <w:rFonts w:hint="eastAsia" w:ascii="Times New Roman" w:hAnsi="Times New Roman" w:cs="Times New Roman"/>
          <w:color w:val="auto"/>
          <w:highlight w:val="none"/>
        </w:rPr>
        <w:t>号）等相关要求</w:t>
      </w:r>
      <w:r>
        <w:rPr>
          <w:rFonts w:hint="eastAsia" w:ascii="Times New Roman" w:hAnsi="Times New Roman" w:cs="Times New Roman"/>
          <w:color w:val="auto"/>
          <w:highlight w:val="none"/>
          <w:lang w:eastAsia="zh-CN"/>
        </w:rPr>
        <w:t>中：“</w:t>
      </w:r>
      <w:r>
        <w:rPr>
          <w:rFonts w:hint="eastAsia" w:ascii="Times New Roman" w:hAnsi="Times New Roman" w:cs="Times New Roman"/>
          <w:color w:val="auto"/>
          <w:highlight w:val="none"/>
        </w:rPr>
        <w:t>秉持创新、协调、绿色、开放、共享新发展理念，坚持高质量发展和高品质生活要求，通过科学编制乡镇和村庄规划，统领县域各类空间，充分发挥国土空间规划的战略引领和刚性管控作用，提升国土空间治理能力，促进尉犁县经济社会更高效、公平、可持续发展</w:t>
      </w:r>
      <w:r>
        <w:rPr>
          <w:rFonts w:hint="eastAsia" w:ascii="Times New Roman" w:hAnsi="Times New Roman" w:cs="Times New Roman"/>
          <w:color w:val="auto"/>
          <w:highlight w:val="none"/>
          <w:lang w:eastAsia="zh-CN"/>
        </w:rPr>
        <w:t>”；本项目实施符合《尉犁县国土空间总体规划（2021-2035年）》《新疆维吾尔自治区乡镇国土空间总体规划编制技术规程（试行）》等中：“</w:t>
      </w:r>
      <w:r>
        <w:rPr>
          <w:rFonts w:hint="eastAsia" w:ascii="Times New Roman" w:hAnsi="Times New Roman" w:cs="Times New Roman"/>
          <w:color w:val="auto"/>
          <w:highlight w:val="none"/>
        </w:rPr>
        <w:t>国家、自治区关于国土空间规划的相关政策、法规和技术标准</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进一步推动我县“二级三类”国土空间规划体系建立</w:t>
      </w:r>
      <w:r>
        <w:rPr>
          <w:rFonts w:hint="eastAsia"/>
          <w:color w:val="auto"/>
          <w:highlight w:val="none"/>
          <w:lang w:eastAsia="zh-CN"/>
        </w:rPr>
        <w:t>”</w:t>
      </w:r>
      <w:r>
        <w:rPr>
          <w:rFonts w:hint="eastAsia"/>
          <w:color w:val="auto"/>
          <w:highlight w:val="none"/>
        </w:rPr>
        <w:t>内容，符合行业发展规划和政策要求；</w:t>
      </w:r>
    </w:p>
    <w:p>
      <w:pPr>
        <w:bidi w:val="0"/>
        <w:ind w:left="0" w:leftChars="0" w:firstLine="640" w:firstLineChars="200"/>
        <w:rPr>
          <w:color w:val="auto"/>
          <w:highlight w:val="none"/>
        </w:rPr>
      </w:pPr>
      <w:r>
        <w:rPr>
          <w:rFonts w:hint="eastAsia"/>
          <w:color w:val="auto"/>
          <w:highlight w:val="none"/>
        </w:rPr>
        <w:t>（1）本项目申报和审批符合国家法律法规、国民经济发展规划和相关政策；</w:t>
      </w:r>
    </w:p>
    <w:p>
      <w:pPr>
        <w:bidi w:val="0"/>
        <w:rPr>
          <w:color w:val="auto"/>
          <w:highlight w:val="none"/>
        </w:rPr>
      </w:pPr>
      <w:r>
        <w:rPr>
          <w:rFonts w:hint="eastAsia"/>
          <w:color w:val="auto"/>
          <w:highlight w:val="none"/>
        </w:rPr>
        <w:t>（2）本项目申报和审批符合行业发展规划和政策要求；</w:t>
      </w:r>
    </w:p>
    <w:p>
      <w:pPr>
        <w:bidi w:val="0"/>
        <w:rPr>
          <w:color w:val="auto"/>
          <w:highlight w:val="none"/>
        </w:rPr>
      </w:pPr>
      <w:r>
        <w:rPr>
          <w:rFonts w:hint="eastAsia"/>
          <w:color w:val="auto"/>
          <w:highlight w:val="none"/>
        </w:rPr>
        <w:t>（3）项目</w:t>
      </w:r>
      <w:r>
        <w:rPr>
          <w:rFonts w:hint="eastAsia"/>
          <w:color w:val="auto"/>
          <w:highlight w:val="none"/>
          <w:lang w:val="en-US" w:eastAsia="zh-CN"/>
        </w:rPr>
        <w:t>实施</w:t>
      </w:r>
      <w:r>
        <w:rPr>
          <w:rFonts w:hint="eastAsia"/>
          <w:color w:val="auto"/>
          <w:highlight w:val="none"/>
        </w:rPr>
        <w:t>与部门职责范围相符，属</w:t>
      </w:r>
      <w:r>
        <w:rPr>
          <w:rFonts w:hint="eastAsia"/>
          <w:color w:val="auto"/>
          <w:highlight w:val="none"/>
          <w:lang w:val="en-US" w:eastAsia="zh-CN"/>
        </w:rPr>
        <w:t>于</w:t>
      </w:r>
      <w:bookmarkStart w:id="213" w:name="_GoBack"/>
      <w:bookmarkEnd w:id="213"/>
      <w:r>
        <w:rPr>
          <w:rFonts w:hint="eastAsia"/>
          <w:color w:val="auto"/>
          <w:highlight w:val="none"/>
        </w:rPr>
        <w:t>部门履职所需；</w:t>
      </w:r>
    </w:p>
    <w:p>
      <w:pPr>
        <w:bidi w:val="0"/>
        <w:rPr>
          <w:color w:val="auto"/>
          <w:highlight w:val="none"/>
        </w:rPr>
      </w:pPr>
      <w:r>
        <w:rPr>
          <w:rFonts w:hint="eastAsia"/>
          <w:color w:val="auto"/>
          <w:highlight w:val="none"/>
        </w:rPr>
        <w:t>（4）本项目属于公共财政支持范围，符合中央、地方事权支出责任划分原则；</w:t>
      </w:r>
    </w:p>
    <w:p>
      <w:pPr>
        <w:bidi w:val="0"/>
        <w:rPr>
          <w:color w:val="auto"/>
          <w:highlight w:val="none"/>
        </w:rPr>
      </w:pPr>
      <w:r>
        <w:rPr>
          <w:rFonts w:hint="eastAsia"/>
          <w:color w:val="auto"/>
          <w:highlight w:val="none"/>
        </w:rPr>
        <w:t>（5）本项目与相关部门同类项目或部门内部相关项目</w:t>
      </w:r>
      <w:r>
        <w:rPr>
          <w:rFonts w:hint="eastAsia"/>
          <w:color w:val="auto"/>
          <w:highlight w:val="none"/>
          <w:lang w:val="en-US" w:eastAsia="zh-CN"/>
        </w:rPr>
        <w:t>不</w:t>
      </w:r>
      <w:r>
        <w:rPr>
          <w:rFonts w:hint="eastAsia"/>
          <w:color w:val="auto"/>
          <w:highlight w:val="none"/>
        </w:rPr>
        <w:t>重复。</w:t>
      </w:r>
    </w:p>
    <w:p>
      <w:pPr>
        <w:bidi w:val="0"/>
        <w:jc w:val="both"/>
        <w:rPr>
          <w:rFonts w:hint="default" w:ascii="Times New Roman" w:hAnsi="Times New Roman" w:eastAsia="仿宋_GB2312" w:cs="Times New Roman"/>
          <w:color w:val="auto"/>
          <w:highlight w:val="none"/>
        </w:rPr>
      </w:pPr>
      <w:r>
        <w:rPr>
          <w:rFonts w:hint="eastAsia"/>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13" w:name="_Toc27895"/>
      <w:bookmarkStart w:id="114" w:name="_Toc283"/>
      <w:r>
        <w:rPr>
          <w:rFonts w:hint="default" w:ascii="Times New Roman" w:hAnsi="Times New Roman" w:eastAsia="仿宋_GB2312" w:cs="Times New Roman"/>
          <w:b/>
          <w:bCs/>
          <w:color w:val="auto"/>
          <w:highlight w:val="none"/>
        </w:rPr>
        <w:t>2.</w:t>
      </w:r>
      <w:r>
        <w:rPr>
          <w:rFonts w:hint="eastAsia" w:ascii="Times New Roman" w:hAnsi="Times New Roman" w:cs="Times New Roman"/>
          <w:b/>
          <w:bCs/>
          <w:color w:val="auto"/>
          <w:highlight w:val="none"/>
          <w:lang w:eastAsia="zh-CN"/>
        </w:rPr>
        <w:t>实施</w:t>
      </w:r>
      <w:r>
        <w:rPr>
          <w:rFonts w:hint="default" w:ascii="Times New Roman" w:hAnsi="Times New Roman" w:eastAsia="仿宋_GB2312" w:cs="Times New Roman"/>
          <w:b/>
          <w:bCs/>
          <w:color w:val="auto"/>
          <w:highlight w:val="none"/>
        </w:rPr>
        <w:t>程序规范性</w:t>
      </w:r>
      <w:bookmarkEnd w:id="113"/>
      <w:bookmarkEnd w:id="114"/>
    </w:p>
    <w:p>
      <w:pPr>
        <w:rPr>
          <w:color w:val="auto"/>
          <w:highlight w:val="none"/>
        </w:rPr>
      </w:pPr>
      <w:r>
        <w:rPr>
          <w:rFonts w:hint="eastAsia" w:ascii="Times New Roman" w:hAnsi="Times New Roman" w:eastAsia="仿宋_GB2312" w:cs="Times New Roman"/>
          <w:bCs w:val="0"/>
          <w:iCs w:val="0"/>
          <w:color w:val="auto"/>
          <w:kern w:val="2"/>
          <w:sz w:val="32"/>
          <w:szCs w:val="22"/>
          <w:highlight w:val="none"/>
          <w:lang w:val="en-US" w:bidi="ar-SA"/>
        </w:rPr>
        <w:t>本项目</w:t>
      </w:r>
      <w:r>
        <w:rPr>
          <w:rFonts w:hint="eastAsia" w:ascii="Times New Roman" w:hAnsi="Times New Roman" w:eastAsia="仿宋_GB2312" w:cs="Times New Roman"/>
          <w:bCs w:val="0"/>
          <w:iCs w:val="0"/>
          <w:color w:val="auto"/>
          <w:kern w:val="2"/>
          <w:sz w:val="32"/>
          <w:szCs w:val="22"/>
          <w:highlight w:val="none"/>
          <w:lang w:val="en-US" w:eastAsia="zh-CN" w:bidi="ar-SA"/>
        </w:rPr>
        <w:t>实施</w:t>
      </w:r>
      <w:r>
        <w:rPr>
          <w:rFonts w:hint="eastAsia" w:ascii="Times New Roman" w:hAnsi="Times New Roman" w:eastAsia="仿宋_GB2312" w:cs="Times New Roman"/>
          <w:bCs w:val="0"/>
          <w:iCs w:val="0"/>
          <w:color w:val="auto"/>
          <w:kern w:val="2"/>
          <w:sz w:val="32"/>
          <w:szCs w:val="22"/>
          <w:highlight w:val="none"/>
          <w:lang w:val="en-US" w:bidi="ar-SA"/>
        </w:rPr>
        <w:t>资料</w:t>
      </w:r>
      <w:r>
        <w:rPr>
          <w:rFonts w:hint="eastAsia" w:ascii="Times New Roman" w:hAnsi="Times New Roman" w:cs="Times New Roman"/>
          <w:bCs w:val="0"/>
          <w:iCs w:val="0"/>
          <w:color w:val="auto"/>
          <w:kern w:val="2"/>
          <w:sz w:val="32"/>
          <w:szCs w:val="22"/>
          <w:highlight w:val="none"/>
          <w:lang w:val="en-US" w:eastAsia="zh-CN" w:bidi="ar-SA"/>
        </w:rPr>
        <w:t>齐</w:t>
      </w:r>
      <w:r>
        <w:rPr>
          <w:rFonts w:hint="eastAsia" w:ascii="Times New Roman" w:hAnsi="Times New Roman" w:eastAsia="仿宋_GB2312" w:cs="Times New Roman"/>
          <w:bCs w:val="0"/>
          <w:iCs w:val="0"/>
          <w:color w:val="auto"/>
          <w:kern w:val="2"/>
          <w:sz w:val="32"/>
          <w:szCs w:val="22"/>
          <w:highlight w:val="none"/>
          <w:lang w:val="en-US" w:bidi="ar-SA"/>
        </w:rPr>
        <w:t>全，</w:t>
      </w:r>
      <w:r>
        <w:rPr>
          <w:rFonts w:hint="default" w:ascii="Times New Roman" w:hAnsi="Times New Roman" w:eastAsia="仿宋_GB2312" w:cs="Times New Roman"/>
          <w:bCs w:val="0"/>
          <w:iCs w:val="0"/>
          <w:color w:val="auto"/>
          <w:kern w:val="2"/>
          <w:sz w:val="32"/>
          <w:szCs w:val="22"/>
          <w:highlight w:val="none"/>
          <w:lang w:val="en-US" w:bidi="ar-SA"/>
        </w:rPr>
        <w:t>编制了</w:t>
      </w:r>
      <w:r>
        <w:rPr>
          <w:rFonts w:hint="eastAsia" w:ascii="Times New Roman" w:hAnsi="Times New Roman" w:eastAsia="仿宋_GB2312" w:cs="Times New Roman"/>
          <w:bCs w:val="0"/>
          <w:iCs w:val="0"/>
          <w:color w:val="auto"/>
          <w:kern w:val="2"/>
          <w:sz w:val="32"/>
          <w:szCs w:val="22"/>
          <w:highlight w:val="none"/>
          <w:lang w:val="en-US" w:eastAsia="zh-CN" w:bidi="ar-SA"/>
        </w:rPr>
        <w:t>《</w:t>
      </w:r>
      <w:r>
        <w:rPr>
          <w:rFonts w:hint="eastAsia" w:ascii="Times New Roman" w:hAnsi="Times New Roman" w:cs="Times New Roman"/>
          <w:bCs w:val="0"/>
          <w:iCs w:val="0"/>
          <w:color w:val="auto"/>
          <w:kern w:val="2"/>
          <w:sz w:val="32"/>
          <w:szCs w:val="22"/>
          <w:highlight w:val="none"/>
          <w:lang w:val="en-US" w:eastAsia="zh-CN" w:bidi="ar-SA"/>
        </w:rPr>
        <w:t>尉犁县全面开展国土空间规划编制工作实施方案</w:t>
      </w:r>
      <w:r>
        <w:rPr>
          <w:rFonts w:hint="eastAsia" w:ascii="Times New Roman" w:hAnsi="Times New Roman" w:eastAsia="仿宋_GB2312" w:cs="Times New Roman"/>
          <w:bCs w:val="0"/>
          <w:iCs w:val="0"/>
          <w:color w:val="auto"/>
          <w:kern w:val="2"/>
          <w:sz w:val="32"/>
          <w:szCs w:val="22"/>
          <w:highlight w:val="none"/>
          <w:lang w:val="en-US" w:eastAsia="zh-CN" w:bidi="ar-SA"/>
        </w:rPr>
        <w:t>》</w:t>
      </w:r>
      <w:r>
        <w:rPr>
          <w:rFonts w:hint="default" w:ascii="Times New Roman" w:hAnsi="Times New Roman" w:eastAsia="仿宋_GB2312" w:cs="Times New Roman"/>
          <w:bCs w:val="0"/>
          <w:iCs w:val="0"/>
          <w:color w:val="auto"/>
          <w:kern w:val="2"/>
          <w:sz w:val="32"/>
          <w:szCs w:val="22"/>
          <w:highlight w:val="none"/>
          <w:lang w:val="en-US" w:bidi="ar-SA"/>
        </w:rPr>
        <w:t>。</w:t>
      </w:r>
      <w:r>
        <w:rPr>
          <w:rFonts w:hint="eastAsia" w:ascii="Times New Roman" w:hAnsi="Times New Roman" w:cs="Times New Roman"/>
          <w:bCs w:val="0"/>
          <w:iCs w:val="0"/>
          <w:color w:val="auto"/>
          <w:kern w:val="2"/>
          <w:sz w:val="32"/>
          <w:szCs w:val="22"/>
          <w:highlight w:val="none"/>
          <w:lang w:val="en-US" w:eastAsia="zh-CN" w:bidi="ar-SA"/>
        </w:rPr>
        <w:t>根据《</w:t>
      </w:r>
      <w:r>
        <w:rPr>
          <w:rFonts w:hint="default" w:ascii="Times New Roman" w:hAnsi="Times New Roman" w:eastAsia="仿宋_GB2312" w:cs="Times New Roman"/>
          <w:bCs w:val="0"/>
          <w:iCs w:val="0"/>
          <w:color w:val="auto"/>
          <w:kern w:val="2"/>
          <w:sz w:val="32"/>
          <w:szCs w:val="22"/>
          <w:highlight w:val="none"/>
          <w:lang w:val="en-US" w:bidi="ar-SA"/>
        </w:rPr>
        <w:t>关于印发</w:t>
      </w:r>
      <w:r>
        <w:rPr>
          <w:rFonts w:hint="eastAsia" w:ascii="Times New Roman" w:hAnsi="Times New Roman" w:cs="Times New Roman"/>
          <w:bCs w:val="0"/>
          <w:iCs w:val="0"/>
          <w:color w:val="auto"/>
          <w:kern w:val="2"/>
          <w:sz w:val="32"/>
          <w:szCs w:val="22"/>
          <w:highlight w:val="none"/>
          <w:lang w:val="en-US" w:eastAsia="zh-CN" w:bidi="ar-SA"/>
        </w:rPr>
        <w:t>&lt;</w:t>
      </w:r>
      <w:r>
        <w:rPr>
          <w:rFonts w:hint="default" w:ascii="Times New Roman" w:hAnsi="Times New Roman" w:eastAsia="仿宋_GB2312" w:cs="Times New Roman"/>
          <w:bCs w:val="0"/>
          <w:iCs w:val="0"/>
          <w:color w:val="auto"/>
          <w:kern w:val="2"/>
          <w:sz w:val="32"/>
          <w:szCs w:val="22"/>
          <w:highlight w:val="none"/>
          <w:lang w:val="en-US" w:bidi="ar-SA"/>
        </w:rPr>
        <w:t>尉犁县全面开展国土空间规划编制工作实施方案</w:t>
      </w:r>
      <w:r>
        <w:rPr>
          <w:rFonts w:hint="eastAsia" w:ascii="Times New Roman" w:hAnsi="Times New Roman" w:cs="Times New Roman"/>
          <w:bCs w:val="0"/>
          <w:iCs w:val="0"/>
          <w:color w:val="auto"/>
          <w:kern w:val="2"/>
          <w:sz w:val="32"/>
          <w:szCs w:val="22"/>
          <w:highlight w:val="none"/>
          <w:lang w:val="en-US" w:eastAsia="zh-CN" w:bidi="ar-SA"/>
        </w:rPr>
        <w:t>&gt;</w:t>
      </w:r>
      <w:r>
        <w:rPr>
          <w:rFonts w:hint="default" w:ascii="Times New Roman" w:hAnsi="Times New Roman" w:eastAsia="仿宋_GB2312" w:cs="Times New Roman"/>
          <w:bCs w:val="0"/>
          <w:iCs w:val="0"/>
          <w:color w:val="auto"/>
          <w:kern w:val="2"/>
          <w:sz w:val="32"/>
          <w:szCs w:val="22"/>
          <w:highlight w:val="none"/>
          <w:lang w:val="en-US" w:bidi="ar-SA"/>
        </w:rPr>
        <w:t>的通知</w:t>
      </w:r>
      <w:r>
        <w:rPr>
          <w:rFonts w:hint="eastAsia" w:ascii="Times New Roman" w:hAnsi="Times New Roman" w:cs="Times New Roman"/>
          <w:bCs w:val="0"/>
          <w:iCs w:val="0"/>
          <w:color w:val="auto"/>
          <w:kern w:val="2"/>
          <w:sz w:val="32"/>
          <w:szCs w:val="22"/>
          <w:highlight w:val="none"/>
          <w:lang w:val="en-US" w:eastAsia="zh-CN" w:bidi="ar-SA"/>
        </w:rPr>
        <w:t>》（</w:t>
      </w:r>
      <w:r>
        <w:rPr>
          <w:rFonts w:hint="default" w:ascii="Times New Roman" w:hAnsi="Times New Roman" w:eastAsia="仿宋_GB2312" w:cs="Times New Roman"/>
          <w:bCs w:val="0"/>
          <w:iCs w:val="0"/>
          <w:color w:val="auto"/>
          <w:kern w:val="2"/>
          <w:sz w:val="32"/>
          <w:szCs w:val="22"/>
          <w:highlight w:val="none"/>
          <w:lang w:val="en-US" w:bidi="ar-SA"/>
        </w:rPr>
        <w:t>尉政办发(2019]48号</w:t>
      </w:r>
      <w:r>
        <w:rPr>
          <w:rFonts w:hint="eastAsia" w:ascii="Times New Roman" w:hAnsi="Times New Roman" w:cs="Times New Roman"/>
          <w:bCs w:val="0"/>
          <w:iCs w:val="0"/>
          <w:color w:val="auto"/>
          <w:kern w:val="2"/>
          <w:sz w:val="32"/>
          <w:szCs w:val="22"/>
          <w:highlight w:val="none"/>
          <w:lang w:val="en-US" w:eastAsia="zh-CN" w:bidi="ar-SA"/>
        </w:rPr>
        <w:t>）文件精神，</w:t>
      </w:r>
      <w:r>
        <w:rPr>
          <w:rFonts w:hint="default" w:ascii="Times New Roman" w:hAnsi="Times New Roman" w:eastAsia="仿宋_GB2312" w:cs="Times New Roman"/>
          <w:bCs w:val="0"/>
          <w:iCs w:val="0"/>
          <w:color w:val="auto"/>
          <w:kern w:val="2"/>
          <w:sz w:val="32"/>
          <w:szCs w:val="22"/>
          <w:highlight w:val="none"/>
          <w:lang w:val="en-US" w:bidi="ar-SA"/>
        </w:rPr>
        <w:t>尉犁县人民政府研究</w:t>
      </w:r>
      <w:r>
        <w:rPr>
          <w:rFonts w:hint="eastAsia" w:ascii="Times New Roman" w:hAnsi="Times New Roman" w:cs="Times New Roman"/>
          <w:bCs w:val="0"/>
          <w:iCs w:val="0"/>
          <w:color w:val="auto"/>
          <w:kern w:val="2"/>
          <w:sz w:val="32"/>
          <w:szCs w:val="22"/>
          <w:highlight w:val="none"/>
          <w:lang w:val="en-US" w:eastAsia="zh-CN" w:bidi="ar-SA"/>
        </w:rPr>
        <w:t>决定</w:t>
      </w:r>
      <w:r>
        <w:rPr>
          <w:rFonts w:hint="eastAsia" w:ascii="Times New Roman" w:hAnsi="Times New Roman" w:eastAsia="仿宋_GB2312" w:cs="Times New Roman"/>
          <w:bCs w:val="0"/>
          <w:iCs w:val="0"/>
          <w:color w:val="auto"/>
          <w:kern w:val="2"/>
          <w:sz w:val="32"/>
          <w:szCs w:val="22"/>
          <w:highlight w:val="none"/>
          <w:lang w:val="en-US" w:eastAsia="zh-CN" w:bidi="ar-SA"/>
        </w:rPr>
        <w:t>实施该项目</w:t>
      </w:r>
      <w:r>
        <w:rPr>
          <w:rFonts w:hint="eastAsia" w:ascii="Times New Roman" w:hAnsi="Times New Roman" w:cs="Times New Roman"/>
          <w:bCs w:val="0"/>
          <w:iCs w:val="0"/>
          <w:color w:val="auto"/>
          <w:kern w:val="2"/>
          <w:sz w:val="32"/>
          <w:szCs w:val="22"/>
          <w:highlight w:val="none"/>
          <w:lang w:val="en-US" w:eastAsia="zh-CN" w:bidi="ar-SA"/>
        </w:rPr>
        <w:t>。</w:t>
      </w:r>
      <w:r>
        <w:rPr>
          <w:rFonts w:hint="eastAsia"/>
          <w:color w:val="auto"/>
          <w:highlight w:val="none"/>
        </w:rPr>
        <w:t xml:space="preserve"> </w:t>
      </w:r>
      <w:r>
        <w:rPr>
          <w:rFonts w:hint="eastAsia" w:ascii="Times New Roman" w:hAnsi="Times New Roman" w:eastAsia="仿宋_GB2312" w:cs="Times New Roman"/>
          <w:bCs w:val="0"/>
          <w:iCs w:val="0"/>
          <w:color w:val="auto"/>
          <w:kern w:val="2"/>
          <w:sz w:val="32"/>
          <w:szCs w:val="22"/>
          <w:highlight w:val="none"/>
          <w:lang w:val="en-US" w:eastAsia="zh-CN" w:bidi="ar-SA"/>
        </w:rPr>
        <w:t>因此，</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highlight w:val="none"/>
        </w:rPr>
        <w:t>实施程序规范。</w:t>
      </w:r>
    </w:p>
    <w:p>
      <w:pPr>
        <w:bidi w:val="0"/>
        <w:jc w:val="both"/>
        <w:rPr>
          <w:rFonts w:hint="default" w:ascii="Times New Roman" w:hAnsi="Times New Roman" w:eastAsia="仿宋_GB2312" w:cs="Times New Roman"/>
          <w:color w:val="auto"/>
          <w:highlight w:val="none"/>
        </w:rPr>
      </w:pPr>
      <w:r>
        <w:rPr>
          <w:rFonts w:hint="eastAsia"/>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15" w:name="_Toc20471"/>
      <w:bookmarkStart w:id="116" w:name="_Toc13368"/>
      <w:r>
        <w:rPr>
          <w:rFonts w:hint="default" w:ascii="Times New Roman" w:hAnsi="Times New Roman" w:eastAsia="仿宋_GB2312" w:cs="Times New Roman"/>
          <w:b/>
          <w:bCs/>
          <w:color w:val="auto"/>
          <w:highlight w:val="none"/>
        </w:rPr>
        <w:t>3.绩效目标合理性</w:t>
      </w:r>
      <w:bookmarkEnd w:id="115"/>
      <w:bookmarkEnd w:id="116"/>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17" w:name="_Toc21087"/>
      <w:bookmarkStart w:id="118" w:name="_Toc15543"/>
      <w:r>
        <w:rPr>
          <w:rFonts w:hint="default" w:ascii="Times New Roman" w:hAnsi="Times New Roman" w:eastAsia="仿宋_GB2312" w:cs="Times New Roman"/>
          <w:b/>
          <w:bCs/>
          <w:color w:val="auto"/>
          <w:highlight w:val="none"/>
        </w:rPr>
        <w:t>4.绩效指标明确性</w:t>
      </w:r>
      <w:bookmarkEnd w:id="117"/>
      <w:bookmarkEnd w:id="118"/>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eastAsia="zh-CN"/>
        </w:rPr>
        <w:t>乡镇国土空间规划和村庄规划编制项目</w:t>
      </w:r>
      <w:r>
        <w:rPr>
          <w:rFonts w:hint="default" w:ascii="Times New Roman" w:hAnsi="Times New Roman" w:eastAsia="仿宋_GB2312" w:cs="Times New Roman"/>
          <w:color w:val="auto"/>
          <w:highlight w:val="none"/>
        </w:rPr>
        <w:t>，设置一级指标3条，二级指标</w:t>
      </w:r>
      <w:r>
        <w:rPr>
          <w:rFonts w:hint="eastAsia"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条，三级指标</w:t>
      </w:r>
      <w:r>
        <w:rPr>
          <w:rFonts w:hint="eastAsia" w:ascii="Times New Roman" w:hAnsi="Times New Roman" w:cs="Times New Roman"/>
          <w:color w:val="auto"/>
          <w:highlight w:val="none"/>
          <w:lang w:val="en-US" w:eastAsia="zh-CN"/>
        </w:rPr>
        <w:t>10</w:t>
      </w:r>
      <w:r>
        <w:rPr>
          <w:rFonts w:hint="default" w:ascii="Times New Roman" w:hAnsi="Times New Roman" w:eastAsia="仿宋_GB2312" w:cs="Times New Roman"/>
          <w:color w:val="auto"/>
          <w:highlight w:val="none"/>
        </w:rPr>
        <w:t>条，其中量化指标</w:t>
      </w:r>
      <w:r>
        <w:rPr>
          <w:rFonts w:hint="eastAsia" w:ascii="Times New Roman" w:hAnsi="Times New Roman" w:cs="Times New Roman"/>
          <w:color w:val="auto"/>
          <w:highlight w:val="none"/>
          <w:lang w:val="en-US" w:eastAsia="zh-CN"/>
        </w:rPr>
        <w:t>8</w:t>
      </w:r>
      <w:r>
        <w:rPr>
          <w:rFonts w:hint="default" w:ascii="Times New Roman" w:hAnsi="Times New Roman" w:eastAsia="仿宋_GB2312" w:cs="Times New Roman"/>
          <w:color w:val="auto"/>
          <w:highlight w:val="none"/>
        </w:rPr>
        <w:t>条，绩效目标指标设定清晰、可衡量性较强，与项目目标任务计划数对应性较强。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19" w:name="_Toc25638"/>
      <w:bookmarkStart w:id="120" w:name="_Toc21476"/>
      <w:r>
        <w:rPr>
          <w:rFonts w:hint="default" w:ascii="Times New Roman" w:hAnsi="Times New Roman" w:eastAsia="仿宋_GB2312" w:cs="Times New Roman"/>
          <w:b/>
          <w:bCs/>
          <w:color w:val="auto"/>
          <w:highlight w:val="none"/>
        </w:rPr>
        <w:t>5.预算编制科学性</w:t>
      </w:r>
      <w:bookmarkEnd w:id="119"/>
      <w:bookmarkEnd w:id="120"/>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万元，来源为</w:t>
      </w:r>
      <w:r>
        <w:rPr>
          <w:rFonts w:hint="eastAsia" w:ascii="Times New Roman" w:hAnsi="Times New Roman" w:cs="Times New Roman"/>
          <w:color w:val="auto"/>
          <w:highlight w:val="none"/>
          <w:lang w:val="en-US" w:eastAsia="zh-CN"/>
        </w:rPr>
        <w:t>县级配套</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万元，预算编制较为科学，预算内容与项目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rPr>
        <w:t>内容相匹配，预算额度测算依据充分，预算确定的资金量与</w:t>
      </w:r>
      <w:r>
        <w:rPr>
          <w:rFonts w:hint="eastAsia" w:ascii="Times New Roman" w:hAnsi="Times New Roman" w:cs="Times New Roman"/>
          <w:color w:val="auto"/>
          <w:highlight w:val="none"/>
          <w:lang w:val="en-US" w:eastAsia="zh-CN"/>
        </w:rPr>
        <w:t>工作</w:t>
      </w:r>
      <w:r>
        <w:rPr>
          <w:rFonts w:hint="default" w:ascii="Times New Roman" w:hAnsi="Times New Roman" w:eastAsia="仿宋_GB2312" w:cs="Times New Roman"/>
          <w:color w:val="auto"/>
          <w:highlight w:val="none"/>
        </w:rPr>
        <w:t>量相匹配。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1" w:name="_Toc30661"/>
      <w:bookmarkStart w:id="122" w:name="_Toc21577"/>
      <w:r>
        <w:rPr>
          <w:rFonts w:hint="default" w:ascii="Times New Roman" w:hAnsi="Times New Roman" w:eastAsia="仿宋_GB2312" w:cs="Times New Roman"/>
          <w:b/>
          <w:bCs/>
          <w:color w:val="auto"/>
          <w:highlight w:val="none"/>
        </w:rPr>
        <w:t>6.资金分配合理性</w:t>
      </w:r>
      <w:bookmarkEnd w:id="121"/>
      <w:bookmarkEnd w:id="122"/>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pStyle w:val="4"/>
        <w:bidi w:val="0"/>
        <w:outlineLvl w:val="1"/>
        <w:rPr>
          <w:rFonts w:hint="eastAsia"/>
          <w:color w:val="auto"/>
          <w:highlight w:val="none"/>
        </w:rPr>
      </w:pPr>
      <w:bookmarkStart w:id="123" w:name="_Toc30992"/>
      <w:bookmarkStart w:id="124" w:name="_Toc27855"/>
      <w:bookmarkStart w:id="125" w:name="_Toc13442"/>
      <w:bookmarkStart w:id="126" w:name="_Toc9897"/>
      <w:bookmarkStart w:id="127" w:name="_Toc13213"/>
      <w:r>
        <w:rPr>
          <w:rFonts w:hint="eastAsia"/>
          <w:color w:val="auto"/>
          <w:highlight w:val="none"/>
        </w:rPr>
        <w:t>（二）项目过程情况</w:t>
      </w:r>
      <w:bookmarkEnd w:id="123"/>
      <w:bookmarkEnd w:id="124"/>
      <w:bookmarkEnd w:id="125"/>
      <w:bookmarkEnd w:id="126"/>
      <w:bookmarkEnd w:id="127"/>
    </w:p>
    <w:p>
      <w:pPr>
        <w:bidi w:val="0"/>
        <w:jc w:val="both"/>
        <w:rPr>
          <w:rFonts w:hint="default" w:ascii="Times New Roman" w:hAnsi="Times New Roman" w:eastAsia="仿宋_GB2312" w:cs="Times New Roman"/>
          <w:b/>
          <w:bCs/>
          <w:color w:val="auto"/>
          <w:highlight w:val="none"/>
        </w:rPr>
      </w:pPr>
      <w:bookmarkStart w:id="128" w:name="_Toc19854"/>
      <w:bookmarkStart w:id="129" w:name="_Toc29417"/>
      <w:r>
        <w:rPr>
          <w:rFonts w:hint="default" w:ascii="Times New Roman" w:hAnsi="Times New Roman" w:eastAsia="仿宋_GB2312" w:cs="Times New Roman"/>
          <w:b/>
          <w:bCs/>
          <w:color w:val="auto"/>
          <w:highlight w:val="none"/>
        </w:rPr>
        <w:t>1.资金到位率</w:t>
      </w:r>
      <w:bookmarkEnd w:id="128"/>
      <w:bookmarkEnd w:id="129"/>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万元，实际到位资金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万元，资金到位率100%。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0" w:name="_Toc13724"/>
      <w:bookmarkStart w:id="131" w:name="_Toc29889"/>
      <w:r>
        <w:rPr>
          <w:rFonts w:hint="default" w:ascii="Times New Roman" w:hAnsi="Times New Roman" w:eastAsia="仿宋_GB2312" w:cs="Times New Roman"/>
          <w:b/>
          <w:bCs/>
          <w:color w:val="auto"/>
          <w:highlight w:val="none"/>
        </w:rPr>
        <w:t>2.预算执行率</w:t>
      </w:r>
      <w:bookmarkEnd w:id="130"/>
      <w:bookmarkEnd w:id="13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万元，实际支付资金</w:t>
      </w:r>
      <w:r>
        <w:rPr>
          <w:rFonts w:hint="eastAsia" w:ascii="Times New Roman" w:hAnsi="Times New Roman" w:cs="Times New Roman"/>
          <w:color w:val="auto"/>
          <w:highlight w:val="none"/>
          <w:lang w:val="en-US" w:eastAsia="zh-CN"/>
        </w:rPr>
        <w:t>268</w:t>
      </w:r>
      <w:r>
        <w:rPr>
          <w:rFonts w:hint="default" w:ascii="Times New Roman" w:hAnsi="Times New Roman" w:eastAsia="仿宋_GB2312" w:cs="Times New Roman"/>
          <w:color w:val="auto"/>
          <w:highlight w:val="none"/>
        </w:rPr>
        <w:t>万元，预算执行率为</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32" w:name="_Toc8316"/>
      <w:bookmarkStart w:id="133" w:name="_Toc2484"/>
      <w:r>
        <w:rPr>
          <w:rFonts w:hint="default" w:ascii="Times New Roman" w:hAnsi="Times New Roman" w:eastAsia="仿宋_GB2312" w:cs="Times New Roman"/>
          <w:b/>
          <w:bCs/>
          <w:color w:val="auto"/>
          <w:highlight w:val="none"/>
        </w:rPr>
        <w:t>3.资金使用合规性</w:t>
      </w:r>
      <w:bookmarkEnd w:id="132"/>
      <w:bookmarkEnd w:id="13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《中华人民共和国预算法》《中华人民共和国会计法》《中华人民共和国招标投</w:t>
      </w:r>
      <w:bookmarkStart w:id="134" w:name="OLE_LINK13"/>
      <w:r>
        <w:rPr>
          <w:rFonts w:hint="default" w:ascii="Times New Roman" w:hAnsi="Times New Roman" w:eastAsia="仿宋_GB2312" w:cs="Times New Roman"/>
          <w:color w:val="auto"/>
          <w:highlight w:val="none"/>
          <w:lang w:val="en-US" w:eastAsia="zh-CN"/>
        </w:rPr>
        <w:t>标</w:t>
      </w:r>
      <w:bookmarkEnd w:id="134"/>
      <w:r>
        <w:rPr>
          <w:rFonts w:hint="default" w:ascii="Times New Roman" w:hAnsi="Times New Roman" w:eastAsia="仿宋_GB2312" w:cs="Times New Roman"/>
          <w:color w:val="auto"/>
          <w:highlight w:val="none"/>
          <w:lang w:val="en-US" w:eastAsia="zh-CN"/>
        </w:rPr>
        <w:t>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w:t>
      </w:r>
      <w:r>
        <w:rPr>
          <w:rFonts w:hint="eastAsia" w:ascii="Times New Roman" w:hAnsi="Times New Roman" w:cs="Times New Roman"/>
          <w:color w:val="auto"/>
          <w:highlight w:val="none"/>
          <w:lang w:val="en-US" w:eastAsia="zh-CN"/>
        </w:rPr>
        <w:t>应</w:t>
      </w:r>
      <w:r>
        <w:rPr>
          <w:rFonts w:hint="default" w:ascii="Times New Roman" w:hAnsi="Times New Roman" w:eastAsia="仿宋_GB2312" w:cs="Times New Roman"/>
          <w:color w:val="auto"/>
          <w:highlight w:val="none"/>
        </w:rPr>
        <w:t>有完整的审批程序和手续；资金使用</w:t>
      </w:r>
      <w:r>
        <w:rPr>
          <w:rFonts w:hint="eastAsia" w:ascii="Times New Roman" w:hAnsi="Times New Roman" w:cs="Times New Roman"/>
          <w:color w:val="auto"/>
          <w:highlight w:val="none"/>
          <w:lang w:val="en-US" w:eastAsia="zh-CN"/>
        </w:rPr>
        <w:t>应</w:t>
      </w:r>
      <w:r>
        <w:rPr>
          <w:rFonts w:hint="default" w:ascii="Times New Roman" w:hAnsi="Times New Roman" w:eastAsia="仿宋_GB2312" w:cs="Times New Roman"/>
          <w:color w:val="auto"/>
          <w:highlight w:val="none"/>
        </w:rPr>
        <w:t>符合专项资金支持的范围。不存在截留、挤占、挪用、虚列支出等情况。</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5" w:name="_Toc20651"/>
      <w:bookmarkStart w:id="136" w:name="_Toc15332"/>
      <w:r>
        <w:rPr>
          <w:rFonts w:hint="default" w:ascii="Times New Roman" w:hAnsi="Times New Roman" w:eastAsia="仿宋_GB2312" w:cs="Times New Roman"/>
          <w:b/>
          <w:bCs/>
          <w:color w:val="auto"/>
          <w:highlight w:val="none"/>
        </w:rPr>
        <w:t>4.管理制度健全性</w:t>
      </w:r>
      <w:bookmarkEnd w:id="135"/>
      <w:bookmarkEnd w:id="136"/>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尉犁县自然资源局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尉犁县自然资源局</w:t>
      </w:r>
      <w:r>
        <w:rPr>
          <w:rFonts w:hint="default" w:ascii="Times New Roman" w:hAnsi="Times New Roman" w:eastAsia="仿宋_GB2312" w:cs="Times New Roman"/>
          <w:color w:val="auto"/>
          <w:highlight w:val="none"/>
          <w:lang w:val="en-US" w:eastAsia="zh-CN"/>
        </w:rPr>
        <w:t>财务管理制度》和《</w:t>
      </w:r>
      <w:r>
        <w:rPr>
          <w:rFonts w:hint="eastAsia" w:ascii="Times New Roman" w:hAnsi="Times New Roman" w:cs="Times New Roman"/>
          <w:color w:val="auto"/>
          <w:highlight w:val="none"/>
          <w:lang w:val="en-US" w:eastAsia="zh-CN"/>
        </w:rPr>
        <w:t>尉犁县自然资源局</w:t>
      </w:r>
      <w:r>
        <w:rPr>
          <w:rFonts w:hint="default" w:ascii="Times New Roman" w:hAnsi="Times New Roman" w:eastAsia="仿宋_GB2312" w:cs="Times New Roman"/>
          <w:color w:val="auto"/>
          <w:highlight w:val="none"/>
          <w:lang w:val="en-US" w:eastAsia="zh-CN"/>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w:t>
      </w:r>
      <w:bookmarkStart w:id="137" w:name="OLE_LINK14"/>
      <w:r>
        <w:rPr>
          <w:rFonts w:hint="default" w:ascii="Times New Roman" w:hAnsi="Times New Roman" w:eastAsia="仿宋_GB2312" w:cs="Times New Roman"/>
          <w:color w:val="auto"/>
          <w:highlight w:val="none"/>
          <w:lang w:val="en-US" w:eastAsia="zh-CN"/>
        </w:rPr>
        <w:t>标</w:t>
      </w:r>
      <w:bookmarkEnd w:id="137"/>
      <w:r>
        <w:rPr>
          <w:rFonts w:hint="default" w:ascii="Times New Roman" w:hAnsi="Times New Roman" w:eastAsia="仿宋_GB2312" w:cs="Times New Roman"/>
          <w:color w:val="auto"/>
          <w:highlight w:val="none"/>
          <w:lang w:val="en-US" w:eastAsia="zh-CN"/>
        </w:rPr>
        <w:t>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38" w:name="_Toc14023"/>
      <w:bookmarkStart w:id="139" w:name="_Toc14853"/>
      <w:r>
        <w:rPr>
          <w:rFonts w:hint="default" w:ascii="Times New Roman" w:hAnsi="Times New Roman" w:eastAsia="仿宋_GB2312" w:cs="Times New Roman"/>
          <w:b/>
          <w:bCs/>
          <w:color w:val="auto"/>
          <w:highlight w:val="none"/>
        </w:rPr>
        <w:t>5.制度执行有效性</w:t>
      </w:r>
      <w:bookmarkEnd w:id="138"/>
      <w:bookmarkEnd w:id="139"/>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中华人民共和国会计法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w:t>
      </w:r>
      <w:r>
        <w:rPr>
          <w:rFonts w:hint="eastAsia" w:ascii="Times New Roman" w:hAnsi="Times New Roman" w:cs="Times New Roman"/>
          <w:color w:val="auto"/>
          <w:highlight w:val="none"/>
          <w:lang w:val="en-US" w:eastAsia="zh-CN"/>
        </w:rPr>
        <w:t>政府</w:t>
      </w:r>
      <w:r>
        <w:rPr>
          <w:rFonts w:hint="default" w:ascii="Times New Roman" w:hAnsi="Times New Roman" w:eastAsia="仿宋_GB2312" w:cs="Times New Roman"/>
          <w:color w:val="auto"/>
          <w:highlight w:val="none"/>
        </w:rPr>
        <w:t>采购法》等，</w:t>
      </w:r>
      <w:r>
        <w:rPr>
          <w:rFonts w:hint="eastAsia"/>
          <w:color w:val="auto"/>
          <w:highlight w:val="none"/>
        </w:rPr>
        <w:t>严格执行项目管理相关文件要求和程序，项目申报、审批、实施、资金拨付、检查及审计等有关资料齐全，并及时整理归档。本项目无项目调整及支出调整，制度执行有效性较高。</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pStyle w:val="4"/>
        <w:bidi w:val="0"/>
        <w:jc w:val="both"/>
        <w:outlineLvl w:val="1"/>
        <w:rPr>
          <w:rFonts w:hint="eastAsia" w:ascii="楷体" w:hAnsi="楷体" w:eastAsia="楷体" w:cs="楷体"/>
          <w:color w:val="auto"/>
          <w:highlight w:val="none"/>
        </w:rPr>
      </w:pPr>
      <w:bookmarkStart w:id="140" w:name="_Toc22156"/>
      <w:bookmarkStart w:id="141" w:name="_Toc31545"/>
      <w:bookmarkStart w:id="142" w:name="_Toc6865"/>
      <w:bookmarkStart w:id="143" w:name="_Toc4701"/>
      <w:bookmarkStart w:id="144" w:name="_Toc5161"/>
      <w:r>
        <w:rPr>
          <w:rFonts w:hint="eastAsia" w:ascii="楷体" w:hAnsi="楷体" w:eastAsia="楷体" w:cs="楷体"/>
          <w:color w:val="auto"/>
          <w:highlight w:val="none"/>
        </w:rPr>
        <w:t>（三）项目产出情况</w:t>
      </w:r>
      <w:bookmarkEnd w:id="140"/>
      <w:bookmarkEnd w:id="141"/>
      <w:bookmarkEnd w:id="142"/>
      <w:bookmarkEnd w:id="143"/>
      <w:bookmarkEnd w:id="144"/>
    </w:p>
    <w:p>
      <w:pPr>
        <w:bidi w:val="0"/>
        <w:jc w:val="both"/>
        <w:rPr>
          <w:rFonts w:hint="default" w:ascii="Times New Roman" w:hAnsi="Times New Roman" w:eastAsia="仿宋_GB2312" w:cs="Times New Roman"/>
          <w:b/>
          <w:bCs/>
          <w:color w:val="auto"/>
          <w:highlight w:val="none"/>
        </w:rPr>
      </w:pPr>
      <w:bookmarkStart w:id="145" w:name="_Toc31041"/>
      <w:bookmarkStart w:id="146" w:name="_Toc4184"/>
      <w:r>
        <w:rPr>
          <w:rFonts w:hint="default" w:ascii="Times New Roman" w:hAnsi="Times New Roman" w:eastAsia="仿宋_GB2312" w:cs="Times New Roman"/>
          <w:b/>
          <w:bCs/>
          <w:color w:val="auto"/>
          <w:highlight w:val="none"/>
        </w:rPr>
        <w:t>1.产出数量</w:t>
      </w:r>
      <w:bookmarkEnd w:id="145"/>
      <w:bookmarkEnd w:id="14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指标1：</w:t>
      </w:r>
      <w:r>
        <w:rPr>
          <w:rFonts w:hint="eastAsia" w:ascii="Times New Roman" w:hAnsi="Times New Roman" w:cs="Times New Roman"/>
          <w:color w:val="auto"/>
          <w:highlight w:val="none"/>
          <w:lang w:val="en-US" w:eastAsia="zh-CN"/>
        </w:rPr>
        <w:t>提交乡（镇）规划成果</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eastAsia="zh-CN"/>
        </w:rPr>
        <w:t>等于</w:t>
      </w:r>
      <w:r>
        <w:rPr>
          <w:rFonts w:hint="default" w:ascii="Times New Roman" w:hAnsi="Times New Roman" w:eastAsia="仿宋_GB2312" w:cs="Times New Roman"/>
          <w:color w:val="auto"/>
          <w:highlight w:val="none"/>
        </w:rPr>
        <w:t>6套，指标完成值：</w:t>
      </w:r>
      <w:r>
        <w:rPr>
          <w:rFonts w:hint="eastAsia" w:ascii="Times New Roman" w:hAnsi="Times New Roman" w:cs="Times New Roman"/>
          <w:color w:val="auto"/>
          <w:highlight w:val="none"/>
          <w:lang w:val="en-US" w:eastAsia="zh-CN"/>
        </w:rPr>
        <w:t>6套</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eastAsia="仿宋_GB2312" w:cs="Times New Roman"/>
          <w:b w:val="0"/>
          <w:bCs/>
          <w:color w:val="auto"/>
          <w:kern w:val="2"/>
          <w:sz w:val="32"/>
          <w:szCs w:val="32"/>
          <w:highlight w:val="none"/>
          <w:lang w:val="en-US" w:eastAsia="zh-CN" w:bidi="ar-SA"/>
        </w:rPr>
        <w:t>指标2：</w:t>
      </w:r>
      <w:r>
        <w:rPr>
          <w:rFonts w:hint="eastAsia" w:ascii="Times New Roman" w:hAnsi="Times New Roman" w:cs="Times New Roman"/>
          <w:color w:val="auto"/>
          <w:highlight w:val="none"/>
          <w:lang w:val="en-US" w:eastAsia="zh-CN"/>
        </w:rPr>
        <w:t>提交行政村规划成果，预期指标值等于35套，指标完成值：35套，完成率：100%；</w:t>
      </w:r>
    </w:p>
    <w:p>
      <w:pPr>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仿宋_GB2312" w:cs="Times New Roman"/>
          <w:b w:val="0"/>
          <w:bCs/>
          <w:color w:val="auto"/>
          <w:kern w:val="2"/>
          <w:sz w:val="32"/>
          <w:szCs w:val="32"/>
          <w:highlight w:val="none"/>
          <w:lang w:val="en-US" w:eastAsia="zh-CN" w:bidi="ar-SA"/>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eastAsia="仿宋_GB2312" w:cs="Times New Roman"/>
          <w:b w:val="0"/>
          <w:bCs/>
          <w:color w:val="auto"/>
          <w:kern w:val="2"/>
          <w:sz w:val="32"/>
          <w:szCs w:val="32"/>
          <w:highlight w:val="none"/>
          <w:lang w:val="en-US" w:eastAsia="zh-CN" w:bidi="ar-SA"/>
        </w:rPr>
        <w:t>3</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eastAsia="仿宋_GB2312" w:cs="Times New Roman"/>
          <w:b w:val="0"/>
          <w:bCs/>
          <w:color w:val="auto"/>
          <w:kern w:val="2"/>
          <w:sz w:val="32"/>
          <w:szCs w:val="32"/>
          <w:highlight w:val="none"/>
          <w:lang w:val="en-US" w:eastAsia="zh-CN" w:bidi="ar-SA"/>
        </w:rPr>
        <w:t>提交电子数据</w:t>
      </w:r>
      <w:r>
        <w:rPr>
          <w:rFonts w:hint="default" w:ascii="Times New Roman" w:hAnsi="Times New Roman" w:eastAsia="仿宋_GB2312" w:cs="Times New Roman"/>
          <w:b w:val="0"/>
          <w:bCs/>
          <w:color w:val="auto"/>
          <w:kern w:val="2"/>
          <w:sz w:val="32"/>
          <w:szCs w:val="32"/>
          <w:highlight w:val="none"/>
          <w:lang w:val="en-US" w:eastAsia="zh-CN" w:bidi="ar-SA"/>
        </w:rPr>
        <w:t>，预期指标值</w:t>
      </w:r>
      <w:r>
        <w:rPr>
          <w:rFonts w:hint="eastAsia" w:ascii="Times New Roman" w:hAnsi="Times New Roman" w:cs="Times New Roman"/>
          <w:b w:val="0"/>
          <w:bCs/>
          <w:color w:val="auto"/>
          <w:kern w:val="2"/>
          <w:sz w:val="32"/>
          <w:szCs w:val="32"/>
          <w:highlight w:val="none"/>
          <w:lang w:val="en-US" w:eastAsia="zh-CN" w:bidi="ar-SA"/>
        </w:rPr>
        <w:t>等于</w:t>
      </w:r>
      <w:r>
        <w:rPr>
          <w:rFonts w:hint="default" w:ascii="Times New Roman" w:hAnsi="Times New Roman" w:eastAsia="仿宋_GB2312" w:cs="Times New Roman"/>
          <w:b w:val="0"/>
          <w:bCs/>
          <w:color w:val="auto"/>
          <w:kern w:val="2"/>
          <w:sz w:val="32"/>
          <w:szCs w:val="32"/>
          <w:highlight w:val="none"/>
          <w:lang w:val="en-US" w:eastAsia="zh-CN" w:bidi="ar-SA"/>
        </w:rPr>
        <w:t>2套，指标完成值：</w:t>
      </w:r>
      <w:r>
        <w:rPr>
          <w:rFonts w:hint="eastAsia" w:ascii="Times New Roman" w:hAnsi="Times New Roman" w:eastAsia="仿宋_GB2312" w:cs="Times New Roman"/>
          <w:b w:val="0"/>
          <w:bCs/>
          <w:color w:val="auto"/>
          <w:kern w:val="2"/>
          <w:sz w:val="32"/>
          <w:szCs w:val="32"/>
          <w:highlight w:val="none"/>
          <w:lang w:val="en-US" w:eastAsia="zh-CN" w:bidi="ar-SA"/>
        </w:rPr>
        <w:t>2套</w:t>
      </w:r>
      <w:r>
        <w:rPr>
          <w:rFonts w:hint="default" w:ascii="Times New Roman" w:hAnsi="Times New Roman" w:eastAsia="仿宋_GB2312" w:cs="Times New Roman"/>
          <w:b w:val="0"/>
          <w:bCs/>
          <w:color w:val="auto"/>
          <w:kern w:val="2"/>
          <w:sz w:val="32"/>
          <w:szCs w:val="32"/>
          <w:highlight w:val="none"/>
          <w:lang w:val="en-US" w:eastAsia="zh-CN" w:bidi="ar-SA"/>
        </w:rPr>
        <w:t>，完成率：</w:t>
      </w:r>
      <w:r>
        <w:rPr>
          <w:rFonts w:hint="eastAsia" w:ascii="Times New Roman" w:hAnsi="Times New Roman" w:eastAsia="仿宋_GB2312" w:cs="Times New Roman"/>
          <w:b w:val="0"/>
          <w:bCs/>
          <w:color w:val="auto"/>
          <w:kern w:val="2"/>
          <w:sz w:val="32"/>
          <w:szCs w:val="32"/>
          <w:highlight w:val="none"/>
          <w:lang w:val="en-US" w:eastAsia="zh-CN" w:bidi="ar-SA"/>
        </w:rPr>
        <w:t>100%</w:t>
      </w:r>
      <w:r>
        <w:rPr>
          <w:rFonts w:hint="default" w:ascii="Times New Roman" w:hAnsi="Times New Roman" w:eastAsia="仿宋_GB2312" w:cs="Times New Roman"/>
          <w:b w:val="0"/>
          <w:bCs/>
          <w:color w:val="auto"/>
          <w:kern w:val="2"/>
          <w:sz w:val="32"/>
          <w:szCs w:val="32"/>
          <w:highlight w:val="none"/>
          <w:lang w:val="en-US" w:eastAsia="zh-CN" w:bidi="ar-SA"/>
        </w:rPr>
        <w:t>；</w:t>
      </w:r>
    </w:p>
    <w:p>
      <w:pPr>
        <w:pageBreakBefore w:val="0"/>
        <w:widowControl w:val="0"/>
        <w:kinsoku/>
        <w:wordWrap/>
        <w:overflowPunct/>
        <w:topLinePunct w:val="0"/>
        <w:autoSpaceDE/>
        <w:autoSpaceDN/>
        <w:bidi w:val="0"/>
        <w:adjustRightInd/>
        <w:snapToGrid/>
        <w:textAlignment w:val="auto"/>
        <w:outlineLvl w:val="9"/>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指标4：规划编制涉及乡（镇），预期指标值等于6个，指标完成值：6个，完成率：100%；</w:t>
      </w:r>
    </w:p>
    <w:p>
      <w:pPr>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仿宋_GB2312" w:cs="Times New Roman"/>
          <w:b w:val="0"/>
          <w:color w:val="auto"/>
          <w:kern w:val="2"/>
          <w:sz w:val="32"/>
          <w:szCs w:val="22"/>
          <w:highlight w:val="none"/>
          <w:lang w:val="en-US" w:eastAsia="zh-CN" w:bidi="ar-SA"/>
        </w:rPr>
      </w:pPr>
      <w:r>
        <w:rPr>
          <w:rFonts w:hint="eastAsia" w:ascii="Times New Roman" w:hAnsi="Times New Roman" w:eastAsia="仿宋_GB2312" w:cs="Times New Roman"/>
          <w:b w:val="0"/>
          <w:color w:val="auto"/>
          <w:kern w:val="2"/>
          <w:sz w:val="32"/>
          <w:szCs w:val="22"/>
          <w:highlight w:val="none"/>
          <w:lang w:val="en-US" w:eastAsia="zh-CN" w:bidi="ar-SA"/>
        </w:rPr>
        <w:t>指标5：规划编制涉及行政村，预期指标值</w:t>
      </w:r>
      <w:r>
        <w:rPr>
          <w:rFonts w:hint="eastAsia" w:ascii="Times New Roman" w:hAnsi="Times New Roman" w:cs="Times New Roman"/>
          <w:b w:val="0"/>
          <w:color w:val="auto"/>
          <w:kern w:val="2"/>
          <w:sz w:val="32"/>
          <w:szCs w:val="22"/>
          <w:highlight w:val="none"/>
          <w:lang w:val="en-US" w:eastAsia="zh-CN" w:bidi="ar-SA"/>
        </w:rPr>
        <w:t>等于</w:t>
      </w:r>
      <w:r>
        <w:rPr>
          <w:rFonts w:hint="eastAsia" w:ascii="Times New Roman" w:hAnsi="Times New Roman" w:eastAsia="仿宋_GB2312" w:cs="Times New Roman"/>
          <w:b w:val="0"/>
          <w:color w:val="auto"/>
          <w:kern w:val="2"/>
          <w:sz w:val="32"/>
          <w:szCs w:val="22"/>
          <w:highlight w:val="none"/>
          <w:lang w:val="en-US" w:eastAsia="zh-CN" w:bidi="ar-SA"/>
        </w:rPr>
        <w:t>39个，指标完成值：39个，完成率：100%；</w:t>
      </w:r>
    </w:p>
    <w:p>
      <w:pPr>
        <w:pageBreakBefore w:val="0"/>
        <w:widowControl w:val="0"/>
        <w:kinsoku/>
        <w:wordWrap/>
        <w:overflowPunct/>
        <w:topLinePunct w:val="0"/>
        <w:autoSpaceDE/>
        <w:autoSpaceDN/>
        <w:bidi w:val="0"/>
        <w:adjustRightInd/>
        <w:snapToGrid/>
        <w:ind w:left="0" w:leftChars="0" w:firstLine="640" w:firstLineChars="200"/>
        <w:jc w:val="both"/>
        <w:textAlignment w:val="auto"/>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47" w:name="_Toc21607"/>
      <w:bookmarkStart w:id="148" w:name="_Toc7420"/>
      <w:r>
        <w:rPr>
          <w:rFonts w:hint="default" w:ascii="Times New Roman" w:hAnsi="Times New Roman" w:eastAsia="仿宋_GB2312" w:cs="Times New Roman"/>
          <w:b/>
          <w:bCs/>
          <w:color w:val="auto"/>
          <w:highlight w:val="none"/>
        </w:rPr>
        <w:t>2.产出质量</w:t>
      </w:r>
      <w:bookmarkEnd w:id="147"/>
      <w:bookmarkEnd w:id="14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数据库成果准确率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eastAsia="zh-CN"/>
        </w:rPr>
        <w:t>等于</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49" w:name="_Toc6277"/>
      <w:bookmarkStart w:id="150" w:name="_Toc5394"/>
      <w:r>
        <w:rPr>
          <w:rFonts w:hint="default" w:ascii="Times New Roman" w:hAnsi="Times New Roman" w:eastAsia="仿宋_GB2312" w:cs="Times New Roman"/>
          <w:b/>
          <w:bCs/>
          <w:color w:val="auto"/>
          <w:highlight w:val="none"/>
        </w:rPr>
        <w:t>3.产出时效</w:t>
      </w:r>
      <w:bookmarkEnd w:id="149"/>
      <w:bookmarkEnd w:id="150"/>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资金支付及时率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eastAsia="zh-CN"/>
        </w:rPr>
        <w:t>等于</w:t>
      </w:r>
      <w:r>
        <w:rPr>
          <w:rFonts w:hint="default" w:ascii="Times New Roman" w:hAnsi="Times New Roman" w:eastAsia="仿宋_GB2312" w:cs="Times New Roman"/>
          <w:color w:val="auto"/>
          <w:highlight w:val="none"/>
        </w:rPr>
        <w:t>100%，指标完成值：100，完成率：100%；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default" w:ascii="Times New Roman" w:hAnsi="Times New Roman" w:eastAsia="仿宋_GB2312" w:cs="Times New Roman"/>
          <w:color w:val="auto"/>
          <w:highlight w:val="none"/>
          <w:lang w:val="en-US" w:eastAsia="zh-CN"/>
        </w:rPr>
        <w:t>12</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51" w:name="_Toc18558"/>
      <w:bookmarkStart w:id="152" w:name="_Toc28975"/>
      <w:r>
        <w:rPr>
          <w:rFonts w:hint="default" w:ascii="Times New Roman" w:hAnsi="Times New Roman" w:eastAsia="仿宋_GB2312" w:cs="Times New Roman"/>
          <w:b/>
          <w:bCs/>
          <w:color w:val="auto"/>
          <w:highlight w:val="none"/>
        </w:rPr>
        <w:t>4.产出成本</w:t>
      </w:r>
      <w:bookmarkEnd w:id="151"/>
      <w:bookmarkEnd w:id="152"/>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规划编制技术服务费</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小于等于268万元</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268万元</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pStyle w:val="4"/>
        <w:bidi w:val="0"/>
        <w:jc w:val="both"/>
        <w:outlineLvl w:val="1"/>
        <w:rPr>
          <w:rFonts w:hint="eastAsia" w:ascii="楷体" w:hAnsi="楷体" w:eastAsia="楷体" w:cs="楷体"/>
          <w:color w:val="auto"/>
          <w:highlight w:val="none"/>
        </w:rPr>
      </w:pPr>
      <w:bookmarkStart w:id="153" w:name="_Toc9589"/>
      <w:bookmarkStart w:id="154" w:name="_Toc14881"/>
      <w:bookmarkStart w:id="155" w:name="_Toc24492"/>
      <w:bookmarkStart w:id="156" w:name="_Toc27548"/>
      <w:bookmarkStart w:id="157" w:name="_Toc18194"/>
      <w:r>
        <w:rPr>
          <w:rFonts w:hint="eastAsia" w:ascii="楷体" w:hAnsi="楷体" w:eastAsia="楷体" w:cs="楷体"/>
          <w:color w:val="auto"/>
          <w:highlight w:val="none"/>
        </w:rPr>
        <w:t>（四）项目效益情况</w:t>
      </w:r>
      <w:bookmarkEnd w:id="153"/>
      <w:bookmarkEnd w:id="154"/>
      <w:bookmarkEnd w:id="155"/>
      <w:bookmarkEnd w:id="156"/>
      <w:bookmarkEnd w:id="157"/>
    </w:p>
    <w:p>
      <w:pPr>
        <w:bidi w:val="0"/>
        <w:jc w:val="both"/>
        <w:rPr>
          <w:rFonts w:hint="default" w:ascii="Times New Roman" w:hAnsi="Times New Roman" w:eastAsia="仿宋_GB2312" w:cs="Times New Roman"/>
          <w:b/>
          <w:bCs/>
          <w:color w:val="auto"/>
          <w:highlight w:val="none"/>
        </w:rPr>
      </w:pPr>
      <w:bookmarkStart w:id="158" w:name="_Toc15599"/>
      <w:bookmarkStart w:id="159" w:name="_Toc8370"/>
      <w:r>
        <w:rPr>
          <w:rFonts w:hint="default" w:ascii="Times New Roman" w:hAnsi="Times New Roman" w:eastAsia="仿宋_GB2312" w:cs="Times New Roman"/>
          <w:b/>
          <w:bCs/>
          <w:color w:val="auto"/>
          <w:highlight w:val="none"/>
        </w:rPr>
        <w:t>1.实施效益</w:t>
      </w:r>
      <w:bookmarkEnd w:id="158"/>
      <w:bookmarkEnd w:id="159"/>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本项目实施所产生的效益主要包括经济效益和生态效益。项目的实施</w:t>
      </w:r>
      <w:r>
        <w:rPr>
          <w:rFonts w:hint="eastAsia" w:ascii="Times New Roman" w:hAnsi="Times New Roman" w:cs="Times New Roman"/>
          <w:color w:val="auto"/>
          <w:highlight w:val="none"/>
          <w:lang w:val="en-US" w:eastAsia="zh-CN"/>
        </w:rPr>
        <w:t>通过规划实施，引导产业合理布局，推动了土地资源的节约集约利用，促进了乡镇和村庄产业发展，可有效推动乡村振兴，经济效益显著。本项目的实施注重生态环境保护和资源合理利用，加强了生态保护红线区域的保护，提出了有效的生态修复措施，促进了生态系统的稳定和生态服务功能的提升；规划中明确了尉犁县各级的生态保护区域，禁止在该区域进行无序开发，规划实施后，有效减少了农村环境污染，保护了生态空间，有效推进生态文明建设，生态效益良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eastAsia"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分，评估得分</w:t>
      </w:r>
      <w:r>
        <w:rPr>
          <w:rFonts w:hint="eastAsia"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w:t>
      </w:r>
    </w:p>
    <w:p>
      <w:pPr>
        <w:pStyle w:val="2"/>
        <w:bidi w:val="0"/>
        <w:ind w:left="0" w:leftChars="0" w:firstLine="640" w:firstLineChars="200"/>
        <w:jc w:val="both"/>
        <w:outlineLvl w:val="0"/>
        <w:rPr>
          <w:rFonts w:hint="default" w:ascii="Times New Roman" w:hAnsi="Times New Roman" w:eastAsia="仿宋_GB2312" w:cs="Times New Roman"/>
          <w:color w:val="auto"/>
          <w:highlight w:val="none"/>
        </w:rPr>
      </w:pPr>
      <w:bookmarkStart w:id="160" w:name="_Toc24261"/>
      <w:bookmarkStart w:id="161" w:name="_Toc3310"/>
      <w:bookmarkStart w:id="162" w:name="_Toc23114"/>
      <w:bookmarkStart w:id="163" w:name="_Toc17413"/>
      <w:bookmarkStart w:id="164" w:name="_Toc20473"/>
      <w:bookmarkStart w:id="165" w:name="_Toc13266"/>
      <w:r>
        <w:rPr>
          <w:rFonts w:hint="eastAsia" w:ascii="黑体" w:hAnsi="黑体" w:eastAsia="黑体" w:cs="黑体"/>
          <w:color w:val="auto"/>
          <w:highlight w:val="none"/>
        </w:rPr>
        <w:t>五、主要经验及做法、存在的问题及原因分析</w:t>
      </w:r>
      <w:bookmarkEnd w:id="160"/>
      <w:bookmarkEnd w:id="161"/>
      <w:bookmarkEnd w:id="162"/>
      <w:bookmarkEnd w:id="163"/>
      <w:bookmarkEnd w:id="164"/>
      <w:bookmarkEnd w:id="165"/>
    </w:p>
    <w:p>
      <w:pPr>
        <w:pStyle w:val="4"/>
        <w:bidi w:val="0"/>
        <w:jc w:val="both"/>
        <w:outlineLvl w:val="1"/>
        <w:rPr>
          <w:rFonts w:hint="eastAsia" w:ascii="楷体" w:hAnsi="楷体" w:eastAsia="楷体" w:cs="楷体"/>
          <w:color w:val="auto"/>
          <w:highlight w:val="none"/>
        </w:rPr>
      </w:pPr>
      <w:bookmarkStart w:id="166" w:name="_Toc10514"/>
      <w:bookmarkStart w:id="167" w:name="_Toc6522"/>
      <w:bookmarkStart w:id="168" w:name="_Toc28865"/>
      <w:bookmarkStart w:id="169" w:name="_Toc6741"/>
      <w:bookmarkStart w:id="170" w:name="_Toc14362"/>
      <w:r>
        <w:rPr>
          <w:rFonts w:hint="eastAsia" w:ascii="楷体" w:hAnsi="楷体" w:eastAsia="楷体" w:cs="楷体"/>
          <w:color w:val="auto"/>
          <w:highlight w:val="none"/>
        </w:rPr>
        <w:t>（一）主要经验及做法</w:t>
      </w:r>
      <w:bookmarkEnd w:id="166"/>
      <w:bookmarkEnd w:id="167"/>
      <w:bookmarkEnd w:id="168"/>
      <w:bookmarkEnd w:id="169"/>
      <w:bookmarkEnd w:id="170"/>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尉犁县自然资源局</w:t>
      </w:r>
      <w:r>
        <w:rPr>
          <w:rFonts w:hint="default" w:ascii="Times New Roman" w:hAnsi="Times New Roman" w:eastAsia="仿宋_GB2312" w:cs="Times New Roman"/>
          <w:color w:val="auto"/>
          <w:highlight w:val="none"/>
        </w:rPr>
        <w:t>在</w:t>
      </w:r>
      <w:r>
        <w:rPr>
          <w:rFonts w:hint="eastAsia" w:ascii="Times New Roman" w:hAnsi="Times New Roman" w:cs="Times New Roman"/>
          <w:color w:val="auto"/>
          <w:highlight w:val="none"/>
          <w:lang w:eastAsia="zh-CN"/>
        </w:rPr>
        <w:t>尉犁</w:t>
      </w:r>
      <w:r>
        <w:rPr>
          <w:rFonts w:hint="default" w:ascii="Times New Roman" w:hAnsi="Times New Roman" w:eastAsia="仿宋_GB2312" w:cs="Times New Roman"/>
          <w:color w:val="auto"/>
          <w:highlight w:val="none"/>
          <w:lang w:eastAsia="zh-CN"/>
        </w:rPr>
        <w:t>县委、县政府</w:t>
      </w:r>
      <w:r>
        <w:rPr>
          <w:rFonts w:hint="default" w:ascii="Times New Roman" w:hAnsi="Times New Roman" w:eastAsia="仿宋_GB2312" w:cs="Times New Roman"/>
          <w:color w:val="auto"/>
          <w:highlight w:val="none"/>
        </w:rPr>
        <w:t>的支持下，在相关部门的配合下，全面顺利完成，绩效评价“优”，主要经验及做法如下：</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1.加强组织领导，明确责任分工：成立了由县政府主要领导任组长的规划编制工作领导小组，明确各部门、各乡镇的职责分工，加强协调配合，形成工作合力，确保规划编制工作顺利推进。</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深入开展调研，广泛征求意见：规划编制前，组织多部门联合调研小组，深入各乡镇和村庄，开展全面细致的实地调研，广泛征求基层干部和村民的意见建议，充分了解当地实际情况和发展需求，使规划编制更具针对性和可操作性。</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3.严格把控质量，规范编制流程：制定了严格的规划编制质量控制制度，规范编制流程，加强对规划编制各个环节的审核把关。邀请专家对规划成果进行评审，确保规划成果符合相关技术标准和规范要求。</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4.强化宣传培训，提高规划意识：通过多种形式加强对规划的宣传和培训，提高乡镇干部和村民对规划重要性的认识，增强他们参与规划编制和实施的积极性和主动性。</w:t>
      </w:r>
    </w:p>
    <w:p>
      <w:pPr>
        <w:pStyle w:val="4"/>
        <w:bidi w:val="0"/>
        <w:jc w:val="both"/>
        <w:outlineLvl w:val="1"/>
        <w:rPr>
          <w:rFonts w:hint="eastAsia" w:ascii="楷体" w:hAnsi="楷体" w:eastAsia="楷体" w:cs="楷体"/>
          <w:color w:val="auto"/>
          <w:highlight w:val="none"/>
        </w:rPr>
      </w:pPr>
      <w:bookmarkStart w:id="171" w:name="_Toc27408"/>
      <w:bookmarkStart w:id="172" w:name="_Toc1295"/>
      <w:bookmarkStart w:id="173" w:name="_Toc11238"/>
      <w:bookmarkStart w:id="174" w:name="_Toc4673"/>
      <w:bookmarkStart w:id="175" w:name="_Toc6359"/>
      <w:r>
        <w:rPr>
          <w:rFonts w:hint="eastAsia" w:ascii="楷体" w:hAnsi="楷体" w:eastAsia="楷体" w:cs="楷体"/>
          <w:color w:val="auto"/>
          <w:highlight w:val="none"/>
        </w:rPr>
        <w:t>（二）存在的问题及分析</w:t>
      </w:r>
      <w:bookmarkEnd w:id="171"/>
      <w:bookmarkEnd w:id="172"/>
      <w:bookmarkEnd w:id="173"/>
      <w:bookmarkEnd w:id="174"/>
      <w:bookmarkEnd w:id="175"/>
    </w:p>
    <w:p>
      <w:pPr>
        <w:bidi w:val="0"/>
        <w:rPr>
          <w:rFonts w:hint="default" w:ascii="Times New Roman" w:hAnsi="Times New Roman" w:eastAsia="仿宋_GB2312" w:cs="Times New Roman"/>
          <w:color w:val="auto"/>
          <w:highlight w:val="none"/>
        </w:rPr>
      </w:pPr>
      <w:bookmarkStart w:id="176" w:name="_Toc13270"/>
      <w:bookmarkStart w:id="177" w:name="_Toc5702"/>
      <w:bookmarkStart w:id="178" w:name="_Toc13345"/>
      <w:bookmarkStart w:id="179" w:name="_Toc20116"/>
      <w:bookmarkStart w:id="180" w:name="_Toc22271"/>
      <w:r>
        <w:rPr>
          <w:rFonts w:hint="default" w:ascii="Times New Roman" w:hAnsi="Times New Roman" w:eastAsia="仿宋_GB2312" w:cs="Times New Roman"/>
          <w:color w:val="auto"/>
          <w:highlight w:val="none"/>
        </w:rPr>
        <w:t>1.部分村民参与度有待提高：虽然在规划编制过程中通过座谈会、问卷调查等方式征求了村民意见，但仍有部分村民对规划编制工作关注度不高，参与度较低。原因主要是宣传方式不够多样化，部分村民对规划的内容和意义了解不够深入；同时，一些村民存在</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等靠要</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思想，缺乏主动参与意识。</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规划实施保障机制有待完善：目前，规划实施的保障机制还不够健全，缺乏有效的监督考核机制和资金保障机制。在规划实施过程中，可能会出现部门之间协调不畅、资金落实不到位等问题，影响规划的顺利实施。</w:t>
      </w:r>
    </w:p>
    <w:p>
      <w:pPr>
        <w:bidi w:val="0"/>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3.规划与其他专项规划的衔接不够紧密：在规划编制过程中，与交通、水利、产业等专项规划的衔接还不够紧密，存在规划内容不一致、相互矛盾的情况。原因是各部门之间信息沟通不畅，缺乏有效的协调机制</w:t>
      </w:r>
      <w:r>
        <w:rPr>
          <w:rFonts w:hint="default" w:ascii="Times New Roman" w:hAnsi="Times New Roman" w:eastAsia="仿宋_GB2312" w:cs="Times New Roman"/>
          <w:color w:val="auto"/>
          <w:highlight w:val="none"/>
          <w:lang w:eastAsia="zh-CN"/>
        </w:rPr>
        <w:t>。</w:t>
      </w:r>
    </w:p>
    <w:p>
      <w:pPr>
        <w:pStyle w:val="2"/>
        <w:bidi w:val="0"/>
        <w:jc w:val="both"/>
        <w:outlineLvl w:val="0"/>
        <w:rPr>
          <w:rFonts w:hint="eastAsia" w:ascii="黑体" w:hAnsi="黑体" w:eastAsia="黑体" w:cs="黑体"/>
          <w:color w:val="auto"/>
          <w:highlight w:val="none"/>
        </w:rPr>
      </w:pPr>
      <w:bookmarkStart w:id="181" w:name="_Toc7492"/>
      <w:r>
        <w:rPr>
          <w:rFonts w:hint="eastAsia" w:ascii="黑体" w:hAnsi="黑体" w:eastAsia="黑体" w:cs="黑体"/>
          <w:color w:val="auto"/>
          <w:highlight w:val="none"/>
        </w:rPr>
        <w:t>六、有关建议</w:t>
      </w:r>
      <w:bookmarkEnd w:id="176"/>
      <w:bookmarkEnd w:id="177"/>
      <w:bookmarkEnd w:id="178"/>
      <w:bookmarkEnd w:id="179"/>
      <w:bookmarkEnd w:id="180"/>
      <w:bookmarkEnd w:id="181"/>
      <w:bookmarkStart w:id="182" w:name="_Toc21621"/>
      <w:bookmarkStart w:id="183" w:name="_Toc5794"/>
      <w:bookmarkStart w:id="184" w:name="_Toc24871"/>
      <w:bookmarkStart w:id="185" w:name="_Toc22823"/>
      <w:bookmarkStart w:id="186" w:name="_Toc12100"/>
    </w:p>
    <w:p>
      <w:pPr>
        <w:bidi w:val="0"/>
        <w:rPr>
          <w:rFonts w:hint="default"/>
          <w:color w:val="auto"/>
          <w:highlight w:val="none"/>
        </w:rPr>
      </w:pPr>
      <w:bookmarkStart w:id="187" w:name="_Toc14767"/>
      <w:r>
        <w:rPr>
          <w:rFonts w:hint="eastAsia"/>
          <w:color w:val="auto"/>
          <w:highlight w:val="none"/>
          <w:lang w:val="en-US" w:eastAsia="zh-CN"/>
        </w:rPr>
        <w:t>1.</w:t>
      </w:r>
      <w:r>
        <w:rPr>
          <w:rFonts w:hint="default"/>
          <w:color w:val="auto"/>
          <w:highlight w:val="none"/>
        </w:rPr>
        <w:t>进一步提高村民参与度</w:t>
      </w:r>
      <w:bookmarkEnd w:id="187"/>
    </w:p>
    <w:p>
      <w:pPr>
        <w:bidi w:val="0"/>
        <w:rPr>
          <w:rFonts w:hint="default"/>
          <w:color w:val="auto"/>
          <w:highlight w:val="none"/>
        </w:rPr>
      </w:pPr>
      <w:r>
        <w:rPr>
          <w:rFonts w:hint="default"/>
          <w:color w:val="auto"/>
          <w:highlight w:val="none"/>
        </w:rPr>
        <w:t>丰富宣传方式，除传统的座谈会、宣传栏外，利用新媒体平台如微信公众号、短视频等进行规划宣传，提高村民对规划的知晓度和认同感。同时，建立村民参与规划的激励机制，对积极参与规划编制和实施的村民给予一定的奖励，充分调动村民的积极性。</w:t>
      </w:r>
    </w:p>
    <w:p>
      <w:pPr>
        <w:bidi w:val="0"/>
        <w:rPr>
          <w:rFonts w:hint="default"/>
          <w:color w:val="auto"/>
          <w:highlight w:val="none"/>
        </w:rPr>
      </w:pPr>
      <w:bookmarkStart w:id="188" w:name="_Toc11388"/>
      <w:r>
        <w:rPr>
          <w:rFonts w:hint="eastAsia"/>
          <w:color w:val="auto"/>
          <w:highlight w:val="none"/>
          <w:lang w:val="en-US" w:eastAsia="zh-CN"/>
        </w:rPr>
        <w:t>2.</w:t>
      </w:r>
      <w:r>
        <w:rPr>
          <w:rFonts w:hint="default"/>
          <w:color w:val="auto"/>
          <w:highlight w:val="none"/>
        </w:rPr>
        <w:t>完善规划实施保障机制</w:t>
      </w:r>
      <w:bookmarkEnd w:id="188"/>
    </w:p>
    <w:p>
      <w:pPr>
        <w:bidi w:val="0"/>
        <w:rPr>
          <w:rFonts w:hint="default"/>
          <w:color w:val="auto"/>
          <w:highlight w:val="none"/>
        </w:rPr>
      </w:pPr>
      <w:r>
        <w:rPr>
          <w:rFonts w:hint="default"/>
          <w:color w:val="auto"/>
          <w:highlight w:val="none"/>
        </w:rPr>
        <w:t>建立健全规划实施监督考核机制，明确各部门、各乡镇在规划实施中的职责和任务，定期对规划实施情况进行监督检查和考核评估，将考核结果纳入政府绩效考核体系。加强资金保障，拓宽资金筹集渠道，加大财政投入力度，积极争取上级资金支持，引导社会资本参与规划实施。</w:t>
      </w:r>
    </w:p>
    <w:p>
      <w:pPr>
        <w:bidi w:val="0"/>
        <w:rPr>
          <w:rFonts w:hint="default"/>
          <w:color w:val="auto"/>
          <w:highlight w:val="none"/>
        </w:rPr>
      </w:pPr>
      <w:bookmarkStart w:id="189" w:name="_Toc28809"/>
      <w:r>
        <w:rPr>
          <w:rFonts w:hint="eastAsia"/>
          <w:color w:val="auto"/>
          <w:highlight w:val="none"/>
          <w:lang w:val="en-US" w:eastAsia="zh-CN"/>
        </w:rPr>
        <w:t>3.</w:t>
      </w:r>
      <w:r>
        <w:rPr>
          <w:rFonts w:hint="default"/>
          <w:color w:val="auto"/>
          <w:highlight w:val="none"/>
        </w:rPr>
        <w:t>加强规划之间的衔接协调</w:t>
      </w:r>
      <w:bookmarkEnd w:id="189"/>
    </w:p>
    <w:p>
      <w:pPr>
        <w:bidi w:val="0"/>
        <w:rPr>
          <w:rFonts w:hint="default"/>
          <w:color w:val="auto"/>
          <w:highlight w:val="none"/>
        </w:rPr>
      </w:pPr>
      <w:r>
        <w:rPr>
          <w:rFonts w:hint="default"/>
          <w:color w:val="auto"/>
          <w:highlight w:val="none"/>
        </w:rPr>
        <w:t>建立规划协调机制，加强自然资源、交通、水利、农业农村等部门之间的沟通协作，在规划编制过程中，充分征求各部门意见，确保乡镇总体规划和村庄规划与其他专项规划相互衔接、相互融合，形成统一的规划体系。</w:t>
      </w:r>
    </w:p>
    <w:p>
      <w:pPr>
        <w:pStyle w:val="2"/>
        <w:bidi w:val="0"/>
        <w:jc w:val="both"/>
        <w:outlineLvl w:val="0"/>
        <w:rPr>
          <w:rFonts w:hint="default" w:ascii="黑体" w:hAnsi="黑体" w:eastAsia="黑体" w:cs="黑体"/>
          <w:bCs/>
          <w:iCs/>
          <w:color w:val="auto"/>
          <w:highlight w:val="none"/>
        </w:rPr>
      </w:pPr>
      <w:bookmarkStart w:id="190" w:name="_Toc29174"/>
      <w:r>
        <w:rPr>
          <w:rFonts w:hint="default" w:ascii="黑体" w:hAnsi="黑体" w:eastAsia="黑体" w:cs="黑体"/>
          <w:bCs/>
          <w:iCs/>
          <w:color w:val="auto"/>
          <w:highlight w:val="none"/>
        </w:rPr>
        <w:t>七、其他需要说明的问题</w:t>
      </w:r>
      <w:bookmarkEnd w:id="182"/>
      <w:bookmarkEnd w:id="183"/>
      <w:bookmarkEnd w:id="184"/>
      <w:bookmarkEnd w:id="185"/>
      <w:bookmarkEnd w:id="186"/>
      <w:bookmarkEnd w:id="190"/>
    </w:p>
    <w:p>
      <w:pPr>
        <w:bidi w:val="0"/>
        <w:rPr>
          <w:rFonts w:hint="default"/>
          <w:color w:val="auto"/>
          <w:highlight w:val="none"/>
        </w:rPr>
      </w:pPr>
      <w:bookmarkStart w:id="191" w:name="OLE_LINK6"/>
      <w:bookmarkStart w:id="192" w:name="OLE_LINK5"/>
      <w:bookmarkStart w:id="193" w:name="_Toc4210"/>
      <w:bookmarkStart w:id="194" w:name="_Toc30245"/>
      <w:bookmarkStart w:id="195" w:name="_Toc28493"/>
      <w:r>
        <w:rPr>
          <w:rFonts w:hint="eastAsia"/>
          <w:color w:val="auto"/>
          <w:highlight w:val="none"/>
          <w:lang w:val="en-US" w:eastAsia="zh-CN"/>
        </w:rPr>
        <w:t>1、</w:t>
      </w:r>
      <w:r>
        <w:rPr>
          <w:rFonts w:hint="default"/>
          <w:color w:val="auto"/>
          <w:highlight w:val="none"/>
        </w:rPr>
        <w:t>本项目部分间接产生的效果无法准确在短期内衡量，因此很难认定项目产生的全部效果。通过指标来反映绩效，指标的科学性和全面性需要不断地完善和研究。</w:t>
      </w:r>
    </w:p>
    <w:p>
      <w:pPr>
        <w:bidi w:val="0"/>
        <w:rPr>
          <w:rFonts w:hint="default"/>
          <w:color w:val="auto"/>
          <w:highlight w:val="none"/>
        </w:rPr>
      </w:pPr>
      <w:r>
        <w:rPr>
          <w:rFonts w:hint="eastAsia"/>
          <w:color w:val="auto"/>
          <w:highlight w:val="none"/>
          <w:lang w:val="en-US" w:eastAsia="zh-CN"/>
        </w:rPr>
        <w:t>2、</w:t>
      </w:r>
      <w:r>
        <w:rPr>
          <w:rFonts w:hint="default"/>
          <w:color w:val="auto"/>
          <w:highlight w:val="none"/>
        </w:rPr>
        <w:t>评价结果分别编入政府决算和部门预算，报送本级人民代表大会常务委员会，并依法予以公开。</w:t>
      </w:r>
      <w:bookmarkEnd w:id="191"/>
      <w:bookmarkEnd w:id="192"/>
    </w:p>
    <w:p>
      <w:pPr>
        <w:pStyle w:val="2"/>
        <w:bidi w:val="0"/>
        <w:rPr>
          <w:rFonts w:hint="default"/>
          <w:color w:val="auto"/>
          <w:highlight w:val="none"/>
        </w:rPr>
      </w:pPr>
      <w:bookmarkStart w:id="196" w:name="_Toc1500"/>
      <w:r>
        <w:rPr>
          <w:rFonts w:hint="default"/>
          <w:color w:val="auto"/>
          <w:highlight w:val="none"/>
        </w:rPr>
        <w:t>八、附件</w:t>
      </w:r>
      <w:bookmarkEnd w:id="193"/>
      <w:bookmarkEnd w:id="194"/>
      <w:bookmarkEnd w:id="195"/>
      <w:bookmarkEnd w:id="19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2、项目支出绩效评价指标体系及评分</w:t>
      </w:r>
    </w:p>
    <w:p>
      <w:pPr>
        <w:pStyle w:val="2"/>
        <w:bidi w:val="0"/>
        <w:ind w:left="0" w:leftChars="0" w:firstLine="0" w:firstLineChars="0"/>
        <w:jc w:val="both"/>
        <w:outlineLvl w:val="0"/>
        <w:rPr>
          <w:rFonts w:hint="default" w:ascii="Times New Roman" w:hAnsi="Times New Roman" w:eastAsia="仿宋_GB2312" w:cs="Times New Roman"/>
          <w:bCs/>
          <w:iCs/>
          <w:color w:val="auto"/>
          <w:highlight w:val="none"/>
        </w:rPr>
        <w:sectPr>
          <w:footerReference r:id="rId4" w:type="default"/>
          <w:pgSz w:w="11906" w:h="16838"/>
          <w:pgMar w:top="1440" w:right="1800" w:bottom="1440" w:left="1800" w:header="851" w:footer="992" w:gutter="0"/>
          <w:pgNumType w:fmt="decimal" w:start="1"/>
          <w:cols w:space="720" w:num="1"/>
          <w:docGrid w:type="lines" w:linePitch="312" w:charSpace="0"/>
        </w:sectPr>
      </w:pPr>
      <w:bookmarkStart w:id="197" w:name="_Toc28598"/>
      <w:bookmarkStart w:id="198" w:name="_Toc15698"/>
    </w:p>
    <w:p>
      <w:pPr>
        <w:pStyle w:val="2"/>
        <w:bidi w:val="0"/>
        <w:ind w:left="0" w:leftChars="0" w:firstLine="0" w:firstLineChars="0"/>
        <w:jc w:val="both"/>
        <w:outlineLvl w:val="0"/>
        <w:rPr>
          <w:rFonts w:hint="default" w:ascii="Times New Roman" w:hAnsi="Times New Roman" w:eastAsia="仿宋_GB2312" w:cs="Times New Roman"/>
          <w:color w:val="auto"/>
          <w:highlight w:val="none"/>
        </w:rPr>
      </w:pPr>
      <w:bookmarkStart w:id="199" w:name="_Toc5739"/>
      <w:r>
        <w:rPr>
          <w:rFonts w:hint="default" w:ascii="Times New Roman" w:hAnsi="Times New Roman" w:eastAsia="仿宋_GB2312" w:cs="Times New Roman"/>
          <w:bCs/>
          <w:iCs/>
          <w:color w:val="auto"/>
          <w:highlight w:val="none"/>
        </w:rPr>
        <w:t>附件1：</w:t>
      </w:r>
      <w:bookmarkEnd w:id="197"/>
      <w:bookmarkEnd w:id="198"/>
      <w:r>
        <w:rPr>
          <w:rFonts w:hint="default" w:ascii="Times New Roman" w:hAnsi="Times New Roman" w:eastAsia="仿宋_GB2312" w:cs="Times New Roman"/>
          <w:color w:val="auto"/>
          <w:highlight w:val="none"/>
        </w:rPr>
        <w:t>项目支出绩效自评表</w:t>
      </w:r>
      <w:bookmarkEnd w:id="199"/>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29"/>
        <w:gridCol w:w="1043"/>
        <w:gridCol w:w="1041"/>
        <w:gridCol w:w="1779"/>
        <w:gridCol w:w="1623"/>
        <w:gridCol w:w="1041"/>
        <w:gridCol w:w="892"/>
        <w:gridCol w:w="1030"/>
        <w:gridCol w:w="912"/>
        <w:gridCol w:w="1041"/>
        <w:gridCol w:w="1360"/>
        <w:gridCol w:w="11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5000" w:type="pct"/>
            <w:gridSpan w:val="1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32"/>
              <w:bidi w:val="0"/>
              <w:rPr>
                <w:color w:val="auto"/>
                <w:highlight w:val="none"/>
              </w:rPr>
            </w:pPr>
            <w:bookmarkStart w:id="200" w:name="_Toc14702"/>
            <w:bookmarkStart w:id="201" w:name="_Toc24753"/>
            <w:bookmarkStart w:id="202" w:name="_Toc5134"/>
            <w:bookmarkStart w:id="203" w:name="_Toc1641"/>
            <w:bookmarkStart w:id="204" w:name="_Toc29757"/>
            <w:bookmarkStart w:id="205" w:name="_Toc22143"/>
            <w:bookmarkStart w:id="206" w:name="_Toc31300"/>
            <w:bookmarkStart w:id="207" w:name="_Toc28099"/>
            <w:r>
              <w:rPr>
                <w:rFonts w:hint="default"/>
                <w:color w:val="auto"/>
                <w:highlight w:val="none"/>
                <w:lang w:val="en-US" w:eastAsia="zh-CN"/>
              </w:rPr>
              <w:t>项目支出绩效自评表</w:t>
            </w:r>
            <w:bookmarkEnd w:id="200"/>
            <w:bookmarkEnd w:id="20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9" w:hRule="atLeast"/>
        </w:trPr>
        <w:tc>
          <w:tcPr>
            <w:tcW w:w="5000" w:type="pct"/>
            <w:gridSpan w:val="1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41"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项目名称</w:t>
            </w:r>
          </w:p>
        </w:tc>
        <w:tc>
          <w:tcPr>
            <w:tcW w:w="4258" w:type="pct"/>
            <w:gridSpan w:val="10"/>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乡镇国土空间规划和村庄规划编制项目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1"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主管部门</w:t>
            </w:r>
          </w:p>
        </w:tc>
        <w:tc>
          <w:tcPr>
            <w:tcW w:w="2279" w:type="pct"/>
            <w:gridSpan w:val="5"/>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尉犁县自然资源局</w:t>
            </w:r>
          </w:p>
        </w:tc>
        <w:tc>
          <w:tcPr>
            <w:tcW w:w="694"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实施单位</w:t>
            </w:r>
          </w:p>
        </w:tc>
        <w:tc>
          <w:tcPr>
            <w:tcW w:w="1285" w:type="pct"/>
            <w:gridSpan w:val="3"/>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尉犁县自然资源局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741" w:type="pct"/>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项目资金</w:t>
            </w:r>
            <w:r>
              <w:rPr>
                <w:rFonts w:hint="eastAsia"/>
                <w:color w:val="auto"/>
                <w:highlight w:val="none"/>
                <w:lang w:val="en-US" w:eastAsia="zh-CN"/>
              </w:rPr>
              <w:br w:type="textWrapping"/>
            </w:r>
            <w:r>
              <w:rPr>
                <w:rFonts w:hint="eastAsia"/>
                <w:color w:val="auto"/>
                <w:highlight w:val="none"/>
                <w:lang w:val="en-US" w:eastAsia="zh-CN"/>
              </w:rPr>
              <w:t>（万元）</w:t>
            </w:r>
          </w:p>
        </w:tc>
        <w:tc>
          <w:tcPr>
            <w:tcW w:w="1008"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资金来源</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年初预算数</w:t>
            </w:r>
          </w:p>
        </w:tc>
        <w:tc>
          <w:tcPr>
            <w:tcW w:w="690"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全年预算数</w:t>
            </w:r>
          </w:p>
        </w:tc>
        <w:tc>
          <w:tcPr>
            <w:tcW w:w="694"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全年执行数</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分值权重</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执行率</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1008"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年度资金总额</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268.00</w:t>
            </w:r>
          </w:p>
        </w:tc>
        <w:tc>
          <w:tcPr>
            <w:tcW w:w="690"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268.00</w:t>
            </w:r>
          </w:p>
        </w:tc>
        <w:tc>
          <w:tcPr>
            <w:tcW w:w="694"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268.00</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1008"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其中：当年财政拨款</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w:t>
            </w:r>
          </w:p>
        </w:tc>
        <w:tc>
          <w:tcPr>
            <w:tcW w:w="690"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w:t>
            </w:r>
          </w:p>
        </w:tc>
        <w:tc>
          <w:tcPr>
            <w:tcW w:w="694"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268</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1008"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其他资金</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0.00</w:t>
            </w:r>
          </w:p>
        </w:tc>
        <w:tc>
          <w:tcPr>
            <w:tcW w:w="690"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0.00</w:t>
            </w:r>
          </w:p>
        </w:tc>
        <w:tc>
          <w:tcPr>
            <w:tcW w:w="694"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default" w:eastAsia="仿宋_GB2312"/>
                <w:color w:val="auto"/>
                <w:highlight w:val="none"/>
                <w:lang w:val="en-US" w:eastAsia="zh-CN"/>
              </w:rPr>
            </w:pPr>
            <w:r>
              <w:rPr>
                <w:rFonts w:hint="eastAsia"/>
                <w:color w:val="auto"/>
                <w:highlight w:val="none"/>
                <w:lang w:val="en-US" w:eastAsia="zh-CN"/>
              </w:rPr>
              <w:t>0.00</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5" w:hRule="atLeast"/>
        </w:trPr>
        <w:tc>
          <w:tcPr>
            <w:tcW w:w="368" w:type="pct"/>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年度总体目标</w:t>
            </w:r>
          </w:p>
        </w:tc>
        <w:tc>
          <w:tcPr>
            <w:tcW w:w="2651" w:type="pct"/>
            <w:gridSpan w:val="6"/>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总体目标</w:t>
            </w:r>
          </w:p>
        </w:tc>
        <w:tc>
          <w:tcPr>
            <w:tcW w:w="1979" w:type="pct"/>
            <w:gridSpan w:val="5"/>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2651" w:type="pct"/>
            <w:gridSpan w:val="6"/>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需完成6个乡镇国土空间规划和39个行政村的规划编制工作，提交乡（镇）规划成果6套、提交行政村规划成果35套，使数据成果的准确率达到100%。</w:t>
            </w:r>
          </w:p>
        </w:tc>
        <w:tc>
          <w:tcPr>
            <w:tcW w:w="1979" w:type="pct"/>
            <w:gridSpan w:val="5"/>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已完成6个乡镇国土空间规划和39个行政村的规划编制工作，提交乡（镇）规划成果6套、提交行政村规划成果35套，使数据成果的准确率达到100%，资金268万元已全部支付完毕，有效推动了我县乡村振兴和生态文明建设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0" w:hRule="atLeast"/>
        </w:trPr>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一级指标</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二级指标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三级指标</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指标值</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指标值设置依据</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上年完成值</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指标分值权重</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指标赋分规则</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佐证资料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完成率</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年度绩效指标完成情况</w:t>
            </w:r>
          </w:p>
        </w:tc>
        <w:tc>
          <w:tcPr>
            <w:tcW w:w="372" w:type="pct"/>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产出指标</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提交乡（镇）规划成果</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=6套</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提交行政村规划成果</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=35套</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提交电子数据</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=2套</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规划编制涉及乡（镇）</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=6个</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规划编制涉及行政村</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=39个</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6</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质量指标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数据库成果准确率</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5</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时效指标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资金支付及时率</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5</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原始凭证</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成本指标</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经济成本指标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规划编制技术服务费</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&lt;=268万元</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20</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按照完成比例赋分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原始凭证</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效益指标</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经济效益指标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推动乡村振兴</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有效推动</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15</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按评判等级赋分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68"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vMerge w:val="continue"/>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生态效益指标</w:t>
            </w:r>
          </w:p>
        </w:tc>
        <w:tc>
          <w:tcPr>
            <w:tcW w:w="63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推进生态文明建设</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有效推进</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计划标准</w:t>
            </w: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w:t>
            </w: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15</w:t>
            </w: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按评判等级赋分</w:t>
            </w: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工作资料</w:t>
            </w: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100%</w:t>
            </w: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749" w:type="pct"/>
            <w:gridSpan w:val="4"/>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r>
              <w:rPr>
                <w:rFonts w:hint="eastAsia"/>
                <w:color w:val="auto"/>
                <w:highlight w:val="none"/>
                <w:lang w:val="en-US" w:eastAsia="zh-CN"/>
              </w:rPr>
              <w:t>总分</w:t>
            </w:r>
          </w:p>
        </w:tc>
        <w:tc>
          <w:tcPr>
            <w:tcW w:w="580"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68"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25"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372"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486"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c>
          <w:tcPr>
            <w:tcW w:w="427" w:type="pc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27"/>
              <w:bidi w:val="0"/>
              <w:rPr>
                <w:rFonts w:hint="eastAsia"/>
                <w:color w:val="auto"/>
                <w:highlight w:val="none"/>
              </w:rPr>
            </w:pPr>
          </w:p>
        </w:tc>
      </w:tr>
    </w:tbl>
    <w:p>
      <w:pPr>
        <w:pStyle w:val="2"/>
        <w:bidi w:val="0"/>
        <w:jc w:val="both"/>
        <w:outlineLvl w:val="9"/>
        <w:rPr>
          <w:rFonts w:hint="default" w:ascii="Times New Roman" w:hAnsi="Times New Roman" w:eastAsia="仿宋_GB2312" w:cs="Times New Roman"/>
          <w:color w:val="auto"/>
          <w:highlight w:val="none"/>
        </w:rPr>
        <w:sectPr>
          <w:pgSz w:w="16838" w:h="11906" w:orient="landscape"/>
          <w:pgMar w:top="1800" w:right="1440" w:bottom="1800" w:left="1440" w:header="851" w:footer="992" w:gutter="0"/>
          <w:pgNumType w:fmt="decimal"/>
          <w:cols w:space="720" w:num="1"/>
          <w:docGrid w:type="lines" w:linePitch="312" w:charSpace="0"/>
        </w:sectPr>
      </w:pPr>
    </w:p>
    <w:p>
      <w:pPr>
        <w:pStyle w:val="2"/>
        <w:bidi w:val="0"/>
        <w:jc w:val="both"/>
        <w:outlineLvl w:val="0"/>
        <w:rPr>
          <w:rFonts w:hint="default" w:ascii="Times New Roman" w:hAnsi="Times New Roman" w:eastAsia="仿宋_GB2312" w:cs="Times New Roman"/>
          <w:color w:val="auto"/>
          <w:highlight w:val="none"/>
        </w:rPr>
      </w:pPr>
      <w:bookmarkStart w:id="208" w:name="_Toc26113"/>
      <w:r>
        <w:rPr>
          <w:rFonts w:hint="default" w:ascii="Times New Roman" w:hAnsi="Times New Roman" w:eastAsia="仿宋_GB2312" w:cs="Times New Roman"/>
          <w:color w:val="auto"/>
          <w:highlight w:val="none"/>
        </w:rPr>
        <w:t>附件2：</w:t>
      </w:r>
      <w:bookmarkEnd w:id="202"/>
      <w:bookmarkEnd w:id="203"/>
      <w:bookmarkEnd w:id="204"/>
      <w:bookmarkEnd w:id="205"/>
      <w:bookmarkEnd w:id="206"/>
      <w:bookmarkEnd w:id="207"/>
      <w:r>
        <w:rPr>
          <w:rFonts w:hint="default" w:ascii="Times New Roman" w:hAnsi="Times New Roman" w:eastAsia="仿宋_GB2312" w:cs="Times New Roman"/>
          <w:color w:val="auto"/>
          <w:highlight w:val="none"/>
        </w:rPr>
        <w:t>项目支出绩效评价指标体系及评分</w:t>
      </w:r>
      <w:bookmarkEnd w:id="208"/>
    </w:p>
    <w:p>
      <w:pPr>
        <w:pStyle w:val="32"/>
        <w:bidi w:val="0"/>
        <w:jc w:val="center"/>
        <w:rPr>
          <w:rFonts w:hint="default" w:ascii="Times New Roman" w:hAnsi="Times New Roman" w:eastAsia="仿宋_GB2312" w:cs="Times New Roman"/>
          <w:color w:val="auto"/>
          <w:highlight w:val="none"/>
        </w:rPr>
      </w:pPr>
      <w:bookmarkStart w:id="209" w:name="_Toc15097"/>
      <w:bookmarkStart w:id="210" w:name="_Toc29561"/>
      <w:bookmarkStart w:id="211" w:name="_Toc9316"/>
      <w:bookmarkStart w:id="212" w:name="_Toc28172"/>
      <w:r>
        <w:rPr>
          <w:rFonts w:hint="default" w:ascii="Times New Roman" w:hAnsi="Times New Roman" w:eastAsia="仿宋_GB2312" w:cs="Times New Roman"/>
          <w:color w:val="auto"/>
          <w:highlight w:val="none"/>
        </w:rPr>
        <w:t>项目支出绩效评价指标体系及评分</w:t>
      </w:r>
      <w:bookmarkEnd w:id="209"/>
      <w:bookmarkEnd w:id="210"/>
      <w:bookmarkEnd w:id="211"/>
      <w:bookmarkEnd w:id="212"/>
    </w:p>
    <w:tbl>
      <w:tblPr>
        <w:tblStyle w:val="12"/>
        <w:tblW w:w="5674" w:type="pct"/>
        <w:jc w:val="center"/>
        <w:tblLayout w:type="fixed"/>
        <w:tblCellMar>
          <w:top w:w="0" w:type="dxa"/>
          <w:left w:w="108" w:type="dxa"/>
          <w:bottom w:w="0" w:type="dxa"/>
          <w:right w:w="108" w:type="dxa"/>
        </w:tblCellMar>
      </w:tblPr>
      <w:tblGrid>
        <w:gridCol w:w="592"/>
        <w:gridCol w:w="669"/>
        <w:gridCol w:w="816"/>
        <w:gridCol w:w="2173"/>
        <w:gridCol w:w="4183"/>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一级</w:t>
            </w:r>
          </w:p>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三级</w:t>
            </w:r>
          </w:p>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rPr>
              <w:t>项目</w:t>
            </w:r>
            <w:r>
              <w:rPr>
                <w:rFonts w:hint="eastAsia" w:cs="Times New Roman"/>
                <w:color w:val="auto"/>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是否符合法律法规、相关政策、发展规划以及部门职责，用以反映和考核项目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项目申请、设立过程是否符合相关要求，用以反映和考核项目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实施</w:t>
            </w:r>
          </w:p>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27"/>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100</w:t>
            </w:r>
            <w:bookmarkEnd w:id="0"/>
          </w:p>
        </w:tc>
      </w:tr>
    </w:tbl>
    <w:p>
      <w:pPr>
        <w:ind w:firstLine="640"/>
        <w:jc w:val="both"/>
        <w:rPr>
          <w:rFonts w:hint="default" w:ascii="Times New Roman" w:hAnsi="Times New Roman" w:eastAsia="仿宋_GB2312" w:cs="Times New Roman"/>
          <w:color w:val="auto"/>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941B32-451E-4153-840E-A00B04777D5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A1D1A2F-B07D-4720-8609-658493ED670E}"/>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6E806825-6394-4279-AF8A-D38DBDED7795}"/>
  </w:font>
  <w:font w:name="方正仿宋_GBK">
    <w:panose1 w:val="03000509000000000000"/>
    <w:charset w:val="86"/>
    <w:family w:val="script"/>
    <w:pitch w:val="default"/>
    <w:sig w:usb0="00000001" w:usb1="080E0000" w:usb2="00000000" w:usb3="00000000" w:csb0="00040000" w:csb1="00000000"/>
    <w:embedRegular r:id="rId4" w:fontKey="{234BD5DE-A343-4AD5-8769-11FDB3DCC7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0441242A"/>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22"/>
    <w:qFormat/>
    <w:uiPriority w:val="99"/>
    <w:pPr>
      <w:keepNext/>
      <w:outlineLvl w:val="1"/>
    </w:pPr>
    <w:rPr>
      <w:rFonts w:eastAsia="黑体" w:cs="Times New Roman"/>
      <w:bCs/>
      <w:iCs/>
      <w:szCs w:val="21"/>
    </w:rPr>
  </w:style>
  <w:style w:type="paragraph" w:styleId="4">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4">
    <w:name w:val="Default Paragraph Font"/>
    <w:unhideWhenUsed/>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23"/>
    <w:unhideWhenUsed/>
    <w:qFormat/>
    <w:uiPriority w:val="99"/>
    <w:pPr>
      <w:tabs>
        <w:tab w:val="center" w:pos="4153"/>
        <w:tab w:val="right" w:pos="8306"/>
      </w:tabs>
      <w:snapToGrid w:val="0"/>
      <w:jc w:val="left"/>
    </w:pPr>
    <w:rPr>
      <w:sz w:val="18"/>
    </w:rPr>
  </w:style>
  <w:style w:type="paragraph" w:styleId="8">
    <w:name w:val="header"/>
    <w:basedOn w:val="1"/>
    <w:link w:val="16"/>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5">
    <w:name w:val="Comment Text"/>
    <w:basedOn w:val="1"/>
    <w:qFormat/>
    <w:uiPriority w:val="0"/>
    <w:pPr>
      <w:jc w:val="left"/>
    </w:pPr>
  </w:style>
  <w:style w:type="character" w:customStyle="1" w:styleId="16">
    <w:name w:val="页眉 字符"/>
    <w:link w:val="8"/>
    <w:uiPriority w:val="99"/>
    <w:rPr>
      <w:rFonts w:eastAsia="仿宋_GB2312" w:cs="Times New Roman"/>
      <w:kern w:val="2"/>
      <w:sz w:val="18"/>
      <w:szCs w:val="22"/>
    </w:rPr>
  </w:style>
  <w:style w:type="character" w:customStyle="1" w:styleId="17">
    <w:name w:val="标题 3 字符"/>
    <w:link w:val="4"/>
    <w:qFormat/>
    <w:uiPriority w:val="9"/>
    <w:rPr>
      <w:rFonts w:eastAsia="楷体_GB2312" w:cs="Times New Roman"/>
      <w:b/>
      <w:kern w:val="2"/>
      <w:sz w:val="32"/>
      <w:szCs w:val="22"/>
    </w:rPr>
  </w:style>
  <w:style w:type="character" w:customStyle="1" w:styleId="18">
    <w:name w:val="font112"/>
    <w:basedOn w:val="14"/>
    <w:uiPriority w:val="0"/>
    <w:rPr>
      <w:rFonts w:hint="eastAsia" w:ascii="宋体" w:hAnsi="宋体" w:eastAsia="宋体" w:cs="宋体"/>
      <w:color w:val="000000"/>
      <w:sz w:val="22"/>
      <w:szCs w:val="22"/>
      <w:u w:val="none"/>
    </w:rPr>
  </w:style>
  <w:style w:type="character" w:customStyle="1" w:styleId="19">
    <w:name w:val="font21"/>
    <w:basedOn w:val="14"/>
    <w:uiPriority w:val="0"/>
    <w:rPr>
      <w:rFonts w:hint="default" w:ascii="Times New Roman" w:hAnsi="Times New Roman" w:cs="Times New Roman"/>
      <w:color w:val="000000"/>
      <w:sz w:val="22"/>
      <w:szCs w:val="22"/>
      <w:u w:val="none"/>
    </w:rPr>
  </w:style>
  <w:style w:type="character" w:customStyle="1" w:styleId="20">
    <w:name w:val="font81"/>
    <w:basedOn w:val="14"/>
    <w:uiPriority w:val="0"/>
    <w:rPr>
      <w:rFonts w:hint="eastAsia" w:ascii="宋体" w:hAnsi="宋体" w:eastAsia="宋体" w:cs="宋体"/>
      <w:color w:val="000000"/>
      <w:sz w:val="22"/>
      <w:szCs w:val="22"/>
      <w:u w:val="none"/>
    </w:rPr>
  </w:style>
  <w:style w:type="character" w:customStyle="1" w:styleId="21">
    <w:name w:val="font131"/>
    <w:basedOn w:val="14"/>
    <w:qFormat/>
    <w:uiPriority w:val="0"/>
    <w:rPr>
      <w:rFonts w:hint="eastAsia" w:ascii="宋体" w:hAnsi="宋体" w:eastAsia="宋体" w:cs="宋体"/>
      <w:color w:val="000000"/>
      <w:sz w:val="18"/>
      <w:szCs w:val="18"/>
      <w:u w:val="none"/>
    </w:rPr>
  </w:style>
  <w:style w:type="character" w:customStyle="1" w:styleId="22">
    <w:name w:val="标题 2 字符"/>
    <w:link w:val="2"/>
    <w:qFormat/>
    <w:uiPriority w:val="99"/>
    <w:rPr>
      <w:rFonts w:eastAsia="黑体"/>
      <w:bCs/>
      <w:iCs/>
      <w:kern w:val="2"/>
      <w:sz w:val="32"/>
      <w:szCs w:val="21"/>
    </w:rPr>
  </w:style>
  <w:style w:type="character" w:customStyle="1" w:styleId="23">
    <w:name w:val="页脚 字符"/>
    <w:link w:val="7"/>
    <w:qFormat/>
    <w:uiPriority w:val="99"/>
    <w:rPr>
      <w:rFonts w:eastAsia="仿宋_GB2312" w:cs="Times New Roman"/>
      <w:kern w:val="2"/>
      <w:sz w:val="18"/>
      <w:szCs w:val="22"/>
    </w:rPr>
  </w:style>
  <w:style w:type="character" w:customStyle="1" w:styleId="24">
    <w:name w:val="font101"/>
    <w:basedOn w:val="14"/>
    <w:qFormat/>
    <w:uiPriority w:val="0"/>
    <w:rPr>
      <w:rFonts w:hint="eastAsia" w:ascii="宋体" w:hAnsi="宋体" w:eastAsia="宋体" w:cs="宋体"/>
      <w:color w:val="000000"/>
      <w:sz w:val="18"/>
      <w:szCs w:val="18"/>
      <w:u w:val="none"/>
    </w:rPr>
  </w:style>
  <w:style w:type="character" w:customStyle="1" w:styleId="25">
    <w:name w:val="font41"/>
    <w:basedOn w:val="14"/>
    <w:qFormat/>
    <w:uiPriority w:val="0"/>
    <w:rPr>
      <w:rFonts w:hint="eastAsia" w:ascii="宋体" w:hAnsi="宋体" w:eastAsia="宋体" w:cs="宋体"/>
      <w:color w:val="000000"/>
      <w:sz w:val="22"/>
      <w:szCs w:val="22"/>
      <w:u w:val="none"/>
    </w:rPr>
  </w:style>
  <w:style w:type="character" w:customStyle="1" w:styleId="26">
    <w:name w:val="表格内容 Char"/>
    <w:link w:val="27"/>
    <w:qFormat/>
    <w:uiPriority w:val="0"/>
    <w:rPr>
      <w:rFonts w:hint="eastAsia" w:ascii="Times New Roman" w:hAnsi="Times New Roman"/>
      <w:kern w:val="44"/>
      <w:sz w:val="21"/>
    </w:rPr>
  </w:style>
  <w:style w:type="paragraph" w:customStyle="1" w:styleId="27">
    <w:name w:val="表格内容"/>
    <w:basedOn w:val="1"/>
    <w:next w:val="1"/>
    <w:link w:val="26"/>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character" w:customStyle="1" w:styleId="28">
    <w:name w:val="font91"/>
    <w:basedOn w:val="14"/>
    <w:qFormat/>
    <w:uiPriority w:val="0"/>
    <w:rPr>
      <w:rFonts w:hint="default" w:ascii="Times New Roman" w:hAnsi="Times New Roman" w:cs="Times New Roman"/>
      <w:color w:val="000000"/>
      <w:sz w:val="18"/>
      <w:szCs w:val="18"/>
      <w:u w:val="none"/>
    </w:rPr>
  </w:style>
  <w:style w:type="character" w:customStyle="1" w:styleId="29">
    <w:name w:val="font71"/>
    <w:basedOn w:val="14"/>
    <w:qFormat/>
    <w:uiPriority w:val="0"/>
    <w:rPr>
      <w:rFonts w:hint="eastAsia" w:ascii="宋体" w:hAnsi="宋体" w:eastAsia="宋体" w:cs="宋体"/>
      <w:color w:val="000000"/>
      <w:sz w:val="22"/>
      <w:szCs w:val="22"/>
      <w:u w:val="none"/>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表格标题"/>
    <w:basedOn w:val="1"/>
    <w:next w:val="1"/>
    <w:qFormat/>
    <w:uiPriority w:val="0"/>
    <w:pPr>
      <w:keepNext/>
      <w:keepLines/>
      <w:ind w:firstLine="0" w:firstLineChars="0"/>
      <w:jc w:val="center"/>
      <w:outlineLvl w:val="0"/>
    </w:pPr>
    <w:rPr>
      <w:rFonts w:hint="eastAsia"/>
      <w:b/>
      <w:kern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F969E3D936A24FF5A9192B0D76B61DB0_13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7ab9d6-6e29-4478-84cb-dd604d12ca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9256</Words>
  <Characters>9628</Characters>
  <Lines>110</Lines>
  <Paragraphs>31</Paragraphs>
  <TotalTime>1</TotalTime>
  <ScaleCrop>false</ScaleCrop>
  <LinksUpToDate>false</LinksUpToDate>
  <CharactersWithSpaces>9653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2025-09-23T11:53:02Z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F969E3D936A24FF5A9192B0D76B61DB0_13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