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p>
    <w:p>
      <w:pPr>
        <w:bidi w:val="0"/>
      </w:pPr>
    </w:p>
    <w:p>
      <w:pPr>
        <w:bidi w:val="0"/>
      </w:pPr>
    </w:p>
    <w:p>
      <w:pPr>
        <w:bidi w:val="0"/>
      </w:pPr>
    </w:p>
    <w:p>
      <w:pPr>
        <w:bidi w:val="0"/>
      </w:pPr>
    </w:p>
    <w:p>
      <w:pPr>
        <w:pStyle w:val="4"/>
        <w:bidi w:val="0"/>
        <w:rPr>
          <w:sz w:val="44"/>
          <w:szCs w:val="44"/>
        </w:rPr>
      </w:pPr>
      <w:r>
        <w:rPr>
          <w:sz w:val="44"/>
          <w:szCs w:val="44"/>
        </w:rPr>
        <w:t>项目支出绩效评价报告</w:t>
      </w:r>
    </w:p>
    <w:p>
      <w:pPr>
        <w:ind w:firstLine="640"/>
      </w:pPr>
    </w:p>
    <w:p>
      <w:pPr>
        <w:ind w:firstLine="640"/>
        <w:rPr>
          <w:highlight w:val="red"/>
        </w:rPr>
      </w:pPr>
    </w:p>
    <w:p>
      <w:pPr>
        <w:pStyle w:val="14"/>
        <w:bidi w:val="0"/>
        <w:rPr>
          <w:sz w:val="28"/>
          <w:szCs w:val="28"/>
          <w:highlight w:val="none"/>
        </w:rPr>
      </w:pPr>
      <w:r>
        <w:rPr>
          <w:sz w:val="28"/>
          <w:szCs w:val="28"/>
          <w:highlight w:val="none"/>
        </w:rPr>
        <w:t>（202</w:t>
      </w:r>
      <w:r>
        <w:rPr>
          <w:rFonts w:hint="eastAsia"/>
          <w:sz w:val="28"/>
          <w:szCs w:val="28"/>
          <w:highlight w:val="none"/>
          <w:lang w:val="en-US" w:eastAsia="zh-CN"/>
        </w:rPr>
        <w:t>3</w:t>
      </w:r>
      <w:r>
        <w:rPr>
          <w:sz w:val="28"/>
          <w:szCs w:val="28"/>
          <w:highlight w:val="none"/>
        </w:rPr>
        <w:t>年度）</w:t>
      </w:r>
    </w:p>
    <w:p>
      <w:pPr>
        <w:ind w:firstLine="640"/>
        <w:rPr>
          <w:highlight w:val="none"/>
        </w:rPr>
      </w:pPr>
    </w:p>
    <w:p>
      <w:pPr>
        <w:ind w:firstLine="640"/>
        <w:rPr>
          <w:highlight w:val="none"/>
        </w:rPr>
      </w:pPr>
    </w:p>
    <w:p>
      <w:pPr>
        <w:ind w:firstLine="640"/>
        <w:rPr>
          <w:highlight w:val="none"/>
        </w:rPr>
      </w:pPr>
    </w:p>
    <w:p>
      <w:pPr>
        <w:bidi w:val="0"/>
        <w:rPr>
          <w:highlight w:val="none"/>
        </w:rPr>
      </w:pPr>
    </w:p>
    <w:p>
      <w:pPr>
        <w:bidi w:val="0"/>
        <w:rPr>
          <w:highlight w:val="none"/>
        </w:rPr>
      </w:pPr>
    </w:p>
    <w:p>
      <w:pPr>
        <w:bidi w:val="0"/>
        <w:rPr>
          <w:rFonts w:hint="default" w:eastAsia="仿宋_GB2312"/>
          <w:color w:val="auto"/>
          <w:highlight w:val="none"/>
          <w:lang w:val="en-US" w:eastAsia="zh-CN"/>
        </w:rPr>
      </w:pPr>
      <w:r>
        <w:rPr>
          <w:highlight w:val="none"/>
        </w:rPr>
        <w:t>项目名称：</w:t>
      </w:r>
      <w:r>
        <w:rPr>
          <w:rFonts w:hint="eastAsia"/>
          <w:color w:val="auto"/>
          <w:highlight w:val="none"/>
          <w:lang w:eastAsia="zh-CN"/>
        </w:rPr>
        <w:t>尉犁县</w:t>
      </w:r>
      <w:r>
        <w:rPr>
          <w:rFonts w:hint="eastAsia"/>
          <w:color w:val="auto"/>
          <w:highlight w:val="none"/>
          <w:lang w:val="en-US" w:eastAsia="zh-CN"/>
        </w:rPr>
        <w:t>2023年成品油税费改革用于农村公路日常养护资金项目</w:t>
      </w:r>
    </w:p>
    <w:p>
      <w:pPr>
        <w:bidi w:val="0"/>
        <w:rPr>
          <w:rFonts w:hint="eastAsia"/>
          <w:color w:val="auto"/>
          <w:highlight w:val="none"/>
          <w:lang w:eastAsia="zh-CN"/>
        </w:rPr>
      </w:pPr>
      <w:r>
        <w:rPr>
          <w:color w:val="auto"/>
          <w:highlight w:val="none"/>
        </w:rPr>
        <w:t>实施单位（公章）：</w:t>
      </w:r>
      <w:r>
        <w:rPr>
          <w:rFonts w:hint="eastAsia"/>
          <w:color w:val="auto"/>
          <w:highlight w:val="none"/>
          <w:lang w:eastAsia="zh-CN"/>
        </w:rPr>
        <w:t>尉犁县交通运输局</w:t>
      </w:r>
    </w:p>
    <w:p>
      <w:pPr>
        <w:bidi w:val="0"/>
        <w:rPr>
          <w:rFonts w:hint="eastAsia"/>
          <w:color w:val="auto"/>
          <w:highlight w:val="none"/>
          <w:lang w:eastAsia="zh-CN"/>
        </w:rPr>
      </w:pPr>
      <w:r>
        <w:rPr>
          <w:color w:val="auto"/>
          <w:highlight w:val="none"/>
        </w:rPr>
        <w:t>主管部门（公章）：</w:t>
      </w:r>
      <w:r>
        <w:rPr>
          <w:rFonts w:hint="eastAsia"/>
          <w:color w:val="auto"/>
          <w:highlight w:val="none"/>
          <w:lang w:eastAsia="zh-CN"/>
        </w:rPr>
        <w:t>尉犁县交通运输局</w:t>
      </w:r>
    </w:p>
    <w:p>
      <w:pPr>
        <w:bidi w:val="0"/>
        <w:rPr>
          <w:rFonts w:hint="default" w:eastAsia="仿宋_GB2312"/>
          <w:color w:val="auto"/>
          <w:highlight w:val="none"/>
          <w:lang w:val="en-US" w:eastAsia="zh-CN"/>
        </w:rPr>
      </w:pPr>
      <w:r>
        <w:rPr>
          <w:color w:val="auto"/>
          <w:highlight w:val="none"/>
        </w:rPr>
        <w:t>项目负责人（签章）：</w:t>
      </w:r>
      <w:r>
        <w:rPr>
          <w:rFonts w:hint="eastAsia"/>
          <w:color w:val="auto"/>
          <w:highlight w:val="none"/>
          <w:lang w:val="en-US" w:eastAsia="zh-CN"/>
        </w:rPr>
        <w:t>艾力·热扎克</w:t>
      </w:r>
    </w:p>
    <w:p>
      <w:pPr>
        <w:bidi w:val="0"/>
        <w:rPr>
          <w:color w:val="auto"/>
          <w:highlight w:val="none"/>
        </w:rPr>
      </w:pPr>
      <w:r>
        <w:rPr>
          <w:color w:val="auto"/>
          <w:highlight w:val="none"/>
        </w:rPr>
        <w:t>填报时间：</w:t>
      </w:r>
      <w:r>
        <w:rPr>
          <w:rFonts w:hint="eastAsia"/>
          <w:color w:val="auto"/>
          <w:highlight w:val="none"/>
          <w:lang w:val="en-US" w:eastAsia="zh-CN"/>
        </w:rPr>
        <w:t>2023</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pPr>
        <w:ind w:firstLine="620"/>
        <w:rPr>
          <w:rFonts w:eastAsia="方正仿宋_GBK"/>
          <w:sz w:val="31"/>
          <w:szCs w:val="31"/>
        </w:rPr>
      </w:pPr>
      <w:r>
        <w:rPr>
          <w:rFonts w:eastAsia="方正仿宋_GBK"/>
          <w:sz w:val="31"/>
          <w:szCs w:val="31"/>
        </w:rPr>
        <w:br w:type="page"/>
      </w:r>
    </w:p>
    <w:p>
      <w:pPr>
        <w:ind w:firstLine="883"/>
        <w:jc w:val="center"/>
        <w:rPr>
          <w:b/>
          <w:bCs/>
          <w:color w:val="FF0000"/>
          <w:sz w:val="44"/>
          <w:szCs w:val="44"/>
        </w:rPr>
      </w:pPr>
      <w:r>
        <w:rPr>
          <w:b/>
          <w:bCs/>
          <w:color w:val="auto"/>
          <w:sz w:val="44"/>
          <w:szCs w:val="44"/>
        </w:rPr>
        <w:t>目  录</w:t>
      </w:r>
    </w:p>
    <w:p>
      <w:pPr>
        <w:ind w:firstLine="640"/>
      </w:pPr>
    </w:p>
    <w:p>
      <w:pPr>
        <w:tabs>
          <w:tab w:val="right" w:leader="dot" w:pos="8306"/>
        </w:tabs>
        <w:ind w:firstLine="883"/>
      </w:pPr>
      <w:r>
        <w:rPr>
          <w:rFonts w:eastAsia="黑体"/>
          <w:b/>
          <w:bCs/>
          <w:color w:val="000000"/>
          <w:sz w:val="44"/>
          <w:szCs w:val="44"/>
        </w:rPr>
        <w:fldChar w:fldCharType="begin"/>
      </w:r>
      <w:r>
        <w:rPr>
          <w:rFonts w:eastAsia="黑体"/>
          <w:b/>
          <w:bCs/>
          <w:color w:val="000000"/>
          <w:sz w:val="44"/>
          <w:szCs w:val="44"/>
        </w:rPr>
        <w:instrText xml:space="preserve">TOC \o "1-2" \h \u </w:instrText>
      </w:r>
      <w:r>
        <w:rPr>
          <w:rFonts w:eastAsia="黑体"/>
          <w:b/>
          <w:bCs/>
          <w:color w:val="000000"/>
          <w:sz w:val="44"/>
          <w:szCs w:val="44"/>
        </w:rPr>
        <w:fldChar w:fldCharType="separate"/>
      </w:r>
      <w:r>
        <w:fldChar w:fldCharType="begin"/>
      </w:r>
      <w:r>
        <w:instrText xml:space="preserve"> HYPERLINK \l "_Toc25620" </w:instrText>
      </w:r>
      <w:r>
        <w:fldChar w:fldCharType="separate"/>
      </w:r>
      <w:r>
        <w:t>一、基本情况</w:t>
      </w:r>
      <w:r>
        <w:tab/>
      </w:r>
      <w:r>
        <w:fldChar w:fldCharType="begin"/>
      </w:r>
      <w:r>
        <w:instrText xml:space="preserve"> PAGEREF _Toc25620 \h </w:instrText>
      </w:r>
      <w:r>
        <w:fldChar w:fldCharType="separate"/>
      </w:r>
      <w:r>
        <w:t>1</w:t>
      </w:r>
      <w:r>
        <w:fldChar w:fldCharType="end"/>
      </w:r>
      <w:r>
        <w:fldChar w:fldCharType="end"/>
      </w:r>
    </w:p>
    <w:p>
      <w:pPr>
        <w:tabs>
          <w:tab w:val="right" w:leader="dot" w:pos="8306"/>
        </w:tabs>
        <w:ind w:left="640" w:firstLine="640"/>
      </w:pPr>
      <w:r>
        <w:fldChar w:fldCharType="begin"/>
      </w:r>
      <w:r>
        <w:instrText xml:space="preserve"> HYPERLINK \l "_Toc8971" </w:instrText>
      </w:r>
      <w:r>
        <w:fldChar w:fldCharType="separate"/>
      </w:r>
      <w:r>
        <w:t>（一）项目概况</w:t>
      </w:r>
      <w:r>
        <w:tab/>
      </w:r>
      <w:r>
        <w:fldChar w:fldCharType="begin"/>
      </w:r>
      <w:r>
        <w:instrText xml:space="preserve"> PAGEREF _Toc8971 \h </w:instrText>
      </w:r>
      <w:r>
        <w:fldChar w:fldCharType="separate"/>
      </w:r>
      <w:r>
        <w:t>1</w:t>
      </w:r>
      <w:r>
        <w:fldChar w:fldCharType="end"/>
      </w:r>
      <w:r>
        <w:fldChar w:fldCharType="end"/>
      </w:r>
    </w:p>
    <w:p>
      <w:pPr>
        <w:tabs>
          <w:tab w:val="right" w:leader="dot" w:pos="8306"/>
        </w:tabs>
        <w:ind w:left="640" w:firstLine="640"/>
      </w:pPr>
      <w:r>
        <w:fldChar w:fldCharType="begin"/>
      </w:r>
      <w:r>
        <w:instrText xml:space="preserve"> HYPERLINK \l "_Toc25187" </w:instrText>
      </w:r>
      <w:r>
        <w:fldChar w:fldCharType="separate"/>
      </w:r>
      <w:r>
        <w:t>（二）项目绩效目标</w:t>
      </w:r>
      <w:r>
        <w:tab/>
      </w:r>
      <w:r>
        <w:fldChar w:fldCharType="begin"/>
      </w:r>
      <w:r>
        <w:instrText xml:space="preserve"> PAGEREF _Toc25187 \h </w:instrText>
      </w:r>
      <w:r>
        <w:fldChar w:fldCharType="separate"/>
      </w:r>
      <w:r>
        <w:t>3</w:t>
      </w:r>
      <w:r>
        <w:fldChar w:fldCharType="end"/>
      </w:r>
      <w:r>
        <w:fldChar w:fldCharType="end"/>
      </w:r>
    </w:p>
    <w:p>
      <w:pPr>
        <w:tabs>
          <w:tab w:val="right" w:leader="dot" w:pos="8306"/>
        </w:tabs>
        <w:ind w:firstLine="640"/>
      </w:pPr>
      <w:r>
        <w:fldChar w:fldCharType="begin"/>
      </w:r>
      <w:r>
        <w:instrText xml:space="preserve"> HYPERLINK \l "_Toc28824" </w:instrText>
      </w:r>
      <w:r>
        <w:fldChar w:fldCharType="separate"/>
      </w:r>
      <w:r>
        <w:rPr>
          <w:rFonts w:hint="eastAsia"/>
        </w:rPr>
        <w:t>二、绩效评价工作开展情况</w:t>
      </w:r>
      <w:r>
        <w:tab/>
      </w:r>
      <w:r>
        <w:fldChar w:fldCharType="begin"/>
      </w:r>
      <w:r>
        <w:instrText xml:space="preserve"> PAGEREF _Toc28824 \h </w:instrText>
      </w:r>
      <w:r>
        <w:fldChar w:fldCharType="separate"/>
      </w:r>
      <w:r>
        <w:t>4</w:t>
      </w:r>
      <w:r>
        <w:fldChar w:fldCharType="end"/>
      </w:r>
      <w:r>
        <w:fldChar w:fldCharType="end"/>
      </w:r>
    </w:p>
    <w:p>
      <w:pPr>
        <w:tabs>
          <w:tab w:val="right" w:leader="dot" w:pos="8306"/>
        </w:tabs>
        <w:ind w:left="640" w:firstLine="640"/>
      </w:pPr>
      <w:r>
        <w:fldChar w:fldCharType="begin"/>
      </w:r>
      <w:r>
        <w:instrText xml:space="preserve"> HYPERLINK \l "_Toc24175" </w:instrText>
      </w:r>
      <w:r>
        <w:fldChar w:fldCharType="separate"/>
      </w:r>
      <w:r>
        <w:rPr>
          <w:rFonts w:hint="eastAsia"/>
        </w:rPr>
        <w:t>（一）绩效评价目的、对象和范围</w:t>
      </w:r>
      <w:r>
        <w:tab/>
      </w:r>
      <w:r>
        <w:fldChar w:fldCharType="begin"/>
      </w:r>
      <w:r>
        <w:instrText xml:space="preserve"> PAGEREF _Toc24175 \h </w:instrText>
      </w:r>
      <w:r>
        <w:fldChar w:fldCharType="separate"/>
      </w:r>
      <w:r>
        <w:t>4</w:t>
      </w:r>
      <w:r>
        <w:fldChar w:fldCharType="end"/>
      </w:r>
      <w:r>
        <w:fldChar w:fldCharType="end"/>
      </w:r>
    </w:p>
    <w:p>
      <w:pPr>
        <w:tabs>
          <w:tab w:val="right" w:leader="dot" w:pos="8306"/>
        </w:tabs>
        <w:ind w:left="640" w:firstLine="640"/>
      </w:pPr>
      <w:r>
        <w:fldChar w:fldCharType="begin"/>
      </w:r>
      <w:r>
        <w:instrText xml:space="preserve"> HYPERLINK \l "_Toc5109" </w:instrText>
      </w:r>
      <w:r>
        <w:fldChar w:fldCharType="separate"/>
      </w:r>
      <w:r>
        <w:rPr>
          <w:rFonts w:hint="eastAsia"/>
        </w:rPr>
        <w:t>（二）绩效评价原则、评价指标体系、评价方法、评价标准</w:t>
      </w:r>
      <w:r>
        <w:tab/>
      </w:r>
      <w:r>
        <w:fldChar w:fldCharType="begin"/>
      </w:r>
      <w:r>
        <w:instrText xml:space="preserve"> PAGEREF _Toc5109 \h </w:instrText>
      </w:r>
      <w:r>
        <w:fldChar w:fldCharType="separate"/>
      </w:r>
      <w:r>
        <w:t>4</w:t>
      </w:r>
      <w:r>
        <w:fldChar w:fldCharType="end"/>
      </w:r>
      <w:r>
        <w:fldChar w:fldCharType="end"/>
      </w:r>
    </w:p>
    <w:p>
      <w:pPr>
        <w:tabs>
          <w:tab w:val="right" w:leader="dot" w:pos="8306"/>
        </w:tabs>
        <w:ind w:left="640" w:firstLine="640"/>
      </w:pPr>
      <w:r>
        <w:fldChar w:fldCharType="begin"/>
      </w:r>
      <w:r>
        <w:instrText xml:space="preserve"> HYPERLINK \l "_Toc23796" </w:instrText>
      </w:r>
      <w:r>
        <w:fldChar w:fldCharType="separate"/>
      </w:r>
      <w:r>
        <w:rPr>
          <w:rFonts w:hint="eastAsia"/>
        </w:rPr>
        <w:t>（三）绩效评价工作过程</w:t>
      </w:r>
      <w:r>
        <w:tab/>
      </w:r>
      <w:r>
        <w:fldChar w:fldCharType="begin"/>
      </w:r>
      <w:r>
        <w:instrText xml:space="preserve"> PAGEREF _Toc23796 \h </w:instrText>
      </w:r>
      <w:r>
        <w:fldChar w:fldCharType="separate"/>
      </w:r>
      <w:r>
        <w:t>8</w:t>
      </w:r>
      <w:r>
        <w:fldChar w:fldCharType="end"/>
      </w:r>
      <w:r>
        <w:fldChar w:fldCharType="end"/>
      </w:r>
    </w:p>
    <w:p>
      <w:pPr>
        <w:tabs>
          <w:tab w:val="right" w:leader="dot" w:pos="8306"/>
        </w:tabs>
        <w:ind w:firstLine="640"/>
      </w:pPr>
      <w:r>
        <w:fldChar w:fldCharType="begin"/>
      </w:r>
      <w:r>
        <w:instrText xml:space="preserve"> HYPERLINK \l "_Toc20784" </w:instrText>
      </w:r>
      <w:r>
        <w:fldChar w:fldCharType="separate"/>
      </w:r>
      <w:r>
        <w:rPr>
          <w:rFonts w:hint="eastAsia"/>
        </w:rPr>
        <w:t>三、综合评价情况及评价结论</w:t>
      </w:r>
      <w:r>
        <w:tab/>
      </w:r>
      <w:r>
        <w:fldChar w:fldCharType="begin"/>
      </w:r>
      <w:r>
        <w:instrText xml:space="preserve"> PAGEREF _Toc20784 \h </w:instrText>
      </w:r>
      <w:r>
        <w:fldChar w:fldCharType="separate"/>
      </w:r>
      <w:r>
        <w:t>10</w:t>
      </w:r>
      <w:r>
        <w:fldChar w:fldCharType="end"/>
      </w:r>
      <w:r>
        <w:fldChar w:fldCharType="end"/>
      </w:r>
    </w:p>
    <w:p>
      <w:pPr>
        <w:tabs>
          <w:tab w:val="right" w:leader="dot" w:pos="8306"/>
        </w:tabs>
        <w:ind w:firstLine="640"/>
      </w:pPr>
      <w:r>
        <w:fldChar w:fldCharType="begin"/>
      </w:r>
      <w:r>
        <w:instrText xml:space="preserve"> HYPERLINK \l "_Toc8960" </w:instrText>
      </w:r>
      <w:r>
        <w:fldChar w:fldCharType="separate"/>
      </w:r>
      <w:r>
        <w:rPr>
          <w:rFonts w:hint="eastAsia"/>
        </w:rPr>
        <w:t>四、绩效评价指标分析</w:t>
      </w:r>
      <w:r>
        <w:tab/>
      </w:r>
      <w:r>
        <w:fldChar w:fldCharType="begin"/>
      </w:r>
      <w:r>
        <w:instrText xml:space="preserve"> PAGEREF _Toc8960 \h </w:instrText>
      </w:r>
      <w:r>
        <w:fldChar w:fldCharType="separate"/>
      </w:r>
      <w:r>
        <w:t>10</w:t>
      </w:r>
      <w:r>
        <w:fldChar w:fldCharType="end"/>
      </w:r>
      <w:r>
        <w:fldChar w:fldCharType="end"/>
      </w:r>
    </w:p>
    <w:p>
      <w:pPr>
        <w:tabs>
          <w:tab w:val="right" w:leader="dot" w:pos="8306"/>
        </w:tabs>
        <w:ind w:left="640" w:firstLine="640"/>
      </w:pPr>
      <w:r>
        <w:fldChar w:fldCharType="begin"/>
      </w:r>
      <w:r>
        <w:instrText xml:space="preserve"> HYPERLINK \l "_Toc3445" </w:instrText>
      </w:r>
      <w:r>
        <w:fldChar w:fldCharType="separate"/>
      </w:r>
      <w:r>
        <w:rPr>
          <w:rFonts w:hint="eastAsia"/>
        </w:rPr>
        <w:t>（一）项目决策情况</w:t>
      </w:r>
      <w:r>
        <w:tab/>
      </w:r>
      <w:r>
        <w:fldChar w:fldCharType="begin"/>
      </w:r>
      <w:r>
        <w:instrText xml:space="preserve"> PAGEREF _Toc3445 \h </w:instrText>
      </w:r>
      <w:r>
        <w:fldChar w:fldCharType="separate"/>
      </w:r>
      <w:r>
        <w:t>10</w:t>
      </w:r>
      <w:r>
        <w:fldChar w:fldCharType="end"/>
      </w:r>
      <w:r>
        <w:fldChar w:fldCharType="end"/>
      </w:r>
    </w:p>
    <w:p>
      <w:pPr>
        <w:tabs>
          <w:tab w:val="right" w:leader="dot" w:pos="8306"/>
        </w:tabs>
        <w:ind w:left="640" w:firstLine="640"/>
      </w:pPr>
      <w:r>
        <w:fldChar w:fldCharType="begin"/>
      </w:r>
      <w:r>
        <w:instrText xml:space="preserve"> HYPERLINK \l "_Toc11290" </w:instrText>
      </w:r>
      <w:r>
        <w:fldChar w:fldCharType="separate"/>
      </w:r>
      <w:r>
        <w:rPr>
          <w:rFonts w:hint="eastAsia"/>
        </w:rPr>
        <w:t>（二）项目过程情况</w:t>
      </w:r>
      <w:r>
        <w:tab/>
      </w:r>
      <w:r>
        <w:fldChar w:fldCharType="begin"/>
      </w:r>
      <w:r>
        <w:instrText xml:space="preserve"> PAGEREF _Toc11290 \h </w:instrText>
      </w:r>
      <w:r>
        <w:fldChar w:fldCharType="separate"/>
      </w:r>
      <w:r>
        <w:t>12</w:t>
      </w:r>
      <w:r>
        <w:fldChar w:fldCharType="end"/>
      </w:r>
      <w:r>
        <w:fldChar w:fldCharType="end"/>
      </w:r>
    </w:p>
    <w:p>
      <w:pPr>
        <w:tabs>
          <w:tab w:val="right" w:leader="dot" w:pos="8306"/>
        </w:tabs>
        <w:ind w:left="640" w:firstLine="640"/>
      </w:pPr>
      <w:r>
        <w:fldChar w:fldCharType="begin"/>
      </w:r>
      <w:r>
        <w:instrText xml:space="preserve"> HYPERLINK \l "_Toc32013" </w:instrText>
      </w:r>
      <w:r>
        <w:fldChar w:fldCharType="separate"/>
      </w:r>
      <w:r>
        <w:rPr>
          <w:rFonts w:hint="eastAsia"/>
        </w:rPr>
        <w:t>（三）项目产出情况</w:t>
      </w:r>
      <w:r>
        <w:tab/>
      </w:r>
      <w:r>
        <w:fldChar w:fldCharType="begin"/>
      </w:r>
      <w:r>
        <w:instrText xml:space="preserve"> PAGEREF _Toc32013 \h </w:instrText>
      </w:r>
      <w:r>
        <w:fldChar w:fldCharType="separate"/>
      </w:r>
      <w:r>
        <w:t>14</w:t>
      </w:r>
      <w:r>
        <w:fldChar w:fldCharType="end"/>
      </w:r>
      <w:r>
        <w:fldChar w:fldCharType="end"/>
      </w:r>
    </w:p>
    <w:p>
      <w:pPr>
        <w:tabs>
          <w:tab w:val="right" w:leader="dot" w:pos="8306"/>
        </w:tabs>
        <w:ind w:left="640" w:firstLine="640"/>
      </w:pPr>
      <w:r>
        <w:fldChar w:fldCharType="begin"/>
      </w:r>
      <w:r>
        <w:instrText xml:space="preserve"> HYPERLINK \l "_Toc28354" </w:instrText>
      </w:r>
      <w:r>
        <w:fldChar w:fldCharType="separate"/>
      </w:r>
      <w:r>
        <w:rPr>
          <w:rFonts w:hint="eastAsia"/>
        </w:rPr>
        <w:t>（四）项目效益情况</w:t>
      </w:r>
      <w:r>
        <w:tab/>
      </w:r>
      <w:r>
        <w:fldChar w:fldCharType="begin"/>
      </w:r>
      <w:r>
        <w:instrText xml:space="preserve"> PAGEREF _Toc28354 \h </w:instrText>
      </w:r>
      <w:r>
        <w:fldChar w:fldCharType="separate"/>
      </w:r>
      <w:r>
        <w:t>15</w:t>
      </w:r>
      <w:r>
        <w:fldChar w:fldCharType="end"/>
      </w:r>
      <w:r>
        <w:fldChar w:fldCharType="end"/>
      </w:r>
    </w:p>
    <w:p>
      <w:pPr>
        <w:tabs>
          <w:tab w:val="right" w:leader="dot" w:pos="8306"/>
        </w:tabs>
        <w:ind w:firstLine="640"/>
      </w:pPr>
      <w:r>
        <w:fldChar w:fldCharType="begin"/>
      </w:r>
      <w:r>
        <w:instrText xml:space="preserve"> HYPERLINK \l "_Toc27244" </w:instrText>
      </w:r>
      <w:r>
        <w:fldChar w:fldCharType="separate"/>
      </w:r>
      <w:r>
        <w:rPr>
          <w:rFonts w:hint="eastAsia"/>
        </w:rPr>
        <w:t>五、主要经验及做法、存在的问题及原因分析</w:t>
      </w:r>
      <w:r>
        <w:tab/>
      </w:r>
      <w:r>
        <w:fldChar w:fldCharType="begin"/>
      </w:r>
      <w:r>
        <w:instrText xml:space="preserve"> PAGEREF _Toc27244 \h </w:instrText>
      </w:r>
      <w:r>
        <w:fldChar w:fldCharType="separate"/>
      </w:r>
      <w:r>
        <w:t>15</w:t>
      </w:r>
      <w:r>
        <w:fldChar w:fldCharType="end"/>
      </w:r>
      <w:r>
        <w:fldChar w:fldCharType="end"/>
      </w:r>
    </w:p>
    <w:p>
      <w:pPr>
        <w:tabs>
          <w:tab w:val="right" w:leader="dot" w:pos="8306"/>
        </w:tabs>
        <w:ind w:left="640" w:firstLine="640"/>
      </w:pPr>
      <w:r>
        <w:fldChar w:fldCharType="begin"/>
      </w:r>
      <w:r>
        <w:instrText xml:space="preserve"> HYPERLINK \l "_Toc18880" </w:instrText>
      </w:r>
      <w:r>
        <w:fldChar w:fldCharType="separate"/>
      </w:r>
      <w:r>
        <w:rPr>
          <w:rFonts w:hint="eastAsia"/>
        </w:rPr>
        <w:t>（一）主要经验及做法</w:t>
      </w:r>
      <w:r>
        <w:tab/>
      </w:r>
      <w:r>
        <w:fldChar w:fldCharType="begin"/>
      </w:r>
      <w:r>
        <w:instrText xml:space="preserve"> PAGEREF _Toc18880 \h </w:instrText>
      </w:r>
      <w:r>
        <w:fldChar w:fldCharType="separate"/>
      </w:r>
      <w:r>
        <w:t>15</w:t>
      </w:r>
      <w:r>
        <w:fldChar w:fldCharType="end"/>
      </w:r>
      <w:r>
        <w:fldChar w:fldCharType="end"/>
      </w:r>
    </w:p>
    <w:p>
      <w:pPr>
        <w:tabs>
          <w:tab w:val="right" w:leader="dot" w:pos="8306"/>
        </w:tabs>
        <w:ind w:left="640" w:firstLine="640"/>
      </w:pPr>
      <w:r>
        <w:fldChar w:fldCharType="begin"/>
      </w:r>
      <w:r>
        <w:instrText xml:space="preserve"> HYPERLINK \l "_Toc9914" </w:instrText>
      </w:r>
      <w:r>
        <w:fldChar w:fldCharType="separate"/>
      </w:r>
      <w:r>
        <w:rPr>
          <w:rFonts w:hint="eastAsia"/>
        </w:rPr>
        <w:t>（二）存在问题及原因分析</w:t>
      </w:r>
      <w:r>
        <w:tab/>
      </w:r>
      <w:r>
        <w:fldChar w:fldCharType="begin"/>
      </w:r>
      <w:r>
        <w:instrText xml:space="preserve"> PAGEREF _Toc9914 \h </w:instrText>
      </w:r>
      <w:r>
        <w:fldChar w:fldCharType="separate"/>
      </w:r>
      <w:r>
        <w:t>16</w:t>
      </w:r>
      <w:r>
        <w:fldChar w:fldCharType="end"/>
      </w:r>
      <w:r>
        <w:fldChar w:fldCharType="end"/>
      </w:r>
    </w:p>
    <w:p>
      <w:pPr>
        <w:tabs>
          <w:tab w:val="right" w:leader="dot" w:pos="8306"/>
        </w:tabs>
        <w:ind w:firstLine="640"/>
      </w:pPr>
      <w:r>
        <w:fldChar w:fldCharType="begin"/>
      </w:r>
      <w:r>
        <w:instrText xml:space="preserve"> HYPERLINK \l "_Toc2334" </w:instrText>
      </w:r>
      <w:r>
        <w:fldChar w:fldCharType="separate"/>
      </w:r>
      <w:r>
        <w:rPr>
          <w:rFonts w:hint="eastAsia"/>
        </w:rPr>
        <w:t>六、有关建议</w:t>
      </w:r>
      <w:r>
        <w:tab/>
      </w:r>
      <w:r>
        <w:fldChar w:fldCharType="begin"/>
      </w:r>
      <w:r>
        <w:instrText xml:space="preserve"> PAGEREF _Toc2334 \h </w:instrText>
      </w:r>
      <w:r>
        <w:fldChar w:fldCharType="separate"/>
      </w:r>
      <w:r>
        <w:t>16</w:t>
      </w:r>
      <w:r>
        <w:fldChar w:fldCharType="end"/>
      </w:r>
      <w:r>
        <w:fldChar w:fldCharType="end"/>
      </w:r>
    </w:p>
    <w:p>
      <w:pPr>
        <w:tabs>
          <w:tab w:val="right" w:leader="dot" w:pos="8306"/>
        </w:tabs>
        <w:ind w:firstLine="640"/>
      </w:pPr>
      <w:r>
        <w:fldChar w:fldCharType="begin"/>
      </w:r>
      <w:r>
        <w:instrText xml:space="preserve"> HYPERLINK \l "_Toc30571" </w:instrText>
      </w:r>
      <w:r>
        <w:fldChar w:fldCharType="separate"/>
      </w:r>
      <w:r>
        <w:rPr>
          <w:rFonts w:hint="eastAsia"/>
        </w:rPr>
        <w:t>七、其他需要说明的问题</w:t>
      </w:r>
      <w:r>
        <w:tab/>
      </w:r>
      <w:r>
        <w:fldChar w:fldCharType="begin"/>
      </w:r>
      <w:r>
        <w:instrText xml:space="preserve"> PAGEREF _Toc30571 \h </w:instrText>
      </w:r>
      <w:r>
        <w:fldChar w:fldCharType="separate"/>
      </w:r>
      <w:r>
        <w:t>16</w:t>
      </w:r>
      <w:r>
        <w:fldChar w:fldCharType="end"/>
      </w:r>
      <w:r>
        <w:fldChar w:fldCharType="end"/>
      </w:r>
    </w:p>
    <w:p>
      <w:pPr>
        <w:tabs>
          <w:tab w:val="right" w:leader="dot" w:pos="8306"/>
        </w:tabs>
        <w:ind w:firstLine="640"/>
      </w:pPr>
      <w:r>
        <w:fldChar w:fldCharType="begin"/>
      </w:r>
      <w:r>
        <w:instrText xml:space="preserve"> HYPERLINK \l "_Toc10180" </w:instrText>
      </w:r>
      <w:r>
        <w:fldChar w:fldCharType="separate"/>
      </w:r>
      <w:r>
        <w:rPr>
          <w:rFonts w:hint="eastAsia"/>
        </w:rPr>
        <w:t>八、相关附件</w:t>
      </w:r>
      <w:r>
        <w:tab/>
      </w:r>
      <w:r>
        <w:fldChar w:fldCharType="begin"/>
      </w:r>
      <w:r>
        <w:instrText xml:space="preserve"> PAGEREF _Toc10180 \h </w:instrText>
      </w:r>
      <w:r>
        <w:fldChar w:fldCharType="separate"/>
      </w:r>
      <w:r>
        <w:t>16</w:t>
      </w:r>
      <w:r>
        <w:fldChar w:fldCharType="end"/>
      </w:r>
      <w:r>
        <w:fldChar w:fldCharType="end"/>
      </w:r>
    </w:p>
    <w:p>
      <w:pPr>
        <w:pStyle w:val="5"/>
        <w:bidi w:val="0"/>
        <w:rPr>
          <w:rFonts w:eastAsia="黑体"/>
          <w:bCs/>
          <w:color w:val="000000"/>
          <w:szCs w:val="44"/>
        </w:rPr>
        <w:sectPr>
          <w:pgSz w:w="11906" w:h="16838"/>
          <w:pgMar w:top="1440" w:right="1800" w:bottom="1440" w:left="1800" w:header="851" w:footer="992" w:gutter="0"/>
          <w:pgNumType w:start="1"/>
          <w:cols w:space="425" w:num="1"/>
          <w:docGrid w:type="lines" w:linePitch="312" w:charSpace="0"/>
        </w:sectPr>
      </w:pPr>
    </w:p>
    <w:p>
      <w:pPr>
        <w:pStyle w:val="5"/>
        <w:bidi w:val="0"/>
      </w:pPr>
      <w:r>
        <w:rPr>
          <w:rFonts w:eastAsia="黑体"/>
          <w:bCs/>
          <w:color w:val="000000"/>
          <w:szCs w:val="44"/>
        </w:rPr>
        <w:fldChar w:fldCharType="end"/>
      </w:r>
      <w:bookmarkStart w:id="0" w:name="_Toc25620"/>
      <w:r>
        <w:t>一、基本情况</w:t>
      </w:r>
      <w:bookmarkEnd w:id="0"/>
    </w:p>
    <w:p>
      <w:pPr>
        <w:pStyle w:val="6"/>
        <w:bidi w:val="0"/>
      </w:pPr>
      <w:bookmarkStart w:id="1" w:name="_Toc8971"/>
      <w:r>
        <w:t>（一）项目概况</w:t>
      </w:r>
      <w:bookmarkEnd w:id="1"/>
    </w:p>
    <w:p>
      <w:pPr>
        <w:bidi w:val="0"/>
        <w:rPr>
          <w:b/>
          <w:bCs/>
        </w:rPr>
      </w:pPr>
      <w:r>
        <w:rPr>
          <w:b/>
          <w:bCs/>
        </w:rPr>
        <w:t>1、项目背景</w:t>
      </w:r>
    </w:p>
    <w:p>
      <w:pPr>
        <w:bidi w:val="0"/>
        <w:rPr>
          <w:rFonts w:hint="eastAsia"/>
          <w:sz w:val="31"/>
          <w:szCs w:val="31"/>
          <w:lang w:val="en-US" w:eastAsia="zh-CN"/>
        </w:rPr>
      </w:pPr>
      <w:r>
        <w:rPr>
          <w:rFonts w:hint="eastAsia"/>
          <w:sz w:val="31"/>
          <w:szCs w:val="31"/>
          <w:lang w:val="en-US" w:eastAsia="zh-CN"/>
        </w:rPr>
        <w:t>农村公路管养是促进农村公路可持续发展的基础性工作，也是促进社会经济全面发展和建设社会主义新农村的一个重要环节。为全面提升尉犁县农村公路管理养护水平提高农村公路路况质量和路网服务功能，实现“通、平、美、绿、安”的农村公路管理养护目标，服务全县农村经济社会发展。根据《农村公路管理养护实施办法》及年初签订的《尉犁县农村公路养护管理责任书》，2023年度，我局积极贯彻落实县委、县人民政府及上级交通部门有关农村公路管理养护指示精神，采取有效措施，统一领导、分级责任，把农村公路管理养护工作放到农村工作重要位置来抓，完成我县2023年度农村公路养护管理工作。</w:t>
      </w:r>
    </w:p>
    <w:p>
      <w:pPr>
        <w:bidi w:val="0"/>
        <w:rPr>
          <w:rFonts w:hint="eastAsia"/>
          <w:sz w:val="31"/>
          <w:szCs w:val="31"/>
          <w:lang w:val="en-US" w:eastAsia="zh-CN"/>
        </w:rPr>
      </w:pPr>
      <w:r>
        <w:rPr>
          <w:rFonts w:hint="eastAsia"/>
          <w:sz w:val="31"/>
          <w:szCs w:val="31"/>
          <w:lang w:val="en-US" w:eastAsia="zh-CN"/>
        </w:rPr>
        <w:t>以尉犁县交通运输局的职能配置为背景，结合县域实际情况，按照关于提前下达2023年成品油税费改革转移支付资金预算用于农村公路日常养护的通知，巴建财</w:t>
      </w:r>
      <w:r>
        <w:rPr>
          <w:rFonts w:hint="eastAsia" w:ascii="仿宋_GB2312" w:hAnsi="仿宋_GB2312" w:eastAsia="仿宋_GB2312" w:cs="仿宋_GB2312"/>
          <w:sz w:val="31"/>
          <w:szCs w:val="31"/>
          <w:lang w:val="en-US" w:eastAsia="zh-CN"/>
        </w:rPr>
        <w:t>〔</w:t>
      </w:r>
      <w:r>
        <w:rPr>
          <w:rFonts w:hint="eastAsia"/>
          <w:sz w:val="31"/>
          <w:szCs w:val="31"/>
          <w:lang w:val="en-US" w:eastAsia="zh-CN"/>
        </w:rPr>
        <w:t>2022</w:t>
      </w:r>
      <w:r>
        <w:rPr>
          <w:rFonts w:hint="eastAsia" w:ascii="仿宋_GB2312" w:hAnsi="仿宋_GB2312" w:eastAsia="仿宋_GB2312" w:cs="仿宋_GB2312"/>
          <w:sz w:val="31"/>
          <w:szCs w:val="31"/>
          <w:lang w:val="en-US" w:eastAsia="zh-CN"/>
        </w:rPr>
        <w:t>〕</w:t>
      </w:r>
      <w:r>
        <w:rPr>
          <w:rFonts w:hint="eastAsia"/>
          <w:sz w:val="31"/>
          <w:szCs w:val="31"/>
          <w:lang w:val="en-US" w:eastAsia="zh-CN"/>
        </w:rPr>
        <w:t>125号文件要求，安排2023年成品油税费改革用于农村公路日常养护资金，开展全县日常养相关工作。</w:t>
      </w:r>
    </w:p>
    <w:p>
      <w:pPr>
        <w:bidi w:val="0"/>
        <w:rPr>
          <w:b/>
          <w:bCs/>
        </w:rPr>
      </w:pPr>
      <w:r>
        <w:rPr>
          <w:b/>
          <w:bCs/>
        </w:rPr>
        <w:t>2、项目主要内容</w:t>
      </w:r>
    </w:p>
    <w:p>
      <w:pPr>
        <w:bidi w:val="0"/>
        <w:rPr>
          <w:rFonts w:hint="eastAsia"/>
          <w:sz w:val="31"/>
          <w:szCs w:val="31"/>
          <w:lang w:val="en-US" w:eastAsia="zh-CN"/>
        </w:rPr>
      </w:pPr>
      <w:r>
        <w:rPr>
          <w:rFonts w:hint="eastAsia"/>
          <w:sz w:val="31"/>
          <w:szCs w:val="31"/>
          <w:lang w:val="en-US" w:eastAsia="zh-CN"/>
        </w:rPr>
        <w:t>该项目资金主要用于我县农村公路修补坑槽、清淤涵洞，培路肩、刷边坡，安装减速带、标志标牌，施画标线。</w:t>
      </w:r>
    </w:p>
    <w:p>
      <w:pPr>
        <w:bidi w:val="0"/>
        <w:rPr>
          <w:b/>
          <w:bCs/>
        </w:rPr>
      </w:pPr>
      <w:r>
        <w:rPr>
          <w:rFonts w:hint="eastAsia"/>
          <w:b/>
          <w:bCs/>
        </w:rPr>
        <w:t>3、</w:t>
      </w:r>
      <w:r>
        <w:rPr>
          <w:b/>
          <w:bCs/>
        </w:rPr>
        <w:t>项目实施情况</w:t>
      </w:r>
    </w:p>
    <w:p>
      <w:pPr>
        <w:numPr>
          <w:ilvl w:val="0"/>
          <w:numId w:val="0"/>
        </w:numPr>
        <w:ind w:firstLine="620" w:firstLineChars="200"/>
        <w:jc w:val="left"/>
        <w:rPr>
          <w:rFonts w:hint="default" w:eastAsia="仿宋_GB2312"/>
          <w:color w:val="FF0000"/>
          <w:lang w:val="en-US" w:eastAsia="zh-CN"/>
        </w:rPr>
      </w:pPr>
      <w:r>
        <w:rPr>
          <w:rFonts w:hint="eastAsia"/>
          <w:sz w:val="31"/>
          <w:szCs w:val="31"/>
          <w:lang w:val="en-US" w:eastAsia="zh-CN"/>
        </w:rPr>
        <w:t>该项目资金于2023年2月1日，经尉犁县财政局批复同意。项目实施情况如下：为了保障总体目标的完成，本项目于2023年5月开工，6月完工，6月30日完成养护县道里程183公里，养护乡道里程184公里，养护村道里程933公里。</w:t>
      </w:r>
    </w:p>
    <w:p>
      <w:pPr>
        <w:bidi w:val="0"/>
        <w:rPr>
          <w:b/>
          <w:bCs/>
        </w:rPr>
      </w:pPr>
      <w:r>
        <w:rPr>
          <w:rFonts w:hint="eastAsia"/>
          <w:b/>
          <w:bCs/>
        </w:rPr>
        <w:t>4、资金投入情况</w:t>
      </w:r>
    </w:p>
    <w:p>
      <w:pPr>
        <w:bidi w:val="0"/>
        <w:rPr>
          <w:rFonts w:hint="eastAsia"/>
          <w:sz w:val="31"/>
          <w:szCs w:val="31"/>
          <w:lang w:val="en-US" w:eastAsia="zh-CN"/>
        </w:rPr>
      </w:pPr>
      <w:r>
        <w:rPr>
          <w:rFonts w:hint="eastAsia"/>
          <w:sz w:val="31"/>
          <w:szCs w:val="31"/>
          <w:lang w:val="en-US" w:eastAsia="zh-CN"/>
        </w:rPr>
        <w:t>根据关于提前下达2023年成品油税费改革转移支付资金预算用于农村公路日常养护的通知，巴建财</w:t>
      </w:r>
      <w:r>
        <w:rPr>
          <w:rFonts w:hint="eastAsia" w:ascii="仿宋_GB2312" w:hAnsi="仿宋_GB2312" w:eastAsia="仿宋_GB2312" w:cs="仿宋_GB2312"/>
          <w:sz w:val="31"/>
          <w:szCs w:val="31"/>
          <w:lang w:val="en-US" w:eastAsia="zh-CN"/>
        </w:rPr>
        <w:t>〔</w:t>
      </w:r>
      <w:r>
        <w:rPr>
          <w:rFonts w:hint="eastAsia"/>
          <w:sz w:val="31"/>
          <w:szCs w:val="31"/>
          <w:lang w:val="en-US" w:eastAsia="zh-CN"/>
        </w:rPr>
        <w:t>2022</w:t>
      </w:r>
      <w:r>
        <w:rPr>
          <w:rFonts w:hint="eastAsia" w:ascii="仿宋_GB2312" w:hAnsi="仿宋_GB2312" w:eastAsia="仿宋_GB2312" w:cs="仿宋_GB2312"/>
          <w:sz w:val="31"/>
          <w:szCs w:val="31"/>
          <w:lang w:val="en-US" w:eastAsia="zh-CN"/>
        </w:rPr>
        <w:t>〕</w:t>
      </w:r>
      <w:r>
        <w:rPr>
          <w:rFonts w:hint="eastAsia"/>
          <w:sz w:val="31"/>
          <w:szCs w:val="31"/>
          <w:lang w:val="en-US" w:eastAsia="zh-CN"/>
        </w:rPr>
        <w:t>125号文，下达资金107万元。</w:t>
      </w:r>
    </w:p>
    <w:p>
      <w:pPr>
        <w:bidi w:val="0"/>
        <w:rPr>
          <w:b/>
          <w:bCs/>
        </w:rPr>
      </w:pPr>
      <w:r>
        <w:rPr>
          <w:rFonts w:hint="eastAsia"/>
          <w:b/>
          <w:bCs/>
        </w:rPr>
        <w:t>5、资金使用情况</w:t>
      </w:r>
    </w:p>
    <w:p>
      <w:pPr>
        <w:bidi w:val="0"/>
        <w:rPr>
          <w:rFonts w:hint="eastAsia"/>
          <w:sz w:val="31"/>
          <w:szCs w:val="31"/>
          <w:lang w:val="en-US" w:eastAsia="zh-CN"/>
        </w:rPr>
      </w:pPr>
      <w:r>
        <w:rPr>
          <w:rFonts w:hint="eastAsia"/>
          <w:sz w:val="31"/>
          <w:szCs w:val="31"/>
          <w:lang w:val="en-US" w:eastAsia="zh-CN"/>
        </w:rPr>
        <w:t>本项目年初预算数107万元，实际到位资金107万元。截至2023年12月31日，项目实际使用资金107万元，资金使用率达到了100%。资金支付情况如下：</w:t>
      </w:r>
    </w:p>
    <w:p>
      <w:pPr>
        <w:bidi w:val="0"/>
        <w:rPr>
          <w:color w:val="FF0000"/>
        </w:rPr>
      </w:pPr>
      <w:r>
        <w:rPr>
          <w:rFonts w:hint="eastAsia"/>
          <w:sz w:val="31"/>
          <w:szCs w:val="31"/>
          <w:lang w:val="en-US" w:eastAsia="zh-CN"/>
        </w:rPr>
        <w:t>2023年8月15日支付107万元；</w:t>
      </w:r>
    </w:p>
    <w:p>
      <w:pPr>
        <w:pStyle w:val="6"/>
        <w:bidi w:val="0"/>
      </w:pPr>
      <w:bookmarkStart w:id="2" w:name="_Toc25187"/>
      <w:r>
        <w:t>（二）项目绩效目标</w:t>
      </w:r>
      <w:bookmarkEnd w:id="2"/>
    </w:p>
    <w:p>
      <w:pPr>
        <w:bidi w:val="0"/>
        <w:rPr>
          <w:b/>
          <w:bCs/>
        </w:rPr>
      </w:pPr>
      <w:r>
        <w:rPr>
          <w:rFonts w:hint="eastAsia"/>
          <w:b/>
          <w:bCs/>
        </w:rPr>
        <w:t>1、总体目标</w:t>
      </w:r>
    </w:p>
    <w:p>
      <w:pPr>
        <w:bidi w:val="0"/>
        <w:rPr>
          <w:rFonts w:hint="eastAsia"/>
          <w:sz w:val="31"/>
          <w:szCs w:val="31"/>
          <w:lang w:val="en-US" w:eastAsia="zh-CN"/>
        </w:rPr>
      </w:pPr>
      <w:r>
        <w:rPr>
          <w:rFonts w:hint="eastAsia"/>
          <w:sz w:val="31"/>
          <w:szCs w:val="31"/>
          <w:lang w:val="en-US" w:eastAsia="zh-CN"/>
        </w:rPr>
        <w:t>加强专项资金管理，提高资金使用效率，有效促进项目完成。以全县农村公路养护管理检查为契机，以全面整治农村公路环境为抓手，以加强农村公路养护和管理为重点，全面推进公路建设、养护、管理、征收、服务等各项工作，进一步确立养护主业地位，以改革创新为动力、加强领导、加大投入、精心组织、狠抓落实、突出重点、全面提高，推动公路服务品质和服务水平的提升。</w:t>
      </w:r>
    </w:p>
    <w:p>
      <w:pPr>
        <w:bidi w:val="0"/>
        <w:rPr>
          <w:b/>
          <w:bCs/>
        </w:rPr>
      </w:pPr>
      <w:r>
        <w:rPr>
          <w:rFonts w:hint="eastAsia"/>
          <w:b/>
          <w:bCs/>
        </w:rPr>
        <w:t>2、阶段性目标</w:t>
      </w:r>
    </w:p>
    <w:p>
      <w:pPr>
        <w:numPr>
          <w:ilvl w:val="0"/>
          <w:numId w:val="0"/>
        </w:numPr>
        <w:ind w:firstLine="620" w:firstLineChars="200"/>
        <w:jc w:val="left"/>
        <w:rPr>
          <w:rFonts w:hint="default"/>
          <w:sz w:val="31"/>
          <w:szCs w:val="31"/>
          <w:lang w:val="en-US" w:eastAsia="zh-CN"/>
        </w:rPr>
      </w:pPr>
      <w:bookmarkStart w:id="3" w:name="_Toc28824"/>
      <w:r>
        <w:rPr>
          <w:rFonts w:hint="eastAsia"/>
          <w:sz w:val="31"/>
          <w:szCs w:val="31"/>
          <w:lang w:val="en-US" w:eastAsia="zh-CN"/>
        </w:rPr>
        <w:t>为了保障总体目标的完成，该项目2023年5月开工，6月10日完成养护县道里程140公里，养护乡道里程140公里，养护村道里程700公里。6月30日完成养护县道里程43公里，养护乡道里程44公里，养护村道里程233公里。</w:t>
      </w:r>
    </w:p>
    <w:p>
      <w:pPr>
        <w:pStyle w:val="5"/>
        <w:bidi w:val="0"/>
      </w:pPr>
      <w:r>
        <w:rPr>
          <w:rFonts w:hint="eastAsia"/>
        </w:rPr>
        <w:t>二、绩效评价工作开展情况</w:t>
      </w:r>
      <w:bookmarkEnd w:id="3"/>
    </w:p>
    <w:p>
      <w:pPr>
        <w:pStyle w:val="6"/>
        <w:bidi w:val="0"/>
      </w:pPr>
      <w:bookmarkStart w:id="4" w:name="_Toc24175"/>
      <w:r>
        <w:rPr>
          <w:rFonts w:hint="eastAsia"/>
        </w:rPr>
        <w:t>（一）绩效评价目的、对象和范围</w:t>
      </w:r>
      <w:bookmarkEnd w:id="4"/>
    </w:p>
    <w:p>
      <w:pPr>
        <w:bidi w:val="0"/>
        <w:rPr>
          <w:b/>
          <w:bCs/>
        </w:rPr>
      </w:pPr>
      <w:r>
        <w:rPr>
          <w:b/>
          <w:bCs/>
        </w:rPr>
        <w:t>1</w:t>
      </w:r>
      <w:r>
        <w:rPr>
          <w:rFonts w:hint="eastAsia"/>
          <w:b/>
          <w:bCs/>
        </w:rPr>
        <w:t>、</w:t>
      </w:r>
      <w:r>
        <w:rPr>
          <w:b/>
          <w:bCs/>
        </w:rPr>
        <w:t>绩效评价的目的</w:t>
      </w:r>
    </w:p>
    <w:p>
      <w:pPr>
        <w:bidi w:val="0"/>
      </w:pPr>
      <w:r>
        <w:t>本次绩效评价遵循财政部《关于印发&lt;项目支出绩效评价管理办法&gt;的通知》（财预〔2020〕10号）文件精神，对</w:t>
      </w:r>
      <w:r>
        <w:rPr>
          <w:rFonts w:hint="eastAsia"/>
          <w:lang w:eastAsia="zh-CN"/>
        </w:rPr>
        <w:t>2023年成品油税费改革用于农村公路日常养护资金</w:t>
      </w:r>
      <w: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b/>
          <w:bCs/>
        </w:rPr>
      </w:pPr>
      <w:r>
        <w:rPr>
          <w:b/>
          <w:bCs/>
        </w:rPr>
        <w:t>2</w:t>
      </w:r>
      <w:r>
        <w:rPr>
          <w:rFonts w:hint="eastAsia"/>
          <w:b/>
          <w:bCs/>
        </w:rPr>
        <w:t>、</w:t>
      </w:r>
      <w:r>
        <w:rPr>
          <w:b/>
          <w:bCs/>
        </w:rPr>
        <w:t>绩效评价的对象和范围</w:t>
      </w:r>
    </w:p>
    <w:p>
      <w:pPr>
        <w:bidi w:val="0"/>
      </w:pPr>
      <w:r>
        <w:t>根据《财政支出绩效评价管理办法》（财预〔2020〕10号）文件要求，对</w:t>
      </w:r>
      <w:r>
        <w:rPr>
          <w:rFonts w:hint="eastAsia"/>
          <w:lang w:eastAsia="zh-CN"/>
        </w:rPr>
        <w:t>2023年成品油税费改革用于农村公路日常养护资金</w:t>
      </w:r>
      <w:r>
        <w:t>开展绩效评价，本次绩效评价范围主要围绕项目决策（包括项目</w:t>
      </w:r>
      <w:r>
        <w:rPr>
          <w:rFonts w:hint="eastAsia"/>
        </w:rPr>
        <w:t>实施</w:t>
      </w:r>
      <w:r>
        <w:t>、绩效目标、资金投入）、项目过程（包括资金管理、组织实施）、项目产出（包括产出数量、质量、时效）和项目效益等进行评价。</w:t>
      </w:r>
    </w:p>
    <w:p>
      <w:pPr>
        <w:pStyle w:val="6"/>
        <w:bidi w:val="0"/>
      </w:pPr>
      <w:bookmarkStart w:id="5" w:name="_Toc5109"/>
      <w:r>
        <w:rPr>
          <w:rFonts w:hint="eastAsia"/>
        </w:rPr>
        <w:t>（二）绩效评价原则、评价指标体系、评价方法、评价标准</w:t>
      </w:r>
      <w:bookmarkEnd w:id="5"/>
    </w:p>
    <w:p>
      <w:pPr>
        <w:bidi w:val="0"/>
        <w:rPr>
          <w:b/>
          <w:bCs/>
        </w:rPr>
      </w:pPr>
      <w:r>
        <w:rPr>
          <w:b/>
          <w:bCs/>
        </w:rPr>
        <w:t>1、绩效评价原则</w:t>
      </w:r>
    </w:p>
    <w:p>
      <w:pPr>
        <w:bidi w:val="0"/>
      </w:pPr>
      <w:r>
        <w:t>（1）科学公正。绩效评价应当运用科学合理的方法，按照规范的程序，对项目绩效进行客观、公正</w:t>
      </w:r>
      <w:r>
        <w:rPr>
          <w:rFonts w:hint="eastAsia"/>
          <w:lang w:eastAsia="zh-CN"/>
        </w:rPr>
        <w:t>地</w:t>
      </w:r>
      <w:r>
        <w:t>反映。</w:t>
      </w:r>
    </w:p>
    <w:p>
      <w:pPr>
        <w:bidi w:val="0"/>
      </w:pPr>
      <w:r>
        <w:t>（2）统筹兼顾。单位自评应由项目单位自主实施，即</w:t>
      </w:r>
      <w:r>
        <w:rPr>
          <w:rFonts w:hint="eastAsia"/>
        </w:rPr>
        <w:t>“</w:t>
      </w:r>
      <w:r>
        <w:t>谁支出、谁自评</w:t>
      </w:r>
      <w:r>
        <w:rPr>
          <w:rFonts w:hint="eastAsia"/>
        </w:rPr>
        <w:t>”</w:t>
      </w:r>
      <w:r>
        <w:t>。</w:t>
      </w:r>
    </w:p>
    <w:p>
      <w:pPr>
        <w:bidi w:val="0"/>
      </w:pPr>
      <w:r>
        <w:t>（3）激励约束。绩效评价结果应与预算安排、政策调整、改进管理实质性挂钩，体现奖优罚劣和激励相容导向，有效要安排、低效要压减、无效要问责。</w:t>
      </w:r>
    </w:p>
    <w:p>
      <w:pPr>
        <w:bidi w:val="0"/>
        <w:rPr>
          <w:color w:val="auto"/>
        </w:rPr>
      </w:pPr>
      <w:r>
        <w:rPr>
          <w:color w:val="auto"/>
        </w:rPr>
        <w:t>（4）公开透明。</w:t>
      </w:r>
      <w:bookmarkStart w:id="6" w:name="_Toc23112"/>
      <w:bookmarkStart w:id="7" w:name="_Toc30993"/>
      <w:r>
        <w:rPr>
          <w:rFonts w:hint="eastAsia"/>
          <w:color w:val="auto"/>
        </w:rPr>
        <w:t>本次项目支出绩效评价结果已依法依规在</w:t>
      </w:r>
      <w:r>
        <w:rPr>
          <w:rFonts w:hint="eastAsia"/>
          <w:color w:val="auto"/>
          <w:lang w:eastAsia="zh-CN"/>
        </w:rPr>
        <w:t>尉犁县</w:t>
      </w:r>
      <w:r>
        <w:rPr>
          <w:rFonts w:hint="eastAsia"/>
          <w:color w:val="auto"/>
        </w:rPr>
        <w:t>人民政府网站上公开，并自觉接受社会监督。</w:t>
      </w:r>
    </w:p>
    <w:p>
      <w:pPr>
        <w:bidi w:val="0"/>
        <w:rPr>
          <w:b/>
          <w:bCs/>
        </w:rPr>
      </w:pPr>
      <w:r>
        <w:rPr>
          <w:b/>
          <w:bCs/>
        </w:rPr>
        <w:t>2</w:t>
      </w:r>
      <w:r>
        <w:rPr>
          <w:rFonts w:hint="eastAsia"/>
          <w:b/>
          <w:bCs/>
        </w:rPr>
        <w:t>、</w:t>
      </w:r>
      <w:r>
        <w:rPr>
          <w:b/>
          <w:bCs/>
        </w:rPr>
        <w:t>评价指标体系</w:t>
      </w:r>
      <w:bookmarkEnd w:id="6"/>
      <w:bookmarkEnd w:id="7"/>
    </w:p>
    <w:p>
      <w:pPr>
        <w:bidi w:val="0"/>
      </w:pPr>
      <w:r>
        <w:rPr>
          <w:rFonts w:hint="eastAsia"/>
          <w:lang w:eastAsia="zh-CN"/>
        </w:rPr>
        <w:t>2023年成品油税费改革用于农村公路日常养护资金</w:t>
      </w:r>
      <w:r>
        <w:t>绩效评价（部门自评）指标体系的设计，是在充分掌握项目状况的基础上，形成了</w:t>
      </w:r>
      <w:r>
        <w:rPr>
          <w:rFonts w:hint="eastAsia"/>
          <w:lang w:eastAsia="zh-CN"/>
        </w:rPr>
        <w:t>2023年成品油税费改革用于农村公路日常养护资金</w:t>
      </w:r>
      <w:r>
        <w:t>的项目支出绩效评价指标体系（部门自评）。本项目设计绩效评价指标体系满分100分。四个级别分别是：优、良、中、差，90（含）-100分为优、80（含）-90分为良、60（含）-80分为中、60分以下为差。</w:t>
      </w:r>
    </w:p>
    <w:p>
      <w:pPr>
        <w:bidi w:val="0"/>
      </w:pPr>
      <w:r>
        <w:t>按照财预〔2020〕10号文件关于</w:t>
      </w:r>
      <w:r>
        <w:rPr>
          <w:rFonts w:hint="eastAsia"/>
        </w:rPr>
        <w:t>“</w:t>
      </w:r>
      <w:r>
        <w:t>原则上产出、效益指标权重不低于60%</w:t>
      </w:r>
      <w:r>
        <w:rPr>
          <w:rFonts w:hint="eastAsia"/>
        </w:rPr>
        <w:t>”</w:t>
      </w:r>
      <w:r>
        <w:t>的要求，本项目产出、效益指标权重60%（即60分）。具体如下：</w:t>
      </w:r>
      <w:bookmarkStart w:id="8" w:name="_Toc15680"/>
      <w:bookmarkStart w:id="9" w:name="_Toc4156"/>
    </w:p>
    <w:tbl>
      <w:tblPr>
        <w:tblStyle w:val="12"/>
        <w:tblpPr w:leftFromText="180" w:rightFromText="180" w:vertAnchor="text" w:horzAnchor="page" w:tblpXSpec="center" w:tblpY="180"/>
        <w:tblOverlap w:val="never"/>
        <w:tblW w:w="4998" w:type="pct"/>
        <w:jc w:val="center"/>
        <w:tblLayout w:type="autofit"/>
        <w:tblCellMar>
          <w:top w:w="0" w:type="dxa"/>
          <w:left w:w="108" w:type="dxa"/>
          <w:bottom w:w="0" w:type="dxa"/>
          <w:right w:w="108" w:type="dxa"/>
        </w:tblCellMar>
      </w:tblPr>
      <w:tblGrid>
        <w:gridCol w:w="602"/>
        <w:gridCol w:w="608"/>
        <w:gridCol w:w="922"/>
        <w:gridCol w:w="2088"/>
        <w:gridCol w:w="3674"/>
        <w:gridCol w:w="625"/>
      </w:tblGrid>
      <w:tr>
        <w:tblPrEx>
          <w:tblCellMar>
            <w:top w:w="0" w:type="dxa"/>
            <w:left w:w="108" w:type="dxa"/>
            <w:bottom w:w="0" w:type="dxa"/>
            <w:right w:w="108" w:type="dxa"/>
          </w:tblCellMar>
        </w:tblPrEx>
        <w:trPr>
          <w:trHeight w:val="460" w:hRule="atLeast"/>
          <w:jc w:val="center"/>
        </w:trPr>
        <w:tc>
          <w:tcPr>
            <w:tcW w:w="353"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一级指标</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二级指标</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三级指标</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指标解释</w:t>
            </w:r>
          </w:p>
        </w:tc>
        <w:tc>
          <w:tcPr>
            <w:tcW w:w="2153"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指标说明</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分值</w:t>
            </w:r>
          </w:p>
        </w:tc>
      </w:tr>
      <w:tr>
        <w:tblPrEx>
          <w:tblCellMar>
            <w:top w:w="0" w:type="dxa"/>
            <w:left w:w="108" w:type="dxa"/>
            <w:bottom w:w="0" w:type="dxa"/>
            <w:right w:w="108" w:type="dxa"/>
          </w:tblCellMar>
        </w:tblPrEx>
        <w:trPr>
          <w:trHeight w:val="277"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决策</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rPr>
              <w:t>项目</w:t>
            </w:r>
            <w:r>
              <w:rPr>
                <w:rFonts w:hint="eastAsia"/>
                <w:lang w:val="en-US" w:eastAsia="zh-CN"/>
              </w:rPr>
              <w:t>实施</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eastAsia"/>
                <w:lang w:val="en-US" w:eastAsia="zh-CN"/>
              </w:rPr>
              <w:t>实施</w:t>
            </w:r>
            <w:r>
              <w:rPr>
                <w:rFonts w:hint="default" w:ascii="Times New Roman" w:hAnsi="Times New Roman" w:eastAsia="仿宋_GB2312" w:cs="Times New Roman"/>
                <w:color w:val="auto"/>
                <w:sz w:val="18"/>
                <w:szCs w:val="18"/>
                <w:highlight w:val="none"/>
              </w:rPr>
              <w:t>依据充分性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w:t>
            </w:r>
            <w:r>
              <w:rPr>
                <w:rFonts w:hint="eastAsia"/>
                <w:lang w:val="en-US" w:eastAsia="zh-CN"/>
              </w:rPr>
              <w:t>实施</w:t>
            </w:r>
            <w:r>
              <w:rPr>
                <w:rFonts w:hint="default" w:ascii="Times New Roman" w:hAnsi="Times New Roman" w:eastAsia="仿宋_GB2312" w:cs="Times New Roman"/>
                <w:color w:val="auto"/>
                <w:sz w:val="18"/>
                <w:szCs w:val="18"/>
                <w:highlight w:val="none"/>
              </w:rPr>
              <w:t>是否符合法律法规、相关政策、发展规划以及部门职责，用以反映和考核项目</w:t>
            </w:r>
            <w:r>
              <w:rPr>
                <w:rFonts w:hint="eastAsia"/>
                <w:lang w:val="en-US" w:eastAsia="zh-CN"/>
              </w:rPr>
              <w:t>实施</w:t>
            </w:r>
            <w:r>
              <w:rPr>
                <w:rFonts w:hint="default" w:ascii="Times New Roman" w:hAnsi="Times New Roman" w:eastAsia="仿宋_GB2312" w:cs="Times New Roman"/>
                <w:color w:val="auto"/>
                <w:sz w:val="18"/>
                <w:szCs w:val="18"/>
                <w:highlight w:val="none"/>
              </w:rPr>
              <w:t>依据情况。</w:t>
            </w:r>
          </w:p>
        </w:tc>
        <w:tc>
          <w:tcPr>
            <w:tcW w:w="2153" w:type="pct"/>
            <w:tcBorders>
              <w:top w:val="nil"/>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w:t>
            </w:r>
            <w:r>
              <w:rPr>
                <w:rFonts w:hint="eastAsia"/>
                <w:lang w:val="en-US" w:eastAsia="zh-CN"/>
              </w:rPr>
              <w:t>实施</w:t>
            </w:r>
            <w:r>
              <w:rPr>
                <w:rFonts w:hint="default" w:ascii="Times New Roman" w:hAnsi="Times New Roman" w:eastAsia="仿宋_GB2312" w:cs="Times New Roman"/>
                <w:color w:val="auto"/>
                <w:sz w:val="18"/>
                <w:szCs w:val="18"/>
                <w:highlight w:val="none"/>
              </w:rPr>
              <w:t>是否符合国家法律法规、国民经济发展规划和相关政策；</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w:t>
            </w:r>
            <w:r>
              <w:rPr>
                <w:rFonts w:hint="eastAsia"/>
                <w:lang w:val="en-US" w:eastAsia="zh-CN"/>
              </w:rPr>
              <w:t>实施</w:t>
            </w:r>
            <w:r>
              <w:rPr>
                <w:rFonts w:hint="default" w:ascii="Times New Roman" w:hAnsi="Times New Roman" w:eastAsia="仿宋_GB2312" w:cs="Times New Roman"/>
                <w:color w:val="auto"/>
                <w:sz w:val="18"/>
                <w:szCs w:val="18"/>
                <w:highlight w:val="none"/>
              </w:rPr>
              <w:t>是否符合行业发展规划和政策要求；</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w:t>
            </w:r>
            <w:r>
              <w:rPr>
                <w:rFonts w:hint="eastAsia"/>
                <w:lang w:val="en-US" w:eastAsia="zh-CN"/>
              </w:rPr>
              <w:t>实施</w:t>
            </w:r>
            <w:r>
              <w:rPr>
                <w:rFonts w:hint="default" w:ascii="Times New Roman" w:hAnsi="Times New Roman" w:eastAsia="仿宋_GB2312" w:cs="Times New Roman"/>
                <w:color w:val="auto"/>
                <w:sz w:val="18"/>
                <w:szCs w:val="18"/>
                <w:highlight w:val="none"/>
              </w:rPr>
              <w:t>是否与部门职责范围相符，属于部门履职所需；</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⑤项目是否与相关部门同类项目或部门内部相关项目重复。</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eastAsia"/>
                <w:lang w:val="en-US" w:eastAsia="zh-CN"/>
              </w:rPr>
              <w:t>实施</w:t>
            </w:r>
            <w:r>
              <w:rPr>
                <w:rFonts w:hint="default" w:ascii="Times New Roman" w:hAnsi="Times New Roman" w:eastAsia="仿宋_GB2312" w:cs="Times New Roman"/>
                <w:color w:val="auto"/>
                <w:sz w:val="18"/>
                <w:szCs w:val="18"/>
                <w:highlight w:val="none"/>
              </w:rPr>
              <w:t>程序规范性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项目申请、</w:t>
            </w:r>
            <w:r>
              <w:rPr>
                <w:rFonts w:hint="eastAsia"/>
                <w:lang w:val="en-US" w:eastAsia="zh-CN"/>
              </w:rPr>
              <w:t>实施</w:t>
            </w:r>
            <w:r>
              <w:rPr>
                <w:rFonts w:hint="default" w:ascii="Times New Roman" w:hAnsi="Times New Roman" w:eastAsia="仿宋_GB2312" w:cs="Times New Roman"/>
                <w:color w:val="auto"/>
                <w:sz w:val="18"/>
                <w:szCs w:val="18"/>
                <w:highlight w:val="none"/>
              </w:rPr>
              <w:t>过程是否符合相关要求，用以反映和考核项目</w:t>
            </w:r>
            <w:r>
              <w:rPr>
                <w:rFonts w:hint="eastAsia"/>
                <w:lang w:val="en-US" w:eastAsia="zh-CN"/>
              </w:rPr>
              <w:t>实施</w:t>
            </w:r>
            <w:r>
              <w:rPr>
                <w:rFonts w:hint="default" w:ascii="Times New Roman" w:hAnsi="Times New Roman" w:eastAsia="仿宋_GB2312" w:cs="Times New Roman"/>
                <w:color w:val="auto"/>
                <w:sz w:val="18"/>
                <w:szCs w:val="18"/>
                <w:highlight w:val="none"/>
              </w:rPr>
              <w:t>的规范情况。</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①项目是否按照规定的程序申请</w:t>
            </w:r>
            <w:r>
              <w:rPr>
                <w:rFonts w:hint="eastAsia"/>
                <w:lang w:val="en-US" w:eastAsia="zh-CN"/>
              </w:rPr>
              <w:t>实施</w:t>
            </w:r>
            <w:r>
              <w:rPr>
                <w:rFonts w:hint="default" w:ascii="Times New Roman" w:hAnsi="Times New Roman" w:eastAsia="仿宋_GB2312" w:cs="Times New Roman"/>
                <w:color w:val="auto"/>
                <w:sz w:val="18"/>
                <w:szCs w:val="18"/>
                <w:highlight w:val="none"/>
              </w:rPr>
              <w:t>；</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②审批文件、材料是否符合相关要求；</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绩效目标合理性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①项目是否有绩效目标；</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②项目绩效目标与实际工作内容是否具有相关性；</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③项目预期产出效益和效果是否符合正常的业绩水平；</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④是否与预算确定的项目投资额或资金量相匹配。</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08"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绩效指标明确性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p>
        </w:tc>
        <w:tc>
          <w:tcPr>
            <w:tcW w:w="2153" w:type="pct"/>
            <w:tcBorders>
              <w:top w:val="single" w:color="000000" w:sz="4" w:space="0"/>
              <w:left w:val="single" w:color="000000" w:sz="4" w:space="0"/>
              <w:bottom w:val="single" w:color="auto"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①是否将项目绩效目标细化分解为具体的绩效指标；</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②是否通过清晰、可衡量的指标值予以体现；</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③是否与项目目标任务数或计划数相对应。</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23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资金投入</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预算编制科学性</w:t>
            </w:r>
          </w:p>
        </w:tc>
        <w:tc>
          <w:tcPr>
            <w:tcW w:w="1225" w:type="pct"/>
            <w:tcBorders>
              <w:top w:val="single" w:color="000000" w:sz="4" w:space="0"/>
              <w:left w:val="single" w:color="000000" w:sz="4" w:space="0"/>
              <w:bottom w:val="single" w:color="000000" w:sz="4" w:space="0"/>
              <w:right w:val="single" w:color="auto"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p>
        </w:tc>
        <w:tc>
          <w:tcPr>
            <w:tcW w:w="2153" w:type="pct"/>
            <w:tcBorders>
              <w:top w:val="single" w:color="auto" w:sz="4" w:space="0"/>
              <w:left w:val="single" w:color="auto" w:sz="4" w:space="0"/>
              <w:bottom w:val="single" w:color="auto" w:sz="4" w:space="0"/>
              <w:right w:val="single" w:color="auto"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①预算编制是否经过科学论证；</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②预算内容与项目内容是否匹配；</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③预算额度测算依据是否充分，是否按照标准编制；</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④预算确定的项目投资额或资金量是否与工作任务相匹配。</w:t>
            </w:r>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416"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资金分配合理性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p>
        </w:tc>
        <w:tc>
          <w:tcPr>
            <w:tcW w:w="2153" w:type="pct"/>
            <w:tcBorders>
              <w:top w:val="single" w:color="auto"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①预算资金分配依据是否充分；</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②资金分配额度是否合理，与项目单位或地方实际是否相适应。</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164"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过程</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资金管理</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资金到位率=（实际到位资金/预算资金）×100%。</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实际到位资金：一定时期（本年度或项目期）内落实到具体项目的资金。</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预算资金：一定时期（本年度或项目期）内预算安排到具体项目的资金。</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项目预算资金是否按照计划执行，用以反映或考核项目预算执行情况。</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预算执行率=（实际支出资金/实际到位资金）×100%。</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实际支出资金：一定时期（本年度或项目期）内项目实际拨付的资金。</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资金使用合规性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②资金的拨付是否有完整的审批程序和手续；</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③是否符合项目预算批复或合同规定的用途；</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④是否存在截留、挤占、挪用、虚列支出等情况。</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4</w:t>
            </w:r>
          </w:p>
        </w:tc>
      </w:tr>
      <w:tr>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组织实施</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管理制度健全性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①是否已制定或具有相应的财务和业务管理制度；</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②财务和业务管理制度是否合法、合规、完整。</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21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制度执行有效性</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评价要点：</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①是否遵守相关法律法规和相关管理规定；</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②项目调整及支出调整手续是否完备；</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③项目合同书、验收报告、技术鉴定等资料是否齐全并及时归档；</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④项目实施的人员条件、场地设备、信息支撑等是否落实到位。</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3</w:t>
            </w:r>
          </w:p>
        </w:tc>
      </w:tr>
      <w:tr>
        <w:tblPrEx>
          <w:tblCellMar>
            <w:top w:w="0" w:type="dxa"/>
            <w:left w:w="108" w:type="dxa"/>
            <w:bottom w:w="0" w:type="dxa"/>
            <w:right w:w="108" w:type="dxa"/>
          </w:tblCellMar>
        </w:tblPrEx>
        <w:trPr>
          <w:trHeight w:val="233"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产出数量</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实际完成率=（实际产出数/计划产出数）×100%。</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计划产出数：项目绩效目标确定的在一定时期（本年度或项目期）内计划产出的产品或提供的服务数量。</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rPr>
              <w:t>1</w:t>
            </w:r>
            <w:r>
              <w:rPr>
                <w:rFonts w:hint="eastAsia" w:ascii="Times New Roman" w:hAnsi="Times New Roman" w:cs="Times New Roman"/>
                <w:color w:val="auto"/>
                <w:sz w:val="18"/>
                <w:szCs w:val="18"/>
                <w:highlight w:val="none"/>
                <w:lang w:val="en-US" w:eastAsia="zh-CN"/>
              </w:rPr>
              <w:t>5</w:t>
            </w:r>
          </w:p>
        </w:tc>
      </w:tr>
      <w:tr>
        <w:tblPrEx>
          <w:tblCellMar>
            <w:top w:w="0" w:type="dxa"/>
            <w:left w:w="108" w:type="dxa"/>
            <w:bottom w:w="0" w:type="dxa"/>
            <w:right w:w="108" w:type="dxa"/>
          </w:tblCellMar>
        </w:tblPrEx>
        <w:trPr>
          <w:trHeight w:val="234"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产出质量</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p>
        </w:tc>
        <w:tc>
          <w:tcPr>
            <w:tcW w:w="2153" w:type="pct"/>
            <w:tcBorders>
              <w:top w:val="single" w:color="000000" w:sz="4" w:space="0"/>
              <w:left w:val="single" w:color="000000" w:sz="4" w:space="0"/>
              <w:bottom w:val="nil"/>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质量达标率=（质量达标产出数/实际产出数）×100%。</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rPr>
              <w:t>1</w:t>
            </w:r>
            <w:r>
              <w:rPr>
                <w:rFonts w:hint="eastAsia" w:ascii="Times New Roman" w:hAnsi="Times New Roman" w:cs="Times New Roman"/>
                <w:color w:val="auto"/>
                <w:sz w:val="18"/>
                <w:szCs w:val="18"/>
                <w:highlight w:val="none"/>
                <w:lang w:val="en-US" w:eastAsia="zh-CN"/>
              </w:rPr>
              <w:t>5</w:t>
            </w:r>
          </w:p>
        </w:tc>
      </w:tr>
      <w:tr>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auto"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tcBorders>
              <w:top w:val="single" w:color="000000" w:sz="4" w:space="0"/>
              <w:left w:val="single" w:color="000000" w:sz="4" w:space="0"/>
              <w:bottom w:val="single" w:color="auto"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产出时效</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完成及时性</w:t>
            </w:r>
          </w:p>
        </w:tc>
        <w:tc>
          <w:tcPr>
            <w:tcW w:w="1225" w:type="pct"/>
            <w:tcBorders>
              <w:top w:val="single" w:color="000000" w:sz="4" w:space="0"/>
              <w:left w:val="single" w:color="000000" w:sz="4" w:space="0"/>
              <w:bottom w:val="single" w:color="000000" w:sz="4" w:space="0"/>
              <w:right w:val="single" w:color="auto"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p>
        </w:tc>
        <w:tc>
          <w:tcPr>
            <w:tcW w:w="2153" w:type="pct"/>
            <w:tcBorders>
              <w:top w:val="single" w:color="auto" w:sz="4" w:space="0"/>
              <w:left w:val="single" w:color="auto" w:sz="4" w:space="0"/>
              <w:bottom w:val="single" w:color="auto" w:sz="4" w:space="0"/>
              <w:right w:val="single" w:color="auto"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实际完成时间：项目实施单位完成该项目实际所耗用的时间。</w:t>
            </w:r>
          </w:p>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color w:val="auto"/>
                <w:highlight w:val="none"/>
              </w:rPr>
            </w:pPr>
            <w:r>
              <w:rPr>
                <w:rFonts w:hint="default" w:ascii="Times New Roman" w:hAnsi="Times New Roman" w:eastAsia="仿宋_GB2312" w:cs="Times New Roman"/>
                <w:color w:val="auto"/>
                <w:sz w:val="18"/>
                <w:szCs w:val="18"/>
                <w:highlight w:val="none"/>
              </w:rPr>
              <w:t>计划完成时间：按照项目实施计划或相关规定完成该项目所需的时间。</w:t>
            </w:r>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eastAsia"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8"/>
                <w:szCs w:val="18"/>
                <w:highlight w:val="none"/>
              </w:rPr>
              <w:t>1</w:t>
            </w:r>
            <w:r>
              <w:rPr>
                <w:rFonts w:hint="eastAsia" w:ascii="Times New Roman" w:hAnsi="Times New Roman" w:cs="Times New Roman"/>
                <w:color w:val="auto"/>
                <w:sz w:val="18"/>
                <w:szCs w:val="18"/>
                <w:highlight w:val="none"/>
                <w:lang w:val="en-US" w:eastAsia="zh-CN"/>
              </w:rPr>
              <w:t>0</w:t>
            </w:r>
          </w:p>
        </w:tc>
      </w:tr>
      <w:tr>
        <w:tblPrEx>
          <w:tblCellMar>
            <w:top w:w="0" w:type="dxa"/>
            <w:left w:w="108" w:type="dxa"/>
            <w:bottom w:w="0" w:type="dxa"/>
            <w:right w:w="108" w:type="dxa"/>
          </w:tblCellMar>
        </w:tblPrEx>
        <w:trPr>
          <w:trHeight w:val="780"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效益</w:t>
            </w: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项目效益</w:t>
            </w: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实施效益</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项目实施所产生的效益。</w:t>
            </w:r>
          </w:p>
        </w:tc>
        <w:tc>
          <w:tcPr>
            <w:tcW w:w="2153"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645"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满意度</w:t>
            </w:r>
          </w:p>
        </w:tc>
        <w:tc>
          <w:tcPr>
            <w:tcW w:w="1225" w:type="pct"/>
            <w:tcBorders>
              <w:top w:val="single" w:color="000000" w:sz="4" w:space="0"/>
              <w:left w:val="single" w:color="000000" w:sz="4" w:space="0"/>
              <w:bottom w:val="single" w:color="000000" w:sz="4" w:space="0"/>
              <w:right w:val="nil"/>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社会公众或服务对象对项目实施效果的满意程度。</w:t>
            </w:r>
          </w:p>
        </w:tc>
        <w:tc>
          <w:tcPr>
            <w:tcW w:w="2153" w:type="pct"/>
            <w:tcBorders>
              <w:top w:val="single" w:color="000000" w:sz="4" w:space="0"/>
              <w:left w:val="single" w:color="000000" w:sz="4" w:space="0"/>
              <w:bottom w:val="single" w:color="000000" w:sz="4" w:space="0"/>
              <w:right w:val="single" w:color="000000" w:sz="4" w:space="0"/>
            </w:tcBorders>
            <w:noWrap w:val="0"/>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w:t>
            </w:r>
          </w:p>
        </w:tc>
      </w:tr>
      <w:tr>
        <w:tblPrEx>
          <w:tblCellMar>
            <w:top w:w="0" w:type="dxa"/>
            <w:left w:w="108" w:type="dxa"/>
            <w:bottom w:w="0" w:type="dxa"/>
            <w:right w:w="108" w:type="dxa"/>
          </w:tblCellMar>
        </w:tblPrEx>
        <w:trPr>
          <w:trHeight w:val="460" w:hRule="atLeast"/>
          <w:jc w:val="center"/>
        </w:trPr>
        <w:tc>
          <w:tcPr>
            <w:tcW w:w="4632" w:type="pct"/>
            <w:gridSpan w:val="5"/>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合计</w:t>
            </w:r>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4"/>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r>
              <w:rPr>
                <w:rFonts w:hint="default" w:ascii="Times New Roman" w:hAnsi="Times New Roman" w:eastAsia="仿宋_GB2312" w:cs="Times New Roman"/>
                <w:color w:val="auto"/>
                <w:sz w:val="18"/>
                <w:szCs w:val="18"/>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rPr>
      </w:pPr>
      <w:r>
        <w:br w:type="column"/>
      </w:r>
      <w:r>
        <w:rPr>
          <w:rFonts w:hint="eastAsia"/>
        </w:rPr>
        <w:t>3、绩效评价方法</w:t>
      </w:r>
      <w:bookmarkEnd w:id="8"/>
      <w:bookmarkEnd w:id="9"/>
    </w:p>
    <w:p>
      <w:pPr>
        <w:bidi w:val="0"/>
        <w:rPr>
          <w:color w:val="auto"/>
        </w:rPr>
      </w:pPr>
      <w:r>
        <w:rPr>
          <w:rFonts w:hint="eastAsia"/>
          <w:color w:val="auto"/>
        </w:rPr>
        <w:t>结合</w:t>
      </w:r>
      <w:r>
        <w:rPr>
          <w:rFonts w:hint="eastAsia"/>
          <w:lang w:eastAsia="zh-CN"/>
        </w:rPr>
        <w:t>2023年成品油税费改革用于农村公路日常养护资金</w:t>
      </w:r>
      <w:r>
        <w:rPr>
          <w:rFonts w:hint="eastAsia"/>
          <w:color w:val="auto"/>
        </w:rPr>
        <w:t>的特点，本次评价主要运用比较法、公众评判法，</w:t>
      </w:r>
      <w:r>
        <w:rPr>
          <w:rFonts w:hint="eastAsia"/>
          <w:color w:val="auto"/>
          <w:lang w:val="en-US" w:eastAsia="zh-CN"/>
        </w:rPr>
        <w:t>原因是</w:t>
      </w:r>
      <w:r>
        <w:rPr>
          <w:rFonts w:hint="eastAsia"/>
          <w:color w:val="auto"/>
        </w:rPr>
        <w:t>：</w:t>
      </w:r>
    </w:p>
    <w:p>
      <w:pPr>
        <w:bidi w:val="0"/>
        <w:rPr>
          <w:color w:val="auto"/>
        </w:rPr>
      </w:pPr>
      <w:r>
        <w:rPr>
          <w:color w:val="auto"/>
        </w:rPr>
        <w:t>比较法</w:t>
      </w:r>
      <w:r>
        <w:rPr>
          <w:rFonts w:hint="eastAsia"/>
          <w:color w:val="auto"/>
        </w:rPr>
        <w:t>：本项目绩效评价将项目实施情况即实际完成的</w:t>
      </w:r>
      <w:r>
        <w:rPr>
          <w:rFonts w:hint="eastAsia"/>
          <w:sz w:val="31"/>
          <w:szCs w:val="31"/>
          <w:lang w:val="en-US" w:eastAsia="zh-CN"/>
        </w:rPr>
        <w:t>养护县道里程不少于183公里，养护乡道里程不少于184公里，养护村道里程不少于933公里</w:t>
      </w:r>
      <w:r>
        <w:rPr>
          <w:rFonts w:hint="eastAsia"/>
          <w:color w:val="auto"/>
        </w:rPr>
        <w:t>与年初设定的</w:t>
      </w:r>
      <w:r>
        <w:rPr>
          <w:rFonts w:hint="eastAsia"/>
          <w:color w:val="auto"/>
          <w:lang w:val="en-US" w:eastAsia="zh-CN"/>
        </w:rPr>
        <w:t>目标</w:t>
      </w:r>
      <w:r>
        <w:rPr>
          <w:rFonts w:hint="eastAsia"/>
          <w:color w:val="auto"/>
        </w:rPr>
        <w:t>进行比较。</w:t>
      </w:r>
    </w:p>
    <w:p>
      <w:pPr>
        <w:bidi w:val="0"/>
        <w:rPr>
          <w:color w:val="auto"/>
        </w:rPr>
      </w:pPr>
      <w:r>
        <w:rPr>
          <w:rFonts w:hint="eastAsia"/>
          <w:color w:val="auto"/>
        </w:rPr>
        <w:t>公众评判法：通过对</w:t>
      </w:r>
      <w:r>
        <w:rPr>
          <w:rFonts w:hint="eastAsia"/>
          <w:color w:val="auto"/>
          <w:lang w:val="en-US" w:eastAsia="zh-CN"/>
        </w:rPr>
        <w:t>沿线乡镇村民</w:t>
      </w:r>
      <w:r>
        <w:rPr>
          <w:rFonts w:hint="eastAsia"/>
          <w:color w:val="auto"/>
        </w:rPr>
        <w:t>进行问卷及抽样调查等对财政资金效果进行评判，评价绩效目标实现程度。</w:t>
      </w:r>
    </w:p>
    <w:p>
      <w:pPr>
        <w:bidi w:val="0"/>
        <w:rPr>
          <w:b/>
          <w:bCs/>
        </w:rPr>
      </w:pPr>
      <w:r>
        <w:rPr>
          <w:rFonts w:hint="eastAsia"/>
          <w:b/>
          <w:bCs/>
        </w:rPr>
        <w:t>4、绩效评价标准</w:t>
      </w:r>
    </w:p>
    <w:p>
      <w:pPr>
        <w:bidi w:val="0"/>
        <w:rPr>
          <w:rFonts w:hint="eastAsia"/>
          <w:lang w:val="en-US" w:eastAsia="zh-CN"/>
        </w:rPr>
      </w:pPr>
      <w:r>
        <w:rPr>
          <w:rFonts w:hint="eastAsia"/>
        </w:rPr>
        <w:t>结合</w:t>
      </w:r>
      <w:r>
        <w:rPr>
          <w:rFonts w:hint="eastAsia"/>
          <w:lang w:eastAsia="zh-CN"/>
        </w:rPr>
        <w:t>2023年成品油税费改革用于农村公路日常养护资金</w:t>
      </w:r>
      <w:r>
        <w:rPr>
          <w:rFonts w:hint="eastAsia"/>
        </w:rPr>
        <w:t>的特点，本次项目支出绩效自评采用了</w:t>
      </w:r>
      <w:r>
        <w:rPr>
          <w:rFonts w:hint="eastAsia"/>
          <w:lang w:val="en-US" w:eastAsia="zh-CN"/>
        </w:rPr>
        <w:t>以下标准：</w:t>
      </w:r>
    </w:p>
    <w:p>
      <w:pPr>
        <w:bidi w:val="0"/>
      </w:pPr>
      <w:r>
        <w:rPr>
          <w:rFonts w:hint="eastAsia"/>
          <w:lang w:val="en-US" w:eastAsia="zh-CN"/>
        </w:rPr>
        <w:t>（1）</w:t>
      </w:r>
      <w:r>
        <w:rPr>
          <w:rFonts w:hint="eastAsia"/>
        </w:rPr>
        <w:t>计划标准，原因</w:t>
      </w:r>
      <w:r>
        <w:rPr>
          <w:rFonts w:hint="eastAsia"/>
          <w:lang w:val="en-US" w:eastAsia="zh-CN"/>
        </w:rPr>
        <w:t>是</w:t>
      </w:r>
      <w:r>
        <w:rPr>
          <w:rFonts w:hint="eastAsia"/>
        </w:rPr>
        <w:t>：根据绩效目标表，以预先制定的</w:t>
      </w:r>
      <w:r>
        <w:rPr>
          <w:rFonts w:hint="eastAsia"/>
          <w:sz w:val="31"/>
          <w:szCs w:val="31"/>
          <w:lang w:val="en-US" w:eastAsia="zh-CN"/>
        </w:rPr>
        <w:t>养护县道里程，养护乡道里程，养护村道里程</w:t>
      </w:r>
      <w:r>
        <w:rPr>
          <w:rFonts w:hint="eastAsia"/>
          <w:lang w:val="en-US" w:eastAsia="zh-CN"/>
        </w:rPr>
        <w:t>为计划数</w:t>
      </w:r>
      <w:r>
        <w:rPr>
          <w:rFonts w:hint="eastAsia"/>
        </w:rPr>
        <w:t>作为评价的标准。</w:t>
      </w:r>
    </w:p>
    <w:p>
      <w:pPr>
        <w:bidi w:val="0"/>
      </w:pPr>
      <w:r>
        <w:rPr>
          <w:rFonts w:hint="eastAsia"/>
          <w:lang w:eastAsia="zh-CN"/>
        </w:rPr>
        <w:t>（</w:t>
      </w:r>
      <w:r>
        <w:rPr>
          <w:rFonts w:hint="eastAsia"/>
          <w:lang w:val="en-US" w:eastAsia="zh-CN"/>
        </w:rPr>
        <w:t>2</w:t>
      </w:r>
      <w:r>
        <w:rPr>
          <w:rFonts w:hint="eastAsia"/>
          <w:lang w:eastAsia="zh-CN"/>
        </w:rPr>
        <w:t>）</w:t>
      </w:r>
      <w:r>
        <w:rPr>
          <w:rFonts w:hint="eastAsia"/>
        </w:rPr>
        <w:t>历史标准，原因</w:t>
      </w:r>
      <w:r>
        <w:rPr>
          <w:rFonts w:hint="eastAsia"/>
          <w:lang w:val="en-US" w:eastAsia="zh-CN"/>
        </w:rPr>
        <w:t>是</w:t>
      </w:r>
      <w:r>
        <w:rPr>
          <w:rFonts w:hint="eastAsia"/>
        </w:rPr>
        <w:t>：参照本单位同类单位绩效评价指标的历史数据作为样本，运用一定的统计学方法计算出各类指标的平均历史水平作为评价标准。</w:t>
      </w:r>
    </w:p>
    <w:p>
      <w:pPr>
        <w:pStyle w:val="6"/>
        <w:bidi w:val="0"/>
      </w:pPr>
      <w:bookmarkStart w:id="10" w:name="_Toc23796"/>
      <w:r>
        <w:rPr>
          <w:rFonts w:hint="eastAsia"/>
        </w:rPr>
        <w:t>（三）绩效评价工作过程</w:t>
      </w:r>
      <w:bookmarkEnd w:id="10"/>
      <w:bookmarkStart w:id="11" w:name="_Toc27442"/>
      <w:bookmarkStart w:id="12" w:name="_Toc17595"/>
      <w:bookmarkStart w:id="13" w:name="_Toc30911"/>
      <w:bookmarkStart w:id="14" w:name="_Toc22987"/>
    </w:p>
    <w:p>
      <w:pPr>
        <w:bidi w:val="0"/>
        <w:rPr>
          <w:b/>
          <w:bCs/>
        </w:rPr>
      </w:pPr>
      <w:r>
        <w:rPr>
          <w:rFonts w:hint="eastAsia"/>
          <w:b/>
          <w:bCs/>
        </w:rPr>
        <w:t>1、前期准备</w:t>
      </w:r>
    </w:p>
    <w:p>
      <w:pPr>
        <w:bidi w:val="0"/>
      </w:pPr>
      <w:r>
        <w:rPr>
          <w:rFonts w:hint="eastAsia"/>
          <w:bCs/>
          <w:szCs w:val="32"/>
          <w:highlight w:val="none"/>
        </w:rPr>
        <w:t>按照《项目支出绩效评价管理办法》（财预〔2020〕10号）文件要求，</w:t>
      </w:r>
      <w:r>
        <w:rPr>
          <w:rFonts w:hint="eastAsia"/>
          <w:bCs/>
          <w:szCs w:val="32"/>
          <w:highlight w:val="none"/>
          <w:lang w:eastAsia="zh-CN"/>
        </w:rPr>
        <w:t>尉犁县交通运输局</w:t>
      </w:r>
      <w:r>
        <w:rPr>
          <w:rFonts w:hint="eastAsia"/>
          <w:bCs/>
          <w:szCs w:val="32"/>
          <w:highlight w:val="none"/>
        </w:rPr>
        <w:t>成立了绩效评价小组，对项目实施的全过程，收集、整理项目实施的相关资料，了解项目实施情况和资金支付情况。从项目内容出发，结合项目预期目标，制定绩效评价的指标体系。</w:t>
      </w:r>
    </w:p>
    <w:p>
      <w:pPr>
        <w:bidi w:val="0"/>
        <w:rPr>
          <w:b/>
          <w:bCs/>
        </w:rPr>
      </w:pPr>
      <w:r>
        <w:rPr>
          <w:rFonts w:hint="eastAsia"/>
          <w:b/>
          <w:bCs/>
        </w:rPr>
        <w:t>2、组织实施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rPr>
      </w:pPr>
      <w:r>
        <w:rPr>
          <w:rFonts w:hint="eastAsia"/>
          <w:b/>
          <w:bCs/>
        </w:rPr>
        <w:t>3、数据集中分析</w:t>
      </w:r>
      <w:bookmarkEnd w:id="11"/>
      <w:bookmarkEnd w:id="12"/>
      <w:bookmarkEnd w:id="13"/>
      <w:bookmarkEnd w:id="14"/>
    </w:p>
    <w:p>
      <w:pPr>
        <w:bidi w:val="0"/>
      </w:pPr>
      <w:r>
        <w:rPr>
          <w:rFonts w:hint="eastAsia"/>
        </w:rPr>
        <w:t>对相关资料，包括资金文件、项目实施方案、相关管理办法，问卷调查等进行集中分析。在查阅大量项目资料的基础上，根据考察、考评的结果进行整理、分析。</w:t>
      </w:r>
      <w:bookmarkStart w:id="15" w:name="_Toc20775"/>
    </w:p>
    <w:p>
      <w:pPr>
        <w:bidi w:val="0"/>
        <w:rPr>
          <w:b/>
          <w:bCs/>
        </w:rPr>
      </w:pPr>
      <w:r>
        <w:rPr>
          <w:rFonts w:hint="eastAsia"/>
          <w:b/>
          <w:bCs/>
        </w:rPr>
        <w:t>4、分析总结</w:t>
      </w:r>
      <w:bookmarkEnd w:id="15"/>
    </w:p>
    <w:p>
      <w:pPr>
        <w:bidi w:val="0"/>
      </w:pPr>
      <w:r>
        <w:rPr>
          <w:rFonts w:hint="eastAsia"/>
        </w:rPr>
        <w:t>（1）根据部门自评的意见及考察、考评的结果进行整理、分析，撰写绩效评价报告初稿。</w:t>
      </w:r>
    </w:p>
    <w:p>
      <w:pPr>
        <w:bidi w:val="0"/>
      </w:pPr>
      <w:r>
        <w:rPr>
          <w:rFonts w:hint="eastAsia"/>
        </w:rPr>
        <w:t>（2）就部门自评报告与部门具体有关科室征求意见，形成最终的绩效评价报告。</w:t>
      </w:r>
    </w:p>
    <w:p>
      <w:pPr>
        <w:pStyle w:val="5"/>
        <w:bidi w:val="0"/>
      </w:pPr>
      <w:bookmarkStart w:id="16" w:name="_Toc20784"/>
      <w:r>
        <w:rPr>
          <w:rFonts w:hint="eastAsia"/>
        </w:rPr>
        <w:t>三、综合评价情况及评价结论</w:t>
      </w:r>
      <w:bookmarkEnd w:id="16"/>
    </w:p>
    <w:p>
      <w:pPr>
        <w:bidi w:val="0"/>
      </w:pPr>
      <w:r>
        <w:rPr>
          <w:rFonts w:hint="eastAsia"/>
        </w:rPr>
        <w:t>本项目的绩效评价结果为“优”，综合评分100分。其中项目决策22分，项目过程18分，项目产出管理</w:t>
      </w:r>
      <w:r>
        <w:rPr>
          <w:rFonts w:hint="eastAsia"/>
          <w:lang w:val="en-US" w:eastAsia="zh-CN"/>
        </w:rPr>
        <w:t>40</w:t>
      </w:r>
      <w:r>
        <w:rPr>
          <w:rFonts w:hint="eastAsia"/>
        </w:rPr>
        <w:t>分，项目效益20分。各部分权重和绩效汇总分值如下表所示：</w:t>
      </w:r>
    </w:p>
    <w:tbl>
      <w:tblPr>
        <w:tblStyle w:val="12"/>
        <w:tblW w:w="7875" w:type="dxa"/>
        <w:jc w:val="center"/>
        <w:tblLayout w:type="fixed"/>
        <w:tblCellMar>
          <w:top w:w="0" w:type="dxa"/>
          <w:left w:w="0" w:type="dxa"/>
          <w:bottom w:w="0" w:type="dxa"/>
          <w:right w:w="0" w:type="dxa"/>
        </w:tblCellMar>
      </w:tblPr>
      <w:tblGrid>
        <w:gridCol w:w="1094"/>
        <w:gridCol w:w="1541"/>
        <w:gridCol w:w="1520"/>
        <w:gridCol w:w="1404"/>
        <w:gridCol w:w="1260"/>
        <w:gridCol w:w="1056"/>
      </w:tblGrid>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指标类别</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1.项目决策</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2.过程管理</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3.项目产出</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eastAsia" w:ascii="Times New Roman" w:hAnsi="Times New Roman" w:cs="Times New Roman"/>
                <w:color w:val="000000" w:themeColor="text1"/>
                <w:highlight w:val="none"/>
                <w:lang w:val="en-US" w:eastAsia="zh-CN"/>
                <w14:textFill>
                  <w14:solidFill>
                    <w14:schemeClr w14:val="tx1"/>
                  </w14:solidFill>
                </w14:textFill>
              </w:rPr>
              <w:t>4</w:t>
            </w:r>
            <w:r>
              <w:rPr>
                <w:rFonts w:hint="default" w:ascii="Times New Roman" w:hAnsi="Times New Roman" w:eastAsia="仿宋_GB2312" w:cs="Times New Roman"/>
                <w:color w:val="FF0000"/>
                <w:highlight w:val="none"/>
              </w:rPr>
              <w:t>.</w:t>
            </w:r>
            <w:r>
              <w:rPr>
                <w:rFonts w:hint="default" w:ascii="Times New Roman" w:hAnsi="Times New Roman" w:eastAsia="仿宋_GB2312" w:cs="Times New Roman"/>
                <w:highlight w:val="none"/>
              </w:rPr>
              <w:t>项目效益</w:t>
            </w:r>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合计</w:t>
            </w:r>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权重</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18%</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FF0000"/>
                <w:highlight w:val="none"/>
              </w:rPr>
            </w:pPr>
            <w:r>
              <w:rPr>
                <w:rFonts w:hint="eastAsia" w:ascii="Times New Roman" w:hAnsi="Times New Roman" w:cs="Times New Roman"/>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color w:val="000000" w:themeColor="text1"/>
                <w:highlight w:val="none"/>
                <w14:textFill>
                  <w14:solidFill>
                    <w14:schemeClr w14:val="tx1"/>
                  </w14:solidFill>
                </w14:textFill>
              </w:rPr>
              <w:t>%</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20%</w:t>
            </w:r>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eastAsia"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rPr>
              <w:t>100</w:t>
            </w:r>
            <w:r>
              <w:rPr>
                <w:rFonts w:hint="eastAsia" w:cs="Times New Roman"/>
                <w:highlight w:val="none"/>
                <w:lang w:val="en-US" w:eastAsia="zh-CN"/>
              </w:rPr>
              <w:t>%</w:t>
            </w:r>
          </w:p>
        </w:tc>
      </w:tr>
      <w:tr>
        <w:tblPrEx>
          <w:tblCellMar>
            <w:top w:w="0" w:type="dxa"/>
            <w:left w:w="0" w:type="dxa"/>
            <w:bottom w:w="0" w:type="dxa"/>
            <w:right w:w="0" w:type="dxa"/>
          </w:tblCellMar>
        </w:tblPrEx>
        <w:trPr>
          <w:trHeight w:val="392"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分值</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18</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FF0000"/>
                <w:highlight w:val="none"/>
                <w:lang w:val="en-US" w:eastAsia="zh-CN"/>
              </w:rPr>
            </w:pPr>
            <w:r>
              <w:rPr>
                <w:rFonts w:hint="eastAsia" w:ascii="Times New Roman" w:hAnsi="Times New Roman" w:cs="Times New Roman"/>
                <w:color w:val="000000" w:themeColor="text1"/>
                <w:highlight w:val="none"/>
                <w:lang w:val="en-US" w:eastAsia="zh-CN"/>
                <w14:textFill>
                  <w14:solidFill>
                    <w14:schemeClr w14:val="tx1"/>
                  </w14:solidFill>
                </w14:textFill>
              </w:rPr>
              <w:t>40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20</w:t>
            </w:r>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000000" w:themeColor="text1"/>
                <w:highlight w:val="none"/>
                <w:lang w:val="en-US" w:eastAsia="zh-CN"/>
                <w14:textFill>
                  <w14:solidFill>
                    <w14:schemeClr w14:val="tx1"/>
                  </w14:solidFill>
                </w14:textFill>
              </w:rPr>
              <w:t>18</w:t>
            </w:r>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40</w:t>
            </w:r>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20</w:t>
            </w:r>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4"/>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100</w:t>
            </w:r>
          </w:p>
        </w:tc>
      </w:tr>
    </w:tbl>
    <w:p>
      <w:pPr>
        <w:bidi w:val="0"/>
      </w:pPr>
    </w:p>
    <w:p>
      <w:pPr>
        <w:pStyle w:val="5"/>
        <w:bidi w:val="0"/>
      </w:pPr>
      <w:bookmarkStart w:id="17" w:name="_Toc8960"/>
      <w:r>
        <w:rPr>
          <w:rFonts w:hint="eastAsia"/>
        </w:rPr>
        <w:t>四、绩效评价指标分析</w:t>
      </w:r>
      <w:bookmarkEnd w:id="17"/>
    </w:p>
    <w:p>
      <w:pPr>
        <w:pStyle w:val="6"/>
        <w:bidi w:val="0"/>
      </w:pPr>
      <w:bookmarkStart w:id="18" w:name="_Toc3445"/>
      <w:r>
        <w:rPr>
          <w:rFonts w:hint="eastAsia"/>
        </w:rPr>
        <w:t>（一）项目决策情况</w:t>
      </w:r>
      <w:bookmarkEnd w:id="18"/>
    </w:p>
    <w:p>
      <w:pPr>
        <w:bidi w:val="0"/>
      </w:pPr>
      <w:r>
        <w:rPr>
          <w:rFonts w:hint="eastAsia"/>
        </w:rPr>
        <w:t>1、</w:t>
      </w:r>
      <w:r>
        <w:rPr>
          <w:rFonts w:hint="eastAsia"/>
          <w:lang w:val="en-US" w:eastAsia="zh-CN"/>
        </w:rPr>
        <w:t>实施</w:t>
      </w:r>
      <w:r>
        <w:rPr>
          <w:rFonts w:hint="eastAsia"/>
        </w:rPr>
        <w:t>依据充分性</w:t>
      </w:r>
    </w:p>
    <w:p>
      <w:pPr>
        <w:bidi w:val="0"/>
      </w:pPr>
      <w:r>
        <w:rPr>
          <w:rFonts w:hint="eastAsia"/>
        </w:rPr>
        <w:t>（1）本项目申报和审批符合国家法律法规、国民经济发展规划和相关政策；</w:t>
      </w:r>
    </w:p>
    <w:p>
      <w:pPr>
        <w:bidi w:val="0"/>
      </w:pPr>
      <w:r>
        <w:rPr>
          <w:rFonts w:hint="eastAsia"/>
        </w:rPr>
        <w:t>（2）本项目申报和审批符合行业发展规划和政策要求；</w:t>
      </w:r>
    </w:p>
    <w:p>
      <w:pPr>
        <w:bidi w:val="0"/>
        <w:rPr>
          <w:highlight w:val="none"/>
        </w:rPr>
      </w:pPr>
      <w:r>
        <w:rPr>
          <w:rFonts w:hint="eastAsia"/>
          <w:highlight w:val="none"/>
        </w:rPr>
        <w:t>（3）</w:t>
      </w:r>
      <w:r>
        <w:rPr>
          <w:rFonts w:hint="eastAsia"/>
          <w:color w:val="auto"/>
          <w:highlight w:val="none"/>
        </w:rPr>
        <w:t>项目</w:t>
      </w:r>
      <w:r>
        <w:rPr>
          <w:rFonts w:hint="eastAsia"/>
          <w:color w:val="auto"/>
          <w:highlight w:val="none"/>
          <w:lang w:val="en-US" w:eastAsia="zh-CN"/>
        </w:rPr>
        <w:t>实施</w:t>
      </w:r>
      <w:r>
        <w:rPr>
          <w:rFonts w:hint="eastAsia"/>
          <w:color w:val="auto"/>
          <w:highlight w:val="none"/>
        </w:rPr>
        <w:t>与部</w:t>
      </w:r>
      <w:r>
        <w:rPr>
          <w:rFonts w:hint="eastAsia"/>
          <w:highlight w:val="none"/>
        </w:rPr>
        <w:t>门职责范围相符，属于部门履职所需；</w:t>
      </w:r>
    </w:p>
    <w:p>
      <w:pPr>
        <w:bidi w:val="0"/>
      </w:pPr>
      <w:r>
        <w:rPr>
          <w:rFonts w:hint="eastAsia"/>
        </w:rPr>
        <w:t>（4）本项目属于公共财政支持范围，符合中央、地方事权支出责任划分原则；</w:t>
      </w:r>
    </w:p>
    <w:p>
      <w:pPr>
        <w:bidi w:val="0"/>
      </w:pPr>
      <w:r>
        <w:rPr>
          <w:rFonts w:hint="eastAsia"/>
        </w:rPr>
        <w:t>（5）本项目与相关部门同类项目或部门内部相关项目</w:t>
      </w:r>
      <w:r>
        <w:rPr>
          <w:rFonts w:hint="eastAsia"/>
          <w:lang w:val="en-US" w:eastAsia="zh-CN"/>
        </w:rPr>
        <w:t>不</w:t>
      </w:r>
      <w:r>
        <w:rPr>
          <w:rFonts w:hint="eastAsia"/>
        </w:rPr>
        <w:t>重复。</w:t>
      </w:r>
    </w:p>
    <w:p>
      <w:pPr>
        <w:bidi w:val="0"/>
      </w:pPr>
      <w:r>
        <w:rPr>
          <w:rFonts w:hint="eastAsia"/>
        </w:rPr>
        <w:t>本项满分3分，评估得分3分。</w:t>
      </w:r>
    </w:p>
    <w:p>
      <w:pPr>
        <w:bidi w:val="0"/>
      </w:pPr>
      <w:r>
        <w:rPr>
          <w:rFonts w:hint="eastAsia"/>
        </w:rPr>
        <w:t>2、</w:t>
      </w:r>
      <w:r>
        <w:rPr>
          <w:rFonts w:hint="eastAsia"/>
          <w:lang w:val="en-US" w:eastAsia="zh-CN"/>
        </w:rPr>
        <w:t>实施</w:t>
      </w:r>
      <w:r>
        <w:rPr>
          <w:rFonts w:hint="eastAsia"/>
        </w:rPr>
        <w:t>程序规范性</w:t>
      </w:r>
    </w:p>
    <w:p>
      <w:pPr>
        <w:bidi w:val="0"/>
        <w:rPr>
          <w:color w:val="auto"/>
        </w:rPr>
      </w:pPr>
      <w:r>
        <w:rPr>
          <w:rFonts w:hint="eastAsia"/>
          <w:bCs/>
          <w:color w:val="auto"/>
          <w:szCs w:val="32"/>
          <w:highlight w:val="none"/>
        </w:rPr>
        <w:t>本项目</w:t>
      </w:r>
      <w:r>
        <w:rPr>
          <w:rFonts w:hint="eastAsia"/>
          <w:lang w:val="en-US" w:eastAsia="zh-CN"/>
        </w:rPr>
        <w:t>实施</w:t>
      </w:r>
      <w:r>
        <w:rPr>
          <w:rFonts w:hint="eastAsia"/>
          <w:bCs/>
          <w:color w:val="auto"/>
          <w:szCs w:val="32"/>
          <w:highlight w:val="none"/>
        </w:rPr>
        <w:t>资料</w:t>
      </w:r>
      <w:r>
        <w:rPr>
          <w:rFonts w:hint="eastAsia"/>
          <w:bCs/>
          <w:color w:val="auto"/>
          <w:szCs w:val="32"/>
          <w:highlight w:val="none"/>
          <w:lang w:val="en-US" w:eastAsia="zh-CN"/>
        </w:rPr>
        <w:t>齐</w:t>
      </w:r>
      <w:r>
        <w:rPr>
          <w:rFonts w:hint="eastAsia"/>
          <w:bCs/>
          <w:color w:val="auto"/>
          <w:szCs w:val="32"/>
          <w:highlight w:val="none"/>
        </w:rPr>
        <w:t>全，</w:t>
      </w:r>
      <w:r>
        <w:rPr>
          <w:rFonts w:hint="eastAsia"/>
          <w:lang w:val="en-US" w:eastAsia="zh-CN"/>
        </w:rPr>
        <w:t>实施</w:t>
      </w:r>
      <w:r>
        <w:rPr>
          <w:rFonts w:hint="eastAsia"/>
          <w:bCs/>
          <w:color w:val="auto"/>
          <w:szCs w:val="32"/>
          <w:highlight w:val="none"/>
        </w:rPr>
        <w:t>程序规范；审批文件、材料符合相关要求，事前已经过必要的集体决策，</w:t>
      </w:r>
      <w:r>
        <w:rPr>
          <w:rFonts w:hint="eastAsia"/>
          <w:color w:val="auto"/>
        </w:rPr>
        <w:t>实施程序规范。</w:t>
      </w:r>
    </w:p>
    <w:p>
      <w:pPr>
        <w:bidi w:val="0"/>
      </w:pPr>
      <w:r>
        <w:rPr>
          <w:rFonts w:hint="eastAsia"/>
        </w:rPr>
        <w:t>本项满分3分，评估得分3分。</w:t>
      </w:r>
    </w:p>
    <w:p>
      <w:pPr>
        <w:bidi w:val="0"/>
      </w:pPr>
      <w:r>
        <w:rPr>
          <w:rFonts w:hint="eastAsia"/>
        </w:rPr>
        <w:t>3、绩效目标合理性</w:t>
      </w:r>
    </w:p>
    <w:p>
      <w:pPr>
        <w:bidi w:val="0"/>
      </w:pPr>
      <w:r>
        <w:rPr>
          <w:rFonts w:hint="eastAsia"/>
          <w:color w:val="auto"/>
          <w:lang w:eastAsia="zh-CN"/>
        </w:rPr>
        <w:t>2023年成品油税费改革用于农村公路日常养护资金</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pPr>
        <w:bidi w:val="0"/>
      </w:pPr>
      <w:r>
        <w:rPr>
          <w:rFonts w:hint="eastAsia"/>
        </w:rPr>
        <w:t>本项满分4分，评估得分4分。</w:t>
      </w:r>
    </w:p>
    <w:p>
      <w:pPr>
        <w:bidi w:val="0"/>
      </w:pPr>
      <w:r>
        <w:rPr>
          <w:rFonts w:hint="eastAsia"/>
        </w:rPr>
        <w:t>4、绩效指标明确性</w:t>
      </w:r>
    </w:p>
    <w:p>
      <w:pPr>
        <w:bidi w:val="0"/>
      </w:pPr>
      <w:r>
        <w:rPr>
          <w:rFonts w:hint="eastAsia"/>
          <w:lang w:eastAsia="zh-CN"/>
        </w:rPr>
        <w:t>2023年成品油税费改革用于农村公路日常养护资金</w:t>
      </w:r>
      <w:r>
        <w:rPr>
          <w:rFonts w:hint="eastAsia"/>
        </w:rPr>
        <w:t>，设置一级指标</w:t>
      </w:r>
      <w:r>
        <w:rPr>
          <w:rFonts w:hint="eastAsia"/>
          <w:lang w:val="en-US" w:eastAsia="zh-CN"/>
        </w:rPr>
        <w:t>四</w:t>
      </w:r>
      <w:r>
        <w:rPr>
          <w:rFonts w:hint="eastAsia"/>
        </w:rPr>
        <w:t>条，二级指标</w:t>
      </w:r>
      <w:r>
        <w:rPr>
          <w:rFonts w:hint="eastAsia"/>
          <w:lang w:val="en-US" w:eastAsia="zh-CN"/>
        </w:rPr>
        <w:t>六</w:t>
      </w:r>
      <w:r>
        <w:rPr>
          <w:rFonts w:hint="eastAsia"/>
        </w:rPr>
        <w:t>条，三级指标</w:t>
      </w:r>
      <w:r>
        <w:rPr>
          <w:rFonts w:hint="eastAsia"/>
          <w:lang w:val="en-US" w:eastAsia="zh-CN"/>
        </w:rPr>
        <w:t>八</w:t>
      </w:r>
      <w:r>
        <w:rPr>
          <w:rFonts w:hint="eastAsia"/>
        </w:rPr>
        <w:t>条，其中量化指标</w:t>
      </w:r>
      <w:r>
        <w:rPr>
          <w:rFonts w:hint="eastAsia"/>
          <w:lang w:val="en-US" w:eastAsia="zh-CN"/>
        </w:rPr>
        <w:t>七</w:t>
      </w:r>
      <w:r>
        <w:rPr>
          <w:rFonts w:hint="eastAsia"/>
        </w:rPr>
        <w:t>条，绩效目标指标设定清晰、可衡量性较强，与项目目标任务计划数对应性较强。</w:t>
      </w:r>
    </w:p>
    <w:p>
      <w:pPr>
        <w:bidi w:val="0"/>
      </w:pPr>
      <w:r>
        <w:rPr>
          <w:rFonts w:hint="eastAsia"/>
        </w:rPr>
        <w:t>本项满分4分，评估得分4分。</w:t>
      </w:r>
    </w:p>
    <w:p>
      <w:pPr>
        <w:bidi w:val="0"/>
      </w:pPr>
      <w:r>
        <w:rPr>
          <w:rFonts w:hint="eastAsia"/>
        </w:rPr>
        <w:t>5、预算编制科学性</w:t>
      </w:r>
    </w:p>
    <w:p>
      <w:pPr>
        <w:bidi w:val="0"/>
      </w:pPr>
      <w:r>
        <w:rPr>
          <w:rFonts w:hint="eastAsia"/>
        </w:rPr>
        <w:t>本项目预算资金</w:t>
      </w:r>
      <w:r>
        <w:rPr>
          <w:rFonts w:hint="eastAsia"/>
          <w:lang w:val="en-US" w:eastAsia="zh-CN"/>
        </w:rPr>
        <w:t>107</w:t>
      </w:r>
      <w:r>
        <w:rPr>
          <w:rFonts w:hint="eastAsia"/>
        </w:rPr>
        <w:t>万元，来源为自治区补助资金，自治区资金</w:t>
      </w:r>
      <w:r>
        <w:rPr>
          <w:rFonts w:hint="eastAsia"/>
          <w:lang w:val="en-US" w:eastAsia="zh-CN"/>
        </w:rPr>
        <w:t>107</w:t>
      </w:r>
      <w:r>
        <w:rPr>
          <w:rFonts w:hint="eastAsia"/>
        </w:rPr>
        <w:t>万元，预算编制较为科学，预算内容与</w:t>
      </w:r>
      <w:r>
        <w:rPr>
          <w:rFonts w:hint="eastAsia"/>
          <w:lang w:val="en-US" w:eastAsia="zh-CN"/>
        </w:rPr>
        <w:t>日常养护</w:t>
      </w:r>
      <w:r>
        <w:rPr>
          <w:rFonts w:hint="eastAsia"/>
        </w:rPr>
        <w:t>内容相匹配，预算额度测算依据充分，预算确定的资</w:t>
      </w:r>
      <w:r>
        <w:rPr>
          <w:rFonts w:hint="eastAsia"/>
          <w:color w:val="auto"/>
        </w:rPr>
        <w:t>金量与</w:t>
      </w:r>
      <w:r>
        <w:rPr>
          <w:rFonts w:hint="eastAsia"/>
          <w:color w:val="auto"/>
          <w:lang w:val="en-US" w:eastAsia="zh-CN"/>
        </w:rPr>
        <w:t>工作任务量</w:t>
      </w:r>
      <w:r>
        <w:rPr>
          <w:rFonts w:hint="eastAsia"/>
          <w:color w:val="auto"/>
        </w:rPr>
        <w:t>相匹配</w:t>
      </w:r>
      <w:r>
        <w:rPr>
          <w:rFonts w:hint="eastAsia"/>
        </w:rPr>
        <w:t>。</w:t>
      </w:r>
    </w:p>
    <w:p>
      <w:pPr>
        <w:bidi w:val="0"/>
      </w:pPr>
      <w:r>
        <w:rPr>
          <w:rFonts w:hint="eastAsia"/>
        </w:rPr>
        <w:t>本项满分4分，评估得分4分。</w:t>
      </w:r>
    </w:p>
    <w:p>
      <w:pPr>
        <w:bidi w:val="0"/>
      </w:pPr>
      <w:r>
        <w:rPr>
          <w:rFonts w:hint="eastAsia"/>
        </w:rPr>
        <w:t>6、资金分配合理性</w:t>
      </w:r>
    </w:p>
    <w:p>
      <w:pPr>
        <w:bidi w:val="0"/>
      </w:pPr>
      <w:r>
        <w:rPr>
          <w:rFonts w:hint="eastAsia"/>
        </w:rPr>
        <w:t>本项目预算资金分配依据充分；资金分配额度合理，与项目单位实际相适应。</w:t>
      </w:r>
    </w:p>
    <w:p>
      <w:pPr>
        <w:bidi w:val="0"/>
      </w:pPr>
      <w:r>
        <w:rPr>
          <w:rFonts w:hint="eastAsia"/>
        </w:rPr>
        <w:t>本项满分4分，评估得分4分。</w:t>
      </w:r>
    </w:p>
    <w:p>
      <w:pPr>
        <w:pStyle w:val="6"/>
        <w:bidi w:val="0"/>
      </w:pPr>
      <w:bookmarkStart w:id="19" w:name="_Toc11290"/>
      <w:r>
        <w:rPr>
          <w:rFonts w:hint="eastAsia"/>
        </w:rPr>
        <w:t>（二）项目过程情况</w:t>
      </w:r>
      <w:bookmarkEnd w:id="19"/>
    </w:p>
    <w:p>
      <w:pPr>
        <w:bidi w:val="0"/>
      </w:pPr>
      <w:r>
        <w:rPr>
          <w:rFonts w:hint="eastAsia"/>
        </w:rPr>
        <w:t>1、资金到位率</w:t>
      </w:r>
    </w:p>
    <w:p>
      <w:pPr>
        <w:bidi w:val="0"/>
      </w:pPr>
      <w:r>
        <w:rPr>
          <w:rFonts w:hint="eastAsia"/>
        </w:rPr>
        <w:t>本项目预算资金</w:t>
      </w:r>
      <w:r>
        <w:rPr>
          <w:rFonts w:hint="eastAsia" w:ascii="Times New Roman" w:hAnsi="Times New Roman"/>
          <w:color w:val="auto"/>
          <w:lang w:val="en-US" w:eastAsia="zh-CN"/>
        </w:rPr>
        <w:t>107万元</w:t>
      </w:r>
      <w:r>
        <w:rPr>
          <w:rFonts w:hint="eastAsia"/>
        </w:rPr>
        <w:t>，实际到位资</w:t>
      </w:r>
      <w:r>
        <w:rPr>
          <w:rFonts w:hint="eastAsia" w:ascii="Times New Roman" w:hAnsi="Times New Roman"/>
          <w:color w:val="auto"/>
          <w:lang w:val="en-US" w:eastAsia="zh-CN"/>
        </w:rPr>
        <w:t>金107万元</w:t>
      </w:r>
      <w:r>
        <w:rPr>
          <w:rFonts w:hint="eastAsia"/>
        </w:rPr>
        <w:t>，资金到位率</w:t>
      </w:r>
      <w:r>
        <w:rPr>
          <w:rFonts w:hint="eastAsia" w:ascii="Times New Roman" w:hAnsi="Times New Roman"/>
          <w:color w:val="auto"/>
          <w:lang w:val="en-US" w:eastAsia="zh-CN"/>
        </w:rPr>
        <w:t>100%。</w:t>
      </w:r>
    </w:p>
    <w:p>
      <w:pPr>
        <w:bidi w:val="0"/>
      </w:pPr>
      <w:r>
        <w:rPr>
          <w:rFonts w:hint="eastAsia"/>
        </w:rPr>
        <w:t>本项满分4分，评估得分4分。</w:t>
      </w:r>
    </w:p>
    <w:p>
      <w:pPr>
        <w:bidi w:val="0"/>
      </w:pPr>
      <w:r>
        <w:rPr>
          <w:rFonts w:hint="eastAsia"/>
        </w:rPr>
        <w:t>2、预算执行率</w:t>
      </w:r>
    </w:p>
    <w:p>
      <w:pPr>
        <w:bidi w:val="0"/>
        <w:rPr>
          <w:rFonts w:hint="eastAsia" w:ascii="Times New Roman" w:hAnsi="Times New Roman"/>
          <w:color w:val="auto"/>
          <w:lang w:val="en-US" w:eastAsia="zh-CN"/>
        </w:rPr>
      </w:pPr>
      <w:r>
        <w:rPr>
          <w:rFonts w:hint="eastAsia"/>
        </w:rPr>
        <w:t>本项目到位资金</w:t>
      </w:r>
      <w:r>
        <w:rPr>
          <w:rFonts w:hint="eastAsia" w:ascii="Times New Roman" w:hAnsi="Times New Roman"/>
          <w:color w:val="auto"/>
          <w:lang w:val="en-US" w:eastAsia="zh-CN"/>
        </w:rPr>
        <w:t>107万</w:t>
      </w:r>
      <w:r>
        <w:rPr>
          <w:rFonts w:hint="eastAsia"/>
        </w:rPr>
        <w:t>元，实际支付资金</w:t>
      </w:r>
      <w:r>
        <w:rPr>
          <w:rFonts w:hint="eastAsia" w:ascii="Times New Roman" w:hAnsi="Times New Roman"/>
          <w:color w:val="auto"/>
          <w:lang w:val="en-US" w:eastAsia="zh-CN"/>
        </w:rPr>
        <w:t>107万</w:t>
      </w:r>
      <w:r>
        <w:rPr>
          <w:rFonts w:hint="eastAsia"/>
        </w:rPr>
        <w:t>元，预算执行率为</w:t>
      </w:r>
      <w:r>
        <w:rPr>
          <w:rFonts w:hint="eastAsia" w:ascii="Times New Roman" w:hAnsi="Times New Roman"/>
          <w:color w:val="auto"/>
          <w:lang w:val="en-US" w:eastAsia="zh-CN"/>
        </w:rPr>
        <w:t>100%。</w:t>
      </w:r>
    </w:p>
    <w:p>
      <w:pPr>
        <w:bidi w:val="0"/>
      </w:pPr>
      <w:r>
        <w:rPr>
          <w:rFonts w:hint="eastAsia"/>
        </w:rPr>
        <w:t>本项满分4分，评估得分4分。</w:t>
      </w:r>
    </w:p>
    <w:p>
      <w:pPr>
        <w:bidi w:val="0"/>
      </w:pPr>
      <w:r>
        <w:rPr>
          <w:rFonts w:hint="eastAsia"/>
        </w:rPr>
        <w:t>3、资金使用合规性</w:t>
      </w:r>
    </w:p>
    <w:p>
      <w:pPr>
        <w:bidi w:val="0"/>
        <w:rPr>
          <w:rFonts w:hint="eastAsia" w:ascii="Times New Roman" w:hAnsi="Times New Roman"/>
          <w:color w:val="auto"/>
          <w:lang w:val="en-US" w:eastAsia="zh-CN"/>
        </w:rPr>
      </w:pPr>
      <w:r>
        <w:rPr>
          <w:rFonts w:hint="eastAsia" w:ascii="Times New Roman" w:hAnsi="Times New Roman"/>
          <w:color w:val="auto"/>
          <w:lang w:val="en-US" w:eastAsia="zh-CN"/>
        </w:rPr>
        <w:t>本项目资金的使用符合《中华人民共和国预算法</w:t>
      </w:r>
      <w:r>
        <w:rPr>
          <w:rFonts w:hint="eastAsia"/>
          <w:color w:val="auto"/>
          <w:lang w:val="en-US" w:eastAsia="zh-CN"/>
        </w:rPr>
        <w:t>》《</w:t>
      </w:r>
      <w:r>
        <w:rPr>
          <w:rFonts w:hint="eastAsia" w:ascii="Times New Roman" w:hAnsi="Times New Roman"/>
          <w:color w:val="auto"/>
          <w:lang w:val="en-US" w:eastAsia="zh-CN"/>
        </w:rPr>
        <w:t>中华人民共和国会计法》等国家有关财经法规以及预算管理制度；符合《自治区专项资金管理办法》要求。资金的审批和拨付按照《尉犁县财政资金审批管理办法》执行，有完整的审批程序和手续；资金使用符合专项资金支持的范围。不存在截留、挤占、挪用、虚列支出等情况。</w:t>
      </w:r>
    </w:p>
    <w:p>
      <w:pPr>
        <w:bidi w:val="0"/>
      </w:pPr>
      <w:r>
        <w:rPr>
          <w:rFonts w:hint="eastAsia"/>
        </w:rPr>
        <w:t>本项满分4分，评估得分4分。</w:t>
      </w:r>
    </w:p>
    <w:p>
      <w:pPr>
        <w:bidi w:val="0"/>
      </w:pPr>
      <w:r>
        <w:rPr>
          <w:rFonts w:hint="eastAsia"/>
        </w:rPr>
        <w:t>4、管理制度健全性</w:t>
      </w:r>
    </w:p>
    <w:p>
      <w:pPr>
        <w:spacing w:line="360" w:lineRule="auto"/>
        <w:ind w:firstLine="640"/>
        <w:rPr>
          <w:rFonts w:hint="eastAsia" w:ascii="宋体" w:hAnsi="宋体" w:eastAsia="宋体" w:cs="宋体"/>
          <w:b/>
          <w:bCs/>
          <w:color w:val="auto"/>
          <w:kern w:val="2"/>
          <w:sz w:val="32"/>
          <w:szCs w:val="24"/>
          <w:highlight w:val="cyan"/>
          <w:lang w:val="en-US" w:eastAsia="zh-CN" w:bidi="ar-SA"/>
        </w:rPr>
      </w:pPr>
      <w:r>
        <w:rPr>
          <w:rFonts w:hint="eastAsia" w:ascii="Times New Roman" w:hAnsi="Times New Roman"/>
          <w:color w:val="auto"/>
          <w:lang w:val="en-US" w:eastAsia="zh-CN"/>
        </w:rPr>
        <w:t>尉犁县交通运输局</w:t>
      </w:r>
      <w:r>
        <w:rPr>
          <w:rFonts w:hint="eastAsia"/>
          <w:color w:val="auto"/>
          <w:lang w:val="en-US" w:eastAsia="zh-CN"/>
        </w:rPr>
        <w:t>还</w:t>
      </w:r>
      <w:bookmarkStart w:id="35" w:name="_GoBack"/>
      <w:bookmarkEnd w:id="35"/>
      <w:r>
        <w:rPr>
          <w:rFonts w:hint="eastAsia" w:ascii="Times New Roman" w:hAnsi="Times New Roman"/>
          <w:color w:val="auto"/>
          <w:lang w:val="en-US" w:eastAsia="zh-CN"/>
        </w:rPr>
        <w:t>制定了《尉犁县交通运输局财务管理办法》和《尉犁县交通运输局内控管理制度</w:t>
      </w:r>
      <w:r>
        <w:rPr>
          <w:rFonts w:hint="eastAsia" w:ascii="Times New Roman" w:hAnsi="Times New Roman"/>
          <w:color w:val="auto"/>
        </w:rPr>
        <w:t>》</w:t>
      </w:r>
      <w:r>
        <w:rPr>
          <w:rFonts w:hint="eastAsia"/>
          <w:color w:val="auto"/>
        </w:rPr>
        <w:t>，</w:t>
      </w:r>
      <w:r>
        <w:rPr>
          <w:rFonts w:hint="eastAsia" w:ascii="Times New Roman" w:hAnsi="Times New Roman"/>
          <w:color w:val="auto"/>
          <w:lang w:val="en-US" w:eastAsia="zh-CN"/>
        </w:rPr>
        <w:t>制定了较为全面的工作管理制度，对工作开展、组织与管理、跟踪与验收、监督与评价以及资金管理等方面都做出明确的规范要求。同时，项目的实施严格遵守《中华人民共和国预算法</w:t>
      </w:r>
      <w:r>
        <w:rPr>
          <w:rFonts w:hint="eastAsia"/>
          <w:color w:val="auto"/>
          <w:lang w:val="en-US" w:eastAsia="zh-CN"/>
        </w:rPr>
        <w:t>》《</w:t>
      </w:r>
      <w:r>
        <w:rPr>
          <w:rFonts w:hint="eastAsia" w:ascii="Times New Roman" w:hAnsi="Times New Roman"/>
          <w:color w:val="auto"/>
          <w:lang w:val="en-US" w:eastAsia="zh-CN"/>
        </w:rPr>
        <w:t>中华人民共和国会计法》等法律法规、财经制度的要求</w:t>
      </w:r>
      <w:r>
        <w:rPr>
          <w:rFonts w:hint="eastAsia" w:ascii="Times New Roman" w:hAnsi="Times New Roman"/>
          <w:color w:val="FF0000"/>
          <w:lang w:val="en-US" w:eastAsia="zh-CN"/>
        </w:rPr>
        <w:t>。</w:t>
      </w:r>
    </w:p>
    <w:p>
      <w:pPr>
        <w:bidi w:val="0"/>
      </w:pPr>
      <w:r>
        <w:rPr>
          <w:rFonts w:hint="eastAsia"/>
        </w:rPr>
        <w:t>本项满分3分，评估得分3分。</w:t>
      </w:r>
    </w:p>
    <w:p>
      <w:pPr>
        <w:bidi w:val="0"/>
      </w:pPr>
      <w:r>
        <w:rPr>
          <w:rFonts w:hint="eastAsia"/>
        </w:rPr>
        <w:t>5、制度执行有效性</w:t>
      </w:r>
    </w:p>
    <w:p>
      <w:pPr>
        <w:bidi w:val="0"/>
      </w:pPr>
      <w:r>
        <w:t>本项目在实施过程中严格遵守相关法律法规和相关管理规定，</w:t>
      </w:r>
      <w:r>
        <w:rPr>
          <w:rFonts w:hint="eastAsia"/>
        </w:rPr>
        <w:t>如《中华人民共和国预算法</w:t>
      </w:r>
      <w:r>
        <w:rPr>
          <w:rFonts w:hint="eastAsia"/>
          <w:lang w:eastAsia="zh-CN"/>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hint="eastAsia"/>
          <w:lang w:val="en-US" w:eastAsia="zh-CN"/>
        </w:rPr>
      </w:pPr>
      <w:r>
        <w:rPr>
          <w:rFonts w:hint="eastAsia"/>
        </w:rPr>
        <w:t>本项满分3分，评估得分3分。</w:t>
      </w:r>
      <w:bookmarkStart w:id="20" w:name="_Toc32013"/>
    </w:p>
    <w:p>
      <w:pPr>
        <w:pStyle w:val="6"/>
        <w:bidi w:val="0"/>
      </w:pPr>
      <w:r>
        <w:rPr>
          <w:rFonts w:hint="eastAsia"/>
        </w:rPr>
        <w:t>（三）项目产出情况</w:t>
      </w:r>
      <w:bookmarkEnd w:id="20"/>
    </w:p>
    <w:p>
      <w:pPr>
        <w:bidi w:val="0"/>
      </w:pPr>
      <w:r>
        <w:rPr>
          <w:rFonts w:hint="eastAsia"/>
        </w:rPr>
        <w:t>1、产出数量</w:t>
      </w:r>
    </w:p>
    <w:p>
      <w:pPr>
        <w:bidi w:val="0"/>
        <w:rPr>
          <w:rFonts w:hint="eastAsia"/>
          <w:sz w:val="31"/>
          <w:szCs w:val="31"/>
          <w:lang w:val="en-US" w:eastAsia="zh-CN"/>
        </w:rPr>
      </w:pPr>
      <w:r>
        <w:rPr>
          <w:rFonts w:hint="eastAsia"/>
          <w:sz w:val="31"/>
          <w:szCs w:val="31"/>
          <w:lang w:val="en-US" w:eastAsia="zh-CN"/>
        </w:rPr>
        <w:t>指标1：养护县道里程&gt;=183公里，实际完成值183公里，指标完成率100%；</w:t>
      </w:r>
    </w:p>
    <w:p>
      <w:pPr>
        <w:bidi w:val="0"/>
        <w:rPr>
          <w:rFonts w:hint="eastAsia"/>
          <w:sz w:val="31"/>
          <w:szCs w:val="31"/>
          <w:lang w:val="en-US" w:eastAsia="zh-CN"/>
        </w:rPr>
      </w:pPr>
      <w:r>
        <w:rPr>
          <w:rFonts w:hint="eastAsia"/>
          <w:sz w:val="31"/>
          <w:szCs w:val="31"/>
          <w:lang w:val="en-US" w:eastAsia="zh-CN"/>
        </w:rPr>
        <w:t>指标2：道路养护里程&gt;=184公里，实际完成值184公里，指标完成率100%；</w:t>
      </w:r>
    </w:p>
    <w:p>
      <w:pPr>
        <w:bidi w:val="0"/>
        <w:rPr>
          <w:rFonts w:hint="eastAsia"/>
          <w:sz w:val="31"/>
          <w:szCs w:val="31"/>
          <w:lang w:val="en-US" w:eastAsia="zh-CN"/>
        </w:rPr>
      </w:pPr>
      <w:r>
        <w:rPr>
          <w:rFonts w:hint="eastAsia"/>
          <w:sz w:val="31"/>
          <w:szCs w:val="31"/>
          <w:lang w:val="en-US" w:eastAsia="zh-CN"/>
        </w:rPr>
        <w:t>指标3：航道养护里程&gt;=933公里，实际完成值933公里，指标完成率100%；</w:t>
      </w:r>
    </w:p>
    <w:p>
      <w:pPr>
        <w:bidi w:val="0"/>
        <w:rPr>
          <w:rFonts w:hint="eastAsia"/>
          <w:sz w:val="31"/>
          <w:szCs w:val="31"/>
          <w:lang w:val="en-US" w:eastAsia="zh-CN"/>
        </w:rPr>
      </w:pPr>
      <w:r>
        <w:rPr>
          <w:rFonts w:hint="eastAsia"/>
          <w:sz w:val="31"/>
          <w:szCs w:val="31"/>
          <w:lang w:val="en-US" w:eastAsia="zh-CN"/>
        </w:rPr>
        <w:t>本项满分30分，评估得分30分。</w:t>
      </w:r>
    </w:p>
    <w:p>
      <w:pPr>
        <w:bidi w:val="0"/>
      </w:pPr>
      <w:r>
        <w:rPr>
          <w:rFonts w:hint="eastAsia"/>
        </w:rPr>
        <w:t>2、产出质量</w:t>
      </w:r>
    </w:p>
    <w:p>
      <w:pPr>
        <w:bidi w:val="0"/>
        <w:rPr>
          <w:rFonts w:hint="eastAsia"/>
          <w:sz w:val="31"/>
          <w:szCs w:val="31"/>
          <w:lang w:val="en-US" w:eastAsia="zh-CN"/>
        </w:rPr>
      </w:pPr>
      <w:r>
        <w:rPr>
          <w:rFonts w:hint="eastAsia"/>
          <w:sz w:val="31"/>
          <w:szCs w:val="31"/>
          <w:lang w:val="en-US" w:eastAsia="zh-CN"/>
        </w:rPr>
        <w:t>指标1：工程合格率（%），指标值100%，指标完成值100%，指标完成率100%；</w:t>
      </w:r>
    </w:p>
    <w:p>
      <w:pPr>
        <w:bidi w:val="0"/>
        <w:rPr>
          <w:rFonts w:hint="eastAsia"/>
          <w:sz w:val="31"/>
          <w:szCs w:val="31"/>
          <w:lang w:val="en-US" w:eastAsia="zh-CN"/>
        </w:rPr>
      </w:pPr>
      <w:r>
        <w:rPr>
          <w:rFonts w:hint="eastAsia"/>
          <w:sz w:val="31"/>
          <w:szCs w:val="31"/>
          <w:lang w:val="en-US" w:eastAsia="zh-CN"/>
        </w:rPr>
        <w:t>本项满分10分，评估得分10分。</w:t>
      </w:r>
    </w:p>
    <w:p>
      <w:pPr>
        <w:bidi w:val="0"/>
      </w:pPr>
      <w:r>
        <w:rPr>
          <w:rFonts w:hint="eastAsia"/>
        </w:rPr>
        <w:t>3、产出时效</w:t>
      </w:r>
    </w:p>
    <w:p>
      <w:pPr>
        <w:bidi w:val="0"/>
        <w:rPr>
          <w:rFonts w:hint="eastAsia"/>
          <w:sz w:val="31"/>
          <w:szCs w:val="31"/>
          <w:lang w:val="en-US" w:eastAsia="zh-CN"/>
        </w:rPr>
      </w:pPr>
      <w:r>
        <w:rPr>
          <w:rFonts w:hint="eastAsia"/>
          <w:sz w:val="31"/>
          <w:szCs w:val="31"/>
          <w:lang w:val="en-US" w:eastAsia="zh-CN"/>
        </w:rPr>
        <w:t>指标1：按期完成投资率（%），指标值100%，指标完成值100.0%，指标完成率100%。</w:t>
      </w:r>
    </w:p>
    <w:p>
      <w:pPr>
        <w:bidi w:val="0"/>
      </w:pPr>
      <w:r>
        <w:rPr>
          <w:rFonts w:hint="eastAsia"/>
        </w:rPr>
        <w:t>本项满分1</w:t>
      </w:r>
      <w:r>
        <w:rPr>
          <w:rFonts w:hint="eastAsia"/>
          <w:lang w:val="en-US" w:eastAsia="zh-CN"/>
        </w:rPr>
        <w:t>0</w:t>
      </w:r>
      <w:r>
        <w:rPr>
          <w:rFonts w:hint="eastAsia"/>
        </w:rPr>
        <w:t>分，评</w:t>
      </w:r>
      <w:r>
        <w:rPr>
          <w:rFonts w:hint="eastAsia"/>
          <w:sz w:val="31"/>
          <w:szCs w:val="31"/>
          <w:lang w:val="en-US" w:eastAsia="zh-CN"/>
        </w:rPr>
        <w:t>估得分10分。</w:t>
      </w:r>
    </w:p>
    <w:p>
      <w:pPr>
        <w:pStyle w:val="6"/>
        <w:bidi w:val="0"/>
      </w:pPr>
      <w:bookmarkStart w:id="21" w:name="_Toc28354"/>
      <w:r>
        <w:rPr>
          <w:rFonts w:hint="eastAsia"/>
        </w:rPr>
        <w:t>（四）项目效益情况</w:t>
      </w:r>
      <w:bookmarkEnd w:id="21"/>
    </w:p>
    <w:p>
      <w:pPr>
        <w:bidi w:val="0"/>
        <w:rPr>
          <w:color w:val="auto"/>
        </w:rPr>
      </w:pPr>
      <w:r>
        <w:rPr>
          <w:rFonts w:hint="eastAsia"/>
          <w:color w:val="auto"/>
        </w:rPr>
        <w:t>1、实</w:t>
      </w:r>
      <w:r>
        <w:rPr>
          <w:rFonts w:hint="eastAsia"/>
          <w:color w:val="auto"/>
          <w:lang w:val="en-US" w:eastAsia="zh-CN"/>
        </w:rPr>
        <w:t>施</w:t>
      </w:r>
      <w:r>
        <w:rPr>
          <w:rFonts w:hint="eastAsia"/>
          <w:color w:val="auto"/>
        </w:rPr>
        <w:t>效益</w:t>
      </w:r>
    </w:p>
    <w:p>
      <w:pPr>
        <w:bidi w:val="0"/>
        <w:rPr>
          <w:rFonts w:hint="default" w:eastAsia="仿宋_GB2312"/>
          <w:color w:val="auto"/>
          <w:lang w:val="en-US" w:eastAsia="zh-CN"/>
        </w:rPr>
      </w:pPr>
      <w:r>
        <w:rPr>
          <w:rFonts w:hint="eastAsia"/>
          <w:color w:val="auto"/>
        </w:rPr>
        <w:t>本项目实施所产生的效益主要包括</w:t>
      </w:r>
      <w:r>
        <w:rPr>
          <w:rFonts w:hint="eastAsia"/>
          <w:color w:val="auto"/>
          <w:lang w:eastAsia="zh-CN"/>
        </w:rPr>
        <w:t>经济效益</w:t>
      </w:r>
      <w:r>
        <w:rPr>
          <w:rFonts w:hint="eastAsia"/>
          <w:color w:val="auto"/>
          <w:lang w:val="en-US" w:eastAsia="zh-CN"/>
        </w:rPr>
        <w:t>和生态效益</w:t>
      </w:r>
      <w:r>
        <w:rPr>
          <w:rFonts w:hint="eastAsia"/>
          <w:color w:val="auto"/>
          <w:lang w:eastAsia="zh-CN"/>
        </w:rPr>
        <w:t>，</w:t>
      </w:r>
      <w:r>
        <w:rPr>
          <w:rFonts w:hint="eastAsia"/>
          <w:color w:val="auto"/>
          <w:lang w:val="en-US" w:eastAsia="zh-CN"/>
        </w:rPr>
        <w:t>项目的实施明显提高</w:t>
      </w:r>
      <w:r>
        <w:rPr>
          <w:rFonts w:hint="eastAsia"/>
          <w:color w:val="auto"/>
          <w:lang w:eastAsia="zh-CN"/>
        </w:rPr>
        <w:t>沿线群众出行条件，农村公路</w:t>
      </w:r>
      <w:r>
        <w:rPr>
          <w:rFonts w:hint="eastAsia"/>
          <w:color w:val="auto"/>
        </w:rPr>
        <w:t>服务社会能力效果显著</w:t>
      </w:r>
      <w:r>
        <w:rPr>
          <w:rFonts w:hint="eastAsia"/>
          <w:color w:val="auto"/>
          <w:lang w:eastAsia="zh-CN"/>
        </w:rPr>
        <w:t>，</w:t>
      </w:r>
      <w:r>
        <w:rPr>
          <w:rFonts w:hint="eastAsia"/>
          <w:color w:val="auto"/>
          <w:lang w:val="en-US" w:eastAsia="zh-CN"/>
        </w:rPr>
        <w:t>交通建设符合环评审批要求。</w:t>
      </w:r>
    </w:p>
    <w:p>
      <w:pPr>
        <w:bidi w:val="0"/>
        <w:rPr>
          <w:color w:val="auto"/>
        </w:rPr>
      </w:pPr>
      <w:r>
        <w:rPr>
          <w:rFonts w:hint="eastAsia"/>
          <w:color w:val="auto"/>
        </w:rPr>
        <w:t>本项满分</w:t>
      </w:r>
      <w:r>
        <w:rPr>
          <w:rFonts w:hint="eastAsia"/>
          <w:color w:val="auto"/>
          <w:lang w:val="en-US" w:eastAsia="zh-CN"/>
        </w:rPr>
        <w:t>30</w:t>
      </w:r>
      <w:r>
        <w:rPr>
          <w:rFonts w:hint="eastAsia"/>
          <w:color w:val="auto"/>
        </w:rPr>
        <w:t>分，评估得分</w:t>
      </w:r>
      <w:r>
        <w:rPr>
          <w:rFonts w:hint="eastAsia"/>
          <w:color w:val="auto"/>
          <w:lang w:val="en-US" w:eastAsia="zh-CN"/>
        </w:rPr>
        <w:t>30</w:t>
      </w:r>
      <w:r>
        <w:rPr>
          <w:rFonts w:hint="eastAsia"/>
          <w:color w:val="auto"/>
        </w:rPr>
        <w:t>分。</w:t>
      </w:r>
    </w:p>
    <w:p>
      <w:pPr>
        <w:bidi w:val="0"/>
      </w:pPr>
      <w:r>
        <w:rPr>
          <w:rFonts w:hint="eastAsia"/>
        </w:rPr>
        <w:t>2、满意度</w:t>
      </w:r>
    </w:p>
    <w:p>
      <w:pPr>
        <w:bidi w:val="0"/>
        <w:rPr>
          <w:color w:val="auto"/>
        </w:rPr>
      </w:pPr>
      <w:r>
        <w:rPr>
          <w:rFonts w:hint="eastAsia"/>
          <w:color w:val="auto"/>
        </w:rPr>
        <w:t>本项目服务对象和受益群众主要是</w:t>
      </w:r>
      <w:r>
        <w:rPr>
          <w:rFonts w:hint="eastAsia"/>
          <w:color w:val="auto"/>
          <w:lang w:val="en-US" w:eastAsia="zh-CN"/>
        </w:rPr>
        <w:t>社会群众</w:t>
      </w:r>
      <w:r>
        <w:rPr>
          <w:rFonts w:hint="eastAsia"/>
          <w:color w:val="auto"/>
        </w:rPr>
        <w:t>，通过问卷调查方式收集</w:t>
      </w:r>
      <w:r>
        <w:rPr>
          <w:rFonts w:hint="eastAsia"/>
          <w:color w:val="auto"/>
          <w:lang w:val="en-US" w:eastAsia="zh-CN"/>
        </w:rPr>
        <w:t>群众</w:t>
      </w:r>
      <w:r>
        <w:rPr>
          <w:rFonts w:hint="eastAsia"/>
          <w:color w:val="auto"/>
        </w:rPr>
        <w:t>对本项目实施的满意度。服务群众满意度</w:t>
      </w:r>
      <w:r>
        <w:rPr>
          <w:rFonts w:hint="eastAsia"/>
          <w:color w:val="auto"/>
          <w:lang w:val="en-US" w:eastAsia="zh-CN"/>
        </w:rPr>
        <w:t>95%。</w:t>
      </w:r>
    </w:p>
    <w:p>
      <w:pPr>
        <w:bidi w:val="0"/>
      </w:pPr>
      <w:r>
        <w:rPr>
          <w:rFonts w:hint="eastAsia"/>
        </w:rPr>
        <w:t>本项满分10分，评估得分10分。</w:t>
      </w:r>
    </w:p>
    <w:p>
      <w:pPr>
        <w:pStyle w:val="5"/>
        <w:bidi w:val="0"/>
      </w:pPr>
      <w:bookmarkStart w:id="22" w:name="_Toc27244"/>
      <w:r>
        <w:rPr>
          <w:rFonts w:hint="eastAsia"/>
        </w:rPr>
        <w:t>五、主要经验及做法、存在的问题及原因分析</w:t>
      </w:r>
      <w:bookmarkEnd w:id="22"/>
    </w:p>
    <w:p>
      <w:pPr>
        <w:pStyle w:val="6"/>
        <w:bidi w:val="0"/>
      </w:pPr>
      <w:bookmarkStart w:id="23" w:name="_Toc18880"/>
      <w:r>
        <w:rPr>
          <w:rFonts w:hint="eastAsia"/>
        </w:rPr>
        <w:t>（一）主要经验及做法</w:t>
      </w:r>
      <w:bookmarkEnd w:id="23"/>
    </w:p>
    <w:p>
      <w:pPr>
        <w:bidi w:val="0"/>
      </w:pPr>
      <w:r>
        <w:rPr>
          <w:rFonts w:hint="eastAsia"/>
          <w:color w:val="auto"/>
          <w:lang w:eastAsia="zh-CN"/>
        </w:rPr>
        <w:t>2023年成品油税费改革用于农村公路日常养护资金</w:t>
      </w:r>
      <w:r>
        <w:rPr>
          <w:rFonts w:hint="eastAsia"/>
          <w:color w:val="auto"/>
          <w:lang w:val="en-US" w:eastAsia="zh-CN"/>
        </w:rPr>
        <w:t>在县委、县政府</w:t>
      </w:r>
      <w:r>
        <w:rPr>
          <w:rFonts w:hint="eastAsia"/>
        </w:rPr>
        <w:t>的支持下，在相关部门的配合下，全面顺利完成，绩效评价“优”，主要经验及做法如下：</w:t>
      </w:r>
    </w:p>
    <w:p>
      <w:pPr>
        <w:bidi w:val="0"/>
      </w:pPr>
      <w:r>
        <w:rPr>
          <w:rFonts w:hint="eastAsia"/>
        </w:rPr>
        <w:t>1、加强领导，落实责任。为规范、有效推</w:t>
      </w:r>
      <w:r>
        <w:rPr>
          <w:rFonts w:hint="eastAsia"/>
          <w:color w:val="auto"/>
        </w:rPr>
        <w:t>进</w:t>
      </w:r>
      <w:r>
        <w:rPr>
          <w:rFonts w:hint="eastAsia"/>
          <w:color w:val="auto"/>
          <w:lang w:val="en-US" w:eastAsia="zh-CN"/>
        </w:rPr>
        <w:t>工作开展</w:t>
      </w:r>
      <w:r>
        <w:rPr>
          <w:rFonts w:hint="eastAsia"/>
          <w:color w:val="auto"/>
        </w:rPr>
        <w:t>，成立县</w:t>
      </w:r>
      <w:r>
        <w:rPr>
          <w:rFonts w:hint="eastAsia"/>
          <w:color w:val="auto"/>
          <w:lang w:eastAsia="zh-CN"/>
        </w:rPr>
        <w:t>尉犁县交通运输局项目资金有效管理领导小组，由局长任组长，党组成员任副组长，各部门领导为成员的项目领导小组，明确了各部门工作职责，从</w:t>
      </w:r>
      <w:r>
        <w:rPr>
          <w:rFonts w:hint="eastAsia"/>
          <w:color w:val="auto"/>
          <w:lang w:val="en-US" w:eastAsia="zh-CN"/>
        </w:rPr>
        <w:t>制定工作方案、工作推进</w:t>
      </w:r>
      <w:r>
        <w:rPr>
          <w:rFonts w:hint="eastAsia"/>
          <w:color w:val="auto"/>
          <w:lang w:eastAsia="zh-CN"/>
        </w:rPr>
        <w:t>、资金管理各方面加强统筹协调，共同推进</w:t>
      </w:r>
      <w:r>
        <w:rPr>
          <w:rFonts w:hint="eastAsia"/>
          <w:color w:val="auto"/>
          <w:lang w:val="en-US" w:eastAsia="zh-CN"/>
        </w:rPr>
        <w:t>养护管理工作</w:t>
      </w:r>
      <w:r>
        <w:rPr>
          <w:rFonts w:hint="eastAsia"/>
        </w:rPr>
        <w:t>顺利实施。</w:t>
      </w:r>
    </w:p>
    <w:p>
      <w:pPr>
        <w:bidi w:val="0"/>
      </w:pPr>
      <w:r>
        <w:rPr>
          <w:rFonts w:hint="eastAsia"/>
        </w:rPr>
        <w:t>2、严格程序，确保资金效益。严格资金审批流程，明确资金使用范围，保证项目资金专款专用，有效杜绝了截留、挪用、滞留、浪费资金等现象的发生，确保了资金使用安全和最大效益的发挥。</w:t>
      </w:r>
    </w:p>
    <w:p>
      <w:pPr>
        <w:pStyle w:val="6"/>
        <w:bidi w:val="0"/>
      </w:pPr>
      <w:bookmarkStart w:id="24" w:name="_Toc9914"/>
      <w:r>
        <w:rPr>
          <w:rFonts w:hint="eastAsia"/>
        </w:rPr>
        <w:t>（二）存在问题及原因分析</w:t>
      </w:r>
      <w:bookmarkEnd w:id="24"/>
    </w:p>
    <w:p>
      <w:pPr>
        <w:bidi w:val="0"/>
        <w:rPr>
          <w:rFonts w:hint="eastAsia"/>
        </w:rPr>
      </w:pPr>
      <w:r>
        <w:rPr>
          <w:rFonts w:hint="eastAsia"/>
        </w:rPr>
        <w:t>1、绩效管理体系需要逐渐健全。首先，需要进一步完善</w:t>
      </w:r>
      <w:r>
        <w:rPr>
          <w:rFonts w:hint="eastAsia"/>
          <w:lang w:val="en-US" w:eastAsia="zh-CN"/>
        </w:rPr>
        <w:t>单位内部</w:t>
      </w:r>
      <w:r>
        <w:rPr>
          <w:rFonts w:hint="eastAsia"/>
        </w:rPr>
        <w:t>预算绩效管理制度，为单位预算绩效管理工作提供强有力的制度保障；其次，需要进一步建立健全</w:t>
      </w:r>
      <w:r>
        <w:rPr>
          <w:rFonts w:hint="eastAsia"/>
          <w:lang w:val="en-US" w:eastAsia="zh-CN"/>
        </w:rPr>
        <w:t>本单位</w:t>
      </w:r>
      <w:r>
        <w:rPr>
          <w:rFonts w:hint="eastAsia"/>
        </w:rPr>
        <w:t>绩效评价指标体系，对个性化指标进行不断优化调整。</w:t>
      </w:r>
    </w:p>
    <w:p>
      <w:pPr>
        <w:bidi w:val="0"/>
        <w:rPr>
          <w:rFonts w:hint="eastAsia"/>
        </w:rPr>
      </w:pPr>
      <w:r>
        <w:rPr>
          <w:rFonts w:hint="eastAsia"/>
        </w:rPr>
        <w:t>2、具体项目实施的</w:t>
      </w:r>
      <w:r>
        <w:rPr>
          <w:rFonts w:hint="eastAsia"/>
          <w:lang w:val="en-US" w:eastAsia="zh-CN"/>
        </w:rPr>
        <w:t>科（股）室</w:t>
      </w:r>
      <w:r>
        <w:rPr>
          <w:rFonts w:hint="eastAsia"/>
        </w:rPr>
        <w:t>对项目绩效管理认识不足。目前县</w:t>
      </w:r>
      <w:r>
        <w:rPr>
          <w:rFonts w:hint="eastAsia"/>
          <w:lang w:eastAsia="zh-CN"/>
        </w:rPr>
        <w:t>交通运输局</w:t>
      </w:r>
      <w:r>
        <w:rPr>
          <w:rFonts w:hint="eastAsia"/>
        </w:rPr>
        <w:t>办公室相关的绩效目标设定、绩效管理监控等方面都集中在行政办，具体项目实施的</w:t>
      </w:r>
      <w:r>
        <w:rPr>
          <w:rFonts w:hint="eastAsia"/>
          <w:lang w:val="en-US" w:eastAsia="zh-CN"/>
        </w:rPr>
        <w:t>科（股）室</w:t>
      </w:r>
      <w:r>
        <w:rPr>
          <w:rFonts w:hint="eastAsia"/>
        </w:rPr>
        <w:t>对项目绩效的参与度不高、认识不到位。</w:t>
      </w:r>
    </w:p>
    <w:p>
      <w:pPr>
        <w:pStyle w:val="5"/>
        <w:bidi w:val="0"/>
      </w:pPr>
      <w:bookmarkStart w:id="25" w:name="_Toc2334"/>
      <w:r>
        <w:rPr>
          <w:rFonts w:hint="eastAsia"/>
        </w:rPr>
        <w:t>六、有关建议</w:t>
      </w:r>
      <w:bookmarkEnd w:id="25"/>
    </w:p>
    <w:p>
      <w:pPr>
        <w:bidi w:val="0"/>
        <w:rPr>
          <w:rFonts w:hint="eastAsia"/>
        </w:rPr>
      </w:pPr>
      <w:r>
        <w:rPr>
          <w:rFonts w:hint="eastAsia"/>
        </w:rPr>
        <w:t>1、县</w:t>
      </w:r>
      <w:r>
        <w:rPr>
          <w:rFonts w:hint="eastAsia"/>
          <w:lang w:eastAsia="zh-CN"/>
        </w:rPr>
        <w:t>交通运输局</w:t>
      </w:r>
      <w:r>
        <w:rPr>
          <w:rFonts w:hint="eastAsia"/>
        </w:rPr>
        <w:t>将进一步完善</w:t>
      </w:r>
      <w:r>
        <w:rPr>
          <w:rFonts w:hint="eastAsia"/>
          <w:lang w:val="en-US" w:eastAsia="zh-CN"/>
        </w:rPr>
        <w:t>内部</w:t>
      </w:r>
      <w:r>
        <w:rPr>
          <w:rFonts w:hint="eastAsia"/>
        </w:rPr>
        <w:t>预算绩效管理机制、体制建设，加强对干部职工预算绩效管理知识的培训，树立干部职工预算绩效管理意识，针对预算绩效管理过程中存在的问题改进预算绩效管理工作，保证预算资金安全、高效使用。</w:t>
      </w:r>
    </w:p>
    <w:p>
      <w:pPr>
        <w:bidi w:val="0"/>
        <w:rPr>
          <w:rFonts w:hint="eastAsia"/>
        </w:rPr>
      </w:pPr>
      <w:r>
        <w:rPr>
          <w:rFonts w:hint="eastAsia"/>
        </w:rPr>
        <w:t>2、县</w:t>
      </w:r>
      <w:r>
        <w:rPr>
          <w:rFonts w:hint="eastAsia"/>
          <w:lang w:eastAsia="zh-CN"/>
        </w:rPr>
        <w:t>交通运输局</w:t>
      </w:r>
      <w:r>
        <w:rPr>
          <w:rFonts w:hint="eastAsia"/>
        </w:rPr>
        <w:t>在下一步的工作中将强化对</w:t>
      </w:r>
      <w:r>
        <w:rPr>
          <w:rFonts w:hint="eastAsia"/>
          <w:lang w:val="en-US" w:eastAsia="zh-CN"/>
        </w:rPr>
        <w:t>具体开展工作</w:t>
      </w:r>
      <w:r>
        <w:rPr>
          <w:rFonts w:hint="eastAsia"/>
        </w:rPr>
        <w:t>的</w:t>
      </w:r>
      <w:r>
        <w:rPr>
          <w:rFonts w:hint="eastAsia"/>
          <w:lang w:val="en-US" w:eastAsia="zh-CN"/>
        </w:rPr>
        <w:t>科（股）室</w:t>
      </w:r>
      <w:r>
        <w:rPr>
          <w:rFonts w:hint="eastAsia"/>
        </w:rPr>
        <w:t>对项目绩效的参与度，切实强化项目绩效管理。</w:t>
      </w:r>
    </w:p>
    <w:p>
      <w:pPr>
        <w:pStyle w:val="5"/>
        <w:bidi w:val="0"/>
      </w:pPr>
      <w:bookmarkStart w:id="26" w:name="_Toc30571"/>
      <w:r>
        <w:rPr>
          <w:rFonts w:hint="eastAsia"/>
        </w:rPr>
        <w:t>七、其他需要说明的问题</w:t>
      </w:r>
      <w:bookmarkEnd w:id="26"/>
    </w:p>
    <w:p>
      <w:pPr>
        <w:bidi w:val="0"/>
      </w:pPr>
      <w:r>
        <w:rPr>
          <w:rFonts w:hint="eastAsia"/>
        </w:rPr>
        <w:t>无其他需要说明的问题。</w:t>
      </w:r>
    </w:p>
    <w:p>
      <w:pPr>
        <w:pStyle w:val="5"/>
        <w:bidi w:val="0"/>
      </w:pPr>
      <w:bookmarkStart w:id="27" w:name="_Toc10180"/>
      <w:r>
        <w:rPr>
          <w:rFonts w:hint="eastAsia"/>
        </w:rPr>
        <w:t>八、相关附件</w:t>
      </w:r>
      <w:bookmarkEnd w:id="27"/>
    </w:p>
    <w:p>
      <w:pPr>
        <w:bidi w:val="0"/>
      </w:pPr>
      <w:r>
        <w:rPr>
          <w:rFonts w:hint="eastAsia"/>
        </w:rPr>
        <w:t>1、项目支出绩效自评表</w:t>
      </w:r>
    </w:p>
    <w:p>
      <w:pPr>
        <w:bidi w:val="0"/>
      </w:pPr>
      <w:r>
        <w:rPr>
          <w:rFonts w:hint="eastAsia"/>
        </w:rPr>
        <w:t>2、评价指标体系及得分表</w:t>
      </w:r>
    </w:p>
    <w:p>
      <w:pPr>
        <w:bidi w:val="0"/>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5"/>
        <w:bidi w:val="0"/>
        <w:ind w:firstLine="1280" w:firstLineChars="400"/>
      </w:pPr>
      <w:bookmarkStart w:id="28" w:name="_Toc12781"/>
      <w:bookmarkStart w:id="29" w:name="_Toc18004"/>
      <w:bookmarkStart w:id="30" w:name="_Toc6652"/>
      <w:r>
        <w:t>附件1：项目支出绩效自评表</w:t>
      </w:r>
      <w:bookmarkEnd w:id="28"/>
      <w:bookmarkEnd w:id="29"/>
      <w:bookmarkEnd w:id="30"/>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388"/>
        <w:gridCol w:w="359"/>
        <w:gridCol w:w="385"/>
        <w:gridCol w:w="572"/>
        <w:gridCol w:w="738"/>
        <w:gridCol w:w="412"/>
        <w:gridCol w:w="750"/>
        <w:gridCol w:w="452"/>
        <w:gridCol w:w="489"/>
        <w:gridCol w:w="427"/>
        <w:gridCol w:w="944"/>
        <w:gridCol w:w="635"/>
        <w:gridCol w:w="767"/>
        <w:gridCol w:w="10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0" w:type="auto"/>
            <w:gridSpan w:val="1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2023年成品油税费改革用于农村公路日常养护资金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尉犁县交通运输局</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尉犁县交通运输局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107.00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107.00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107.00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lang w:val="en-US" w:eastAsia="zh-CN"/>
              </w:rPr>
            </w:pPr>
            <w:r>
              <w:rPr>
                <w:rFonts w:hint="eastAsia"/>
                <w:lang w:val="en-US" w:eastAsia="zh-CN"/>
              </w:rPr>
              <w:t>107.00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进一步把农村公路建好、管好、护好、运营好，养护县道里程不少于183公里，养护乡道里程不少于184公里，养护村道里程不少于933公里，逐步消除制约农村发展的交通瓶颈，为广大农民脱贫致富奔小康提供更好的保障。</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完成养护县道里程183公里，养护乡道里程184公里，养护村道里程933公里，路肩补料2300㎡，路面裂缝灌缝837㎡、修补坑槽3003㎡、警示柱新建189根、道路标线13827㎡、标识标牌22块已完成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年度绩效指标完成情况</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产出指标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养护县道里程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&gt;=183公里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183公里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=183公里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道路养护里程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&gt;=184公里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184公里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=184公里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航道养护里程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&gt;=933公里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933公里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=933公里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工程合格率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按期完成投资率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对经济发展促进作用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明显提升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达成“明显提升”目标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按评判等级赋分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达成目标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生态效益指标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交通建设符合环评审批要求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改善通行服务水平群众满意度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满意度赋分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r>
              <w:rPr>
                <w:rFonts w:hint="eastAsia"/>
                <w:lang w:val="en-US" w:eastAsia="zh-CN"/>
              </w:rPr>
              <w:t>100.00分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bidi w:val="0"/>
              <w:rPr>
                <w:rFonts w:hint="eastAsia"/>
              </w:rPr>
            </w:pPr>
          </w:p>
        </w:tc>
      </w:tr>
    </w:tbl>
    <w:p/>
    <w:p>
      <w:pPr>
        <w:ind w:firstLine="600"/>
        <w:rPr>
          <w:sz w:val="30"/>
          <w:szCs w:val="30"/>
        </w:rPr>
      </w:pPr>
      <w:bookmarkStart w:id="31" w:name="_Toc1641"/>
      <w:bookmarkStart w:id="32" w:name="_Toc5134"/>
      <w:bookmarkStart w:id="33" w:name="_Toc28099"/>
      <w:r>
        <w:rPr>
          <w:color w:val="FF0000"/>
          <w:sz w:val="30"/>
          <w:szCs w:val="30"/>
        </w:rPr>
        <w:br w:type="page"/>
      </w:r>
    </w:p>
    <w:p>
      <w:pPr>
        <w:pStyle w:val="5"/>
        <w:bidi w:val="0"/>
      </w:pPr>
      <w:bookmarkStart w:id="34" w:name="_Toc23301"/>
      <w:r>
        <w:t>附件</w:t>
      </w:r>
      <w:r>
        <w:rPr>
          <w:rFonts w:hint="eastAsia"/>
        </w:rPr>
        <w:t>2</w:t>
      </w:r>
      <w:r>
        <w:t>：项目支出绩效评价指标体系及评分</w:t>
      </w:r>
      <w:bookmarkEnd w:id="31"/>
      <w:bookmarkEnd w:id="32"/>
      <w:bookmarkEnd w:id="33"/>
      <w:bookmarkEnd w:id="34"/>
    </w:p>
    <w:p>
      <w:pPr>
        <w:pStyle w:val="16"/>
        <w:bidi w:val="0"/>
      </w:pPr>
      <w:r>
        <w:t>项目支出绩效评价指标体系及评分</w:t>
      </w:r>
    </w:p>
    <w:tbl>
      <w:tblPr>
        <w:tblStyle w:val="12"/>
        <w:tblpPr w:leftFromText="180" w:rightFromText="180" w:vertAnchor="text" w:horzAnchor="page" w:tblpX="1789" w:tblpY="180"/>
        <w:tblOverlap w:val="never"/>
        <w:tblW w:w="4930" w:type="pct"/>
        <w:tblInd w:w="0" w:type="dxa"/>
        <w:tblLayout w:type="autofit"/>
        <w:tblCellMar>
          <w:top w:w="0" w:type="dxa"/>
          <w:left w:w="108" w:type="dxa"/>
          <w:bottom w:w="0" w:type="dxa"/>
          <w:right w:w="108" w:type="dxa"/>
        </w:tblCellMar>
      </w:tblPr>
      <w:tblGrid>
        <w:gridCol w:w="594"/>
        <w:gridCol w:w="769"/>
        <w:gridCol w:w="911"/>
        <w:gridCol w:w="1674"/>
        <w:gridCol w:w="3393"/>
        <w:gridCol w:w="531"/>
        <w:gridCol w:w="531"/>
      </w:tblGrid>
      <w:tr>
        <w:tblPrEx>
          <w:tblCellMar>
            <w:top w:w="0" w:type="dxa"/>
            <w:left w:w="108" w:type="dxa"/>
            <w:bottom w:w="0" w:type="dxa"/>
            <w:right w:w="108" w:type="dxa"/>
          </w:tblCellMar>
        </w:tblPrEx>
        <w:trPr>
          <w:trHeight w:val="460" w:hRule="atLeast"/>
        </w:trPr>
        <w:tc>
          <w:tcPr>
            <w:tcW w:w="35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一级指标</w:t>
            </w:r>
          </w:p>
        </w:tc>
        <w:tc>
          <w:tcPr>
            <w:tcW w:w="458"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4"/>
              <w:bidi w:val="0"/>
            </w:pPr>
            <w:r>
              <w:t>指标解释</w:t>
            </w:r>
          </w:p>
        </w:tc>
        <w:tc>
          <w:tcPr>
            <w:tcW w:w="20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rPr>
                <w:rFonts w:hint="eastAsia"/>
              </w:rPr>
              <w:t>得分</w:t>
            </w:r>
          </w:p>
        </w:tc>
      </w:tr>
      <w:tr>
        <w:tblPrEx>
          <w:tblCellMar>
            <w:top w:w="0" w:type="dxa"/>
            <w:left w:w="108" w:type="dxa"/>
            <w:bottom w:w="0" w:type="dxa"/>
            <w:right w:w="108" w:type="dxa"/>
          </w:tblCellMar>
        </w:tblPrEx>
        <w:trPr>
          <w:trHeight w:val="460" w:hRule="atLeast"/>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决策</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项目</w:t>
            </w:r>
            <w:r>
              <w:rPr>
                <w:rFonts w:hint="eastAsia"/>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rPr>
                <w:rFonts w:hint="eastAsia"/>
              </w:rPr>
              <w:t>实施</w:t>
            </w:r>
            <w: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w:t>
            </w:r>
            <w:r>
              <w:rPr>
                <w:rFonts w:hint="eastAsia"/>
              </w:rPr>
              <w:t>实施</w:t>
            </w:r>
            <w:r>
              <w:t>是否符合法律法规、相关政策、发展规划以及部门职责，用以反映和考核项目</w:t>
            </w:r>
            <w:r>
              <w:rPr>
                <w:rFonts w:hint="eastAsia"/>
              </w:rPr>
              <w:t>实施</w:t>
            </w:r>
            <w:r>
              <w:t>依据情况。</w:t>
            </w: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3</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①项目</w:t>
            </w:r>
            <w:r>
              <w:rPr>
                <w:rFonts w:hint="eastAsia"/>
              </w:rPr>
              <w:t>实施</w:t>
            </w:r>
            <w: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②项目</w:t>
            </w:r>
            <w:r>
              <w:rPr>
                <w:rFonts w:hint="eastAsia"/>
              </w:rPr>
              <w:t>实施</w:t>
            </w:r>
            <w: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③项目</w:t>
            </w:r>
            <w:r>
              <w:rPr>
                <w:rFonts w:hint="eastAsia"/>
              </w:rPr>
              <w:t>实施</w:t>
            </w:r>
            <w: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rPr>
                <w:rFonts w:hint="eastAsia"/>
              </w:rPr>
              <w:t>实施</w:t>
            </w:r>
            <w: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项目申请、设立过程是否符合相关要求，用以反映和考核项目</w:t>
            </w:r>
            <w:r>
              <w:rPr>
                <w:rFonts w:hint="eastAsia"/>
              </w:rPr>
              <w:t>实施</w:t>
            </w:r>
            <w:r>
              <w:t>的规范情况。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3</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项目所设定的绩效目标是否依据充分，是否符合客观实际，用以反映和考核项目绩效目标与项目实施的相符情况。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依据绩效目标设定的绩效指标是否清晰、细化、可衡量等，用以反映和考核项目绩效目标的明细化情况。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项目预算编制是否经过科学论证、有明确标准，资金额度与年度目标是否相适应，用以反映和考核项目预算编制的科学性、合理性情况。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项目预算资金分配是否有测算依据，与补助单位或地方实际是否相适应，用以反映和考核项目预算资金分配的科学性、合理性情况。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②资金分配额度是否合理，与</w:t>
            </w:r>
            <w:r>
              <w:rPr>
                <w:rFonts w:hint="eastAsia"/>
              </w:rPr>
              <w:t>补助</w:t>
            </w:r>
            <w: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过程</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实际到位资金与预算资金的比率，用以反映和考核资金落实情况对项目实施的总体保障程度。</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项目预算资金是否按照计划执行，用以反映或考核项目预算执行情况。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项目资金使用是否符合相关的财务管理制度规定，用以反映和考核项目资金的规范运行情况。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4</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4</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项目实施单位的财务和业务管理制度是否健全，用以反映和考核财务和业务管理制度对项目顺利实施的保障情况。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3</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项目实施是否符合相关管理规定，用以反映和考核相关管理制度的有效执行情况。</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pPr>
            <w:r>
              <w:t>3</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pPr>
            <w:r>
              <w:rPr>
                <w:rFonts w:hint="eastAsia"/>
              </w:rPr>
              <w:t>3</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产出</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项目实施的实际产出数与计划产出数的比率，用以反映和考核项目产出数量目标的实现程度。</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rPr>
                <w:rFonts w:hint="eastAsia" w:eastAsia="仿宋_GB2312"/>
                <w:lang w:val="en-US" w:eastAsia="zh-CN"/>
              </w:rPr>
            </w:pPr>
            <w:r>
              <w:t>1</w:t>
            </w:r>
            <w:r>
              <w:rPr>
                <w:rFonts w:hint="eastAsia"/>
                <w:lang w:val="en-US" w:eastAsia="zh-CN"/>
              </w:rPr>
              <w:t>5</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rPr>
                <w:rFonts w:hint="eastAsia" w:eastAsia="仿宋_GB2312"/>
                <w:lang w:val="en-US" w:eastAsia="zh-CN"/>
              </w:rPr>
            </w:pPr>
            <w:r>
              <w:rPr>
                <w:rFonts w:hint="eastAsia"/>
              </w:rPr>
              <w:t>1</w:t>
            </w:r>
            <w:r>
              <w:rPr>
                <w:rFonts w:hint="eastAsia"/>
                <w:lang w:val="en-US" w:eastAsia="zh-CN"/>
              </w:rPr>
              <w:t>5</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nil"/>
              <w:right w:val="single" w:color="000000" w:sz="4" w:space="0"/>
            </w:tcBorders>
            <w:shd w:val="clear" w:color="auto" w:fill="FFFFFF"/>
            <w:vAlign w:val="center"/>
          </w:tcPr>
          <w:p>
            <w:pPr>
              <w:pStyle w:val="14"/>
              <w:bidi w:val="0"/>
            </w:pPr>
            <w: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78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项目完成的质量达标产出数与实际产出数的比率，用以反映和考核项目产出质量目标的实现程度。</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rPr>
                <w:rFonts w:hint="eastAsia" w:eastAsia="仿宋_GB2312"/>
                <w:lang w:val="en-US" w:eastAsia="zh-CN"/>
              </w:rPr>
            </w:pPr>
            <w:r>
              <w:t>1</w:t>
            </w:r>
            <w:r>
              <w:rPr>
                <w:rFonts w:hint="eastAsia"/>
                <w:lang w:val="en-US" w:eastAsia="zh-CN"/>
              </w:rPr>
              <w:t>5</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rPr>
                <w:rFonts w:hint="eastAsia" w:eastAsia="仿宋_GB2312"/>
                <w:lang w:val="en-US" w:eastAsia="zh-CN"/>
              </w:rPr>
            </w:pPr>
            <w:r>
              <w:rPr>
                <w:rFonts w:hint="eastAsia"/>
              </w:rPr>
              <w:t>1</w:t>
            </w:r>
            <w:r>
              <w:rPr>
                <w:rFonts w:hint="eastAsia"/>
                <w:lang w:val="en-US" w:eastAsia="zh-CN"/>
              </w:rPr>
              <w:t>5</w:t>
            </w:r>
          </w:p>
        </w:tc>
      </w:tr>
      <w:tr>
        <w:tblPrEx>
          <w:tblCellMar>
            <w:top w:w="0" w:type="dxa"/>
            <w:left w:w="108" w:type="dxa"/>
            <w:bottom w:w="0" w:type="dxa"/>
            <w:right w:w="108" w:type="dxa"/>
          </w:tblCellMar>
        </w:tblPrEx>
        <w:trPr>
          <w:trHeight w:val="88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项目实际完成时间与计划完成时间的比较，用以反映和考核项目产出时效目标的实现程度。</w:t>
            </w:r>
          </w:p>
        </w:tc>
        <w:tc>
          <w:tcPr>
            <w:tcW w:w="2016" w:type="pct"/>
            <w:tcBorders>
              <w:top w:val="single" w:color="000000" w:sz="4" w:space="0"/>
              <w:left w:val="single" w:color="000000" w:sz="4" w:space="0"/>
              <w:bottom w:val="nil"/>
              <w:right w:val="single" w:color="000000" w:sz="4" w:space="0"/>
            </w:tcBorders>
            <w:shd w:val="clear" w:color="auto" w:fill="FFFFFF"/>
            <w:vAlign w:val="center"/>
          </w:tcPr>
          <w:p>
            <w:pPr>
              <w:pStyle w:val="14"/>
              <w:bidi w:val="0"/>
            </w:pPr>
            <w: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4"/>
              <w:bidi w:val="0"/>
              <w:rPr>
                <w:rFonts w:hint="eastAsia" w:eastAsia="仿宋_GB2312"/>
                <w:lang w:val="en-US" w:eastAsia="zh-CN"/>
              </w:rPr>
            </w:pPr>
            <w:r>
              <w:t>1</w:t>
            </w:r>
            <w:r>
              <w:rPr>
                <w:rFonts w:hint="eastAsia"/>
                <w:lang w:val="en-US" w:eastAsia="zh-CN"/>
              </w:rPr>
              <w:t>0</w:t>
            </w:r>
          </w:p>
        </w:tc>
        <w:tc>
          <w:tcPr>
            <w:tcW w:w="315" w:type="pct"/>
            <w:vMerge w:val="restart"/>
            <w:tcBorders>
              <w:top w:val="single" w:color="000000" w:sz="4" w:space="0"/>
              <w:left w:val="single" w:color="000000" w:sz="4" w:space="0"/>
              <w:right w:val="single" w:color="000000" w:sz="4" w:space="0"/>
            </w:tcBorders>
            <w:noWrap/>
            <w:vAlign w:val="center"/>
          </w:tcPr>
          <w:p>
            <w:pPr>
              <w:pStyle w:val="14"/>
              <w:bidi w:val="0"/>
              <w:rPr>
                <w:rFonts w:hint="eastAsia" w:eastAsia="仿宋_GB2312"/>
                <w:lang w:val="en-US" w:eastAsia="zh-CN"/>
              </w:rPr>
            </w:pPr>
            <w:r>
              <w:rPr>
                <w:rFonts w:hint="eastAsia"/>
              </w:rPr>
              <w:t>1</w:t>
            </w:r>
            <w:r>
              <w:rPr>
                <w:rFonts w:hint="eastAsia"/>
                <w:lang w:val="en-US" w:eastAsia="zh-CN"/>
              </w:rPr>
              <w:t>0</w:t>
            </w:r>
          </w:p>
        </w:tc>
      </w:tr>
      <w:tr>
        <w:tblPrEx>
          <w:tblCellMar>
            <w:top w:w="0" w:type="dxa"/>
            <w:left w:w="108" w:type="dxa"/>
            <w:bottom w:w="0" w:type="dxa"/>
            <w:right w:w="108" w:type="dxa"/>
          </w:tblCellMar>
        </w:tblPrEx>
        <w:trPr>
          <w:trHeight w:val="4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4"/>
              <w:bidi w:val="0"/>
            </w:pPr>
          </w:p>
        </w:tc>
        <w:tc>
          <w:tcPr>
            <w:tcW w:w="2016" w:type="pct"/>
            <w:tcBorders>
              <w:top w:val="nil"/>
              <w:left w:val="single" w:color="000000" w:sz="4" w:space="0"/>
              <w:bottom w:val="single" w:color="000000" w:sz="4" w:space="0"/>
              <w:right w:val="single" w:color="000000" w:sz="4" w:space="0"/>
            </w:tcBorders>
            <w:shd w:val="clear" w:color="auto" w:fill="FFFFFF"/>
            <w:vAlign w:val="center"/>
          </w:tcPr>
          <w:p>
            <w:pPr>
              <w:pStyle w:val="14"/>
              <w:bidi w:val="0"/>
            </w:pPr>
            <w: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4"/>
              <w:bidi w:val="0"/>
            </w:pPr>
          </w:p>
        </w:tc>
        <w:tc>
          <w:tcPr>
            <w:tcW w:w="315" w:type="pct"/>
            <w:vMerge w:val="continue"/>
            <w:tcBorders>
              <w:left w:val="single" w:color="000000" w:sz="4" w:space="0"/>
              <w:bottom w:val="single" w:color="000000" w:sz="4" w:space="0"/>
              <w:right w:val="single" w:color="000000" w:sz="4" w:space="0"/>
            </w:tcBorders>
            <w:noWrap/>
            <w:vAlign w:val="center"/>
          </w:tcPr>
          <w:p>
            <w:pPr>
              <w:pStyle w:val="14"/>
              <w:bidi w:val="0"/>
            </w:pPr>
          </w:p>
        </w:tc>
      </w:tr>
      <w:tr>
        <w:tblPrEx>
          <w:tblCellMar>
            <w:top w:w="0" w:type="dxa"/>
            <w:left w:w="108" w:type="dxa"/>
            <w:bottom w:w="0" w:type="dxa"/>
            <w:right w:w="108" w:type="dxa"/>
          </w:tblCellMar>
        </w:tblPrEx>
        <w:trPr>
          <w:trHeight w:val="780" w:hRule="atLeast"/>
        </w:trPr>
        <w:tc>
          <w:tcPr>
            <w:tcW w:w="35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效益</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4"/>
              <w:bidi w:val="0"/>
            </w:pPr>
            <w:r>
              <w:t>项目实施所产生的效益。</w:t>
            </w:r>
          </w:p>
        </w:tc>
        <w:tc>
          <w:tcPr>
            <w:tcW w:w="20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4"/>
              <w:bidi w:val="0"/>
            </w:pPr>
            <w: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4"/>
              <w:bidi w:val="0"/>
            </w:pPr>
            <w:r>
              <w:rPr>
                <w:rFonts w:hint="eastAsia"/>
              </w:rPr>
              <w:t>10</w:t>
            </w:r>
          </w:p>
        </w:tc>
      </w:tr>
      <w:tr>
        <w:tblPrEx>
          <w:tblCellMar>
            <w:top w:w="0" w:type="dxa"/>
            <w:left w:w="108" w:type="dxa"/>
            <w:bottom w:w="0" w:type="dxa"/>
            <w:right w:w="108" w:type="dxa"/>
          </w:tblCellMar>
        </w:tblPrEx>
        <w:trPr>
          <w:trHeight w:val="860" w:hRule="atLeast"/>
        </w:trPr>
        <w:tc>
          <w:tcPr>
            <w:tcW w:w="3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4"/>
              <w:bidi w:val="0"/>
            </w:pPr>
            <w:r>
              <w:t>社会公众或服务对象对项目实施效果的满意程度。</w:t>
            </w:r>
          </w:p>
        </w:tc>
        <w:tc>
          <w:tcPr>
            <w:tcW w:w="20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bidi w:val="0"/>
            </w:pPr>
            <w: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4"/>
              <w:bidi w:val="0"/>
            </w:pPr>
            <w: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4"/>
              <w:bidi w:val="0"/>
            </w:pPr>
            <w:r>
              <w:rPr>
                <w:rFonts w:hint="eastAsia"/>
              </w:rPr>
              <w:t>10</w:t>
            </w:r>
          </w:p>
        </w:tc>
      </w:tr>
      <w:tr>
        <w:tblPrEx>
          <w:tblCellMar>
            <w:top w:w="0" w:type="dxa"/>
            <w:left w:w="108" w:type="dxa"/>
            <w:bottom w:w="0" w:type="dxa"/>
            <w:right w:w="108" w:type="dxa"/>
          </w:tblCellMar>
        </w:tblPrEx>
        <w:trPr>
          <w:trHeight w:val="460" w:hRule="atLeast"/>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pPr>
              <w:pStyle w:val="14"/>
              <w:bidi w:val="0"/>
            </w:pPr>
            <w: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4"/>
              <w:bidi w:val="0"/>
            </w:pPr>
            <w: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4"/>
              <w:bidi w:val="0"/>
            </w:pPr>
            <w:r>
              <w:rPr>
                <w:rFonts w:hint="eastAsia"/>
              </w:rPr>
              <w:t>100</w:t>
            </w:r>
          </w:p>
        </w:tc>
      </w:tr>
    </w:tbl>
    <w:p>
      <w:pPr>
        <w:pStyle w:val="14"/>
        <w:bidi w:val="0"/>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FEEF003-D461-4238-8F18-5F52F9872AC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94ADD3A-35B9-47DC-BE10-97DF7D160A0D}"/>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F3106365-B7AB-4421-9FC9-35C6E0F570CA}"/>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C5469CB"/>
    <w:rsid w:val="0C7D249E"/>
    <w:rsid w:val="0CC854B7"/>
    <w:rsid w:val="0CFC50E7"/>
    <w:rsid w:val="0CFE78C5"/>
    <w:rsid w:val="105077CD"/>
    <w:rsid w:val="14BE5A22"/>
    <w:rsid w:val="155D2D9F"/>
    <w:rsid w:val="168303BA"/>
    <w:rsid w:val="16F541C7"/>
    <w:rsid w:val="180579A0"/>
    <w:rsid w:val="182B5294"/>
    <w:rsid w:val="1847208E"/>
    <w:rsid w:val="18523DE4"/>
    <w:rsid w:val="1AFC58EB"/>
    <w:rsid w:val="1B056B32"/>
    <w:rsid w:val="1D867D27"/>
    <w:rsid w:val="1FA25B5B"/>
    <w:rsid w:val="20DF3CB6"/>
    <w:rsid w:val="22002F1A"/>
    <w:rsid w:val="2217066C"/>
    <w:rsid w:val="229D30B0"/>
    <w:rsid w:val="24E74BCF"/>
    <w:rsid w:val="24F84ABC"/>
    <w:rsid w:val="258A4700"/>
    <w:rsid w:val="28CE74FD"/>
    <w:rsid w:val="2ADB64CF"/>
    <w:rsid w:val="2BA53861"/>
    <w:rsid w:val="2D170966"/>
    <w:rsid w:val="309171FA"/>
    <w:rsid w:val="30E365E7"/>
    <w:rsid w:val="32B4641F"/>
    <w:rsid w:val="344C0265"/>
    <w:rsid w:val="34C31CC8"/>
    <w:rsid w:val="391F1A12"/>
    <w:rsid w:val="392C744A"/>
    <w:rsid w:val="397B3E04"/>
    <w:rsid w:val="39AC74F9"/>
    <w:rsid w:val="3A0168D3"/>
    <w:rsid w:val="3A57603B"/>
    <w:rsid w:val="3B457B92"/>
    <w:rsid w:val="3FD249E5"/>
    <w:rsid w:val="419E5AFB"/>
    <w:rsid w:val="41EC0D67"/>
    <w:rsid w:val="42984F5E"/>
    <w:rsid w:val="43AF0B14"/>
    <w:rsid w:val="44A04FDF"/>
    <w:rsid w:val="45297C62"/>
    <w:rsid w:val="469D4A12"/>
    <w:rsid w:val="48DA61BA"/>
    <w:rsid w:val="491A0401"/>
    <w:rsid w:val="4A931CAD"/>
    <w:rsid w:val="4BD95352"/>
    <w:rsid w:val="4BFC3821"/>
    <w:rsid w:val="4C0D65C5"/>
    <w:rsid w:val="4C180F02"/>
    <w:rsid w:val="4FD42264"/>
    <w:rsid w:val="50B00C42"/>
    <w:rsid w:val="50F00D8A"/>
    <w:rsid w:val="56D45B12"/>
    <w:rsid w:val="5A067BFD"/>
    <w:rsid w:val="5A98522A"/>
    <w:rsid w:val="5BBB4441"/>
    <w:rsid w:val="5C3274F4"/>
    <w:rsid w:val="5E4E357A"/>
    <w:rsid w:val="5E68756F"/>
    <w:rsid w:val="608A66C5"/>
    <w:rsid w:val="618B4BBA"/>
    <w:rsid w:val="62743144"/>
    <w:rsid w:val="643E2A9B"/>
    <w:rsid w:val="656C651C"/>
    <w:rsid w:val="69937072"/>
    <w:rsid w:val="69F410BB"/>
    <w:rsid w:val="6AE87029"/>
    <w:rsid w:val="6B621D44"/>
    <w:rsid w:val="6BA3165E"/>
    <w:rsid w:val="6E423758"/>
    <w:rsid w:val="72A37968"/>
    <w:rsid w:val="72D05C96"/>
    <w:rsid w:val="736542E9"/>
    <w:rsid w:val="74135864"/>
    <w:rsid w:val="7480197B"/>
    <w:rsid w:val="7633478D"/>
    <w:rsid w:val="77683CFD"/>
    <w:rsid w:val="78F10B18"/>
    <w:rsid w:val="796306DF"/>
    <w:rsid w:val="7B1E59FB"/>
    <w:rsid w:val="7C4B233B"/>
    <w:rsid w:val="7C9A1C94"/>
    <w:rsid w:val="7DD64A42"/>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4">
    <w:name w:val="heading 1"/>
    <w:basedOn w:val="1"/>
    <w:next w:val="1"/>
    <w:link w:val="21"/>
    <w:qFormat/>
    <w:uiPriority w:val="9"/>
    <w:pPr>
      <w:keepNext/>
      <w:keepLines/>
      <w:ind w:firstLine="0" w:firstLineChars="0"/>
      <w:jc w:val="center"/>
      <w:outlineLvl w:val="0"/>
    </w:pPr>
    <w:rPr>
      <w:rFonts w:eastAsia="方正小标宋_GBK"/>
      <w:kern w:val="44"/>
      <w:sz w:val="36"/>
    </w:rPr>
  </w:style>
  <w:style w:type="paragraph" w:styleId="5">
    <w:name w:val="heading 2"/>
    <w:basedOn w:val="1"/>
    <w:next w:val="1"/>
    <w:link w:val="19"/>
    <w:qFormat/>
    <w:uiPriority w:val="99"/>
    <w:pPr>
      <w:keepNext/>
      <w:outlineLvl w:val="1"/>
    </w:pPr>
    <w:rPr>
      <w:rFonts w:eastAsia="黑体" w:cs="Times New Roman"/>
      <w:bCs/>
      <w:iCs/>
      <w:szCs w:val="21"/>
    </w:rPr>
  </w:style>
  <w:style w:type="paragraph" w:styleId="6">
    <w:name w:val="heading 3"/>
    <w:basedOn w:val="1"/>
    <w:next w:val="1"/>
    <w:link w:val="20"/>
    <w:unhideWhenUsed/>
    <w:qFormat/>
    <w:uiPriority w:val="9"/>
    <w:pPr>
      <w:keepNext/>
      <w:keepLines/>
      <w:outlineLvl w:val="2"/>
    </w:pPr>
    <w:rPr>
      <w:rFonts w:eastAsia="楷体_GB2312"/>
      <w:b/>
    </w:rPr>
  </w:style>
  <w:style w:type="paragraph" w:styleId="7">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qFormat/>
    <w:uiPriority w:val="0"/>
    <w:pPr>
      <w:spacing w:after="120" w:line="480" w:lineRule="auto"/>
    </w:pPr>
    <w:rPr>
      <w:rFonts w:ascii="Times New Roman" w:hAnsi="Times New Roman" w:eastAsia="宋体" w:cs="Times New Roman"/>
    </w:rPr>
  </w:style>
  <w:style w:type="paragraph" w:styleId="8">
    <w:name w:val="annotation text"/>
    <w:basedOn w:val="1"/>
    <w:unhideWhenUsed/>
    <w:qFormat/>
    <w:uiPriority w:val="99"/>
    <w:pPr>
      <w:jc w:val="left"/>
    </w:pPr>
  </w:style>
  <w:style w:type="paragraph" w:styleId="9">
    <w:name w:val="footer"/>
    <w:basedOn w:val="1"/>
    <w:link w:val="17"/>
    <w:semiHidden/>
    <w:unhideWhenUsed/>
    <w:qFormat/>
    <w:uiPriority w:val="99"/>
    <w:pPr>
      <w:tabs>
        <w:tab w:val="center" w:pos="4153"/>
        <w:tab w:val="right" w:pos="8306"/>
      </w:tabs>
      <w:snapToGrid w:val="0"/>
      <w:jc w:val="left"/>
    </w:pPr>
    <w:rPr>
      <w:sz w:val="18"/>
    </w:rPr>
  </w:style>
  <w:style w:type="paragraph" w:styleId="10">
    <w:name w:val="header"/>
    <w:basedOn w:val="1"/>
    <w:link w:val="18"/>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4">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paragraph" w:customStyle="1" w:styleId="15">
    <w:name w:val="Default"/>
    <w:qFormat/>
    <w:uiPriority w:val="0"/>
    <w:pPr>
      <w:widowControl w:val="0"/>
      <w:autoSpaceDE w:val="0"/>
      <w:autoSpaceDN w:val="0"/>
      <w:adjustRightInd w:val="0"/>
    </w:pPr>
    <w:rPr>
      <w:rFonts w:ascii="华文新魏" w:hAnsi="Calibri" w:eastAsia="华文新魏" w:cs="华文新魏"/>
      <w:color w:val="000000"/>
      <w:sz w:val="24"/>
      <w:szCs w:val="24"/>
      <w:lang w:val="en-US" w:eastAsia="zh-CN" w:bidi="ar-SA"/>
    </w:rPr>
  </w:style>
  <w:style w:type="paragraph" w:customStyle="1" w:styleId="16">
    <w:name w:val="表格标题"/>
    <w:basedOn w:val="1"/>
    <w:next w:val="1"/>
    <w:qFormat/>
    <w:uiPriority w:val="0"/>
    <w:pPr>
      <w:keepNext/>
      <w:keepLines/>
      <w:ind w:firstLine="0" w:firstLineChars="0"/>
      <w:jc w:val="center"/>
      <w:outlineLvl w:val="0"/>
    </w:pPr>
    <w:rPr>
      <w:rFonts w:hint="eastAsia"/>
      <w:b/>
      <w:kern w:val="44"/>
    </w:rPr>
  </w:style>
  <w:style w:type="character" w:customStyle="1" w:styleId="17">
    <w:name w:val="页脚 字符"/>
    <w:basedOn w:val="13"/>
    <w:link w:val="9"/>
    <w:semiHidden/>
    <w:qFormat/>
    <w:uiPriority w:val="99"/>
    <w:rPr>
      <w:rFonts w:eastAsia="仿宋_GB2312" w:cstheme="minorBidi"/>
      <w:kern w:val="2"/>
      <w:sz w:val="18"/>
      <w:szCs w:val="22"/>
    </w:rPr>
  </w:style>
  <w:style w:type="character" w:customStyle="1" w:styleId="18">
    <w:name w:val="页眉 字符"/>
    <w:basedOn w:val="13"/>
    <w:link w:val="10"/>
    <w:qFormat/>
    <w:uiPriority w:val="99"/>
    <w:rPr>
      <w:rFonts w:eastAsia="仿宋_GB2312" w:cstheme="minorBidi"/>
      <w:kern w:val="2"/>
      <w:sz w:val="18"/>
      <w:szCs w:val="22"/>
    </w:rPr>
  </w:style>
  <w:style w:type="character" w:customStyle="1" w:styleId="19">
    <w:name w:val="标题 2 字符"/>
    <w:basedOn w:val="13"/>
    <w:link w:val="5"/>
    <w:qFormat/>
    <w:uiPriority w:val="99"/>
    <w:rPr>
      <w:rFonts w:eastAsia="黑体"/>
      <w:bCs/>
      <w:iCs/>
      <w:kern w:val="2"/>
      <w:sz w:val="32"/>
      <w:szCs w:val="21"/>
    </w:rPr>
  </w:style>
  <w:style w:type="character" w:customStyle="1" w:styleId="20">
    <w:name w:val="标题 3 字符"/>
    <w:link w:val="6"/>
    <w:qFormat/>
    <w:uiPriority w:val="9"/>
    <w:rPr>
      <w:rFonts w:eastAsia="楷体_GB2312" w:cstheme="minorBidi"/>
      <w:b/>
      <w:kern w:val="2"/>
      <w:sz w:val="32"/>
      <w:szCs w:val="22"/>
    </w:rPr>
  </w:style>
  <w:style w:type="character" w:customStyle="1" w:styleId="21">
    <w:name w:val="标题 1 字符"/>
    <w:basedOn w:val="13"/>
    <w:link w:val="4"/>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16</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2024-08-14T11:00:11Z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B0C95563A87A424BBF1B207CBC59B339_13</vt:lpwstr>
  </property>
</Properties>
</file>