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bidi w:val="0"/>
        <w:rPr>
          <w:color w:val="auto"/>
          <w:highlight w:val="none"/>
        </w:rPr>
      </w:pPr>
    </w:p>
    <w:p>
      <w:pPr>
        <w:pStyle w:val="3"/>
        <w:bidi w:val="0"/>
        <w:rPr>
          <w:color w:val="auto"/>
          <w:sz w:val="44"/>
          <w:szCs w:val="44"/>
          <w:highlight w:val="none"/>
        </w:rPr>
      </w:pPr>
      <w:r>
        <w:rPr>
          <w:color w:val="auto"/>
          <w:sz w:val="44"/>
          <w:szCs w:val="44"/>
          <w:highlight w:val="none"/>
        </w:rPr>
        <w:t>项目支出绩效评价报告</w:t>
      </w:r>
    </w:p>
    <w:p>
      <w:pPr>
        <w:ind w:firstLine="640"/>
        <w:rPr>
          <w:color w:val="auto"/>
          <w:highlight w:val="none"/>
        </w:rPr>
      </w:pPr>
    </w:p>
    <w:p>
      <w:pPr>
        <w:ind w:firstLine="640"/>
        <w:rPr>
          <w:color w:val="auto"/>
          <w:highlight w:val="none"/>
        </w:rPr>
      </w:pPr>
    </w:p>
    <w:p>
      <w:pPr>
        <w:pStyle w:val="13"/>
        <w:bidi w:val="0"/>
        <w:rPr>
          <w:color w:val="auto"/>
          <w:sz w:val="28"/>
          <w:szCs w:val="28"/>
          <w:highlight w:val="none"/>
        </w:rPr>
      </w:pPr>
      <w:r>
        <w:rPr>
          <w:color w:val="auto"/>
          <w:sz w:val="28"/>
          <w:szCs w:val="28"/>
          <w:highlight w:val="none"/>
        </w:rPr>
        <w:t>（202</w:t>
      </w:r>
      <w:r>
        <w:rPr>
          <w:rFonts w:hint="eastAsia"/>
          <w:color w:val="auto"/>
          <w:sz w:val="28"/>
          <w:szCs w:val="28"/>
          <w:highlight w:val="none"/>
          <w:lang w:val="en-US" w:eastAsia="zh-CN"/>
        </w:rPr>
        <w:t>3</w:t>
      </w:r>
      <w:r>
        <w:rPr>
          <w:color w:val="auto"/>
          <w:sz w:val="28"/>
          <w:szCs w:val="28"/>
          <w:highlight w:val="none"/>
        </w:rPr>
        <w:t>年度）</w:t>
      </w:r>
    </w:p>
    <w:p>
      <w:pPr>
        <w:ind w:firstLine="64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pageBreakBefore w:val="0"/>
        <w:kinsoku/>
        <w:wordWrap/>
        <w:overflowPunct/>
        <w:topLinePunct w:val="0"/>
        <w:autoSpaceDE/>
        <w:autoSpaceDN/>
        <w:bidi w:val="0"/>
        <w:adjustRightInd/>
        <w:snapToGrid/>
        <w:spacing w:line="560" w:lineRule="exact"/>
        <w:ind w:left="2368" w:leftChars="240" w:hanging="1600" w:hangingChars="500"/>
        <w:jc w:val="left"/>
        <w:rPr>
          <w:rFonts w:hint="eastAsia" w:ascii="Times New Roman" w:hAnsi="Times New Roman"/>
          <w:color w:val="auto"/>
          <w:highlight w:val="none"/>
          <w:lang w:val="en-US" w:eastAsia="zh-CN"/>
        </w:rPr>
      </w:pPr>
      <w:r>
        <w:rPr>
          <w:color w:val="auto"/>
          <w:highlight w:val="none"/>
        </w:rPr>
        <w:t>项目名称：</w:t>
      </w:r>
      <w:r>
        <w:rPr>
          <w:rFonts w:hint="eastAsia" w:ascii="Times New Roman" w:hAnsi="Times New Roman"/>
          <w:color w:val="auto"/>
          <w:highlight w:val="none"/>
          <w:lang w:val="en-US" w:eastAsia="zh-CN"/>
        </w:rPr>
        <w:t>尉犁县2023年度1.14万亩高标准农田建设项目（自治区）</w:t>
      </w:r>
    </w:p>
    <w:p>
      <w:pPr>
        <w:bidi w:val="0"/>
        <w:rPr>
          <w:rFonts w:hint="eastAsia"/>
          <w:color w:val="auto"/>
          <w:highlight w:val="none"/>
          <w:lang w:eastAsia="zh-CN"/>
        </w:rPr>
      </w:pPr>
      <w:r>
        <w:rPr>
          <w:color w:val="auto"/>
          <w:highlight w:val="none"/>
        </w:rPr>
        <w:t>实施单位（公章）：</w:t>
      </w:r>
      <w:r>
        <w:rPr>
          <w:rFonts w:hint="eastAsia"/>
          <w:color w:val="auto"/>
          <w:highlight w:val="none"/>
          <w:lang w:eastAsia="zh-CN"/>
        </w:rPr>
        <w:t>尉犁县农业农村局（畜牧兽医局）</w:t>
      </w:r>
    </w:p>
    <w:p>
      <w:pPr>
        <w:ind w:firstLine="640"/>
        <w:rPr>
          <w:rFonts w:ascii="Times New Roman" w:hAnsi="Times New Roman" w:cs="Times New Roman"/>
          <w:color w:val="auto"/>
          <w:highlight w:val="none"/>
        </w:rPr>
      </w:pPr>
      <w:r>
        <w:rPr>
          <w:color w:val="auto"/>
          <w:highlight w:val="none"/>
        </w:rPr>
        <w:t>主管部门（公章）：</w:t>
      </w:r>
      <w:r>
        <w:rPr>
          <w:rFonts w:hint="eastAsia"/>
          <w:color w:val="auto"/>
          <w:highlight w:val="none"/>
          <w:lang w:eastAsia="zh-CN"/>
        </w:rPr>
        <w:t>尉犁县农业农村局（畜牧兽医局）</w:t>
      </w:r>
    </w:p>
    <w:p>
      <w:pPr>
        <w:ind w:firstLine="640"/>
        <w:rPr>
          <w:color w:val="auto"/>
          <w:highlight w:val="none"/>
        </w:rPr>
      </w:pPr>
      <w:r>
        <w:rPr>
          <w:color w:val="auto"/>
          <w:highlight w:val="none"/>
        </w:rPr>
        <w:t>项目负责人（签章）：</w:t>
      </w:r>
      <w:r>
        <w:rPr>
          <w:rFonts w:ascii="Times New Roman" w:hAnsi="Times New Roman" w:cs="Times New Roman"/>
          <w:color w:val="auto"/>
          <w:highlight w:val="none"/>
        </w:rPr>
        <w:t>亚森·克衣木</w:t>
      </w:r>
    </w:p>
    <w:p>
      <w:pPr>
        <w:bidi w:val="0"/>
        <w:rPr>
          <w:color w:val="auto"/>
          <w:highlight w:val="none"/>
        </w:rPr>
      </w:pPr>
      <w:r>
        <w:rPr>
          <w:color w:val="auto"/>
          <w:highlight w:val="none"/>
        </w:rPr>
        <w:t>填报时间：</w:t>
      </w:r>
      <w:r>
        <w:rPr>
          <w:rFonts w:hint="eastAsia"/>
          <w:color w:val="auto"/>
          <w:highlight w:val="none"/>
          <w:lang w:val="en-US" w:eastAsia="zh-CN"/>
        </w:rPr>
        <w:t>2024</w:t>
      </w:r>
      <w:r>
        <w:rPr>
          <w:color w:val="auto"/>
          <w:highlight w:val="none"/>
        </w:rPr>
        <w:t>年</w:t>
      </w:r>
      <w:r>
        <w:rPr>
          <w:rFonts w:hint="eastAsia"/>
          <w:color w:val="auto"/>
          <w:highlight w:val="none"/>
          <w:lang w:val="en-US" w:eastAsia="zh-CN"/>
        </w:rPr>
        <w:t>3</w:t>
      </w:r>
      <w:r>
        <w:rPr>
          <w:color w:val="auto"/>
          <w:highlight w:val="none"/>
        </w:rPr>
        <w:t>月</w:t>
      </w:r>
      <w:r>
        <w:rPr>
          <w:rFonts w:hint="eastAsia"/>
          <w:color w:val="auto"/>
          <w:highlight w:val="none"/>
          <w:lang w:val="en-US" w:eastAsia="zh-CN"/>
        </w:rPr>
        <w:t>14</w:t>
      </w:r>
      <w:r>
        <w:rPr>
          <w:color w:val="auto"/>
          <w:highlight w:val="none"/>
        </w:rPr>
        <w:t>日</w:t>
      </w:r>
    </w:p>
    <w:p>
      <w:pPr>
        <w:ind w:firstLine="620"/>
        <w:rPr>
          <w:rFonts w:eastAsia="方正仿宋_GBK"/>
          <w:color w:val="auto"/>
          <w:sz w:val="31"/>
          <w:szCs w:val="31"/>
          <w:highlight w:val="none"/>
        </w:rPr>
      </w:pPr>
      <w:r>
        <w:rPr>
          <w:rFonts w:eastAsia="方正仿宋_GBK"/>
          <w:color w:val="auto"/>
          <w:sz w:val="31"/>
          <w:szCs w:val="31"/>
          <w:highlight w:val="none"/>
        </w:rPr>
        <w:br w:type="page"/>
      </w:r>
    </w:p>
    <w:p>
      <w:pPr>
        <w:ind w:firstLine="883"/>
        <w:jc w:val="center"/>
        <w:rPr>
          <w:b/>
          <w:bCs/>
          <w:color w:val="auto"/>
          <w:sz w:val="44"/>
          <w:szCs w:val="44"/>
          <w:highlight w:val="none"/>
        </w:rPr>
      </w:pPr>
      <w:r>
        <w:rPr>
          <w:b/>
          <w:bCs/>
          <w:color w:val="auto"/>
          <w:sz w:val="44"/>
          <w:szCs w:val="44"/>
          <w:highlight w:val="none"/>
        </w:rPr>
        <w:t>目  录</w:t>
      </w:r>
    </w:p>
    <w:p>
      <w:pPr>
        <w:ind w:firstLine="640"/>
        <w:rPr>
          <w:color w:val="auto"/>
          <w:highlight w:val="none"/>
        </w:rPr>
      </w:pPr>
    </w:p>
    <w:p>
      <w:pPr>
        <w:tabs>
          <w:tab w:val="right" w:leader="dot" w:pos="8306"/>
        </w:tabs>
        <w:ind w:firstLine="883"/>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 </w:instrText>
      </w:r>
      <w:r>
        <w:rPr>
          <w:rFonts w:eastAsia="黑体"/>
          <w:b/>
          <w:bCs/>
          <w:color w:val="auto"/>
          <w:sz w:val="44"/>
          <w:szCs w:val="44"/>
          <w:highlight w:val="none"/>
        </w:rPr>
        <w:fldChar w:fldCharType="separate"/>
      </w:r>
      <w:r>
        <w:rPr>
          <w:color w:val="auto"/>
          <w:highlight w:val="none"/>
        </w:rPr>
        <w:fldChar w:fldCharType="begin"/>
      </w:r>
      <w:r>
        <w:rPr>
          <w:color w:val="auto"/>
          <w:highlight w:val="none"/>
        </w:rPr>
        <w:instrText xml:space="preserve"> HYPERLINK \l "_Toc25620" </w:instrText>
      </w:r>
      <w:r>
        <w:rPr>
          <w:color w:val="auto"/>
          <w:highlight w:val="none"/>
        </w:rPr>
        <w:fldChar w:fldCharType="separate"/>
      </w:r>
      <w:r>
        <w:rPr>
          <w:color w:val="auto"/>
          <w:highlight w:val="none"/>
        </w:rPr>
        <w:t>一、基本情况</w:t>
      </w:r>
      <w:r>
        <w:rPr>
          <w:color w:val="auto"/>
          <w:highlight w:val="none"/>
        </w:rPr>
        <w:tab/>
      </w:r>
      <w:r>
        <w:rPr>
          <w:color w:val="auto"/>
          <w:highlight w:val="none"/>
        </w:rPr>
        <w:fldChar w:fldCharType="begin"/>
      </w:r>
      <w:r>
        <w:rPr>
          <w:color w:val="auto"/>
          <w:highlight w:val="none"/>
        </w:rPr>
        <w:instrText xml:space="preserve"> PAGEREF _Toc25620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"_Toc8971" </w:instrText>
      </w:r>
      <w:r>
        <w:rPr>
          <w:color w:val="auto"/>
          <w:highlight w:val="none"/>
        </w:rPr>
        <w:fldChar w:fldCharType="separate"/>
      </w:r>
      <w:r>
        <w:rPr>
          <w:color w:val="auto"/>
          <w:highlight w:val="none"/>
        </w:rPr>
        <w:t>（一）项目概况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"_Toc25187" </w:instrText>
      </w:r>
      <w:r>
        <w:rPr>
          <w:color w:val="auto"/>
          <w:highlight w:val="none"/>
        </w:rPr>
        <w:fldChar w:fldCharType="separate"/>
      </w:r>
      <w:r>
        <w:rPr>
          <w:color w:val="auto"/>
          <w:highlight w:val="none"/>
        </w:rPr>
        <w:t>（二）项目绩效目标</w:t>
      </w:r>
      <w:r>
        <w:rPr>
          <w:color w:val="auto"/>
          <w:highlight w:val="none"/>
        </w:rPr>
        <w:tab/>
      </w:r>
      <w:r>
        <w:rPr>
          <w:color w:val="auto"/>
          <w:highlight w:val="none"/>
        </w:rPr>
        <w:fldChar w:fldCharType="begin"/>
      </w:r>
      <w:r>
        <w:rPr>
          <w:color w:val="auto"/>
          <w:highlight w:val="none"/>
        </w:rPr>
        <w:instrText xml:space="preserve"> PAGEREF _Toc25187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"_Toc28824" </w:instrText>
      </w:r>
      <w:r>
        <w:rPr>
          <w:color w:val="auto"/>
          <w:highlight w:val="none"/>
        </w:rPr>
        <w:fldChar w:fldCharType="separate"/>
      </w:r>
      <w:r>
        <w:rPr>
          <w:rFonts w:hint="eastAsia"/>
          <w:color w:val="auto"/>
          <w:highlight w:val="none"/>
        </w:rPr>
        <w:t>二、绩效评价工作开展情况</w:t>
      </w:r>
      <w:r>
        <w:rPr>
          <w:color w:val="auto"/>
          <w:highlight w:val="none"/>
        </w:rPr>
        <w:tab/>
      </w:r>
      <w:r>
        <w:rPr>
          <w:color w:val="auto"/>
          <w:highlight w:val="none"/>
        </w:rPr>
        <w:fldChar w:fldCharType="begin"/>
      </w:r>
      <w:r>
        <w:rPr>
          <w:color w:val="auto"/>
          <w:highlight w:val="none"/>
        </w:rPr>
        <w:instrText xml:space="preserve"> PAGEREF _Toc28824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"_Toc24175" </w:instrText>
      </w:r>
      <w:r>
        <w:rPr>
          <w:color w:val="auto"/>
          <w:highlight w:val="none"/>
        </w:rPr>
        <w:fldChar w:fldCharType="separate"/>
      </w:r>
      <w:r>
        <w:rPr>
          <w:rFonts w:hint="eastAsia"/>
          <w:color w:val="auto"/>
          <w:highlight w:val="none"/>
        </w:rPr>
        <w:t>（一）绩效评价目的、对象和范围</w:t>
      </w:r>
      <w:r>
        <w:rPr>
          <w:color w:val="auto"/>
          <w:highlight w:val="none"/>
        </w:rPr>
        <w:tab/>
      </w:r>
      <w:r>
        <w:rPr>
          <w:color w:val="auto"/>
          <w:highlight w:val="none"/>
        </w:rPr>
        <w:fldChar w:fldCharType="begin"/>
      </w:r>
      <w:r>
        <w:rPr>
          <w:color w:val="auto"/>
          <w:highlight w:val="none"/>
        </w:rPr>
        <w:instrText xml:space="preserve"> PAGEREF _Toc24175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"_Toc5109" </w:instrText>
      </w:r>
      <w:r>
        <w:rPr>
          <w:color w:val="auto"/>
          <w:highlight w:val="none"/>
        </w:rPr>
        <w:fldChar w:fldCharType="separate"/>
      </w:r>
      <w:r>
        <w:rPr>
          <w:rFonts w:hint="eastAsia"/>
          <w:color w:val="auto"/>
          <w:highlight w:val="none"/>
        </w:rPr>
        <w:t>（二）绩效评价原则、评价指标体系、评价方法、评价标准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_Toc5109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"_Toc23796" </w:instrText>
      </w:r>
      <w:r>
        <w:rPr>
          <w:color w:val="auto"/>
          <w:highlight w:val="none"/>
        </w:rPr>
        <w:fldChar w:fldCharType="separate"/>
      </w:r>
      <w:r>
        <w:rPr>
          <w:rFonts w:hint="eastAsia"/>
          <w:color w:val="auto"/>
          <w:highlight w:val="none"/>
        </w:rPr>
        <w:t>（三）绩效评价工作过程</w:t>
      </w:r>
      <w:r>
        <w:rPr>
          <w:color w:val="auto"/>
          <w:highlight w:val="none"/>
        </w:rPr>
        <w:tab/>
      </w:r>
      <w:r>
        <w:rPr>
          <w:color w:val="auto"/>
          <w:highlight w:val="none"/>
        </w:rPr>
        <w:fldChar w:fldCharType="begin"/>
      </w:r>
      <w:r>
        <w:rPr>
          <w:color w:val="auto"/>
          <w:highlight w:val="none"/>
        </w:rPr>
        <w:instrText xml:space="preserve"> PAGEREF _Toc23796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"_Toc20784" </w:instrText>
      </w:r>
      <w:r>
        <w:rPr>
          <w:color w:val="auto"/>
          <w:highlight w:val="none"/>
        </w:rPr>
        <w:fldChar w:fldCharType="separate"/>
      </w:r>
      <w:r>
        <w:rPr>
          <w:rFonts w:hint="eastAsia"/>
          <w:color w:val="auto"/>
          <w:highlight w:val="none"/>
        </w:rPr>
        <w:t>三、综合评价情况及评价结论</w:t>
      </w:r>
      <w:r>
        <w:rPr>
          <w:color w:val="auto"/>
          <w:highlight w:val="none"/>
        </w:rPr>
        <w:tab/>
      </w:r>
      <w:r>
        <w:rPr>
          <w:color w:val="auto"/>
          <w:highlight w:val="none"/>
        </w:rPr>
        <w:fldChar w:fldCharType="begin"/>
      </w:r>
      <w:r>
        <w:rPr>
          <w:color w:val="auto"/>
          <w:highlight w:val="none"/>
        </w:rPr>
        <w:instrText xml:space="preserve"> PAGEREF _Toc20784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"_Toc8960" </w:instrText>
      </w:r>
      <w:r>
        <w:rPr>
          <w:color w:val="auto"/>
          <w:highlight w:val="none"/>
        </w:rPr>
        <w:fldChar w:fldCharType="separate"/>
      </w:r>
      <w:r>
        <w:rPr>
          <w:rFonts w:hint="eastAsia"/>
          <w:color w:val="auto"/>
          <w:highlight w:val="none"/>
        </w:rPr>
        <w:t>四、绩效评价指标分析</w:t>
      </w:r>
      <w:r>
        <w:rPr>
          <w:color w:val="auto"/>
          <w:highlight w:val="none"/>
        </w:rPr>
        <w:tab/>
      </w:r>
      <w:r>
        <w:rPr>
          <w:color w:val="auto"/>
          <w:highlight w:val="none"/>
        </w:rPr>
        <w:fldChar w:fldCharType="begin"/>
      </w:r>
      <w:r>
        <w:rPr>
          <w:color w:val="auto"/>
          <w:highlight w:val="none"/>
        </w:rPr>
        <w:instrText xml:space="preserve"> PAGEREF _Toc8960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"_Toc3445" </w:instrText>
      </w:r>
      <w:r>
        <w:rPr>
          <w:color w:val="auto"/>
          <w:highlight w:val="none"/>
        </w:rPr>
        <w:fldChar w:fldCharType="separate"/>
      </w:r>
      <w:r>
        <w:rPr>
          <w:rFonts w:hint="eastAsia"/>
          <w:color w:val="auto"/>
          <w:highlight w:val="none"/>
        </w:rPr>
        <w:t>（一）项目决策情况</w:t>
      </w:r>
      <w:r>
        <w:rPr>
          <w:color w:val="auto"/>
          <w:highlight w:val="none"/>
        </w:rPr>
        <w:tab/>
      </w:r>
      <w:r>
        <w:rPr>
          <w:color w:val="auto"/>
          <w:highlight w:val="none"/>
        </w:rPr>
        <w:fldChar w:fldCharType="begin"/>
      </w:r>
      <w:r>
        <w:rPr>
          <w:color w:val="auto"/>
          <w:highlight w:val="none"/>
        </w:rPr>
        <w:instrText xml:space="preserve"> PAGEREF _Toc3445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"_Toc11290" </w:instrText>
      </w:r>
      <w:r>
        <w:rPr>
          <w:color w:val="auto"/>
          <w:highlight w:val="none"/>
        </w:rPr>
        <w:fldChar w:fldCharType="separate"/>
      </w:r>
      <w:r>
        <w:rPr>
          <w:rFonts w:hint="eastAsia"/>
          <w:color w:val="auto"/>
          <w:highlight w:val="none"/>
        </w:rPr>
        <w:t>（二）项目过程情况</w:t>
      </w:r>
      <w:r>
        <w:rPr>
          <w:color w:val="auto"/>
          <w:highlight w:val="none"/>
        </w:rPr>
        <w:tab/>
      </w:r>
      <w:r>
        <w:rPr>
          <w:color w:val="auto"/>
          <w:highlight w:val="none"/>
        </w:rPr>
        <w:fldChar w:fldCharType="begin"/>
      </w:r>
      <w:r>
        <w:rPr>
          <w:color w:val="auto"/>
          <w:highlight w:val="none"/>
        </w:rPr>
        <w:instrText xml:space="preserve"> PAGEREF _Toc11290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"_Toc32013" </w:instrText>
      </w:r>
      <w:r>
        <w:rPr>
          <w:color w:val="auto"/>
          <w:highlight w:val="none"/>
        </w:rPr>
        <w:fldChar w:fldCharType="separate"/>
      </w:r>
      <w:r>
        <w:rPr>
          <w:rFonts w:hint="eastAsia"/>
          <w:color w:val="auto"/>
          <w:highlight w:val="none"/>
        </w:rPr>
        <w:t>（三）项目产出情况</w:t>
      </w:r>
      <w:r>
        <w:rPr>
          <w:color w:val="auto"/>
          <w:highlight w:val="none"/>
        </w:rPr>
        <w:tab/>
      </w:r>
      <w:r>
        <w:rPr>
          <w:color w:val="auto"/>
          <w:highlight w:val="none"/>
        </w:rPr>
        <w:fldChar w:fldCharType="begin"/>
      </w:r>
      <w:r>
        <w:rPr>
          <w:color w:val="auto"/>
          <w:highlight w:val="none"/>
        </w:rPr>
        <w:instrText xml:space="preserve"> PAGEREF _Toc32013 \h </w:instrText>
      </w:r>
      <w:r>
        <w:rPr>
          <w:color w:val="auto"/>
          <w:highlight w:val="none"/>
        </w:rPr>
        <w:fldChar w:fldCharType="separate"/>
      </w:r>
      <w:r>
        <w:rPr>
          <w:color w:val="auto"/>
          <w:highlight w:val="none"/>
        </w:rPr>
        <w:t>13</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"_Toc28354" </w:instrText>
      </w:r>
      <w:r>
        <w:rPr>
          <w:color w:val="auto"/>
          <w:highlight w:val="none"/>
        </w:rPr>
        <w:fldChar w:fldCharType="separate"/>
      </w:r>
      <w:r>
        <w:rPr>
          <w:rFonts w:hint="eastAsia"/>
          <w:color w:val="auto"/>
          <w:highlight w:val="none"/>
        </w:rPr>
        <w:t>（四）项目效益情况</w:t>
      </w:r>
      <w:r>
        <w:rPr>
          <w:color w:val="auto"/>
          <w:highlight w:val="none"/>
        </w:rPr>
        <w:tab/>
      </w:r>
      <w:r>
        <w:rPr>
          <w:color w:val="auto"/>
          <w:highlight w:val="none"/>
        </w:rPr>
        <w:fldChar w:fldCharType="begin"/>
      </w:r>
      <w:r>
        <w:rPr>
          <w:color w:val="auto"/>
          <w:highlight w:val="none"/>
        </w:rPr>
        <w:instrText xml:space="preserve"> PAGEREF _Toc28354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"_Toc27244" </w:instrText>
      </w:r>
      <w:r>
        <w:rPr>
          <w:color w:val="auto"/>
          <w:highlight w:val="none"/>
        </w:rPr>
        <w:fldChar w:fldCharType="separate"/>
      </w:r>
      <w:r>
        <w:rPr>
          <w:rFonts w:hint="eastAsia"/>
          <w:color w:val="auto"/>
          <w:highlight w:val="none"/>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_Toc27244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"_Toc18880" </w:instrText>
      </w:r>
      <w:r>
        <w:rPr>
          <w:color w:val="auto"/>
          <w:highlight w:val="none"/>
        </w:rPr>
        <w:fldChar w:fldCharType="separate"/>
      </w:r>
      <w:r>
        <w:rPr>
          <w:rFonts w:hint="eastAsia"/>
          <w:color w:val="auto"/>
          <w:highlight w:val="none"/>
        </w:rPr>
        <w:t>（一）主要经验及做法</w:t>
      </w:r>
      <w:r>
        <w:rPr>
          <w:color w:val="auto"/>
          <w:highlight w:val="none"/>
        </w:rPr>
        <w:tab/>
      </w:r>
      <w:r>
        <w:rPr>
          <w:color w:val="auto"/>
          <w:highlight w:val="none"/>
        </w:rPr>
        <w:fldChar w:fldCharType="begin"/>
      </w:r>
      <w:r>
        <w:rPr>
          <w:color w:val="auto"/>
          <w:highlight w:val="none"/>
        </w:rPr>
        <w:instrText xml:space="preserve"> PAGEREF _Toc18880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"_Toc9914" </w:instrText>
      </w:r>
      <w:r>
        <w:rPr>
          <w:color w:val="auto"/>
          <w:highlight w:val="none"/>
        </w:rPr>
        <w:fldChar w:fldCharType="separate"/>
      </w:r>
      <w:r>
        <w:rPr>
          <w:rFonts w:hint="eastAsia"/>
          <w:color w:val="auto"/>
          <w:highlight w:val="none"/>
        </w:rPr>
        <w:t>（二）存在问题及原因分析</w:t>
      </w:r>
      <w:r>
        <w:rPr>
          <w:color w:val="auto"/>
          <w:highlight w:val="none"/>
        </w:rPr>
        <w:tab/>
      </w:r>
      <w:r>
        <w:rPr>
          <w:color w:val="auto"/>
          <w:highlight w:val="none"/>
        </w:rPr>
        <w:fldChar w:fldCharType="begin"/>
      </w:r>
      <w:r>
        <w:rPr>
          <w:color w:val="auto"/>
          <w:highlight w:val="none"/>
        </w:rPr>
        <w:instrText xml:space="preserve"> PAGEREF _Toc9914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"_Toc2334" </w:instrText>
      </w:r>
      <w:r>
        <w:rPr>
          <w:color w:val="auto"/>
          <w:highlight w:val="none"/>
        </w:rPr>
        <w:fldChar w:fldCharType="separate"/>
      </w:r>
      <w:r>
        <w:rPr>
          <w:rFonts w:hint="eastAsia"/>
          <w:color w:val="auto"/>
          <w:highlight w:val="none"/>
        </w:rPr>
        <w:t>六、有关建议</w:t>
      </w:r>
      <w:r>
        <w:rPr>
          <w:color w:val="auto"/>
          <w:highlight w:val="none"/>
        </w:rPr>
        <w:tab/>
      </w:r>
      <w:r>
        <w:rPr>
          <w:color w:val="auto"/>
          <w:highlight w:val="none"/>
        </w:rPr>
        <w:fldChar w:fldCharType="begin"/>
      </w:r>
      <w:r>
        <w:rPr>
          <w:color w:val="auto"/>
          <w:highlight w:val="none"/>
        </w:rPr>
        <w:instrText xml:space="preserve"> PAGEREF _Toc2334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"_Toc30571" </w:instrText>
      </w:r>
      <w:r>
        <w:rPr>
          <w:color w:val="auto"/>
          <w:highlight w:val="none"/>
        </w:rPr>
        <w:fldChar w:fldCharType="separate"/>
      </w:r>
      <w:r>
        <w:rPr>
          <w:rFonts w:hint="eastAsia"/>
          <w:color w:val="auto"/>
          <w:highlight w:val="none"/>
        </w:rPr>
        <w:t>七、其他需要说明的问题</w:t>
      </w:r>
      <w:r>
        <w:rPr>
          <w:color w:val="auto"/>
          <w:highlight w:val="none"/>
        </w:rPr>
        <w:tab/>
      </w:r>
      <w:r>
        <w:rPr>
          <w:color w:val="auto"/>
          <w:highlight w:val="none"/>
        </w:rPr>
        <w:fldChar w:fldCharType="begin"/>
      </w:r>
      <w:r>
        <w:rPr>
          <w:color w:val="auto"/>
          <w:highlight w:val="none"/>
        </w:rPr>
        <w:instrText xml:space="preserve"> PAGEREF _Toc30571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"_Toc10180" </w:instrText>
      </w:r>
      <w:r>
        <w:rPr>
          <w:color w:val="auto"/>
          <w:highlight w:val="none"/>
        </w:rPr>
        <w:fldChar w:fldCharType="separate"/>
      </w:r>
      <w:r>
        <w:rPr>
          <w:rFonts w:hint="eastAsia"/>
          <w:color w:val="auto"/>
          <w:highlight w:val="none"/>
        </w:rPr>
        <w:t>八、相关附件</w:t>
      </w:r>
      <w:r>
        <w:rPr>
          <w:color w:val="auto"/>
          <w:highlight w:val="none"/>
        </w:rPr>
        <w:tab/>
      </w:r>
      <w:r>
        <w:rPr>
          <w:color w:val="auto"/>
          <w:highlight w:val="none"/>
        </w:rPr>
        <w:fldChar w:fldCharType="begin"/>
      </w:r>
      <w:r>
        <w:rPr>
          <w:color w:val="auto"/>
          <w:highlight w:val="none"/>
        </w:rPr>
        <w:instrText xml:space="preserve"> PAGEREF _Toc10180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4"/>
        <w:bidi w:val="0"/>
        <w:rPr>
          <w:rFonts w:eastAsia="黑体"/>
          <w:bCs/>
          <w:color w:val="auto"/>
          <w:szCs w:val="44"/>
          <w:highlight w:val="none"/>
        </w:rPr>
        <w:sectPr>
          <w:pgSz w:w="11906" w:h="16838"/>
          <w:pgMar w:top="1440" w:right="1800" w:bottom="1440" w:left="1800" w:header="851" w:footer="992" w:gutter="0"/>
          <w:pgNumType w:start="1"/>
          <w:cols w:space="425" w:num="1"/>
          <w:docGrid w:type="lines" w:linePitch="312" w:charSpace="0"/>
        </w:sectPr>
      </w:pPr>
    </w:p>
    <w:p>
      <w:pPr>
        <w:pStyle w:val="4"/>
        <w:bidi w:val="0"/>
        <w:rPr>
          <w:color w:val="auto"/>
          <w:highlight w:val="none"/>
        </w:rPr>
      </w:pPr>
      <w:r>
        <w:rPr>
          <w:rFonts w:eastAsia="黑体"/>
          <w:bCs/>
          <w:color w:val="auto"/>
          <w:szCs w:val="44"/>
          <w:highlight w:val="none"/>
        </w:rPr>
        <w:fldChar w:fldCharType="end"/>
      </w:r>
      <w:bookmarkStart w:id="0" w:name="_Toc25620"/>
      <w:r>
        <w:rPr>
          <w:color w:val="auto"/>
          <w:highlight w:val="none"/>
        </w:rPr>
        <w:t>一、基本情况</w:t>
      </w:r>
      <w:bookmarkEnd w:id="0"/>
    </w:p>
    <w:p>
      <w:pPr>
        <w:pStyle w:val="2"/>
        <w:bidi w:val="0"/>
        <w:rPr>
          <w:color w:val="auto"/>
          <w:highlight w:val="none"/>
        </w:rPr>
      </w:pPr>
      <w:bookmarkStart w:id="1" w:name="_Toc8971"/>
      <w:r>
        <w:rPr>
          <w:color w:val="auto"/>
          <w:highlight w:val="none"/>
        </w:rPr>
        <w:t>（一）项目概况</w:t>
      </w:r>
      <w:bookmarkEnd w:id="1"/>
    </w:p>
    <w:p>
      <w:pPr>
        <w:bidi w:val="0"/>
        <w:rPr>
          <w:b/>
          <w:bCs/>
          <w:color w:val="auto"/>
          <w:highlight w:val="none"/>
        </w:rPr>
      </w:pPr>
      <w:r>
        <w:rPr>
          <w:b/>
          <w:bCs/>
          <w:color w:val="auto"/>
          <w:highlight w:val="none"/>
        </w:rPr>
        <w:t>1、项目背景</w:t>
      </w:r>
    </w:p>
    <w:p>
      <w:pPr>
        <w:bidi w:val="0"/>
        <w:rPr>
          <w:rFonts w:hint="eastAsia"/>
          <w:color w:val="auto"/>
          <w:highlight w:val="none"/>
          <w:lang w:eastAsia="zh-CN"/>
        </w:rPr>
      </w:pPr>
      <w:r>
        <w:rPr>
          <w:rFonts w:hint="eastAsia"/>
          <w:color w:val="auto"/>
          <w:highlight w:val="none"/>
          <w:lang w:eastAsia="zh-CN"/>
        </w:rPr>
        <w:t>为了进一步做好高标准农田建设工作，提升财政资金使用绩效，加快农业高质量发展，根据《高标准农田建设通则》《关于转发&lt;关于下达2023年自治区农田建设任务的通知&gt;的通知》要求、尉犁县农业农村局高度重视、严格按规范要求组织开展了尉犁县2023年度1.14万亩高标准农田建设项目。</w:t>
      </w:r>
    </w:p>
    <w:p>
      <w:pPr>
        <w:bidi w:val="0"/>
        <w:rPr>
          <w:b/>
          <w:bCs/>
          <w:color w:val="auto"/>
          <w:highlight w:val="none"/>
        </w:rPr>
      </w:pPr>
      <w:r>
        <w:rPr>
          <w:b/>
          <w:bCs/>
          <w:color w:val="auto"/>
          <w:highlight w:val="none"/>
        </w:rPr>
        <w:t>2、项目主要内容</w:t>
      </w:r>
    </w:p>
    <w:p>
      <w:pPr>
        <w:bidi w:val="0"/>
        <w:rPr>
          <w:rFonts w:hint="eastAsia"/>
          <w:color w:val="auto"/>
          <w:highlight w:val="none"/>
          <w:lang w:eastAsia="zh-CN"/>
        </w:rPr>
      </w:pPr>
      <w:r>
        <w:rPr>
          <w:rFonts w:hint="eastAsia"/>
          <w:color w:val="auto"/>
          <w:highlight w:val="none"/>
          <w:lang w:eastAsia="zh-CN"/>
        </w:rPr>
        <w:t>下达尉犁县2023年度1.14万亩高标准农田建设项目自治区农田建设补助资金542万元，主要建设内容土地平整面积7117亩；新建高效节水面积7739亩；建设防渗渠道2.752km，配套管道附属建筑物28座；修建田间道路8.04km；农田地力提升面积11395亩。</w:t>
      </w:r>
    </w:p>
    <w:p>
      <w:pPr>
        <w:bidi w:val="0"/>
        <w:rPr>
          <w:b/>
          <w:bCs/>
          <w:color w:val="auto"/>
          <w:highlight w:val="none"/>
        </w:rPr>
      </w:pPr>
      <w:r>
        <w:rPr>
          <w:rFonts w:hint="eastAsia"/>
          <w:b/>
          <w:bCs/>
          <w:color w:val="auto"/>
          <w:highlight w:val="none"/>
        </w:rPr>
        <w:t>3、</w:t>
      </w:r>
      <w:r>
        <w:rPr>
          <w:b/>
          <w:bCs/>
          <w:color w:val="auto"/>
          <w:highlight w:val="none"/>
        </w:rPr>
        <w:t>项目实施情况</w:t>
      </w:r>
    </w:p>
    <w:p>
      <w:pPr>
        <w:bidi w:val="0"/>
        <w:rPr>
          <w:rFonts w:hint="eastAsia"/>
          <w:color w:val="auto"/>
          <w:highlight w:val="none"/>
          <w:lang w:val="en-US" w:eastAsia="zh-CN"/>
        </w:rPr>
      </w:pPr>
      <w:r>
        <w:rPr>
          <w:rFonts w:hint="eastAsia"/>
          <w:color w:val="auto"/>
          <w:highlight w:val="none"/>
          <w:lang w:val="en-US" w:eastAsia="zh-CN"/>
        </w:rPr>
        <w:t>项目于2023年1月7日上报项目实施方案批复的申请，2023年1月4日组织州级专家评审项目实施方案，2023年1月9日发布招标公告，2月10日完成招标，于2023年2月20日已开工，2023年12月已完工。</w:t>
      </w:r>
    </w:p>
    <w:p>
      <w:pPr>
        <w:numPr>
          <w:ilvl w:val="0"/>
          <w:numId w:val="1"/>
        </w:numPr>
        <w:bidi w:val="0"/>
        <w:rPr>
          <w:rFonts w:hint="eastAsia"/>
          <w:b/>
          <w:bCs/>
          <w:color w:val="auto"/>
          <w:highlight w:val="none"/>
        </w:rPr>
      </w:pPr>
      <w:r>
        <w:rPr>
          <w:rFonts w:hint="eastAsia"/>
          <w:b/>
          <w:bCs/>
          <w:color w:val="auto"/>
          <w:highlight w:val="none"/>
        </w:rPr>
        <w:t>资金投入情况</w:t>
      </w:r>
    </w:p>
    <w:p>
      <w:pPr>
        <w:bidi w:val="0"/>
        <w:rPr>
          <w:rFonts w:hint="default"/>
          <w:color w:val="auto"/>
          <w:highlight w:val="none"/>
          <w:lang w:val="en-US" w:eastAsia="zh-CN"/>
        </w:rPr>
      </w:pPr>
      <w:r>
        <w:rPr>
          <w:rFonts w:hint="eastAsia"/>
          <w:color w:val="auto"/>
          <w:highlight w:val="none"/>
          <w:lang w:val="en-US" w:eastAsia="zh-CN"/>
        </w:rPr>
        <w:t>2022年12月27日，根据《关于提前下达2023年自治区农田建设补助资金预算的通知》巴财农〔2022〕69号下达我县中央农田建设补助资金542万元，</w:t>
      </w:r>
      <w:r>
        <w:rPr>
          <w:rFonts w:hint="default"/>
          <w:color w:val="auto"/>
          <w:highlight w:val="none"/>
          <w:lang w:val="en-US" w:eastAsia="zh-CN"/>
        </w:rPr>
        <w:t>资金到位率为100%。</w:t>
      </w:r>
    </w:p>
    <w:p>
      <w:pPr>
        <w:bidi w:val="0"/>
        <w:rPr>
          <w:b/>
          <w:bCs/>
          <w:color w:val="auto"/>
          <w:highlight w:val="none"/>
        </w:rPr>
      </w:pPr>
      <w:r>
        <w:rPr>
          <w:rFonts w:hint="eastAsia"/>
          <w:b/>
          <w:bCs/>
          <w:color w:val="auto"/>
          <w:highlight w:val="none"/>
        </w:rPr>
        <w:t>5、资金使用情况</w:t>
      </w:r>
    </w:p>
    <w:p>
      <w:pPr>
        <w:bidi w:val="0"/>
        <w:rPr>
          <w:rFonts w:hint="default"/>
          <w:color w:val="auto"/>
          <w:highlight w:val="none"/>
        </w:rPr>
      </w:pPr>
      <w:bookmarkStart w:id="2" w:name="_Toc25187"/>
      <w:r>
        <w:rPr>
          <w:rFonts w:hint="eastAsia"/>
          <w:color w:val="auto"/>
          <w:highlight w:val="none"/>
          <w:lang w:val="en-US" w:eastAsia="zh-CN"/>
        </w:rPr>
        <w:t>截至2023年12月31日，2023年度用于尉犁县2023年高标准农田建设项目资金共计执行542万元，执行率100%。</w:t>
      </w:r>
      <w:r>
        <w:rPr>
          <w:rFonts w:hint="default"/>
          <w:color w:val="auto"/>
          <w:highlight w:val="none"/>
        </w:rPr>
        <w:t>具体资金支付情况：</w:t>
      </w:r>
    </w:p>
    <w:p>
      <w:pPr>
        <w:bidi w:val="0"/>
        <w:rPr>
          <w:rFonts w:hint="eastAsia"/>
          <w:color w:val="auto"/>
          <w:highlight w:val="none"/>
          <w:lang w:val="en-US" w:eastAsia="zh-CN"/>
        </w:rPr>
      </w:pPr>
      <w:r>
        <w:rPr>
          <w:rFonts w:hint="eastAsia"/>
          <w:color w:val="auto"/>
          <w:highlight w:val="none"/>
          <w:lang w:val="en-US" w:eastAsia="zh-CN"/>
        </w:rPr>
        <w:t>2023年4月6日，支付资金：1228000万元；</w:t>
      </w:r>
    </w:p>
    <w:p>
      <w:pPr>
        <w:bidi w:val="0"/>
        <w:rPr>
          <w:rFonts w:hint="eastAsia"/>
          <w:color w:val="auto"/>
          <w:highlight w:val="none"/>
          <w:lang w:val="en-US" w:eastAsia="zh-CN"/>
        </w:rPr>
      </w:pPr>
      <w:r>
        <w:rPr>
          <w:rFonts w:hint="eastAsia"/>
          <w:color w:val="auto"/>
          <w:highlight w:val="none"/>
          <w:lang w:val="en-US" w:eastAsia="zh-CN"/>
        </w:rPr>
        <w:t>2023年4月15日，支付资金：604000万元；</w:t>
      </w:r>
    </w:p>
    <w:p>
      <w:pPr>
        <w:bidi w:val="0"/>
        <w:rPr>
          <w:rFonts w:hint="eastAsia"/>
          <w:color w:val="auto"/>
          <w:highlight w:val="none"/>
          <w:lang w:val="en-US" w:eastAsia="zh-CN"/>
        </w:rPr>
      </w:pPr>
      <w:r>
        <w:rPr>
          <w:rFonts w:hint="eastAsia"/>
          <w:color w:val="auto"/>
          <w:highlight w:val="none"/>
          <w:lang w:val="en-US" w:eastAsia="zh-CN"/>
        </w:rPr>
        <w:t>2023年7月28日，支付资金：2020000万元；</w:t>
      </w:r>
    </w:p>
    <w:p>
      <w:pPr>
        <w:bidi w:val="0"/>
        <w:rPr>
          <w:rFonts w:hint="default"/>
          <w:color w:val="auto"/>
          <w:highlight w:val="none"/>
          <w:lang w:val="en-US" w:eastAsia="zh-CN"/>
        </w:rPr>
      </w:pPr>
      <w:r>
        <w:rPr>
          <w:rFonts w:hint="eastAsia"/>
          <w:color w:val="auto"/>
          <w:highlight w:val="none"/>
          <w:lang w:val="en-US" w:eastAsia="zh-CN"/>
        </w:rPr>
        <w:t>2023年7月28日，支付资金：120000万元；</w:t>
      </w:r>
    </w:p>
    <w:p>
      <w:pPr>
        <w:bidi w:val="0"/>
        <w:rPr>
          <w:rFonts w:hint="default"/>
          <w:color w:val="auto"/>
          <w:highlight w:val="none"/>
          <w:lang w:val="en-US" w:eastAsia="zh-CN"/>
        </w:rPr>
      </w:pPr>
      <w:r>
        <w:rPr>
          <w:rFonts w:hint="eastAsia"/>
          <w:color w:val="auto"/>
          <w:highlight w:val="none"/>
          <w:lang w:val="en-US" w:eastAsia="zh-CN"/>
        </w:rPr>
        <w:t>2023年7月28日，支付资金：160000万元；</w:t>
      </w:r>
    </w:p>
    <w:p>
      <w:pPr>
        <w:bidi w:val="0"/>
        <w:rPr>
          <w:rFonts w:hint="default"/>
          <w:color w:val="auto"/>
          <w:highlight w:val="none"/>
          <w:lang w:val="en-US" w:eastAsia="zh-CN"/>
        </w:rPr>
      </w:pPr>
      <w:r>
        <w:rPr>
          <w:rFonts w:hint="eastAsia"/>
          <w:color w:val="auto"/>
          <w:highlight w:val="none"/>
          <w:lang w:val="en-US" w:eastAsia="zh-CN"/>
        </w:rPr>
        <w:t>2023年10月27日，支付资金：47000万元；</w:t>
      </w:r>
    </w:p>
    <w:p>
      <w:pPr>
        <w:bidi w:val="0"/>
        <w:rPr>
          <w:rFonts w:hint="default"/>
          <w:color w:val="auto"/>
          <w:highlight w:val="none"/>
          <w:lang w:val="en-US" w:eastAsia="zh-CN"/>
        </w:rPr>
      </w:pPr>
      <w:r>
        <w:rPr>
          <w:rFonts w:hint="eastAsia"/>
          <w:color w:val="auto"/>
          <w:highlight w:val="none"/>
          <w:lang w:val="en-US" w:eastAsia="zh-CN"/>
        </w:rPr>
        <w:t>2023年10月27日，支付资金：1241000万元；</w:t>
      </w:r>
    </w:p>
    <w:p>
      <w:pPr>
        <w:pStyle w:val="2"/>
        <w:bidi w:val="0"/>
        <w:rPr>
          <w:color w:val="auto"/>
          <w:highlight w:val="none"/>
        </w:rPr>
      </w:pPr>
      <w:r>
        <w:rPr>
          <w:color w:val="auto"/>
          <w:highlight w:val="none"/>
        </w:rPr>
        <w:t>（二）项目绩效目标</w:t>
      </w:r>
      <w:bookmarkEnd w:id="2"/>
    </w:p>
    <w:p>
      <w:pPr>
        <w:bidi w:val="0"/>
        <w:rPr>
          <w:b/>
          <w:bCs/>
          <w:color w:val="auto"/>
          <w:highlight w:val="none"/>
        </w:rPr>
      </w:pPr>
      <w:r>
        <w:rPr>
          <w:rFonts w:hint="eastAsia"/>
          <w:b/>
          <w:bCs/>
          <w:color w:val="auto"/>
          <w:highlight w:val="none"/>
        </w:rPr>
        <w:t>1、总体目标</w:t>
      </w:r>
    </w:p>
    <w:p>
      <w:pPr>
        <w:bidi w:val="0"/>
        <w:rPr>
          <w:rFonts w:hint="eastAsia"/>
          <w:color w:val="auto"/>
          <w:highlight w:val="none"/>
        </w:rPr>
      </w:pPr>
      <w:r>
        <w:rPr>
          <w:rFonts w:hint="eastAsia"/>
          <w:color w:val="auto"/>
          <w:highlight w:val="none"/>
          <w:lang w:val="en-US" w:eastAsia="zh-CN"/>
        </w:rPr>
        <w:t>新建高标准农田面积1.14万亩，通过项目建设，有效改善项目区农田基础设施条件，提升耕地质量，提高粮食综合生产能力。</w:t>
      </w:r>
    </w:p>
    <w:p>
      <w:pPr>
        <w:numPr>
          <w:ilvl w:val="0"/>
          <w:numId w:val="2"/>
        </w:numPr>
        <w:bidi w:val="0"/>
        <w:rPr>
          <w:rFonts w:hint="eastAsia" w:eastAsia="楷体_GB2312"/>
          <w:color w:val="auto"/>
          <w:highlight w:val="none"/>
          <w:lang w:eastAsia="zh-CN"/>
        </w:rPr>
      </w:pPr>
      <w:r>
        <w:rPr>
          <w:rFonts w:hint="eastAsia"/>
          <w:b/>
          <w:bCs/>
          <w:color w:val="auto"/>
          <w:highlight w:val="none"/>
        </w:rPr>
        <w:t>阶段性目标</w:t>
      </w:r>
    </w:p>
    <w:p>
      <w:pPr>
        <w:bidi w:val="0"/>
        <w:rPr>
          <w:rFonts w:hint="eastAsia"/>
          <w:color w:val="auto"/>
          <w:highlight w:val="none"/>
          <w:lang w:val="en-US" w:eastAsia="zh-CN"/>
        </w:rPr>
      </w:pPr>
      <w:r>
        <w:rPr>
          <w:rFonts w:hint="eastAsia"/>
          <w:color w:val="auto"/>
          <w:highlight w:val="none"/>
          <w:lang w:val="en-US" w:eastAsia="zh-CN"/>
        </w:rPr>
        <w:t>（1）根据项目实施计划安排，按时完成项目前期申报等工作事项。</w:t>
      </w:r>
    </w:p>
    <w:p>
      <w:pPr>
        <w:bidi w:val="0"/>
        <w:rPr>
          <w:rFonts w:hint="default"/>
          <w:color w:val="auto"/>
          <w:highlight w:val="none"/>
          <w:lang w:val="en-US" w:eastAsia="zh-CN"/>
        </w:rPr>
      </w:pPr>
      <w:r>
        <w:rPr>
          <w:rFonts w:hint="eastAsia"/>
          <w:color w:val="auto"/>
          <w:highlight w:val="none"/>
          <w:lang w:val="en-US" w:eastAsia="zh-CN"/>
        </w:rPr>
        <w:t>（2）按时完成项目，新建高标准农田面积1.14万亩，按项目实施进度支付项目资金，做好项目建设保障。</w:t>
      </w:r>
    </w:p>
    <w:p>
      <w:pPr>
        <w:pStyle w:val="4"/>
        <w:bidi w:val="0"/>
        <w:ind w:left="0" w:leftChars="0" w:firstLine="640" w:firstLineChars="200"/>
        <w:rPr>
          <w:color w:val="auto"/>
          <w:highlight w:val="none"/>
        </w:rPr>
      </w:pPr>
      <w:bookmarkStart w:id="3" w:name="_Toc28824"/>
      <w:r>
        <w:rPr>
          <w:rFonts w:hint="eastAsia"/>
          <w:color w:val="auto"/>
          <w:highlight w:val="none"/>
        </w:rPr>
        <w:t>二、绩效评价工作开展情况</w:t>
      </w:r>
      <w:bookmarkEnd w:id="3"/>
    </w:p>
    <w:p>
      <w:pPr>
        <w:pStyle w:val="2"/>
        <w:bidi w:val="0"/>
        <w:rPr>
          <w:color w:val="auto"/>
          <w:highlight w:val="none"/>
        </w:rPr>
      </w:pPr>
      <w:bookmarkStart w:id="4" w:name="_Toc24175"/>
      <w:r>
        <w:rPr>
          <w:rFonts w:hint="eastAsia"/>
          <w:color w:val="auto"/>
          <w:highlight w:val="none"/>
        </w:rPr>
        <w:t>（一）绩效评价目的、对象和范围</w:t>
      </w:r>
      <w:bookmarkEnd w:id="4"/>
    </w:p>
    <w:p>
      <w:pPr>
        <w:bidi w:val="0"/>
        <w:rPr>
          <w:b/>
          <w:bCs/>
          <w:color w:val="auto"/>
          <w:highlight w:val="none"/>
        </w:rPr>
      </w:pPr>
      <w:r>
        <w:rPr>
          <w:b/>
          <w:bCs/>
          <w:color w:val="auto"/>
          <w:highlight w:val="none"/>
        </w:rPr>
        <w:t>1</w:t>
      </w:r>
      <w:r>
        <w:rPr>
          <w:rFonts w:hint="eastAsia"/>
          <w:b/>
          <w:bCs/>
          <w:color w:val="auto"/>
          <w:highlight w:val="none"/>
        </w:rPr>
        <w:t>、</w:t>
      </w:r>
      <w:r>
        <w:rPr>
          <w:b/>
          <w:bCs/>
          <w:color w:val="auto"/>
          <w:highlight w:val="none"/>
        </w:rPr>
        <w:t>绩效评价的目的</w:t>
      </w:r>
    </w:p>
    <w:p>
      <w:pPr>
        <w:bidi w:val="0"/>
        <w:rPr>
          <w:rFonts w:hint="eastAsia"/>
          <w:color w:val="auto"/>
          <w:highlight w:val="none"/>
          <w:lang w:val="en-US" w:eastAsia="zh-CN"/>
        </w:rPr>
      </w:pPr>
      <w:r>
        <w:rPr>
          <w:rFonts w:hint="eastAsia"/>
          <w:color w:val="auto"/>
          <w:highlight w:val="none"/>
          <w:lang w:val="en-US" w:eastAsia="zh-CN"/>
        </w:rPr>
        <w:t>本次绩效评价遵循财政部《关于印发&lt;项目支出绩效评价管理办法&gt;的通知》（财预〔2020〕10号）文件精神，对尉犁县2023年度1.14万亩高标准农田建设项目（自治区）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绩效评价的对象和范围</w:t>
      </w:r>
    </w:p>
    <w:p>
      <w:pPr>
        <w:bidi w:val="0"/>
        <w:rPr>
          <w:rFonts w:hint="eastAsia"/>
          <w:color w:val="auto"/>
          <w:highlight w:val="none"/>
          <w:lang w:val="en-US" w:eastAsia="zh-CN"/>
        </w:rPr>
      </w:pPr>
      <w:r>
        <w:rPr>
          <w:rFonts w:hint="eastAsia"/>
          <w:color w:val="auto"/>
          <w:highlight w:val="none"/>
          <w:lang w:val="en-US" w:eastAsia="zh-CN"/>
        </w:rPr>
        <w:t>根据《财政支出绩效评价管理办法》（财预〔2020〕10号）文件要求，对尉犁县2023年度1.14万亩高标准农田建设项目（自治区）开展绩效评价，本次绩效评价范围主要围绕项目决策（包括项目立项、绩效目标、资金投入）、项目过程（包括资金管理、组织实施）、项目产出（包括产出数量、质量、时效、成本）和项目效益等进行评价。</w:t>
      </w:r>
    </w:p>
    <w:p>
      <w:pPr>
        <w:pStyle w:val="2"/>
        <w:bidi w:val="0"/>
        <w:rPr>
          <w:color w:val="auto"/>
          <w:highlight w:val="none"/>
        </w:rPr>
      </w:pPr>
      <w:bookmarkStart w:id="5" w:name="_Toc5109"/>
      <w:r>
        <w:rPr>
          <w:rFonts w:hint="eastAsia"/>
          <w:color w:val="auto"/>
          <w:highlight w:val="none"/>
        </w:rPr>
        <w:t>（二）绩效评价原则、评价指标体系、评价方法、评价标准</w:t>
      </w:r>
      <w:bookmarkEnd w:id="5"/>
    </w:p>
    <w:p>
      <w:pPr>
        <w:bidi w:val="0"/>
        <w:rPr>
          <w:b/>
          <w:bCs/>
          <w:color w:val="auto"/>
          <w:highlight w:val="none"/>
        </w:rPr>
      </w:pPr>
      <w:r>
        <w:rPr>
          <w:b/>
          <w:bCs/>
          <w:color w:val="auto"/>
          <w:highlight w:val="none"/>
        </w:rPr>
        <w:t>1、绩效评价原则</w:t>
      </w:r>
    </w:p>
    <w:p>
      <w:pPr>
        <w:bidi w:val="0"/>
        <w:rPr>
          <w:rFonts w:hint="eastAsia"/>
          <w:color w:val="auto"/>
          <w:highlight w:val="none"/>
          <w:lang w:val="en-US" w:eastAsia="zh-CN"/>
        </w:rPr>
      </w:pPr>
      <w:r>
        <w:rPr>
          <w:rFonts w:hint="eastAsia"/>
          <w:color w:val="auto"/>
          <w:highlight w:val="none"/>
          <w:lang w:val="en-US" w:eastAsia="zh-CN"/>
        </w:rPr>
        <w:t>（1）科学公正。绩效评价应当运用科学合理的方法，按照规范的程序，对项目绩效进行客观、公正地反映。</w:t>
      </w:r>
    </w:p>
    <w:p>
      <w:pPr>
        <w:bidi w:val="0"/>
        <w:rPr>
          <w:rFonts w:hint="eastAsia"/>
          <w:color w:val="auto"/>
          <w:highlight w:val="none"/>
          <w:lang w:val="en-US" w:eastAsia="zh-CN"/>
        </w:rPr>
      </w:pPr>
      <w:r>
        <w:rPr>
          <w:rFonts w:hint="eastAsia"/>
          <w:color w:val="auto"/>
          <w:highlight w:val="none"/>
          <w:lang w:val="en-US" w:eastAsia="zh-CN"/>
        </w:rPr>
        <w:t>（2）统筹兼顾。单位自评应由项目单位自主实施，即“谁支出、谁自评”。</w:t>
      </w:r>
    </w:p>
    <w:p>
      <w:pPr>
        <w:bidi w:val="0"/>
        <w:rPr>
          <w:rFonts w:hint="eastAsia"/>
          <w:color w:val="auto"/>
          <w:highlight w:val="none"/>
          <w:lang w:val="en-US" w:eastAsia="zh-CN"/>
        </w:rPr>
      </w:pPr>
      <w:r>
        <w:rPr>
          <w:rFonts w:hint="eastAsia"/>
          <w:color w:val="auto"/>
          <w:highlight w:val="none"/>
          <w:lang w:val="en-US" w:eastAsia="zh-CN"/>
        </w:rPr>
        <w:t>（3）激励约束。绩效评价结果应与预算安排、政策调整、改进管理实质性挂钩，体现奖优罚劣和激励相容导向，有效要安排、低效要压减、无效要问责。</w:t>
      </w:r>
    </w:p>
    <w:p>
      <w:pPr>
        <w:bidi w:val="0"/>
        <w:rPr>
          <w:color w:val="auto"/>
          <w:highlight w:val="none"/>
        </w:rPr>
      </w:pPr>
      <w:r>
        <w:rPr>
          <w:rFonts w:hint="eastAsia"/>
          <w:color w:val="auto"/>
          <w:highlight w:val="none"/>
          <w:lang w:val="en-US" w:eastAsia="zh-CN"/>
        </w:rPr>
        <w:t>（4）公开透明。</w:t>
      </w:r>
      <w:bookmarkStart w:id="6" w:name="_Toc30993"/>
      <w:bookmarkStart w:id="7" w:name="_Toc23112"/>
      <w:r>
        <w:rPr>
          <w:rFonts w:hint="eastAsia"/>
          <w:color w:val="auto"/>
          <w:highlight w:val="none"/>
          <w:lang w:val="en-US" w:eastAsia="zh-CN"/>
        </w:rPr>
        <w:t>本次项目支出绩效评价结果已依法依规在尉犁县人民政府网站上公开，并自觉接受社会监督</w:t>
      </w:r>
      <w:r>
        <w:rPr>
          <w:rFonts w:hint="eastAsia"/>
          <w:color w:val="auto"/>
          <w:highlight w:val="none"/>
        </w:rPr>
        <w:t>。</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评价指标体系</w:t>
      </w:r>
      <w:bookmarkEnd w:id="6"/>
      <w:bookmarkEnd w:id="7"/>
    </w:p>
    <w:p>
      <w:pPr>
        <w:bidi w:val="0"/>
        <w:jc w:val="both"/>
        <w:rPr>
          <w:rFonts w:hint="default" w:ascii="Times New Roman" w:hAnsi="Times New Roman" w:eastAsia="仿宋_GB2312" w:cs="Times New Roman"/>
          <w:color w:val="auto"/>
          <w:highlight w:val="none"/>
        </w:rPr>
      </w:pPr>
      <w:r>
        <w:rPr>
          <w:rFonts w:hint="eastAsia"/>
          <w:color w:val="auto"/>
          <w:highlight w:val="none"/>
          <w:lang w:val="en-US" w:eastAsia="zh-CN"/>
        </w:rPr>
        <w:t>尉犁县2023年度1.14万亩高标准农田建设项目（自治区）</w:t>
      </w:r>
      <w:r>
        <w:rPr>
          <w:rFonts w:hint="default" w:ascii="Times New Roman" w:hAnsi="Times New Roman" w:eastAsia="仿宋_GB2312" w:cs="Times New Roman"/>
          <w:color w:val="auto"/>
          <w:highlight w:val="none"/>
        </w:rPr>
        <w:t>（部门自评）指标体系的设计，是在充分掌握项目状况的基础上，形成了</w:t>
      </w:r>
      <w:r>
        <w:rPr>
          <w:rFonts w:hint="eastAsia"/>
          <w:color w:val="auto"/>
          <w:highlight w:val="none"/>
          <w:lang w:val="en-US" w:eastAsia="zh-CN"/>
        </w:rPr>
        <w:t>尉犁县2023年度1.14万亩高标准农田建设项目（自治区）</w:t>
      </w:r>
      <w:r>
        <w:rPr>
          <w:rFonts w:hint="default" w:ascii="Times New Roman" w:hAnsi="Times New Roman" w:eastAsia="仿宋_GB2312" w:cs="Times New Roman"/>
          <w:color w:val="auto"/>
          <w:highlight w:val="none"/>
        </w:rPr>
        <w:t>支出绩效评价指标体系（部门自评）。本项目设计绩效评价指标体系满分100分。四个级别分别是：优、良、中、差，90（含）-100分为优、80（含）-90分为良、60（含）-80分为中、60分以下为差。</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按照财预〔2020〕10号文件关于“原则上产出、效益指标权重不低于60%”的要求，本项目产出、效益指标权重60%（即60分）。具体如下：</w:t>
      </w:r>
    </w:p>
    <w:tbl>
      <w:tblPr>
        <w:tblStyle w:val="10"/>
        <w:tblpPr w:leftFromText="180" w:rightFromText="180" w:vertAnchor="text" w:horzAnchor="page" w:tblpXSpec="center" w:tblpY="180"/>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1091"/>
        <w:gridCol w:w="840"/>
        <w:gridCol w:w="1532"/>
        <w:gridCol w:w="3783"/>
        <w:gridCol w:w="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bookmarkStart w:id="8" w:name="_Toc4156"/>
            <w:bookmarkStart w:id="9" w:name="_Toc15680"/>
            <w:r>
              <w:rPr>
                <w:color w:val="auto"/>
                <w:highlight w:val="none"/>
              </w:rPr>
              <w:t>一级指标</w:t>
            </w:r>
          </w:p>
        </w:tc>
        <w:tc>
          <w:tcPr>
            <w:tcW w:w="640"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二级指标</w:t>
            </w:r>
          </w:p>
        </w:tc>
        <w:tc>
          <w:tcPr>
            <w:tcW w:w="493"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三级指标</w:t>
            </w:r>
          </w:p>
        </w:tc>
        <w:tc>
          <w:tcPr>
            <w:tcW w:w="89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指标解释</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指标说明</w:t>
            </w:r>
          </w:p>
        </w:tc>
        <w:tc>
          <w:tcPr>
            <w:tcW w:w="33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决策</w:t>
            </w:r>
          </w:p>
        </w:tc>
        <w:tc>
          <w:tcPr>
            <w:tcW w:w="640"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w:t>
            </w:r>
            <w:r>
              <w:rPr>
                <w:rFonts w:hint="eastAsia"/>
                <w:color w:val="auto"/>
                <w:highlight w:val="none"/>
              </w:rPr>
              <w:t>实施</w:t>
            </w: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eastAsia"/>
                <w:color w:val="auto"/>
                <w:highlight w:val="none"/>
              </w:rPr>
              <w:t>实施</w:t>
            </w:r>
            <w:r>
              <w:rPr>
                <w:color w:val="auto"/>
                <w:highlight w:val="none"/>
              </w:rPr>
              <w:t>依据充分性</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w:t>
            </w:r>
            <w:r>
              <w:rPr>
                <w:rFonts w:hint="eastAsia"/>
                <w:color w:val="auto"/>
                <w:highlight w:val="none"/>
              </w:rPr>
              <w:t>实施</w:t>
            </w:r>
            <w:r>
              <w:rPr>
                <w:color w:val="auto"/>
                <w:highlight w:val="none"/>
              </w:rPr>
              <w:t>是否符合法律法规、相关政策、发展规划以及部门职责，用以反映和考核项目</w:t>
            </w:r>
            <w:r>
              <w:rPr>
                <w:rFonts w:hint="eastAsia"/>
                <w:color w:val="auto"/>
                <w:highlight w:val="none"/>
              </w:rPr>
              <w:t>实施</w:t>
            </w:r>
            <w:r>
              <w:rPr>
                <w:color w:val="auto"/>
                <w:highlight w:val="none"/>
              </w:rPr>
              <w:t>依据情况。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评价要点：</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①项目</w:t>
            </w:r>
            <w:r>
              <w:rPr>
                <w:rFonts w:hint="eastAsia"/>
                <w:color w:val="auto"/>
                <w:highlight w:val="none"/>
              </w:rPr>
              <w:t>实施</w:t>
            </w:r>
            <w:r>
              <w:rPr>
                <w:color w:val="auto"/>
                <w:highlight w:val="none"/>
              </w:rPr>
              <w:t>是否符合国家法律法规、国民经济发展规划和相关政策；</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②项目</w:t>
            </w:r>
            <w:r>
              <w:rPr>
                <w:rFonts w:hint="eastAsia"/>
                <w:color w:val="auto"/>
                <w:highlight w:val="none"/>
              </w:rPr>
              <w:t>实施</w:t>
            </w:r>
            <w:r>
              <w:rPr>
                <w:color w:val="auto"/>
                <w:highlight w:val="none"/>
              </w:rPr>
              <w:t>是否符合行业发展规划和政策要求；</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③项目</w:t>
            </w:r>
            <w:r>
              <w:rPr>
                <w:rFonts w:hint="eastAsia"/>
                <w:color w:val="auto"/>
                <w:highlight w:val="none"/>
              </w:rPr>
              <w:t>实施</w:t>
            </w:r>
            <w:r>
              <w:rPr>
                <w:color w:val="auto"/>
                <w:highlight w:val="none"/>
              </w:rPr>
              <w:t>是否与部门职责范围相符，属于部门履职所需；</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④项目是否属于公共财政支持范围，是否符合中央、地方事权支出责任划分原则；</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⑤项目是否与相关部门同类项目或部门内部相关项目重复。</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eastAsia"/>
                <w:color w:val="auto"/>
                <w:highlight w:val="none"/>
              </w:rPr>
              <w:t>实施</w:t>
            </w:r>
            <w:r>
              <w:rPr>
                <w:color w:val="auto"/>
                <w:highlight w:val="none"/>
              </w:rPr>
              <w:t>程序规范性</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项目申请、设立过程是否符合相关要求，用以反映和考核项目</w:t>
            </w:r>
            <w:r>
              <w:rPr>
                <w:rFonts w:hint="eastAsia"/>
                <w:color w:val="auto"/>
                <w:highlight w:val="none"/>
              </w:rPr>
              <w:t>实施</w:t>
            </w:r>
            <w:r>
              <w:rPr>
                <w:color w:val="auto"/>
                <w:highlight w:val="none"/>
              </w:rPr>
              <w:t>的规范情况。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评价要点：</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①项目是否按照规定的程序申请设立；</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②审批文件、材料是否符合相关要求；</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绩效目标</w:t>
            </w: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绩效目标合理性</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项目所设定的绩效目标是否依据充分，是否符合客观实际，用以反映和考核项目绩效目标与项目实施的相符情况。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评价要点：</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①项目是否有绩效目标；</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②项目绩效目标与实际工作内容是否具有相关性；</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③项目预期产出效益和效果是否符合正常的业绩水平；</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④是否与预算确定的项目投资额或资金量相匹配。</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绩效指标明确性</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依据绩效目标设定的绩效指标是否清晰、细化、可衡量等，用以反映和考核项目绩效目标的明细化情况。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评价要点：</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①是否将项目绩效目标细化分解为具体的绩效指标；</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②是否通过清晰、可衡量的指标值予以体现；</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③是否与项目目标任务数或计划数相对应。</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资金投入</w:t>
            </w: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预算编制科学性</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项目预算编制是否经过科学论证、有明确标准，资金额度与年度目标是否相适应，用以反映和考核项目预算编制的科学性、合理性情况。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评价要点：</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①预算编制是否经过科学论证；</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②预算内容与项目内容是否匹配；</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③预算额度测算依据是否充分，是否按照标准编制；</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④预算确定的项目投资额或资金量是否与工作任务相匹配。</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资金分配合理性</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项目预算资金分配是否有测算依据，与补助单位或地方实际是否相适应，用以反映和考核项目预算资金分配的科学性、合理性情况。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评价要点：</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①预算资金分配依据是否充分；</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②资金分配额度是否合理，与</w:t>
            </w:r>
            <w:r>
              <w:rPr>
                <w:rFonts w:hint="eastAsia"/>
                <w:color w:val="auto"/>
                <w:highlight w:val="none"/>
              </w:rPr>
              <w:t>补助</w:t>
            </w:r>
            <w:r>
              <w:rPr>
                <w:color w:val="auto"/>
                <w:highlight w:val="none"/>
              </w:rPr>
              <w:t>项目单位或地方实际是否相适应。</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过程</w:t>
            </w:r>
          </w:p>
        </w:tc>
        <w:tc>
          <w:tcPr>
            <w:tcW w:w="640"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资金管理</w:t>
            </w: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资金到位率</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实际到位资金与预算资金的比率，用以反映和考核资金落实情况对项目实施的总体保障程度。</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资金到位率=（实际到位资金/预算资金）×100%。</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实际到位资金：一定时期（本年度或项目期）内落实到具体项目的资金。</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预算资金：一定时期（本年度或项目期）内预算安排到具体项目的资金。</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预算执行率</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项目预算资金是否按照计划执行，用以反映或考核项目预算执行情况。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预算执行率=（实际支出资金/实际到位资金）×100%。</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实际支出资金：一定时期（本年度或项目期）内项目实际拨付的资金。</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资金使用合规性</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项目资金使用是否符合相关的财务管理制度规定，用以反映和考核项目资金的规范运行情况。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评价要点：</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①是否符合国家财经法规和财务管理制度以及有关专项资金管理办法的规定；</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②资金的拨付是否有完整的审批程序和手续；</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③是否符合项目预算批复或合同规定的用途；</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④是否存在截留、挤占、挪用、虚列支出等情况。</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组织实施</w:t>
            </w: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管理制度健全性</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项目实施单位的财务和业务管理制度是否健全，用以反映和考核财务和业务管理制度对项目顺利实施的保障情况。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评价要点：</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①是否已制定或具有相应的财务和业务管理制度；</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②财务和业务管理制度是否合法、合规、完整。</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制度执行有效性</w:t>
            </w:r>
          </w:p>
        </w:tc>
        <w:tc>
          <w:tcPr>
            <w:tcW w:w="899"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项目实施是否符合相关管理规定，用以反映和考核相关管理制度的有效执行情况。</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评价要点：</w:t>
            </w:r>
          </w:p>
        </w:tc>
        <w:tc>
          <w:tcPr>
            <w:tcW w:w="339" w:type="pct"/>
            <w:vMerge w:val="restar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①是否遵守相关法律法规和相关管理规定；</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899"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②项目调整及支出调整手续是否完备；</w:t>
            </w:r>
          </w:p>
        </w:tc>
        <w:tc>
          <w:tcPr>
            <w:tcW w:w="339" w:type="pct"/>
            <w:vMerge w:val="continue"/>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restart"/>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color w:val="auto"/>
                <w:highlight w:val="none"/>
              </w:rPr>
            </w:pPr>
            <w:r>
              <w:rPr>
                <w:rFonts w:hint="default" w:ascii="Times New Roman" w:hAnsi="Times New Roman" w:eastAsia="仿宋_GB2312" w:cs="Times New Roman"/>
                <w:color w:val="auto"/>
                <w:sz w:val="18"/>
                <w:szCs w:val="18"/>
                <w:highlight w:val="none"/>
              </w:rPr>
              <w:t>产出</w:t>
            </w:r>
          </w:p>
        </w:tc>
        <w:tc>
          <w:tcPr>
            <w:tcW w:w="640"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产出数量</w:t>
            </w:r>
          </w:p>
        </w:tc>
        <w:tc>
          <w:tcPr>
            <w:tcW w:w="493"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实际完成率</w:t>
            </w:r>
          </w:p>
        </w:tc>
        <w:tc>
          <w:tcPr>
            <w:tcW w:w="89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项目实施的实际产出数与计划产出数的比率，用以反映和考核项目产出数量目标的实现程度。</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color w:val="auto"/>
                <w:highlight w:val="none"/>
              </w:rPr>
            </w:pPr>
            <w:r>
              <w:rPr>
                <w:rFonts w:hint="default"/>
                <w:color w:val="auto"/>
                <w:highlight w:val="none"/>
              </w:rPr>
              <w:t>实际完成率=（实际产出数/计划产出数）×100%。</w:t>
            </w:r>
          </w:p>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color w:val="auto"/>
                <w:highlight w:val="none"/>
              </w:rPr>
            </w:pPr>
            <w:r>
              <w:rPr>
                <w:rFonts w:hint="default"/>
                <w:color w:val="auto"/>
                <w:highlight w:val="none"/>
              </w:rPr>
              <w:t>实际产出数：一定时期（本年度或项目期）内项目实际产出的产品或提供的服务数量。</w:t>
            </w:r>
          </w:p>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计划产出数：项目绩效目标确定的在一定时期（本年度或项目期）内计划产出的产品或提供的服务数量。</w:t>
            </w:r>
          </w:p>
        </w:tc>
        <w:tc>
          <w:tcPr>
            <w:tcW w:w="339" w:type="pct"/>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color w:val="auto"/>
                <w:highlight w:val="none"/>
              </w:rPr>
            </w:pPr>
            <w:r>
              <w:rPr>
                <w:rFonts w:hint="eastAsia" w:cs="Times New Roman"/>
                <w:color w:val="auto"/>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color w:val="auto"/>
                <w:highlight w:val="none"/>
              </w:rPr>
            </w:pPr>
          </w:p>
        </w:tc>
        <w:tc>
          <w:tcPr>
            <w:tcW w:w="640"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产出质量</w:t>
            </w:r>
          </w:p>
        </w:tc>
        <w:tc>
          <w:tcPr>
            <w:tcW w:w="493"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质量达标率</w:t>
            </w:r>
          </w:p>
        </w:tc>
        <w:tc>
          <w:tcPr>
            <w:tcW w:w="89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项目完成的质量达标产出数与实际产出数的比率，用以反映和考核项目产出质量目标的实现程度。</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color w:val="auto"/>
                <w:highlight w:val="none"/>
              </w:rPr>
            </w:pPr>
            <w:r>
              <w:rPr>
                <w:rFonts w:hint="default"/>
                <w:color w:val="auto"/>
                <w:highlight w:val="none"/>
              </w:rPr>
              <w:t>质量达标率=（质量达标产出数/实际产出数）×100%。</w:t>
            </w:r>
          </w:p>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39" w:type="pct"/>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color w:val="auto"/>
                <w:highlight w:val="none"/>
              </w:rPr>
            </w:pPr>
            <w:r>
              <w:rPr>
                <w:rFonts w:hint="eastAsia" w:cs="Times New Roman"/>
                <w:color w:val="auto"/>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color w:val="auto"/>
                <w:highlight w:val="none"/>
              </w:rPr>
            </w:pPr>
          </w:p>
        </w:tc>
        <w:tc>
          <w:tcPr>
            <w:tcW w:w="640"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产出时效</w:t>
            </w:r>
          </w:p>
        </w:tc>
        <w:tc>
          <w:tcPr>
            <w:tcW w:w="493"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完成及时性</w:t>
            </w:r>
          </w:p>
        </w:tc>
        <w:tc>
          <w:tcPr>
            <w:tcW w:w="89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项目实际完成时间与计划完成时间的比较，用以反映和考核项目产出时效目标的实现程度。</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color w:val="auto"/>
                <w:highlight w:val="none"/>
              </w:rPr>
            </w:pPr>
            <w:r>
              <w:rPr>
                <w:rFonts w:hint="default"/>
                <w:color w:val="auto"/>
                <w:highlight w:val="none"/>
              </w:rPr>
              <w:t>实际完成时间：项目实施单位完成该项目实际所耗用的时间。</w:t>
            </w:r>
          </w:p>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计划完成时间：按照项目实施计划或相关规定完成该项目所需的时间。</w:t>
            </w:r>
          </w:p>
        </w:tc>
        <w:tc>
          <w:tcPr>
            <w:tcW w:w="339" w:type="pct"/>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color w:val="auto"/>
                <w:highlight w:val="none"/>
              </w:rPr>
            </w:pPr>
            <w:r>
              <w:rPr>
                <w:rFonts w:hint="eastAsia" w:cs="Times New Roman"/>
                <w:color w:val="auto"/>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408" w:type="pct"/>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color w:val="auto"/>
                <w:highlight w:val="none"/>
              </w:rPr>
            </w:pPr>
            <w:r>
              <w:rPr>
                <w:rFonts w:hint="eastAsia" w:cs="Times New Roman"/>
                <w:color w:val="auto"/>
                <w:sz w:val="18"/>
                <w:szCs w:val="18"/>
                <w:highlight w:val="none"/>
                <w:lang w:val="en-US" w:eastAsia="zh-CN"/>
              </w:rPr>
              <w:t>成本</w:t>
            </w:r>
          </w:p>
        </w:tc>
        <w:tc>
          <w:tcPr>
            <w:tcW w:w="640"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产出成本</w:t>
            </w:r>
          </w:p>
        </w:tc>
        <w:tc>
          <w:tcPr>
            <w:tcW w:w="493"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成本节约率</w:t>
            </w:r>
          </w:p>
        </w:tc>
        <w:tc>
          <w:tcPr>
            <w:tcW w:w="89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完成项目计划工作目标的实际节约成本与计划成本的比率，用以反映和考核项目的成本节约程度。</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color w:val="auto"/>
                <w:highlight w:val="none"/>
              </w:rPr>
            </w:pPr>
            <w:r>
              <w:rPr>
                <w:rFonts w:hint="default"/>
                <w:color w:val="auto"/>
                <w:highlight w:val="none"/>
              </w:rPr>
              <w:t>成本节约率=〔（计划成本</w:t>
            </w:r>
            <w:r>
              <w:rPr>
                <w:rFonts w:hint="default"/>
                <w:color w:val="auto"/>
                <w:highlight w:val="none"/>
                <w:lang w:eastAsia="zh-CN"/>
              </w:rPr>
              <w:t>－</w:t>
            </w:r>
            <w:r>
              <w:rPr>
                <w:rFonts w:hint="default"/>
                <w:color w:val="auto"/>
                <w:highlight w:val="none"/>
              </w:rPr>
              <w:t>实际成本）/计划成本〕×100%。</w:t>
            </w:r>
          </w:p>
          <w:p>
            <w:pPr>
              <w:pStyle w:val="13"/>
              <w:keepLines/>
              <w:pageBreakBefore w:val="0"/>
              <w:widowControl w:val="0"/>
              <w:kinsoku/>
              <w:wordWrap/>
              <w:overflowPunct/>
              <w:topLinePunct w:val="0"/>
              <w:autoSpaceDE/>
              <w:autoSpaceDN/>
              <w:bidi w:val="0"/>
              <w:adjustRightInd/>
              <w:snapToGrid/>
              <w:spacing w:line="240" w:lineRule="exact"/>
              <w:textAlignment w:val="auto"/>
              <w:rPr>
                <w:rFonts w:hint="default"/>
                <w:color w:val="auto"/>
                <w:highlight w:val="none"/>
              </w:rPr>
            </w:pPr>
            <w:r>
              <w:rPr>
                <w:rFonts w:hint="default"/>
                <w:color w:val="auto"/>
                <w:highlight w:val="none"/>
              </w:rPr>
              <w:t>实际成本：项目实施单位如期、保质、保量完成既定工作目标实际所耗费的支出。</w:t>
            </w:r>
          </w:p>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rFonts w:hint="default"/>
                <w:color w:val="auto"/>
                <w:highlight w:val="none"/>
              </w:rPr>
              <w:t>计划成本：项目实施单位为完成工作目标计划安排的支出，一般以项目预算为参考。</w:t>
            </w:r>
          </w:p>
        </w:tc>
        <w:tc>
          <w:tcPr>
            <w:tcW w:w="339" w:type="pct"/>
            <w:noWrap/>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color w:val="auto"/>
                <w:highlight w:val="none"/>
              </w:rPr>
            </w:pPr>
            <w:r>
              <w:rPr>
                <w:rFonts w:hint="eastAsia" w:cs="Times New Roman"/>
                <w:color w:val="auto"/>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408"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效益</w:t>
            </w:r>
          </w:p>
        </w:tc>
        <w:tc>
          <w:tcPr>
            <w:tcW w:w="640" w:type="pct"/>
            <w:vMerge w:val="restar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项目效益</w:t>
            </w:r>
          </w:p>
        </w:tc>
        <w:tc>
          <w:tcPr>
            <w:tcW w:w="493"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实施效益</w:t>
            </w:r>
          </w:p>
        </w:tc>
        <w:tc>
          <w:tcPr>
            <w:tcW w:w="89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项目实施所产生的效益。</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项目实施所产生的社会效益、经济效益、生态效益、可持续影响等。可根据项目实际情况有选择地设置和细化。</w:t>
            </w:r>
          </w:p>
        </w:tc>
        <w:tc>
          <w:tcPr>
            <w:tcW w:w="339" w:type="pc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408"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640" w:type="pct"/>
            <w:vMerge w:val="continue"/>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p>
        </w:tc>
        <w:tc>
          <w:tcPr>
            <w:tcW w:w="493"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满意度</w:t>
            </w:r>
          </w:p>
        </w:tc>
        <w:tc>
          <w:tcPr>
            <w:tcW w:w="89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社会公众或服务对象对项目实施效果的满意程度。</w:t>
            </w:r>
          </w:p>
        </w:tc>
        <w:tc>
          <w:tcPr>
            <w:tcW w:w="2219" w:type="pct"/>
            <w:shd w:val="clear" w:color="auto" w:fill="FFFFFF"/>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社会公众或服务对象是指因该项目实施而受到影响的部门（单位）、群体或个人。一般采取社会调查的方式。</w:t>
            </w:r>
          </w:p>
        </w:tc>
        <w:tc>
          <w:tcPr>
            <w:tcW w:w="339" w:type="pc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660" w:type="pct"/>
            <w:gridSpan w:val="5"/>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合计</w:t>
            </w:r>
          </w:p>
        </w:tc>
        <w:tc>
          <w:tcPr>
            <w:tcW w:w="339" w:type="pct"/>
            <w:noWrap/>
            <w:vAlign w:val="center"/>
          </w:tcPr>
          <w:p>
            <w:pPr>
              <w:pStyle w:val="13"/>
              <w:keepLines/>
              <w:pageBreakBefore w:val="0"/>
              <w:widowControl w:val="0"/>
              <w:kinsoku/>
              <w:wordWrap/>
              <w:overflowPunct/>
              <w:topLinePunct w:val="0"/>
              <w:autoSpaceDE/>
              <w:autoSpaceDN/>
              <w:bidi w:val="0"/>
              <w:adjustRightInd/>
              <w:snapToGrid/>
              <w:spacing w:line="240" w:lineRule="exact"/>
              <w:textAlignment w:val="auto"/>
              <w:rPr>
                <w:color w:val="auto"/>
                <w:highlight w:val="none"/>
              </w:rPr>
            </w:pPr>
            <w:r>
              <w:rPr>
                <w:color w:val="auto"/>
                <w:highlight w:val="none"/>
              </w:rPr>
              <w:t>100</w:t>
            </w:r>
          </w:p>
        </w:tc>
      </w:tr>
    </w:tbl>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color w:val="auto"/>
          <w:highlight w:val="none"/>
        </w:rPr>
      </w:pPr>
      <w:r>
        <w:rPr>
          <w:rFonts w:hint="eastAsia"/>
          <w:color w:val="auto"/>
          <w:highlight w:val="none"/>
        </w:rPr>
        <w:t>3、绩效评价方法</w:t>
      </w:r>
      <w:bookmarkEnd w:id="8"/>
      <w:bookmarkEnd w:id="9"/>
    </w:p>
    <w:p>
      <w:pPr>
        <w:bidi w:val="0"/>
        <w:rPr>
          <w:rFonts w:hint="eastAsia"/>
          <w:color w:val="auto"/>
          <w:highlight w:val="none"/>
          <w:lang w:val="en-US" w:eastAsia="zh-CN"/>
        </w:rPr>
      </w:pPr>
      <w:r>
        <w:rPr>
          <w:rFonts w:hint="eastAsia"/>
          <w:color w:val="auto"/>
          <w:highlight w:val="none"/>
          <w:lang w:val="en-US" w:eastAsia="zh-CN"/>
        </w:rPr>
        <w:t>结合尉犁县2023年度1.14万亩高标准农田建设项目（自治区）的特点，本次绩效评价采用的方法主要是：比较法、因素分析法、公众评判法等。</w:t>
      </w:r>
    </w:p>
    <w:p>
      <w:pPr>
        <w:bidi w:val="0"/>
        <w:rPr>
          <w:rFonts w:hint="eastAsia"/>
          <w:color w:val="auto"/>
          <w:highlight w:val="none"/>
          <w:lang w:val="en-US" w:eastAsia="zh-CN"/>
        </w:rPr>
      </w:pPr>
      <w:r>
        <w:rPr>
          <w:rFonts w:hint="eastAsia"/>
          <w:color w:val="auto"/>
          <w:highlight w:val="none"/>
          <w:lang w:val="en-US" w:eastAsia="zh-CN"/>
        </w:rPr>
        <w:t>比较法：本项目绩效评价将项目实施情况及实际完成的情况与年初设定的目标进行比较。</w:t>
      </w:r>
    </w:p>
    <w:p>
      <w:pPr>
        <w:bidi w:val="0"/>
        <w:rPr>
          <w:rFonts w:hint="eastAsia"/>
          <w:color w:val="auto"/>
          <w:highlight w:val="none"/>
          <w:lang w:val="en-US" w:eastAsia="zh-CN"/>
        </w:rPr>
      </w:pPr>
      <w:r>
        <w:rPr>
          <w:rFonts w:hint="eastAsia"/>
          <w:color w:val="auto"/>
          <w:highlight w:val="none"/>
          <w:lang w:val="en-US" w:eastAsia="zh-CN"/>
        </w:rPr>
        <w:t>公众评判法：通过对尉犁县2023年度1.14万亩高标准农田建设项目（自治区）实施地群众进行问卷及抽样调查等对财政资金效果进行评判，评价绩效目标实现程度。</w:t>
      </w:r>
    </w:p>
    <w:p>
      <w:pPr>
        <w:bidi w:val="0"/>
        <w:rPr>
          <w:b/>
          <w:bCs/>
          <w:color w:val="auto"/>
          <w:highlight w:val="none"/>
        </w:rPr>
      </w:pPr>
      <w:r>
        <w:rPr>
          <w:rFonts w:hint="eastAsia"/>
          <w:b/>
          <w:bCs/>
          <w:color w:val="auto"/>
          <w:highlight w:val="none"/>
        </w:rPr>
        <w:t>4、绩效评价标准</w:t>
      </w:r>
    </w:p>
    <w:p>
      <w:pPr>
        <w:bidi w:val="0"/>
        <w:rPr>
          <w:rFonts w:hint="eastAsia"/>
          <w:color w:val="auto"/>
          <w:highlight w:val="none"/>
          <w:lang w:val="en-US" w:eastAsia="zh-CN"/>
        </w:rPr>
      </w:pPr>
      <w:bookmarkStart w:id="10" w:name="_Toc23796"/>
      <w:r>
        <w:rPr>
          <w:rFonts w:hint="eastAsia"/>
          <w:color w:val="auto"/>
          <w:highlight w:val="none"/>
          <w:lang w:val="en-US" w:eastAsia="zh-CN"/>
        </w:rPr>
        <w:t>结合尉犁县2023年度1.14万亩高标准农田建设项目（自治区）的特点，采取的绩效评价标准为：计划标准、行业标准、历史标准。</w:t>
      </w:r>
    </w:p>
    <w:p>
      <w:pPr>
        <w:bidi w:val="0"/>
        <w:rPr>
          <w:rFonts w:hint="eastAsia"/>
          <w:color w:val="auto"/>
          <w:highlight w:val="none"/>
        </w:rPr>
      </w:pPr>
      <w:r>
        <w:rPr>
          <w:rFonts w:hint="eastAsia"/>
          <w:color w:val="auto"/>
          <w:highlight w:val="none"/>
          <w:lang w:val="en-US" w:eastAsia="zh-CN"/>
        </w:rPr>
        <w:t>原因是：（1）</w:t>
      </w:r>
      <w:r>
        <w:rPr>
          <w:rFonts w:hint="eastAsia"/>
          <w:color w:val="auto"/>
          <w:highlight w:val="none"/>
        </w:rPr>
        <w:t>计划标准</w:t>
      </w:r>
      <w:r>
        <w:rPr>
          <w:rFonts w:hint="eastAsia"/>
          <w:color w:val="auto"/>
          <w:highlight w:val="none"/>
          <w:lang w:eastAsia="zh-CN"/>
        </w:rPr>
        <w:t>：</w:t>
      </w:r>
      <w:r>
        <w:rPr>
          <w:rFonts w:hint="eastAsia"/>
          <w:color w:val="auto"/>
          <w:highlight w:val="none"/>
        </w:rPr>
        <w:t>根据绩效目标表，以预先制定的新建高标准农田面积</w:t>
      </w:r>
      <w:r>
        <w:rPr>
          <w:rFonts w:hint="eastAsia"/>
          <w:color w:val="auto"/>
          <w:highlight w:val="none"/>
          <w:lang w:val="en-US" w:eastAsia="zh-CN"/>
        </w:rPr>
        <w:t>、项目验收合格率为计划数</w:t>
      </w:r>
      <w:r>
        <w:rPr>
          <w:rFonts w:hint="eastAsia"/>
          <w:color w:val="auto"/>
          <w:highlight w:val="none"/>
        </w:rPr>
        <w:t>作为评价的标准。</w:t>
      </w:r>
    </w:p>
    <w:p>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历史标准：参照本单位同类单位绩效评价指标的历史数据作为样本，运用一定的统计学方法计算出各类指标的平均历史水平作为评价标准。</w:t>
      </w:r>
    </w:p>
    <w:p>
      <w:pPr>
        <w:bidi w:val="0"/>
        <w:rPr>
          <w:rFonts w:hint="default"/>
          <w:color w:val="auto"/>
          <w:highlight w:val="none"/>
          <w:lang w:val="en-US" w:eastAsia="zh-CN"/>
        </w:rPr>
      </w:pPr>
      <w:r>
        <w:rPr>
          <w:rFonts w:hint="eastAsia"/>
          <w:color w:val="auto"/>
          <w:highlight w:val="none"/>
          <w:lang w:val="en-US" w:eastAsia="zh-CN"/>
        </w:rPr>
        <w:t>（3）行业标准：</w:t>
      </w:r>
      <w:r>
        <w:rPr>
          <w:rFonts w:hint="default"/>
          <w:color w:val="auto"/>
          <w:highlight w:val="none"/>
          <w:lang w:val="en-US" w:eastAsia="zh-CN"/>
        </w:rPr>
        <w:t>参照有关</w:t>
      </w:r>
      <w:r>
        <w:rPr>
          <w:rFonts w:hint="eastAsia"/>
          <w:color w:val="auto"/>
          <w:highlight w:val="none"/>
          <w:lang w:val="en-US" w:eastAsia="zh-CN"/>
        </w:rPr>
        <w:t>高标准农田</w:t>
      </w:r>
      <w:r>
        <w:rPr>
          <w:rFonts w:hint="default"/>
          <w:color w:val="auto"/>
          <w:highlight w:val="none"/>
          <w:lang w:val="en-US" w:eastAsia="zh-CN"/>
        </w:rPr>
        <w:t>建设等同类项目建设的行业标准来制定评价标准。</w:t>
      </w:r>
    </w:p>
    <w:p>
      <w:pPr>
        <w:pStyle w:val="2"/>
        <w:bidi w:val="0"/>
        <w:rPr>
          <w:color w:val="auto"/>
          <w:highlight w:val="none"/>
        </w:rPr>
      </w:pPr>
      <w:r>
        <w:rPr>
          <w:rFonts w:hint="eastAsia"/>
          <w:color w:val="auto"/>
          <w:highlight w:val="none"/>
        </w:rPr>
        <w:t>（三）绩效评价工作过程</w:t>
      </w:r>
      <w:bookmarkEnd w:id="10"/>
      <w:bookmarkStart w:id="11" w:name="_Toc30911"/>
      <w:bookmarkStart w:id="12" w:name="_Toc17595"/>
      <w:bookmarkStart w:id="13" w:name="_Toc27442"/>
      <w:bookmarkStart w:id="14" w:name="_Toc22987"/>
    </w:p>
    <w:p>
      <w:pPr>
        <w:bidi w:val="0"/>
        <w:rPr>
          <w:b/>
          <w:bCs/>
          <w:color w:val="auto"/>
          <w:highlight w:val="none"/>
        </w:rPr>
      </w:pPr>
      <w:r>
        <w:rPr>
          <w:rFonts w:hint="eastAsia"/>
          <w:b/>
          <w:bCs/>
          <w:color w:val="auto"/>
          <w:highlight w:val="none"/>
        </w:rPr>
        <w:t>1、前期准备</w:t>
      </w:r>
    </w:p>
    <w:p>
      <w:pPr>
        <w:bidi w:val="0"/>
        <w:rPr>
          <w:rFonts w:hint="eastAsia"/>
          <w:color w:val="auto"/>
          <w:highlight w:val="none"/>
          <w:lang w:val="en-US" w:eastAsia="zh-CN"/>
        </w:rPr>
      </w:pPr>
      <w:r>
        <w:rPr>
          <w:rFonts w:hint="eastAsia"/>
          <w:color w:val="auto"/>
          <w:highlight w:val="none"/>
          <w:lang w:val="en-US" w:eastAsia="zh-CN"/>
        </w:rPr>
        <w:t>按照《项目支出绩效评价管理办法》（财预〔2020〕10号）文件要求，对尉犁县2023年度1.14万亩高标准农田建设项目（自治区）实施的全过程，收集、整理项目实施的相关资料，了解项目实施情况和资金支付情况。从项目内容出发，结合项目预期目标，制定绩效评价的指标体系。</w:t>
      </w:r>
    </w:p>
    <w:p>
      <w:pPr>
        <w:bidi w:val="0"/>
        <w:rPr>
          <w:b/>
          <w:bCs/>
          <w:color w:val="auto"/>
          <w:highlight w:val="none"/>
        </w:rPr>
      </w:pPr>
      <w:r>
        <w:rPr>
          <w:rFonts w:hint="eastAsia"/>
          <w:b/>
          <w:bCs/>
          <w:color w:val="auto"/>
          <w:highlight w:val="none"/>
        </w:rPr>
        <w:t>2、组织实施</w:t>
      </w:r>
    </w:p>
    <w:p>
      <w:pPr>
        <w:bidi w:val="0"/>
        <w:rPr>
          <w:rFonts w:hint="default"/>
          <w:color w:val="auto"/>
          <w:highlight w:val="none"/>
          <w:lang w:val="en-US" w:eastAsia="zh-CN"/>
        </w:rPr>
      </w:pPr>
      <w:r>
        <w:rPr>
          <w:rFonts w:hint="default"/>
          <w:color w:val="auto"/>
          <w:highlight w:val="none"/>
          <w:lang w:val="en-US" w:eastAsia="zh-CN"/>
        </w:rPr>
        <w:t>评价的具体实施根据评价指标及评价工作要求，对具体评价内容和不同环节，采用以下取得的资料与评价方式。</w:t>
      </w:r>
    </w:p>
    <w:p>
      <w:pPr>
        <w:bidi w:val="0"/>
        <w:rPr>
          <w:rFonts w:hint="eastAsia"/>
          <w:color w:val="auto"/>
          <w:highlight w:val="none"/>
          <w:lang w:val="en-US" w:eastAsia="zh-CN"/>
        </w:rPr>
      </w:pPr>
      <w:r>
        <w:rPr>
          <w:rFonts w:hint="eastAsia"/>
          <w:color w:val="auto"/>
          <w:highlight w:val="none"/>
          <w:lang w:val="en-US" w:eastAsia="zh-CN"/>
        </w:rPr>
        <w:t>（1）根据绩效管理的要求，本单位全过程跟踪监管项目实施过程，包括项目资金到位时绩效工作的安排、年中2次绩效监控工作的监督，项目实施完成之后收集资料开展项目绩效评价。</w:t>
      </w:r>
    </w:p>
    <w:p>
      <w:pPr>
        <w:bidi w:val="0"/>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2</w:t>
      </w:r>
      <w:r>
        <w:rPr>
          <w:rFonts w:hint="default"/>
          <w:color w:val="auto"/>
          <w:highlight w:val="none"/>
          <w:lang w:val="en-US" w:eastAsia="zh-C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hint="default"/>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3</w:t>
      </w:r>
      <w:r>
        <w:rPr>
          <w:rFonts w:hint="default"/>
          <w:color w:val="auto"/>
          <w:highlight w:val="none"/>
          <w:lang w:val="en-US" w:eastAsia="zh-CN"/>
        </w:rPr>
        <w:t>）问卷调查。选择与项目评价有关的调查对象，设计调查问卷。通过问卷调查，对有关评价内容完成情况进行打分，并根据分值评价绩效目标完成情况，作为对项目评价的依据。</w:t>
      </w:r>
    </w:p>
    <w:p>
      <w:pPr>
        <w:bidi w:val="0"/>
        <w:rPr>
          <w:rFonts w:hint="eastAsia"/>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4</w:t>
      </w:r>
      <w:r>
        <w:rPr>
          <w:rFonts w:hint="default"/>
          <w:color w:val="auto"/>
          <w:highlight w:val="none"/>
          <w:lang w:val="en-US" w:eastAsia="zh-CN"/>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b/>
          <w:bCs/>
          <w:color w:val="auto"/>
          <w:highlight w:val="none"/>
        </w:rPr>
      </w:pPr>
      <w:r>
        <w:rPr>
          <w:rFonts w:hint="eastAsia"/>
          <w:b/>
          <w:bCs/>
          <w:color w:val="auto"/>
          <w:highlight w:val="none"/>
        </w:rPr>
        <w:t>3、数据集中分析</w:t>
      </w:r>
      <w:bookmarkEnd w:id="11"/>
      <w:bookmarkEnd w:id="12"/>
      <w:bookmarkEnd w:id="13"/>
      <w:bookmarkEnd w:id="14"/>
    </w:p>
    <w:p>
      <w:pPr>
        <w:bidi w:val="0"/>
        <w:rPr>
          <w:rFonts w:hint="default" w:ascii="Times New Roman" w:hAnsi="Times New Roman" w:eastAsia="方正仿宋_GBK" w:cs="方正仿宋_GBK"/>
          <w:b w:val="0"/>
          <w:color w:val="auto"/>
          <w:kern w:val="2"/>
          <w:szCs w:val="31"/>
          <w:highlight w:val="none"/>
          <w:lang w:val="en-US" w:eastAsia="zh-CN" w:bidi="ar-SA"/>
        </w:rPr>
      </w:pPr>
      <w:r>
        <w:rPr>
          <w:rFonts w:hint="eastAsia"/>
          <w:color w:val="auto"/>
          <w:highlight w:val="none"/>
          <w:lang w:val="en-US" w:eastAsia="zh-CN"/>
        </w:rPr>
        <w:t>对相关资料，包括资金文件、项目实施方案、相关管理办法，问卷调查等进行集中分析。在查阅大量项目资料的基础上，根据考察、考评的结果进行整理、分析。</w:t>
      </w:r>
      <w:bookmarkStart w:id="15" w:name="_Toc20775"/>
    </w:p>
    <w:p>
      <w:pPr>
        <w:bidi w:val="0"/>
        <w:rPr>
          <w:b/>
          <w:bCs/>
          <w:color w:val="auto"/>
          <w:highlight w:val="none"/>
        </w:rPr>
      </w:pPr>
      <w:r>
        <w:rPr>
          <w:rFonts w:hint="eastAsia"/>
          <w:b/>
          <w:bCs/>
          <w:color w:val="auto"/>
          <w:highlight w:val="none"/>
        </w:rPr>
        <w:t>4、分析总结</w:t>
      </w:r>
      <w:bookmarkEnd w:id="15"/>
    </w:p>
    <w:p>
      <w:pPr>
        <w:bidi w:val="0"/>
        <w:rPr>
          <w:rFonts w:hint="eastAsia"/>
          <w:color w:val="auto"/>
          <w:highlight w:val="none"/>
          <w:lang w:val="en-US" w:eastAsia="zh-CN"/>
        </w:rPr>
      </w:pPr>
      <w:r>
        <w:rPr>
          <w:rFonts w:hint="eastAsia"/>
          <w:color w:val="auto"/>
          <w:highlight w:val="none"/>
          <w:lang w:val="en-US" w:eastAsia="zh-CN"/>
        </w:rPr>
        <w:t>（1）根据部门自评的意见及考察、考评的结果进行整理、分析，撰写绩效评价报告初稿。</w:t>
      </w:r>
    </w:p>
    <w:p>
      <w:pPr>
        <w:bidi w:val="0"/>
        <w:rPr>
          <w:rFonts w:hint="eastAsia"/>
          <w:color w:val="auto"/>
          <w:highlight w:val="none"/>
          <w:lang w:val="en-US" w:eastAsia="zh-CN"/>
        </w:rPr>
      </w:pPr>
      <w:r>
        <w:rPr>
          <w:rFonts w:hint="eastAsia"/>
          <w:color w:val="auto"/>
          <w:highlight w:val="none"/>
          <w:lang w:val="en-US" w:eastAsia="zh-CN"/>
        </w:rPr>
        <w:t>（2）就部门自评报告与部门具体有关科室征求意见，形成最终的绩效评价报告。</w:t>
      </w:r>
    </w:p>
    <w:p>
      <w:pPr>
        <w:pStyle w:val="4"/>
        <w:bidi w:val="0"/>
        <w:rPr>
          <w:color w:val="auto"/>
          <w:highlight w:val="none"/>
        </w:rPr>
      </w:pPr>
      <w:bookmarkStart w:id="16" w:name="_Toc20784"/>
      <w:r>
        <w:rPr>
          <w:rFonts w:hint="eastAsia"/>
          <w:color w:val="auto"/>
          <w:highlight w:val="none"/>
        </w:rPr>
        <w:t>三、综合评价情况及评价结论</w:t>
      </w:r>
      <w:bookmarkEnd w:id="16"/>
    </w:p>
    <w:p>
      <w:pPr>
        <w:bidi w:val="0"/>
        <w:rPr>
          <w:rFonts w:hint="eastAsia"/>
          <w:color w:val="auto"/>
          <w:highlight w:val="none"/>
          <w:lang w:val="en-US" w:eastAsia="zh-CN"/>
        </w:rPr>
      </w:pPr>
      <w:r>
        <w:rPr>
          <w:rFonts w:hint="eastAsia"/>
          <w:color w:val="auto"/>
          <w:highlight w:val="none"/>
          <w:lang w:val="en-US" w:eastAsia="zh-CN"/>
        </w:rPr>
        <w:t>本项目的绩效评价结果为“优”，综合评分90分。其中项目决策22分，项目过程18分，项目产出管理得分20分，项目成本10分，项目效益20分。各部分权重和绩效汇总分值如下表所示：</w:t>
      </w:r>
    </w:p>
    <w:tbl>
      <w:tblPr>
        <w:tblStyle w:val="10"/>
        <w:tblW w:w="5000" w:type="pct"/>
        <w:jc w:val="center"/>
        <w:tblLayout w:type="autofit"/>
        <w:tblCellMar>
          <w:top w:w="0" w:type="dxa"/>
          <w:left w:w="0" w:type="dxa"/>
          <w:bottom w:w="0" w:type="dxa"/>
          <w:right w:w="0" w:type="dxa"/>
        </w:tblCellMar>
      </w:tblPr>
      <w:tblGrid>
        <w:gridCol w:w="1117"/>
        <w:gridCol w:w="1323"/>
        <w:gridCol w:w="1323"/>
        <w:gridCol w:w="1323"/>
        <w:gridCol w:w="1323"/>
        <w:gridCol w:w="1324"/>
        <w:gridCol w:w="603"/>
      </w:tblGrid>
      <w:tr>
        <w:tblPrEx>
          <w:tblCellMar>
            <w:top w:w="0" w:type="dxa"/>
            <w:left w:w="0" w:type="dxa"/>
            <w:bottom w:w="0" w:type="dxa"/>
            <w:right w:w="0" w:type="dxa"/>
          </w:tblCellMar>
        </w:tblPrEx>
        <w:trPr>
          <w:trHeight w:val="375" w:hRule="atLeast"/>
          <w:jc w:val="center"/>
        </w:trPr>
        <w:tc>
          <w:tcPr>
            <w:tcW w:w="5000" w:type="pct"/>
            <w:gridSpan w:val="7"/>
            <w:tcBorders>
              <w:top w:val="nil"/>
              <w:left w:val="nil"/>
              <w:bottom w:val="nil"/>
              <w:right w:val="nil"/>
            </w:tcBorders>
            <w:noWrap/>
            <w:tcMar>
              <w:top w:w="15" w:type="dxa"/>
              <w:left w:w="15" w:type="dxa"/>
              <w:right w:w="15" w:type="dxa"/>
            </w:tcMar>
            <w:vAlign w:val="center"/>
          </w:tcPr>
          <w:p>
            <w:pPr>
              <w:pStyle w:val="12"/>
              <w:bidi w:val="0"/>
              <w:jc w:val="center"/>
              <w:rPr>
                <w:rFonts w:hint="default" w:ascii="Times New Roman" w:hAnsi="Times New Roman" w:eastAsia="仿宋_GB2312" w:cs="Times New Roman"/>
                <w:color w:val="auto"/>
                <w:highlight w:val="none"/>
              </w:rPr>
            </w:pPr>
            <w:bookmarkStart w:id="17" w:name="_Toc3703"/>
            <w:bookmarkStart w:id="18" w:name="_Toc16086"/>
            <w:r>
              <w:rPr>
                <w:rFonts w:hint="eastAsia"/>
                <w:bCs/>
                <w:color w:val="auto"/>
                <w:szCs w:val="32"/>
                <w:highlight w:val="none"/>
              </w:rPr>
              <w:t>尉犁县2023年度1.14万亩高标准农田建设项目（自治区）</w:t>
            </w:r>
            <w:r>
              <w:rPr>
                <w:rFonts w:hint="default" w:ascii="Times New Roman" w:hAnsi="Times New Roman" w:eastAsia="仿宋_GB2312" w:cs="Times New Roman"/>
                <w:color w:val="auto"/>
                <w:highlight w:val="none"/>
              </w:rPr>
              <w:t>绩效评价</w:t>
            </w:r>
            <w:r>
              <w:rPr>
                <w:rFonts w:hint="default" w:ascii="Times New Roman" w:hAnsi="Times New Roman" w:eastAsia="仿宋_GB2312" w:cs="Times New Roman"/>
                <w:color w:val="auto"/>
                <w:highlight w:val="none"/>
                <w:lang w:val="zh-TW" w:eastAsia="zh-TW"/>
              </w:rPr>
              <w:t>得分表</w:t>
            </w:r>
            <w:bookmarkEnd w:id="17"/>
            <w:bookmarkEnd w:id="18"/>
          </w:p>
        </w:tc>
      </w:tr>
      <w:tr>
        <w:tblPrEx>
          <w:tblCellMar>
            <w:top w:w="0" w:type="dxa"/>
            <w:left w:w="0" w:type="dxa"/>
            <w:bottom w:w="0" w:type="dxa"/>
            <w:right w:w="0" w:type="dxa"/>
          </w:tblCellMar>
        </w:tblPrEx>
        <w:trPr>
          <w:trHeight w:val="375"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指标类别</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1.项目决策</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2.过程管理</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3.项目产出</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4.项目成本</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eastAsia" w:cs="Times New Roman"/>
                <w:color w:val="auto"/>
                <w:highlight w:val="none"/>
                <w:lang w:val="en-US" w:eastAsia="zh-CN"/>
              </w:rPr>
              <w:t>5</w:t>
            </w:r>
            <w:r>
              <w:rPr>
                <w:rFonts w:hint="default" w:ascii="Times New Roman" w:hAnsi="Times New Roman" w:eastAsia="仿宋_GB2312" w:cs="Times New Roman"/>
                <w:color w:val="auto"/>
                <w:highlight w:val="none"/>
              </w:rPr>
              <w:t>.项目效益</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合计</w:t>
            </w:r>
          </w:p>
        </w:tc>
      </w:tr>
      <w:tr>
        <w:tblPrEx>
          <w:tblCellMar>
            <w:top w:w="0" w:type="dxa"/>
            <w:left w:w="0" w:type="dxa"/>
            <w:bottom w:w="0" w:type="dxa"/>
            <w:right w:w="0" w:type="dxa"/>
          </w:tblCellMar>
        </w:tblPrEx>
        <w:trPr>
          <w:trHeight w:val="441"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权重</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30</w:t>
            </w:r>
            <w:r>
              <w:rPr>
                <w:rFonts w:hint="default" w:ascii="Times New Roman" w:hAnsi="Times New Roman" w:eastAsia="仿宋_GB2312" w:cs="Times New Roman"/>
                <w:color w:val="auto"/>
                <w:highlight w:val="none"/>
              </w:rPr>
              <w:t>%</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10%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20%</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eastAsia"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100</w:t>
            </w:r>
            <w:r>
              <w:rPr>
                <w:rFonts w:hint="eastAsia" w:cs="Times New Roman"/>
                <w:color w:val="auto"/>
                <w:highlight w:val="none"/>
                <w:lang w:val="en-US" w:eastAsia="zh-CN"/>
              </w:rPr>
              <w:t>%</w:t>
            </w:r>
            <w:bookmarkStart w:id="37" w:name="_GoBack"/>
            <w:bookmarkEnd w:id="37"/>
          </w:p>
        </w:tc>
      </w:tr>
      <w:tr>
        <w:tblPrEx>
          <w:tblCellMar>
            <w:top w:w="0" w:type="dxa"/>
            <w:left w:w="0" w:type="dxa"/>
            <w:bottom w:w="0" w:type="dxa"/>
            <w:right w:w="0" w:type="dxa"/>
          </w:tblCellMar>
        </w:tblPrEx>
        <w:trPr>
          <w:trHeight w:val="375"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分值</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30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10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20</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cs="Times New Roman"/>
                <w:color w:val="auto"/>
                <w:highlight w:val="none"/>
                <w:lang w:val="en-US" w:eastAsia="zh-CN"/>
              </w:rPr>
              <w:t>20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10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20</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eastAsia" w:cs="Times New Roman"/>
                <w:color w:val="auto"/>
                <w:highlight w:val="none"/>
                <w:lang w:val="en-US" w:eastAsia="zh-CN"/>
              </w:rPr>
              <w:t>90</w:t>
            </w:r>
          </w:p>
        </w:tc>
      </w:tr>
    </w:tbl>
    <w:p>
      <w:pPr>
        <w:bidi w:val="0"/>
        <w:ind w:left="0" w:leftChars="0" w:firstLine="0" w:firstLineChars="0"/>
        <w:rPr>
          <w:color w:val="auto"/>
          <w:highlight w:val="none"/>
        </w:rPr>
      </w:pPr>
    </w:p>
    <w:p>
      <w:pPr>
        <w:pStyle w:val="4"/>
        <w:bidi w:val="0"/>
        <w:rPr>
          <w:color w:val="auto"/>
          <w:highlight w:val="none"/>
        </w:rPr>
      </w:pPr>
      <w:bookmarkStart w:id="19" w:name="_Toc8960"/>
      <w:r>
        <w:rPr>
          <w:rFonts w:hint="eastAsia"/>
          <w:color w:val="auto"/>
          <w:highlight w:val="none"/>
        </w:rPr>
        <w:t>四、绩效评价指标分析</w:t>
      </w:r>
      <w:bookmarkEnd w:id="19"/>
    </w:p>
    <w:p>
      <w:pPr>
        <w:pStyle w:val="2"/>
        <w:bidi w:val="0"/>
        <w:rPr>
          <w:color w:val="auto"/>
          <w:highlight w:val="none"/>
        </w:rPr>
      </w:pPr>
      <w:bookmarkStart w:id="20" w:name="_Toc3445"/>
      <w:r>
        <w:rPr>
          <w:rFonts w:hint="eastAsia"/>
          <w:color w:val="auto"/>
          <w:highlight w:val="none"/>
        </w:rPr>
        <w:t>（一）项目决策情况</w:t>
      </w:r>
      <w:bookmarkEnd w:id="20"/>
    </w:p>
    <w:p>
      <w:pPr>
        <w:bidi w:val="0"/>
        <w:rPr>
          <w:rFonts w:hint="eastAsia"/>
          <w:color w:val="auto"/>
          <w:highlight w:val="none"/>
          <w:lang w:val="en-US" w:eastAsia="zh-CN"/>
        </w:rPr>
      </w:pPr>
      <w:r>
        <w:rPr>
          <w:rFonts w:hint="eastAsia"/>
          <w:color w:val="auto"/>
          <w:highlight w:val="none"/>
          <w:lang w:val="en-US" w:eastAsia="zh-CN"/>
        </w:rPr>
        <w:t>1、实施依据充分性</w:t>
      </w:r>
    </w:p>
    <w:p>
      <w:pPr>
        <w:bidi w:val="0"/>
        <w:rPr>
          <w:rFonts w:hint="eastAsia"/>
          <w:color w:val="auto"/>
          <w:highlight w:val="none"/>
          <w:lang w:val="en-US" w:eastAsia="zh-CN"/>
        </w:rPr>
      </w:pPr>
      <w:r>
        <w:rPr>
          <w:rFonts w:hint="eastAsia"/>
          <w:color w:val="auto"/>
          <w:highlight w:val="none"/>
          <w:lang w:val="en-US" w:eastAsia="zh-CN"/>
        </w:rPr>
        <w:t>（1）本项目申报和审批符合国家法律法规、国民经济发展规划和相关政策；</w:t>
      </w:r>
    </w:p>
    <w:p>
      <w:pPr>
        <w:bidi w:val="0"/>
        <w:rPr>
          <w:rFonts w:hint="eastAsia"/>
          <w:color w:val="auto"/>
          <w:highlight w:val="none"/>
          <w:lang w:val="en-US" w:eastAsia="zh-CN"/>
        </w:rPr>
      </w:pPr>
      <w:r>
        <w:rPr>
          <w:rFonts w:hint="eastAsia"/>
          <w:color w:val="auto"/>
          <w:highlight w:val="none"/>
          <w:lang w:val="en-US" w:eastAsia="zh-CN"/>
        </w:rPr>
        <w:t>（2）本项目申报和审批符合行业发展规划和政策要求；</w:t>
      </w:r>
    </w:p>
    <w:p>
      <w:pPr>
        <w:bidi w:val="0"/>
        <w:rPr>
          <w:rFonts w:hint="eastAsia"/>
          <w:color w:val="auto"/>
          <w:highlight w:val="none"/>
          <w:lang w:val="en-US" w:eastAsia="zh-CN"/>
        </w:rPr>
      </w:pPr>
      <w:r>
        <w:rPr>
          <w:rFonts w:hint="eastAsia"/>
          <w:color w:val="auto"/>
          <w:highlight w:val="none"/>
          <w:lang w:val="en-US" w:eastAsia="zh-CN"/>
        </w:rPr>
        <w:t>（3）项目实施与部门职责范围相符，属于部门履职所需；</w:t>
      </w:r>
    </w:p>
    <w:p>
      <w:pPr>
        <w:bidi w:val="0"/>
        <w:rPr>
          <w:rFonts w:hint="eastAsia"/>
          <w:color w:val="auto"/>
          <w:highlight w:val="none"/>
          <w:lang w:val="en-US" w:eastAsia="zh-CN"/>
        </w:rPr>
      </w:pPr>
      <w:r>
        <w:rPr>
          <w:rFonts w:hint="eastAsia"/>
          <w:color w:val="auto"/>
          <w:highlight w:val="none"/>
          <w:lang w:val="en-US" w:eastAsia="zh-CN"/>
        </w:rPr>
        <w:t>（4）本项目属于公共财政支持范围，符合中央、地方事权支出责任划分原则；</w:t>
      </w:r>
    </w:p>
    <w:p>
      <w:pPr>
        <w:bidi w:val="0"/>
        <w:rPr>
          <w:rFonts w:hint="eastAsia"/>
          <w:color w:val="auto"/>
          <w:highlight w:val="none"/>
          <w:lang w:val="en-US" w:eastAsia="zh-CN"/>
        </w:rPr>
      </w:pPr>
      <w:r>
        <w:rPr>
          <w:rFonts w:hint="eastAsia"/>
          <w:color w:val="auto"/>
          <w:highlight w:val="none"/>
          <w:lang w:val="en-US" w:eastAsia="zh-CN"/>
        </w:rPr>
        <w:t>（5）本项目与相关部门同类项目或部门内部相关项目不重复。</w:t>
      </w:r>
    </w:p>
    <w:p>
      <w:pPr>
        <w:bidi w:val="0"/>
        <w:rPr>
          <w:rFonts w:hint="eastAsia"/>
          <w:color w:val="auto"/>
          <w:highlight w:val="none"/>
          <w:lang w:val="en-US" w:eastAsia="zh-CN"/>
        </w:rPr>
      </w:pPr>
      <w:r>
        <w:rPr>
          <w:rFonts w:hint="eastAsia"/>
          <w:color w:val="auto"/>
          <w:highlight w:val="none"/>
          <w:lang w:val="en-US" w:eastAsia="zh-CN"/>
        </w:rPr>
        <w:t>本项满分3分，评估得分3分。</w:t>
      </w:r>
    </w:p>
    <w:p>
      <w:pPr>
        <w:bidi w:val="0"/>
        <w:rPr>
          <w:rFonts w:hint="eastAsia" w:ascii="Times New Roman" w:hAnsi="Times New Roman" w:eastAsia="楷体_GB2312" w:cstheme="minorBidi"/>
          <w:b/>
          <w:color w:val="auto"/>
          <w:kern w:val="2"/>
          <w:sz w:val="32"/>
          <w:szCs w:val="22"/>
          <w:highlight w:val="none"/>
          <w:lang w:val="en-US" w:eastAsia="zh-CN" w:bidi="ar-SA"/>
        </w:rPr>
      </w:pPr>
      <w:r>
        <w:rPr>
          <w:rFonts w:hint="eastAsia" w:ascii="Times New Roman" w:hAnsi="Times New Roman" w:eastAsia="楷体_GB2312" w:cstheme="minorBidi"/>
          <w:b/>
          <w:color w:val="auto"/>
          <w:kern w:val="2"/>
          <w:sz w:val="32"/>
          <w:szCs w:val="22"/>
          <w:highlight w:val="none"/>
          <w:lang w:val="en-US" w:eastAsia="zh-CN" w:bidi="ar-SA"/>
        </w:rPr>
        <w:t>2、实施程序规范性</w:t>
      </w:r>
    </w:p>
    <w:p>
      <w:pPr>
        <w:bidi w:val="0"/>
        <w:rPr>
          <w:rFonts w:hint="eastAsia"/>
          <w:color w:val="auto"/>
          <w:highlight w:val="none"/>
          <w:lang w:val="en-US" w:eastAsia="zh-CN"/>
        </w:rPr>
      </w:pPr>
      <w:r>
        <w:rPr>
          <w:rFonts w:hint="eastAsia"/>
          <w:color w:val="auto"/>
          <w:highlight w:val="none"/>
          <w:lang w:val="en-US" w:eastAsia="zh-CN"/>
        </w:rPr>
        <w:t>本项目实施资料全，实施程序规范；审批文件、材料符合相关要求，事前已经过必要的集体决策，实施程序规范。</w:t>
      </w:r>
    </w:p>
    <w:p>
      <w:pPr>
        <w:bidi w:val="0"/>
        <w:rPr>
          <w:color w:val="auto"/>
          <w:highlight w:val="none"/>
        </w:rPr>
      </w:pPr>
      <w:r>
        <w:rPr>
          <w:rFonts w:hint="eastAsia"/>
          <w:color w:val="auto"/>
          <w:highlight w:val="none"/>
          <w:lang w:val="en-US" w:eastAsia="zh-CN"/>
        </w:rPr>
        <w:t>本项满分3分，评估得分3分。</w:t>
      </w:r>
    </w:p>
    <w:p>
      <w:pPr>
        <w:bidi w:val="0"/>
        <w:rPr>
          <w:rFonts w:hint="eastAsia" w:ascii="Times New Roman" w:hAnsi="Times New Roman" w:eastAsia="楷体_GB2312" w:cstheme="minorBidi"/>
          <w:b/>
          <w:color w:val="auto"/>
          <w:kern w:val="2"/>
          <w:sz w:val="32"/>
          <w:szCs w:val="22"/>
          <w:highlight w:val="none"/>
          <w:lang w:val="en-US" w:eastAsia="zh-CN" w:bidi="ar-SA"/>
        </w:rPr>
      </w:pPr>
      <w:r>
        <w:rPr>
          <w:rFonts w:hint="eastAsia" w:ascii="Times New Roman" w:hAnsi="Times New Roman" w:eastAsia="楷体_GB2312" w:cstheme="minorBidi"/>
          <w:b/>
          <w:color w:val="auto"/>
          <w:kern w:val="2"/>
          <w:sz w:val="32"/>
          <w:szCs w:val="22"/>
          <w:highlight w:val="none"/>
          <w:lang w:val="en-US" w:eastAsia="zh-CN" w:bidi="ar-SA"/>
        </w:rPr>
        <w:t>3、绩效目标合理性</w:t>
      </w:r>
    </w:p>
    <w:p>
      <w:pPr>
        <w:bidi w:val="0"/>
        <w:rPr>
          <w:rFonts w:hint="eastAsia"/>
          <w:color w:val="auto"/>
          <w:highlight w:val="none"/>
          <w:lang w:val="en-US" w:eastAsia="zh-CN"/>
        </w:rPr>
      </w:pPr>
      <w:r>
        <w:rPr>
          <w:rFonts w:hint="eastAsia"/>
          <w:color w:val="auto"/>
          <w:highlight w:val="none"/>
          <w:lang w:val="en-US" w:eastAsia="zh-CN"/>
        </w:rPr>
        <w:t>尉犁县2023年度1.14万亩高标准农田建设项目（自治区）设立了项目绩效目标，绩效目标指标设置合理，项目绩效目标与实际工作内容相关性较强；项目预期产出效益和效果符合正常的业绩水平；绩效目标与预算确定的项目投资额相匹配。</w:t>
      </w:r>
    </w:p>
    <w:p>
      <w:pPr>
        <w:bidi w:val="0"/>
        <w:rPr>
          <w:rFonts w:hint="eastAsia"/>
          <w:color w:val="auto"/>
          <w:highlight w:val="none"/>
          <w:lang w:val="en-US" w:eastAsia="zh-CN"/>
        </w:rPr>
      </w:pPr>
      <w:r>
        <w:rPr>
          <w:rFonts w:hint="eastAsia"/>
          <w:color w:val="auto"/>
          <w:highlight w:val="none"/>
          <w:lang w:val="en-US" w:eastAsia="zh-CN"/>
        </w:rPr>
        <w:t>本项满分4分，评估得分4分。</w:t>
      </w:r>
    </w:p>
    <w:p>
      <w:pPr>
        <w:bidi w:val="0"/>
        <w:rPr>
          <w:rFonts w:hint="eastAsia" w:ascii="Times New Roman" w:hAnsi="Times New Roman" w:eastAsia="楷体_GB2312" w:cstheme="minorBidi"/>
          <w:b/>
          <w:color w:val="auto"/>
          <w:kern w:val="2"/>
          <w:sz w:val="32"/>
          <w:szCs w:val="22"/>
          <w:highlight w:val="none"/>
          <w:lang w:val="en-US" w:eastAsia="zh-CN" w:bidi="ar-SA"/>
        </w:rPr>
      </w:pPr>
      <w:r>
        <w:rPr>
          <w:rFonts w:hint="eastAsia" w:ascii="Times New Roman" w:hAnsi="Times New Roman" w:eastAsia="楷体_GB2312" w:cstheme="minorBidi"/>
          <w:b/>
          <w:color w:val="auto"/>
          <w:kern w:val="2"/>
          <w:sz w:val="32"/>
          <w:szCs w:val="22"/>
          <w:highlight w:val="none"/>
          <w:lang w:val="en-US" w:eastAsia="zh-CN" w:bidi="ar-SA"/>
        </w:rPr>
        <w:t>4、绩效指标明确性</w:t>
      </w:r>
    </w:p>
    <w:p>
      <w:pPr>
        <w:bidi w:val="0"/>
        <w:rPr>
          <w:rFonts w:hint="eastAsia"/>
          <w:color w:val="auto"/>
          <w:highlight w:val="none"/>
          <w:lang w:val="en-US" w:eastAsia="zh-CN"/>
        </w:rPr>
      </w:pPr>
      <w:r>
        <w:rPr>
          <w:rFonts w:hint="eastAsia"/>
          <w:color w:val="auto"/>
          <w:highlight w:val="none"/>
          <w:lang w:val="en-US" w:eastAsia="zh-CN"/>
        </w:rPr>
        <w:t>本项目设置一级指标四条，二级指标6条，三级指标8条，其中量化指标6条，绩效目标指标设定清晰、可衡量性较强，与项目目标任务计划数对应性较强。</w:t>
      </w:r>
    </w:p>
    <w:p>
      <w:pPr>
        <w:bidi w:val="0"/>
        <w:rPr>
          <w:rFonts w:hint="eastAsia"/>
          <w:color w:val="auto"/>
          <w:highlight w:val="none"/>
          <w:lang w:val="en-US" w:eastAsia="zh-CN"/>
        </w:rPr>
      </w:pPr>
      <w:r>
        <w:rPr>
          <w:rFonts w:hint="eastAsia"/>
          <w:color w:val="auto"/>
          <w:highlight w:val="none"/>
          <w:lang w:val="en-US" w:eastAsia="zh-CN"/>
        </w:rPr>
        <w:t>本项满分4分，评估得分4分。</w:t>
      </w:r>
    </w:p>
    <w:p>
      <w:pPr>
        <w:bidi w:val="0"/>
        <w:rPr>
          <w:rFonts w:hint="eastAsia" w:ascii="Times New Roman" w:hAnsi="Times New Roman" w:eastAsia="楷体_GB2312" w:cstheme="minorBidi"/>
          <w:b/>
          <w:color w:val="auto"/>
          <w:kern w:val="2"/>
          <w:sz w:val="32"/>
          <w:szCs w:val="22"/>
          <w:highlight w:val="none"/>
          <w:lang w:val="en-US" w:eastAsia="zh-CN" w:bidi="ar-SA"/>
        </w:rPr>
      </w:pPr>
      <w:r>
        <w:rPr>
          <w:rFonts w:hint="eastAsia" w:ascii="Times New Roman" w:hAnsi="Times New Roman" w:eastAsia="楷体_GB2312" w:cstheme="minorBidi"/>
          <w:b/>
          <w:color w:val="auto"/>
          <w:kern w:val="2"/>
          <w:sz w:val="32"/>
          <w:szCs w:val="22"/>
          <w:highlight w:val="none"/>
          <w:lang w:val="en-US" w:eastAsia="zh-CN" w:bidi="ar-SA"/>
        </w:rPr>
        <w:t>5、预算编制科学性</w:t>
      </w:r>
    </w:p>
    <w:p>
      <w:pPr>
        <w:bidi w:val="0"/>
        <w:rPr>
          <w:rFonts w:hint="eastAsia"/>
          <w:color w:val="auto"/>
          <w:highlight w:val="none"/>
          <w:lang w:val="en-US" w:eastAsia="zh-CN"/>
        </w:rPr>
      </w:pPr>
      <w:r>
        <w:rPr>
          <w:rFonts w:hint="eastAsia"/>
          <w:color w:val="auto"/>
          <w:highlight w:val="none"/>
          <w:lang w:val="en-US" w:eastAsia="zh-CN"/>
        </w:rPr>
        <w:t>本项目预算资金542万元，来源为县级财政补贴资金，县级财政补贴资金542万元，预算编制较为科学，预算内容与农业保险保费补贴内容相匹配，预算额度测算依据充分，预算确定的资金量与工作量相匹配。</w:t>
      </w:r>
    </w:p>
    <w:p>
      <w:pPr>
        <w:bidi w:val="0"/>
        <w:rPr>
          <w:rFonts w:hint="eastAsia" w:ascii="Times New Roman" w:hAnsi="Times New Roman" w:eastAsia="方正仿宋_GBK" w:cs="方正仿宋_GBK"/>
          <w:b w:val="0"/>
          <w:color w:val="auto"/>
          <w:kern w:val="2"/>
          <w:sz w:val="31"/>
          <w:szCs w:val="31"/>
          <w:highlight w:val="none"/>
          <w:lang w:val="en-US" w:eastAsia="zh-CN" w:bidi="ar-SA"/>
        </w:rPr>
      </w:pPr>
      <w:r>
        <w:rPr>
          <w:rFonts w:hint="eastAsia" w:ascii="Times New Roman" w:hAnsi="Times New Roman" w:eastAsia="方正仿宋_GBK" w:cs="方正仿宋_GBK"/>
          <w:b w:val="0"/>
          <w:color w:val="auto"/>
          <w:kern w:val="2"/>
          <w:sz w:val="31"/>
          <w:szCs w:val="31"/>
          <w:highlight w:val="none"/>
          <w:lang w:val="en-US" w:eastAsia="zh-CN" w:bidi="ar-SA"/>
        </w:rPr>
        <w:t>本项满分4分，评估得分4分。</w:t>
      </w:r>
    </w:p>
    <w:p>
      <w:pPr>
        <w:bidi w:val="0"/>
        <w:rPr>
          <w:rFonts w:hint="eastAsia" w:ascii="Times New Roman" w:hAnsi="Times New Roman" w:eastAsia="楷体_GB2312" w:cstheme="minorBidi"/>
          <w:b/>
          <w:color w:val="auto"/>
          <w:kern w:val="2"/>
          <w:sz w:val="32"/>
          <w:szCs w:val="22"/>
          <w:highlight w:val="none"/>
          <w:lang w:val="en-US" w:eastAsia="zh-CN" w:bidi="ar-SA"/>
        </w:rPr>
      </w:pPr>
      <w:r>
        <w:rPr>
          <w:rFonts w:hint="eastAsia" w:ascii="Times New Roman" w:hAnsi="Times New Roman" w:eastAsia="楷体_GB2312" w:cstheme="minorBidi"/>
          <w:b/>
          <w:color w:val="auto"/>
          <w:kern w:val="2"/>
          <w:sz w:val="32"/>
          <w:szCs w:val="22"/>
          <w:highlight w:val="none"/>
          <w:lang w:val="en-US" w:eastAsia="zh-CN" w:bidi="ar-SA"/>
        </w:rPr>
        <w:t>6、资金分配合理性</w:t>
      </w:r>
    </w:p>
    <w:p>
      <w:pPr>
        <w:bidi w:val="0"/>
        <w:rPr>
          <w:rFonts w:hint="eastAsia"/>
          <w:color w:val="auto"/>
          <w:highlight w:val="none"/>
          <w:lang w:val="en-US" w:eastAsia="zh-CN"/>
        </w:rPr>
      </w:pPr>
      <w:r>
        <w:rPr>
          <w:rFonts w:hint="eastAsia"/>
          <w:color w:val="auto"/>
          <w:highlight w:val="none"/>
          <w:lang w:val="en-US" w:eastAsia="zh-CN"/>
        </w:rPr>
        <w:t>本项目预算资金分配依据充分；资金分配额度合理，与项目单位实际相适应。</w:t>
      </w:r>
    </w:p>
    <w:p>
      <w:pPr>
        <w:bidi w:val="0"/>
        <w:rPr>
          <w:rFonts w:hint="eastAsia"/>
          <w:color w:val="auto"/>
          <w:highlight w:val="none"/>
          <w:lang w:val="en-US" w:eastAsia="zh-CN"/>
        </w:rPr>
      </w:pPr>
      <w:r>
        <w:rPr>
          <w:rFonts w:hint="eastAsia"/>
          <w:color w:val="auto"/>
          <w:highlight w:val="none"/>
          <w:lang w:val="en-US" w:eastAsia="zh-CN"/>
        </w:rPr>
        <w:t>本项满分4分，评估得分4分。</w:t>
      </w:r>
    </w:p>
    <w:p>
      <w:pPr>
        <w:pStyle w:val="2"/>
        <w:bidi w:val="0"/>
        <w:rPr>
          <w:color w:val="auto"/>
          <w:highlight w:val="none"/>
        </w:rPr>
      </w:pPr>
      <w:bookmarkStart w:id="21" w:name="_Toc11290"/>
      <w:r>
        <w:rPr>
          <w:rFonts w:hint="eastAsia"/>
          <w:color w:val="auto"/>
          <w:highlight w:val="none"/>
        </w:rPr>
        <w:t>（二）项目过程情况</w:t>
      </w:r>
      <w:bookmarkEnd w:id="21"/>
    </w:p>
    <w:p>
      <w:pPr>
        <w:bidi w:val="0"/>
        <w:rPr>
          <w:rFonts w:hint="eastAsia"/>
          <w:color w:val="auto"/>
          <w:highlight w:val="none"/>
          <w:lang w:val="en-US" w:eastAsia="zh-CN"/>
        </w:rPr>
      </w:pPr>
      <w:r>
        <w:rPr>
          <w:rFonts w:hint="eastAsia"/>
          <w:color w:val="auto"/>
          <w:highlight w:val="none"/>
          <w:lang w:val="en-US" w:eastAsia="zh-CN"/>
        </w:rPr>
        <w:t>1、资金到位率</w:t>
      </w:r>
    </w:p>
    <w:p>
      <w:pPr>
        <w:bidi w:val="0"/>
        <w:rPr>
          <w:rFonts w:hint="eastAsia"/>
          <w:color w:val="auto"/>
          <w:highlight w:val="none"/>
          <w:lang w:val="en-US" w:eastAsia="zh-CN"/>
        </w:rPr>
      </w:pPr>
      <w:r>
        <w:rPr>
          <w:rFonts w:hint="eastAsia"/>
          <w:color w:val="auto"/>
          <w:highlight w:val="none"/>
          <w:lang w:val="en-US" w:eastAsia="zh-CN"/>
        </w:rPr>
        <w:t>本项目预算资金542万元，实际到位资金542万元，资金到位率100%。</w:t>
      </w:r>
    </w:p>
    <w:p>
      <w:pPr>
        <w:bidi w:val="0"/>
        <w:rPr>
          <w:rFonts w:hint="eastAsia"/>
          <w:color w:val="auto"/>
          <w:highlight w:val="none"/>
          <w:lang w:val="en-US" w:eastAsia="zh-CN"/>
        </w:rPr>
      </w:pPr>
      <w:r>
        <w:rPr>
          <w:rFonts w:hint="eastAsia"/>
          <w:color w:val="auto"/>
          <w:highlight w:val="none"/>
          <w:lang w:val="en-US" w:eastAsia="zh-CN"/>
        </w:rPr>
        <w:t>本项满分4分，评估得分4分。</w:t>
      </w:r>
    </w:p>
    <w:p>
      <w:pPr>
        <w:bidi w:val="0"/>
        <w:rPr>
          <w:rFonts w:hint="eastAsia"/>
          <w:color w:val="auto"/>
          <w:highlight w:val="none"/>
          <w:lang w:val="en-US" w:eastAsia="zh-CN"/>
        </w:rPr>
      </w:pPr>
      <w:r>
        <w:rPr>
          <w:rFonts w:hint="eastAsia"/>
          <w:color w:val="auto"/>
          <w:highlight w:val="none"/>
          <w:lang w:val="en-US" w:eastAsia="zh-CN"/>
        </w:rPr>
        <w:t>2、预算执行率</w:t>
      </w:r>
    </w:p>
    <w:p>
      <w:pPr>
        <w:bidi w:val="0"/>
        <w:rPr>
          <w:rFonts w:hint="eastAsia"/>
          <w:color w:val="auto"/>
          <w:highlight w:val="none"/>
          <w:lang w:val="en-US" w:eastAsia="zh-CN"/>
        </w:rPr>
      </w:pPr>
      <w:r>
        <w:rPr>
          <w:rFonts w:hint="eastAsia"/>
          <w:color w:val="auto"/>
          <w:highlight w:val="none"/>
          <w:lang w:val="en-US" w:eastAsia="zh-CN"/>
        </w:rPr>
        <w:t>本项目到位资金542万元，实际支付资金542万元，预算执行率为100%。</w:t>
      </w:r>
    </w:p>
    <w:p>
      <w:pPr>
        <w:bidi w:val="0"/>
        <w:rPr>
          <w:rFonts w:hint="eastAsia"/>
          <w:color w:val="auto"/>
          <w:highlight w:val="none"/>
          <w:lang w:val="en-US" w:eastAsia="zh-CN"/>
        </w:rPr>
      </w:pPr>
      <w:r>
        <w:rPr>
          <w:rFonts w:hint="eastAsia"/>
          <w:color w:val="auto"/>
          <w:highlight w:val="none"/>
          <w:lang w:val="en-US" w:eastAsia="zh-CN"/>
        </w:rPr>
        <w:t>本项满分4分，评估得分4分。</w:t>
      </w:r>
    </w:p>
    <w:p>
      <w:pPr>
        <w:bidi w:val="0"/>
        <w:rPr>
          <w:rFonts w:hint="eastAsia"/>
          <w:color w:val="auto"/>
          <w:highlight w:val="none"/>
          <w:lang w:val="en-US" w:eastAsia="zh-CN"/>
        </w:rPr>
      </w:pPr>
      <w:r>
        <w:rPr>
          <w:rFonts w:hint="eastAsia"/>
          <w:color w:val="auto"/>
          <w:highlight w:val="none"/>
          <w:lang w:val="en-US" w:eastAsia="zh-CN"/>
        </w:rPr>
        <w:t>3、资金使用合规性</w:t>
      </w:r>
    </w:p>
    <w:p>
      <w:pPr>
        <w:bidi w:val="0"/>
        <w:rPr>
          <w:rFonts w:hint="eastAsia"/>
          <w:color w:val="auto"/>
          <w:highlight w:val="none"/>
          <w:lang w:val="en-US" w:eastAsia="zh-CN"/>
        </w:rPr>
      </w:pPr>
      <w:r>
        <w:rPr>
          <w:rFonts w:hint="eastAsia"/>
          <w:color w:val="auto"/>
          <w:highlight w:val="none"/>
          <w:lang w:val="en-US" w:eastAsia="zh-CN"/>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pPr>
        <w:bidi w:val="0"/>
        <w:rPr>
          <w:rFonts w:hint="eastAsia"/>
          <w:color w:val="auto"/>
          <w:highlight w:val="none"/>
          <w:lang w:val="en-US" w:eastAsia="zh-CN"/>
        </w:rPr>
      </w:pPr>
      <w:r>
        <w:rPr>
          <w:rFonts w:hint="eastAsia"/>
          <w:color w:val="auto"/>
          <w:highlight w:val="none"/>
          <w:lang w:val="en-US" w:eastAsia="zh-CN"/>
        </w:rPr>
        <w:t>本项满分4分，评估得分4分。</w:t>
      </w:r>
    </w:p>
    <w:p>
      <w:pPr>
        <w:bidi w:val="0"/>
        <w:rPr>
          <w:rFonts w:hint="eastAsia"/>
          <w:color w:val="auto"/>
          <w:highlight w:val="none"/>
          <w:lang w:val="en-US" w:eastAsia="zh-CN"/>
        </w:rPr>
      </w:pPr>
      <w:r>
        <w:rPr>
          <w:rFonts w:hint="eastAsia"/>
          <w:color w:val="auto"/>
          <w:highlight w:val="none"/>
          <w:lang w:val="en-US" w:eastAsia="zh-CN"/>
        </w:rPr>
        <w:t>4、管理制度健全性</w:t>
      </w:r>
    </w:p>
    <w:p>
      <w:pPr>
        <w:bidi w:val="0"/>
        <w:rPr>
          <w:rFonts w:hint="eastAsia"/>
          <w:color w:val="auto"/>
          <w:highlight w:val="none"/>
          <w:lang w:val="en-US" w:eastAsia="zh-CN"/>
        </w:rPr>
      </w:pPr>
      <w:r>
        <w:rPr>
          <w:rFonts w:hint="eastAsia"/>
          <w:color w:val="auto"/>
          <w:highlight w:val="none"/>
          <w:lang w:val="en-US" w:eastAsia="zh-CN"/>
        </w:rPr>
        <w:t>尉犁县农业农村局（畜牧兽医局）制定了《尉犁县农业农村局（畜牧兽医局）财务管理办法》和《尉犁县农业农村局（畜牧兽医局）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hint="eastAsia"/>
          <w:color w:val="auto"/>
          <w:highlight w:val="none"/>
          <w:lang w:val="en-US" w:eastAsia="zh-CN"/>
        </w:rPr>
      </w:pPr>
      <w:r>
        <w:rPr>
          <w:rFonts w:hint="eastAsia"/>
          <w:color w:val="auto"/>
          <w:highlight w:val="none"/>
          <w:lang w:val="en-US" w:eastAsia="zh-CN"/>
        </w:rPr>
        <w:t>本项满分3分，评估得分3分。</w:t>
      </w:r>
    </w:p>
    <w:p>
      <w:pPr>
        <w:bidi w:val="0"/>
        <w:rPr>
          <w:rFonts w:hint="eastAsia"/>
          <w:color w:val="auto"/>
          <w:highlight w:val="none"/>
          <w:lang w:val="en-US" w:eastAsia="zh-CN"/>
        </w:rPr>
      </w:pPr>
      <w:r>
        <w:rPr>
          <w:rFonts w:hint="eastAsia"/>
          <w:color w:val="auto"/>
          <w:highlight w:val="none"/>
          <w:lang w:val="en-US" w:eastAsia="zh-CN"/>
        </w:rPr>
        <w:t>5、制度执行有效性</w:t>
      </w:r>
    </w:p>
    <w:p>
      <w:pPr>
        <w:bidi w:val="0"/>
        <w:rPr>
          <w:rFonts w:hint="eastAsia"/>
          <w:color w:val="auto"/>
          <w:highlight w:val="none"/>
          <w:lang w:val="en-US" w:eastAsia="zh-CN"/>
        </w:rPr>
      </w:pPr>
      <w:r>
        <w:rPr>
          <w:rFonts w:hint="eastAsia"/>
          <w:color w:val="auto"/>
          <w:highlight w:val="none"/>
          <w:lang w:val="en-US" w:eastAsia="zh-CN"/>
        </w:rPr>
        <w:t>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lang w:val="en-US" w:eastAsia="zh-CN"/>
        </w:rPr>
        <w:t>本项满分3分，评估得分3分。</w:t>
      </w:r>
      <w:bookmarkStart w:id="22" w:name="_Toc32013"/>
    </w:p>
    <w:p>
      <w:pPr>
        <w:pStyle w:val="2"/>
        <w:bidi w:val="0"/>
        <w:rPr>
          <w:color w:val="auto"/>
          <w:highlight w:val="none"/>
        </w:rPr>
      </w:pPr>
      <w:r>
        <w:rPr>
          <w:rFonts w:hint="eastAsia"/>
          <w:color w:val="auto"/>
          <w:highlight w:val="none"/>
        </w:rPr>
        <w:t>（三）项目产出情况</w:t>
      </w:r>
      <w:bookmarkEnd w:id="22"/>
    </w:p>
    <w:p>
      <w:pPr>
        <w:bidi w:val="0"/>
        <w:rPr>
          <w:rFonts w:hint="eastAsia"/>
          <w:color w:val="auto"/>
          <w:highlight w:val="none"/>
          <w:lang w:val="en-US" w:eastAsia="zh-CN"/>
        </w:rPr>
      </w:pPr>
      <w:r>
        <w:rPr>
          <w:rFonts w:hint="eastAsia"/>
          <w:color w:val="auto"/>
          <w:highlight w:val="none"/>
        </w:rPr>
        <w:t>1、产出</w:t>
      </w:r>
      <w:r>
        <w:rPr>
          <w:rFonts w:hint="eastAsia"/>
          <w:color w:val="auto"/>
          <w:highlight w:val="none"/>
          <w:lang w:val="en-US" w:eastAsia="zh-CN"/>
        </w:rPr>
        <w:t>数量</w:t>
      </w:r>
    </w:p>
    <w:p>
      <w:pPr>
        <w:bidi w:val="0"/>
        <w:rPr>
          <w:rFonts w:hint="eastAsia"/>
          <w:color w:val="auto"/>
          <w:highlight w:val="none"/>
        </w:rPr>
      </w:pPr>
      <w:r>
        <w:rPr>
          <w:rFonts w:hint="eastAsia"/>
          <w:color w:val="auto"/>
          <w:highlight w:val="none"/>
          <w:lang w:val="en-US" w:eastAsia="zh-CN"/>
        </w:rPr>
        <w:t>指标1：新建高标准农田（万亩）</w:t>
      </w:r>
      <w:r>
        <w:rPr>
          <w:rFonts w:hint="eastAsia"/>
          <w:color w:val="auto"/>
          <w:highlight w:val="none"/>
        </w:rPr>
        <w:t>，指标值=</w:t>
      </w:r>
      <w:r>
        <w:rPr>
          <w:rFonts w:hint="eastAsia"/>
          <w:color w:val="auto"/>
          <w:highlight w:val="none"/>
          <w:lang w:val="en-US" w:eastAsia="zh-CN"/>
        </w:rPr>
        <w:t>1.14万亩</w:t>
      </w:r>
      <w:r>
        <w:rPr>
          <w:rFonts w:hint="eastAsia"/>
          <w:color w:val="auto"/>
          <w:highlight w:val="none"/>
        </w:rPr>
        <w:t>，实际完成值</w:t>
      </w:r>
      <w:r>
        <w:rPr>
          <w:rFonts w:hint="eastAsia"/>
          <w:color w:val="auto"/>
          <w:highlight w:val="none"/>
          <w:lang w:val="en-US" w:eastAsia="zh-CN"/>
        </w:rPr>
        <w:t>1.14万亩</w:t>
      </w:r>
      <w:r>
        <w:rPr>
          <w:rFonts w:hint="eastAsia"/>
          <w:color w:val="auto"/>
          <w:highlight w:val="none"/>
        </w:rPr>
        <w:t>，指标完成率100%；</w:t>
      </w:r>
    </w:p>
    <w:p>
      <w:pPr>
        <w:bidi w:val="0"/>
        <w:rPr>
          <w:rFonts w:hint="eastAsia"/>
          <w:color w:val="auto"/>
          <w:highlight w:val="none"/>
        </w:rPr>
      </w:pPr>
      <w:r>
        <w:rPr>
          <w:rFonts w:hint="eastAsia"/>
          <w:color w:val="auto"/>
          <w:highlight w:val="none"/>
          <w:lang w:eastAsia="zh-CN"/>
        </w:rPr>
        <w:t>本项满分</w:t>
      </w:r>
      <w:r>
        <w:rPr>
          <w:rFonts w:hint="eastAsia"/>
          <w:color w:val="auto"/>
          <w:highlight w:val="none"/>
          <w:lang w:val="en-US" w:eastAsia="zh-CN"/>
        </w:rPr>
        <w:t>10</w:t>
      </w:r>
      <w:r>
        <w:rPr>
          <w:rFonts w:hint="eastAsia"/>
          <w:color w:val="auto"/>
          <w:highlight w:val="none"/>
          <w:lang w:eastAsia="zh-CN"/>
        </w:rPr>
        <w:t>分，评估得分</w:t>
      </w:r>
      <w:r>
        <w:rPr>
          <w:rFonts w:hint="eastAsia"/>
          <w:color w:val="auto"/>
          <w:highlight w:val="none"/>
          <w:lang w:val="en-US" w:eastAsia="zh-CN"/>
        </w:rPr>
        <w:t>10</w:t>
      </w:r>
      <w:r>
        <w:rPr>
          <w:rFonts w:hint="eastAsia"/>
          <w:color w:val="auto"/>
          <w:highlight w:val="none"/>
          <w:lang w:eastAsia="zh-CN"/>
        </w:rPr>
        <w:t>分。</w:t>
      </w:r>
    </w:p>
    <w:p>
      <w:pPr>
        <w:numPr>
          <w:ilvl w:val="0"/>
          <w:numId w:val="0"/>
        </w:numPr>
        <w:bidi w:val="0"/>
        <w:ind w:firstLine="640" w:firstLineChars="200"/>
        <w:rPr>
          <w:rFonts w:hint="eastAsia"/>
          <w:color w:val="auto"/>
          <w:highlight w:val="none"/>
        </w:rPr>
      </w:pPr>
      <w:r>
        <w:rPr>
          <w:rFonts w:hint="eastAsia" w:ascii="Times New Roman" w:hAnsi="Times New Roman" w:eastAsia="仿宋_GB2312" w:cstheme="minorBidi"/>
          <w:color w:val="auto"/>
          <w:kern w:val="2"/>
          <w:sz w:val="32"/>
          <w:szCs w:val="22"/>
          <w:highlight w:val="none"/>
          <w:lang w:val="en-US" w:eastAsia="zh-CN" w:bidi="ar-SA"/>
        </w:rPr>
        <w:t>2、</w:t>
      </w:r>
      <w:r>
        <w:rPr>
          <w:rFonts w:hint="eastAsia"/>
          <w:color w:val="auto"/>
          <w:highlight w:val="none"/>
        </w:rPr>
        <w:t>产出质量</w:t>
      </w:r>
    </w:p>
    <w:p>
      <w:pPr>
        <w:bidi w:val="0"/>
        <w:rPr>
          <w:rFonts w:hint="default" w:eastAsia="仿宋_GB2312"/>
          <w:color w:val="auto"/>
          <w:highlight w:val="none"/>
          <w:lang w:val="en-US" w:eastAsia="zh-CN"/>
        </w:rPr>
      </w:pPr>
      <w:r>
        <w:rPr>
          <w:rFonts w:hint="eastAsia"/>
          <w:color w:val="auto"/>
          <w:highlight w:val="none"/>
          <w:lang w:val="en-US" w:eastAsia="zh-CN"/>
        </w:rPr>
        <w:t>指标1：</w:t>
      </w:r>
      <w:r>
        <w:rPr>
          <w:rFonts w:hint="eastAsia"/>
          <w:color w:val="auto"/>
          <w:highlight w:val="none"/>
        </w:rPr>
        <w:t>项目验收合格率，指标值&gt;=</w:t>
      </w:r>
      <w:r>
        <w:rPr>
          <w:rFonts w:hint="eastAsia"/>
          <w:color w:val="auto"/>
          <w:highlight w:val="none"/>
          <w:lang w:val="en-US" w:eastAsia="zh-CN"/>
        </w:rPr>
        <w:t>95</w:t>
      </w:r>
      <w:r>
        <w:rPr>
          <w:rFonts w:hint="eastAsia"/>
          <w:color w:val="auto"/>
          <w:highlight w:val="none"/>
        </w:rPr>
        <w:t>%，实际完成值</w:t>
      </w:r>
      <w:r>
        <w:rPr>
          <w:rFonts w:hint="eastAsia"/>
          <w:color w:val="auto"/>
          <w:highlight w:val="none"/>
          <w:lang w:val="en-US" w:eastAsia="zh-CN"/>
        </w:rPr>
        <w:t>0%</w:t>
      </w:r>
      <w:r>
        <w:rPr>
          <w:rFonts w:hint="eastAsia"/>
          <w:color w:val="auto"/>
          <w:highlight w:val="none"/>
        </w:rPr>
        <w:t>，指标完成率0%；</w:t>
      </w:r>
      <w:r>
        <w:rPr>
          <w:rFonts w:hint="eastAsia"/>
          <w:color w:val="auto"/>
          <w:highlight w:val="none"/>
          <w:lang w:val="en-US" w:eastAsia="zh-CN"/>
        </w:rPr>
        <w:t>原因是项目已完工还未开展验收。</w:t>
      </w:r>
    </w:p>
    <w:p>
      <w:pPr>
        <w:bidi w:val="0"/>
        <w:rPr>
          <w:rFonts w:hint="eastAsia"/>
          <w:color w:val="auto"/>
          <w:highlight w:val="none"/>
          <w:lang w:eastAsia="zh-CN"/>
        </w:rPr>
      </w:pPr>
      <w:r>
        <w:rPr>
          <w:rFonts w:hint="eastAsia"/>
          <w:color w:val="auto"/>
          <w:highlight w:val="none"/>
          <w:lang w:eastAsia="zh-CN"/>
        </w:rPr>
        <w:t>本项满分</w:t>
      </w:r>
      <w:r>
        <w:rPr>
          <w:rFonts w:hint="eastAsia"/>
          <w:color w:val="auto"/>
          <w:highlight w:val="none"/>
          <w:lang w:val="en-US" w:eastAsia="zh-CN"/>
        </w:rPr>
        <w:t>10</w:t>
      </w:r>
      <w:r>
        <w:rPr>
          <w:rFonts w:hint="eastAsia"/>
          <w:color w:val="auto"/>
          <w:highlight w:val="none"/>
          <w:lang w:eastAsia="zh-CN"/>
        </w:rPr>
        <w:t>分，评估得分</w:t>
      </w:r>
      <w:r>
        <w:rPr>
          <w:rFonts w:hint="eastAsia"/>
          <w:color w:val="auto"/>
          <w:highlight w:val="none"/>
          <w:lang w:val="en-US" w:eastAsia="zh-CN"/>
        </w:rPr>
        <w:t>0</w:t>
      </w:r>
      <w:r>
        <w:rPr>
          <w:rFonts w:hint="eastAsia"/>
          <w:color w:val="auto"/>
          <w:highlight w:val="none"/>
          <w:lang w:eastAsia="zh-CN"/>
        </w:rPr>
        <w:t>分。</w:t>
      </w:r>
    </w:p>
    <w:p>
      <w:pPr>
        <w:bidi w:val="0"/>
        <w:rPr>
          <w:color w:val="auto"/>
          <w:highlight w:val="none"/>
        </w:rPr>
      </w:pPr>
      <w:r>
        <w:rPr>
          <w:rFonts w:hint="eastAsia"/>
          <w:color w:val="auto"/>
          <w:highlight w:val="none"/>
        </w:rPr>
        <w:t>3、产出时效</w:t>
      </w:r>
    </w:p>
    <w:p>
      <w:pPr>
        <w:bidi w:val="0"/>
        <w:rPr>
          <w:rFonts w:hint="eastAsia"/>
          <w:color w:val="auto"/>
          <w:highlight w:val="none"/>
        </w:rPr>
      </w:pPr>
      <w:r>
        <w:rPr>
          <w:rFonts w:hint="eastAsia"/>
          <w:color w:val="auto"/>
          <w:highlight w:val="none"/>
          <w:lang w:val="en-US" w:eastAsia="zh-CN"/>
        </w:rPr>
        <w:t>指标1：任务完成及时性，</w:t>
      </w:r>
      <w:r>
        <w:rPr>
          <w:rFonts w:hint="eastAsia"/>
          <w:color w:val="auto"/>
          <w:highlight w:val="none"/>
        </w:rPr>
        <w:t>指标值&gt;=</w:t>
      </w:r>
      <w:r>
        <w:rPr>
          <w:rFonts w:hint="eastAsia"/>
          <w:color w:val="auto"/>
          <w:highlight w:val="none"/>
          <w:lang w:val="en-US" w:eastAsia="zh-CN"/>
        </w:rPr>
        <w:t>1年</w:t>
      </w:r>
      <w:r>
        <w:rPr>
          <w:rFonts w:hint="eastAsia"/>
          <w:color w:val="auto"/>
          <w:highlight w:val="none"/>
        </w:rPr>
        <w:t>，实际完成值</w:t>
      </w:r>
      <w:r>
        <w:rPr>
          <w:rFonts w:hint="eastAsia"/>
          <w:color w:val="auto"/>
          <w:highlight w:val="none"/>
          <w:lang w:val="en-US" w:eastAsia="zh-CN"/>
        </w:rPr>
        <w:t>1年</w:t>
      </w:r>
      <w:r>
        <w:rPr>
          <w:rFonts w:hint="eastAsia"/>
          <w:color w:val="auto"/>
          <w:highlight w:val="none"/>
        </w:rPr>
        <w:t>，指标完成率</w:t>
      </w:r>
      <w:r>
        <w:rPr>
          <w:rFonts w:hint="eastAsia"/>
          <w:color w:val="auto"/>
          <w:highlight w:val="none"/>
          <w:lang w:val="en-US" w:eastAsia="zh-CN"/>
        </w:rPr>
        <w:t>10</w:t>
      </w:r>
      <w:r>
        <w:rPr>
          <w:rFonts w:hint="eastAsia"/>
          <w:color w:val="auto"/>
          <w:highlight w:val="none"/>
        </w:rPr>
        <w:t>0%；</w:t>
      </w:r>
    </w:p>
    <w:p>
      <w:pPr>
        <w:bidi w:val="0"/>
        <w:rPr>
          <w:rFonts w:hint="eastAsia"/>
          <w:color w:val="auto"/>
          <w:highlight w:val="none"/>
          <w:lang w:eastAsia="zh-CN"/>
        </w:rPr>
      </w:pPr>
      <w:r>
        <w:rPr>
          <w:rFonts w:hint="eastAsia"/>
          <w:color w:val="auto"/>
          <w:highlight w:val="none"/>
          <w:lang w:eastAsia="zh-CN"/>
        </w:rPr>
        <w:t>本项满分</w:t>
      </w:r>
      <w:r>
        <w:rPr>
          <w:rFonts w:hint="eastAsia"/>
          <w:color w:val="auto"/>
          <w:highlight w:val="none"/>
          <w:lang w:val="en-US" w:eastAsia="zh-CN"/>
        </w:rPr>
        <w:t>10</w:t>
      </w:r>
      <w:r>
        <w:rPr>
          <w:rFonts w:hint="eastAsia"/>
          <w:color w:val="auto"/>
          <w:highlight w:val="none"/>
          <w:lang w:eastAsia="zh-CN"/>
        </w:rPr>
        <w:t>分，评估得分</w:t>
      </w:r>
      <w:r>
        <w:rPr>
          <w:rFonts w:hint="eastAsia"/>
          <w:color w:val="auto"/>
          <w:highlight w:val="none"/>
          <w:lang w:val="en-US" w:eastAsia="zh-CN"/>
        </w:rPr>
        <w:t>10</w:t>
      </w:r>
      <w:r>
        <w:rPr>
          <w:rFonts w:hint="eastAsia"/>
          <w:color w:val="auto"/>
          <w:highlight w:val="none"/>
          <w:lang w:eastAsia="zh-CN"/>
        </w:rPr>
        <w:t>分。</w:t>
      </w:r>
    </w:p>
    <w:p>
      <w:pPr>
        <w:bidi w:val="0"/>
        <w:rPr>
          <w:rFonts w:hint="default"/>
          <w:color w:val="auto"/>
          <w:highlight w:val="none"/>
          <w:lang w:val="en-US"/>
        </w:rPr>
      </w:pPr>
      <w:r>
        <w:rPr>
          <w:rFonts w:hint="eastAsia"/>
          <w:color w:val="auto"/>
          <w:highlight w:val="none"/>
          <w:lang w:val="en-US" w:eastAsia="zh-CN"/>
        </w:rPr>
        <w:t>4</w:t>
      </w:r>
      <w:r>
        <w:rPr>
          <w:rFonts w:hint="eastAsia"/>
          <w:color w:val="auto"/>
          <w:highlight w:val="none"/>
        </w:rPr>
        <w:t>、</w:t>
      </w:r>
      <w:r>
        <w:rPr>
          <w:rFonts w:hint="eastAsia"/>
          <w:color w:val="auto"/>
          <w:highlight w:val="none"/>
          <w:lang w:val="en-US" w:eastAsia="zh-CN"/>
        </w:rPr>
        <w:t>产出成本</w:t>
      </w:r>
    </w:p>
    <w:p>
      <w:pPr>
        <w:bidi w:val="0"/>
        <w:rPr>
          <w:rFonts w:hint="eastAsia"/>
          <w:color w:val="auto"/>
          <w:highlight w:val="none"/>
        </w:rPr>
      </w:pPr>
      <w:r>
        <w:rPr>
          <w:rFonts w:hint="eastAsia"/>
          <w:color w:val="auto"/>
          <w:highlight w:val="none"/>
          <w:lang w:val="en-US" w:eastAsia="zh-CN"/>
        </w:rPr>
        <w:t>指标1：</w:t>
      </w:r>
      <w:r>
        <w:rPr>
          <w:rFonts w:hint="eastAsia"/>
          <w:color w:val="auto"/>
          <w:highlight w:val="none"/>
        </w:rPr>
        <w:t>财政资金亩均补助水平</w:t>
      </w:r>
      <w:r>
        <w:rPr>
          <w:rFonts w:hint="eastAsia"/>
          <w:color w:val="auto"/>
          <w:highlight w:val="none"/>
          <w:lang w:eastAsia="zh-CN"/>
        </w:rPr>
        <w:t>，</w:t>
      </w:r>
      <w:r>
        <w:rPr>
          <w:rFonts w:hint="eastAsia"/>
          <w:color w:val="auto"/>
          <w:highlight w:val="none"/>
        </w:rPr>
        <w:t>指标值&gt;=</w:t>
      </w:r>
      <w:r>
        <w:rPr>
          <w:rFonts w:hint="eastAsia"/>
          <w:color w:val="auto"/>
          <w:highlight w:val="none"/>
          <w:lang w:val="en-US" w:eastAsia="zh-CN"/>
        </w:rPr>
        <w:t>1500元，</w:t>
      </w:r>
      <w:r>
        <w:rPr>
          <w:rFonts w:hint="eastAsia"/>
          <w:color w:val="auto"/>
          <w:highlight w:val="none"/>
        </w:rPr>
        <w:t>实际完成值</w:t>
      </w:r>
      <w:r>
        <w:rPr>
          <w:rFonts w:hint="eastAsia"/>
          <w:color w:val="auto"/>
          <w:highlight w:val="none"/>
          <w:lang w:val="en-US" w:eastAsia="zh-CN"/>
        </w:rPr>
        <w:t>1500元</w:t>
      </w:r>
      <w:r>
        <w:rPr>
          <w:rFonts w:hint="eastAsia"/>
          <w:color w:val="auto"/>
          <w:highlight w:val="none"/>
        </w:rPr>
        <w:t>，指标完成率</w:t>
      </w:r>
      <w:r>
        <w:rPr>
          <w:rFonts w:hint="eastAsia"/>
          <w:color w:val="auto"/>
          <w:highlight w:val="none"/>
          <w:lang w:val="en-US" w:eastAsia="zh-CN"/>
        </w:rPr>
        <w:t>10</w:t>
      </w:r>
      <w:r>
        <w:rPr>
          <w:rFonts w:hint="eastAsia"/>
          <w:color w:val="auto"/>
          <w:highlight w:val="none"/>
        </w:rPr>
        <w:t>0%；</w:t>
      </w:r>
    </w:p>
    <w:p>
      <w:pPr>
        <w:bidi w:val="0"/>
        <w:rPr>
          <w:rFonts w:hint="eastAsia"/>
          <w:color w:val="auto"/>
          <w:highlight w:val="none"/>
          <w:lang w:eastAsia="zh-CN"/>
        </w:rPr>
      </w:pPr>
      <w:r>
        <w:rPr>
          <w:rFonts w:hint="eastAsia"/>
          <w:color w:val="auto"/>
          <w:highlight w:val="none"/>
          <w:lang w:eastAsia="zh-CN"/>
        </w:rPr>
        <w:t>本项满分</w:t>
      </w:r>
      <w:r>
        <w:rPr>
          <w:rFonts w:hint="eastAsia"/>
          <w:color w:val="auto"/>
          <w:highlight w:val="none"/>
          <w:lang w:val="en-US" w:eastAsia="zh-CN"/>
        </w:rPr>
        <w:t>10</w:t>
      </w:r>
      <w:r>
        <w:rPr>
          <w:rFonts w:hint="eastAsia"/>
          <w:color w:val="auto"/>
          <w:highlight w:val="none"/>
          <w:lang w:eastAsia="zh-CN"/>
        </w:rPr>
        <w:t>分，评估得分</w:t>
      </w:r>
      <w:r>
        <w:rPr>
          <w:rFonts w:hint="eastAsia"/>
          <w:color w:val="auto"/>
          <w:highlight w:val="none"/>
          <w:lang w:val="en-US" w:eastAsia="zh-CN"/>
        </w:rPr>
        <w:t>10</w:t>
      </w:r>
      <w:r>
        <w:rPr>
          <w:rFonts w:hint="eastAsia"/>
          <w:color w:val="auto"/>
          <w:highlight w:val="none"/>
          <w:lang w:eastAsia="zh-CN"/>
        </w:rPr>
        <w:t>分。</w:t>
      </w:r>
    </w:p>
    <w:p>
      <w:pPr>
        <w:pStyle w:val="2"/>
        <w:bidi w:val="0"/>
        <w:rPr>
          <w:color w:val="auto"/>
          <w:highlight w:val="none"/>
        </w:rPr>
      </w:pPr>
      <w:bookmarkStart w:id="23" w:name="_Toc28354"/>
      <w:r>
        <w:rPr>
          <w:rFonts w:hint="eastAsia"/>
          <w:color w:val="auto"/>
          <w:highlight w:val="none"/>
        </w:rPr>
        <w:t>（</w:t>
      </w:r>
      <w:r>
        <w:rPr>
          <w:rFonts w:hint="eastAsia"/>
          <w:color w:val="auto"/>
          <w:highlight w:val="none"/>
          <w:lang w:val="en-US" w:eastAsia="zh-CN"/>
        </w:rPr>
        <w:t>四</w:t>
      </w:r>
      <w:r>
        <w:rPr>
          <w:rFonts w:hint="eastAsia"/>
          <w:color w:val="auto"/>
          <w:highlight w:val="none"/>
        </w:rPr>
        <w:t>）</w:t>
      </w:r>
      <w:bookmarkEnd w:id="23"/>
      <w:r>
        <w:rPr>
          <w:rFonts w:hint="eastAsia"/>
          <w:color w:val="auto"/>
          <w:highlight w:val="none"/>
        </w:rPr>
        <w:t>项目效益情况</w:t>
      </w:r>
    </w:p>
    <w:p>
      <w:pPr>
        <w:bidi w:val="0"/>
        <w:rPr>
          <w:color w:val="auto"/>
          <w:highlight w:val="none"/>
        </w:rPr>
      </w:pPr>
      <w:r>
        <w:rPr>
          <w:rFonts w:hint="eastAsia"/>
          <w:color w:val="auto"/>
          <w:highlight w:val="none"/>
        </w:rPr>
        <w:t>1、实际效益</w:t>
      </w:r>
    </w:p>
    <w:p>
      <w:pPr>
        <w:bidi w:val="0"/>
        <w:rPr>
          <w:rFonts w:hint="eastAsia"/>
          <w:color w:val="auto"/>
          <w:highlight w:val="none"/>
        </w:rPr>
      </w:pPr>
      <w:r>
        <w:rPr>
          <w:rFonts w:hint="eastAsia"/>
          <w:color w:val="auto"/>
          <w:highlight w:val="none"/>
          <w:lang w:val="en-US" w:eastAsia="zh-CN"/>
        </w:rPr>
        <w:t>指标1：</w:t>
      </w:r>
      <w:r>
        <w:rPr>
          <w:rFonts w:hint="eastAsia"/>
          <w:color w:val="auto"/>
          <w:highlight w:val="none"/>
        </w:rPr>
        <w:t>粮食综合生产能力</w:t>
      </w:r>
      <w:r>
        <w:rPr>
          <w:rFonts w:hint="eastAsia"/>
          <w:color w:val="auto"/>
          <w:highlight w:val="none"/>
          <w:lang w:eastAsia="zh-CN"/>
        </w:rPr>
        <w:t>，</w:t>
      </w:r>
      <w:r>
        <w:rPr>
          <w:rFonts w:hint="eastAsia"/>
          <w:color w:val="auto"/>
          <w:highlight w:val="none"/>
        </w:rPr>
        <w:t>指标值明显提升</w:t>
      </w:r>
      <w:r>
        <w:rPr>
          <w:rFonts w:hint="eastAsia"/>
          <w:color w:val="auto"/>
          <w:highlight w:val="none"/>
          <w:lang w:val="en-US" w:eastAsia="zh-CN"/>
        </w:rPr>
        <w:t>，</w:t>
      </w:r>
      <w:r>
        <w:rPr>
          <w:rFonts w:hint="eastAsia"/>
          <w:color w:val="auto"/>
          <w:highlight w:val="none"/>
        </w:rPr>
        <w:t>实际完成值明显提升，指标完成率</w:t>
      </w:r>
      <w:r>
        <w:rPr>
          <w:rFonts w:hint="eastAsia"/>
          <w:color w:val="auto"/>
          <w:highlight w:val="none"/>
          <w:lang w:val="en-US" w:eastAsia="zh-CN"/>
        </w:rPr>
        <w:t>10</w:t>
      </w:r>
      <w:r>
        <w:rPr>
          <w:rFonts w:hint="eastAsia"/>
          <w:color w:val="auto"/>
          <w:highlight w:val="none"/>
        </w:rPr>
        <w:t>0%；</w:t>
      </w:r>
    </w:p>
    <w:p>
      <w:pPr>
        <w:bidi w:val="0"/>
        <w:rPr>
          <w:rFonts w:hint="eastAsia"/>
          <w:color w:val="auto"/>
          <w:highlight w:val="none"/>
        </w:rPr>
      </w:pPr>
      <w:r>
        <w:rPr>
          <w:rFonts w:hint="eastAsia"/>
          <w:color w:val="auto"/>
          <w:highlight w:val="none"/>
          <w:lang w:val="en-US" w:eastAsia="zh-CN"/>
        </w:rPr>
        <w:t>指标2：田间道路通达度</w:t>
      </w:r>
      <w:r>
        <w:rPr>
          <w:rFonts w:hint="eastAsia"/>
          <w:color w:val="auto"/>
          <w:highlight w:val="none"/>
          <w:lang w:eastAsia="zh-CN"/>
        </w:rPr>
        <w:t>，</w:t>
      </w:r>
      <w:r>
        <w:rPr>
          <w:rFonts w:hint="eastAsia"/>
          <w:color w:val="auto"/>
          <w:highlight w:val="none"/>
        </w:rPr>
        <w:t>指标值</w:t>
      </w:r>
      <w:r>
        <w:rPr>
          <w:rFonts w:hint="eastAsia"/>
          <w:color w:val="auto"/>
          <w:highlight w:val="none"/>
          <w:lang w:val="en-US" w:eastAsia="zh-CN"/>
        </w:rPr>
        <w:t>=100%，</w:t>
      </w:r>
      <w:r>
        <w:rPr>
          <w:rFonts w:hint="eastAsia"/>
          <w:color w:val="auto"/>
          <w:highlight w:val="none"/>
        </w:rPr>
        <w:t>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w:t>
      </w:r>
      <w:r>
        <w:rPr>
          <w:rFonts w:hint="eastAsia"/>
          <w:color w:val="auto"/>
          <w:highlight w:val="none"/>
        </w:rPr>
        <w:t>0%；</w:t>
      </w:r>
    </w:p>
    <w:p>
      <w:pPr>
        <w:bidi w:val="0"/>
        <w:rPr>
          <w:rFonts w:hint="eastAsia"/>
          <w:color w:val="auto"/>
          <w:highlight w:val="none"/>
        </w:rPr>
      </w:pPr>
      <w:r>
        <w:rPr>
          <w:rFonts w:hint="eastAsia"/>
          <w:color w:val="auto"/>
          <w:highlight w:val="none"/>
          <w:lang w:val="en-US" w:eastAsia="zh-CN"/>
        </w:rPr>
        <w:t>指标3：</w:t>
      </w:r>
      <w:r>
        <w:rPr>
          <w:rFonts w:hint="eastAsia"/>
          <w:color w:val="auto"/>
          <w:highlight w:val="none"/>
        </w:rPr>
        <w:t>耕地质量</w:t>
      </w:r>
      <w:r>
        <w:rPr>
          <w:rFonts w:hint="eastAsia"/>
          <w:color w:val="auto"/>
          <w:highlight w:val="none"/>
          <w:lang w:eastAsia="zh-CN"/>
        </w:rPr>
        <w:t>，</w:t>
      </w:r>
      <w:r>
        <w:rPr>
          <w:rFonts w:hint="eastAsia"/>
          <w:color w:val="auto"/>
          <w:highlight w:val="none"/>
        </w:rPr>
        <w:t>指标值</w:t>
      </w:r>
      <w:r>
        <w:rPr>
          <w:rFonts w:hint="eastAsia"/>
          <w:color w:val="auto"/>
          <w:highlight w:val="none"/>
          <w:lang w:val="en-US" w:eastAsia="zh-CN"/>
        </w:rPr>
        <w:t>逐步</w:t>
      </w:r>
      <w:r>
        <w:rPr>
          <w:rFonts w:hint="eastAsia"/>
          <w:color w:val="auto"/>
          <w:highlight w:val="none"/>
        </w:rPr>
        <w:t>提升</w:t>
      </w:r>
      <w:r>
        <w:rPr>
          <w:rFonts w:hint="eastAsia"/>
          <w:color w:val="auto"/>
          <w:highlight w:val="none"/>
          <w:lang w:val="en-US" w:eastAsia="zh-CN"/>
        </w:rPr>
        <w:t>，</w:t>
      </w:r>
      <w:r>
        <w:rPr>
          <w:rFonts w:hint="eastAsia"/>
          <w:color w:val="auto"/>
          <w:highlight w:val="none"/>
        </w:rPr>
        <w:t>实际完成值</w:t>
      </w:r>
      <w:r>
        <w:rPr>
          <w:rFonts w:hint="eastAsia"/>
          <w:color w:val="auto"/>
          <w:highlight w:val="none"/>
          <w:lang w:val="en-US" w:eastAsia="zh-CN"/>
        </w:rPr>
        <w:t>逐步</w:t>
      </w:r>
      <w:r>
        <w:rPr>
          <w:rFonts w:hint="eastAsia"/>
          <w:color w:val="auto"/>
          <w:highlight w:val="none"/>
        </w:rPr>
        <w:t>提升，指标完成率</w:t>
      </w:r>
      <w:r>
        <w:rPr>
          <w:rFonts w:hint="eastAsia"/>
          <w:color w:val="auto"/>
          <w:highlight w:val="none"/>
          <w:lang w:val="en-US" w:eastAsia="zh-CN"/>
        </w:rPr>
        <w:t>10</w:t>
      </w:r>
      <w:r>
        <w:rPr>
          <w:rFonts w:hint="eastAsia"/>
          <w:color w:val="auto"/>
          <w:highlight w:val="none"/>
        </w:rPr>
        <w:t>0%；</w:t>
      </w:r>
    </w:p>
    <w:p>
      <w:pPr>
        <w:bidi w:val="0"/>
        <w:rPr>
          <w:color w:val="auto"/>
          <w:highlight w:val="none"/>
        </w:rPr>
      </w:pPr>
      <w:r>
        <w:rPr>
          <w:rFonts w:hint="eastAsia"/>
          <w:color w:val="auto"/>
          <w:highlight w:val="none"/>
        </w:rPr>
        <w:t>本项满分</w:t>
      </w:r>
      <w:r>
        <w:rPr>
          <w:rFonts w:hint="eastAsia"/>
          <w:color w:val="auto"/>
          <w:highlight w:val="none"/>
          <w:lang w:val="en-US" w:eastAsia="zh-CN"/>
        </w:rPr>
        <w:t>1</w:t>
      </w:r>
      <w:r>
        <w:rPr>
          <w:rFonts w:hint="eastAsia"/>
          <w:color w:val="auto"/>
          <w:highlight w:val="none"/>
        </w:rPr>
        <w:t>0分，评估得分</w:t>
      </w:r>
      <w:r>
        <w:rPr>
          <w:rFonts w:hint="eastAsia"/>
          <w:color w:val="auto"/>
          <w:highlight w:val="none"/>
          <w:lang w:val="en-US" w:eastAsia="zh-CN"/>
        </w:rPr>
        <w:t>1</w:t>
      </w:r>
      <w:r>
        <w:rPr>
          <w:rFonts w:hint="eastAsia"/>
          <w:color w:val="auto"/>
          <w:highlight w:val="none"/>
        </w:rPr>
        <w:t>0分。</w:t>
      </w:r>
    </w:p>
    <w:p>
      <w:pPr>
        <w:bidi w:val="0"/>
        <w:rPr>
          <w:color w:val="auto"/>
          <w:highlight w:val="none"/>
        </w:rPr>
      </w:pPr>
      <w:r>
        <w:rPr>
          <w:rFonts w:hint="eastAsia"/>
          <w:color w:val="auto"/>
          <w:highlight w:val="none"/>
        </w:rPr>
        <w:t>2、满意度</w:t>
      </w:r>
    </w:p>
    <w:p>
      <w:pPr>
        <w:bidi w:val="0"/>
        <w:rPr>
          <w:rFonts w:hint="eastAsia"/>
          <w:color w:val="auto"/>
          <w:highlight w:val="none"/>
        </w:rPr>
      </w:pPr>
      <w:r>
        <w:rPr>
          <w:rFonts w:hint="eastAsia"/>
          <w:color w:val="auto"/>
          <w:highlight w:val="none"/>
          <w:lang w:val="en-US" w:eastAsia="zh-CN"/>
        </w:rPr>
        <w:t>指标1：受益群众满意率</w:t>
      </w:r>
      <w:r>
        <w:rPr>
          <w:rFonts w:hint="eastAsia"/>
          <w:color w:val="auto"/>
          <w:highlight w:val="none"/>
          <w:lang w:eastAsia="zh-CN"/>
        </w:rPr>
        <w:t>，</w:t>
      </w:r>
      <w:r>
        <w:rPr>
          <w:rFonts w:hint="eastAsia"/>
          <w:color w:val="auto"/>
          <w:highlight w:val="none"/>
        </w:rPr>
        <w:t>指标值&gt;=</w:t>
      </w:r>
      <w:r>
        <w:rPr>
          <w:rFonts w:hint="eastAsia"/>
          <w:color w:val="auto"/>
          <w:highlight w:val="none"/>
          <w:lang w:val="en-US" w:eastAsia="zh-CN"/>
        </w:rPr>
        <w:t>90%，</w:t>
      </w:r>
      <w:r>
        <w:rPr>
          <w:rFonts w:hint="eastAsia"/>
          <w:color w:val="auto"/>
          <w:highlight w:val="none"/>
        </w:rPr>
        <w:t>实际完成值</w:t>
      </w:r>
      <w:r>
        <w:rPr>
          <w:rFonts w:hint="eastAsia"/>
          <w:color w:val="auto"/>
          <w:highlight w:val="none"/>
          <w:lang w:val="en-US" w:eastAsia="zh-CN"/>
        </w:rPr>
        <w:t>90%</w:t>
      </w:r>
      <w:r>
        <w:rPr>
          <w:rFonts w:hint="eastAsia"/>
          <w:color w:val="auto"/>
          <w:highlight w:val="none"/>
        </w:rPr>
        <w:t>，指标完成率</w:t>
      </w:r>
      <w:r>
        <w:rPr>
          <w:rFonts w:hint="eastAsia"/>
          <w:color w:val="auto"/>
          <w:highlight w:val="none"/>
          <w:lang w:val="en-US" w:eastAsia="zh-CN"/>
        </w:rPr>
        <w:t>10</w:t>
      </w:r>
      <w:r>
        <w:rPr>
          <w:rFonts w:hint="eastAsia"/>
          <w:color w:val="auto"/>
          <w:highlight w:val="none"/>
        </w:rPr>
        <w:t>0%；</w:t>
      </w:r>
    </w:p>
    <w:p>
      <w:pPr>
        <w:bidi w:val="0"/>
        <w:rPr>
          <w:color w:val="auto"/>
          <w:highlight w:val="none"/>
        </w:rPr>
      </w:pPr>
      <w:r>
        <w:rPr>
          <w:rFonts w:hint="eastAsia"/>
          <w:color w:val="auto"/>
          <w:highlight w:val="none"/>
        </w:rPr>
        <w:t>本项满分10分，评估得分10分。</w:t>
      </w:r>
    </w:p>
    <w:p>
      <w:pPr>
        <w:pStyle w:val="4"/>
        <w:bidi w:val="0"/>
        <w:rPr>
          <w:color w:val="auto"/>
          <w:highlight w:val="none"/>
        </w:rPr>
      </w:pPr>
      <w:bookmarkStart w:id="24" w:name="_Toc27244"/>
      <w:r>
        <w:rPr>
          <w:rFonts w:hint="eastAsia"/>
          <w:color w:val="auto"/>
          <w:highlight w:val="none"/>
        </w:rPr>
        <w:t>五、主要经验及做法、存在的问题及原因分析</w:t>
      </w:r>
      <w:bookmarkEnd w:id="24"/>
    </w:p>
    <w:p>
      <w:pPr>
        <w:pStyle w:val="2"/>
        <w:bidi w:val="0"/>
        <w:rPr>
          <w:color w:val="auto"/>
          <w:highlight w:val="none"/>
        </w:rPr>
      </w:pPr>
      <w:bookmarkStart w:id="25" w:name="_Toc18880"/>
      <w:r>
        <w:rPr>
          <w:rFonts w:hint="eastAsia"/>
          <w:color w:val="auto"/>
          <w:highlight w:val="none"/>
        </w:rPr>
        <w:t>（一）主要经验及做法</w:t>
      </w:r>
      <w:bookmarkEnd w:id="25"/>
    </w:p>
    <w:p>
      <w:pPr>
        <w:bidi w:val="0"/>
        <w:rPr>
          <w:rFonts w:hint="eastAsia"/>
          <w:color w:val="auto"/>
          <w:highlight w:val="none"/>
          <w:lang w:eastAsia="zh-CN"/>
        </w:rPr>
      </w:pPr>
      <w:r>
        <w:rPr>
          <w:rFonts w:hint="eastAsia"/>
          <w:color w:val="auto"/>
          <w:highlight w:val="none"/>
          <w:lang w:eastAsia="zh-CN"/>
        </w:rPr>
        <w:t>1.加强领导，落实责任。明确项目各部门工作职责，从项目立项审批、项目招投标、项目实施管理、资金管理各方面加强统筹协调，共同推进项目顺利实施。</w:t>
      </w:r>
    </w:p>
    <w:p>
      <w:pPr>
        <w:bidi w:val="0"/>
        <w:rPr>
          <w:rFonts w:hint="eastAsia"/>
          <w:color w:val="auto"/>
          <w:highlight w:val="none"/>
          <w:lang w:eastAsia="zh-CN"/>
        </w:rPr>
      </w:pPr>
      <w:r>
        <w:rPr>
          <w:rFonts w:hint="eastAsia"/>
          <w:color w:val="auto"/>
          <w:highlight w:val="none"/>
          <w:lang w:eastAsia="zh-CN"/>
        </w:rPr>
        <w:t>2.加大工程质量监管力度。通过招投标确定监理队伍，并对监理到场情况进行检查，对不按招投标规定，没有资质的监理人员不准进入施工现场。项目单位选派工作责任心强、熟悉工程业务人员作为监管负责人，负责施工监督，重点抓好质量把关验收。</w:t>
      </w:r>
    </w:p>
    <w:p>
      <w:pPr>
        <w:bidi w:val="0"/>
        <w:rPr>
          <w:rFonts w:hint="eastAsia"/>
          <w:color w:val="auto"/>
          <w:highlight w:val="none"/>
          <w:lang w:eastAsia="zh-CN"/>
        </w:rPr>
      </w:pPr>
      <w:r>
        <w:rPr>
          <w:rFonts w:hint="eastAsia"/>
          <w:color w:val="auto"/>
          <w:highlight w:val="none"/>
          <w:lang w:eastAsia="zh-CN"/>
        </w:rPr>
        <w:t>3.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w:t>
      </w:r>
    </w:p>
    <w:p>
      <w:pPr>
        <w:pStyle w:val="2"/>
        <w:bidi w:val="0"/>
        <w:rPr>
          <w:color w:val="auto"/>
          <w:highlight w:val="none"/>
        </w:rPr>
      </w:pPr>
      <w:bookmarkStart w:id="26" w:name="_Toc9914"/>
      <w:r>
        <w:rPr>
          <w:rFonts w:hint="eastAsia"/>
          <w:color w:val="auto"/>
          <w:highlight w:val="none"/>
        </w:rPr>
        <w:t>（二）存在问题及原因分析</w:t>
      </w:r>
      <w:bookmarkEnd w:id="26"/>
    </w:p>
    <w:p>
      <w:pPr>
        <w:bidi w:val="0"/>
        <w:rPr>
          <w:rFonts w:hint="eastAsia"/>
          <w:color w:val="auto"/>
          <w:highlight w:val="none"/>
          <w:lang w:eastAsia="zh-CN"/>
        </w:rPr>
      </w:pPr>
      <w:bookmarkStart w:id="27" w:name="_Toc2334"/>
      <w:r>
        <w:rPr>
          <w:rFonts w:hint="eastAsia"/>
          <w:color w:val="auto"/>
          <w:highlight w:val="none"/>
          <w:lang w:val="en-US" w:eastAsia="zh-CN"/>
        </w:rPr>
        <w:t>需</w:t>
      </w:r>
      <w:r>
        <w:rPr>
          <w:rFonts w:hint="eastAsia"/>
          <w:color w:val="auto"/>
          <w:highlight w:val="none"/>
          <w:lang w:eastAsia="zh-CN"/>
        </w:rPr>
        <w:t>完善绩效评价、监督机制等方面的制度建设，扩大绩效评价的范围，对项目实施效果进行绩效跟踪和多方评估。</w:t>
      </w:r>
    </w:p>
    <w:p>
      <w:pPr>
        <w:pStyle w:val="4"/>
        <w:bidi w:val="0"/>
        <w:rPr>
          <w:color w:val="auto"/>
          <w:highlight w:val="none"/>
        </w:rPr>
      </w:pPr>
      <w:r>
        <w:rPr>
          <w:rFonts w:hint="eastAsia"/>
          <w:color w:val="auto"/>
          <w:highlight w:val="none"/>
        </w:rPr>
        <w:t>六、有关建议</w:t>
      </w:r>
      <w:bookmarkEnd w:id="27"/>
    </w:p>
    <w:p>
      <w:pPr>
        <w:bidi w:val="0"/>
        <w:rPr>
          <w:color w:val="auto"/>
          <w:highlight w:val="none"/>
        </w:rPr>
      </w:pPr>
      <w:r>
        <w:rPr>
          <w:rFonts w:hint="eastAsia"/>
          <w:color w:val="auto"/>
          <w:highlight w:val="none"/>
        </w:rPr>
        <w:t>进一步完善</w:t>
      </w:r>
      <w:r>
        <w:rPr>
          <w:rFonts w:hint="eastAsia"/>
          <w:color w:val="auto"/>
          <w:highlight w:val="none"/>
          <w:lang w:val="en-US" w:eastAsia="zh-CN"/>
        </w:rPr>
        <w:t>内部</w:t>
      </w:r>
      <w:r>
        <w:rPr>
          <w:rFonts w:hint="eastAsia"/>
          <w:color w:val="auto"/>
          <w:highlight w:val="none"/>
        </w:rPr>
        <w:t>预算绩效管理机制、体制建设，针对预算绩效管理过程中存在的问题改进预算绩效管理工作，保证预算资金安全、高效使用。</w:t>
      </w:r>
    </w:p>
    <w:p>
      <w:pPr>
        <w:pStyle w:val="4"/>
        <w:bidi w:val="0"/>
        <w:rPr>
          <w:color w:val="auto"/>
          <w:highlight w:val="none"/>
        </w:rPr>
      </w:pPr>
      <w:bookmarkStart w:id="28" w:name="_Toc30571"/>
      <w:r>
        <w:rPr>
          <w:rFonts w:hint="eastAsia"/>
          <w:color w:val="auto"/>
          <w:highlight w:val="none"/>
        </w:rPr>
        <w:t>七、其他需要说明的问题</w:t>
      </w:r>
      <w:bookmarkEnd w:id="28"/>
    </w:p>
    <w:p>
      <w:pPr>
        <w:bidi w:val="0"/>
        <w:rPr>
          <w:color w:val="auto"/>
          <w:highlight w:val="none"/>
        </w:rPr>
      </w:pPr>
      <w:r>
        <w:rPr>
          <w:rFonts w:hint="eastAsia"/>
          <w:color w:val="auto"/>
          <w:highlight w:val="none"/>
        </w:rPr>
        <w:t>无其他需要说明的问题。</w:t>
      </w:r>
    </w:p>
    <w:p>
      <w:pPr>
        <w:pStyle w:val="4"/>
        <w:bidi w:val="0"/>
        <w:rPr>
          <w:color w:val="auto"/>
          <w:highlight w:val="none"/>
        </w:rPr>
      </w:pPr>
      <w:bookmarkStart w:id="29" w:name="_Toc10180"/>
      <w:r>
        <w:rPr>
          <w:rFonts w:hint="eastAsia"/>
          <w:color w:val="auto"/>
          <w:highlight w:val="none"/>
        </w:rPr>
        <w:t>八、相关附件</w:t>
      </w:r>
      <w:bookmarkEnd w:id="29"/>
    </w:p>
    <w:p>
      <w:pPr>
        <w:bidi w:val="0"/>
        <w:rPr>
          <w:color w:val="auto"/>
          <w:highlight w:val="none"/>
        </w:rPr>
      </w:pPr>
      <w:r>
        <w:rPr>
          <w:rFonts w:hint="eastAsia"/>
          <w:color w:val="auto"/>
          <w:highlight w:val="none"/>
        </w:rPr>
        <w:t>1、项目支出绩效自评表</w:t>
      </w:r>
    </w:p>
    <w:p>
      <w:pPr>
        <w:bidi w:val="0"/>
        <w:rPr>
          <w:color w:val="auto"/>
          <w:highlight w:val="none"/>
        </w:rPr>
      </w:pPr>
      <w:r>
        <w:rPr>
          <w:rFonts w:hint="eastAsia"/>
          <w:color w:val="auto"/>
          <w:highlight w:val="none"/>
        </w:rPr>
        <w:t>2、评价指标体系及得分表</w:t>
      </w:r>
    </w:p>
    <w:p>
      <w:pPr>
        <w:bidi w:val="0"/>
        <w:rPr>
          <w:color w:val="auto"/>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4"/>
        <w:bidi w:val="0"/>
        <w:ind w:left="0" w:leftChars="0" w:firstLine="0" w:firstLineChars="0"/>
        <w:jc w:val="both"/>
        <w:rPr>
          <w:color w:val="auto"/>
          <w:highlight w:val="none"/>
        </w:rPr>
      </w:pPr>
      <w:bookmarkStart w:id="30" w:name="_Toc6652"/>
      <w:bookmarkStart w:id="31" w:name="_Toc12781"/>
      <w:bookmarkStart w:id="32" w:name="_Toc18004"/>
      <w:r>
        <w:rPr>
          <w:color w:val="auto"/>
          <w:highlight w:val="none"/>
        </w:rPr>
        <w:t>附件1：项目支出绩效自评表</w:t>
      </w:r>
      <w:bookmarkEnd w:id="30"/>
      <w:bookmarkEnd w:id="31"/>
      <w:bookmarkEnd w:id="32"/>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2"/>
        <w:gridCol w:w="1006"/>
        <w:gridCol w:w="1003"/>
        <w:gridCol w:w="1009"/>
        <w:gridCol w:w="1385"/>
        <w:gridCol w:w="1003"/>
        <w:gridCol w:w="1204"/>
        <w:gridCol w:w="984"/>
        <w:gridCol w:w="1013"/>
        <w:gridCol w:w="1003"/>
        <w:gridCol w:w="1245"/>
        <w:gridCol w:w="1481"/>
        <w:gridCol w:w="1331"/>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bidi w:val="0"/>
              <w:rPr>
                <w:color w:val="auto"/>
                <w:highlight w:val="none"/>
              </w:rPr>
            </w:pPr>
            <w:r>
              <w:rPr>
                <w:rFonts w:hint="eastAsia"/>
                <w:color w:val="auto"/>
                <w:highlight w:val="none"/>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项目名称</w:t>
            </w:r>
          </w:p>
        </w:tc>
        <w:tc>
          <w:tcPr>
            <w:tcW w:w="4368"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尉犁县2023年度1.14万亩高标准农田建设项目（自治区）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主管部门</w:t>
            </w:r>
          </w:p>
        </w:tc>
        <w:tc>
          <w:tcPr>
            <w:tcW w:w="176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尉犁县农业农村局</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实施单位</w:t>
            </w:r>
          </w:p>
        </w:tc>
        <w:tc>
          <w:tcPr>
            <w:tcW w:w="198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尉犁县农业农村局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项目资金</w:t>
            </w:r>
            <w:r>
              <w:rPr>
                <w:rFonts w:hint="eastAsia"/>
                <w:color w:val="auto"/>
                <w:highlight w:val="none"/>
                <w:lang w:val="en-US" w:eastAsia="zh-CN"/>
              </w:rPr>
              <w:br w:type="textWrapping"/>
            </w:r>
            <w:r>
              <w:rPr>
                <w:rFonts w:hint="eastAsia"/>
                <w:color w:val="auto"/>
                <w:highlight w:val="none"/>
                <w:lang w:val="en-US" w:eastAsia="zh-CN"/>
              </w:rPr>
              <w:t>（万元）</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资金来源</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年初预算数</w:t>
            </w:r>
          </w:p>
        </w:tc>
        <w:tc>
          <w:tcPr>
            <w:tcW w:w="6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全年预算数</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全年执行数</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分值权重</w:t>
            </w:r>
          </w:p>
        </w:tc>
        <w:tc>
          <w:tcPr>
            <w:tcW w:w="8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执行率</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年度资金总额</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542.00</w:t>
            </w:r>
          </w:p>
        </w:tc>
        <w:tc>
          <w:tcPr>
            <w:tcW w:w="6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542.00</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542.00</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w:t>
            </w:r>
          </w:p>
        </w:tc>
        <w:tc>
          <w:tcPr>
            <w:tcW w:w="8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100.00%</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其中：当年财政拨款</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542</w:t>
            </w:r>
          </w:p>
        </w:tc>
        <w:tc>
          <w:tcPr>
            <w:tcW w:w="6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542</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542.00</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c>
          <w:tcPr>
            <w:tcW w:w="8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上年结转资金</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ind w:firstLine="0" w:firstLineChars="0"/>
              <w:rPr>
                <w:rFonts w:hint="eastAsia"/>
                <w:color w:val="auto"/>
                <w:highlight w:val="none"/>
              </w:rPr>
            </w:pPr>
            <w:r>
              <w:rPr>
                <w:rFonts w:hint="eastAsia"/>
                <w:color w:val="auto"/>
                <w:highlight w:val="none"/>
                <w:lang w:val="en-US" w:eastAsia="zh-CN"/>
              </w:rPr>
              <w:t>0</w:t>
            </w:r>
          </w:p>
        </w:tc>
        <w:tc>
          <w:tcPr>
            <w:tcW w:w="22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ind w:firstLine="0" w:firstLineChars="0"/>
              <w:rPr>
                <w:rFonts w:hint="eastAsia"/>
                <w:color w:val="auto"/>
                <w:highlight w:val="none"/>
              </w:rPr>
            </w:pPr>
            <w:r>
              <w:rPr>
                <w:rFonts w:hint="eastAsia"/>
                <w:color w:val="auto"/>
                <w:highlight w:val="none"/>
                <w:lang w:val="en-US" w:eastAsia="zh-CN"/>
              </w:rPr>
              <w:t>0</w:t>
            </w:r>
          </w:p>
        </w:tc>
        <w:tc>
          <w:tcPr>
            <w:tcW w:w="19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ind w:firstLine="0" w:firstLineChars="0"/>
              <w:rPr>
                <w:rFonts w:hint="eastAsia"/>
                <w:color w:val="auto"/>
                <w:highlight w:val="none"/>
              </w:rPr>
            </w:pPr>
            <w:r>
              <w:rPr>
                <w:rFonts w:hint="eastAsia"/>
                <w:color w:val="auto"/>
                <w:highlight w:val="none"/>
                <w:lang w:val="en-US" w:eastAsia="zh-CN"/>
              </w:rPr>
              <w:t>0</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c>
          <w:tcPr>
            <w:tcW w:w="8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其他资金</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0</w:t>
            </w:r>
          </w:p>
        </w:tc>
        <w:tc>
          <w:tcPr>
            <w:tcW w:w="69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0</w:t>
            </w:r>
          </w:p>
        </w:tc>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0</w:t>
            </w:r>
          </w:p>
        </w:tc>
        <w:tc>
          <w:tcPr>
            <w:tcW w:w="7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c>
          <w:tcPr>
            <w:tcW w:w="88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年度总体目标</w:t>
            </w:r>
          </w:p>
        </w:tc>
        <w:tc>
          <w:tcPr>
            <w:tcW w:w="270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总体目标</w:t>
            </w:r>
          </w:p>
        </w:tc>
        <w:tc>
          <w:tcPr>
            <w:tcW w:w="198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270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新建高标准农田面积1.14万亩，通过项目建设，有效改善项目区农田基础设施条件，提升耕地质量，提高粮食综合生产能力。</w:t>
            </w:r>
          </w:p>
        </w:tc>
        <w:tc>
          <w:tcPr>
            <w:tcW w:w="198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建成高标准农田面积1.14万亩，项目建设后有效改善项目区农田基础设施条件。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一级指标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二级指标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三级指标</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指标值</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指标值设置依据</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上年完成值</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指标分值权重</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指标赋分规则</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佐证资料</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指标实际完成值</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完成率</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指标得分</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年度绩效指标完成情况</w:t>
            </w:r>
          </w:p>
        </w:tc>
        <w:tc>
          <w:tcPr>
            <w:tcW w:w="3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产出指标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数量指标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新建高标准农田面积</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=1.14万亩</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计划标准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5万亩</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13</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按照完成比例赋分</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工作资料</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=1.14万亩</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100.00%</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13</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质量指标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项目验收合格率</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&gt;=95%</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计划标准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13</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按照完成比例赋分</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工作资料</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0%</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0%</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0</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项目未验收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时效指标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任务完成及时性</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&gt;=1年</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计划标准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1年</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14</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直接赋分</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工作资料</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=1年</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100.00%</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14</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成本指标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经济成本指标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财政资金亩均补助水平</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&gt;=1500元</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计划标准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20</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按照完成比例赋分</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工作资料</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=1500元</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100.00%</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20</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效益指标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社会效益指标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粮食综合生产能力</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明显提升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计划标准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达成“明显提升”目标</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7</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按照完成比例赋分</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工作资料</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明显提升</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100.00%</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7</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社会效益指标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田间道路通达度</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计划标准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7</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按照完成比例赋分</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工作资料</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100.00%</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7</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生态效益指标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耕地质量</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逐步提升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计划标准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达成“逐步提升”目标</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6</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按照完成比例赋分</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工作资料</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逐步提升</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100.00%</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6</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满意度指标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满意度指标</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受益群众满意率</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&gt;=90%</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计划标准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95%</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满意度赋分</w:t>
            </w: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工作资料</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=90%</w:t>
            </w: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100.00%</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总分</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1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46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r>
              <w:rPr>
                <w:rFonts w:hint="eastAsia"/>
                <w:color w:val="auto"/>
                <w:highlight w:val="none"/>
                <w:lang w:val="en-US" w:eastAsia="zh-CN"/>
              </w:rPr>
              <w:t>100.00分</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color w:val="auto"/>
                <w:highlight w:val="none"/>
              </w:rPr>
            </w:pPr>
          </w:p>
        </w:tc>
      </w:tr>
    </w:tbl>
    <w:p>
      <w:pPr>
        <w:rPr>
          <w:color w:val="auto"/>
          <w:highlight w:val="none"/>
        </w:rPr>
        <w:sectPr>
          <w:pgSz w:w="16838" w:h="11906" w:orient="landscape"/>
          <w:pgMar w:top="1803" w:right="567" w:bottom="1803" w:left="567" w:header="851" w:footer="992" w:gutter="0"/>
          <w:pgNumType w:fmt="decimal"/>
          <w:cols w:space="0" w:num="1"/>
          <w:rtlGutter w:val="0"/>
          <w:docGrid w:type="lines" w:linePitch="312" w:charSpace="0"/>
        </w:sectPr>
      </w:pPr>
    </w:p>
    <w:p>
      <w:pPr>
        <w:pStyle w:val="4"/>
        <w:bidi w:val="0"/>
        <w:ind w:left="0" w:leftChars="0" w:firstLine="0" w:firstLineChars="0"/>
        <w:rPr>
          <w:color w:val="auto"/>
          <w:highlight w:val="none"/>
        </w:rPr>
      </w:pPr>
      <w:bookmarkStart w:id="33" w:name="_Toc1641"/>
      <w:bookmarkStart w:id="34" w:name="_Toc23301"/>
      <w:bookmarkStart w:id="35" w:name="_Toc28099"/>
      <w:bookmarkStart w:id="36" w:name="_Toc5134"/>
      <w:r>
        <w:rPr>
          <w:color w:val="auto"/>
          <w:highlight w:val="none"/>
        </w:rPr>
        <w:t>附件</w:t>
      </w:r>
      <w:r>
        <w:rPr>
          <w:rFonts w:hint="eastAsia"/>
          <w:color w:val="auto"/>
          <w:highlight w:val="none"/>
        </w:rPr>
        <w:t>2</w:t>
      </w:r>
      <w:r>
        <w:rPr>
          <w:color w:val="auto"/>
          <w:highlight w:val="none"/>
        </w:rPr>
        <w:t>：项目支出绩效评价指标体系及评分</w:t>
      </w:r>
      <w:bookmarkEnd w:id="33"/>
      <w:bookmarkEnd w:id="34"/>
      <w:bookmarkEnd w:id="35"/>
      <w:bookmarkEnd w:id="36"/>
    </w:p>
    <w:p>
      <w:pPr>
        <w:pStyle w:val="12"/>
        <w:bidi w:val="0"/>
        <w:rPr>
          <w:color w:val="auto"/>
          <w:highlight w:val="none"/>
        </w:rPr>
      </w:pPr>
      <w:r>
        <w:rPr>
          <w:color w:val="auto"/>
          <w:highlight w:val="none"/>
        </w:rPr>
        <w:t>项目支出绩效评价指标体系及评分</w:t>
      </w:r>
    </w:p>
    <w:tbl>
      <w:tblPr>
        <w:tblStyle w:val="10"/>
        <w:tblpPr w:leftFromText="180" w:rightFromText="180" w:vertAnchor="text" w:horzAnchor="page" w:tblpX="1789" w:tblpY="180"/>
        <w:tblOverlap w:val="never"/>
        <w:tblW w:w="4930" w:type="pct"/>
        <w:tblInd w:w="0" w:type="dxa"/>
        <w:tblLayout w:type="autofit"/>
        <w:tblCellMar>
          <w:top w:w="0" w:type="dxa"/>
          <w:left w:w="108" w:type="dxa"/>
          <w:bottom w:w="0" w:type="dxa"/>
          <w:right w:w="108" w:type="dxa"/>
        </w:tblCellMar>
      </w:tblPr>
      <w:tblGrid>
        <w:gridCol w:w="498"/>
        <w:gridCol w:w="673"/>
        <w:gridCol w:w="818"/>
        <w:gridCol w:w="1580"/>
        <w:gridCol w:w="3305"/>
        <w:gridCol w:w="532"/>
        <w:gridCol w:w="991"/>
      </w:tblGrid>
      <w:tr>
        <w:tblPrEx>
          <w:tblCellMar>
            <w:top w:w="0" w:type="dxa"/>
            <w:left w:w="108" w:type="dxa"/>
            <w:bottom w:w="0" w:type="dxa"/>
            <w:right w:w="108" w:type="dxa"/>
          </w:tblCellMar>
        </w:tblPrEx>
        <w:trPr>
          <w:trHeight w:val="460"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一级指标</w:t>
            </w:r>
          </w:p>
        </w:tc>
        <w:tc>
          <w:tcPr>
            <w:tcW w:w="4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二级指标</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三级指标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指标解释</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指标说明</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分值</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rFonts w:hint="eastAsia"/>
                <w:color w:val="auto"/>
                <w:highlight w:val="none"/>
              </w:rPr>
              <w:t>得分</w:t>
            </w:r>
          </w:p>
        </w:tc>
      </w:tr>
      <w:tr>
        <w:tblPrEx>
          <w:tblCellMar>
            <w:top w:w="0" w:type="dxa"/>
            <w:left w:w="108" w:type="dxa"/>
            <w:bottom w:w="0" w:type="dxa"/>
            <w:right w:w="108" w:type="dxa"/>
          </w:tblCellMar>
        </w:tblPrEx>
        <w:trPr>
          <w:trHeight w:val="46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决策</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项目</w:t>
            </w:r>
            <w:r>
              <w:rPr>
                <w:rFonts w:hint="eastAsia"/>
                <w:color w:val="auto"/>
                <w:highlight w:val="none"/>
              </w:rPr>
              <w:t>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依据充分性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w:t>
            </w:r>
            <w:r>
              <w:rPr>
                <w:rFonts w:hint="eastAsia"/>
                <w:color w:val="auto"/>
                <w:highlight w:val="none"/>
              </w:rPr>
              <w:t>实施</w:t>
            </w:r>
            <w:r>
              <w:rPr>
                <w:color w:val="auto"/>
                <w:highlight w:val="none"/>
              </w:rPr>
              <w:t>是否符合法律法规、相关政策、发展规划以及部门职责，用以反映和考核项目</w:t>
            </w:r>
            <w:r>
              <w:rPr>
                <w:rFonts w:hint="eastAsia"/>
                <w:color w:val="auto"/>
                <w:highlight w:val="none"/>
              </w:rPr>
              <w:t>实施</w:t>
            </w:r>
            <w:r>
              <w:rPr>
                <w:color w:val="auto"/>
                <w:highlight w:val="none"/>
              </w:rPr>
              <w:t>依据情况。</w:t>
            </w: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①项目</w:t>
            </w:r>
            <w:r>
              <w:rPr>
                <w:rFonts w:hint="eastAsia"/>
                <w:color w:val="auto"/>
                <w:highlight w:val="none"/>
              </w:rPr>
              <w:t>实施</w:t>
            </w:r>
            <w:r>
              <w:rPr>
                <w:color w:val="auto"/>
                <w:highlight w:val="none"/>
              </w:rPr>
              <w:t>是否符合国家法律法规、国民经济发展规划和相关政策；</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②项目</w:t>
            </w:r>
            <w:r>
              <w:rPr>
                <w:rFonts w:hint="eastAsia"/>
                <w:color w:val="auto"/>
                <w:highlight w:val="none"/>
              </w:rPr>
              <w:t>实施</w:t>
            </w:r>
            <w:r>
              <w:rPr>
                <w:color w:val="auto"/>
                <w:highlight w:val="none"/>
              </w:rPr>
              <w:t>是否符合行业发展规划和政策要求；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③项目</w:t>
            </w:r>
            <w:r>
              <w:rPr>
                <w:rFonts w:hint="eastAsia"/>
                <w:color w:val="auto"/>
                <w:highlight w:val="none"/>
              </w:rPr>
              <w:t>实施</w:t>
            </w:r>
            <w:r>
              <w:rPr>
                <w:color w:val="auto"/>
                <w:highlight w:val="none"/>
              </w:rPr>
              <w:t>是否与部门职责范围相符，属于部门履职所需；</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④项目是否属于公共财政支持范围，是否符合中央、地方事权支出责任划分原则；</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⑤项目是否与相关部门同类项目或部门内部相关项目重复。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程序规范性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项目申请、设立过程是否符合相关要求，用以反映和考核项目</w:t>
            </w:r>
            <w:r>
              <w:rPr>
                <w:rFonts w:hint="eastAsia"/>
                <w:color w:val="auto"/>
                <w:highlight w:val="none"/>
              </w:rPr>
              <w:t>实施</w:t>
            </w:r>
            <w:r>
              <w:rPr>
                <w:color w:val="auto"/>
                <w:highlight w:val="none"/>
              </w:rPr>
              <w:t>的规范情况。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①项目是否按照规定的程序申请设立；</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②审批文件、材料是否符合相关要求；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绩效目标</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绩效目标合理性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项目所设定的绩效目标是否依据充分，是否符合客观实际，用以反映和考核项目绩效目标与项目实施的相符情况。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①项目是否有绩效目标；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②项目绩效目标与实际工作内容是否具有相关性；</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③项目预期产出效益和效果是否符合正常的业绩水平；</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④是否与预算确定的项目投资额或资金量相匹配。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绩效指标明确性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依据绩效目标设定的绩效指标是否清晰、细化、可衡量等，用以反映和考核项目绩效目标的明细化情况。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①是否将项目绩效目标细化分解为具体的绩效指标；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②是否通过清晰、可衡量的指标值予以体现；</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③是否与项目目标任务数或计划数相对应。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资金投入</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预算编制科学性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项目预算编制是否经过科学论证、有明确标准，资金额度与年度目标是否相适应，用以反映和考核项目预算编制的科学性、合理性情况。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①预算编制是否经过科学论证；</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②预算内容与项目内容是否匹配；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③预算额度测算依据是否充分，是否按照标准编制；</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④预算确定的项目投资额或资金量是否与工作任务相匹配。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资金分配合理性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项目预算资金分配是否有测算依据，与补助单位或地方实际是否相适应，用以反映和考核项目预算资金分配的科学性、合理性情况。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①预算资金分配依据是否充分；</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②资金分配额度是否合理，与</w:t>
            </w:r>
            <w:r>
              <w:rPr>
                <w:rFonts w:hint="eastAsia"/>
                <w:color w:val="auto"/>
                <w:highlight w:val="none"/>
              </w:rPr>
              <w:t>补助</w:t>
            </w:r>
            <w:r>
              <w:rPr>
                <w:color w:val="auto"/>
                <w:highlight w:val="none"/>
              </w:rPr>
              <w:t>项目单位或地方实际是否相适应。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过程</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资金管理</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资金到位率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实际到位资金与预算资金的比率，用以反映和考核资金落实情况对项目实施的总体保障程度。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资金到位率=（实际到位资金/预算资金）×100%。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实际到位资金：一定时期（本年度或项目期）内落实到具体项目的资金。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预算资金：一定时期（本年度或项目期）内预算安排到具体项目的资金。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预算执行率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项目预算资金是否按照计划执行，用以反映或考核项目预算执行情况。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预算执行率=（实际支出资金/实际到位资金）×100%。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实际支出资金：一定时期（本年度或项目期）内项目实际拨付的资金。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资金使用合规性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项目资金使用是否符合相关的财务管理制度规定，用以反映和考核项目资金的规范运行情况。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①是否符合国家财经法规和财务管理制度以及有关专项资金管理办法的规定；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②资金的拨付是否有完整的审批程序和手续；</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③是否符合项目预算批复或合同规定的用途；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④是否存在截留、挤占、挪用、虚列支出等情况。</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组织实施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管理制度健全性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项目实施单位的财务和业务管理制度是否健全，用以反映和考核财务和业务管理制度对项目顺利实施的保障情况。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①是否已制定或具有相应的财务和业务管理制度；</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②财务和业务管理制度是否合法、合规、完整。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制度执行有效性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项目实施是否符合相关管理规定，用以反映和考核相关管理制度的有效执行情况。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①是否遵守相关法律法规和相关管理规定；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②项目调整及支出调整手续是否完备；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restart"/>
            <w:tcBorders>
              <w:top w:val="single" w:color="000000" w:sz="4" w:space="0"/>
              <w:left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产出</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产出数量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实际完成率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项目实施的实际产出数与计划产出数的比率，用以反映和考核项目产出数量目标的实现程度。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实际完成率=（实际产出数/计划产出数）×100%。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color w:val="auto"/>
                <w:highlight w:val="none"/>
                <w:lang w:val="en-US" w:eastAsia="zh-CN"/>
              </w:rPr>
            </w:pPr>
            <w:r>
              <w:rPr>
                <w:rFonts w:hint="eastAsia"/>
                <w:color w:val="auto"/>
                <w:highlight w:val="none"/>
                <w:lang w:val="en-US" w:eastAsia="zh-CN"/>
              </w:rPr>
              <w:t>10</w:t>
            </w:r>
          </w:p>
        </w:tc>
        <w:tc>
          <w:tcPr>
            <w:tcW w:w="990" w:type="dxa"/>
            <w:vMerge w:val="restart"/>
            <w:tcBorders>
              <w:top w:val="single" w:color="000000" w:sz="4" w:space="0"/>
              <w:left w:val="single" w:color="000000" w:sz="4" w:space="0"/>
              <w:right w:val="single" w:color="000000" w:sz="4" w:space="0"/>
            </w:tcBorders>
            <w:noWrap/>
            <w:vAlign w:val="center"/>
          </w:tcPr>
          <w:p>
            <w:pPr>
              <w:pStyle w:val="13"/>
              <w:bidi w:val="0"/>
              <w:ind w:firstLine="0" w:firstLineChars="0"/>
              <w:rPr>
                <w:rFonts w:hint="default" w:eastAsia="仿宋_GB2312"/>
                <w:color w:val="auto"/>
                <w:highlight w:val="none"/>
                <w:lang w:val="en-US" w:eastAsia="zh-CN"/>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实际产出数：一定时期（本年度或项目期）内项目实际产出的产品或提供的服务数量。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计划产出数：项目绩效目标确定的在一定时期（本年度或项目期）内计划产出的产品或提供的服务数量。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78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产出质量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质量达标率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项目完成的质量达标产出数与实际产出数的比率，用以反映和考核项目产出质量目标的实现程度。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质量达标率=（质量达标产出数/实际产出数）×100%。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color w:val="auto"/>
                <w:highlight w:val="none"/>
                <w:lang w:val="en-US" w:eastAsia="zh-CN"/>
              </w:rPr>
            </w:pPr>
            <w:r>
              <w:rPr>
                <w:rFonts w:hint="eastAsia"/>
                <w:color w:val="auto"/>
                <w:highlight w:val="none"/>
                <w:lang w:val="en-US" w:eastAsia="zh-CN"/>
              </w:rPr>
              <w:t>10</w:t>
            </w:r>
          </w:p>
        </w:tc>
        <w:tc>
          <w:tcPr>
            <w:tcW w:w="990" w:type="dxa"/>
            <w:vMerge w:val="restart"/>
            <w:tcBorders>
              <w:top w:val="single" w:color="000000" w:sz="4" w:space="0"/>
              <w:left w:val="single" w:color="000000" w:sz="4" w:space="0"/>
              <w:right w:val="single" w:color="000000" w:sz="4" w:space="0"/>
            </w:tcBorders>
            <w:noWrap/>
            <w:vAlign w:val="center"/>
          </w:tcPr>
          <w:p>
            <w:pPr>
              <w:pStyle w:val="13"/>
              <w:bidi w:val="0"/>
              <w:ind w:firstLine="0" w:firstLineChars="0"/>
              <w:rPr>
                <w:rFonts w:hint="default" w:eastAsia="仿宋_GB2312"/>
                <w:color w:val="auto"/>
                <w:highlight w:val="none"/>
                <w:lang w:val="en-US" w:eastAsia="zh-CN"/>
              </w:rPr>
            </w:pPr>
            <w:r>
              <w:rPr>
                <w:rFonts w:hint="eastAsia"/>
                <w:color w:val="auto"/>
                <w:highlight w:val="none"/>
                <w:lang w:val="en-US" w:eastAsia="zh-CN"/>
              </w:rPr>
              <w:t>0</w:t>
            </w:r>
          </w:p>
        </w:tc>
      </w:tr>
      <w:tr>
        <w:tblPrEx>
          <w:tblCellMar>
            <w:top w:w="0" w:type="dxa"/>
            <w:left w:w="108" w:type="dxa"/>
            <w:bottom w:w="0" w:type="dxa"/>
            <w:right w:w="108" w:type="dxa"/>
          </w:tblCellMar>
        </w:tblPrEx>
        <w:trPr>
          <w:trHeight w:val="88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产出时效</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完成及时性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项目实际完成时间与计划完成时间的比较，用以反映和考核项目产出时效目标的实现程度。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highlight w:val="none"/>
              </w:rPr>
            </w:pPr>
            <w:r>
              <w:rPr>
                <w:color w:val="auto"/>
                <w:highlight w:val="none"/>
              </w:rPr>
              <w:t>实际完成时间：项目实施单位完成该项目实际所耗用的时间。</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color w:val="auto"/>
                <w:highlight w:val="none"/>
                <w:lang w:val="en-US" w:eastAsia="zh-CN"/>
              </w:rPr>
            </w:pPr>
            <w:r>
              <w:rPr>
                <w:rFonts w:hint="eastAsia"/>
                <w:color w:val="auto"/>
                <w:highlight w:val="none"/>
                <w:lang w:val="en-US" w:eastAsia="zh-CN"/>
              </w:rPr>
              <w:t>10</w:t>
            </w:r>
          </w:p>
        </w:tc>
        <w:tc>
          <w:tcPr>
            <w:tcW w:w="990" w:type="dxa"/>
            <w:vMerge w:val="restart"/>
            <w:tcBorders>
              <w:top w:val="single" w:color="000000" w:sz="4" w:space="0"/>
              <w:left w:val="single" w:color="000000" w:sz="4" w:space="0"/>
              <w:right w:val="single" w:color="000000" w:sz="4" w:space="0"/>
            </w:tcBorders>
            <w:noWrap/>
            <w:vAlign w:val="center"/>
          </w:tcPr>
          <w:p>
            <w:pPr>
              <w:pStyle w:val="13"/>
              <w:bidi w:val="0"/>
              <w:ind w:firstLine="0" w:firstLineChars="0"/>
              <w:rPr>
                <w:rFonts w:hint="eastAsia" w:eastAsia="仿宋_GB2312"/>
                <w:color w:val="auto"/>
                <w:highlight w:val="none"/>
                <w:lang w:eastAsia="zh-CN"/>
              </w:rPr>
            </w:pPr>
            <w:r>
              <w:rPr>
                <w:rFonts w:hint="eastAsia"/>
                <w:color w:val="auto"/>
                <w:highlight w:val="none"/>
                <w:lang w:val="en-US" w:eastAsia="zh-CN"/>
              </w:rPr>
              <w:t>10</w:t>
            </w: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bottom w:val="single" w:color="auto"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计划完成时间：按照项目实施计划或相关规定完成该项目所需的时间。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highlight w:val="none"/>
              </w:rPr>
            </w:pPr>
          </w:p>
        </w:tc>
      </w:tr>
      <w:tr>
        <w:tblPrEx>
          <w:tblCellMar>
            <w:top w:w="0" w:type="dxa"/>
            <w:left w:w="108" w:type="dxa"/>
            <w:bottom w:w="0" w:type="dxa"/>
            <w:right w:w="108" w:type="dxa"/>
          </w:tblCellMar>
        </w:tblPrEx>
        <w:trPr>
          <w:trHeight w:val="457" w:hRule="atLeast"/>
        </w:trPr>
        <w:tc>
          <w:tcPr>
            <w:tcW w:w="352" w:type="pct"/>
            <w:tcBorders>
              <w:top w:val="single" w:color="auto" w:sz="4" w:space="0"/>
              <w:left w:val="single" w:color="000000" w:sz="4" w:space="0"/>
              <w:bottom w:val="single" w:color="000000" w:sz="4" w:space="0"/>
              <w:right w:val="single" w:color="000000" w:sz="4" w:space="0"/>
            </w:tcBorders>
            <w:shd w:val="clear" w:color="auto" w:fill="FFFFFF"/>
            <w:vAlign w:val="center"/>
          </w:tcPr>
          <w:p>
            <w:pPr>
              <w:pStyle w:val="13"/>
              <w:bidi w:val="0"/>
              <w:rPr>
                <w:rFonts w:ascii="Times New Roman" w:hAnsi="Times New Roman"/>
                <w:color w:val="auto"/>
                <w:highlight w:val="none"/>
              </w:rPr>
            </w:pPr>
            <w:r>
              <w:rPr>
                <w:rFonts w:hint="default" w:ascii="Times New Roman" w:hAnsi="Times New Roman"/>
                <w:color w:val="auto"/>
                <w:highlight w:val="none"/>
              </w:rPr>
              <w:t>成本</w:t>
            </w:r>
          </w:p>
        </w:tc>
        <w:tc>
          <w:tcPr>
            <w:tcW w:w="4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hint="default" w:ascii="Times New Roman" w:hAnsi="Times New Roman"/>
                <w:color w:val="auto"/>
                <w:highlight w:val="none"/>
                <w:lang w:val="en-US" w:eastAsia="zh-CN"/>
              </w:rPr>
            </w:pPr>
            <w:r>
              <w:rPr>
                <w:rFonts w:hint="default" w:ascii="Times New Roman" w:hAnsi="Times New Roman"/>
                <w:color w:val="auto"/>
                <w:highlight w:val="none"/>
              </w:rPr>
              <w:t>产出成本</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hint="default" w:ascii="Times New Roman" w:hAnsi="Times New Roman"/>
                <w:color w:val="auto"/>
                <w:highlight w:val="none"/>
                <w:lang w:val="en-US" w:eastAsia="zh-CN"/>
              </w:rPr>
            </w:pPr>
            <w:r>
              <w:rPr>
                <w:rFonts w:hint="default" w:ascii="Times New Roman" w:hAnsi="Times New Roman"/>
                <w:color w:val="auto"/>
                <w:highlight w:val="none"/>
              </w:rPr>
              <w:t>成本节约率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hint="default" w:ascii="Times New Roman" w:hAnsi="Times New Roman"/>
                <w:color w:val="auto"/>
                <w:highlight w:val="none"/>
                <w:lang w:val="en-US" w:eastAsia="zh-CN"/>
              </w:rPr>
            </w:pPr>
            <w:r>
              <w:rPr>
                <w:rFonts w:hint="default" w:ascii="Times New Roman" w:hAnsi="Times New Roman"/>
                <w:color w:val="auto"/>
                <w:highlight w:val="none"/>
              </w:rPr>
              <w:t>完成项目计划工作目标的实际节约成本与计划成本的比率，用以反映和考核项目的成本节约程度。</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hint="default" w:ascii="Times New Roman" w:hAnsi="Times New Roman"/>
                <w:color w:val="auto"/>
                <w:highlight w:val="none"/>
              </w:rPr>
            </w:pPr>
            <w:r>
              <w:rPr>
                <w:rFonts w:hint="default" w:ascii="Times New Roman" w:hAnsi="Times New Roman"/>
                <w:color w:val="auto"/>
                <w:highlight w:val="none"/>
              </w:rPr>
              <w:t>成本节约率=〔（计划成本</w:t>
            </w:r>
            <w:r>
              <w:rPr>
                <w:rFonts w:hint="default" w:ascii="Times New Roman" w:hAnsi="Times New Roman"/>
                <w:color w:val="auto"/>
                <w:highlight w:val="none"/>
                <w:lang w:eastAsia="zh-CN"/>
              </w:rPr>
              <w:t>－</w:t>
            </w:r>
            <w:r>
              <w:rPr>
                <w:rFonts w:hint="default" w:ascii="Times New Roman" w:hAnsi="Times New Roman"/>
                <w:color w:val="auto"/>
                <w:highlight w:val="none"/>
              </w:rPr>
              <w:t>实际成本）/计划成本〕×100%。</w:t>
            </w:r>
          </w:p>
          <w:p>
            <w:pPr>
              <w:pStyle w:val="13"/>
              <w:bidi w:val="0"/>
              <w:rPr>
                <w:rFonts w:hint="default" w:ascii="Times New Roman" w:hAnsi="Times New Roman"/>
                <w:color w:val="auto"/>
                <w:highlight w:val="none"/>
              </w:rPr>
            </w:pPr>
            <w:r>
              <w:rPr>
                <w:rFonts w:hint="default" w:ascii="Times New Roman" w:hAnsi="Times New Roman"/>
                <w:color w:val="auto"/>
                <w:highlight w:val="none"/>
              </w:rPr>
              <w:t>实际成本：项目实施单位如期、保质、保量完成既定工作目标实际所耗费的支出。</w:t>
            </w:r>
          </w:p>
          <w:p>
            <w:pPr>
              <w:pStyle w:val="13"/>
              <w:bidi w:val="0"/>
              <w:rPr>
                <w:rFonts w:hint="default" w:ascii="Times New Roman" w:hAnsi="Times New Roman"/>
                <w:color w:val="auto"/>
                <w:highlight w:val="none"/>
                <w:lang w:val="en-US" w:eastAsia="zh-CN"/>
              </w:rPr>
            </w:pPr>
            <w:r>
              <w:rPr>
                <w:rFonts w:hint="default" w:ascii="Times New Roman" w:hAnsi="Times New Roman"/>
                <w:color w:val="auto"/>
                <w:highlight w:val="none"/>
              </w:rPr>
              <w:t>计划成本：项目实施单位为完成工作目标计划安排的支出，一般以项目预算为参考。</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ascii="Times New Roman" w:hAnsi="Times New Roman"/>
                <w:color w:val="auto"/>
                <w:highlight w:val="none"/>
                <w:lang w:val="en-US" w:eastAsia="zh-CN"/>
              </w:rPr>
            </w:pPr>
            <w:r>
              <w:rPr>
                <w:rFonts w:hint="eastAsia" w:ascii="Times New Roman" w:hAnsi="Times New Roman"/>
                <w:color w:val="auto"/>
                <w:highlight w:val="none"/>
                <w:lang w:val="en-US" w:eastAsia="zh-CN"/>
              </w:rPr>
              <w:t>10</w:t>
            </w:r>
          </w:p>
        </w:tc>
        <w:tc>
          <w:tcPr>
            <w:tcW w:w="990" w:type="dxa"/>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ascii="Times New Roman" w:hAnsi="Times New Roman"/>
                <w:color w:val="auto"/>
                <w:highlight w:val="none"/>
                <w:lang w:val="en-US"/>
              </w:rPr>
            </w:pPr>
            <w:r>
              <w:rPr>
                <w:rFonts w:hint="eastAsia" w:ascii="Times New Roman" w:hAnsi="Times New Roman"/>
                <w:color w:val="auto"/>
                <w:highlight w:val="none"/>
                <w:lang w:val="en-US" w:eastAsia="zh-CN"/>
              </w:rPr>
              <w:t>10</w:t>
            </w:r>
          </w:p>
        </w:tc>
      </w:tr>
      <w:tr>
        <w:tblPrEx>
          <w:tblCellMar>
            <w:top w:w="0" w:type="dxa"/>
            <w:left w:w="108" w:type="dxa"/>
            <w:bottom w:w="0" w:type="dxa"/>
            <w:right w:w="108" w:type="dxa"/>
          </w:tblCellMar>
        </w:tblPrEx>
        <w:trPr>
          <w:trHeight w:val="78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效益</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项目效益</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实施效益</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项目实施所产生的效益。</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项目实施所产生的社会效益、经济效益、生态效益、可持续影响等。可根据项目实际情况有选择地设置和细化。</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10</w:t>
            </w:r>
          </w:p>
        </w:tc>
      </w:tr>
      <w:tr>
        <w:tblPrEx>
          <w:tblCellMar>
            <w:top w:w="0" w:type="dxa"/>
            <w:left w:w="108" w:type="dxa"/>
            <w:bottom w:w="0" w:type="dxa"/>
            <w:right w:w="108" w:type="dxa"/>
          </w:tblCellMar>
        </w:tblPrEx>
        <w:trPr>
          <w:trHeight w:val="8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满意度</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highlight w:val="none"/>
              </w:rPr>
            </w:pPr>
            <w:r>
              <w:rPr>
                <w:color w:val="auto"/>
                <w:highlight w:val="none"/>
              </w:rPr>
              <w:t>社会公众或服务对象对项目实施效果的满意程度。</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highlight w:val="none"/>
              </w:rPr>
            </w:pPr>
            <w:r>
              <w:rPr>
                <w:color w:val="auto"/>
                <w:highlight w:val="none"/>
              </w:rPr>
              <w:t>社会公众或服务对象是指因该项目实施而受到影响的部门（单位）、群体或个人。一般采取社会调查的方式。</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rFonts w:hint="eastAsia"/>
                <w:color w:val="auto"/>
                <w:highlight w:val="none"/>
              </w:rPr>
              <w:t>10</w:t>
            </w:r>
          </w:p>
        </w:tc>
      </w:tr>
      <w:tr>
        <w:tblPrEx>
          <w:tblCellMar>
            <w:top w:w="0" w:type="dxa"/>
            <w:left w:w="108" w:type="dxa"/>
            <w:bottom w:w="0" w:type="dxa"/>
            <w:right w:w="108" w:type="dxa"/>
          </w:tblCellMar>
        </w:tblPrEx>
        <w:trPr>
          <w:trHeight w:val="460" w:hRule="atLeast"/>
        </w:trPr>
        <w:tc>
          <w:tcPr>
            <w:tcW w:w="4368" w:type="pct"/>
            <w:gridSpan w:val="5"/>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合计</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color w:val="auto"/>
                <w:highlight w:val="none"/>
              </w:rPr>
              <w:t>100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highlight w:val="none"/>
              </w:rPr>
            </w:pPr>
            <w:r>
              <w:rPr>
                <w:rFonts w:hint="eastAsia"/>
                <w:color w:val="auto"/>
                <w:highlight w:val="none"/>
                <w:lang w:val="en-US" w:eastAsia="zh-CN"/>
              </w:rPr>
              <w:t>9</w:t>
            </w:r>
            <w:r>
              <w:rPr>
                <w:rFonts w:hint="eastAsia"/>
                <w:color w:val="auto"/>
                <w:highlight w:val="none"/>
              </w:rPr>
              <w:t>0</w:t>
            </w:r>
          </w:p>
        </w:tc>
      </w:tr>
    </w:tbl>
    <w:p>
      <w:pPr>
        <w:ind w:firstLine="640"/>
        <w:rPr>
          <w:color w:val="auto"/>
          <w:highlight w:val="none"/>
        </w:rPr>
      </w:pPr>
    </w:p>
    <w:sectPr>
      <w:pgSz w:w="11906" w:h="16838"/>
      <w:pgMar w:top="567" w:right="1803" w:bottom="567" w:left="1803"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06CB8C-3A5C-4290-BC27-9D013D0703B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A967993-7E64-48DC-8492-944B1D0CD25B}"/>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3" w:fontKey="{DFBF2C88-4DE8-4FB2-8C20-8FA63CA7716A}"/>
  </w:font>
  <w:font w:name="方正仿宋_GBK">
    <w:panose1 w:val="03000509000000000000"/>
    <w:charset w:val="86"/>
    <w:family w:val="script"/>
    <w:pitch w:val="default"/>
    <w:sig w:usb0="00000001" w:usb1="080E0000" w:usb2="00000000" w:usb3="00000000" w:csb0="00040000" w:csb1="00000000"/>
    <w:embedRegular r:id="rId4" w:fontKey="{777692C1-D50E-47C9-A609-C9DC7E6E09B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AD2CD1"/>
    <w:multiLevelType w:val="singleLevel"/>
    <w:tmpl w:val="ECAD2CD1"/>
    <w:lvl w:ilvl="0" w:tentative="0">
      <w:start w:val="4"/>
      <w:numFmt w:val="decimal"/>
      <w:suff w:val="nothing"/>
      <w:lvlText w:val="%1、"/>
      <w:lvlJc w:val="left"/>
    </w:lvl>
  </w:abstractNum>
  <w:abstractNum w:abstractNumId="1">
    <w:nsid w:val="7DF238B0"/>
    <w:multiLevelType w:val="singleLevel"/>
    <w:tmpl w:val="7DF238B0"/>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1B068B6"/>
    <w:rsid w:val="04B83EBA"/>
    <w:rsid w:val="05D63FAD"/>
    <w:rsid w:val="06D92B10"/>
    <w:rsid w:val="06FC0789"/>
    <w:rsid w:val="0C5469CB"/>
    <w:rsid w:val="0C7D249E"/>
    <w:rsid w:val="0CC854B7"/>
    <w:rsid w:val="0CFC50E7"/>
    <w:rsid w:val="0E615C91"/>
    <w:rsid w:val="0EC75A69"/>
    <w:rsid w:val="0F2A6DD4"/>
    <w:rsid w:val="123F1DBA"/>
    <w:rsid w:val="14BE5A22"/>
    <w:rsid w:val="168A2025"/>
    <w:rsid w:val="16F541C7"/>
    <w:rsid w:val="180579A0"/>
    <w:rsid w:val="1AFC58EB"/>
    <w:rsid w:val="1B056B32"/>
    <w:rsid w:val="1D867D27"/>
    <w:rsid w:val="20DF3CB6"/>
    <w:rsid w:val="22002F1A"/>
    <w:rsid w:val="2217066C"/>
    <w:rsid w:val="229D30B0"/>
    <w:rsid w:val="24F84ABC"/>
    <w:rsid w:val="258A4700"/>
    <w:rsid w:val="25BD52F4"/>
    <w:rsid w:val="28CE74FD"/>
    <w:rsid w:val="2ADB64CF"/>
    <w:rsid w:val="2D170966"/>
    <w:rsid w:val="2EDE4EF5"/>
    <w:rsid w:val="2EF35EC8"/>
    <w:rsid w:val="309171FA"/>
    <w:rsid w:val="32B4641F"/>
    <w:rsid w:val="344C0265"/>
    <w:rsid w:val="34C31CC8"/>
    <w:rsid w:val="375F795E"/>
    <w:rsid w:val="391F1A12"/>
    <w:rsid w:val="392C744A"/>
    <w:rsid w:val="397B3E04"/>
    <w:rsid w:val="39AC74F9"/>
    <w:rsid w:val="3A0168D3"/>
    <w:rsid w:val="3A57603B"/>
    <w:rsid w:val="3B457B92"/>
    <w:rsid w:val="3C9009C6"/>
    <w:rsid w:val="3D280B36"/>
    <w:rsid w:val="3FD249E5"/>
    <w:rsid w:val="419E5AFB"/>
    <w:rsid w:val="41EC0D67"/>
    <w:rsid w:val="45297C62"/>
    <w:rsid w:val="469D4A12"/>
    <w:rsid w:val="4759656F"/>
    <w:rsid w:val="491A0401"/>
    <w:rsid w:val="4A931CAD"/>
    <w:rsid w:val="4BFC3821"/>
    <w:rsid w:val="4C0D65C5"/>
    <w:rsid w:val="4F3F3A52"/>
    <w:rsid w:val="4FD42264"/>
    <w:rsid w:val="50B00C42"/>
    <w:rsid w:val="54500362"/>
    <w:rsid w:val="564448B6"/>
    <w:rsid w:val="56D45B12"/>
    <w:rsid w:val="5A98522A"/>
    <w:rsid w:val="5BBB4441"/>
    <w:rsid w:val="5C3274F4"/>
    <w:rsid w:val="5E4E357A"/>
    <w:rsid w:val="5E68756F"/>
    <w:rsid w:val="5FEF65C1"/>
    <w:rsid w:val="608A66C5"/>
    <w:rsid w:val="60D45836"/>
    <w:rsid w:val="618B4BBA"/>
    <w:rsid w:val="629B444C"/>
    <w:rsid w:val="63750765"/>
    <w:rsid w:val="638C111E"/>
    <w:rsid w:val="63D72B3D"/>
    <w:rsid w:val="643E2A9B"/>
    <w:rsid w:val="656C651C"/>
    <w:rsid w:val="665F2AFC"/>
    <w:rsid w:val="680E7A51"/>
    <w:rsid w:val="69937072"/>
    <w:rsid w:val="69F410BB"/>
    <w:rsid w:val="6AE87029"/>
    <w:rsid w:val="6BA3165E"/>
    <w:rsid w:val="6DC4467E"/>
    <w:rsid w:val="6F746FFF"/>
    <w:rsid w:val="6FE92C07"/>
    <w:rsid w:val="702A4113"/>
    <w:rsid w:val="7257787E"/>
    <w:rsid w:val="72A37968"/>
    <w:rsid w:val="72D05C96"/>
    <w:rsid w:val="74135864"/>
    <w:rsid w:val="747B536A"/>
    <w:rsid w:val="7480197B"/>
    <w:rsid w:val="75B07D22"/>
    <w:rsid w:val="7633478D"/>
    <w:rsid w:val="77683CFD"/>
    <w:rsid w:val="7BC93636"/>
    <w:rsid w:val="7C9A1C94"/>
    <w:rsid w:val="7DF460B4"/>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18"/>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6"/>
    <w:qFormat/>
    <w:uiPriority w:val="99"/>
    <w:pPr>
      <w:keepNext/>
      <w:outlineLvl w:val="1"/>
    </w:pPr>
    <w:rPr>
      <w:rFonts w:eastAsia="黑体" w:cs="Times New Roman"/>
      <w:bCs/>
      <w:iCs/>
      <w:szCs w:val="21"/>
    </w:rPr>
  </w:style>
  <w:style w:type="paragraph" w:styleId="2">
    <w:name w:val="heading 3"/>
    <w:basedOn w:val="1"/>
    <w:next w:val="1"/>
    <w:link w:val="17"/>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footer"/>
    <w:basedOn w:val="1"/>
    <w:link w:val="14"/>
    <w:semiHidden/>
    <w:unhideWhenUsed/>
    <w:qFormat/>
    <w:uiPriority w:val="99"/>
    <w:pPr>
      <w:tabs>
        <w:tab w:val="center" w:pos="4153"/>
        <w:tab w:val="right" w:pos="8306"/>
      </w:tabs>
      <w:snapToGrid w:val="0"/>
      <w:jc w:val="left"/>
    </w:pPr>
    <w:rPr>
      <w:sz w:val="18"/>
    </w:rPr>
  </w:style>
  <w:style w:type="paragraph" w:styleId="8">
    <w:name w:val="header"/>
    <w:basedOn w:val="1"/>
    <w:link w:val="1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
    <w:name w:val="表格标题"/>
    <w:basedOn w:val="1"/>
    <w:next w:val="1"/>
    <w:qFormat/>
    <w:uiPriority w:val="0"/>
    <w:pPr>
      <w:keepNext/>
      <w:keepLines/>
      <w:ind w:firstLine="0" w:firstLineChars="0"/>
      <w:jc w:val="center"/>
      <w:outlineLvl w:val="0"/>
    </w:pPr>
    <w:rPr>
      <w:rFonts w:hint="eastAsia"/>
      <w:b/>
      <w:kern w:val="44"/>
    </w:rPr>
  </w:style>
  <w:style w:type="paragraph" w:customStyle="1" w:styleId="13">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14">
    <w:name w:val="页脚 字符"/>
    <w:basedOn w:val="11"/>
    <w:link w:val="7"/>
    <w:semiHidden/>
    <w:qFormat/>
    <w:uiPriority w:val="99"/>
    <w:rPr>
      <w:rFonts w:eastAsia="仿宋_GB2312" w:cstheme="minorBidi"/>
      <w:kern w:val="2"/>
      <w:sz w:val="18"/>
      <w:szCs w:val="22"/>
    </w:rPr>
  </w:style>
  <w:style w:type="character" w:customStyle="1" w:styleId="15">
    <w:name w:val="页眉 字符"/>
    <w:basedOn w:val="11"/>
    <w:link w:val="8"/>
    <w:qFormat/>
    <w:uiPriority w:val="99"/>
    <w:rPr>
      <w:rFonts w:eastAsia="仿宋_GB2312" w:cstheme="minorBidi"/>
      <w:kern w:val="2"/>
      <w:sz w:val="18"/>
      <w:szCs w:val="22"/>
    </w:rPr>
  </w:style>
  <w:style w:type="character" w:customStyle="1" w:styleId="16">
    <w:name w:val="标题 2 字符"/>
    <w:basedOn w:val="11"/>
    <w:link w:val="4"/>
    <w:qFormat/>
    <w:uiPriority w:val="99"/>
    <w:rPr>
      <w:rFonts w:eastAsia="黑体"/>
      <w:bCs/>
      <w:iCs/>
      <w:kern w:val="2"/>
      <w:sz w:val="32"/>
      <w:szCs w:val="21"/>
    </w:rPr>
  </w:style>
  <w:style w:type="character" w:customStyle="1" w:styleId="17">
    <w:name w:val="标题 3 字符"/>
    <w:link w:val="2"/>
    <w:qFormat/>
    <w:uiPriority w:val="9"/>
    <w:rPr>
      <w:rFonts w:eastAsia="楷体_GB2312" w:cstheme="minorBidi"/>
      <w:b/>
      <w:kern w:val="2"/>
      <w:sz w:val="32"/>
      <w:szCs w:val="22"/>
    </w:rPr>
  </w:style>
  <w:style w:type="character" w:customStyle="1" w:styleId="18">
    <w:name w:val="标题 1 字符"/>
    <w:basedOn w:val="11"/>
    <w:link w:val="3"/>
    <w:qFormat/>
    <w:uiPriority w:val="9"/>
    <w:rPr>
      <w:rFonts w:eastAsia="方正小标宋_GBK" w:cstheme="minorBidi"/>
      <w:kern w:val="44"/>
      <w:sz w:val="36"/>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11090</Words>
  <Characters>11567</Characters>
  <Lines>98</Lines>
  <Paragraphs>27</Paragraphs>
  <TotalTime>9</TotalTime>
  <ScaleCrop>false</ScaleCrop>
  <LinksUpToDate>false</LinksUpToDate>
  <CharactersWithSpaces>11589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Administrator</cp:lastModifiedBy>
  <dcterms:modified xsi:type="dcterms:W3CDTF">2024-08-14T04:56:58Z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37B2E5F0384B4122B639227FFD72CD2D_13</vt:lpwstr>
  </property>
</Properties>
</file>