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rPr>
          <w:rFonts w:ascii="CESI宋体-GB2312" w:hAnsi="CESI宋体-GB2312"/>
          <w:color w:val="auto"/>
          <w:highlight w:val="none"/>
        </w:rPr>
      </w:pPr>
    </w:p>
    <w:p>
      <w:pPr>
        <w:bidi w:val="0"/>
        <w:rPr>
          <w:rFonts w:ascii="CESI宋体-GB2312" w:hAnsi="CESI宋体-GB2312"/>
          <w:color w:val="auto"/>
          <w:highlight w:val="none"/>
        </w:rPr>
      </w:pPr>
    </w:p>
    <w:p>
      <w:pPr>
        <w:bidi w:val="0"/>
        <w:rPr>
          <w:rFonts w:ascii="CESI宋体-GB2312" w:hAnsi="CESI宋体-GB2312"/>
          <w:color w:val="auto"/>
          <w:highlight w:val="none"/>
        </w:rPr>
      </w:pPr>
    </w:p>
    <w:p>
      <w:pPr>
        <w:bidi w:val="0"/>
        <w:rPr>
          <w:rFonts w:ascii="CESI宋体-GB2312" w:hAnsi="CESI宋体-GB2312"/>
          <w:color w:val="auto"/>
          <w:highlight w:val="none"/>
        </w:rPr>
      </w:pPr>
    </w:p>
    <w:p>
      <w:pPr>
        <w:bidi w:val="0"/>
        <w:rPr>
          <w:rFonts w:ascii="CESI宋体-GB2312" w:hAnsi="CESI宋体-GB2312"/>
          <w:color w:val="auto"/>
          <w:highlight w:val="none"/>
        </w:rPr>
      </w:pPr>
    </w:p>
    <w:p>
      <w:pPr>
        <w:pStyle w:val="3"/>
        <w:bidi w:val="0"/>
        <w:rPr>
          <w:rFonts w:ascii="CESI宋体-GB2312" w:hAnsi="CESI宋体-GB2312"/>
          <w:color w:val="auto"/>
          <w:sz w:val="44"/>
          <w:szCs w:val="44"/>
          <w:highlight w:val="none"/>
        </w:rPr>
      </w:pPr>
      <w:r>
        <w:rPr>
          <w:rFonts w:ascii="CESI宋体-GB2312" w:hAnsi="CESI宋体-GB2312"/>
          <w:color w:val="auto"/>
          <w:sz w:val="44"/>
          <w:szCs w:val="44"/>
          <w:highlight w:val="none"/>
        </w:rPr>
        <w:t>项目支出绩效评价报告</w:t>
      </w:r>
    </w:p>
    <w:p>
      <w:pPr>
        <w:ind w:firstLine="640"/>
        <w:rPr>
          <w:rFonts w:ascii="CESI宋体-GB2312" w:hAnsi="CESI宋体-GB2312"/>
          <w:color w:val="auto"/>
          <w:highlight w:val="none"/>
        </w:rPr>
      </w:pPr>
    </w:p>
    <w:p>
      <w:pPr>
        <w:ind w:firstLine="640"/>
        <w:rPr>
          <w:rFonts w:ascii="CESI宋体-GB2312" w:hAnsi="CESI宋体-GB2312"/>
          <w:color w:val="auto"/>
          <w:highlight w:val="none"/>
        </w:rPr>
      </w:pPr>
    </w:p>
    <w:p>
      <w:pPr>
        <w:pStyle w:val="13"/>
        <w:bidi w:val="0"/>
        <w:rPr>
          <w:rFonts w:ascii="CESI宋体-GB2312" w:hAnsi="CESI宋体-GB2312"/>
          <w:color w:val="auto"/>
          <w:sz w:val="28"/>
          <w:szCs w:val="28"/>
          <w:highlight w:val="none"/>
        </w:rPr>
      </w:pPr>
      <w:r>
        <w:rPr>
          <w:rFonts w:ascii="CESI宋体-GB2312" w:hAnsi="CESI宋体-GB2312"/>
          <w:color w:val="auto"/>
          <w:sz w:val="28"/>
          <w:szCs w:val="28"/>
          <w:highlight w:val="none"/>
        </w:rPr>
        <w:t>（202</w:t>
      </w:r>
      <w:r>
        <w:rPr>
          <w:rFonts w:hint="eastAsia" w:ascii="CESI宋体-GB2312" w:hAnsi="CESI宋体-GB2312"/>
          <w:color w:val="auto"/>
          <w:sz w:val="28"/>
          <w:szCs w:val="28"/>
          <w:highlight w:val="none"/>
          <w:lang w:val="en-US" w:eastAsia="zh-CN"/>
        </w:rPr>
        <w:t>3</w:t>
      </w:r>
      <w:r>
        <w:rPr>
          <w:rFonts w:ascii="CESI宋体-GB2312" w:hAnsi="CESI宋体-GB2312"/>
          <w:color w:val="auto"/>
          <w:sz w:val="28"/>
          <w:szCs w:val="28"/>
          <w:highlight w:val="none"/>
        </w:rPr>
        <w:t>年度）</w:t>
      </w:r>
    </w:p>
    <w:p>
      <w:pPr>
        <w:ind w:firstLine="640"/>
        <w:rPr>
          <w:rFonts w:ascii="CESI宋体-GB2312" w:hAnsi="CESI宋体-GB2312"/>
          <w:color w:val="auto"/>
          <w:highlight w:val="none"/>
        </w:rPr>
      </w:pPr>
    </w:p>
    <w:p>
      <w:pPr>
        <w:ind w:firstLine="640"/>
        <w:rPr>
          <w:rFonts w:ascii="CESI宋体-GB2312" w:hAnsi="CESI宋体-GB2312"/>
          <w:color w:val="auto"/>
          <w:highlight w:val="none"/>
        </w:rPr>
      </w:pPr>
    </w:p>
    <w:p>
      <w:pPr>
        <w:ind w:firstLine="640"/>
        <w:rPr>
          <w:rFonts w:ascii="CESI宋体-GB2312" w:hAnsi="CESI宋体-GB2312"/>
          <w:color w:val="auto"/>
          <w:highlight w:val="none"/>
        </w:rPr>
      </w:pPr>
    </w:p>
    <w:p>
      <w:pPr>
        <w:bidi w:val="0"/>
        <w:rPr>
          <w:rFonts w:ascii="CESI宋体-GB2312" w:hAnsi="CESI宋体-GB2312"/>
          <w:color w:val="auto"/>
          <w:highlight w:val="none"/>
        </w:rPr>
      </w:pPr>
    </w:p>
    <w:p>
      <w:pPr>
        <w:bidi w:val="0"/>
        <w:rPr>
          <w:rFonts w:ascii="CESI宋体-GB2312" w:hAnsi="CESI宋体-GB2312"/>
          <w:color w:val="auto"/>
          <w:highlight w:val="none"/>
        </w:rPr>
      </w:pPr>
    </w:p>
    <w:p>
      <w:pPr>
        <w:bidi w:val="0"/>
        <w:rPr>
          <w:rFonts w:hint="eastAsia" w:ascii="CESI宋体-GB2312" w:hAnsi="CESI宋体-GB2312"/>
          <w:color w:val="auto"/>
          <w:highlight w:val="none"/>
          <w:lang w:eastAsia="zh-CN"/>
        </w:rPr>
      </w:pPr>
      <w:r>
        <w:rPr>
          <w:rFonts w:ascii="CESI宋体-GB2312" w:hAnsi="CESI宋体-GB2312"/>
          <w:color w:val="auto"/>
          <w:highlight w:val="none"/>
        </w:rPr>
        <w:t>项目名称：</w:t>
      </w:r>
      <w:r>
        <w:rPr>
          <w:rFonts w:hint="eastAsia" w:ascii="CESI宋体-GB2312" w:hAnsi="CESI宋体-GB2312"/>
          <w:color w:val="auto"/>
          <w:highlight w:val="none"/>
          <w:lang w:eastAsia="zh-CN"/>
        </w:rPr>
        <w:t>2023年农业保险保费补贴资金（县级配套）</w:t>
      </w:r>
    </w:p>
    <w:p>
      <w:pPr>
        <w:bidi w:val="0"/>
        <w:rPr>
          <w:rFonts w:hint="eastAsia" w:ascii="CESI宋体-GB2312" w:hAnsi="CESI宋体-GB2312"/>
          <w:color w:val="auto"/>
          <w:highlight w:val="none"/>
          <w:lang w:eastAsia="zh-CN"/>
        </w:rPr>
      </w:pPr>
      <w:r>
        <w:rPr>
          <w:rFonts w:ascii="CESI宋体-GB2312" w:hAnsi="CESI宋体-GB2312"/>
          <w:color w:val="auto"/>
          <w:highlight w:val="none"/>
        </w:rPr>
        <w:t>实施单位（公章）：</w:t>
      </w:r>
      <w:r>
        <w:rPr>
          <w:rFonts w:hint="eastAsia" w:ascii="CESI宋体-GB2312" w:hAnsi="CESI宋体-GB2312"/>
          <w:color w:val="auto"/>
          <w:highlight w:val="none"/>
          <w:lang w:eastAsia="zh-CN"/>
        </w:rPr>
        <w:t>尉犁县农业农村局（畜牧兽医局）</w:t>
      </w:r>
    </w:p>
    <w:p>
      <w:pPr>
        <w:ind w:firstLine="640"/>
        <w:rPr>
          <w:rFonts w:ascii="CESI宋体-GB2312" w:hAnsi="CESI宋体-GB2312" w:cs="Times New Roman"/>
          <w:color w:val="auto"/>
          <w:highlight w:val="none"/>
        </w:rPr>
      </w:pPr>
      <w:r>
        <w:rPr>
          <w:rFonts w:ascii="CESI宋体-GB2312" w:hAnsi="CESI宋体-GB2312"/>
          <w:color w:val="auto"/>
          <w:highlight w:val="none"/>
        </w:rPr>
        <w:t>主管部门（公章）：</w:t>
      </w:r>
      <w:r>
        <w:rPr>
          <w:rFonts w:hint="eastAsia" w:ascii="CESI宋体-GB2312" w:hAnsi="CESI宋体-GB2312"/>
          <w:color w:val="auto"/>
          <w:highlight w:val="none"/>
          <w:lang w:eastAsia="zh-CN"/>
        </w:rPr>
        <w:t>尉犁县农业农村局（畜牧兽医局）</w:t>
      </w:r>
    </w:p>
    <w:p>
      <w:pPr>
        <w:ind w:firstLine="640"/>
        <w:rPr>
          <w:rFonts w:ascii="CESI宋体-GB2312" w:hAnsi="CESI宋体-GB2312"/>
          <w:color w:val="auto"/>
          <w:highlight w:val="none"/>
        </w:rPr>
      </w:pPr>
      <w:r>
        <w:rPr>
          <w:rFonts w:ascii="CESI宋体-GB2312" w:hAnsi="CESI宋体-GB2312"/>
          <w:color w:val="auto"/>
          <w:highlight w:val="none"/>
        </w:rPr>
        <w:t>项目负责人（签章）：</w:t>
      </w:r>
      <w:r>
        <w:rPr>
          <w:rFonts w:ascii="CESI宋体-GB2312" w:hAnsi="CESI宋体-GB2312" w:cs="Times New Roman"/>
          <w:color w:val="auto"/>
          <w:highlight w:val="none"/>
        </w:rPr>
        <w:t>亚森·克衣木</w:t>
      </w:r>
    </w:p>
    <w:p>
      <w:pPr>
        <w:bidi w:val="0"/>
        <w:rPr>
          <w:rFonts w:ascii="CESI宋体-GB2312" w:hAnsi="CESI宋体-GB2312"/>
          <w:color w:val="auto"/>
          <w:highlight w:val="none"/>
        </w:rPr>
      </w:pPr>
      <w:r>
        <w:rPr>
          <w:rFonts w:ascii="CESI宋体-GB2312" w:hAnsi="CESI宋体-GB2312"/>
          <w:color w:val="auto"/>
          <w:highlight w:val="none"/>
        </w:rPr>
        <w:t>填报时间：</w:t>
      </w:r>
      <w:r>
        <w:rPr>
          <w:rFonts w:hint="eastAsia" w:ascii="CESI宋体-GB2312" w:hAnsi="CESI宋体-GB2312"/>
          <w:color w:val="auto"/>
          <w:highlight w:val="none"/>
          <w:lang w:val="en-US" w:eastAsia="zh-CN"/>
        </w:rPr>
        <w:t>2024</w:t>
      </w:r>
      <w:r>
        <w:rPr>
          <w:rFonts w:ascii="CESI宋体-GB2312" w:hAnsi="CESI宋体-GB2312"/>
          <w:color w:val="auto"/>
          <w:highlight w:val="none"/>
        </w:rPr>
        <w:t>年</w:t>
      </w:r>
      <w:r>
        <w:rPr>
          <w:rFonts w:hint="eastAsia" w:ascii="CESI宋体-GB2312" w:hAnsi="CESI宋体-GB2312"/>
          <w:color w:val="auto"/>
          <w:highlight w:val="none"/>
          <w:lang w:val="en-US" w:eastAsia="zh-CN"/>
        </w:rPr>
        <w:t>3</w:t>
      </w:r>
      <w:r>
        <w:rPr>
          <w:rFonts w:ascii="CESI宋体-GB2312" w:hAnsi="CESI宋体-GB2312"/>
          <w:color w:val="auto"/>
          <w:highlight w:val="none"/>
        </w:rPr>
        <w:t>月</w:t>
      </w:r>
      <w:r>
        <w:rPr>
          <w:rFonts w:hint="eastAsia" w:ascii="CESI宋体-GB2312" w:hAnsi="CESI宋体-GB2312"/>
          <w:color w:val="auto"/>
          <w:highlight w:val="none"/>
          <w:lang w:val="en-US" w:eastAsia="zh-CN"/>
        </w:rPr>
        <w:t>14</w:t>
      </w:r>
      <w:r>
        <w:rPr>
          <w:rFonts w:ascii="CESI宋体-GB2312" w:hAnsi="CESI宋体-GB2312"/>
          <w:color w:val="auto"/>
          <w:highlight w:val="none"/>
        </w:rPr>
        <w:t>日</w:t>
      </w:r>
    </w:p>
    <w:p>
      <w:pPr>
        <w:ind w:firstLine="620"/>
        <w:rPr>
          <w:rFonts w:ascii="CESI宋体-GB2312" w:hAnsi="CESI宋体-GB2312" w:eastAsia="方正仿宋_GBK"/>
          <w:color w:val="auto"/>
          <w:sz w:val="31"/>
          <w:szCs w:val="31"/>
          <w:highlight w:val="none"/>
        </w:rPr>
      </w:pPr>
      <w:r>
        <w:rPr>
          <w:rFonts w:ascii="CESI宋体-GB2312" w:hAnsi="CESI宋体-GB2312" w:eastAsia="方正仿宋_GBK"/>
          <w:color w:val="auto"/>
          <w:sz w:val="31"/>
          <w:szCs w:val="31"/>
          <w:highlight w:val="none"/>
        </w:rPr>
        <w:br w:type="page"/>
      </w:r>
    </w:p>
    <w:p>
      <w:pPr>
        <w:ind w:firstLine="883"/>
        <w:jc w:val="center"/>
        <w:rPr>
          <w:rFonts w:ascii="CESI宋体-GB2312" w:hAnsi="CESI宋体-GB2312"/>
          <w:b/>
          <w:bCs/>
          <w:color w:val="auto"/>
          <w:sz w:val="44"/>
          <w:szCs w:val="44"/>
          <w:highlight w:val="none"/>
        </w:rPr>
      </w:pPr>
      <w:r>
        <w:rPr>
          <w:rFonts w:ascii="CESI宋体-GB2312" w:hAnsi="CESI宋体-GB2312"/>
          <w:b/>
          <w:bCs/>
          <w:color w:val="auto"/>
          <w:sz w:val="44"/>
          <w:szCs w:val="44"/>
          <w:highlight w:val="none"/>
        </w:rPr>
        <w:t>目  录</w:t>
      </w:r>
    </w:p>
    <w:p>
      <w:pPr>
        <w:ind w:firstLine="640"/>
        <w:rPr>
          <w:rFonts w:ascii="CESI宋体-GB2312" w:hAnsi="CESI宋体-GB2312"/>
          <w:color w:val="auto"/>
          <w:highlight w:val="none"/>
        </w:rPr>
      </w:pPr>
    </w:p>
    <w:p>
      <w:pPr>
        <w:tabs>
          <w:tab w:val="right" w:leader="dot" w:pos="8306"/>
        </w:tabs>
        <w:ind w:firstLine="883"/>
        <w:rPr>
          <w:rFonts w:ascii="CESI宋体-GB2312" w:hAnsi="CESI宋体-GB2312"/>
          <w:color w:val="auto"/>
          <w:highlight w:val="none"/>
        </w:rPr>
      </w:pPr>
      <w:r>
        <w:rPr>
          <w:rFonts w:ascii="CESI宋体-GB2312" w:hAnsi="CESI宋体-GB2312" w:eastAsia="黑体"/>
          <w:b/>
          <w:bCs/>
          <w:color w:val="auto"/>
          <w:sz w:val="44"/>
          <w:szCs w:val="44"/>
          <w:highlight w:val="none"/>
        </w:rPr>
        <w:fldChar w:fldCharType="begin"/>
      </w:r>
      <w:r>
        <w:rPr>
          <w:rFonts w:ascii="CESI宋体-GB2312" w:hAnsi="CESI宋体-GB2312" w:eastAsia="黑体"/>
          <w:b/>
          <w:bCs/>
          <w:color w:val="auto"/>
          <w:sz w:val="44"/>
          <w:szCs w:val="44"/>
          <w:highlight w:val="none"/>
        </w:rPr>
        <w:instrText xml:space="preserve">TOC \o "1-2" \h \u </w:instrText>
      </w:r>
      <w:r>
        <w:rPr>
          <w:rFonts w:ascii="CESI宋体-GB2312" w:hAnsi="CESI宋体-GB2312" w:eastAsia="黑体"/>
          <w:b/>
          <w:bCs/>
          <w:color w:val="auto"/>
          <w:sz w:val="44"/>
          <w:szCs w:val="44"/>
          <w:highlight w:val="none"/>
        </w:rPr>
        <w:fldChar w:fldCharType="separate"/>
      </w:r>
      <w:r>
        <w:rPr>
          <w:rFonts w:ascii="CESI宋体-GB2312" w:hAnsi="CESI宋体-GB2312"/>
          <w:color w:val="auto"/>
          <w:highlight w:val="none"/>
        </w:rPr>
        <w:fldChar w:fldCharType="begin"/>
      </w:r>
      <w:r>
        <w:rPr>
          <w:rFonts w:ascii="CESI宋体-GB2312" w:hAnsi="CESI宋体-GB2312"/>
          <w:color w:val="auto"/>
          <w:highlight w:val="none"/>
        </w:rPr>
        <w:instrText xml:space="preserve"> HYPERLINK \l "_Toc25620" </w:instrText>
      </w:r>
      <w:r>
        <w:rPr>
          <w:rFonts w:ascii="CESI宋体-GB2312" w:hAnsi="CESI宋体-GB2312"/>
          <w:color w:val="auto"/>
          <w:highlight w:val="none"/>
        </w:rPr>
        <w:fldChar w:fldCharType="separate"/>
      </w:r>
      <w:r>
        <w:rPr>
          <w:rFonts w:ascii="CESI宋体-GB2312" w:hAnsi="CESI宋体-GB2312"/>
          <w:color w:val="auto"/>
          <w:highlight w:val="none"/>
        </w:rPr>
        <w:t>一、基本情况</w:t>
      </w:r>
      <w:r>
        <w:rPr>
          <w:rFonts w:ascii="CESI宋体-GB2312" w:hAnsi="CESI宋体-GB2312"/>
          <w:color w:val="auto"/>
          <w:highlight w:val="none"/>
        </w:rPr>
        <w:tab/>
      </w:r>
      <w:r>
        <w:rPr>
          <w:rFonts w:ascii="CESI宋体-GB2312" w:hAnsi="CESI宋体-GB2312"/>
          <w:color w:val="auto"/>
          <w:highlight w:val="none"/>
        </w:rPr>
        <w:fldChar w:fldCharType="begin"/>
      </w:r>
      <w:r>
        <w:rPr>
          <w:rFonts w:ascii="CESI宋体-GB2312" w:hAnsi="CESI宋体-GB2312"/>
          <w:color w:val="auto"/>
          <w:highlight w:val="none"/>
        </w:rPr>
        <w:instrText xml:space="preserve"> PAGEREF _Toc25620 \h </w:instrText>
      </w:r>
      <w:r>
        <w:rPr>
          <w:rFonts w:ascii="CESI宋体-GB2312" w:hAnsi="CESI宋体-GB2312"/>
          <w:color w:val="auto"/>
          <w:highlight w:val="none"/>
        </w:rPr>
        <w:fldChar w:fldCharType="separate"/>
      </w:r>
      <w:r>
        <w:rPr>
          <w:rFonts w:ascii="CESI宋体-GB2312" w:hAnsi="CESI宋体-GB2312"/>
          <w:color w:val="auto"/>
          <w:highlight w:val="none"/>
        </w:rPr>
        <w:t>1</w:t>
      </w:r>
      <w:r>
        <w:rPr>
          <w:rFonts w:ascii="CESI宋体-GB2312" w:hAnsi="CESI宋体-GB2312"/>
          <w:color w:val="auto"/>
          <w:highlight w:val="none"/>
        </w:rPr>
        <w:fldChar w:fldCharType="end"/>
      </w:r>
      <w:r>
        <w:rPr>
          <w:rFonts w:ascii="CESI宋体-GB2312" w:hAnsi="CESI宋体-GB2312"/>
          <w:color w:val="auto"/>
          <w:highlight w:val="none"/>
        </w:rPr>
        <w:fldChar w:fldCharType="end"/>
      </w:r>
    </w:p>
    <w:p>
      <w:pPr>
        <w:tabs>
          <w:tab w:val="right" w:leader="dot" w:pos="8306"/>
        </w:tabs>
        <w:ind w:left="640" w:firstLine="640"/>
        <w:rPr>
          <w:rFonts w:ascii="CESI宋体-GB2312" w:hAnsi="CESI宋体-GB2312"/>
          <w:color w:val="auto"/>
          <w:highlight w:val="none"/>
        </w:rPr>
      </w:pPr>
      <w:r>
        <w:rPr>
          <w:rFonts w:ascii="CESI宋体-GB2312" w:hAnsi="CESI宋体-GB2312"/>
          <w:color w:val="auto"/>
          <w:highlight w:val="none"/>
        </w:rPr>
        <w:fldChar w:fldCharType="begin"/>
      </w:r>
      <w:r>
        <w:rPr>
          <w:rFonts w:ascii="CESI宋体-GB2312" w:hAnsi="CESI宋体-GB2312"/>
          <w:color w:val="auto"/>
          <w:highlight w:val="none"/>
        </w:rPr>
        <w:instrText xml:space="preserve"> HYPERLINK \l "_Toc8971" </w:instrText>
      </w:r>
      <w:r>
        <w:rPr>
          <w:rFonts w:ascii="CESI宋体-GB2312" w:hAnsi="CESI宋体-GB2312"/>
          <w:color w:val="auto"/>
          <w:highlight w:val="none"/>
        </w:rPr>
        <w:fldChar w:fldCharType="separate"/>
      </w:r>
      <w:r>
        <w:rPr>
          <w:rFonts w:ascii="CESI宋体-GB2312" w:hAnsi="CESI宋体-GB2312"/>
          <w:color w:val="auto"/>
          <w:highlight w:val="none"/>
        </w:rPr>
        <w:t>（一）项目概况</w:t>
      </w:r>
      <w:r>
        <w:rPr>
          <w:rFonts w:ascii="CESI宋体-GB2312" w:hAnsi="CESI宋体-GB2312"/>
          <w:color w:val="auto"/>
          <w:highlight w:val="none"/>
        </w:rPr>
        <w:tab/>
      </w:r>
      <w:r>
        <w:rPr>
          <w:rFonts w:ascii="CESI宋体-GB2312" w:hAnsi="CESI宋体-GB2312"/>
          <w:color w:val="auto"/>
          <w:highlight w:val="none"/>
        </w:rPr>
        <w:fldChar w:fldCharType="begin"/>
      </w:r>
      <w:r>
        <w:rPr>
          <w:rFonts w:ascii="CESI宋体-GB2312" w:hAnsi="CESI宋体-GB2312"/>
          <w:color w:val="auto"/>
          <w:highlight w:val="none"/>
        </w:rPr>
        <w:instrText xml:space="preserve"> PAGEREF _Toc8971 \h </w:instrText>
      </w:r>
      <w:r>
        <w:rPr>
          <w:rFonts w:ascii="CESI宋体-GB2312" w:hAnsi="CESI宋体-GB2312"/>
          <w:color w:val="auto"/>
          <w:highlight w:val="none"/>
        </w:rPr>
        <w:fldChar w:fldCharType="separate"/>
      </w:r>
      <w:r>
        <w:rPr>
          <w:rFonts w:ascii="CESI宋体-GB2312" w:hAnsi="CESI宋体-GB2312"/>
          <w:color w:val="auto"/>
          <w:highlight w:val="none"/>
        </w:rPr>
        <w:t>1</w:t>
      </w:r>
      <w:r>
        <w:rPr>
          <w:rFonts w:ascii="CESI宋体-GB2312" w:hAnsi="CESI宋体-GB2312"/>
          <w:color w:val="auto"/>
          <w:highlight w:val="none"/>
        </w:rPr>
        <w:fldChar w:fldCharType="end"/>
      </w:r>
      <w:r>
        <w:rPr>
          <w:rFonts w:ascii="CESI宋体-GB2312" w:hAnsi="CESI宋体-GB2312"/>
          <w:color w:val="auto"/>
          <w:highlight w:val="none"/>
        </w:rPr>
        <w:fldChar w:fldCharType="end"/>
      </w:r>
    </w:p>
    <w:p>
      <w:pPr>
        <w:tabs>
          <w:tab w:val="right" w:leader="dot" w:pos="8306"/>
        </w:tabs>
        <w:ind w:left="640" w:firstLine="640"/>
        <w:rPr>
          <w:rFonts w:ascii="CESI宋体-GB2312" w:hAnsi="CESI宋体-GB2312"/>
          <w:color w:val="auto"/>
          <w:highlight w:val="none"/>
        </w:rPr>
      </w:pPr>
      <w:r>
        <w:rPr>
          <w:rFonts w:ascii="CESI宋体-GB2312" w:hAnsi="CESI宋体-GB2312"/>
          <w:color w:val="auto"/>
          <w:highlight w:val="none"/>
        </w:rPr>
        <w:fldChar w:fldCharType="begin"/>
      </w:r>
      <w:r>
        <w:rPr>
          <w:rFonts w:ascii="CESI宋体-GB2312" w:hAnsi="CESI宋体-GB2312"/>
          <w:color w:val="auto"/>
          <w:highlight w:val="none"/>
        </w:rPr>
        <w:instrText xml:space="preserve"> HYPERLINK \l "_Toc25187" </w:instrText>
      </w:r>
      <w:r>
        <w:rPr>
          <w:rFonts w:ascii="CESI宋体-GB2312" w:hAnsi="CESI宋体-GB2312"/>
          <w:color w:val="auto"/>
          <w:highlight w:val="none"/>
        </w:rPr>
        <w:fldChar w:fldCharType="separate"/>
      </w:r>
      <w:r>
        <w:rPr>
          <w:rFonts w:ascii="CESI宋体-GB2312" w:hAnsi="CESI宋体-GB2312"/>
          <w:color w:val="auto"/>
          <w:highlight w:val="none"/>
        </w:rPr>
        <w:t>（二）项目绩效目标</w:t>
      </w:r>
      <w:r>
        <w:rPr>
          <w:rFonts w:ascii="CESI宋体-GB2312" w:hAnsi="CESI宋体-GB2312"/>
          <w:color w:val="auto"/>
          <w:highlight w:val="none"/>
        </w:rPr>
        <w:tab/>
      </w:r>
      <w:r>
        <w:rPr>
          <w:rFonts w:ascii="CESI宋体-GB2312" w:hAnsi="CESI宋体-GB2312"/>
          <w:color w:val="auto"/>
          <w:highlight w:val="none"/>
        </w:rPr>
        <w:fldChar w:fldCharType="begin"/>
      </w:r>
      <w:r>
        <w:rPr>
          <w:rFonts w:ascii="CESI宋体-GB2312" w:hAnsi="CESI宋体-GB2312"/>
          <w:color w:val="auto"/>
          <w:highlight w:val="none"/>
        </w:rPr>
        <w:instrText xml:space="preserve"> PAGEREF _Toc25187 \h </w:instrText>
      </w:r>
      <w:r>
        <w:rPr>
          <w:rFonts w:ascii="CESI宋体-GB2312" w:hAnsi="CESI宋体-GB2312"/>
          <w:color w:val="auto"/>
          <w:highlight w:val="none"/>
        </w:rPr>
        <w:fldChar w:fldCharType="separate"/>
      </w:r>
      <w:r>
        <w:rPr>
          <w:rFonts w:ascii="CESI宋体-GB2312" w:hAnsi="CESI宋体-GB2312"/>
          <w:color w:val="auto"/>
          <w:highlight w:val="none"/>
        </w:rPr>
        <w:t>3</w:t>
      </w:r>
      <w:r>
        <w:rPr>
          <w:rFonts w:ascii="CESI宋体-GB2312" w:hAnsi="CESI宋体-GB2312"/>
          <w:color w:val="auto"/>
          <w:highlight w:val="none"/>
        </w:rPr>
        <w:fldChar w:fldCharType="end"/>
      </w:r>
      <w:r>
        <w:rPr>
          <w:rFonts w:ascii="CESI宋体-GB2312" w:hAnsi="CESI宋体-GB2312"/>
          <w:color w:val="auto"/>
          <w:highlight w:val="none"/>
        </w:rPr>
        <w:fldChar w:fldCharType="end"/>
      </w:r>
    </w:p>
    <w:p>
      <w:pPr>
        <w:tabs>
          <w:tab w:val="right" w:leader="dot" w:pos="8306"/>
        </w:tabs>
        <w:ind w:firstLine="640"/>
        <w:rPr>
          <w:rFonts w:ascii="CESI宋体-GB2312" w:hAnsi="CESI宋体-GB2312"/>
          <w:color w:val="auto"/>
          <w:highlight w:val="none"/>
        </w:rPr>
      </w:pPr>
      <w:r>
        <w:rPr>
          <w:rFonts w:ascii="CESI宋体-GB2312" w:hAnsi="CESI宋体-GB2312"/>
          <w:color w:val="auto"/>
          <w:highlight w:val="none"/>
        </w:rPr>
        <w:fldChar w:fldCharType="begin"/>
      </w:r>
      <w:r>
        <w:rPr>
          <w:rFonts w:ascii="CESI宋体-GB2312" w:hAnsi="CESI宋体-GB2312"/>
          <w:color w:val="auto"/>
          <w:highlight w:val="none"/>
        </w:rPr>
        <w:instrText xml:space="preserve"> HYPERLINK \l "_Toc28824" </w:instrText>
      </w:r>
      <w:r>
        <w:rPr>
          <w:rFonts w:ascii="CESI宋体-GB2312" w:hAnsi="CESI宋体-GB2312"/>
          <w:color w:val="auto"/>
          <w:highlight w:val="none"/>
        </w:rPr>
        <w:fldChar w:fldCharType="separate"/>
      </w:r>
      <w:r>
        <w:rPr>
          <w:rFonts w:hint="eastAsia" w:ascii="CESI宋体-GB2312" w:hAnsi="CESI宋体-GB2312"/>
          <w:color w:val="auto"/>
          <w:highlight w:val="none"/>
        </w:rPr>
        <w:t>二、绩效评价工作开展情况</w:t>
      </w:r>
      <w:r>
        <w:rPr>
          <w:rFonts w:ascii="CESI宋体-GB2312" w:hAnsi="CESI宋体-GB2312"/>
          <w:color w:val="auto"/>
          <w:highlight w:val="none"/>
        </w:rPr>
        <w:tab/>
      </w:r>
      <w:r>
        <w:rPr>
          <w:rFonts w:ascii="CESI宋体-GB2312" w:hAnsi="CESI宋体-GB2312"/>
          <w:color w:val="auto"/>
          <w:highlight w:val="none"/>
        </w:rPr>
        <w:fldChar w:fldCharType="begin"/>
      </w:r>
      <w:r>
        <w:rPr>
          <w:rFonts w:ascii="CESI宋体-GB2312" w:hAnsi="CESI宋体-GB2312"/>
          <w:color w:val="auto"/>
          <w:highlight w:val="none"/>
        </w:rPr>
        <w:instrText xml:space="preserve"> PAGEREF _Toc28824 \h </w:instrText>
      </w:r>
      <w:r>
        <w:rPr>
          <w:rFonts w:ascii="CESI宋体-GB2312" w:hAnsi="CESI宋体-GB2312"/>
          <w:color w:val="auto"/>
          <w:highlight w:val="none"/>
        </w:rPr>
        <w:fldChar w:fldCharType="separate"/>
      </w:r>
      <w:r>
        <w:rPr>
          <w:rFonts w:ascii="CESI宋体-GB2312" w:hAnsi="CESI宋体-GB2312"/>
          <w:color w:val="auto"/>
          <w:highlight w:val="none"/>
        </w:rPr>
        <w:t>4</w:t>
      </w:r>
      <w:r>
        <w:rPr>
          <w:rFonts w:ascii="CESI宋体-GB2312" w:hAnsi="CESI宋体-GB2312"/>
          <w:color w:val="auto"/>
          <w:highlight w:val="none"/>
        </w:rPr>
        <w:fldChar w:fldCharType="end"/>
      </w:r>
      <w:r>
        <w:rPr>
          <w:rFonts w:ascii="CESI宋体-GB2312" w:hAnsi="CESI宋体-GB2312"/>
          <w:color w:val="auto"/>
          <w:highlight w:val="none"/>
        </w:rPr>
        <w:fldChar w:fldCharType="end"/>
      </w:r>
    </w:p>
    <w:p>
      <w:pPr>
        <w:tabs>
          <w:tab w:val="right" w:leader="dot" w:pos="8306"/>
        </w:tabs>
        <w:ind w:left="640" w:firstLine="640"/>
        <w:rPr>
          <w:rFonts w:ascii="CESI宋体-GB2312" w:hAnsi="CESI宋体-GB2312"/>
          <w:color w:val="auto"/>
          <w:highlight w:val="none"/>
        </w:rPr>
      </w:pPr>
      <w:r>
        <w:rPr>
          <w:rFonts w:ascii="CESI宋体-GB2312" w:hAnsi="CESI宋体-GB2312"/>
          <w:color w:val="auto"/>
          <w:highlight w:val="none"/>
        </w:rPr>
        <w:fldChar w:fldCharType="begin"/>
      </w:r>
      <w:r>
        <w:rPr>
          <w:rFonts w:ascii="CESI宋体-GB2312" w:hAnsi="CESI宋体-GB2312"/>
          <w:color w:val="auto"/>
          <w:highlight w:val="none"/>
        </w:rPr>
        <w:instrText xml:space="preserve"> HYPERLINK \l "_Toc24175" </w:instrText>
      </w:r>
      <w:r>
        <w:rPr>
          <w:rFonts w:ascii="CESI宋体-GB2312" w:hAnsi="CESI宋体-GB2312"/>
          <w:color w:val="auto"/>
          <w:highlight w:val="none"/>
        </w:rPr>
        <w:fldChar w:fldCharType="separate"/>
      </w:r>
      <w:r>
        <w:rPr>
          <w:rFonts w:hint="eastAsia" w:ascii="CESI宋体-GB2312" w:hAnsi="CESI宋体-GB2312"/>
          <w:color w:val="auto"/>
          <w:highlight w:val="none"/>
        </w:rPr>
        <w:t>（一）绩效评价目的、对象和范围</w:t>
      </w:r>
      <w:r>
        <w:rPr>
          <w:rFonts w:ascii="CESI宋体-GB2312" w:hAnsi="CESI宋体-GB2312"/>
          <w:color w:val="auto"/>
          <w:highlight w:val="none"/>
        </w:rPr>
        <w:tab/>
      </w:r>
      <w:r>
        <w:rPr>
          <w:rFonts w:ascii="CESI宋体-GB2312" w:hAnsi="CESI宋体-GB2312"/>
          <w:color w:val="auto"/>
          <w:highlight w:val="none"/>
        </w:rPr>
        <w:fldChar w:fldCharType="begin"/>
      </w:r>
      <w:r>
        <w:rPr>
          <w:rFonts w:ascii="CESI宋体-GB2312" w:hAnsi="CESI宋体-GB2312"/>
          <w:color w:val="auto"/>
          <w:highlight w:val="none"/>
        </w:rPr>
        <w:instrText xml:space="preserve"> PAGEREF _Toc24175 \h </w:instrText>
      </w:r>
      <w:r>
        <w:rPr>
          <w:rFonts w:ascii="CESI宋体-GB2312" w:hAnsi="CESI宋体-GB2312"/>
          <w:color w:val="auto"/>
          <w:highlight w:val="none"/>
        </w:rPr>
        <w:fldChar w:fldCharType="separate"/>
      </w:r>
      <w:r>
        <w:rPr>
          <w:rFonts w:ascii="CESI宋体-GB2312" w:hAnsi="CESI宋体-GB2312"/>
          <w:color w:val="auto"/>
          <w:highlight w:val="none"/>
        </w:rPr>
        <w:t>4</w:t>
      </w:r>
      <w:r>
        <w:rPr>
          <w:rFonts w:ascii="CESI宋体-GB2312" w:hAnsi="CESI宋体-GB2312"/>
          <w:color w:val="auto"/>
          <w:highlight w:val="none"/>
        </w:rPr>
        <w:fldChar w:fldCharType="end"/>
      </w:r>
      <w:r>
        <w:rPr>
          <w:rFonts w:ascii="CESI宋体-GB2312" w:hAnsi="CESI宋体-GB2312"/>
          <w:color w:val="auto"/>
          <w:highlight w:val="none"/>
        </w:rPr>
        <w:fldChar w:fldCharType="end"/>
      </w:r>
    </w:p>
    <w:p>
      <w:pPr>
        <w:tabs>
          <w:tab w:val="right" w:leader="dot" w:pos="8306"/>
        </w:tabs>
        <w:ind w:left="640" w:firstLine="640"/>
        <w:rPr>
          <w:rFonts w:ascii="CESI宋体-GB2312" w:hAnsi="CESI宋体-GB2312"/>
          <w:color w:val="auto"/>
          <w:highlight w:val="none"/>
        </w:rPr>
      </w:pPr>
      <w:r>
        <w:rPr>
          <w:rFonts w:ascii="CESI宋体-GB2312" w:hAnsi="CESI宋体-GB2312"/>
          <w:color w:val="auto"/>
          <w:highlight w:val="none"/>
        </w:rPr>
        <w:fldChar w:fldCharType="begin"/>
      </w:r>
      <w:r>
        <w:rPr>
          <w:rFonts w:ascii="CESI宋体-GB2312" w:hAnsi="CESI宋体-GB2312"/>
          <w:color w:val="auto"/>
          <w:highlight w:val="none"/>
        </w:rPr>
        <w:instrText xml:space="preserve"> HYPERLINK \l "_Toc5109" </w:instrText>
      </w:r>
      <w:r>
        <w:rPr>
          <w:rFonts w:ascii="CESI宋体-GB2312" w:hAnsi="CESI宋体-GB2312"/>
          <w:color w:val="auto"/>
          <w:highlight w:val="none"/>
        </w:rPr>
        <w:fldChar w:fldCharType="separate"/>
      </w:r>
      <w:r>
        <w:rPr>
          <w:rFonts w:hint="eastAsia" w:ascii="CESI宋体-GB2312" w:hAnsi="CESI宋体-GB2312"/>
          <w:color w:val="auto"/>
          <w:highlight w:val="none"/>
        </w:rPr>
        <w:t>（二）绩效评价原则、评价指标体系、评价方法、评价标准</w:t>
      </w:r>
      <w:r>
        <w:rPr>
          <w:rFonts w:ascii="CESI宋体-GB2312" w:hAnsi="CESI宋体-GB2312"/>
          <w:color w:val="auto"/>
          <w:highlight w:val="none"/>
        </w:rPr>
        <w:tab/>
      </w:r>
      <w:r>
        <w:rPr>
          <w:rFonts w:ascii="CESI宋体-GB2312" w:hAnsi="CESI宋体-GB2312"/>
          <w:color w:val="auto"/>
          <w:highlight w:val="none"/>
        </w:rPr>
        <w:fldChar w:fldCharType="begin"/>
      </w:r>
      <w:r>
        <w:rPr>
          <w:rFonts w:ascii="CESI宋体-GB2312" w:hAnsi="CESI宋体-GB2312"/>
          <w:color w:val="auto"/>
          <w:highlight w:val="none"/>
        </w:rPr>
        <w:instrText xml:space="preserve"> PAGEREF _Toc5109 \h </w:instrText>
      </w:r>
      <w:r>
        <w:rPr>
          <w:rFonts w:ascii="CESI宋体-GB2312" w:hAnsi="CESI宋体-GB2312"/>
          <w:color w:val="auto"/>
          <w:highlight w:val="none"/>
        </w:rPr>
        <w:fldChar w:fldCharType="separate"/>
      </w:r>
      <w:r>
        <w:rPr>
          <w:rFonts w:ascii="CESI宋体-GB2312" w:hAnsi="CESI宋体-GB2312"/>
          <w:color w:val="auto"/>
          <w:highlight w:val="none"/>
        </w:rPr>
        <w:t>4</w:t>
      </w:r>
      <w:r>
        <w:rPr>
          <w:rFonts w:ascii="CESI宋体-GB2312" w:hAnsi="CESI宋体-GB2312"/>
          <w:color w:val="auto"/>
          <w:highlight w:val="none"/>
        </w:rPr>
        <w:fldChar w:fldCharType="end"/>
      </w:r>
      <w:r>
        <w:rPr>
          <w:rFonts w:ascii="CESI宋体-GB2312" w:hAnsi="CESI宋体-GB2312"/>
          <w:color w:val="auto"/>
          <w:highlight w:val="none"/>
        </w:rPr>
        <w:fldChar w:fldCharType="end"/>
      </w:r>
    </w:p>
    <w:p>
      <w:pPr>
        <w:tabs>
          <w:tab w:val="right" w:leader="dot" w:pos="8306"/>
        </w:tabs>
        <w:ind w:left="640" w:firstLine="640"/>
        <w:rPr>
          <w:rFonts w:ascii="CESI宋体-GB2312" w:hAnsi="CESI宋体-GB2312"/>
          <w:color w:val="auto"/>
          <w:highlight w:val="none"/>
        </w:rPr>
      </w:pPr>
      <w:r>
        <w:rPr>
          <w:rFonts w:ascii="CESI宋体-GB2312" w:hAnsi="CESI宋体-GB2312"/>
          <w:color w:val="auto"/>
          <w:highlight w:val="none"/>
        </w:rPr>
        <w:fldChar w:fldCharType="begin"/>
      </w:r>
      <w:r>
        <w:rPr>
          <w:rFonts w:ascii="CESI宋体-GB2312" w:hAnsi="CESI宋体-GB2312"/>
          <w:color w:val="auto"/>
          <w:highlight w:val="none"/>
        </w:rPr>
        <w:instrText xml:space="preserve"> HYPERLINK \l "_Toc23796" </w:instrText>
      </w:r>
      <w:r>
        <w:rPr>
          <w:rFonts w:ascii="CESI宋体-GB2312" w:hAnsi="CESI宋体-GB2312"/>
          <w:color w:val="auto"/>
          <w:highlight w:val="none"/>
        </w:rPr>
        <w:fldChar w:fldCharType="separate"/>
      </w:r>
      <w:r>
        <w:rPr>
          <w:rFonts w:hint="eastAsia" w:ascii="CESI宋体-GB2312" w:hAnsi="CESI宋体-GB2312"/>
          <w:color w:val="auto"/>
          <w:highlight w:val="none"/>
        </w:rPr>
        <w:t>（三）绩效评价工作过程</w:t>
      </w:r>
      <w:r>
        <w:rPr>
          <w:rFonts w:ascii="CESI宋体-GB2312" w:hAnsi="CESI宋体-GB2312"/>
          <w:color w:val="auto"/>
          <w:highlight w:val="none"/>
        </w:rPr>
        <w:tab/>
      </w:r>
      <w:r>
        <w:rPr>
          <w:rFonts w:ascii="CESI宋体-GB2312" w:hAnsi="CESI宋体-GB2312"/>
          <w:color w:val="auto"/>
          <w:highlight w:val="none"/>
        </w:rPr>
        <w:fldChar w:fldCharType="begin"/>
      </w:r>
      <w:r>
        <w:rPr>
          <w:rFonts w:ascii="CESI宋体-GB2312" w:hAnsi="CESI宋体-GB2312"/>
          <w:color w:val="auto"/>
          <w:highlight w:val="none"/>
        </w:rPr>
        <w:instrText xml:space="preserve"> PAGEREF _Toc23796 \h </w:instrText>
      </w:r>
      <w:r>
        <w:rPr>
          <w:rFonts w:ascii="CESI宋体-GB2312" w:hAnsi="CESI宋体-GB2312"/>
          <w:color w:val="auto"/>
          <w:highlight w:val="none"/>
        </w:rPr>
        <w:fldChar w:fldCharType="separate"/>
      </w:r>
      <w:r>
        <w:rPr>
          <w:rFonts w:ascii="CESI宋体-GB2312" w:hAnsi="CESI宋体-GB2312"/>
          <w:color w:val="auto"/>
          <w:highlight w:val="none"/>
        </w:rPr>
        <w:t>8</w:t>
      </w:r>
      <w:r>
        <w:rPr>
          <w:rFonts w:ascii="CESI宋体-GB2312" w:hAnsi="CESI宋体-GB2312"/>
          <w:color w:val="auto"/>
          <w:highlight w:val="none"/>
        </w:rPr>
        <w:fldChar w:fldCharType="end"/>
      </w:r>
      <w:r>
        <w:rPr>
          <w:rFonts w:ascii="CESI宋体-GB2312" w:hAnsi="CESI宋体-GB2312"/>
          <w:color w:val="auto"/>
          <w:highlight w:val="none"/>
        </w:rPr>
        <w:fldChar w:fldCharType="end"/>
      </w:r>
    </w:p>
    <w:p>
      <w:pPr>
        <w:tabs>
          <w:tab w:val="right" w:leader="dot" w:pos="8306"/>
        </w:tabs>
        <w:ind w:firstLine="640"/>
        <w:rPr>
          <w:rFonts w:ascii="CESI宋体-GB2312" w:hAnsi="CESI宋体-GB2312"/>
          <w:color w:val="auto"/>
          <w:highlight w:val="none"/>
        </w:rPr>
      </w:pPr>
      <w:r>
        <w:rPr>
          <w:rFonts w:ascii="CESI宋体-GB2312" w:hAnsi="CESI宋体-GB2312"/>
          <w:color w:val="auto"/>
          <w:highlight w:val="none"/>
        </w:rPr>
        <w:fldChar w:fldCharType="begin"/>
      </w:r>
      <w:r>
        <w:rPr>
          <w:rFonts w:ascii="CESI宋体-GB2312" w:hAnsi="CESI宋体-GB2312"/>
          <w:color w:val="auto"/>
          <w:highlight w:val="none"/>
        </w:rPr>
        <w:instrText xml:space="preserve"> HYPERLINK \l "_Toc20784" </w:instrText>
      </w:r>
      <w:r>
        <w:rPr>
          <w:rFonts w:ascii="CESI宋体-GB2312" w:hAnsi="CESI宋体-GB2312"/>
          <w:color w:val="auto"/>
          <w:highlight w:val="none"/>
        </w:rPr>
        <w:fldChar w:fldCharType="separate"/>
      </w:r>
      <w:r>
        <w:rPr>
          <w:rFonts w:hint="eastAsia" w:ascii="CESI宋体-GB2312" w:hAnsi="CESI宋体-GB2312"/>
          <w:color w:val="auto"/>
          <w:highlight w:val="none"/>
        </w:rPr>
        <w:t>三、综合评价情况及评价结论</w:t>
      </w:r>
      <w:r>
        <w:rPr>
          <w:rFonts w:ascii="CESI宋体-GB2312" w:hAnsi="CESI宋体-GB2312"/>
          <w:color w:val="auto"/>
          <w:highlight w:val="none"/>
        </w:rPr>
        <w:tab/>
      </w:r>
      <w:r>
        <w:rPr>
          <w:rFonts w:ascii="CESI宋体-GB2312" w:hAnsi="CESI宋体-GB2312"/>
          <w:color w:val="auto"/>
          <w:highlight w:val="none"/>
        </w:rPr>
        <w:fldChar w:fldCharType="begin"/>
      </w:r>
      <w:r>
        <w:rPr>
          <w:rFonts w:ascii="CESI宋体-GB2312" w:hAnsi="CESI宋体-GB2312"/>
          <w:color w:val="auto"/>
          <w:highlight w:val="none"/>
        </w:rPr>
        <w:instrText xml:space="preserve"> PAGEREF _Toc20784 \h </w:instrText>
      </w:r>
      <w:r>
        <w:rPr>
          <w:rFonts w:ascii="CESI宋体-GB2312" w:hAnsi="CESI宋体-GB2312"/>
          <w:color w:val="auto"/>
          <w:highlight w:val="none"/>
        </w:rPr>
        <w:fldChar w:fldCharType="separate"/>
      </w:r>
      <w:r>
        <w:rPr>
          <w:rFonts w:ascii="CESI宋体-GB2312" w:hAnsi="CESI宋体-GB2312"/>
          <w:color w:val="auto"/>
          <w:highlight w:val="none"/>
        </w:rPr>
        <w:t>10</w:t>
      </w:r>
      <w:r>
        <w:rPr>
          <w:rFonts w:ascii="CESI宋体-GB2312" w:hAnsi="CESI宋体-GB2312"/>
          <w:color w:val="auto"/>
          <w:highlight w:val="none"/>
        </w:rPr>
        <w:fldChar w:fldCharType="end"/>
      </w:r>
      <w:r>
        <w:rPr>
          <w:rFonts w:ascii="CESI宋体-GB2312" w:hAnsi="CESI宋体-GB2312"/>
          <w:color w:val="auto"/>
          <w:highlight w:val="none"/>
        </w:rPr>
        <w:fldChar w:fldCharType="end"/>
      </w:r>
    </w:p>
    <w:p>
      <w:pPr>
        <w:tabs>
          <w:tab w:val="right" w:leader="dot" w:pos="8306"/>
        </w:tabs>
        <w:ind w:firstLine="640"/>
        <w:rPr>
          <w:rFonts w:ascii="CESI宋体-GB2312" w:hAnsi="CESI宋体-GB2312"/>
          <w:color w:val="auto"/>
          <w:highlight w:val="none"/>
        </w:rPr>
      </w:pPr>
      <w:r>
        <w:rPr>
          <w:rFonts w:ascii="CESI宋体-GB2312" w:hAnsi="CESI宋体-GB2312"/>
          <w:color w:val="auto"/>
          <w:highlight w:val="none"/>
        </w:rPr>
        <w:fldChar w:fldCharType="begin"/>
      </w:r>
      <w:r>
        <w:rPr>
          <w:rFonts w:ascii="CESI宋体-GB2312" w:hAnsi="CESI宋体-GB2312"/>
          <w:color w:val="auto"/>
          <w:highlight w:val="none"/>
        </w:rPr>
        <w:instrText xml:space="preserve"> HYPERLINK \l "_Toc8960" </w:instrText>
      </w:r>
      <w:r>
        <w:rPr>
          <w:rFonts w:ascii="CESI宋体-GB2312" w:hAnsi="CESI宋体-GB2312"/>
          <w:color w:val="auto"/>
          <w:highlight w:val="none"/>
        </w:rPr>
        <w:fldChar w:fldCharType="separate"/>
      </w:r>
      <w:r>
        <w:rPr>
          <w:rFonts w:hint="eastAsia" w:ascii="CESI宋体-GB2312" w:hAnsi="CESI宋体-GB2312"/>
          <w:color w:val="auto"/>
          <w:highlight w:val="none"/>
        </w:rPr>
        <w:t>四、绩效评价指标分析</w:t>
      </w:r>
      <w:r>
        <w:rPr>
          <w:rFonts w:ascii="CESI宋体-GB2312" w:hAnsi="CESI宋体-GB2312"/>
          <w:color w:val="auto"/>
          <w:highlight w:val="none"/>
        </w:rPr>
        <w:tab/>
      </w:r>
      <w:r>
        <w:rPr>
          <w:rFonts w:ascii="CESI宋体-GB2312" w:hAnsi="CESI宋体-GB2312"/>
          <w:color w:val="auto"/>
          <w:highlight w:val="none"/>
        </w:rPr>
        <w:fldChar w:fldCharType="begin"/>
      </w:r>
      <w:r>
        <w:rPr>
          <w:rFonts w:ascii="CESI宋体-GB2312" w:hAnsi="CESI宋体-GB2312"/>
          <w:color w:val="auto"/>
          <w:highlight w:val="none"/>
        </w:rPr>
        <w:instrText xml:space="preserve"> PAGEREF _Toc8960 \h </w:instrText>
      </w:r>
      <w:r>
        <w:rPr>
          <w:rFonts w:ascii="CESI宋体-GB2312" w:hAnsi="CESI宋体-GB2312"/>
          <w:color w:val="auto"/>
          <w:highlight w:val="none"/>
        </w:rPr>
        <w:fldChar w:fldCharType="separate"/>
      </w:r>
      <w:r>
        <w:rPr>
          <w:rFonts w:ascii="CESI宋体-GB2312" w:hAnsi="CESI宋体-GB2312"/>
          <w:color w:val="auto"/>
          <w:highlight w:val="none"/>
        </w:rPr>
        <w:t>10</w:t>
      </w:r>
      <w:r>
        <w:rPr>
          <w:rFonts w:ascii="CESI宋体-GB2312" w:hAnsi="CESI宋体-GB2312"/>
          <w:color w:val="auto"/>
          <w:highlight w:val="none"/>
        </w:rPr>
        <w:fldChar w:fldCharType="end"/>
      </w:r>
      <w:r>
        <w:rPr>
          <w:rFonts w:ascii="CESI宋体-GB2312" w:hAnsi="CESI宋体-GB2312"/>
          <w:color w:val="auto"/>
          <w:highlight w:val="none"/>
        </w:rPr>
        <w:fldChar w:fldCharType="end"/>
      </w:r>
    </w:p>
    <w:p>
      <w:pPr>
        <w:tabs>
          <w:tab w:val="right" w:leader="dot" w:pos="8306"/>
        </w:tabs>
        <w:ind w:left="640" w:firstLine="640"/>
        <w:rPr>
          <w:rFonts w:ascii="CESI宋体-GB2312" w:hAnsi="CESI宋体-GB2312"/>
          <w:color w:val="auto"/>
          <w:highlight w:val="none"/>
        </w:rPr>
      </w:pPr>
      <w:r>
        <w:rPr>
          <w:rFonts w:ascii="CESI宋体-GB2312" w:hAnsi="CESI宋体-GB2312"/>
          <w:color w:val="auto"/>
          <w:highlight w:val="none"/>
        </w:rPr>
        <w:fldChar w:fldCharType="begin"/>
      </w:r>
      <w:r>
        <w:rPr>
          <w:rFonts w:ascii="CESI宋体-GB2312" w:hAnsi="CESI宋体-GB2312"/>
          <w:color w:val="auto"/>
          <w:highlight w:val="none"/>
        </w:rPr>
        <w:instrText xml:space="preserve"> HYPERLINK \l "_Toc3445" </w:instrText>
      </w:r>
      <w:r>
        <w:rPr>
          <w:rFonts w:ascii="CESI宋体-GB2312" w:hAnsi="CESI宋体-GB2312"/>
          <w:color w:val="auto"/>
          <w:highlight w:val="none"/>
        </w:rPr>
        <w:fldChar w:fldCharType="separate"/>
      </w:r>
      <w:r>
        <w:rPr>
          <w:rFonts w:hint="eastAsia" w:ascii="CESI宋体-GB2312" w:hAnsi="CESI宋体-GB2312"/>
          <w:color w:val="auto"/>
          <w:highlight w:val="none"/>
        </w:rPr>
        <w:t>（一）项目决策情况</w:t>
      </w:r>
      <w:r>
        <w:rPr>
          <w:rFonts w:ascii="CESI宋体-GB2312" w:hAnsi="CESI宋体-GB2312"/>
          <w:color w:val="auto"/>
          <w:highlight w:val="none"/>
        </w:rPr>
        <w:tab/>
      </w:r>
      <w:r>
        <w:rPr>
          <w:rFonts w:ascii="CESI宋体-GB2312" w:hAnsi="CESI宋体-GB2312"/>
          <w:color w:val="auto"/>
          <w:highlight w:val="none"/>
        </w:rPr>
        <w:fldChar w:fldCharType="begin"/>
      </w:r>
      <w:r>
        <w:rPr>
          <w:rFonts w:ascii="CESI宋体-GB2312" w:hAnsi="CESI宋体-GB2312"/>
          <w:color w:val="auto"/>
          <w:highlight w:val="none"/>
        </w:rPr>
        <w:instrText xml:space="preserve"> PAGEREF _Toc3445 \h </w:instrText>
      </w:r>
      <w:r>
        <w:rPr>
          <w:rFonts w:ascii="CESI宋体-GB2312" w:hAnsi="CESI宋体-GB2312"/>
          <w:color w:val="auto"/>
          <w:highlight w:val="none"/>
        </w:rPr>
        <w:fldChar w:fldCharType="separate"/>
      </w:r>
      <w:r>
        <w:rPr>
          <w:rFonts w:ascii="CESI宋体-GB2312" w:hAnsi="CESI宋体-GB2312"/>
          <w:color w:val="auto"/>
          <w:highlight w:val="none"/>
        </w:rPr>
        <w:t>10</w:t>
      </w:r>
      <w:r>
        <w:rPr>
          <w:rFonts w:ascii="CESI宋体-GB2312" w:hAnsi="CESI宋体-GB2312"/>
          <w:color w:val="auto"/>
          <w:highlight w:val="none"/>
        </w:rPr>
        <w:fldChar w:fldCharType="end"/>
      </w:r>
      <w:r>
        <w:rPr>
          <w:rFonts w:ascii="CESI宋体-GB2312" w:hAnsi="CESI宋体-GB2312"/>
          <w:color w:val="auto"/>
          <w:highlight w:val="none"/>
        </w:rPr>
        <w:fldChar w:fldCharType="end"/>
      </w:r>
    </w:p>
    <w:p>
      <w:pPr>
        <w:tabs>
          <w:tab w:val="right" w:leader="dot" w:pos="8306"/>
        </w:tabs>
        <w:ind w:left="640" w:firstLine="640"/>
        <w:rPr>
          <w:rFonts w:ascii="CESI宋体-GB2312" w:hAnsi="CESI宋体-GB2312"/>
          <w:color w:val="auto"/>
          <w:highlight w:val="none"/>
        </w:rPr>
      </w:pPr>
      <w:r>
        <w:rPr>
          <w:rFonts w:ascii="CESI宋体-GB2312" w:hAnsi="CESI宋体-GB2312"/>
          <w:color w:val="auto"/>
          <w:highlight w:val="none"/>
        </w:rPr>
        <w:fldChar w:fldCharType="begin"/>
      </w:r>
      <w:r>
        <w:rPr>
          <w:rFonts w:ascii="CESI宋体-GB2312" w:hAnsi="CESI宋体-GB2312"/>
          <w:color w:val="auto"/>
          <w:highlight w:val="none"/>
        </w:rPr>
        <w:instrText xml:space="preserve"> HYPERLINK \l "_Toc11290" </w:instrText>
      </w:r>
      <w:r>
        <w:rPr>
          <w:rFonts w:ascii="CESI宋体-GB2312" w:hAnsi="CESI宋体-GB2312"/>
          <w:color w:val="auto"/>
          <w:highlight w:val="none"/>
        </w:rPr>
        <w:fldChar w:fldCharType="separate"/>
      </w:r>
      <w:r>
        <w:rPr>
          <w:rFonts w:hint="eastAsia" w:ascii="CESI宋体-GB2312" w:hAnsi="CESI宋体-GB2312"/>
          <w:color w:val="auto"/>
          <w:highlight w:val="none"/>
        </w:rPr>
        <w:t>（二）项目过程情况</w:t>
      </w:r>
      <w:r>
        <w:rPr>
          <w:rFonts w:ascii="CESI宋体-GB2312" w:hAnsi="CESI宋体-GB2312"/>
          <w:color w:val="auto"/>
          <w:highlight w:val="none"/>
        </w:rPr>
        <w:tab/>
      </w:r>
      <w:r>
        <w:rPr>
          <w:rFonts w:ascii="CESI宋体-GB2312" w:hAnsi="CESI宋体-GB2312"/>
          <w:color w:val="auto"/>
          <w:highlight w:val="none"/>
        </w:rPr>
        <w:fldChar w:fldCharType="begin"/>
      </w:r>
      <w:r>
        <w:rPr>
          <w:rFonts w:ascii="CESI宋体-GB2312" w:hAnsi="CESI宋体-GB2312"/>
          <w:color w:val="auto"/>
          <w:highlight w:val="none"/>
        </w:rPr>
        <w:instrText xml:space="preserve"> PAGEREF _Toc11290 \h </w:instrText>
      </w:r>
      <w:r>
        <w:rPr>
          <w:rFonts w:ascii="CESI宋体-GB2312" w:hAnsi="CESI宋体-GB2312"/>
          <w:color w:val="auto"/>
          <w:highlight w:val="none"/>
        </w:rPr>
        <w:fldChar w:fldCharType="separate"/>
      </w:r>
      <w:r>
        <w:rPr>
          <w:rFonts w:ascii="CESI宋体-GB2312" w:hAnsi="CESI宋体-GB2312"/>
          <w:color w:val="auto"/>
          <w:highlight w:val="none"/>
        </w:rPr>
        <w:t>12</w:t>
      </w:r>
      <w:r>
        <w:rPr>
          <w:rFonts w:ascii="CESI宋体-GB2312" w:hAnsi="CESI宋体-GB2312"/>
          <w:color w:val="auto"/>
          <w:highlight w:val="none"/>
        </w:rPr>
        <w:fldChar w:fldCharType="end"/>
      </w:r>
      <w:r>
        <w:rPr>
          <w:rFonts w:ascii="CESI宋体-GB2312" w:hAnsi="CESI宋体-GB2312"/>
          <w:color w:val="auto"/>
          <w:highlight w:val="none"/>
        </w:rPr>
        <w:fldChar w:fldCharType="end"/>
      </w:r>
    </w:p>
    <w:p>
      <w:pPr>
        <w:tabs>
          <w:tab w:val="right" w:leader="dot" w:pos="8306"/>
        </w:tabs>
        <w:ind w:left="640" w:firstLine="640"/>
        <w:rPr>
          <w:rFonts w:ascii="CESI宋体-GB2312" w:hAnsi="CESI宋体-GB2312"/>
          <w:color w:val="auto"/>
          <w:highlight w:val="none"/>
        </w:rPr>
      </w:pPr>
      <w:r>
        <w:rPr>
          <w:rFonts w:ascii="CESI宋体-GB2312" w:hAnsi="CESI宋体-GB2312"/>
          <w:color w:val="auto"/>
          <w:highlight w:val="none"/>
        </w:rPr>
        <w:fldChar w:fldCharType="begin"/>
      </w:r>
      <w:r>
        <w:rPr>
          <w:rFonts w:ascii="CESI宋体-GB2312" w:hAnsi="CESI宋体-GB2312"/>
          <w:color w:val="auto"/>
          <w:highlight w:val="none"/>
        </w:rPr>
        <w:instrText xml:space="preserve"> HYPERLINK \l "_Toc32013" </w:instrText>
      </w:r>
      <w:r>
        <w:rPr>
          <w:rFonts w:ascii="CESI宋体-GB2312" w:hAnsi="CESI宋体-GB2312"/>
          <w:color w:val="auto"/>
          <w:highlight w:val="none"/>
        </w:rPr>
        <w:fldChar w:fldCharType="separate"/>
      </w:r>
      <w:r>
        <w:rPr>
          <w:rFonts w:hint="eastAsia" w:ascii="CESI宋体-GB2312" w:hAnsi="CESI宋体-GB2312"/>
          <w:color w:val="auto"/>
          <w:highlight w:val="none"/>
        </w:rPr>
        <w:t>（三）项目产出情况</w:t>
      </w:r>
      <w:r>
        <w:rPr>
          <w:rFonts w:ascii="CESI宋体-GB2312" w:hAnsi="CESI宋体-GB2312"/>
          <w:color w:val="auto"/>
          <w:highlight w:val="none"/>
        </w:rPr>
        <w:tab/>
      </w:r>
      <w:r>
        <w:rPr>
          <w:rFonts w:ascii="CESI宋体-GB2312" w:hAnsi="CESI宋体-GB2312"/>
          <w:color w:val="auto"/>
          <w:highlight w:val="none"/>
        </w:rPr>
        <w:fldChar w:fldCharType="begin"/>
      </w:r>
      <w:r>
        <w:rPr>
          <w:rFonts w:ascii="CESI宋体-GB2312" w:hAnsi="CESI宋体-GB2312"/>
          <w:color w:val="auto"/>
          <w:highlight w:val="none"/>
        </w:rPr>
        <w:instrText xml:space="preserve"> PAGEREF _Toc32013 \h </w:instrText>
      </w:r>
      <w:r>
        <w:rPr>
          <w:rFonts w:ascii="CESI宋体-GB2312" w:hAnsi="CESI宋体-GB2312"/>
          <w:color w:val="auto"/>
          <w:highlight w:val="none"/>
        </w:rPr>
        <w:fldChar w:fldCharType="separate"/>
      </w:r>
      <w:r>
        <w:rPr>
          <w:rFonts w:ascii="CESI宋体-GB2312" w:hAnsi="CESI宋体-GB2312"/>
          <w:color w:val="auto"/>
          <w:highlight w:val="none"/>
        </w:rPr>
        <w:t>14</w:t>
      </w:r>
      <w:r>
        <w:rPr>
          <w:rFonts w:ascii="CESI宋体-GB2312" w:hAnsi="CESI宋体-GB2312"/>
          <w:color w:val="auto"/>
          <w:highlight w:val="none"/>
        </w:rPr>
        <w:fldChar w:fldCharType="end"/>
      </w:r>
      <w:r>
        <w:rPr>
          <w:rFonts w:ascii="CESI宋体-GB2312" w:hAnsi="CESI宋体-GB2312"/>
          <w:color w:val="auto"/>
          <w:highlight w:val="none"/>
        </w:rPr>
        <w:fldChar w:fldCharType="end"/>
      </w:r>
    </w:p>
    <w:p>
      <w:pPr>
        <w:tabs>
          <w:tab w:val="right" w:leader="dot" w:pos="8306"/>
        </w:tabs>
        <w:ind w:left="640" w:firstLine="640"/>
        <w:rPr>
          <w:rFonts w:ascii="CESI宋体-GB2312" w:hAnsi="CESI宋体-GB2312"/>
          <w:color w:val="auto"/>
          <w:highlight w:val="none"/>
        </w:rPr>
      </w:pPr>
      <w:r>
        <w:rPr>
          <w:rFonts w:ascii="CESI宋体-GB2312" w:hAnsi="CESI宋体-GB2312"/>
          <w:color w:val="auto"/>
          <w:highlight w:val="none"/>
        </w:rPr>
        <w:fldChar w:fldCharType="begin"/>
      </w:r>
      <w:r>
        <w:rPr>
          <w:rFonts w:ascii="CESI宋体-GB2312" w:hAnsi="CESI宋体-GB2312"/>
          <w:color w:val="auto"/>
          <w:highlight w:val="none"/>
        </w:rPr>
        <w:instrText xml:space="preserve"> HYPERLINK \l "_Toc28354" </w:instrText>
      </w:r>
      <w:r>
        <w:rPr>
          <w:rFonts w:ascii="CESI宋体-GB2312" w:hAnsi="CESI宋体-GB2312"/>
          <w:color w:val="auto"/>
          <w:highlight w:val="none"/>
        </w:rPr>
        <w:fldChar w:fldCharType="separate"/>
      </w:r>
      <w:r>
        <w:rPr>
          <w:rFonts w:hint="eastAsia" w:ascii="CESI宋体-GB2312" w:hAnsi="CESI宋体-GB2312"/>
          <w:color w:val="auto"/>
          <w:highlight w:val="none"/>
        </w:rPr>
        <w:t>（四）项目效益情况</w:t>
      </w:r>
      <w:r>
        <w:rPr>
          <w:rFonts w:ascii="CESI宋体-GB2312" w:hAnsi="CESI宋体-GB2312"/>
          <w:color w:val="auto"/>
          <w:highlight w:val="none"/>
        </w:rPr>
        <w:tab/>
      </w:r>
      <w:r>
        <w:rPr>
          <w:rFonts w:ascii="CESI宋体-GB2312" w:hAnsi="CESI宋体-GB2312"/>
          <w:color w:val="auto"/>
          <w:highlight w:val="none"/>
        </w:rPr>
        <w:fldChar w:fldCharType="begin"/>
      </w:r>
      <w:r>
        <w:rPr>
          <w:rFonts w:ascii="CESI宋体-GB2312" w:hAnsi="CESI宋体-GB2312"/>
          <w:color w:val="auto"/>
          <w:highlight w:val="none"/>
        </w:rPr>
        <w:instrText xml:space="preserve"> PAGEREF _Toc28354 \h </w:instrText>
      </w:r>
      <w:r>
        <w:rPr>
          <w:rFonts w:ascii="CESI宋体-GB2312" w:hAnsi="CESI宋体-GB2312"/>
          <w:color w:val="auto"/>
          <w:highlight w:val="none"/>
        </w:rPr>
        <w:fldChar w:fldCharType="separate"/>
      </w:r>
      <w:r>
        <w:rPr>
          <w:rFonts w:ascii="CESI宋体-GB2312" w:hAnsi="CESI宋体-GB2312"/>
          <w:color w:val="auto"/>
          <w:highlight w:val="none"/>
        </w:rPr>
        <w:t>15</w:t>
      </w:r>
      <w:r>
        <w:rPr>
          <w:rFonts w:ascii="CESI宋体-GB2312" w:hAnsi="CESI宋体-GB2312"/>
          <w:color w:val="auto"/>
          <w:highlight w:val="none"/>
        </w:rPr>
        <w:fldChar w:fldCharType="end"/>
      </w:r>
      <w:r>
        <w:rPr>
          <w:rFonts w:ascii="CESI宋体-GB2312" w:hAnsi="CESI宋体-GB2312"/>
          <w:color w:val="auto"/>
          <w:highlight w:val="none"/>
        </w:rPr>
        <w:fldChar w:fldCharType="end"/>
      </w:r>
    </w:p>
    <w:p>
      <w:pPr>
        <w:tabs>
          <w:tab w:val="right" w:leader="dot" w:pos="8306"/>
        </w:tabs>
        <w:ind w:firstLine="640"/>
        <w:rPr>
          <w:rFonts w:ascii="CESI宋体-GB2312" w:hAnsi="CESI宋体-GB2312"/>
          <w:color w:val="auto"/>
          <w:highlight w:val="none"/>
        </w:rPr>
      </w:pPr>
      <w:r>
        <w:rPr>
          <w:rFonts w:ascii="CESI宋体-GB2312" w:hAnsi="CESI宋体-GB2312"/>
          <w:color w:val="auto"/>
          <w:highlight w:val="none"/>
        </w:rPr>
        <w:fldChar w:fldCharType="begin"/>
      </w:r>
      <w:r>
        <w:rPr>
          <w:rFonts w:ascii="CESI宋体-GB2312" w:hAnsi="CESI宋体-GB2312"/>
          <w:color w:val="auto"/>
          <w:highlight w:val="none"/>
        </w:rPr>
        <w:instrText xml:space="preserve"> HYPERLINK \l "_Toc27244" </w:instrText>
      </w:r>
      <w:r>
        <w:rPr>
          <w:rFonts w:ascii="CESI宋体-GB2312" w:hAnsi="CESI宋体-GB2312"/>
          <w:color w:val="auto"/>
          <w:highlight w:val="none"/>
        </w:rPr>
        <w:fldChar w:fldCharType="separate"/>
      </w:r>
      <w:r>
        <w:rPr>
          <w:rFonts w:hint="eastAsia" w:ascii="CESI宋体-GB2312" w:hAnsi="CESI宋体-GB2312"/>
          <w:color w:val="auto"/>
          <w:highlight w:val="none"/>
        </w:rPr>
        <w:t>五、主要经验及做法、存在的问题及原因分析</w:t>
      </w:r>
      <w:r>
        <w:rPr>
          <w:rFonts w:ascii="CESI宋体-GB2312" w:hAnsi="CESI宋体-GB2312"/>
          <w:color w:val="auto"/>
          <w:highlight w:val="none"/>
        </w:rPr>
        <w:tab/>
      </w:r>
      <w:r>
        <w:rPr>
          <w:rFonts w:ascii="CESI宋体-GB2312" w:hAnsi="CESI宋体-GB2312"/>
          <w:color w:val="auto"/>
          <w:highlight w:val="none"/>
        </w:rPr>
        <w:fldChar w:fldCharType="begin"/>
      </w:r>
      <w:r>
        <w:rPr>
          <w:rFonts w:ascii="CESI宋体-GB2312" w:hAnsi="CESI宋体-GB2312"/>
          <w:color w:val="auto"/>
          <w:highlight w:val="none"/>
        </w:rPr>
        <w:instrText xml:space="preserve"> PAGEREF _Toc27244 \h </w:instrText>
      </w:r>
      <w:r>
        <w:rPr>
          <w:rFonts w:ascii="CESI宋体-GB2312" w:hAnsi="CESI宋体-GB2312"/>
          <w:color w:val="auto"/>
          <w:highlight w:val="none"/>
        </w:rPr>
        <w:fldChar w:fldCharType="separate"/>
      </w:r>
      <w:r>
        <w:rPr>
          <w:rFonts w:ascii="CESI宋体-GB2312" w:hAnsi="CESI宋体-GB2312"/>
          <w:color w:val="auto"/>
          <w:highlight w:val="none"/>
        </w:rPr>
        <w:t>15</w:t>
      </w:r>
      <w:r>
        <w:rPr>
          <w:rFonts w:ascii="CESI宋体-GB2312" w:hAnsi="CESI宋体-GB2312"/>
          <w:color w:val="auto"/>
          <w:highlight w:val="none"/>
        </w:rPr>
        <w:fldChar w:fldCharType="end"/>
      </w:r>
      <w:r>
        <w:rPr>
          <w:rFonts w:ascii="CESI宋体-GB2312" w:hAnsi="CESI宋体-GB2312"/>
          <w:color w:val="auto"/>
          <w:highlight w:val="none"/>
        </w:rPr>
        <w:fldChar w:fldCharType="end"/>
      </w:r>
    </w:p>
    <w:p>
      <w:pPr>
        <w:tabs>
          <w:tab w:val="right" w:leader="dot" w:pos="8306"/>
        </w:tabs>
        <w:ind w:left="640" w:firstLine="640"/>
        <w:rPr>
          <w:rFonts w:ascii="CESI宋体-GB2312" w:hAnsi="CESI宋体-GB2312"/>
          <w:color w:val="auto"/>
          <w:highlight w:val="none"/>
        </w:rPr>
      </w:pPr>
      <w:r>
        <w:rPr>
          <w:rFonts w:ascii="CESI宋体-GB2312" w:hAnsi="CESI宋体-GB2312"/>
          <w:color w:val="auto"/>
          <w:highlight w:val="none"/>
        </w:rPr>
        <w:fldChar w:fldCharType="begin"/>
      </w:r>
      <w:r>
        <w:rPr>
          <w:rFonts w:ascii="CESI宋体-GB2312" w:hAnsi="CESI宋体-GB2312"/>
          <w:color w:val="auto"/>
          <w:highlight w:val="none"/>
        </w:rPr>
        <w:instrText xml:space="preserve"> HYPERLINK \l "_Toc18880" </w:instrText>
      </w:r>
      <w:r>
        <w:rPr>
          <w:rFonts w:ascii="CESI宋体-GB2312" w:hAnsi="CESI宋体-GB2312"/>
          <w:color w:val="auto"/>
          <w:highlight w:val="none"/>
        </w:rPr>
        <w:fldChar w:fldCharType="separate"/>
      </w:r>
      <w:r>
        <w:rPr>
          <w:rFonts w:hint="eastAsia" w:ascii="CESI宋体-GB2312" w:hAnsi="CESI宋体-GB2312"/>
          <w:color w:val="auto"/>
          <w:highlight w:val="none"/>
        </w:rPr>
        <w:t>（一）主要经验及做法</w:t>
      </w:r>
      <w:r>
        <w:rPr>
          <w:rFonts w:ascii="CESI宋体-GB2312" w:hAnsi="CESI宋体-GB2312"/>
          <w:color w:val="auto"/>
          <w:highlight w:val="none"/>
        </w:rPr>
        <w:tab/>
      </w:r>
      <w:r>
        <w:rPr>
          <w:rFonts w:ascii="CESI宋体-GB2312" w:hAnsi="CESI宋体-GB2312"/>
          <w:color w:val="auto"/>
          <w:highlight w:val="none"/>
        </w:rPr>
        <w:fldChar w:fldCharType="begin"/>
      </w:r>
      <w:r>
        <w:rPr>
          <w:rFonts w:ascii="CESI宋体-GB2312" w:hAnsi="CESI宋体-GB2312"/>
          <w:color w:val="auto"/>
          <w:highlight w:val="none"/>
        </w:rPr>
        <w:instrText xml:space="preserve"> PAGEREF _Toc18880 \h </w:instrText>
      </w:r>
      <w:r>
        <w:rPr>
          <w:rFonts w:ascii="CESI宋体-GB2312" w:hAnsi="CESI宋体-GB2312"/>
          <w:color w:val="auto"/>
          <w:highlight w:val="none"/>
        </w:rPr>
        <w:fldChar w:fldCharType="separate"/>
      </w:r>
      <w:r>
        <w:rPr>
          <w:rFonts w:ascii="CESI宋体-GB2312" w:hAnsi="CESI宋体-GB2312"/>
          <w:color w:val="auto"/>
          <w:highlight w:val="none"/>
        </w:rPr>
        <w:t>15</w:t>
      </w:r>
      <w:r>
        <w:rPr>
          <w:rFonts w:ascii="CESI宋体-GB2312" w:hAnsi="CESI宋体-GB2312"/>
          <w:color w:val="auto"/>
          <w:highlight w:val="none"/>
        </w:rPr>
        <w:fldChar w:fldCharType="end"/>
      </w:r>
      <w:r>
        <w:rPr>
          <w:rFonts w:ascii="CESI宋体-GB2312" w:hAnsi="CESI宋体-GB2312"/>
          <w:color w:val="auto"/>
          <w:highlight w:val="none"/>
        </w:rPr>
        <w:fldChar w:fldCharType="end"/>
      </w:r>
    </w:p>
    <w:p>
      <w:pPr>
        <w:tabs>
          <w:tab w:val="right" w:leader="dot" w:pos="8306"/>
        </w:tabs>
        <w:ind w:left="640" w:firstLine="640"/>
        <w:rPr>
          <w:rFonts w:ascii="CESI宋体-GB2312" w:hAnsi="CESI宋体-GB2312"/>
          <w:color w:val="auto"/>
          <w:highlight w:val="none"/>
        </w:rPr>
      </w:pPr>
      <w:r>
        <w:rPr>
          <w:rFonts w:ascii="CESI宋体-GB2312" w:hAnsi="CESI宋体-GB2312"/>
          <w:color w:val="auto"/>
          <w:highlight w:val="none"/>
        </w:rPr>
        <w:fldChar w:fldCharType="begin"/>
      </w:r>
      <w:r>
        <w:rPr>
          <w:rFonts w:ascii="CESI宋体-GB2312" w:hAnsi="CESI宋体-GB2312"/>
          <w:color w:val="auto"/>
          <w:highlight w:val="none"/>
        </w:rPr>
        <w:instrText xml:space="preserve"> HYPERLINK \l "_Toc9914" </w:instrText>
      </w:r>
      <w:r>
        <w:rPr>
          <w:rFonts w:ascii="CESI宋体-GB2312" w:hAnsi="CESI宋体-GB2312"/>
          <w:color w:val="auto"/>
          <w:highlight w:val="none"/>
        </w:rPr>
        <w:fldChar w:fldCharType="separate"/>
      </w:r>
      <w:r>
        <w:rPr>
          <w:rFonts w:hint="eastAsia" w:ascii="CESI宋体-GB2312" w:hAnsi="CESI宋体-GB2312"/>
          <w:color w:val="auto"/>
          <w:highlight w:val="none"/>
        </w:rPr>
        <w:t>（二）存在问题及原因分析</w:t>
      </w:r>
      <w:r>
        <w:rPr>
          <w:rFonts w:ascii="CESI宋体-GB2312" w:hAnsi="CESI宋体-GB2312"/>
          <w:color w:val="auto"/>
          <w:highlight w:val="none"/>
        </w:rPr>
        <w:tab/>
      </w:r>
      <w:r>
        <w:rPr>
          <w:rFonts w:ascii="CESI宋体-GB2312" w:hAnsi="CESI宋体-GB2312"/>
          <w:color w:val="auto"/>
          <w:highlight w:val="none"/>
        </w:rPr>
        <w:fldChar w:fldCharType="begin"/>
      </w:r>
      <w:r>
        <w:rPr>
          <w:rFonts w:ascii="CESI宋体-GB2312" w:hAnsi="CESI宋体-GB2312"/>
          <w:color w:val="auto"/>
          <w:highlight w:val="none"/>
        </w:rPr>
        <w:instrText xml:space="preserve"> PAGEREF _Toc9914 \h </w:instrText>
      </w:r>
      <w:r>
        <w:rPr>
          <w:rFonts w:ascii="CESI宋体-GB2312" w:hAnsi="CESI宋体-GB2312"/>
          <w:color w:val="auto"/>
          <w:highlight w:val="none"/>
        </w:rPr>
        <w:fldChar w:fldCharType="separate"/>
      </w:r>
      <w:r>
        <w:rPr>
          <w:rFonts w:ascii="CESI宋体-GB2312" w:hAnsi="CESI宋体-GB2312"/>
          <w:color w:val="auto"/>
          <w:highlight w:val="none"/>
        </w:rPr>
        <w:t>16</w:t>
      </w:r>
      <w:r>
        <w:rPr>
          <w:rFonts w:ascii="CESI宋体-GB2312" w:hAnsi="CESI宋体-GB2312"/>
          <w:color w:val="auto"/>
          <w:highlight w:val="none"/>
        </w:rPr>
        <w:fldChar w:fldCharType="end"/>
      </w:r>
      <w:r>
        <w:rPr>
          <w:rFonts w:ascii="CESI宋体-GB2312" w:hAnsi="CESI宋体-GB2312"/>
          <w:color w:val="auto"/>
          <w:highlight w:val="none"/>
        </w:rPr>
        <w:fldChar w:fldCharType="end"/>
      </w:r>
    </w:p>
    <w:p>
      <w:pPr>
        <w:tabs>
          <w:tab w:val="right" w:leader="dot" w:pos="8306"/>
        </w:tabs>
        <w:ind w:firstLine="640"/>
        <w:rPr>
          <w:rFonts w:ascii="CESI宋体-GB2312" w:hAnsi="CESI宋体-GB2312"/>
          <w:color w:val="auto"/>
          <w:highlight w:val="none"/>
        </w:rPr>
      </w:pPr>
      <w:r>
        <w:rPr>
          <w:rFonts w:ascii="CESI宋体-GB2312" w:hAnsi="CESI宋体-GB2312"/>
          <w:color w:val="auto"/>
          <w:highlight w:val="none"/>
        </w:rPr>
        <w:fldChar w:fldCharType="begin"/>
      </w:r>
      <w:r>
        <w:rPr>
          <w:rFonts w:ascii="CESI宋体-GB2312" w:hAnsi="CESI宋体-GB2312"/>
          <w:color w:val="auto"/>
          <w:highlight w:val="none"/>
        </w:rPr>
        <w:instrText xml:space="preserve"> HYPERLINK \l "_Toc2334" </w:instrText>
      </w:r>
      <w:r>
        <w:rPr>
          <w:rFonts w:ascii="CESI宋体-GB2312" w:hAnsi="CESI宋体-GB2312"/>
          <w:color w:val="auto"/>
          <w:highlight w:val="none"/>
        </w:rPr>
        <w:fldChar w:fldCharType="separate"/>
      </w:r>
      <w:r>
        <w:rPr>
          <w:rFonts w:hint="eastAsia" w:ascii="CESI宋体-GB2312" w:hAnsi="CESI宋体-GB2312"/>
          <w:color w:val="auto"/>
          <w:highlight w:val="none"/>
        </w:rPr>
        <w:t>六、有关建议</w:t>
      </w:r>
      <w:r>
        <w:rPr>
          <w:rFonts w:ascii="CESI宋体-GB2312" w:hAnsi="CESI宋体-GB2312"/>
          <w:color w:val="auto"/>
          <w:highlight w:val="none"/>
        </w:rPr>
        <w:tab/>
      </w:r>
      <w:r>
        <w:rPr>
          <w:rFonts w:ascii="CESI宋体-GB2312" w:hAnsi="CESI宋体-GB2312"/>
          <w:color w:val="auto"/>
          <w:highlight w:val="none"/>
        </w:rPr>
        <w:fldChar w:fldCharType="begin"/>
      </w:r>
      <w:r>
        <w:rPr>
          <w:rFonts w:ascii="CESI宋体-GB2312" w:hAnsi="CESI宋体-GB2312"/>
          <w:color w:val="auto"/>
          <w:highlight w:val="none"/>
        </w:rPr>
        <w:instrText xml:space="preserve"> PAGEREF _Toc2334 \h </w:instrText>
      </w:r>
      <w:r>
        <w:rPr>
          <w:rFonts w:ascii="CESI宋体-GB2312" w:hAnsi="CESI宋体-GB2312"/>
          <w:color w:val="auto"/>
          <w:highlight w:val="none"/>
        </w:rPr>
        <w:fldChar w:fldCharType="separate"/>
      </w:r>
      <w:r>
        <w:rPr>
          <w:rFonts w:ascii="CESI宋体-GB2312" w:hAnsi="CESI宋体-GB2312"/>
          <w:color w:val="auto"/>
          <w:highlight w:val="none"/>
        </w:rPr>
        <w:t>16</w:t>
      </w:r>
      <w:r>
        <w:rPr>
          <w:rFonts w:ascii="CESI宋体-GB2312" w:hAnsi="CESI宋体-GB2312"/>
          <w:color w:val="auto"/>
          <w:highlight w:val="none"/>
        </w:rPr>
        <w:fldChar w:fldCharType="end"/>
      </w:r>
      <w:r>
        <w:rPr>
          <w:rFonts w:ascii="CESI宋体-GB2312" w:hAnsi="CESI宋体-GB2312"/>
          <w:color w:val="auto"/>
          <w:highlight w:val="none"/>
        </w:rPr>
        <w:fldChar w:fldCharType="end"/>
      </w:r>
    </w:p>
    <w:p>
      <w:pPr>
        <w:tabs>
          <w:tab w:val="right" w:leader="dot" w:pos="8306"/>
        </w:tabs>
        <w:ind w:firstLine="640"/>
        <w:rPr>
          <w:rFonts w:ascii="CESI宋体-GB2312" w:hAnsi="CESI宋体-GB2312"/>
          <w:color w:val="auto"/>
          <w:highlight w:val="none"/>
        </w:rPr>
      </w:pPr>
      <w:r>
        <w:rPr>
          <w:rFonts w:ascii="CESI宋体-GB2312" w:hAnsi="CESI宋体-GB2312"/>
          <w:color w:val="auto"/>
          <w:highlight w:val="none"/>
        </w:rPr>
        <w:fldChar w:fldCharType="begin"/>
      </w:r>
      <w:r>
        <w:rPr>
          <w:rFonts w:ascii="CESI宋体-GB2312" w:hAnsi="CESI宋体-GB2312"/>
          <w:color w:val="auto"/>
          <w:highlight w:val="none"/>
        </w:rPr>
        <w:instrText xml:space="preserve"> HYPERLINK \l "_Toc30571" </w:instrText>
      </w:r>
      <w:r>
        <w:rPr>
          <w:rFonts w:ascii="CESI宋体-GB2312" w:hAnsi="CESI宋体-GB2312"/>
          <w:color w:val="auto"/>
          <w:highlight w:val="none"/>
        </w:rPr>
        <w:fldChar w:fldCharType="separate"/>
      </w:r>
      <w:r>
        <w:rPr>
          <w:rFonts w:hint="eastAsia" w:ascii="CESI宋体-GB2312" w:hAnsi="CESI宋体-GB2312"/>
          <w:color w:val="auto"/>
          <w:highlight w:val="none"/>
        </w:rPr>
        <w:t>七、其他需要说明的问题</w:t>
      </w:r>
      <w:r>
        <w:rPr>
          <w:rFonts w:ascii="CESI宋体-GB2312" w:hAnsi="CESI宋体-GB2312"/>
          <w:color w:val="auto"/>
          <w:highlight w:val="none"/>
        </w:rPr>
        <w:tab/>
      </w:r>
      <w:r>
        <w:rPr>
          <w:rFonts w:ascii="CESI宋体-GB2312" w:hAnsi="CESI宋体-GB2312"/>
          <w:color w:val="auto"/>
          <w:highlight w:val="none"/>
        </w:rPr>
        <w:fldChar w:fldCharType="begin"/>
      </w:r>
      <w:r>
        <w:rPr>
          <w:rFonts w:ascii="CESI宋体-GB2312" w:hAnsi="CESI宋体-GB2312"/>
          <w:color w:val="auto"/>
          <w:highlight w:val="none"/>
        </w:rPr>
        <w:instrText xml:space="preserve"> PAGEREF _Toc30571 \h </w:instrText>
      </w:r>
      <w:r>
        <w:rPr>
          <w:rFonts w:ascii="CESI宋体-GB2312" w:hAnsi="CESI宋体-GB2312"/>
          <w:color w:val="auto"/>
          <w:highlight w:val="none"/>
        </w:rPr>
        <w:fldChar w:fldCharType="separate"/>
      </w:r>
      <w:r>
        <w:rPr>
          <w:rFonts w:ascii="CESI宋体-GB2312" w:hAnsi="CESI宋体-GB2312"/>
          <w:color w:val="auto"/>
          <w:highlight w:val="none"/>
        </w:rPr>
        <w:t>16</w:t>
      </w:r>
      <w:r>
        <w:rPr>
          <w:rFonts w:ascii="CESI宋体-GB2312" w:hAnsi="CESI宋体-GB2312"/>
          <w:color w:val="auto"/>
          <w:highlight w:val="none"/>
        </w:rPr>
        <w:fldChar w:fldCharType="end"/>
      </w:r>
      <w:r>
        <w:rPr>
          <w:rFonts w:ascii="CESI宋体-GB2312" w:hAnsi="CESI宋体-GB2312"/>
          <w:color w:val="auto"/>
          <w:highlight w:val="none"/>
        </w:rPr>
        <w:fldChar w:fldCharType="end"/>
      </w:r>
    </w:p>
    <w:p>
      <w:pPr>
        <w:tabs>
          <w:tab w:val="right" w:leader="dot" w:pos="8306"/>
        </w:tabs>
        <w:ind w:firstLine="640"/>
        <w:rPr>
          <w:rFonts w:ascii="CESI宋体-GB2312" w:hAnsi="CESI宋体-GB2312"/>
          <w:color w:val="auto"/>
          <w:highlight w:val="none"/>
        </w:rPr>
      </w:pPr>
      <w:r>
        <w:rPr>
          <w:rFonts w:ascii="CESI宋体-GB2312" w:hAnsi="CESI宋体-GB2312"/>
          <w:color w:val="auto"/>
          <w:highlight w:val="none"/>
        </w:rPr>
        <w:fldChar w:fldCharType="begin"/>
      </w:r>
      <w:r>
        <w:rPr>
          <w:rFonts w:ascii="CESI宋体-GB2312" w:hAnsi="CESI宋体-GB2312"/>
          <w:color w:val="auto"/>
          <w:highlight w:val="none"/>
        </w:rPr>
        <w:instrText xml:space="preserve"> HYPERLINK \l "_Toc10180" </w:instrText>
      </w:r>
      <w:r>
        <w:rPr>
          <w:rFonts w:ascii="CESI宋体-GB2312" w:hAnsi="CESI宋体-GB2312"/>
          <w:color w:val="auto"/>
          <w:highlight w:val="none"/>
        </w:rPr>
        <w:fldChar w:fldCharType="separate"/>
      </w:r>
      <w:r>
        <w:rPr>
          <w:rFonts w:hint="eastAsia" w:ascii="CESI宋体-GB2312" w:hAnsi="CESI宋体-GB2312"/>
          <w:color w:val="auto"/>
          <w:highlight w:val="none"/>
        </w:rPr>
        <w:t>八、相关附件</w:t>
      </w:r>
      <w:r>
        <w:rPr>
          <w:rFonts w:ascii="CESI宋体-GB2312" w:hAnsi="CESI宋体-GB2312"/>
          <w:color w:val="auto"/>
          <w:highlight w:val="none"/>
        </w:rPr>
        <w:tab/>
      </w:r>
      <w:r>
        <w:rPr>
          <w:rFonts w:ascii="CESI宋体-GB2312" w:hAnsi="CESI宋体-GB2312"/>
          <w:color w:val="auto"/>
          <w:highlight w:val="none"/>
        </w:rPr>
        <w:fldChar w:fldCharType="begin"/>
      </w:r>
      <w:r>
        <w:rPr>
          <w:rFonts w:ascii="CESI宋体-GB2312" w:hAnsi="CESI宋体-GB2312"/>
          <w:color w:val="auto"/>
          <w:highlight w:val="none"/>
        </w:rPr>
        <w:instrText xml:space="preserve"> PAGEREF _Toc10180 \h </w:instrText>
      </w:r>
      <w:r>
        <w:rPr>
          <w:rFonts w:ascii="CESI宋体-GB2312" w:hAnsi="CESI宋体-GB2312"/>
          <w:color w:val="auto"/>
          <w:highlight w:val="none"/>
        </w:rPr>
        <w:fldChar w:fldCharType="separate"/>
      </w:r>
      <w:r>
        <w:rPr>
          <w:rFonts w:ascii="CESI宋体-GB2312" w:hAnsi="CESI宋体-GB2312"/>
          <w:color w:val="auto"/>
          <w:highlight w:val="none"/>
        </w:rPr>
        <w:t>16</w:t>
      </w:r>
      <w:r>
        <w:rPr>
          <w:rFonts w:ascii="CESI宋体-GB2312" w:hAnsi="CESI宋体-GB2312"/>
          <w:color w:val="auto"/>
          <w:highlight w:val="none"/>
        </w:rPr>
        <w:fldChar w:fldCharType="end"/>
      </w:r>
      <w:r>
        <w:rPr>
          <w:rFonts w:ascii="CESI宋体-GB2312" w:hAnsi="CESI宋体-GB2312"/>
          <w:color w:val="auto"/>
          <w:highlight w:val="none"/>
        </w:rPr>
        <w:fldChar w:fldCharType="end"/>
      </w:r>
    </w:p>
    <w:p>
      <w:pPr>
        <w:pStyle w:val="4"/>
        <w:bidi w:val="0"/>
        <w:rPr>
          <w:rFonts w:ascii="CESI宋体-GB2312" w:hAnsi="CESI宋体-GB2312" w:eastAsia="黑体"/>
          <w:bCs/>
          <w:color w:val="auto"/>
          <w:szCs w:val="44"/>
          <w:highlight w:val="none"/>
        </w:rPr>
        <w:sectPr>
          <w:pgSz w:w="11906" w:h="16838"/>
          <w:pgMar w:top="1440" w:right="1800" w:bottom="1440" w:left="1800" w:header="851" w:footer="992" w:gutter="0"/>
          <w:pgNumType w:start="1"/>
          <w:cols w:space="425" w:num="1"/>
          <w:docGrid w:type="lines" w:linePitch="312" w:charSpace="0"/>
        </w:sectPr>
      </w:pPr>
    </w:p>
    <w:p>
      <w:pPr>
        <w:pStyle w:val="4"/>
        <w:bidi w:val="0"/>
        <w:rPr>
          <w:rFonts w:ascii="CESI宋体-GB2312" w:hAnsi="CESI宋体-GB2312"/>
          <w:color w:val="auto"/>
          <w:highlight w:val="none"/>
        </w:rPr>
      </w:pPr>
      <w:r>
        <w:rPr>
          <w:rFonts w:ascii="CESI宋体-GB2312" w:hAnsi="CESI宋体-GB2312" w:eastAsia="黑体"/>
          <w:bCs/>
          <w:color w:val="auto"/>
          <w:szCs w:val="44"/>
          <w:highlight w:val="none"/>
        </w:rPr>
        <w:fldChar w:fldCharType="end"/>
      </w:r>
      <w:bookmarkStart w:id="0" w:name="_Toc25620"/>
      <w:r>
        <w:rPr>
          <w:rFonts w:ascii="CESI宋体-GB2312" w:hAnsi="CESI宋体-GB2312"/>
          <w:color w:val="auto"/>
          <w:highlight w:val="none"/>
        </w:rPr>
        <w:t>一、基本情况</w:t>
      </w:r>
      <w:bookmarkEnd w:id="0"/>
    </w:p>
    <w:p>
      <w:pPr>
        <w:pStyle w:val="2"/>
        <w:bidi w:val="0"/>
        <w:rPr>
          <w:rFonts w:ascii="CESI宋体-GB2312" w:hAnsi="CESI宋体-GB2312"/>
          <w:color w:val="auto"/>
          <w:highlight w:val="none"/>
        </w:rPr>
      </w:pPr>
      <w:bookmarkStart w:id="1" w:name="_Toc8971"/>
      <w:r>
        <w:rPr>
          <w:rFonts w:ascii="CESI宋体-GB2312" w:hAnsi="CESI宋体-GB2312"/>
          <w:color w:val="auto"/>
          <w:highlight w:val="none"/>
        </w:rPr>
        <w:t>（一）项目概况</w:t>
      </w:r>
      <w:bookmarkEnd w:id="1"/>
    </w:p>
    <w:p>
      <w:pPr>
        <w:bidi w:val="0"/>
        <w:rPr>
          <w:rFonts w:ascii="CESI宋体-GB2312" w:hAnsi="CESI宋体-GB2312"/>
          <w:b/>
          <w:bCs/>
          <w:color w:val="auto"/>
          <w:highlight w:val="none"/>
        </w:rPr>
      </w:pPr>
      <w:r>
        <w:rPr>
          <w:rFonts w:ascii="CESI宋体-GB2312" w:hAnsi="CESI宋体-GB2312"/>
          <w:b/>
          <w:bCs/>
          <w:color w:val="auto"/>
          <w:highlight w:val="none"/>
        </w:rPr>
        <w:t>1、项目背景</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CESI宋体-GB2312" w:hAnsi="CESI宋体-GB2312" w:eastAsia="方正仿宋_GBK" w:cs="方正仿宋_GBK"/>
          <w:color w:val="auto"/>
          <w:highlight w:val="none"/>
          <w:lang w:eastAsia="zh-CN"/>
        </w:rPr>
      </w:pPr>
      <w:r>
        <w:rPr>
          <w:rFonts w:hint="eastAsia" w:ascii="CESI宋体-GB2312" w:hAnsi="CESI宋体-GB2312" w:eastAsia="方正仿宋_GBK" w:cs="方正仿宋_GBK"/>
          <w:color w:val="auto"/>
          <w:highlight w:val="none"/>
          <w:lang w:eastAsia="zh-CN"/>
        </w:rPr>
        <w:t>为了进一步做好农业保险保费补贴工作，提升财政资金使用绩效，加快农业保险高质量发展，根据《新疆维吾尔自治区政策性2023年农业保险保费补贴资金（县级配套）管理暂行办法的通知》《新疆维吾尔自治区农业保险保费补贴实施细则》要求、尉犁县农业农村局高度重视、严格按规范要求组织开展了尉犁县2023年农业保险保费补贴资金（县级配套）项目。</w:t>
      </w:r>
    </w:p>
    <w:p>
      <w:pPr>
        <w:bidi w:val="0"/>
        <w:rPr>
          <w:rFonts w:ascii="CESI宋体-GB2312" w:hAnsi="CESI宋体-GB2312"/>
          <w:b/>
          <w:bCs/>
          <w:color w:val="auto"/>
          <w:highlight w:val="none"/>
        </w:rPr>
      </w:pPr>
      <w:r>
        <w:rPr>
          <w:rFonts w:ascii="CESI宋体-GB2312" w:hAnsi="CESI宋体-GB2312"/>
          <w:b/>
          <w:bCs/>
          <w:color w:val="auto"/>
          <w:highlight w:val="none"/>
        </w:rPr>
        <w:t>2、项目主要内容</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CESI宋体-GB2312" w:hAnsi="CESI宋体-GB2312"/>
          <w:color w:val="auto"/>
          <w:highlight w:val="none"/>
        </w:rPr>
      </w:pPr>
      <w:r>
        <w:rPr>
          <w:rFonts w:ascii="CESI宋体-GB2312" w:hAnsi="CESI宋体-GB2312" w:cs="Times New Roman"/>
          <w:color w:val="auto"/>
          <w:highlight w:val="none"/>
        </w:rPr>
        <w:t>下达我县202</w:t>
      </w:r>
      <w:r>
        <w:rPr>
          <w:rFonts w:hint="eastAsia" w:ascii="CESI宋体-GB2312" w:hAnsi="CESI宋体-GB2312" w:cs="Times New Roman"/>
          <w:color w:val="auto"/>
          <w:highlight w:val="none"/>
          <w:lang w:val="en-US" w:eastAsia="zh-CN"/>
        </w:rPr>
        <w:t>3</w:t>
      </w:r>
      <w:r>
        <w:rPr>
          <w:rFonts w:ascii="CESI宋体-GB2312" w:hAnsi="CESI宋体-GB2312" w:cs="Times New Roman"/>
          <w:color w:val="auto"/>
          <w:highlight w:val="none"/>
        </w:rPr>
        <w:t>年</w:t>
      </w:r>
      <w:r>
        <w:rPr>
          <w:rFonts w:hint="eastAsia" w:ascii="CESI宋体-GB2312" w:hAnsi="CESI宋体-GB2312" w:cs="Times New Roman"/>
          <w:color w:val="auto"/>
          <w:highlight w:val="none"/>
          <w:lang w:eastAsia="zh-CN"/>
        </w:rPr>
        <w:t>农业保险保费补贴资金（县级配套）县级财政补贴资金791.02万元，支付棉花、小麦、玉米等种植业和奶牛、能繁殖母猪、育肥猪等养殖业。</w:t>
      </w:r>
    </w:p>
    <w:p>
      <w:pPr>
        <w:bidi w:val="0"/>
        <w:rPr>
          <w:rFonts w:ascii="CESI宋体-GB2312" w:hAnsi="CESI宋体-GB2312"/>
          <w:b/>
          <w:bCs/>
          <w:color w:val="auto"/>
          <w:highlight w:val="none"/>
        </w:rPr>
      </w:pPr>
      <w:r>
        <w:rPr>
          <w:rFonts w:hint="eastAsia" w:ascii="CESI宋体-GB2312" w:hAnsi="CESI宋体-GB2312"/>
          <w:b/>
          <w:bCs/>
          <w:color w:val="auto"/>
          <w:highlight w:val="none"/>
        </w:rPr>
        <w:t>3、</w:t>
      </w:r>
      <w:r>
        <w:rPr>
          <w:rFonts w:ascii="CESI宋体-GB2312" w:hAnsi="CESI宋体-GB2312"/>
          <w:b/>
          <w:bCs/>
          <w:color w:val="auto"/>
          <w:highlight w:val="none"/>
        </w:rPr>
        <w:t>项目实施情况</w:t>
      </w:r>
    </w:p>
    <w:p>
      <w:pPr>
        <w:bidi w:val="0"/>
        <w:rPr>
          <w:rFonts w:hint="eastAsia" w:ascii="CESI宋体-GB2312" w:hAnsi="CESI宋体-GB2312" w:eastAsia="方正仿宋_GBK" w:cs="方正仿宋_GBK"/>
          <w:color w:val="auto"/>
          <w:highlight w:val="none"/>
          <w:lang w:val="en-US" w:eastAsia="zh-CN"/>
        </w:rPr>
      </w:pPr>
      <w:r>
        <w:rPr>
          <w:rFonts w:hint="eastAsia" w:ascii="CESI宋体-GB2312" w:hAnsi="CESI宋体-GB2312" w:eastAsia="方正仿宋_GBK" w:cs="方正仿宋_GBK"/>
          <w:color w:val="auto"/>
          <w:highlight w:val="none"/>
          <w:lang w:val="en-US" w:eastAsia="zh-CN"/>
        </w:rPr>
        <w:t>该项目资金于</w:t>
      </w:r>
      <w:r>
        <w:rPr>
          <w:rFonts w:hint="eastAsia" w:ascii="CESI宋体-GB2312" w:hAnsi="CESI宋体-GB2312" w:eastAsia="方正仿宋_GBK" w:cs="方正仿宋_GBK"/>
          <w:color w:val="auto"/>
          <w:highlight w:val="none"/>
        </w:rPr>
        <w:t>202</w:t>
      </w:r>
      <w:r>
        <w:rPr>
          <w:rFonts w:hint="eastAsia" w:ascii="CESI宋体-GB2312" w:hAnsi="CESI宋体-GB2312" w:eastAsia="方正仿宋_GBK" w:cs="方正仿宋_GBK"/>
          <w:color w:val="auto"/>
          <w:highlight w:val="none"/>
          <w:lang w:val="en-US" w:eastAsia="zh-CN"/>
        </w:rPr>
        <w:t>3</w:t>
      </w:r>
      <w:r>
        <w:rPr>
          <w:rFonts w:hint="eastAsia" w:ascii="CESI宋体-GB2312" w:hAnsi="CESI宋体-GB2312" w:eastAsia="方正仿宋_GBK" w:cs="方正仿宋_GBK"/>
          <w:color w:val="auto"/>
          <w:highlight w:val="none"/>
        </w:rPr>
        <w:t>年</w:t>
      </w:r>
      <w:r>
        <w:rPr>
          <w:rFonts w:hint="eastAsia" w:ascii="CESI宋体-GB2312" w:hAnsi="CESI宋体-GB2312" w:eastAsia="方正仿宋_GBK" w:cs="方正仿宋_GBK"/>
          <w:color w:val="auto"/>
          <w:highlight w:val="none"/>
          <w:lang w:val="en-US" w:eastAsia="zh-CN"/>
        </w:rPr>
        <w:t>6</w:t>
      </w:r>
      <w:r>
        <w:rPr>
          <w:rFonts w:hint="eastAsia" w:ascii="CESI宋体-GB2312" w:hAnsi="CESI宋体-GB2312" w:eastAsia="方正仿宋_GBK" w:cs="方正仿宋_GBK"/>
          <w:color w:val="auto"/>
          <w:highlight w:val="none"/>
        </w:rPr>
        <w:t>月，经</w:t>
      </w:r>
      <w:r>
        <w:rPr>
          <w:rFonts w:hint="eastAsia" w:ascii="CESI宋体-GB2312" w:hAnsi="CESI宋体-GB2312" w:eastAsia="方正仿宋_GBK" w:cs="方正仿宋_GBK"/>
          <w:color w:val="auto"/>
          <w:highlight w:val="none"/>
          <w:lang w:eastAsia="zh-CN"/>
        </w:rPr>
        <w:t>尉犁</w:t>
      </w:r>
      <w:r>
        <w:rPr>
          <w:rFonts w:hint="eastAsia" w:ascii="CESI宋体-GB2312" w:hAnsi="CESI宋体-GB2312" w:eastAsia="方正仿宋_GBK" w:cs="方正仿宋_GBK"/>
          <w:color w:val="auto"/>
          <w:highlight w:val="none"/>
        </w:rPr>
        <w:t>县财政局批复同意。</w:t>
      </w:r>
      <w:r>
        <w:rPr>
          <w:rFonts w:hint="eastAsia" w:ascii="CESI宋体-GB2312" w:hAnsi="CESI宋体-GB2312" w:eastAsia="方正仿宋_GBK" w:cs="方正仿宋_GBK"/>
          <w:color w:val="auto"/>
          <w:highlight w:val="none"/>
          <w:lang w:val="en-US" w:eastAsia="zh-CN"/>
        </w:rPr>
        <w:t>项目实施情况如下：</w:t>
      </w:r>
    </w:p>
    <w:p>
      <w:pPr>
        <w:bidi w:val="0"/>
        <w:rPr>
          <w:rFonts w:hint="default" w:ascii="CESI宋体-GB2312" w:hAnsi="CESI宋体-GB2312" w:eastAsia="方正仿宋_GBK" w:cs="方正仿宋_GBK"/>
          <w:color w:val="auto"/>
          <w:highlight w:val="none"/>
          <w:lang w:val="en-US" w:eastAsia="zh-CN"/>
        </w:rPr>
      </w:pPr>
      <w:r>
        <w:rPr>
          <w:rFonts w:hint="eastAsia" w:ascii="CESI宋体-GB2312" w:hAnsi="CESI宋体-GB2312"/>
          <w:color w:val="auto"/>
          <w:highlight w:val="none"/>
        </w:rPr>
        <w:t>按照</w:t>
      </w:r>
      <w:r>
        <w:rPr>
          <w:rFonts w:hint="eastAsia" w:ascii="CESI宋体-GB2312" w:hAnsi="CESI宋体-GB2312"/>
          <w:color w:val="auto"/>
          <w:highlight w:val="none"/>
          <w:lang w:eastAsia="zh-CN"/>
        </w:rPr>
        <w:t>棉花保费为</w:t>
      </w:r>
      <w:r>
        <w:rPr>
          <w:rFonts w:hint="eastAsia" w:ascii="CESI宋体-GB2312" w:hAnsi="CESI宋体-GB2312"/>
          <w:color w:val="auto"/>
          <w:highlight w:val="none"/>
          <w:lang w:val="en-US" w:eastAsia="zh-CN"/>
        </w:rPr>
        <w:t>70元/亩，小麦保费为30元/亩，玉米保费为49元/亩。奶牛保额为600元/头，能繁殖母猪保费为60元/头，育肥猪保费为48元/头标准，</w:t>
      </w:r>
      <w:r>
        <w:rPr>
          <w:rFonts w:hint="eastAsia" w:ascii="CESI宋体-GB2312" w:hAnsi="CESI宋体-GB2312" w:eastAsia="方正仿宋_GBK" w:cs="方正仿宋_GBK"/>
          <w:color w:val="auto"/>
          <w:highlight w:val="none"/>
          <w:lang w:val="en-US" w:eastAsia="zh-CN"/>
        </w:rPr>
        <w:t>向中国人民财产保险股份有限公司尉犁县支公司、向中国人寿财产保险股份有限公司尉犁县支公司、向中国平安财产保险股份有限公司尉犁县支公司</w:t>
      </w:r>
      <w:r>
        <w:rPr>
          <w:rFonts w:hint="eastAsia" w:ascii="CESI宋体-GB2312" w:hAnsi="CESI宋体-GB2312"/>
          <w:color w:val="auto"/>
          <w:highlight w:val="none"/>
          <w:lang w:val="en-US" w:eastAsia="zh-CN"/>
        </w:rPr>
        <w:t>拨付</w:t>
      </w:r>
      <w:r>
        <w:rPr>
          <w:rFonts w:hint="eastAsia" w:ascii="CESI宋体-GB2312" w:hAnsi="CESI宋体-GB2312" w:eastAsia="方正仿宋_GBK" w:cs="方正仿宋_GBK"/>
          <w:color w:val="auto"/>
          <w:highlight w:val="none"/>
          <w:lang w:eastAsia="zh-CN"/>
        </w:rPr>
        <w:t>种植业</w:t>
      </w:r>
      <w:r>
        <w:rPr>
          <w:rFonts w:hint="eastAsia" w:ascii="CESI宋体-GB2312" w:hAnsi="CESI宋体-GB2312" w:eastAsia="方正仿宋_GBK" w:cs="方正仿宋_GBK"/>
          <w:color w:val="auto"/>
          <w:highlight w:val="none"/>
          <w:lang w:val="en-US" w:eastAsia="zh-CN"/>
        </w:rPr>
        <w:t>、养殖业保险费补贴。</w:t>
      </w:r>
    </w:p>
    <w:p>
      <w:pPr>
        <w:bidi w:val="0"/>
        <w:rPr>
          <w:rFonts w:ascii="CESI宋体-GB2312" w:hAnsi="CESI宋体-GB2312"/>
          <w:b/>
          <w:bCs/>
          <w:color w:val="auto"/>
          <w:highlight w:val="none"/>
        </w:rPr>
      </w:pPr>
      <w:r>
        <w:rPr>
          <w:rFonts w:hint="eastAsia" w:ascii="CESI宋体-GB2312" w:hAnsi="CESI宋体-GB2312"/>
          <w:b/>
          <w:bCs/>
          <w:color w:val="auto"/>
          <w:highlight w:val="none"/>
        </w:rPr>
        <w:t>4、资金投入情况</w:t>
      </w:r>
    </w:p>
    <w:p>
      <w:pPr>
        <w:bidi w:val="0"/>
        <w:rPr>
          <w:rFonts w:hint="eastAsia" w:ascii="CESI宋体-GB2312" w:hAnsi="CESI宋体-GB2312" w:eastAsia="方正仿宋_GBK" w:cs="方正仿宋_GBK"/>
          <w:color w:val="auto"/>
          <w:highlight w:val="none"/>
          <w:lang w:eastAsia="zh-CN"/>
        </w:rPr>
      </w:pPr>
      <w:r>
        <w:rPr>
          <w:rFonts w:hint="eastAsia" w:ascii="CESI宋体-GB2312" w:hAnsi="CESI宋体-GB2312" w:eastAsia="方正仿宋_GBK" w:cs="方正仿宋_GBK"/>
          <w:color w:val="auto"/>
          <w:highlight w:val="none"/>
          <w:lang w:eastAsia="zh-CN"/>
        </w:rPr>
        <w:t>根据自治区人民政府办公厅《</w:t>
      </w:r>
      <w:r>
        <w:rPr>
          <w:rFonts w:hint="eastAsia" w:ascii="CESI宋体-GB2312" w:hAnsi="CESI宋体-GB2312" w:eastAsia="方正仿宋_GBK" w:cs="方正仿宋_GBK"/>
          <w:color w:val="auto"/>
          <w:highlight w:val="none"/>
          <w:lang w:val="en-US" w:eastAsia="zh-CN"/>
        </w:rPr>
        <w:t>关于印发新疆维吾尔自治区政策性农业保险费补贴资金管理暂行办法的通知</w:t>
      </w:r>
      <w:r>
        <w:rPr>
          <w:rFonts w:hint="eastAsia" w:ascii="CESI宋体-GB2312" w:hAnsi="CESI宋体-GB2312" w:eastAsia="方正仿宋_GBK" w:cs="方正仿宋_GBK"/>
          <w:color w:val="auto"/>
          <w:highlight w:val="none"/>
          <w:lang w:eastAsia="zh-CN"/>
        </w:rPr>
        <w:t>》</w:t>
      </w:r>
      <w:r>
        <w:rPr>
          <w:rFonts w:hint="eastAsia" w:ascii="CESI宋体-GB2312" w:hAnsi="CESI宋体-GB2312" w:eastAsia="方正仿宋_GBK" w:cs="方正仿宋_GBK"/>
          <w:color w:val="auto"/>
          <w:highlight w:val="none"/>
          <w:lang w:val="en-US" w:eastAsia="zh-CN"/>
        </w:rPr>
        <w:t>，下达</w:t>
      </w:r>
      <w:r>
        <w:rPr>
          <w:rFonts w:hint="eastAsia" w:ascii="CESI宋体-GB2312" w:hAnsi="CESI宋体-GB2312" w:eastAsia="方正仿宋_GBK" w:cs="方正仿宋_GBK"/>
          <w:color w:val="auto"/>
          <w:highlight w:val="none"/>
          <w:lang w:eastAsia="zh-CN"/>
        </w:rPr>
        <w:t>2023年农业保险保费补贴资金（县级配套）</w:t>
      </w:r>
      <w:r>
        <w:rPr>
          <w:rFonts w:hint="eastAsia" w:ascii="CESI宋体-GB2312" w:hAnsi="CESI宋体-GB2312" w:eastAsia="方正仿宋_GBK" w:cs="方正仿宋_GBK"/>
          <w:color w:val="auto"/>
          <w:highlight w:val="none"/>
          <w:lang w:val="en-US" w:eastAsia="zh-CN"/>
        </w:rPr>
        <w:t>由州县财政拨付10%保险补贴</w:t>
      </w:r>
      <w:r>
        <w:rPr>
          <w:rFonts w:hint="eastAsia" w:ascii="CESI宋体-GB2312" w:hAnsi="CESI宋体-GB2312" w:eastAsia="方正仿宋_GBK" w:cs="方正仿宋_GBK"/>
          <w:color w:val="auto"/>
          <w:highlight w:val="none"/>
          <w:lang w:eastAsia="zh-CN"/>
        </w:rPr>
        <w:t>共计791.02万元</w:t>
      </w:r>
      <w:r>
        <w:rPr>
          <w:rFonts w:hint="default" w:ascii="CESI宋体-GB2312" w:hAnsi="CESI宋体-GB2312" w:eastAsia="方正仿宋_GBK" w:cs="方正仿宋_GBK"/>
          <w:color w:val="auto"/>
          <w:highlight w:val="none"/>
          <w:lang w:val="en-US" w:eastAsia="zh-CN"/>
        </w:rPr>
        <w:t>,</w:t>
      </w:r>
      <w:r>
        <w:rPr>
          <w:rFonts w:hint="eastAsia" w:ascii="CESI宋体-GB2312" w:hAnsi="CESI宋体-GB2312" w:eastAsia="方正仿宋_GBK" w:cs="方正仿宋_GBK"/>
          <w:color w:val="auto"/>
          <w:highlight w:val="none"/>
          <w:lang w:eastAsia="zh-CN"/>
        </w:rPr>
        <w:t>用于支付种植业、养殖业农业保险补贴。</w:t>
      </w:r>
    </w:p>
    <w:p>
      <w:pPr>
        <w:bidi w:val="0"/>
        <w:rPr>
          <w:rFonts w:ascii="CESI宋体-GB2312" w:hAnsi="CESI宋体-GB2312"/>
          <w:b/>
          <w:bCs/>
          <w:color w:val="auto"/>
          <w:highlight w:val="none"/>
        </w:rPr>
      </w:pPr>
      <w:r>
        <w:rPr>
          <w:rFonts w:hint="eastAsia" w:ascii="CESI宋体-GB2312" w:hAnsi="CESI宋体-GB2312"/>
          <w:b/>
          <w:bCs/>
          <w:color w:val="auto"/>
          <w:highlight w:val="none"/>
        </w:rPr>
        <w:t>5、资金使用情况</w:t>
      </w:r>
    </w:p>
    <w:p>
      <w:pPr>
        <w:bidi w:val="0"/>
        <w:rPr>
          <w:rFonts w:hint="eastAsia" w:ascii="CESI宋体-GB2312" w:hAnsi="CESI宋体-GB2312" w:eastAsia="方正仿宋_GBK" w:cs="方正仿宋_GBK"/>
          <w:color w:val="auto"/>
          <w:highlight w:val="none"/>
          <w:lang w:eastAsia="zh-CN"/>
        </w:rPr>
      </w:pPr>
      <w:r>
        <w:rPr>
          <w:rFonts w:hint="eastAsia" w:ascii="CESI宋体-GB2312" w:hAnsi="CESI宋体-GB2312" w:eastAsia="方正仿宋_GBK" w:cs="方正仿宋_GBK"/>
          <w:color w:val="auto"/>
          <w:highlight w:val="none"/>
          <w:lang w:val="en-US" w:eastAsia="zh-CN"/>
        </w:rPr>
        <w:t>本项目</w:t>
      </w:r>
      <w:r>
        <w:rPr>
          <w:rFonts w:hint="eastAsia" w:ascii="CESI宋体-GB2312" w:hAnsi="CESI宋体-GB2312" w:eastAsia="方正仿宋_GBK" w:cs="方正仿宋_GBK"/>
          <w:color w:val="auto"/>
          <w:highlight w:val="none"/>
          <w:lang w:eastAsia="zh-CN"/>
        </w:rPr>
        <w:t>年初预算数</w:t>
      </w:r>
      <w:r>
        <w:rPr>
          <w:rFonts w:hint="eastAsia" w:ascii="CESI宋体-GB2312" w:hAnsi="CESI宋体-GB2312" w:eastAsia="方正仿宋_GBK" w:cs="方正仿宋_GBK"/>
          <w:color w:val="auto"/>
          <w:highlight w:val="none"/>
          <w:lang w:val="en-US" w:eastAsia="zh-CN"/>
        </w:rPr>
        <w:t>791.02</w:t>
      </w:r>
      <w:r>
        <w:rPr>
          <w:rFonts w:hint="eastAsia" w:ascii="CESI宋体-GB2312" w:hAnsi="CESI宋体-GB2312" w:eastAsia="方正仿宋_GBK" w:cs="方正仿宋_GBK"/>
          <w:color w:val="auto"/>
          <w:highlight w:val="none"/>
          <w:lang w:eastAsia="zh-CN"/>
        </w:rPr>
        <w:t>万元，实际到位资金</w:t>
      </w:r>
      <w:r>
        <w:rPr>
          <w:rFonts w:hint="eastAsia" w:ascii="CESI宋体-GB2312" w:hAnsi="CESI宋体-GB2312" w:eastAsia="方正仿宋_GBK" w:cs="方正仿宋_GBK"/>
          <w:color w:val="auto"/>
          <w:highlight w:val="none"/>
          <w:lang w:val="en-US" w:eastAsia="zh-CN"/>
        </w:rPr>
        <w:t>791.02</w:t>
      </w:r>
      <w:r>
        <w:rPr>
          <w:rFonts w:hint="eastAsia" w:ascii="CESI宋体-GB2312" w:hAnsi="CESI宋体-GB2312" w:eastAsia="方正仿宋_GBK" w:cs="方正仿宋_GBK"/>
          <w:color w:val="auto"/>
          <w:highlight w:val="none"/>
          <w:lang w:eastAsia="zh-CN"/>
        </w:rPr>
        <w:t>万元。截至202</w:t>
      </w:r>
      <w:r>
        <w:rPr>
          <w:rFonts w:hint="eastAsia" w:ascii="CESI宋体-GB2312" w:hAnsi="CESI宋体-GB2312" w:eastAsia="方正仿宋_GBK" w:cs="方正仿宋_GBK"/>
          <w:color w:val="auto"/>
          <w:highlight w:val="none"/>
          <w:lang w:val="en-US" w:eastAsia="zh-CN"/>
        </w:rPr>
        <w:t>3</w:t>
      </w:r>
      <w:r>
        <w:rPr>
          <w:rFonts w:hint="eastAsia" w:ascii="CESI宋体-GB2312" w:hAnsi="CESI宋体-GB2312" w:eastAsia="方正仿宋_GBK" w:cs="方正仿宋_GBK"/>
          <w:color w:val="auto"/>
          <w:highlight w:val="none"/>
          <w:lang w:eastAsia="zh-CN"/>
        </w:rPr>
        <w:t>年</w:t>
      </w:r>
      <w:r>
        <w:rPr>
          <w:rFonts w:hint="eastAsia" w:ascii="CESI宋体-GB2312" w:hAnsi="CESI宋体-GB2312" w:eastAsia="方正仿宋_GBK" w:cs="方正仿宋_GBK"/>
          <w:color w:val="auto"/>
          <w:highlight w:val="none"/>
          <w:lang w:val="en-US" w:eastAsia="zh-CN"/>
        </w:rPr>
        <w:t>8</w:t>
      </w:r>
      <w:r>
        <w:rPr>
          <w:rFonts w:hint="eastAsia" w:ascii="CESI宋体-GB2312" w:hAnsi="CESI宋体-GB2312" w:eastAsia="方正仿宋_GBK" w:cs="方正仿宋_GBK"/>
          <w:color w:val="auto"/>
          <w:highlight w:val="none"/>
          <w:lang w:eastAsia="zh-CN"/>
        </w:rPr>
        <w:t>月</w:t>
      </w:r>
      <w:r>
        <w:rPr>
          <w:rFonts w:hint="eastAsia" w:ascii="CESI宋体-GB2312" w:hAnsi="CESI宋体-GB2312" w:eastAsia="方正仿宋_GBK" w:cs="方正仿宋_GBK"/>
          <w:color w:val="auto"/>
          <w:highlight w:val="none"/>
          <w:lang w:val="en-US" w:eastAsia="zh-CN"/>
        </w:rPr>
        <w:t>29</w:t>
      </w:r>
      <w:r>
        <w:rPr>
          <w:rFonts w:hint="eastAsia" w:ascii="CESI宋体-GB2312" w:hAnsi="CESI宋体-GB2312" w:eastAsia="方正仿宋_GBK" w:cs="方正仿宋_GBK"/>
          <w:color w:val="auto"/>
          <w:highlight w:val="none"/>
          <w:lang w:eastAsia="zh-CN"/>
        </w:rPr>
        <w:t>日，项目实际使用资金</w:t>
      </w:r>
      <w:r>
        <w:rPr>
          <w:rFonts w:hint="eastAsia" w:ascii="CESI宋体-GB2312" w:hAnsi="CESI宋体-GB2312" w:eastAsia="方正仿宋_GBK" w:cs="方正仿宋_GBK"/>
          <w:color w:val="auto"/>
          <w:highlight w:val="none"/>
          <w:lang w:val="en-US" w:eastAsia="zh-CN"/>
        </w:rPr>
        <w:t>791.02</w:t>
      </w:r>
      <w:r>
        <w:rPr>
          <w:rFonts w:hint="eastAsia" w:ascii="CESI宋体-GB2312" w:hAnsi="CESI宋体-GB2312" w:eastAsia="方正仿宋_GBK" w:cs="方正仿宋_GBK"/>
          <w:color w:val="auto"/>
          <w:highlight w:val="none"/>
          <w:lang w:eastAsia="zh-CN"/>
        </w:rPr>
        <w:t>万元，资金</w:t>
      </w:r>
      <w:r>
        <w:rPr>
          <w:rFonts w:hint="eastAsia" w:ascii="CESI宋体-GB2312" w:hAnsi="CESI宋体-GB2312" w:eastAsia="方正仿宋_GBK" w:cs="方正仿宋_GBK"/>
          <w:color w:val="auto"/>
          <w:highlight w:val="none"/>
          <w:lang w:val="en-US" w:eastAsia="zh-CN"/>
        </w:rPr>
        <w:t>使用</w:t>
      </w:r>
      <w:r>
        <w:rPr>
          <w:rFonts w:hint="eastAsia" w:ascii="CESI宋体-GB2312" w:hAnsi="CESI宋体-GB2312" w:eastAsia="方正仿宋_GBK" w:cs="方正仿宋_GBK"/>
          <w:color w:val="auto"/>
          <w:highlight w:val="none"/>
          <w:lang w:eastAsia="zh-CN"/>
        </w:rPr>
        <w:t>率达到了</w:t>
      </w:r>
      <w:r>
        <w:rPr>
          <w:rFonts w:hint="eastAsia" w:ascii="CESI宋体-GB2312" w:hAnsi="CESI宋体-GB2312" w:eastAsia="方正仿宋_GBK" w:cs="方正仿宋_GBK"/>
          <w:color w:val="auto"/>
          <w:highlight w:val="none"/>
          <w:lang w:val="en-US" w:eastAsia="zh-CN"/>
        </w:rPr>
        <w:t>100</w:t>
      </w:r>
      <w:r>
        <w:rPr>
          <w:rFonts w:hint="eastAsia" w:ascii="CESI宋体-GB2312" w:hAnsi="CESI宋体-GB2312" w:eastAsia="方正仿宋_GBK" w:cs="方正仿宋_GBK"/>
          <w:color w:val="auto"/>
          <w:highlight w:val="none"/>
          <w:lang w:eastAsia="zh-CN"/>
        </w:rPr>
        <w:t>%。资金</w:t>
      </w:r>
      <w:r>
        <w:rPr>
          <w:rFonts w:hint="eastAsia" w:ascii="CESI宋体-GB2312" w:hAnsi="CESI宋体-GB2312" w:eastAsia="方正仿宋_GBK" w:cs="方正仿宋_GBK"/>
          <w:color w:val="auto"/>
          <w:highlight w:val="none"/>
          <w:lang w:val="en-US" w:eastAsia="zh-CN"/>
        </w:rPr>
        <w:t>支付</w:t>
      </w:r>
      <w:r>
        <w:rPr>
          <w:rFonts w:hint="eastAsia" w:ascii="CESI宋体-GB2312" w:hAnsi="CESI宋体-GB2312" w:eastAsia="方正仿宋_GBK" w:cs="方正仿宋_GBK"/>
          <w:color w:val="auto"/>
          <w:highlight w:val="none"/>
          <w:lang w:eastAsia="zh-CN"/>
        </w:rPr>
        <w:t>情况如下：</w:t>
      </w:r>
    </w:p>
    <w:p>
      <w:pPr>
        <w:bidi w:val="0"/>
        <w:rPr>
          <w:rFonts w:hint="eastAsia" w:ascii="CESI宋体-GB2312" w:hAnsi="CESI宋体-GB2312" w:eastAsia="方正仿宋_GBK" w:cs="方正仿宋_GBK"/>
          <w:color w:val="auto"/>
          <w:highlight w:val="none"/>
          <w:lang w:eastAsia="zh-CN"/>
        </w:rPr>
      </w:pPr>
      <w:r>
        <w:rPr>
          <w:rFonts w:hint="eastAsia" w:ascii="CESI宋体-GB2312" w:hAnsi="CESI宋体-GB2312" w:eastAsia="方正仿宋_GBK" w:cs="方正仿宋_GBK"/>
          <w:color w:val="auto"/>
          <w:highlight w:val="none"/>
          <w:lang w:eastAsia="zh-CN"/>
        </w:rPr>
        <w:t>202</w:t>
      </w:r>
      <w:r>
        <w:rPr>
          <w:rFonts w:hint="eastAsia" w:ascii="CESI宋体-GB2312" w:hAnsi="CESI宋体-GB2312" w:eastAsia="方正仿宋_GBK" w:cs="方正仿宋_GBK"/>
          <w:color w:val="auto"/>
          <w:highlight w:val="none"/>
          <w:lang w:val="en-US" w:eastAsia="zh-CN"/>
        </w:rPr>
        <w:t>3</w:t>
      </w:r>
      <w:r>
        <w:rPr>
          <w:rFonts w:hint="eastAsia" w:ascii="CESI宋体-GB2312" w:hAnsi="CESI宋体-GB2312" w:eastAsia="方正仿宋_GBK" w:cs="方正仿宋_GBK"/>
          <w:color w:val="auto"/>
          <w:highlight w:val="none"/>
          <w:lang w:eastAsia="zh-CN"/>
        </w:rPr>
        <w:t>年0</w:t>
      </w:r>
      <w:r>
        <w:rPr>
          <w:rFonts w:hint="eastAsia" w:ascii="CESI宋体-GB2312" w:hAnsi="CESI宋体-GB2312" w:eastAsia="方正仿宋_GBK" w:cs="方正仿宋_GBK"/>
          <w:color w:val="auto"/>
          <w:highlight w:val="none"/>
          <w:lang w:val="en-US" w:eastAsia="zh-CN"/>
        </w:rPr>
        <w:t>6</w:t>
      </w:r>
      <w:r>
        <w:rPr>
          <w:rFonts w:hint="eastAsia" w:ascii="CESI宋体-GB2312" w:hAnsi="CESI宋体-GB2312" w:eastAsia="方正仿宋_GBK" w:cs="方正仿宋_GBK"/>
          <w:color w:val="auto"/>
          <w:highlight w:val="none"/>
          <w:lang w:eastAsia="zh-CN"/>
        </w:rPr>
        <w:t>月</w:t>
      </w:r>
      <w:r>
        <w:rPr>
          <w:rFonts w:hint="eastAsia" w:ascii="CESI宋体-GB2312" w:hAnsi="CESI宋体-GB2312" w:eastAsia="方正仿宋_GBK" w:cs="方正仿宋_GBK"/>
          <w:color w:val="auto"/>
          <w:highlight w:val="none"/>
          <w:lang w:val="en-US" w:eastAsia="zh-CN"/>
        </w:rPr>
        <w:t>19</w:t>
      </w:r>
      <w:r>
        <w:rPr>
          <w:rFonts w:hint="eastAsia" w:ascii="CESI宋体-GB2312" w:hAnsi="CESI宋体-GB2312" w:eastAsia="方正仿宋_GBK" w:cs="方正仿宋_GBK"/>
          <w:color w:val="auto"/>
          <w:highlight w:val="none"/>
          <w:lang w:eastAsia="zh-CN"/>
        </w:rPr>
        <w:t>日，支付</w:t>
      </w:r>
      <w:r>
        <w:rPr>
          <w:rFonts w:hint="eastAsia" w:ascii="CESI宋体-GB2312" w:hAnsi="CESI宋体-GB2312" w:eastAsia="方正仿宋_GBK" w:cs="方正仿宋_GBK"/>
          <w:color w:val="auto"/>
          <w:highlight w:val="none"/>
          <w:lang w:val="en-US" w:eastAsia="zh-CN"/>
        </w:rPr>
        <w:t>394.106</w:t>
      </w:r>
      <w:r>
        <w:rPr>
          <w:rFonts w:hint="eastAsia" w:ascii="CESI宋体-GB2312" w:hAnsi="CESI宋体-GB2312" w:eastAsia="方正仿宋_GBK" w:cs="方正仿宋_GBK"/>
          <w:color w:val="auto"/>
          <w:highlight w:val="none"/>
          <w:lang w:eastAsia="zh-CN"/>
        </w:rPr>
        <w:t>万元；</w:t>
      </w:r>
    </w:p>
    <w:p>
      <w:pPr>
        <w:bidi w:val="0"/>
        <w:rPr>
          <w:rFonts w:hint="eastAsia" w:ascii="CESI宋体-GB2312" w:hAnsi="CESI宋体-GB2312" w:eastAsia="方正仿宋_GBK" w:cs="方正仿宋_GBK"/>
          <w:color w:val="auto"/>
          <w:highlight w:val="none"/>
          <w:lang w:eastAsia="zh-CN"/>
        </w:rPr>
      </w:pPr>
      <w:r>
        <w:rPr>
          <w:rFonts w:hint="eastAsia" w:ascii="CESI宋体-GB2312" w:hAnsi="CESI宋体-GB2312" w:eastAsia="方正仿宋_GBK" w:cs="方正仿宋_GBK"/>
          <w:color w:val="auto"/>
          <w:highlight w:val="none"/>
          <w:lang w:eastAsia="zh-CN"/>
        </w:rPr>
        <w:t>202</w:t>
      </w:r>
      <w:r>
        <w:rPr>
          <w:rFonts w:hint="eastAsia" w:ascii="CESI宋体-GB2312" w:hAnsi="CESI宋体-GB2312" w:eastAsia="方正仿宋_GBK" w:cs="方正仿宋_GBK"/>
          <w:color w:val="auto"/>
          <w:highlight w:val="none"/>
          <w:lang w:val="en-US" w:eastAsia="zh-CN"/>
        </w:rPr>
        <w:t>3</w:t>
      </w:r>
      <w:r>
        <w:rPr>
          <w:rFonts w:hint="eastAsia" w:ascii="CESI宋体-GB2312" w:hAnsi="CESI宋体-GB2312" w:eastAsia="方正仿宋_GBK" w:cs="方正仿宋_GBK"/>
          <w:color w:val="auto"/>
          <w:highlight w:val="none"/>
          <w:lang w:eastAsia="zh-CN"/>
        </w:rPr>
        <w:t>年0</w:t>
      </w:r>
      <w:r>
        <w:rPr>
          <w:rFonts w:hint="eastAsia" w:ascii="CESI宋体-GB2312" w:hAnsi="CESI宋体-GB2312" w:eastAsia="方正仿宋_GBK" w:cs="方正仿宋_GBK"/>
          <w:color w:val="auto"/>
          <w:highlight w:val="none"/>
          <w:lang w:val="en-US" w:eastAsia="zh-CN"/>
        </w:rPr>
        <w:t>8</w:t>
      </w:r>
      <w:r>
        <w:rPr>
          <w:rFonts w:hint="eastAsia" w:ascii="CESI宋体-GB2312" w:hAnsi="CESI宋体-GB2312" w:eastAsia="方正仿宋_GBK" w:cs="方正仿宋_GBK"/>
          <w:color w:val="auto"/>
          <w:highlight w:val="none"/>
          <w:lang w:eastAsia="zh-CN"/>
        </w:rPr>
        <w:t>月</w:t>
      </w:r>
      <w:r>
        <w:rPr>
          <w:rFonts w:hint="eastAsia" w:ascii="CESI宋体-GB2312" w:hAnsi="CESI宋体-GB2312" w:eastAsia="方正仿宋_GBK" w:cs="方正仿宋_GBK"/>
          <w:color w:val="auto"/>
          <w:highlight w:val="none"/>
          <w:lang w:val="en-US" w:eastAsia="zh-CN"/>
        </w:rPr>
        <w:t>29</w:t>
      </w:r>
      <w:r>
        <w:rPr>
          <w:rFonts w:hint="eastAsia" w:ascii="CESI宋体-GB2312" w:hAnsi="CESI宋体-GB2312" w:eastAsia="方正仿宋_GBK" w:cs="方正仿宋_GBK"/>
          <w:color w:val="auto"/>
          <w:highlight w:val="none"/>
          <w:lang w:eastAsia="zh-CN"/>
        </w:rPr>
        <w:t>日，支付</w:t>
      </w:r>
      <w:r>
        <w:rPr>
          <w:rFonts w:hint="eastAsia" w:ascii="CESI宋体-GB2312" w:hAnsi="CESI宋体-GB2312" w:eastAsia="方正仿宋_GBK" w:cs="方正仿宋_GBK"/>
          <w:color w:val="auto"/>
          <w:highlight w:val="none"/>
          <w:lang w:val="en-US" w:eastAsia="zh-CN"/>
        </w:rPr>
        <w:t>396.917</w:t>
      </w:r>
      <w:r>
        <w:rPr>
          <w:rFonts w:hint="eastAsia" w:ascii="CESI宋体-GB2312" w:hAnsi="CESI宋体-GB2312" w:eastAsia="方正仿宋_GBK" w:cs="方正仿宋_GBK"/>
          <w:color w:val="auto"/>
          <w:highlight w:val="none"/>
          <w:lang w:eastAsia="zh-CN"/>
        </w:rPr>
        <w:t>万元；</w:t>
      </w:r>
    </w:p>
    <w:p>
      <w:pPr>
        <w:pStyle w:val="2"/>
        <w:bidi w:val="0"/>
        <w:rPr>
          <w:rFonts w:ascii="CESI宋体-GB2312" w:hAnsi="CESI宋体-GB2312"/>
          <w:color w:val="auto"/>
          <w:highlight w:val="none"/>
        </w:rPr>
      </w:pPr>
      <w:bookmarkStart w:id="2" w:name="_Toc25187"/>
      <w:r>
        <w:rPr>
          <w:rFonts w:ascii="CESI宋体-GB2312" w:hAnsi="CESI宋体-GB2312"/>
          <w:color w:val="auto"/>
          <w:highlight w:val="none"/>
        </w:rPr>
        <w:t>（二）项目绩效目标</w:t>
      </w:r>
      <w:bookmarkEnd w:id="2"/>
    </w:p>
    <w:p>
      <w:pPr>
        <w:bidi w:val="0"/>
        <w:rPr>
          <w:rFonts w:ascii="CESI宋体-GB2312" w:hAnsi="CESI宋体-GB2312"/>
          <w:b/>
          <w:bCs/>
          <w:color w:val="auto"/>
          <w:highlight w:val="none"/>
        </w:rPr>
      </w:pPr>
      <w:r>
        <w:rPr>
          <w:rFonts w:hint="eastAsia" w:ascii="CESI宋体-GB2312" w:hAnsi="CESI宋体-GB2312"/>
          <w:b/>
          <w:bCs/>
          <w:color w:val="auto"/>
          <w:highlight w:val="none"/>
        </w:rPr>
        <w:t>1、总体目标</w:t>
      </w:r>
    </w:p>
    <w:p>
      <w:pPr>
        <w:bidi w:val="0"/>
        <w:rPr>
          <w:rFonts w:hint="eastAsia" w:ascii="CESI宋体-GB2312" w:hAnsi="CESI宋体-GB2312" w:eastAsia="方正仿宋_GBK" w:cs="方正仿宋_GBK"/>
          <w:color w:val="auto"/>
          <w:highlight w:val="none"/>
        </w:rPr>
      </w:pPr>
      <w:r>
        <w:rPr>
          <w:rFonts w:hint="eastAsia" w:ascii="CESI宋体-GB2312" w:hAnsi="CESI宋体-GB2312" w:eastAsia="方正仿宋_GBK" w:cs="方正仿宋_GBK"/>
          <w:color w:val="auto"/>
          <w:highlight w:val="none"/>
        </w:rPr>
        <w:t>引导和支持农户参加农业保险</w:t>
      </w:r>
      <w:r>
        <w:rPr>
          <w:rFonts w:hint="eastAsia" w:ascii="CESI宋体-GB2312" w:hAnsi="CESI宋体-GB2312" w:eastAsia="方正仿宋_GBK" w:cs="方正仿宋_GBK"/>
          <w:color w:val="auto"/>
          <w:highlight w:val="none"/>
          <w:lang w:eastAsia="zh-CN"/>
        </w:rPr>
        <w:t>，</w:t>
      </w:r>
      <w:r>
        <w:rPr>
          <w:rFonts w:hint="eastAsia" w:ascii="CESI宋体-GB2312" w:hAnsi="CESI宋体-GB2312" w:eastAsia="方正仿宋_GBK" w:cs="方正仿宋_GBK"/>
          <w:color w:val="auto"/>
          <w:highlight w:val="none"/>
        </w:rPr>
        <w:t>主要保障关系国计民生和粮食安全的大宗农产品，重点支持农业生产环节</w:t>
      </w:r>
      <w:r>
        <w:rPr>
          <w:rFonts w:hint="eastAsia" w:ascii="CESI宋体-GB2312" w:hAnsi="CESI宋体-GB2312" w:eastAsia="方正仿宋_GBK" w:cs="方正仿宋_GBK"/>
          <w:color w:val="auto"/>
          <w:highlight w:val="none"/>
          <w:lang w:eastAsia="zh-CN"/>
        </w:rPr>
        <w:t>，</w:t>
      </w:r>
      <w:r>
        <w:rPr>
          <w:rFonts w:hint="eastAsia" w:ascii="CESI宋体-GB2312" w:hAnsi="CESI宋体-GB2312" w:eastAsia="方正仿宋_GBK" w:cs="方正仿宋_GBK"/>
          <w:color w:val="auto"/>
          <w:highlight w:val="none"/>
        </w:rPr>
        <w:t>不断扩大农业保险覆盖面积和风险保障水平，逐步建立市场化的农业生产风险防范化解机制</w:t>
      </w:r>
      <w:r>
        <w:rPr>
          <w:rFonts w:hint="eastAsia" w:ascii="CESI宋体-GB2312" w:hAnsi="CESI宋体-GB2312" w:eastAsia="方正仿宋_GBK" w:cs="方正仿宋_GBK"/>
          <w:color w:val="auto"/>
          <w:highlight w:val="none"/>
          <w:lang w:eastAsia="zh-CN"/>
        </w:rPr>
        <w:t>，</w:t>
      </w:r>
      <w:r>
        <w:rPr>
          <w:rFonts w:hint="eastAsia" w:ascii="CESI宋体-GB2312" w:hAnsi="CESI宋体-GB2312" w:eastAsia="方正仿宋_GBK" w:cs="方正仿宋_GBK"/>
          <w:color w:val="auto"/>
          <w:highlight w:val="none"/>
        </w:rPr>
        <w:t>稳定农业生产，保障农民收入。</w:t>
      </w:r>
    </w:p>
    <w:p>
      <w:pPr>
        <w:bidi w:val="0"/>
        <w:rPr>
          <w:rFonts w:ascii="CESI宋体-GB2312" w:hAnsi="CESI宋体-GB2312"/>
          <w:b/>
          <w:bCs/>
          <w:color w:val="auto"/>
          <w:highlight w:val="none"/>
        </w:rPr>
      </w:pPr>
      <w:r>
        <w:rPr>
          <w:rFonts w:hint="eastAsia" w:ascii="CESI宋体-GB2312" w:hAnsi="CESI宋体-GB2312"/>
          <w:b/>
          <w:bCs/>
          <w:color w:val="auto"/>
          <w:highlight w:val="none"/>
        </w:rPr>
        <w:t>2、阶段性目标</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CESI宋体-GB2312" w:hAnsi="CESI宋体-GB2312"/>
          <w:color w:val="auto"/>
          <w:highlight w:val="none"/>
        </w:rPr>
      </w:pPr>
      <w:bookmarkStart w:id="3" w:name="_Toc28824"/>
      <w:r>
        <w:rPr>
          <w:rFonts w:hint="eastAsia" w:ascii="CESI宋体-GB2312" w:hAnsi="CESI宋体-GB2312"/>
          <w:color w:val="auto"/>
          <w:highlight w:val="none"/>
        </w:rPr>
        <w:t>（1）根据项目实施计划安排，按时</w:t>
      </w:r>
      <w:r>
        <w:rPr>
          <w:rFonts w:ascii="CESI宋体-GB2312" w:hAnsi="CESI宋体-GB2312"/>
          <w:color w:val="auto"/>
          <w:highlight w:val="none"/>
        </w:rPr>
        <w:t>完成项目前期</w:t>
      </w:r>
      <w:r>
        <w:rPr>
          <w:rFonts w:hint="eastAsia" w:ascii="CESI宋体-GB2312" w:hAnsi="CESI宋体-GB2312"/>
          <w:color w:val="auto"/>
          <w:highlight w:val="none"/>
        </w:rPr>
        <w:t>申报等</w:t>
      </w:r>
      <w:r>
        <w:rPr>
          <w:rFonts w:ascii="CESI宋体-GB2312" w:hAnsi="CESI宋体-GB2312"/>
          <w:color w:val="auto"/>
          <w:highlight w:val="none"/>
        </w:rPr>
        <w:t>工作事项</w:t>
      </w:r>
      <w:r>
        <w:rPr>
          <w:rFonts w:hint="eastAsia" w:ascii="CESI宋体-GB2312" w:hAnsi="CESI宋体-GB2312"/>
          <w:color w:val="auto"/>
          <w:highlight w:val="none"/>
        </w:rPr>
        <w:t>；</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CESI宋体-GB2312" w:hAnsi="CESI宋体-GB2312"/>
          <w:color w:val="auto"/>
          <w:highlight w:val="none"/>
        </w:rPr>
      </w:pPr>
      <w:r>
        <w:rPr>
          <w:rFonts w:hint="eastAsia" w:ascii="CESI宋体-GB2312" w:hAnsi="CESI宋体-GB2312"/>
          <w:color w:val="auto"/>
          <w:highlight w:val="none"/>
        </w:rPr>
        <w:t>（2）按时完成项目，按照</w:t>
      </w:r>
      <w:r>
        <w:rPr>
          <w:rFonts w:hint="eastAsia" w:ascii="CESI宋体-GB2312" w:hAnsi="CESI宋体-GB2312"/>
          <w:color w:val="auto"/>
          <w:highlight w:val="none"/>
          <w:lang w:eastAsia="zh-CN"/>
        </w:rPr>
        <w:t>棉花保费为</w:t>
      </w:r>
      <w:r>
        <w:rPr>
          <w:rFonts w:hint="eastAsia" w:ascii="CESI宋体-GB2312" w:hAnsi="CESI宋体-GB2312"/>
          <w:color w:val="auto"/>
          <w:highlight w:val="none"/>
          <w:lang w:val="en-US" w:eastAsia="zh-CN"/>
        </w:rPr>
        <w:t>70元/亩，小麦保费为30元/亩，玉米保费为49元/亩。奶牛保额为600元/头，能繁殖母猪保费为60元/头，育肥猪保费为48元/头，</w:t>
      </w:r>
      <w:r>
        <w:rPr>
          <w:rFonts w:hint="eastAsia" w:ascii="CESI宋体-GB2312" w:hAnsi="CESI宋体-GB2312"/>
          <w:color w:val="auto"/>
          <w:highlight w:val="none"/>
        </w:rPr>
        <w:t>带动农民</w:t>
      </w:r>
      <w:r>
        <w:rPr>
          <w:rFonts w:hint="eastAsia" w:ascii="CESI宋体-GB2312" w:hAnsi="CESI宋体-GB2312"/>
          <w:color w:val="auto"/>
          <w:highlight w:val="none"/>
          <w:lang w:eastAsia="zh-CN"/>
        </w:rPr>
        <w:t>参保</w:t>
      </w:r>
      <w:r>
        <w:rPr>
          <w:rFonts w:hint="eastAsia" w:ascii="CESI宋体-GB2312" w:hAnsi="CESI宋体-GB2312"/>
          <w:color w:val="auto"/>
          <w:highlight w:val="none"/>
        </w:rPr>
        <w:t>积极性。</w:t>
      </w:r>
    </w:p>
    <w:p>
      <w:pPr>
        <w:pStyle w:val="4"/>
        <w:bidi w:val="0"/>
        <w:rPr>
          <w:rFonts w:ascii="CESI宋体-GB2312" w:hAnsi="CESI宋体-GB2312"/>
          <w:color w:val="auto"/>
          <w:highlight w:val="none"/>
        </w:rPr>
      </w:pPr>
      <w:r>
        <w:rPr>
          <w:rFonts w:hint="eastAsia" w:ascii="CESI宋体-GB2312" w:hAnsi="CESI宋体-GB2312"/>
          <w:color w:val="auto"/>
          <w:highlight w:val="none"/>
        </w:rPr>
        <w:t>二、绩效评价工作开展情况</w:t>
      </w:r>
      <w:bookmarkEnd w:id="3"/>
    </w:p>
    <w:p>
      <w:pPr>
        <w:pStyle w:val="2"/>
        <w:bidi w:val="0"/>
        <w:rPr>
          <w:rFonts w:ascii="CESI宋体-GB2312" w:hAnsi="CESI宋体-GB2312"/>
          <w:color w:val="auto"/>
          <w:highlight w:val="none"/>
        </w:rPr>
      </w:pPr>
      <w:bookmarkStart w:id="4" w:name="_Toc24175"/>
      <w:r>
        <w:rPr>
          <w:rFonts w:hint="eastAsia" w:ascii="CESI宋体-GB2312" w:hAnsi="CESI宋体-GB2312"/>
          <w:color w:val="auto"/>
          <w:highlight w:val="none"/>
        </w:rPr>
        <w:t>（一）绩效评价目的、对象和范围</w:t>
      </w:r>
      <w:bookmarkEnd w:id="4"/>
    </w:p>
    <w:p>
      <w:pPr>
        <w:bidi w:val="0"/>
        <w:rPr>
          <w:rFonts w:ascii="CESI宋体-GB2312" w:hAnsi="CESI宋体-GB2312"/>
          <w:b/>
          <w:bCs/>
          <w:color w:val="auto"/>
          <w:highlight w:val="none"/>
        </w:rPr>
      </w:pPr>
      <w:r>
        <w:rPr>
          <w:rFonts w:ascii="CESI宋体-GB2312" w:hAnsi="CESI宋体-GB2312"/>
          <w:b/>
          <w:bCs/>
          <w:color w:val="auto"/>
          <w:highlight w:val="none"/>
        </w:rPr>
        <w:t>1</w:t>
      </w:r>
      <w:r>
        <w:rPr>
          <w:rFonts w:hint="eastAsia" w:ascii="CESI宋体-GB2312" w:hAnsi="CESI宋体-GB2312"/>
          <w:b/>
          <w:bCs/>
          <w:color w:val="auto"/>
          <w:highlight w:val="none"/>
        </w:rPr>
        <w:t>、</w:t>
      </w:r>
      <w:r>
        <w:rPr>
          <w:rFonts w:ascii="CESI宋体-GB2312" w:hAnsi="CESI宋体-GB2312"/>
          <w:b/>
          <w:bCs/>
          <w:color w:val="auto"/>
          <w:highlight w:val="none"/>
        </w:rPr>
        <w:t>绩效评价的目的</w:t>
      </w:r>
    </w:p>
    <w:p>
      <w:pPr>
        <w:bidi w:val="0"/>
        <w:rPr>
          <w:rFonts w:ascii="CESI宋体-GB2312" w:hAnsi="CESI宋体-GB2312"/>
          <w:color w:val="auto"/>
          <w:highlight w:val="none"/>
        </w:rPr>
      </w:pPr>
      <w:r>
        <w:rPr>
          <w:rFonts w:ascii="CESI宋体-GB2312" w:hAnsi="CESI宋体-GB2312"/>
          <w:color w:val="auto"/>
          <w:highlight w:val="none"/>
        </w:rPr>
        <w:t>本次绩效评价遵循财政部《关于印发&lt;项目支出绩效评价管理办法&gt;的通知》（财预〔2020〕10号）文件精神，对</w:t>
      </w:r>
      <w:r>
        <w:rPr>
          <w:rFonts w:hint="eastAsia" w:ascii="CESI宋体-GB2312" w:hAnsi="CESI宋体-GB2312" w:eastAsia="方正仿宋_GBK" w:cs="方正仿宋_GBK"/>
          <w:color w:val="auto"/>
          <w:highlight w:val="none"/>
          <w:lang w:eastAsia="zh-CN"/>
        </w:rPr>
        <w:t>2023年农业保险保费补贴资金（县级配套）</w:t>
      </w:r>
      <w:r>
        <w:rPr>
          <w:rFonts w:ascii="CESI宋体-GB2312" w:hAnsi="CESI宋体-GB2312"/>
          <w:color w:val="auto"/>
          <w:highlight w:val="none"/>
        </w:rPr>
        <w:t>预算编制合理性、资金使用合规性、项目管理的规范性、项目目标的实现情况、服务对象的满意度等，通过部门自评来总结经验，促进项目成果转化和应用，查找其存在的不足，为今后类似项目的长效管理，资金使用规范性以及加强制定相关制度、采取措施等方面提供参考，不断提高财政资金使用效益和项目管理水平。</w:t>
      </w:r>
    </w:p>
    <w:p>
      <w:pPr>
        <w:bidi w:val="0"/>
        <w:rPr>
          <w:rFonts w:ascii="CESI宋体-GB2312" w:hAnsi="CESI宋体-GB2312"/>
          <w:b/>
          <w:bCs/>
          <w:color w:val="auto"/>
          <w:highlight w:val="none"/>
        </w:rPr>
      </w:pPr>
      <w:r>
        <w:rPr>
          <w:rFonts w:ascii="CESI宋体-GB2312" w:hAnsi="CESI宋体-GB2312"/>
          <w:b/>
          <w:bCs/>
          <w:color w:val="auto"/>
          <w:highlight w:val="none"/>
        </w:rPr>
        <w:t>2</w:t>
      </w:r>
      <w:r>
        <w:rPr>
          <w:rFonts w:hint="eastAsia" w:ascii="CESI宋体-GB2312" w:hAnsi="CESI宋体-GB2312"/>
          <w:b/>
          <w:bCs/>
          <w:color w:val="auto"/>
          <w:highlight w:val="none"/>
        </w:rPr>
        <w:t>、</w:t>
      </w:r>
      <w:r>
        <w:rPr>
          <w:rFonts w:ascii="CESI宋体-GB2312" w:hAnsi="CESI宋体-GB2312"/>
          <w:b/>
          <w:bCs/>
          <w:color w:val="auto"/>
          <w:highlight w:val="none"/>
        </w:rPr>
        <w:t>绩效评价的对象和范围</w:t>
      </w:r>
    </w:p>
    <w:p>
      <w:pPr>
        <w:bidi w:val="0"/>
        <w:rPr>
          <w:rFonts w:ascii="CESI宋体-GB2312" w:hAnsi="CESI宋体-GB2312"/>
          <w:color w:val="auto"/>
          <w:highlight w:val="none"/>
        </w:rPr>
      </w:pPr>
      <w:r>
        <w:rPr>
          <w:rFonts w:ascii="CESI宋体-GB2312" w:hAnsi="CESI宋体-GB2312"/>
          <w:color w:val="auto"/>
          <w:highlight w:val="none"/>
        </w:rPr>
        <w:t>根据《财政支出绩效评价管理办法》（财预〔2020〕10号）文件要求，对</w:t>
      </w:r>
      <w:r>
        <w:rPr>
          <w:rFonts w:hint="eastAsia" w:ascii="CESI宋体-GB2312" w:hAnsi="CESI宋体-GB2312" w:eastAsia="方正仿宋_GBK" w:cs="方正仿宋_GBK"/>
          <w:color w:val="auto"/>
          <w:highlight w:val="none"/>
          <w:lang w:eastAsia="zh-CN"/>
        </w:rPr>
        <w:t>2023年农业保险保费补贴资金（县级配套）</w:t>
      </w:r>
      <w:r>
        <w:rPr>
          <w:rFonts w:ascii="CESI宋体-GB2312" w:hAnsi="CESI宋体-GB2312"/>
          <w:color w:val="auto"/>
          <w:highlight w:val="none"/>
        </w:rPr>
        <w:t>开展绩效评价，本次绩效评价范围主要围绕项目决策（包括项目</w:t>
      </w:r>
      <w:r>
        <w:rPr>
          <w:rFonts w:hint="eastAsia" w:ascii="CESI宋体-GB2312" w:hAnsi="CESI宋体-GB2312"/>
          <w:color w:val="auto"/>
          <w:highlight w:val="none"/>
        </w:rPr>
        <w:t>实施</w:t>
      </w:r>
      <w:r>
        <w:rPr>
          <w:rFonts w:ascii="CESI宋体-GB2312" w:hAnsi="CESI宋体-GB2312"/>
          <w:color w:val="auto"/>
          <w:highlight w:val="none"/>
        </w:rPr>
        <w:t>、绩效目标、资金投入）、项目过程（包括资金管理、组织实施）、项目产出（包括产出数量、质量、时效、成本）和项目效益等进行评价。</w:t>
      </w:r>
    </w:p>
    <w:p>
      <w:pPr>
        <w:pStyle w:val="2"/>
        <w:bidi w:val="0"/>
        <w:rPr>
          <w:rFonts w:ascii="CESI宋体-GB2312" w:hAnsi="CESI宋体-GB2312"/>
          <w:color w:val="auto"/>
          <w:highlight w:val="none"/>
        </w:rPr>
      </w:pPr>
      <w:bookmarkStart w:id="5" w:name="_Toc5109"/>
      <w:r>
        <w:rPr>
          <w:rFonts w:hint="eastAsia" w:ascii="CESI宋体-GB2312" w:hAnsi="CESI宋体-GB2312"/>
          <w:color w:val="auto"/>
          <w:highlight w:val="none"/>
        </w:rPr>
        <w:t>（二）绩效评价原则、评价指标体系、评价方法、评价标准</w:t>
      </w:r>
      <w:bookmarkEnd w:id="5"/>
    </w:p>
    <w:p>
      <w:pPr>
        <w:bidi w:val="0"/>
        <w:rPr>
          <w:rFonts w:ascii="CESI宋体-GB2312" w:hAnsi="CESI宋体-GB2312"/>
          <w:b/>
          <w:bCs/>
          <w:color w:val="auto"/>
          <w:highlight w:val="none"/>
        </w:rPr>
      </w:pPr>
      <w:r>
        <w:rPr>
          <w:rFonts w:ascii="CESI宋体-GB2312" w:hAnsi="CESI宋体-GB2312"/>
          <w:b/>
          <w:bCs/>
          <w:color w:val="auto"/>
          <w:highlight w:val="none"/>
        </w:rPr>
        <w:t>1、绩效评价原则</w:t>
      </w:r>
    </w:p>
    <w:p>
      <w:pPr>
        <w:bidi w:val="0"/>
        <w:rPr>
          <w:rFonts w:ascii="CESI宋体-GB2312" w:hAnsi="CESI宋体-GB2312"/>
          <w:color w:val="auto"/>
          <w:highlight w:val="none"/>
        </w:rPr>
      </w:pPr>
      <w:r>
        <w:rPr>
          <w:rFonts w:ascii="CESI宋体-GB2312" w:hAnsi="CESI宋体-GB2312"/>
          <w:color w:val="auto"/>
          <w:highlight w:val="none"/>
        </w:rPr>
        <w:t>（1）科学公正。绩效评价应当运用科学合理的方法，按照规范的程序，对项目绩效进行客观、公正</w:t>
      </w:r>
      <w:r>
        <w:rPr>
          <w:rFonts w:hint="eastAsia" w:ascii="CESI宋体-GB2312" w:hAnsi="CESI宋体-GB2312"/>
          <w:color w:val="auto"/>
          <w:highlight w:val="none"/>
          <w:lang w:eastAsia="zh-CN"/>
        </w:rPr>
        <w:t>地</w:t>
      </w:r>
      <w:r>
        <w:rPr>
          <w:rFonts w:ascii="CESI宋体-GB2312" w:hAnsi="CESI宋体-GB2312"/>
          <w:color w:val="auto"/>
          <w:highlight w:val="none"/>
        </w:rPr>
        <w:t>反映。</w:t>
      </w:r>
    </w:p>
    <w:p>
      <w:pPr>
        <w:bidi w:val="0"/>
        <w:rPr>
          <w:rFonts w:ascii="CESI宋体-GB2312" w:hAnsi="CESI宋体-GB2312"/>
          <w:color w:val="auto"/>
          <w:highlight w:val="none"/>
        </w:rPr>
      </w:pPr>
      <w:r>
        <w:rPr>
          <w:rFonts w:ascii="CESI宋体-GB2312" w:hAnsi="CESI宋体-GB2312"/>
          <w:color w:val="auto"/>
          <w:highlight w:val="none"/>
        </w:rPr>
        <w:t>（2）统筹兼顾。单位自评应由项目单位自主实施，即</w:t>
      </w:r>
      <w:r>
        <w:rPr>
          <w:rFonts w:hint="eastAsia" w:ascii="CESI宋体-GB2312" w:hAnsi="CESI宋体-GB2312"/>
          <w:color w:val="auto"/>
          <w:highlight w:val="none"/>
        </w:rPr>
        <w:t>“</w:t>
      </w:r>
      <w:r>
        <w:rPr>
          <w:rFonts w:ascii="CESI宋体-GB2312" w:hAnsi="CESI宋体-GB2312"/>
          <w:color w:val="auto"/>
          <w:highlight w:val="none"/>
        </w:rPr>
        <w:t>谁支出、谁自评</w:t>
      </w:r>
      <w:r>
        <w:rPr>
          <w:rFonts w:hint="eastAsia" w:ascii="CESI宋体-GB2312" w:hAnsi="CESI宋体-GB2312"/>
          <w:color w:val="auto"/>
          <w:highlight w:val="none"/>
        </w:rPr>
        <w:t>”</w:t>
      </w:r>
      <w:r>
        <w:rPr>
          <w:rFonts w:ascii="CESI宋体-GB2312" w:hAnsi="CESI宋体-GB2312"/>
          <w:color w:val="auto"/>
          <w:highlight w:val="none"/>
        </w:rPr>
        <w:t>。</w:t>
      </w:r>
    </w:p>
    <w:p>
      <w:pPr>
        <w:bidi w:val="0"/>
        <w:rPr>
          <w:rFonts w:ascii="CESI宋体-GB2312" w:hAnsi="CESI宋体-GB2312"/>
          <w:color w:val="auto"/>
          <w:highlight w:val="none"/>
        </w:rPr>
      </w:pPr>
      <w:r>
        <w:rPr>
          <w:rFonts w:ascii="CESI宋体-GB2312" w:hAnsi="CESI宋体-GB2312"/>
          <w:color w:val="auto"/>
          <w:highlight w:val="none"/>
        </w:rPr>
        <w:t>（3）激励约束。绩效评价结果应与预算安排、政策调整、改进管理实质性挂钩，体现奖优罚劣和激励相容导向，有效要安排、低效要压减、无效要问责。</w:t>
      </w:r>
    </w:p>
    <w:p>
      <w:pPr>
        <w:bidi w:val="0"/>
        <w:rPr>
          <w:rFonts w:ascii="CESI宋体-GB2312" w:hAnsi="CESI宋体-GB2312"/>
          <w:color w:val="auto"/>
          <w:highlight w:val="none"/>
        </w:rPr>
      </w:pPr>
      <w:r>
        <w:rPr>
          <w:rFonts w:ascii="CESI宋体-GB2312" w:hAnsi="CESI宋体-GB2312"/>
          <w:color w:val="auto"/>
          <w:highlight w:val="none"/>
        </w:rPr>
        <w:t>（4）公开透明。</w:t>
      </w:r>
      <w:bookmarkStart w:id="6" w:name="_Toc30993"/>
      <w:bookmarkStart w:id="7" w:name="_Toc23112"/>
      <w:r>
        <w:rPr>
          <w:rFonts w:hint="eastAsia" w:ascii="CESI宋体-GB2312" w:hAnsi="CESI宋体-GB2312"/>
          <w:color w:val="auto"/>
          <w:highlight w:val="none"/>
        </w:rPr>
        <w:t>本次项目支出绩效评价结果已依法依规在</w:t>
      </w:r>
      <w:r>
        <w:rPr>
          <w:rFonts w:hint="eastAsia" w:ascii="CESI宋体-GB2312" w:hAnsi="CESI宋体-GB2312"/>
          <w:color w:val="auto"/>
          <w:highlight w:val="none"/>
          <w:lang w:eastAsia="zh-CN"/>
        </w:rPr>
        <w:t>尉犁县</w:t>
      </w:r>
      <w:r>
        <w:rPr>
          <w:rFonts w:hint="eastAsia" w:ascii="CESI宋体-GB2312" w:hAnsi="CESI宋体-GB2312"/>
          <w:color w:val="auto"/>
          <w:highlight w:val="none"/>
        </w:rPr>
        <w:t>人民政府网站上公开，并自觉接受社会监督。</w:t>
      </w:r>
    </w:p>
    <w:p>
      <w:pPr>
        <w:bidi w:val="0"/>
        <w:rPr>
          <w:rFonts w:ascii="CESI宋体-GB2312" w:hAnsi="CESI宋体-GB2312"/>
          <w:b/>
          <w:bCs/>
          <w:color w:val="auto"/>
          <w:highlight w:val="none"/>
        </w:rPr>
      </w:pPr>
      <w:r>
        <w:rPr>
          <w:rFonts w:ascii="CESI宋体-GB2312" w:hAnsi="CESI宋体-GB2312"/>
          <w:b/>
          <w:bCs/>
          <w:color w:val="auto"/>
          <w:highlight w:val="none"/>
        </w:rPr>
        <w:t>2</w:t>
      </w:r>
      <w:r>
        <w:rPr>
          <w:rFonts w:hint="eastAsia" w:ascii="CESI宋体-GB2312" w:hAnsi="CESI宋体-GB2312"/>
          <w:b/>
          <w:bCs/>
          <w:color w:val="auto"/>
          <w:highlight w:val="none"/>
        </w:rPr>
        <w:t>、</w:t>
      </w:r>
      <w:r>
        <w:rPr>
          <w:rFonts w:ascii="CESI宋体-GB2312" w:hAnsi="CESI宋体-GB2312"/>
          <w:b/>
          <w:bCs/>
          <w:color w:val="auto"/>
          <w:highlight w:val="none"/>
        </w:rPr>
        <w:t>评价指标体系</w:t>
      </w:r>
      <w:bookmarkEnd w:id="6"/>
      <w:bookmarkEnd w:id="7"/>
    </w:p>
    <w:p>
      <w:pPr>
        <w:bidi w:val="0"/>
        <w:rPr>
          <w:rFonts w:ascii="CESI宋体-GB2312" w:hAnsi="CESI宋体-GB2312"/>
          <w:color w:val="auto"/>
          <w:highlight w:val="none"/>
        </w:rPr>
      </w:pPr>
      <w:r>
        <w:rPr>
          <w:rFonts w:hint="eastAsia" w:ascii="CESI宋体-GB2312" w:hAnsi="CESI宋体-GB2312" w:eastAsia="方正仿宋_GBK" w:cs="方正仿宋_GBK"/>
          <w:color w:val="auto"/>
          <w:highlight w:val="none"/>
          <w:lang w:eastAsia="zh-CN"/>
        </w:rPr>
        <w:t>尉犁县2023年农业保险保费补贴资金（县级配套）</w:t>
      </w:r>
      <w:r>
        <w:rPr>
          <w:rFonts w:ascii="CESI宋体-GB2312" w:hAnsi="CESI宋体-GB2312"/>
          <w:color w:val="auto"/>
          <w:highlight w:val="none"/>
        </w:rPr>
        <w:t>绩效评价（部门自评）指标体系的设计，是在充分掌握项目状况的基础上，形成了</w:t>
      </w:r>
      <w:r>
        <w:rPr>
          <w:rFonts w:hint="eastAsia" w:ascii="CESI宋体-GB2312" w:hAnsi="CESI宋体-GB2312"/>
          <w:color w:val="auto"/>
          <w:highlight w:val="none"/>
          <w:lang w:eastAsia="zh-CN"/>
        </w:rPr>
        <w:t>尉犁县</w:t>
      </w:r>
      <w:r>
        <w:rPr>
          <w:rFonts w:hint="eastAsia" w:ascii="CESI宋体-GB2312" w:hAnsi="CESI宋体-GB2312" w:eastAsia="方正仿宋_GBK" w:cs="方正仿宋_GBK"/>
          <w:color w:val="auto"/>
          <w:highlight w:val="none"/>
          <w:lang w:eastAsia="zh-CN"/>
        </w:rPr>
        <w:t>2023年农业保险保费补贴资金（县级配套）</w:t>
      </w:r>
      <w:r>
        <w:rPr>
          <w:rFonts w:ascii="CESI宋体-GB2312" w:hAnsi="CESI宋体-GB2312"/>
          <w:color w:val="auto"/>
          <w:highlight w:val="none"/>
        </w:rPr>
        <w:t>的项目支出绩效评价指标体系（部门自评）。本项目设计绩效评价指标体系满分100分。四个级别分别是：优、良、中、差，90（含）-100分为优、80（含）-90分为良、60（含）-80分为中、60分以下为差。</w:t>
      </w:r>
    </w:p>
    <w:p>
      <w:pPr>
        <w:bidi w:val="0"/>
        <w:rPr>
          <w:rFonts w:hint="eastAsia" w:ascii="CESI宋体-GB2312" w:hAnsi="CESI宋体-GB2312"/>
          <w:color w:val="auto"/>
          <w:highlight w:val="none"/>
          <w:lang w:val="en-US" w:eastAsia="zh-CN"/>
        </w:rPr>
      </w:pPr>
      <w:r>
        <w:rPr>
          <w:rFonts w:ascii="CESI宋体-GB2312" w:hAnsi="CESI宋体-GB2312"/>
          <w:color w:val="auto"/>
          <w:highlight w:val="none"/>
        </w:rPr>
        <w:t>按照财预〔2020〕10号文件关于</w:t>
      </w:r>
      <w:r>
        <w:rPr>
          <w:rFonts w:hint="eastAsia" w:ascii="CESI宋体-GB2312" w:hAnsi="CESI宋体-GB2312"/>
          <w:color w:val="auto"/>
          <w:highlight w:val="none"/>
        </w:rPr>
        <w:t>“</w:t>
      </w:r>
      <w:r>
        <w:rPr>
          <w:rFonts w:ascii="CESI宋体-GB2312" w:hAnsi="CESI宋体-GB2312"/>
          <w:color w:val="auto"/>
          <w:highlight w:val="none"/>
        </w:rPr>
        <w:t>原则上产出、效益指标权重不低于60%</w:t>
      </w:r>
      <w:r>
        <w:rPr>
          <w:rFonts w:hint="eastAsia" w:ascii="CESI宋体-GB2312" w:hAnsi="CESI宋体-GB2312"/>
          <w:color w:val="auto"/>
          <w:highlight w:val="none"/>
        </w:rPr>
        <w:t>”</w:t>
      </w:r>
      <w:r>
        <w:rPr>
          <w:rFonts w:ascii="CESI宋体-GB2312" w:hAnsi="CESI宋体-GB2312"/>
          <w:color w:val="auto"/>
          <w:highlight w:val="none"/>
        </w:rPr>
        <w:t>的要求，本项目产出、效益指标权重60%（即60分）。具体如下</w:t>
      </w:r>
      <w:bookmarkStart w:id="8" w:name="_Toc4156"/>
      <w:bookmarkStart w:id="9" w:name="_Toc15680"/>
      <w:r>
        <w:rPr>
          <w:rFonts w:hint="eastAsia" w:ascii="CESI宋体-GB2312" w:hAnsi="CESI宋体-GB2312"/>
          <w:color w:val="auto"/>
          <w:highlight w:val="none"/>
          <w:lang w:eastAsia="zh-CN"/>
        </w:rPr>
        <w:t>：</w:t>
      </w:r>
    </w:p>
    <w:tbl>
      <w:tblPr>
        <w:tblStyle w:val="10"/>
        <w:tblpPr w:leftFromText="180" w:rightFromText="180" w:vertAnchor="text" w:horzAnchor="page" w:tblpXSpec="center" w:tblpY="180"/>
        <w:tblOverlap w:val="never"/>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5"/>
        <w:gridCol w:w="1091"/>
        <w:gridCol w:w="840"/>
        <w:gridCol w:w="1532"/>
        <w:gridCol w:w="3783"/>
        <w:gridCol w:w="5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408" w:type="pct"/>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r>
              <w:rPr>
                <w:rFonts w:ascii="CESI宋体-GB2312" w:hAnsi="CESI宋体-GB2312"/>
                <w:color w:val="auto"/>
                <w:highlight w:val="none"/>
              </w:rPr>
              <w:t>一级指标</w:t>
            </w:r>
          </w:p>
        </w:tc>
        <w:tc>
          <w:tcPr>
            <w:tcW w:w="640" w:type="pct"/>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r>
              <w:rPr>
                <w:rFonts w:ascii="CESI宋体-GB2312" w:hAnsi="CESI宋体-GB2312"/>
                <w:color w:val="auto"/>
                <w:highlight w:val="none"/>
              </w:rPr>
              <w:t>二级指标</w:t>
            </w:r>
          </w:p>
        </w:tc>
        <w:tc>
          <w:tcPr>
            <w:tcW w:w="493" w:type="pct"/>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r>
              <w:rPr>
                <w:rFonts w:ascii="CESI宋体-GB2312" w:hAnsi="CESI宋体-GB2312"/>
                <w:color w:val="auto"/>
                <w:highlight w:val="none"/>
              </w:rPr>
              <w:t>三级指标</w:t>
            </w:r>
          </w:p>
        </w:tc>
        <w:tc>
          <w:tcPr>
            <w:tcW w:w="899" w:type="pct"/>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r>
              <w:rPr>
                <w:rFonts w:ascii="CESI宋体-GB2312" w:hAnsi="CESI宋体-GB2312"/>
                <w:color w:val="auto"/>
                <w:highlight w:val="none"/>
              </w:rPr>
              <w:t>指标解释</w:t>
            </w:r>
          </w:p>
        </w:tc>
        <w:tc>
          <w:tcPr>
            <w:tcW w:w="2219" w:type="pct"/>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r>
              <w:rPr>
                <w:rFonts w:ascii="CESI宋体-GB2312" w:hAnsi="CESI宋体-GB2312"/>
                <w:color w:val="auto"/>
                <w:highlight w:val="none"/>
              </w:rPr>
              <w:t>指标说明</w:t>
            </w:r>
          </w:p>
        </w:tc>
        <w:tc>
          <w:tcPr>
            <w:tcW w:w="339" w:type="pct"/>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r>
              <w:rPr>
                <w:rFonts w:ascii="CESI宋体-GB2312" w:hAnsi="CESI宋体-GB2312"/>
                <w:color w:val="auto"/>
                <w:highlight w:val="none"/>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408" w:type="pct"/>
            <w:vMerge w:val="restart"/>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r>
              <w:rPr>
                <w:rFonts w:ascii="CESI宋体-GB2312" w:hAnsi="CESI宋体-GB2312"/>
                <w:color w:val="auto"/>
                <w:highlight w:val="none"/>
              </w:rPr>
              <w:t>决策</w:t>
            </w:r>
          </w:p>
        </w:tc>
        <w:tc>
          <w:tcPr>
            <w:tcW w:w="640" w:type="pct"/>
            <w:vMerge w:val="restart"/>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r>
              <w:rPr>
                <w:rFonts w:ascii="CESI宋体-GB2312" w:hAnsi="CESI宋体-GB2312"/>
                <w:color w:val="auto"/>
                <w:highlight w:val="none"/>
              </w:rPr>
              <w:t>项目</w:t>
            </w:r>
            <w:r>
              <w:rPr>
                <w:rFonts w:hint="eastAsia" w:ascii="CESI宋体-GB2312" w:hAnsi="CESI宋体-GB2312"/>
                <w:color w:val="auto"/>
                <w:highlight w:val="none"/>
              </w:rPr>
              <w:t>实施</w:t>
            </w:r>
          </w:p>
        </w:tc>
        <w:tc>
          <w:tcPr>
            <w:tcW w:w="493" w:type="pct"/>
            <w:vMerge w:val="restart"/>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r>
              <w:rPr>
                <w:rFonts w:hint="eastAsia" w:ascii="CESI宋体-GB2312" w:hAnsi="CESI宋体-GB2312"/>
                <w:color w:val="auto"/>
                <w:highlight w:val="none"/>
              </w:rPr>
              <w:t>实施</w:t>
            </w:r>
            <w:r>
              <w:rPr>
                <w:rFonts w:ascii="CESI宋体-GB2312" w:hAnsi="CESI宋体-GB2312"/>
                <w:color w:val="auto"/>
                <w:highlight w:val="none"/>
              </w:rPr>
              <w:t>依据充分性</w:t>
            </w:r>
          </w:p>
        </w:tc>
        <w:tc>
          <w:tcPr>
            <w:tcW w:w="899" w:type="pct"/>
            <w:vMerge w:val="restart"/>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r>
              <w:rPr>
                <w:rFonts w:ascii="CESI宋体-GB2312" w:hAnsi="CESI宋体-GB2312"/>
                <w:color w:val="auto"/>
                <w:highlight w:val="none"/>
              </w:rPr>
              <w:t>项目</w:t>
            </w:r>
            <w:r>
              <w:rPr>
                <w:rFonts w:hint="eastAsia" w:ascii="CESI宋体-GB2312" w:hAnsi="CESI宋体-GB2312"/>
                <w:color w:val="auto"/>
                <w:highlight w:val="none"/>
              </w:rPr>
              <w:t>实施</w:t>
            </w:r>
            <w:r>
              <w:rPr>
                <w:rFonts w:ascii="CESI宋体-GB2312" w:hAnsi="CESI宋体-GB2312"/>
                <w:color w:val="auto"/>
                <w:highlight w:val="none"/>
              </w:rPr>
              <w:t>是否符合法律法规、相关政策、发展规划以及部门职责，用以反映和考核项目</w:t>
            </w:r>
            <w:r>
              <w:rPr>
                <w:rFonts w:hint="eastAsia" w:ascii="CESI宋体-GB2312" w:hAnsi="CESI宋体-GB2312"/>
                <w:color w:val="auto"/>
                <w:highlight w:val="none"/>
              </w:rPr>
              <w:t>实施</w:t>
            </w:r>
            <w:r>
              <w:rPr>
                <w:rFonts w:ascii="CESI宋体-GB2312" w:hAnsi="CESI宋体-GB2312"/>
                <w:color w:val="auto"/>
                <w:highlight w:val="none"/>
              </w:rPr>
              <w:t>依据情况。</w:t>
            </w:r>
          </w:p>
        </w:tc>
        <w:tc>
          <w:tcPr>
            <w:tcW w:w="2219" w:type="pct"/>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r>
              <w:rPr>
                <w:rFonts w:ascii="CESI宋体-GB2312" w:hAnsi="CESI宋体-GB2312"/>
                <w:color w:val="auto"/>
                <w:highlight w:val="none"/>
              </w:rPr>
              <w:t>评价要点：</w:t>
            </w:r>
          </w:p>
        </w:tc>
        <w:tc>
          <w:tcPr>
            <w:tcW w:w="339" w:type="pct"/>
            <w:vMerge w:val="restart"/>
            <w:noWrap/>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r>
              <w:rPr>
                <w:rFonts w:ascii="CESI宋体-GB2312" w:hAnsi="CESI宋体-GB2312"/>
                <w:color w:val="auto"/>
                <w:highlight w:val="none"/>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408" w:type="pct"/>
            <w:vMerge w:val="continue"/>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c>
          <w:tcPr>
            <w:tcW w:w="640" w:type="pct"/>
            <w:vMerge w:val="continue"/>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c>
          <w:tcPr>
            <w:tcW w:w="493" w:type="pct"/>
            <w:vMerge w:val="continue"/>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c>
          <w:tcPr>
            <w:tcW w:w="899" w:type="pct"/>
            <w:vMerge w:val="continue"/>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c>
          <w:tcPr>
            <w:tcW w:w="2219" w:type="pct"/>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r>
              <w:rPr>
                <w:rFonts w:ascii="CESI宋体-GB2312" w:hAnsi="CESI宋体-GB2312"/>
                <w:color w:val="auto"/>
                <w:highlight w:val="none"/>
              </w:rPr>
              <w:t>①项目</w:t>
            </w:r>
            <w:r>
              <w:rPr>
                <w:rFonts w:hint="eastAsia" w:ascii="CESI宋体-GB2312" w:hAnsi="CESI宋体-GB2312"/>
                <w:color w:val="auto"/>
                <w:highlight w:val="none"/>
              </w:rPr>
              <w:t>实施</w:t>
            </w:r>
            <w:r>
              <w:rPr>
                <w:rFonts w:ascii="CESI宋体-GB2312" w:hAnsi="CESI宋体-GB2312"/>
                <w:color w:val="auto"/>
                <w:highlight w:val="none"/>
              </w:rPr>
              <w:t>是否符合国家法律法规、国民经济发展规划和相关政策；</w:t>
            </w:r>
          </w:p>
        </w:tc>
        <w:tc>
          <w:tcPr>
            <w:tcW w:w="339" w:type="pct"/>
            <w:vMerge w:val="continue"/>
            <w:noWrap/>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408" w:type="pct"/>
            <w:vMerge w:val="continue"/>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c>
          <w:tcPr>
            <w:tcW w:w="640" w:type="pct"/>
            <w:vMerge w:val="continue"/>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c>
          <w:tcPr>
            <w:tcW w:w="493" w:type="pct"/>
            <w:vMerge w:val="continue"/>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c>
          <w:tcPr>
            <w:tcW w:w="899" w:type="pct"/>
            <w:vMerge w:val="continue"/>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c>
          <w:tcPr>
            <w:tcW w:w="2219" w:type="pct"/>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r>
              <w:rPr>
                <w:rFonts w:ascii="CESI宋体-GB2312" w:hAnsi="CESI宋体-GB2312"/>
                <w:color w:val="auto"/>
                <w:highlight w:val="none"/>
              </w:rPr>
              <w:t>②项目</w:t>
            </w:r>
            <w:r>
              <w:rPr>
                <w:rFonts w:hint="eastAsia" w:ascii="CESI宋体-GB2312" w:hAnsi="CESI宋体-GB2312"/>
                <w:color w:val="auto"/>
                <w:highlight w:val="none"/>
              </w:rPr>
              <w:t>实施</w:t>
            </w:r>
            <w:r>
              <w:rPr>
                <w:rFonts w:ascii="CESI宋体-GB2312" w:hAnsi="CESI宋体-GB2312"/>
                <w:color w:val="auto"/>
                <w:highlight w:val="none"/>
              </w:rPr>
              <w:t>是否符合行业发展规划和政策要求；</w:t>
            </w:r>
          </w:p>
        </w:tc>
        <w:tc>
          <w:tcPr>
            <w:tcW w:w="339" w:type="pct"/>
            <w:vMerge w:val="continue"/>
            <w:noWrap/>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408" w:type="pct"/>
            <w:vMerge w:val="continue"/>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c>
          <w:tcPr>
            <w:tcW w:w="640" w:type="pct"/>
            <w:vMerge w:val="continue"/>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c>
          <w:tcPr>
            <w:tcW w:w="493" w:type="pct"/>
            <w:vMerge w:val="continue"/>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c>
          <w:tcPr>
            <w:tcW w:w="899" w:type="pct"/>
            <w:vMerge w:val="continue"/>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c>
          <w:tcPr>
            <w:tcW w:w="2219" w:type="pct"/>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r>
              <w:rPr>
                <w:rFonts w:ascii="CESI宋体-GB2312" w:hAnsi="CESI宋体-GB2312"/>
                <w:color w:val="auto"/>
                <w:highlight w:val="none"/>
              </w:rPr>
              <w:t>③项目</w:t>
            </w:r>
            <w:r>
              <w:rPr>
                <w:rFonts w:hint="eastAsia" w:ascii="CESI宋体-GB2312" w:hAnsi="CESI宋体-GB2312"/>
                <w:color w:val="auto"/>
                <w:highlight w:val="none"/>
              </w:rPr>
              <w:t>实施</w:t>
            </w:r>
            <w:r>
              <w:rPr>
                <w:rFonts w:ascii="CESI宋体-GB2312" w:hAnsi="CESI宋体-GB2312"/>
                <w:color w:val="auto"/>
                <w:highlight w:val="none"/>
              </w:rPr>
              <w:t>是否与部门职责范围相符，属于部门履职所需；</w:t>
            </w:r>
          </w:p>
        </w:tc>
        <w:tc>
          <w:tcPr>
            <w:tcW w:w="339" w:type="pct"/>
            <w:vMerge w:val="continue"/>
            <w:noWrap/>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408" w:type="pct"/>
            <w:vMerge w:val="continue"/>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c>
          <w:tcPr>
            <w:tcW w:w="640" w:type="pct"/>
            <w:vMerge w:val="continue"/>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c>
          <w:tcPr>
            <w:tcW w:w="493" w:type="pct"/>
            <w:vMerge w:val="continue"/>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c>
          <w:tcPr>
            <w:tcW w:w="899" w:type="pct"/>
            <w:vMerge w:val="continue"/>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c>
          <w:tcPr>
            <w:tcW w:w="2219" w:type="pct"/>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r>
              <w:rPr>
                <w:rFonts w:ascii="CESI宋体-GB2312" w:hAnsi="CESI宋体-GB2312"/>
                <w:color w:val="auto"/>
                <w:highlight w:val="none"/>
              </w:rPr>
              <w:t>④项目是否属于公共财政支持范围，是否符合中央、地方事权支出责任划分原则；</w:t>
            </w:r>
          </w:p>
        </w:tc>
        <w:tc>
          <w:tcPr>
            <w:tcW w:w="339" w:type="pct"/>
            <w:vMerge w:val="continue"/>
            <w:noWrap/>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408" w:type="pct"/>
            <w:vMerge w:val="continue"/>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c>
          <w:tcPr>
            <w:tcW w:w="640" w:type="pct"/>
            <w:vMerge w:val="continue"/>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c>
          <w:tcPr>
            <w:tcW w:w="493" w:type="pct"/>
            <w:vMerge w:val="continue"/>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c>
          <w:tcPr>
            <w:tcW w:w="899" w:type="pct"/>
            <w:vMerge w:val="continue"/>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c>
          <w:tcPr>
            <w:tcW w:w="2219" w:type="pct"/>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r>
              <w:rPr>
                <w:rFonts w:ascii="CESI宋体-GB2312" w:hAnsi="CESI宋体-GB2312"/>
                <w:color w:val="auto"/>
                <w:highlight w:val="none"/>
              </w:rPr>
              <w:t>⑤项目是否与相关部门同类项目或部门内部相关项目重复。</w:t>
            </w:r>
          </w:p>
        </w:tc>
        <w:tc>
          <w:tcPr>
            <w:tcW w:w="339" w:type="pct"/>
            <w:vMerge w:val="continue"/>
            <w:noWrap/>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408" w:type="pct"/>
            <w:vMerge w:val="continue"/>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c>
          <w:tcPr>
            <w:tcW w:w="640" w:type="pct"/>
            <w:vMerge w:val="continue"/>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c>
          <w:tcPr>
            <w:tcW w:w="493" w:type="pct"/>
            <w:vMerge w:val="restart"/>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r>
              <w:rPr>
                <w:rFonts w:hint="eastAsia" w:ascii="CESI宋体-GB2312" w:hAnsi="CESI宋体-GB2312"/>
                <w:color w:val="auto"/>
                <w:highlight w:val="none"/>
              </w:rPr>
              <w:t>实施</w:t>
            </w:r>
            <w:r>
              <w:rPr>
                <w:rFonts w:ascii="CESI宋体-GB2312" w:hAnsi="CESI宋体-GB2312"/>
                <w:color w:val="auto"/>
                <w:highlight w:val="none"/>
              </w:rPr>
              <w:t>程序规范性</w:t>
            </w:r>
          </w:p>
        </w:tc>
        <w:tc>
          <w:tcPr>
            <w:tcW w:w="899" w:type="pct"/>
            <w:vMerge w:val="restart"/>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r>
              <w:rPr>
                <w:rFonts w:ascii="CESI宋体-GB2312" w:hAnsi="CESI宋体-GB2312"/>
                <w:color w:val="auto"/>
                <w:highlight w:val="none"/>
              </w:rPr>
              <w:t>项目申请、设立过程是否符合相关要求，用以反映和考核项目</w:t>
            </w:r>
            <w:r>
              <w:rPr>
                <w:rFonts w:hint="eastAsia" w:ascii="CESI宋体-GB2312" w:hAnsi="CESI宋体-GB2312"/>
                <w:color w:val="auto"/>
                <w:highlight w:val="none"/>
              </w:rPr>
              <w:t>实施</w:t>
            </w:r>
            <w:r>
              <w:rPr>
                <w:rFonts w:ascii="CESI宋体-GB2312" w:hAnsi="CESI宋体-GB2312"/>
                <w:color w:val="auto"/>
                <w:highlight w:val="none"/>
              </w:rPr>
              <w:t>的规范情况。</w:t>
            </w:r>
          </w:p>
        </w:tc>
        <w:tc>
          <w:tcPr>
            <w:tcW w:w="2219" w:type="pct"/>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r>
              <w:rPr>
                <w:rFonts w:ascii="CESI宋体-GB2312" w:hAnsi="CESI宋体-GB2312"/>
                <w:color w:val="auto"/>
                <w:highlight w:val="none"/>
              </w:rPr>
              <w:t>评价要点：</w:t>
            </w:r>
          </w:p>
        </w:tc>
        <w:tc>
          <w:tcPr>
            <w:tcW w:w="339" w:type="pct"/>
            <w:vMerge w:val="restart"/>
            <w:noWrap/>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r>
              <w:rPr>
                <w:rFonts w:ascii="CESI宋体-GB2312" w:hAnsi="CESI宋体-GB2312"/>
                <w:color w:val="auto"/>
                <w:highlight w:val="none"/>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408" w:type="pct"/>
            <w:vMerge w:val="continue"/>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c>
          <w:tcPr>
            <w:tcW w:w="640" w:type="pct"/>
            <w:vMerge w:val="continue"/>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c>
          <w:tcPr>
            <w:tcW w:w="493" w:type="pct"/>
            <w:vMerge w:val="continue"/>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c>
          <w:tcPr>
            <w:tcW w:w="899" w:type="pct"/>
            <w:vMerge w:val="continue"/>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c>
          <w:tcPr>
            <w:tcW w:w="2219" w:type="pct"/>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r>
              <w:rPr>
                <w:rFonts w:ascii="CESI宋体-GB2312" w:hAnsi="CESI宋体-GB2312"/>
                <w:color w:val="auto"/>
                <w:highlight w:val="none"/>
              </w:rPr>
              <w:t>①项目是否按照规定的程序申请设立；</w:t>
            </w:r>
          </w:p>
        </w:tc>
        <w:tc>
          <w:tcPr>
            <w:tcW w:w="339" w:type="pct"/>
            <w:vMerge w:val="continue"/>
            <w:noWrap/>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408" w:type="pct"/>
            <w:vMerge w:val="continue"/>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c>
          <w:tcPr>
            <w:tcW w:w="640" w:type="pct"/>
            <w:vMerge w:val="continue"/>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c>
          <w:tcPr>
            <w:tcW w:w="493" w:type="pct"/>
            <w:vMerge w:val="continue"/>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c>
          <w:tcPr>
            <w:tcW w:w="899" w:type="pct"/>
            <w:vMerge w:val="continue"/>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c>
          <w:tcPr>
            <w:tcW w:w="2219" w:type="pct"/>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r>
              <w:rPr>
                <w:rFonts w:ascii="CESI宋体-GB2312" w:hAnsi="CESI宋体-GB2312"/>
                <w:color w:val="auto"/>
                <w:highlight w:val="none"/>
              </w:rPr>
              <w:t>②审批文件、材料是否符合相关要求；</w:t>
            </w:r>
          </w:p>
        </w:tc>
        <w:tc>
          <w:tcPr>
            <w:tcW w:w="339" w:type="pct"/>
            <w:vMerge w:val="continue"/>
            <w:noWrap/>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408" w:type="pct"/>
            <w:vMerge w:val="continue"/>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c>
          <w:tcPr>
            <w:tcW w:w="640" w:type="pct"/>
            <w:vMerge w:val="restart"/>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r>
              <w:rPr>
                <w:rFonts w:ascii="CESI宋体-GB2312" w:hAnsi="CESI宋体-GB2312"/>
                <w:color w:val="auto"/>
                <w:highlight w:val="none"/>
              </w:rPr>
              <w:t>绩效目标</w:t>
            </w:r>
          </w:p>
        </w:tc>
        <w:tc>
          <w:tcPr>
            <w:tcW w:w="493" w:type="pct"/>
            <w:vMerge w:val="restart"/>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r>
              <w:rPr>
                <w:rFonts w:ascii="CESI宋体-GB2312" w:hAnsi="CESI宋体-GB2312"/>
                <w:color w:val="auto"/>
                <w:highlight w:val="none"/>
              </w:rPr>
              <w:t>绩效目标合理性</w:t>
            </w:r>
          </w:p>
        </w:tc>
        <w:tc>
          <w:tcPr>
            <w:tcW w:w="899" w:type="pct"/>
            <w:vMerge w:val="restart"/>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r>
              <w:rPr>
                <w:rFonts w:ascii="CESI宋体-GB2312" w:hAnsi="CESI宋体-GB2312"/>
                <w:color w:val="auto"/>
                <w:highlight w:val="none"/>
              </w:rPr>
              <w:t>项目所设定的绩效目标是否依据充分，是否符合客观实际，用以反映和考核项目绩效目标与项目实施的相符情况。</w:t>
            </w:r>
          </w:p>
        </w:tc>
        <w:tc>
          <w:tcPr>
            <w:tcW w:w="2219" w:type="pct"/>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r>
              <w:rPr>
                <w:rFonts w:ascii="CESI宋体-GB2312" w:hAnsi="CESI宋体-GB2312"/>
                <w:color w:val="auto"/>
                <w:highlight w:val="none"/>
              </w:rPr>
              <w:t>评价要点：</w:t>
            </w:r>
          </w:p>
        </w:tc>
        <w:tc>
          <w:tcPr>
            <w:tcW w:w="339" w:type="pct"/>
            <w:vMerge w:val="restart"/>
            <w:noWrap/>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r>
              <w:rPr>
                <w:rFonts w:ascii="CESI宋体-GB2312" w:hAnsi="CESI宋体-GB2312"/>
                <w:color w:val="auto"/>
                <w:highlight w:val="none"/>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408" w:type="pct"/>
            <w:vMerge w:val="continue"/>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c>
          <w:tcPr>
            <w:tcW w:w="640" w:type="pct"/>
            <w:vMerge w:val="continue"/>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c>
          <w:tcPr>
            <w:tcW w:w="493" w:type="pct"/>
            <w:vMerge w:val="continue"/>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c>
          <w:tcPr>
            <w:tcW w:w="899" w:type="pct"/>
            <w:vMerge w:val="continue"/>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c>
          <w:tcPr>
            <w:tcW w:w="2219" w:type="pct"/>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r>
              <w:rPr>
                <w:rFonts w:ascii="CESI宋体-GB2312" w:hAnsi="CESI宋体-GB2312"/>
                <w:color w:val="auto"/>
                <w:highlight w:val="none"/>
              </w:rPr>
              <w:t>①项目是否有绩效目标；</w:t>
            </w:r>
          </w:p>
        </w:tc>
        <w:tc>
          <w:tcPr>
            <w:tcW w:w="339" w:type="pct"/>
            <w:vMerge w:val="continue"/>
            <w:noWrap/>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408" w:type="pct"/>
            <w:vMerge w:val="continue"/>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c>
          <w:tcPr>
            <w:tcW w:w="640" w:type="pct"/>
            <w:vMerge w:val="continue"/>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c>
          <w:tcPr>
            <w:tcW w:w="493" w:type="pct"/>
            <w:vMerge w:val="continue"/>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c>
          <w:tcPr>
            <w:tcW w:w="899" w:type="pct"/>
            <w:vMerge w:val="continue"/>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c>
          <w:tcPr>
            <w:tcW w:w="2219" w:type="pct"/>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r>
              <w:rPr>
                <w:rFonts w:ascii="CESI宋体-GB2312" w:hAnsi="CESI宋体-GB2312"/>
                <w:color w:val="auto"/>
                <w:highlight w:val="none"/>
              </w:rPr>
              <w:t>②项目绩效目标与实际工作内容是否具有相关性；</w:t>
            </w:r>
          </w:p>
        </w:tc>
        <w:tc>
          <w:tcPr>
            <w:tcW w:w="339" w:type="pct"/>
            <w:vMerge w:val="continue"/>
            <w:noWrap/>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408" w:type="pct"/>
            <w:vMerge w:val="continue"/>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c>
          <w:tcPr>
            <w:tcW w:w="640" w:type="pct"/>
            <w:vMerge w:val="continue"/>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c>
          <w:tcPr>
            <w:tcW w:w="493" w:type="pct"/>
            <w:vMerge w:val="continue"/>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c>
          <w:tcPr>
            <w:tcW w:w="899" w:type="pct"/>
            <w:vMerge w:val="continue"/>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c>
          <w:tcPr>
            <w:tcW w:w="2219" w:type="pct"/>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r>
              <w:rPr>
                <w:rFonts w:ascii="CESI宋体-GB2312" w:hAnsi="CESI宋体-GB2312"/>
                <w:color w:val="auto"/>
                <w:highlight w:val="none"/>
              </w:rPr>
              <w:t>③项目预期产出效益和效果是否符合正常的业绩水平；</w:t>
            </w:r>
          </w:p>
        </w:tc>
        <w:tc>
          <w:tcPr>
            <w:tcW w:w="339" w:type="pct"/>
            <w:vMerge w:val="continue"/>
            <w:noWrap/>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408" w:type="pct"/>
            <w:vMerge w:val="continue"/>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c>
          <w:tcPr>
            <w:tcW w:w="640" w:type="pct"/>
            <w:vMerge w:val="continue"/>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c>
          <w:tcPr>
            <w:tcW w:w="493" w:type="pct"/>
            <w:vMerge w:val="continue"/>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c>
          <w:tcPr>
            <w:tcW w:w="899" w:type="pct"/>
            <w:vMerge w:val="continue"/>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c>
          <w:tcPr>
            <w:tcW w:w="2219" w:type="pct"/>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r>
              <w:rPr>
                <w:rFonts w:ascii="CESI宋体-GB2312" w:hAnsi="CESI宋体-GB2312"/>
                <w:color w:val="auto"/>
                <w:highlight w:val="none"/>
              </w:rPr>
              <w:t>④是否与预算确定的项目投资额或资金量相匹配。</w:t>
            </w:r>
          </w:p>
        </w:tc>
        <w:tc>
          <w:tcPr>
            <w:tcW w:w="339" w:type="pct"/>
            <w:vMerge w:val="continue"/>
            <w:noWrap/>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408" w:type="pct"/>
            <w:vMerge w:val="continue"/>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c>
          <w:tcPr>
            <w:tcW w:w="640" w:type="pct"/>
            <w:vMerge w:val="continue"/>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c>
          <w:tcPr>
            <w:tcW w:w="493" w:type="pct"/>
            <w:vMerge w:val="restart"/>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r>
              <w:rPr>
                <w:rFonts w:ascii="CESI宋体-GB2312" w:hAnsi="CESI宋体-GB2312"/>
                <w:color w:val="auto"/>
                <w:highlight w:val="none"/>
              </w:rPr>
              <w:t>绩效指标明确性</w:t>
            </w:r>
          </w:p>
        </w:tc>
        <w:tc>
          <w:tcPr>
            <w:tcW w:w="899" w:type="pct"/>
            <w:vMerge w:val="restart"/>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r>
              <w:rPr>
                <w:rFonts w:ascii="CESI宋体-GB2312" w:hAnsi="CESI宋体-GB2312"/>
                <w:color w:val="auto"/>
                <w:highlight w:val="none"/>
              </w:rPr>
              <w:t>依据绩效目标设定的绩效指标是否清晰、细化、可衡量等，用以反映和考核项目绩效目标的明细化情况。</w:t>
            </w:r>
          </w:p>
        </w:tc>
        <w:tc>
          <w:tcPr>
            <w:tcW w:w="2219" w:type="pct"/>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r>
              <w:rPr>
                <w:rFonts w:ascii="CESI宋体-GB2312" w:hAnsi="CESI宋体-GB2312"/>
                <w:color w:val="auto"/>
                <w:highlight w:val="none"/>
              </w:rPr>
              <w:t>评价要点：</w:t>
            </w:r>
          </w:p>
        </w:tc>
        <w:tc>
          <w:tcPr>
            <w:tcW w:w="339" w:type="pct"/>
            <w:vMerge w:val="restart"/>
            <w:noWrap/>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r>
              <w:rPr>
                <w:rFonts w:ascii="CESI宋体-GB2312" w:hAnsi="CESI宋体-GB2312"/>
                <w:color w:val="auto"/>
                <w:highlight w:val="none"/>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408" w:type="pct"/>
            <w:vMerge w:val="continue"/>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c>
          <w:tcPr>
            <w:tcW w:w="640" w:type="pct"/>
            <w:vMerge w:val="continue"/>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c>
          <w:tcPr>
            <w:tcW w:w="493" w:type="pct"/>
            <w:vMerge w:val="continue"/>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c>
          <w:tcPr>
            <w:tcW w:w="899" w:type="pct"/>
            <w:vMerge w:val="continue"/>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c>
          <w:tcPr>
            <w:tcW w:w="2219" w:type="pct"/>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r>
              <w:rPr>
                <w:rFonts w:ascii="CESI宋体-GB2312" w:hAnsi="CESI宋体-GB2312"/>
                <w:color w:val="auto"/>
                <w:highlight w:val="none"/>
              </w:rPr>
              <w:t>①是否将项目绩效目标细化分解为具体的绩效指标；</w:t>
            </w:r>
          </w:p>
        </w:tc>
        <w:tc>
          <w:tcPr>
            <w:tcW w:w="339" w:type="pct"/>
            <w:vMerge w:val="continue"/>
            <w:noWrap/>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408" w:type="pct"/>
            <w:vMerge w:val="continue"/>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c>
          <w:tcPr>
            <w:tcW w:w="640" w:type="pct"/>
            <w:vMerge w:val="continue"/>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c>
          <w:tcPr>
            <w:tcW w:w="493" w:type="pct"/>
            <w:vMerge w:val="continue"/>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c>
          <w:tcPr>
            <w:tcW w:w="899" w:type="pct"/>
            <w:vMerge w:val="continue"/>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c>
          <w:tcPr>
            <w:tcW w:w="2219" w:type="pct"/>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r>
              <w:rPr>
                <w:rFonts w:ascii="CESI宋体-GB2312" w:hAnsi="CESI宋体-GB2312"/>
                <w:color w:val="auto"/>
                <w:highlight w:val="none"/>
              </w:rPr>
              <w:t>②是否通过清晰、可衡量的指标值予以体现；</w:t>
            </w:r>
          </w:p>
        </w:tc>
        <w:tc>
          <w:tcPr>
            <w:tcW w:w="339" w:type="pct"/>
            <w:vMerge w:val="continue"/>
            <w:noWrap/>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408" w:type="pct"/>
            <w:vMerge w:val="continue"/>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c>
          <w:tcPr>
            <w:tcW w:w="640" w:type="pct"/>
            <w:vMerge w:val="continue"/>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c>
          <w:tcPr>
            <w:tcW w:w="493" w:type="pct"/>
            <w:vMerge w:val="continue"/>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c>
          <w:tcPr>
            <w:tcW w:w="899" w:type="pct"/>
            <w:vMerge w:val="continue"/>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c>
          <w:tcPr>
            <w:tcW w:w="2219" w:type="pct"/>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r>
              <w:rPr>
                <w:rFonts w:ascii="CESI宋体-GB2312" w:hAnsi="CESI宋体-GB2312"/>
                <w:color w:val="auto"/>
                <w:highlight w:val="none"/>
              </w:rPr>
              <w:t>③是否与项目目标任务数或计划数相对应。</w:t>
            </w:r>
          </w:p>
        </w:tc>
        <w:tc>
          <w:tcPr>
            <w:tcW w:w="339" w:type="pct"/>
            <w:vMerge w:val="continue"/>
            <w:noWrap/>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408" w:type="pct"/>
            <w:vMerge w:val="continue"/>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c>
          <w:tcPr>
            <w:tcW w:w="640" w:type="pct"/>
            <w:vMerge w:val="restart"/>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r>
              <w:rPr>
                <w:rFonts w:ascii="CESI宋体-GB2312" w:hAnsi="CESI宋体-GB2312"/>
                <w:color w:val="auto"/>
                <w:highlight w:val="none"/>
              </w:rPr>
              <w:t>资金投入</w:t>
            </w:r>
          </w:p>
        </w:tc>
        <w:tc>
          <w:tcPr>
            <w:tcW w:w="493" w:type="pct"/>
            <w:vMerge w:val="restart"/>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r>
              <w:rPr>
                <w:rFonts w:ascii="CESI宋体-GB2312" w:hAnsi="CESI宋体-GB2312"/>
                <w:color w:val="auto"/>
                <w:highlight w:val="none"/>
              </w:rPr>
              <w:t>预算编制科学性</w:t>
            </w:r>
          </w:p>
        </w:tc>
        <w:tc>
          <w:tcPr>
            <w:tcW w:w="899" w:type="pct"/>
            <w:vMerge w:val="restart"/>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r>
              <w:rPr>
                <w:rFonts w:ascii="CESI宋体-GB2312" w:hAnsi="CESI宋体-GB2312"/>
                <w:color w:val="auto"/>
                <w:highlight w:val="none"/>
              </w:rPr>
              <w:t>项目预算编制是否经过科学论证、有明确标准，资金额度与年度目标是否相适应，用以反映和考核项目预算编制的科学性、合理性情况。</w:t>
            </w:r>
          </w:p>
        </w:tc>
        <w:tc>
          <w:tcPr>
            <w:tcW w:w="2219" w:type="pct"/>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r>
              <w:rPr>
                <w:rFonts w:ascii="CESI宋体-GB2312" w:hAnsi="CESI宋体-GB2312"/>
                <w:color w:val="auto"/>
                <w:highlight w:val="none"/>
              </w:rPr>
              <w:t>评价要点：</w:t>
            </w:r>
          </w:p>
        </w:tc>
        <w:tc>
          <w:tcPr>
            <w:tcW w:w="339" w:type="pct"/>
            <w:vMerge w:val="restart"/>
            <w:noWrap/>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r>
              <w:rPr>
                <w:rFonts w:ascii="CESI宋体-GB2312" w:hAnsi="CESI宋体-GB2312"/>
                <w:color w:val="auto"/>
                <w:highlight w:val="none"/>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408" w:type="pct"/>
            <w:vMerge w:val="continue"/>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c>
          <w:tcPr>
            <w:tcW w:w="640" w:type="pct"/>
            <w:vMerge w:val="continue"/>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c>
          <w:tcPr>
            <w:tcW w:w="493" w:type="pct"/>
            <w:vMerge w:val="continue"/>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c>
          <w:tcPr>
            <w:tcW w:w="899" w:type="pct"/>
            <w:vMerge w:val="continue"/>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c>
          <w:tcPr>
            <w:tcW w:w="2219" w:type="pct"/>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r>
              <w:rPr>
                <w:rFonts w:ascii="CESI宋体-GB2312" w:hAnsi="CESI宋体-GB2312"/>
                <w:color w:val="auto"/>
                <w:highlight w:val="none"/>
              </w:rPr>
              <w:t>①预算编制是否经过科学论证；</w:t>
            </w:r>
          </w:p>
        </w:tc>
        <w:tc>
          <w:tcPr>
            <w:tcW w:w="339" w:type="pct"/>
            <w:vMerge w:val="continue"/>
            <w:noWrap/>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408" w:type="pct"/>
            <w:vMerge w:val="continue"/>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c>
          <w:tcPr>
            <w:tcW w:w="640" w:type="pct"/>
            <w:vMerge w:val="continue"/>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c>
          <w:tcPr>
            <w:tcW w:w="493" w:type="pct"/>
            <w:vMerge w:val="continue"/>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c>
          <w:tcPr>
            <w:tcW w:w="899" w:type="pct"/>
            <w:vMerge w:val="continue"/>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c>
          <w:tcPr>
            <w:tcW w:w="2219" w:type="pct"/>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r>
              <w:rPr>
                <w:rFonts w:ascii="CESI宋体-GB2312" w:hAnsi="CESI宋体-GB2312"/>
                <w:color w:val="auto"/>
                <w:highlight w:val="none"/>
              </w:rPr>
              <w:t>②预算内容与项目内容是否匹配；</w:t>
            </w:r>
          </w:p>
        </w:tc>
        <w:tc>
          <w:tcPr>
            <w:tcW w:w="339" w:type="pct"/>
            <w:vMerge w:val="continue"/>
            <w:noWrap/>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 w:hRule="atLeast"/>
          <w:jc w:val="center"/>
        </w:trPr>
        <w:tc>
          <w:tcPr>
            <w:tcW w:w="408" w:type="pct"/>
            <w:vMerge w:val="continue"/>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c>
          <w:tcPr>
            <w:tcW w:w="640" w:type="pct"/>
            <w:vMerge w:val="continue"/>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c>
          <w:tcPr>
            <w:tcW w:w="493" w:type="pct"/>
            <w:vMerge w:val="continue"/>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c>
          <w:tcPr>
            <w:tcW w:w="899" w:type="pct"/>
            <w:vMerge w:val="continue"/>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c>
          <w:tcPr>
            <w:tcW w:w="2219" w:type="pct"/>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r>
              <w:rPr>
                <w:rFonts w:ascii="CESI宋体-GB2312" w:hAnsi="CESI宋体-GB2312"/>
                <w:color w:val="auto"/>
                <w:highlight w:val="none"/>
              </w:rPr>
              <w:t>③预算额度测算依据是否充分，是否按照标准编制；</w:t>
            </w:r>
          </w:p>
        </w:tc>
        <w:tc>
          <w:tcPr>
            <w:tcW w:w="339" w:type="pct"/>
            <w:vMerge w:val="continue"/>
            <w:noWrap/>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408" w:type="pct"/>
            <w:vMerge w:val="continue"/>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c>
          <w:tcPr>
            <w:tcW w:w="640" w:type="pct"/>
            <w:vMerge w:val="continue"/>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c>
          <w:tcPr>
            <w:tcW w:w="493" w:type="pct"/>
            <w:vMerge w:val="continue"/>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c>
          <w:tcPr>
            <w:tcW w:w="899" w:type="pct"/>
            <w:vMerge w:val="continue"/>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c>
          <w:tcPr>
            <w:tcW w:w="2219" w:type="pct"/>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r>
              <w:rPr>
                <w:rFonts w:ascii="CESI宋体-GB2312" w:hAnsi="CESI宋体-GB2312"/>
                <w:color w:val="auto"/>
                <w:highlight w:val="none"/>
              </w:rPr>
              <w:t>④预算确定的项目投资额或资金量是否与工作任务相匹配。</w:t>
            </w:r>
          </w:p>
        </w:tc>
        <w:tc>
          <w:tcPr>
            <w:tcW w:w="339" w:type="pct"/>
            <w:vMerge w:val="continue"/>
            <w:noWrap/>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408" w:type="pct"/>
            <w:vMerge w:val="continue"/>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c>
          <w:tcPr>
            <w:tcW w:w="640" w:type="pct"/>
            <w:vMerge w:val="continue"/>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c>
          <w:tcPr>
            <w:tcW w:w="493" w:type="pct"/>
            <w:vMerge w:val="restart"/>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r>
              <w:rPr>
                <w:rFonts w:ascii="CESI宋体-GB2312" w:hAnsi="CESI宋体-GB2312"/>
                <w:color w:val="auto"/>
                <w:highlight w:val="none"/>
              </w:rPr>
              <w:t>资金分配合理性</w:t>
            </w:r>
          </w:p>
        </w:tc>
        <w:tc>
          <w:tcPr>
            <w:tcW w:w="899" w:type="pct"/>
            <w:vMerge w:val="restart"/>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r>
              <w:rPr>
                <w:rFonts w:ascii="CESI宋体-GB2312" w:hAnsi="CESI宋体-GB2312"/>
                <w:color w:val="auto"/>
                <w:highlight w:val="none"/>
              </w:rPr>
              <w:t>项目预算资金分配是否有测算依据，与补助单位或地方实际是否相适应，用以反映和考核项目预算资金分配的科学性、合理性情况。</w:t>
            </w:r>
          </w:p>
        </w:tc>
        <w:tc>
          <w:tcPr>
            <w:tcW w:w="2219" w:type="pct"/>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r>
              <w:rPr>
                <w:rFonts w:ascii="CESI宋体-GB2312" w:hAnsi="CESI宋体-GB2312"/>
                <w:color w:val="auto"/>
                <w:highlight w:val="none"/>
              </w:rPr>
              <w:t>评价要点：</w:t>
            </w:r>
          </w:p>
        </w:tc>
        <w:tc>
          <w:tcPr>
            <w:tcW w:w="339" w:type="pct"/>
            <w:vMerge w:val="restart"/>
            <w:noWrap/>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r>
              <w:rPr>
                <w:rFonts w:ascii="CESI宋体-GB2312" w:hAnsi="CESI宋体-GB2312"/>
                <w:color w:val="auto"/>
                <w:highlight w:val="none"/>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408" w:type="pct"/>
            <w:vMerge w:val="continue"/>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c>
          <w:tcPr>
            <w:tcW w:w="640" w:type="pct"/>
            <w:vMerge w:val="continue"/>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c>
          <w:tcPr>
            <w:tcW w:w="493" w:type="pct"/>
            <w:vMerge w:val="continue"/>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c>
          <w:tcPr>
            <w:tcW w:w="899" w:type="pct"/>
            <w:vMerge w:val="continue"/>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c>
          <w:tcPr>
            <w:tcW w:w="2219" w:type="pct"/>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r>
              <w:rPr>
                <w:rFonts w:ascii="CESI宋体-GB2312" w:hAnsi="CESI宋体-GB2312"/>
                <w:color w:val="auto"/>
                <w:highlight w:val="none"/>
              </w:rPr>
              <w:t>①预算资金分配依据是否充分；</w:t>
            </w:r>
          </w:p>
        </w:tc>
        <w:tc>
          <w:tcPr>
            <w:tcW w:w="339" w:type="pct"/>
            <w:vMerge w:val="continue"/>
            <w:noWrap/>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408" w:type="pct"/>
            <w:vMerge w:val="continue"/>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c>
          <w:tcPr>
            <w:tcW w:w="640" w:type="pct"/>
            <w:vMerge w:val="continue"/>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c>
          <w:tcPr>
            <w:tcW w:w="493" w:type="pct"/>
            <w:vMerge w:val="continue"/>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c>
          <w:tcPr>
            <w:tcW w:w="899" w:type="pct"/>
            <w:vMerge w:val="continue"/>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c>
          <w:tcPr>
            <w:tcW w:w="2219" w:type="pct"/>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r>
              <w:rPr>
                <w:rFonts w:ascii="CESI宋体-GB2312" w:hAnsi="CESI宋体-GB2312"/>
                <w:color w:val="auto"/>
                <w:highlight w:val="none"/>
              </w:rPr>
              <w:t>②资金分配额度是否合理，与</w:t>
            </w:r>
            <w:r>
              <w:rPr>
                <w:rFonts w:hint="eastAsia" w:ascii="CESI宋体-GB2312" w:hAnsi="CESI宋体-GB2312"/>
                <w:color w:val="auto"/>
                <w:highlight w:val="none"/>
              </w:rPr>
              <w:t>补助</w:t>
            </w:r>
            <w:r>
              <w:rPr>
                <w:rFonts w:ascii="CESI宋体-GB2312" w:hAnsi="CESI宋体-GB2312"/>
                <w:color w:val="auto"/>
                <w:highlight w:val="none"/>
              </w:rPr>
              <w:t>项目单位或地方实际是否相适应。</w:t>
            </w:r>
          </w:p>
        </w:tc>
        <w:tc>
          <w:tcPr>
            <w:tcW w:w="339" w:type="pct"/>
            <w:vMerge w:val="continue"/>
            <w:noWrap/>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408" w:type="pct"/>
            <w:vMerge w:val="restart"/>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r>
              <w:rPr>
                <w:rFonts w:ascii="CESI宋体-GB2312" w:hAnsi="CESI宋体-GB2312"/>
                <w:color w:val="auto"/>
                <w:highlight w:val="none"/>
              </w:rPr>
              <w:t>过程</w:t>
            </w:r>
          </w:p>
        </w:tc>
        <w:tc>
          <w:tcPr>
            <w:tcW w:w="640" w:type="pct"/>
            <w:vMerge w:val="restart"/>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r>
              <w:rPr>
                <w:rFonts w:ascii="CESI宋体-GB2312" w:hAnsi="CESI宋体-GB2312"/>
                <w:color w:val="auto"/>
                <w:highlight w:val="none"/>
              </w:rPr>
              <w:t>资金管理</w:t>
            </w:r>
          </w:p>
        </w:tc>
        <w:tc>
          <w:tcPr>
            <w:tcW w:w="493" w:type="pct"/>
            <w:vMerge w:val="restart"/>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r>
              <w:rPr>
                <w:rFonts w:ascii="CESI宋体-GB2312" w:hAnsi="CESI宋体-GB2312"/>
                <w:color w:val="auto"/>
                <w:highlight w:val="none"/>
              </w:rPr>
              <w:t>资金到位率</w:t>
            </w:r>
          </w:p>
        </w:tc>
        <w:tc>
          <w:tcPr>
            <w:tcW w:w="899" w:type="pct"/>
            <w:vMerge w:val="restart"/>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r>
              <w:rPr>
                <w:rFonts w:ascii="CESI宋体-GB2312" w:hAnsi="CESI宋体-GB2312"/>
                <w:color w:val="auto"/>
                <w:highlight w:val="none"/>
              </w:rPr>
              <w:t>实际到位资金与预算资金的比率，用以反映和考核资金落实情况对项目实施的总体保障程度。</w:t>
            </w:r>
          </w:p>
        </w:tc>
        <w:tc>
          <w:tcPr>
            <w:tcW w:w="2219" w:type="pct"/>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r>
              <w:rPr>
                <w:rFonts w:ascii="CESI宋体-GB2312" w:hAnsi="CESI宋体-GB2312"/>
                <w:color w:val="auto"/>
                <w:highlight w:val="none"/>
              </w:rPr>
              <w:t>资金到位率=（实际到位资金/预算资金）×100%。</w:t>
            </w:r>
          </w:p>
        </w:tc>
        <w:tc>
          <w:tcPr>
            <w:tcW w:w="339" w:type="pct"/>
            <w:vMerge w:val="restart"/>
            <w:noWrap/>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r>
              <w:rPr>
                <w:rFonts w:ascii="CESI宋体-GB2312" w:hAnsi="CESI宋体-GB2312"/>
                <w:color w:val="auto"/>
                <w:highlight w:val="none"/>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408" w:type="pct"/>
            <w:vMerge w:val="continue"/>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c>
          <w:tcPr>
            <w:tcW w:w="640" w:type="pct"/>
            <w:vMerge w:val="continue"/>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c>
          <w:tcPr>
            <w:tcW w:w="493" w:type="pct"/>
            <w:vMerge w:val="continue"/>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c>
          <w:tcPr>
            <w:tcW w:w="899" w:type="pct"/>
            <w:vMerge w:val="continue"/>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c>
          <w:tcPr>
            <w:tcW w:w="2219" w:type="pct"/>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r>
              <w:rPr>
                <w:rFonts w:ascii="CESI宋体-GB2312" w:hAnsi="CESI宋体-GB2312"/>
                <w:color w:val="auto"/>
                <w:highlight w:val="none"/>
              </w:rPr>
              <w:t>实际到位资金：一定时期（本年度或项目期）内落实到具体项目的资金。</w:t>
            </w:r>
          </w:p>
        </w:tc>
        <w:tc>
          <w:tcPr>
            <w:tcW w:w="339" w:type="pct"/>
            <w:vMerge w:val="continue"/>
            <w:noWrap/>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408" w:type="pct"/>
            <w:vMerge w:val="continue"/>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c>
          <w:tcPr>
            <w:tcW w:w="640" w:type="pct"/>
            <w:vMerge w:val="continue"/>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c>
          <w:tcPr>
            <w:tcW w:w="493" w:type="pct"/>
            <w:vMerge w:val="continue"/>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c>
          <w:tcPr>
            <w:tcW w:w="899" w:type="pct"/>
            <w:vMerge w:val="continue"/>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c>
          <w:tcPr>
            <w:tcW w:w="2219" w:type="pct"/>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r>
              <w:rPr>
                <w:rFonts w:ascii="CESI宋体-GB2312" w:hAnsi="CESI宋体-GB2312"/>
                <w:color w:val="auto"/>
                <w:highlight w:val="none"/>
              </w:rPr>
              <w:t>预算资金：一定时期（本年度或项目期）内预算安排到具体项目的资金。</w:t>
            </w:r>
          </w:p>
        </w:tc>
        <w:tc>
          <w:tcPr>
            <w:tcW w:w="339" w:type="pct"/>
            <w:vMerge w:val="continue"/>
            <w:noWrap/>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408" w:type="pct"/>
            <w:vMerge w:val="continue"/>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c>
          <w:tcPr>
            <w:tcW w:w="640" w:type="pct"/>
            <w:vMerge w:val="continue"/>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c>
          <w:tcPr>
            <w:tcW w:w="493" w:type="pct"/>
            <w:vMerge w:val="restart"/>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r>
              <w:rPr>
                <w:rFonts w:ascii="CESI宋体-GB2312" w:hAnsi="CESI宋体-GB2312"/>
                <w:color w:val="auto"/>
                <w:highlight w:val="none"/>
              </w:rPr>
              <w:t>预算执行率</w:t>
            </w:r>
          </w:p>
        </w:tc>
        <w:tc>
          <w:tcPr>
            <w:tcW w:w="899" w:type="pct"/>
            <w:vMerge w:val="restart"/>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r>
              <w:rPr>
                <w:rFonts w:ascii="CESI宋体-GB2312" w:hAnsi="CESI宋体-GB2312"/>
                <w:color w:val="auto"/>
                <w:highlight w:val="none"/>
              </w:rPr>
              <w:t>项目预算资金是否按照计划执行，用以反映或考核项目预算执行情况。</w:t>
            </w:r>
          </w:p>
        </w:tc>
        <w:tc>
          <w:tcPr>
            <w:tcW w:w="2219" w:type="pct"/>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r>
              <w:rPr>
                <w:rFonts w:ascii="CESI宋体-GB2312" w:hAnsi="CESI宋体-GB2312"/>
                <w:color w:val="auto"/>
                <w:highlight w:val="none"/>
              </w:rPr>
              <w:t>预算执行率=（实际支出资金/实际到位资金）×100%。</w:t>
            </w:r>
          </w:p>
        </w:tc>
        <w:tc>
          <w:tcPr>
            <w:tcW w:w="339" w:type="pct"/>
            <w:vMerge w:val="restart"/>
            <w:noWrap/>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r>
              <w:rPr>
                <w:rFonts w:ascii="CESI宋体-GB2312" w:hAnsi="CESI宋体-GB2312"/>
                <w:color w:val="auto"/>
                <w:highlight w:val="none"/>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408" w:type="pct"/>
            <w:vMerge w:val="continue"/>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c>
          <w:tcPr>
            <w:tcW w:w="640" w:type="pct"/>
            <w:vMerge w:val="continue"/>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c>
          <w:tcPr>
            <w:tcW w:w="493" w:type="pct"/>
            <w:vMerge w:val="continue"/>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c>
          <w:tcPr>
            <w:tcW w:w="899" w:type="pct"/>
            <w:vMerge w:val="continue"/>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c>
          <w:tcPr>
            <w:tcW w:w="2219" w:type="pct"/>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r>
              <w:rPr>
                <w:rFonts w:ascii="CESI宋体-GB2312" w:hAnsi="CESI宋体-GB2312"/>
                <w:color w:val="auto"/>
                <w:highlight w:val="none"/>
              </w:rPr>
              <w:t>实际支出资金：一定时期（本年度或项目期）内项目实际拨付的资金。</w:t>
            </w:r>
          </w:p>
        </w:tc>
        <w:tc>
          <w:tcPr>
            <w:tcW w:w="339" w:type="pct"/>
            <w:vMerge w:val="continue"/>
            <w:noWrap/>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408" w:type="pct"/>
            <w:vMerge w:val="continue"/>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c>
          <w:tcPr>
            <w:tcW w:w="640" w:type="pct"/>
            <w:vMerge w:val="continue"/>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c>
          <w:tcPr>
            <w:tcW w:w="493" w:type="pct"/>
            <w:vMerge w:val="restart"/>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r>
              <w:rPr>
                <w:rFonts w:ascii="CESI宋体-GB2312" w:hAnsi="CESI宋体-GB2312"/>
                <w:color w:val="auto"/>
                <w:highlight w:val="none"/>
              </w:rPr>
              <w:t>资金使用合规性</w:t>
            </w:r>
          </w:p>
        </w:tc>
        <w:tc>
          <w:tcPr>
            <w:tcW w:w="899" w:type="pct"/>
            <w:vMerge w:val="restart"/>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r>
              <w:rPr>
                <w:rFonts w:ascii="CESI宋体-GB2312" w:hAnsi="CESI宋体-GB2312"/>
                <w:color w:val="auto"/>
                <w:highlight w:val="none"/>
              </w:rPr>
              <w:t>项目资金使用是否符合相关的财务管理制度规定，用以反映和考核项目资金的规范运行情况。</w:t>
            </w:r>
          </w:p>
        </w:tc>
        <w:tc>
          <w:tcPr>
            <w:tcW w:w="2219" w:type="pct"/>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r>
              <w:rPr>
                <w:rFonts w:ascii="CESI宋体-GB2312" w:hAnsi="CESI宋体-GB2312"/>
                <w:color w:val="auto"/>
                <w:highlight w:val="none"/>
              </w:rPr>
              <w:t>评价要点：</w:t>
            </w:r>
          </w:p>
        </w:tc>
        <w:tc>
          <w:tcPr>
            <w:tcW w:w="339" w:type="pct"/>
            <w:vMerge w:val="restart"/>
            <w:noWrap/>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r>
              <w:rPr>
                <w:rFonts w:ascii="CESI宋体-GB2312" w:hAnsi="CESI宋体-GB2312"/>
                <w:color w:val="auto"/>
                <w:highlight w:val="none"/>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408" w:type="pct"/>
            <w:vMerge w:val="continue"/>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c>
          <w:tcPr>
            <w:tcW w:w="640" w:type="pct"/>
            <w:vMerge w:val="continue"/>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c>
          <w:tcPr>
            <w:tcW w:w="493" w:type="pct"/>
            <w:vMerge w:val="continue"/>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c>
          <w:tcPr>
            <w:tcW w:w="899" w:type="pct"/>
            <w:vMerge w:val="continue"/>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c>
          <w:tcPr>
            <w:tcW w:w="2219" w:type="pct"/>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r>
              <w:rPr>
                <w:rFonts w:ascii="CESI宋体-GB2312" w:hAnsi="CESI宋体-GB2312"/>
                <w:color w:val="auto"/>
                <w:highlight w:val="none"/>
              </w:rPr>
              <w:t>①是否符合国家财经法规和财务管理制度以及有关专项资金管理办法的规定；</w:t>
            </w:r>
          </w:p>
        </w:tc>
        <w:tc>
          <w:tcPr>
            <w:tcW w:w="339" w:type="pct"/>
            <w:vMerge w:val="continue"/>
            <w:noWrap/>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408" w:type="pct"/>
            <w:vMerge w:val="continue"/>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c>
          <w:tcPr>
            <w:tcW w:w="640" w:type="pct"/>
            <w:vMerge w:val="continue"/>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c>
          <w:tcPr>
            <w:tcW w:w="493" w:type="pct"/>
            <w:vMerge w:val="continue"/>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c>
          <w:tcPr>
            <w:tcW w:w="899" w:type="pct"/>
            <w:vMerge w:val="continue"/>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c>
          <w:tcPr>
            <w:tcW w:w="2219" w:type="pct"/>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r>
              <w:rPr>
                <w:rFonts w:ascii="CESI宋体-GB2312" w:hAnsi="CESI宋体-GB2312"/>
                <w:color w:val="auto"/>
                <w:highlight w:val="none"/>
              </w:rPr>
              <w:t>②资金的拨付是否有完整的审批程序和手续；</w:t>
            </w:r>
          </w:p>
        </w:tc>
        <w:tc>
          <w:tcPr>
            <w:tcW w:w="339" w:type="pct"/>
            <w:vMerge w:val="continue"/>
            <w:noWrap/>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408" w:type="pct"/>
            <w:vMerge w:val="continue"/>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c>
          <w:tcPr>
            <w:tcW w:w="640" w:type="pct"/>
            <w:vMerge w:val="continue"/>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c>
          <w:tcPr>
            <w:tcW w:w="493" w:type="pct"/>
            <w:vMerge w:val="continue"/>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c>
          <w:tcPr>
            <w:tcW w:w="899" w:type="pct"/>
            <w:vMerge w:val="continue"/>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c>
          <w:tcPr>
            <w:tcW w:w="2219" w:type="pct"/>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r>
              <w:rPr>
                <w:rFonts w:ascii="CESI宋体-GB2312" w:hAnsi="CESI宋体-GB2312"/>
                <w:color w:val="auto"/>
                <w:highlight w:val="none"/>
              </w:rPr>
              <w:t>③是否符合项目预算批复或合同规定的用途；</w:t>
            </w:r>
          </w:p>
        </w:tc>
        <w:tc>
          <w:tcPr>
            <w:tcW w:w="339" w:type="pct"/>
            <w:vMerge w:val="continue"/>
            <w:noWrap/>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408" w:type="pct"/>
            <w:vMerge w:val="continue"/>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c>
          <w:tcPr>
            <w:tcW w:w="640" w:type="pct"/>
            <w:vMerge w:val="continue"/>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c>
          <w:tcPr>
            <w:tcW w:w="493" w:type="pct"/>
            <w:vMerge w:val="continue"/>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c>
          <w:tcPr>
            <w:tcW w:w="899" w:type="pct"/>
            <w:vMerge w:val="continue"/>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c>
          <w:tcPr>
            <w:tcW w:w="2219" w:type="pct"/>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r>
              <w:rPr>
                <w:rFonts w:ascii="CESI宋体-GB2312" w:hAnsi="CESI宋体-GB2312"/>
                <w:color w:val="auto"/>
                <w:highlight w:val="none"/>
              </w:rPr>
              <w:t>④是否存在截留、挤占、挪用、虚列支出等情况。</w:t>
            </w:r>
          </w:p>
        </w:tc>
        <w:tc>
          <w:tcPr>
            <w:tcW w:w="339" w:type="pct"/>
            <w:vMerge w:val="continue"/>
            <w:noWrap/>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408" w:type="pct"/>
            <w:vMerge w:val="continue"/>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c>
          <w:tcPr>
            <w:tcW w:w="640" w:type="pct"/>
            <w:vMerge w:val="restart"/>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r>
              <w:rPr>
                <w:rFonts w:ascii="CESI宋体-GB2312" w:hAnsi="CESI宋体-GB2312"/>
                <w:color w:val="auto"/>
                <w:highlight w:val="none"/>
              </w:rPr>
              <w:t>组织实施</w:t>
            </w:r>
          </w:p>
        </w:tc>
        <w:tc>
          <w:tcPr>
            <w:tcW w:w="493" w:type="pct"/>
            <w:vMerge w:val="restart"/>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r>
              <w:rPr>
                <w:rFonts w:ascii="CESI宋体-GB2312" w:hAnsi="CESI宋体-GB2312"/>
                <w:color w:val="auto"/>
                <w:highlight w:val="none"/>
              </w:rPr>
              <w:t>管理制度健全性</w:t>
            </w:r>
          </w:p>
        </w:tc>
        <w:tc>
          <w:tcPr>
            <w:tcW w:w="899" w:type="pct"/>
            <w:vMerge w:val="restart"/>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r>
              <w:rPr>
                <w:rFonts w:ascii="CESI宋体-GB2312" w:hAnsi="CESI宋体-GB2312"/>
                <w:color w:val="auto"/>
                <w:highlight w:val="none"/>
              </w:rPr>
              <w:t>项目实施单位的财务和业务管理制度是否健全，用以反映和考核财务和业务管理制度对项目顺利实施的保障情况。</w:t>
            </w:r>
          </w:p>
        </w:tc>
        <w:tc>
          <w:tcPr>
            <w:tcW w:w="2219" w:type="pct"/>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r>
              <w:rPr>
                <w:rFonts w:ascii="CESI宋体-GB2312" w:hAnsi="CESI宋体-GB2312"/>
                <w:color w:val="auto"/>
                <w:highlight w:val="none"/>
              </w:rPr>
              <w:t>评价要点：</w:t>
            </w:r>
          </w:p>
        </w:tc>
        <w:tc>
          <w:tcPr>
            <w:tcW w:w="339" w:type="pct"/>
            <w:vMerge w:val="restart"/>
            <w:noWrap/>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r>
              <w:rPr>
                <w:rFonts w:ascii="CESI宋体-GB2312" w:hAnsi="CESI宋体-GB2312"/>
                <w:color w:val="auto"/>
                <w:highlight w:val="none"/>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408" w:type="pct"/>
            <w:vMerge w:val="continue"/>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c>
          <w:tcPr>
            <w:tcW w:w="640" w:type="pct"/>
            <w:vMerge w:val="continue"/>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c>
          <w:tcPr>
            <w:tcW w:w="493" w:type="pct"/>
            <w:vMerge w:val="continue"/>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c>
          <w:tcPr>
            <w:tcW w:w="899" w:type="pct"/>
            <w:vMerge w:val="continue"/>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c>
          <w:tcPr>
            <w:tcW w:w="2219" w:type="pct"/>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r>
              <w:rPr>
                <w:rFonts w:ascii="CESI宋体-GB2312" w:hAnsi="CESI宋体-GB2312"/>
                <w:color w:val="auto"/>
                <w:highlight w:val="none"/>
              </w:rPr>
              <w:t>①是否已制定或具有相应的财务和业务管理制度；</w:t>
            </w:r>
          </w:p>
        </w:tc>
        <w:tc>
          <w:tcPr>
            <w:tcW w:w="339" w:type="pct"/>
            <w:vMerge w:val="continue"/>
            <w:noWrap/>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408" w:type="pct"/>
            <w:vMerge w:val="continue"/>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c>
          <w:tcPr>
            <w:tcW w:w="640" w:type="pct"/>
            <w:vMerge w:val="continue"/>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c>
          <w:tcPr>
            <w:tcW w:w="493" w:type="pct"/>
            <w:vMerge w:val="continue"/>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c>
          <w:tcPr>
            <w:tcW w:w="899" w:type="pct"/>
            <w:vMerge w:val="continue"/>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c>
          <w:tcPr>
            <w:tcW w:w="2219" w:type="pct"/>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r>
              <w:rPr>
                <w:rFonts w:ascii="CESI宋体-GB2312" w:hAnsi="CESI宋体-GB2312"/>
                <w:color w:val="auto"/>
                <w:highlight w:val="none"/>
              </w:rPr>
              <w:t>②财务和业务管理制度是否合法、合规、完整。</w:t>
            </w:r>
          </w:p>
        </w:tc>
        <w:tc>
          <w:tcPr>
            <w:tcW w:w="339" w:type="pct"/>
            <w:vMerge w:val="continue"/>
            <w:noWrap/>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408" w:type="pct"/>
            <w:vMerge w:val="continue"/>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c>
          <w:tcPr>
            <w:tcW w:w="640" w:type="pct"/>
            <w:vMerge w:val="continue"/>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c>
          <w:tcPr>
            <w:tcW w:w="493" w:type="pct"/>
            <w:vMerge w:val="restart"/>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r>
              <w:rPr>
                <w:rFonts w:ascii="CESI宋体-GB2312" w:hAnsi="CESI宋体-GB2312"/>
                <w:color w:val="auto"/>
                <w:highlight w:val="none"/>
              </w:rPr>
              <w:t>制度执行有效性</w:t>
            </w:r>
          </w:p>
        </w:tc>
        <w:tc>
          <w:tcPr>
            <w:tcW w:w="899" w:type="pct"/>
            <w:vMerge w:val="restart"/>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r>
              <w:rPr>
                <w:rFonts w:ascii="CESI宋体-GB2312" w:hAnsi="CESI宋体-GB2312"/>
                <w:color w:val="auto"/>
                <w:highlight w:val="none"/>
              </w:rPr>
              <w:t>项目实施是否符合相关管理规定，用以反映和考核相关管理制度的有效执行情况。</w:t>
            </w:r>
          </w:p>
        </w:tc>
        <w:tc>
          <w:tcPr>
            <w:tcW w:w="2219" w:type="pct"/>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r>
              <w:rPr>
                <w:rFonts w:ascii="CESI宋体-GB2312" w:hAnsi="CESI宋体-GB2312"/>
                <w:color w:val="auto"/>
                <w:highlight w:val="none"/>
              </w:rPr>
              <w:t>评价要点：</w:t>
            </w:r>
          </w:p>
        </w:tc>
        <w:tc>
          <w:tcPr>
            <w:tcW w:w="339" w:type="pct"/>
            <w:vMerge w:val="restart"/>
            <w:noWrap/>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r>
              <w:rPr>
                <w:rFonts w:ascii="CESI宋体-GB2312" w:hAnsi="CESI宋体-GB2312"/>
                <w:color w:val="auto"/>
                <w:highlight w:val="none"/>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408" w:type="pct"/>
            <w:vMerge w:val="continue"/>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c>
          <w:tcPr>
            <w:tcW w:w="640" w:type="pct"/>
            <w:vMerge w:val="continue"/>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c>
          <w:tcPr>
            <w:tcW w:w="493" w:type="pct"/>
            <w:vMerge w:val="continue"/>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c>
          <w:tcPr>
            <w:tcW w:w="899" w:type="pct"/>
            <w:vMerge w:val="continue"/>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c>
          <w:tcPr>
            <w:tcW w:w="2219" w:type="pct"/>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r>
              <w:rPr>
                <w:rFonts w:ascii="CESI宋体-GB2312" w:hAnsi="CESI宋体-GB2312"/>
                <w:color w:val="auto"/>
                <w:highlight w:val="none"/>
              </w:rPr>
              <w:t>①是否遵守相关法律法规和相关管理规定；</w:t>
            </w:r>
          </w:p>
        </w:tc>
        <w:tc>
          <w:tcPr>
            <w:tcW w:w="339" w:type="pct"/>
            <w:vMerge w:val="continue"/>
            <w:noWrap/>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408" w:type="pct"/>
            <w:vMerge w:val="continue"/>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c>
          <w:tcPr>
            <w:tcW w:w="640" w:type="pct"/>
            <w:vMerge w:val="continue"/>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c>
          <w:tcPr>
            <w:tcW w:w="493" w:type="pct"/>
            <w:vMerge w:val="continue"/>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c>
          <w:tcPr>
            <w:tcW w:w="899" w:type="pct"/>
            <w:vMerge w:val="continue"/>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c>
          <w:tcPr>
            <w:tcW w:w="2219" w:type="pct"/>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r>
              <w:rPr>
                <w:rFonts w:ascii="CESI宋体-GB2312" w:hAnsi="CESI宋体-GB2312"/>
                <w:color w:val="auto"/>
                <w:highlight w:val="none"/>
              </w:rPr>
              <w:t>②项目调整及支出调整手续是否完备；</w:t>
            </w:r>
          </w:p>
        </w:tc>
        <w:tc>
          <w:tcPr>
            <w:tcW w:w="339" w:type="pct"/>
            <w:vMerge w:val="continue"/>
            <w:noWrap/>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408" w:type="pct"/>
            <w:vMerge w:val="restart"/>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spacing w:line="240" w:lineRule="exact"/>
              <w:ind w:firstLine="0" w:firstLineChars="0"/>
              <w:jc w:val="left"/>
              <w:textAlignment w:val="auto"/>
              <w:rPr>
                <w:rFonts w:ascii="CESI宋体-GB2312" w:hAnsi="CESI宋体-GB2312"/>
                <w:color w:val="auto"/>
                <w:highlight w:val="none"/>
              </w:rPr>
            </w:pPr>
            <w:r>
              <w:rPr>
                <w:rFonts w:hint="default" w:ascii="CESI宋体-GB2312" w:hAnsi="CESI宋体-GB2312" w:eastAsia="仿宋_GB2312" w:cs="Times New Roman"/>
                <w:color w:val="auto"/>
                <w:sz w:val="18"/>
                <w:szCs w:val="18"/>
                <w:highlight w:val="none"/>
              </w:rPr>
              <w:t>产出</w:t>
            </w:r>
          </w:p>
        </w:tc>
        <w:tc>
          <w:tcPr>
            <w:tcW w:w="640" w:type="pct"/>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spacing w:line="240" w:lineRule="exact"/>
              <w:ind w:firstLine="0" w:firstLineChars="0"/>
              <w:jc w:val="left"/>
              <w:textAlignment w:val="auto"/>
              <w:rPr>
                <w:rFonts w:ascii="CESI宋体-GB2312" w:hAnsi="CESI宋体-GB2312"/>
                <w:color w:val="auto"/>
                <w:highlight w:val="none"/>
              </w:rPr>
            </w:pPr>
            <w:r>
              <w:rPr>
                <w:rFonts w:hint="default" w:ascii="CESI宋体-GB2312" w:hAnsi="CESI宋体-GB2312" w:eastAsia="仿宋_GB2312" w:cs="Times New Roman"/>
                <w:color w:val="auto"/>
                <w:sz w:val="18"/>
                <w:szCs w:val="18"/>
                <w:highlight w:val="none"/>
              </w:rPr>
              <w:t>产出数量</w:t>
            </w:r>
          </w:p>
        </w:tc>
        <w:tc>
          <w:tcPr>
            <w:tcW w:w="493" w:type="pct"/>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spacing w:line="240" w:lineRule="exact"/>
              <w:ind w:firstLine="0" w:firstLineChars="0"/>
              <w:jc w:val="left"/>
              <w:textAlignment w:val="auto"/>
              <w:rPr>
                <w:rFonts w:ascii="CESI宋体-GB2312" w:hAnsi="CESI宋体-GB2312"/>
                <w:color w:val="auto"/>
                <w:highlight w:val="none"/>
              </w:rPr>
            </w:pPr>
            <w:r>
              <w:rPr>
                <w:rFonts w:hint="default" w:ascii="CESI宋体-GB2312" w:hAnsi="CESI宋体-GB2312" w:eastAsia="仿宋_GB2312" w:cs="Times New Roman"/>
                <w:color w:val="auto"/>
                <w:sz w:val="18"/>
                <w:szCs w:val="18"/>
                <w:highlight w:val="none"/>
              </w:rPr>
              <w:t>实际完成率</w:t>
            </w:r>
          </w:p>
        </w:tc>
        <w:tc>
          <w:tcPr>
            <w:tcW w:w="899" w:type="pct"/>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spacing w:line="240" w:lineRule="exact"/>
              <w:ind w:firstLine="0" w:firstLineChars="0"/>
              <w:jc w:val="left"/>
              <w:textAlignment w:val="auto"/>
              <w:rPr>
                <w:rFonts w:ascii="CESI宋体-GB2312" w:hAnsi="CESI宋体-GB2312"/>
                <w:color w:val="auto"/>
                <w:highlight w:val="none"/>
              </w:rPr>
            </w:pPr>
            <w:r>
              <w:rPr>
                <w:rFonts w:hint="default" w:ascii="CESI宋体-GB2312" w:hAnsi="CESI宋体-GB2312" w:eastAsia="仿宋_GB2312" w:cs="Times New Roman"/>
                <w:color w:val="auto"/>
                <w:sz w:val="18"/>
                <w:szCs w:val="18"/>
                <w:highlight w:val="none"/>
              </w:rPr>
              <w:t>项目实施的实际产出数与计划产出数的比率，用以反映和考核项目产出数量目标的实现程度。</w:t>
            </w:r>
          </w:p>
        </w:tc>
        <w:tc>
          <w:tcPr>
            <w:tcW w:w="2219" w:type="pct"/>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spacing w:line="240" w:lineRule="exact"/>
              <w:jc w:val="left"/>
              <w:textAlignment w:val="auto"/>
              <w:outlineLvl w:val="9"/>
              <w:rPr>
                <w:rFonts w:hint="default" w:ascii="CESI宋体-GB2312" w:hAnsi="CESI宋体-GB2312" w:eastAsia="仿宋_GB2312" w:cs="Times New Roman"/>
                <w:color w:val="auto"/>
                <w:sz w:val="18"/>
                <w:szCs w:val="18"/>
                <w:highlight w:val="none"/>
              </w:rPr>
            </w:pPr>
            <w:r>
              <w:rPr>
                <w:rFonts w:hint="default" w:ascii="CESI宋体-GB2312" w:hAnsi="CESI宋体-GB2312" w:eastAsia="仿宋_GB2312" w:cs="Times New Roman"/>
                <w:color w:val="auto"/>
                <w:sz w:val="18"/>
                <w:szCs w:val="18"/>
                <w:highlight w:val="none"/>
              </w:rPr>
              <w:t>实际完成率=（实际产出数/计划产出数）×100%。</w:t>
            </w:r>
          </w:p>
          <w:p>
            <w:pPr>
              <w:pStyle w:val="13"/>
              <w:keepNext w:val="0"/>
              <w:keepLines w:val="0"/>
              <w:pageBreakBefore w:val="0"/>
              <w:widowControl w:val="0"/>
              <w:kinsoku/>
              <w:wordWrap/>
              <w:overflowPunct/>
              <w:topLinePunct w:val="0"/>
              <w:autoSpaceDE/>
              <w:autoSpaceDN/>
              <w:bidi w:val="0"/>
              <w:adjustRightInd/>
              <w:snapToGrid/>
              <w:spacing w:line="240" w:lineRule="exact"/>
              <w:jc w:val="left"/>
              <w:textAlignment w:val="auto"/>
              <w:outlineLvl w:val="9"/>
              <w:rPr>
                <w:rFonts w:hint="default" w:ascii="CESI宋体-GB2312" w:hAnsi="CESI宋体-GB2312" w:eastAsia="仿宋_GB2312" w:cs="Times New Roman"/>
                <w:color w:val="auto"/>
                <w:sz w:val="18"/>
                <w:szCs w:val="18"/>
                <w:highlight w:val="none"/>
              </w:rPr>
            </w:pPr>
            <w:r>
              <w:rPr>
                <w:rFonts w:hint="default" w:ascii="CESI宋体-GB2312" w:hAnsi="CESI宋体-GB2312" w:eastAsia="仿宋_GB2312" w:cs="Times New Roman"/>
                <w:color w:val="auto"/>
                <w:sz w:val="18"/>
                <w:szCs w:val="18"/>
                <w:highlight w:val="none"/>
              </w:rPr>
              <w:t>实际产出数：一定时期（本年度或项目期）内项目实际产出的产品或提供的服务数量。</w:t>
            </w:r>
          </w:p>
          <w:p>
            <w:pPr>
              <w:pStyle w:val="13"/>
              <w:keepNext w:val="0"/>
              <w:keepLines w:val="0"/>
              <w:pageBreakBefore w:val="0"/>
              <w:widowControl w:val="0"/>
              <w:kinsoku/>
              <w:wordWrap/>
              <w:overflowPunct/>
              <w:topLinePunct w:val="0"/>
              <w:autoSpaceDE/>
              <w:autoSpaceDN/>
              <w:bidi w:val="0"/>
              <w:adjustRightInd/>
              <w:snapToGrid/>
              <w:spacing w:line="240" w:lineRule="exact"/>
              <w:ind w:firstLine="0" w:firstLineChars="0"/>
              <w:jc w:val="left"/>
              <w:textAlignment w:val="auto"/>
              <w:outlineLvl w:val="9"/>
              <w:rPr>
                <w:rFonts w:ascii="CESI宋体-GB2312" w:hAnsi="CESI宋体-GB2312"/>
                <w:color w:val="auto"/>
                <w:highlight w:val="none"/>
              </w:rPr>
            </w:pPr>
            <w:r>
              <w:rPr>
                <w:rFonts w:hint="default" w:ascii="CESI宋体-GB2312" w:hAnsi="CESI宋体-GB2312" w:eastAsia="仿宋_GB2312" w:cs="Times New Roman"/>
                <w:color w:val="auto"/>
                <w:sz w:val="18"/>
                <w:szCs w:val="18"/>
                <w:highlight w:val="none"/>
              </w:rPr>
              <w:t>计划产出数：项目绩效目标确定的在一定时期（本年度或项目期）内计划产出的产品或提供的服务数量。</w:t>
            </w:r>
          </w:p>
        </w:tc>
        <w:tc>
          <w:tcPr>
            <w:tcW w:w="339" w:type="pct"/>
            <w:noWrap/>
            <w:vAlign w:val="center"/>
          </w:tcPr>
          <w:p>
            <w:pPr>
              <w:pStyle w:val="13"/>
              <w:keepNext w:val="0"/>
              <w:keepLines w:val="0"/>
              <w:pageBreakBefore w:val="0"/>
              <w:widowControl w:val="0"/>
              <w:kinsoku/>
              <w:wordWrap/>
              <w:overflowPunct/>
              <w:topLinePunct w:val="0"/>
              <w:autoSpaceDE/>
              <w:autoSpaceDN/>
              <w:bidi w:val="0"/>
              <w:adjustRightInd/>
              <w:snapToGrid/>
              <w:spacing w:line="240" w:lineRule="exact"/>
              <w:ind w:firstLine="0" w:firstLineChars="0"/>
              <w:jc w:val="left"/>
              <w:textAlignment w:val="auto"/>
              <w:rPr>
                <w:rFonts w:ascii="CESI宋体-GB2312" w:hAnsi="CESI宋体-GB2312"/>
                <w:color w:val="auto"/>
                <w:highlight w:val="none"/>
              </w:rPr>
            </w:pPr>
            <w:r>
              <w:rPr>
                <w:rFonts w:hint="eastAsia" w:ascii="CESI宋体-GB2312" w:hAnsi="CESI宋体-GB2312" w:cs="Times New Roman"/>
                <w:color w:val="auto"/>
                <w:sz w:val="18"/>
                <w:szCs w:val="18"/>
                <w:highlight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408" w:type="pct"/>
            <w:vMerge w:val="continue"/>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spacing w:line="240" w:lineRule="exact"/>
              <w:ind w:firstLine="0" w:firstLineChars="0"/>
              <w:jc w:val="left"/>
              <w:textAlignment w:val="auto"/>
              <w:rPr>
                <w:rFonts w:ascii="CESI宋体-GB2312" w:hAnsi="CESI宋体-GB2312"/>
                <w:color w:val="auto"/>
                <w:highlight w:val="none"/>
              </w:rPr>
            </w:pPr>
          </w:p>
        </w:tc>
        <w:tc>
          <w:tcPr>
            <w:tcW w:w="640" w:type="pct"/>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spacing w:line="240" w:lineRule="exact"/>
              <w:ind w:firstLine="0" w:firstLineChars="0"/>
              <w:jc w:val="left"/>
              <w:textAlignment w:val="auto"/>
              <w:rPr>
                <w:rFonts w:ascii="CESI宋体-GB2312" w:hAnsi="CESI宋体-GB2312"/>
                <w:color w:val="auto"/>
                <w:highlight w:val="none"/>
              </w:rPr>
            </w:pPr>
            <w:r>
              <w:rPr>
                <w:rFonts w:hint="default" w:ascii="CESI宋体-GB2312" w:hAnsi="CESI宋体-GB2312" w:eastAsia="仿宋_GB2312" w:cs="Times New Roman"/>
                <w:color w:val="auto"/>
                <w:sz w:val="18"/>
                <w:szCs w:val="18"/>
                <w:highlight w:val="none"/>
              </w:rPr>
              <w:t>产出质量</w:t>
            </w:r>
          </w:p>
        </w:tc>
        <w:tc>
          <w:tcPr>
            <w:tcW w:w="493" w:type="pct"/>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spacing w:line="240" w:lineRule="exact"/>
              <w:ind w:firstLine="0" w:firstLineChars="0"/>
              <w:jc w:val="left"/>
              <w:textAlignment w:val="auto"/>
              <w:rPr>
                <w:rFonts w:ascii="CESI宋体-GB2312" w:hAnsi="CESI宋体-GB2312"/>
                <w:color w:val="auto"/>
                <w:highlight w:val="none"/>
              </w:rPr>
            </w:pPr>
            <w:r>
              <w:rPr>
                <w:rFonts w:hint="default" w:ascii="CESI宋体-GB2312" w:hAnsi="CESI宋体-GB2312" w:eastAsia="仿宋_GB2312" w:cs="Times New Roman"/>
                <w:color w:val="auto"/>
                <w:sz w:val="18"/>
                <w:szCs w:val="18"/>
                <w:highlight w:val="none"/>
              </w:rPr>
              <w:t>质量达标率</w:t>
            </w:r>
          </w:p>
        </w:tc>
        <w:tc>
          <w:tcPr>
            <w:tcW w:w="899" w:type="pct"/>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spacing w:line="240" w:lineRule="exact"/>
              <w:ind w:firstLine="0" w:firstLineChars="0"/>
              <w:jc w:val="left"/>
              <w:textAlignment w:val="auto"/>
              <w:rPr>
                <w:rFonts w:ascii="CESI宋体-GB2312" w:hAnsi="CESI宋体-GB2312"/>
                <w:color w:val="auto"/>
                <w:highlight w:val="none"/>
              </w:rPr>
            </w:pPr>
            <w:r>
              <w:rPr>
                <w:rFonts w:hint="default" w:ascii="CESI宋体-GB2312" w:hAnsi="CESI宋体-GB2312" w:eastAsia="仿宋_GB2312" w:cs="Times New Roman"/>
                <w:color w:val="auto"/>
                <w:sz w:val="18"/>
                <w:szCs w:val="18"/>
                <w:highlight w:val="none"/>
              </w:rPr>
              <w:t>项目完成的质量达标产出数与实际产出数的比率，用以反映和考核项目产出质量目标的实现程度。</w:t>
            </w:r>
          </w:p>
        </w:tc>
        <w:tc>
          <w:tcPr>
            <w:tcW w:w="2219" w:type="pct"/>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spacing w:line="240" w:lineRule="exact"/>
              <w:jc w:val="left"/>
              <w:textAlignment w:val="auto"/>
              <w:outlineLvl w:val="9"/>
              <w:rPr>
                <w:rFonts w:hint="default" w:ascii="CESI宋体-GB2312" w:hAnsi="CESI宋体-GB2312" w:eastAsia="仿宋_GB2312" w:cs="Times New Roman"/>
                <w:color w:val="auto"/>
                <w:sz w:val="18"/>
                <w:szCs w:val="18"/>
                <w:highlight w:val="none"/>
              </w:rPr>
            </w:pPr>
            <w:r>
              <w:rPr>
                <w:rFonts w:hint="default" w:ascii="CESI宋体-GB2312" w:hAnsi="CESI宋体-GB2312" w:eastAsia="仿宋_GB2312" w:cs="Times New Roman"/>
                <w:color w:val="auto"/>
                <w:sz w:val="18"/>
                <w:szCs w:val="18"/>
                <w:highlight w:val="none"/>
              </w:rPr>
              <w:t>质量达标率=（质量达标产出数/实际产出数）×100%。</w:t>
            </w:r>
          </w:p>
          <w:p>
            <w:pPr>
              <w:pStyle w:val="13"/>
              <w:keepNext w:val="0"/>
              <w:keepLines w:val="0"/>
              <w:pageBreakBefore w:val="0"/>
              <w:widowControl w:val="0"/>
              <w:kinsoku/>
              <w:wordWrap/>
              <w:overflowPunct/>
              <w:topLinePunct w:val="0"/>
              <w:autoSpaceDE/>
              <w:autoSpaceDN/>
              <w:bidi w:val="0"/>
              <w:adjustRightInd/>
              <w:snapToGrid/>
              <w:spacing w:line="240" w:lineRule="exact"/>
              <w:ind w:firstLine="0" w:firstLineChars="0"/>
              <w:jc w:val="left"/>
              <w:textAlignment w:val="auto"/>
              <w:outlineLvl w:val="9"/>
              <w:rPr>
                <w:rFonts w:ascii="CESI宋体-GB2312" w:hAnsi="CESI宋体-GB2312"/>
                <w:color w:val="auto"/>
                <w:highlight w:val="none"/>
              </w:rPr>
            </w:pPr>
            <w:r>
              <w:rPr>
                <w:rFonts w:hint="default" w:ascii="CESI宋体-GB2312" w:hAnsi="CESI宋体-GB2312" w:eastAsia="仿宋_GB2312" w:cs="Times New Roman"/>
                <w:color w:val="auto"/>
                <w:sz w:val="18"/>
                <w:szCs w:val="18"/>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39" w:type="pct"/>
            <w:noWrap/>
            <w:vAlign w:val="center"/>
          </w:tcPr>
          <w:p>
            <w:pPr>
              <w:pStyle w:val="13"/>
              <w:keepNext w:val="0"/>
              <w:keepLines w:val="0"/>
              <w:pageBreakBefore w:val="0"/>
              <w:widowControl w:val="0"/>
              <w:kinsoku/>
              <w:wordWrap/>
              <w:overflowPunct/>
              <w:topLinePunct w:val="0"/>
              <w:autoSpaceDE/>
              <w:autoSpaceDN/>
              <w:bidi w:val="0"/>
              <w:adjustRightInd/>
              <w:snapToGrid/>
              <w:spacing w:line="240" w:lineRule="exact"/>
              <w:ind w:firstLine="0" w:firstLineChars="0"/>
              <w:jc w:val="left"/>
              <w:textAlignment w:val="auto"/>
              <w:rPr>
                <w:rFonts w:ascii="CESI宋体-GB2312" w:hAnsi="CESI宋体-GB2312"/>
                <w:color w:val="auto"/>
                <w:highlight w:val="none"/>
              </w:rPr>
            </w:pPr>
            <w:r>
              <w:rPr>
                <w:rFonts w:hint="eastAsia" w:ascii="CESI宋体-GB2312" w:hAnsi="CESI宋体-GB2312" w:cs="Times New Roman"/>
                <w:color w:val="auto"/>
                <w:sz w:val="18"/>
                <w:szCs w:val="18"/>
                <w:highlight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408" w:type="pct"/>
            <w:vMerge w:val="continue"/>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spacing w:line="240" w:lineRule="exact"/>
              <w:ind w:firstLine="0" w:firstLineChars="0"/>
              <w:jc w:val="left"/>
              <w:textAlignment w:val="auto"/>
              <w:rPr>
                <w:rFonts w:ascii="CESI宋体-GB2312" w:hAnsi="CESI宋体-GB2312"/>
                <w:color w:val="auto"/>
                <w:highlight w:val="none"/>
              </w:rPr>
            </w:pPr>
          </w:p>
        </w:tc>
        <w:tc>
          <w:tcPr>
            <w:tcW w:w="640" w:type="pct"/>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spacing w:line="240" w:lineRule="exact"/>
              <w:ind w:firstLine="0" w:firstLineChars="0"/>
              <w:jc w:val="left"/>
              <w:textAlignment w:val="auto"/>
              <w:rPr>
                <w:rFonts w:ascii="CESI宋体-GB2312" w:hAnsi="CESI宋体-GB2312"/>
                <w:color w:val="auto"/>
                <w:highlight w:val="none"/>
              </w:rPr>
            </w:pPr>
            <w:r>
              <w:rPr>
                <w:rFonts w:hint="default" w:ascii="CESI宋体-GB2312" w:hAnsi="CESI宋体-GB2312" w:eastAsia="仿宋_GB2312" w:cs="Times New Roman"/>
                <w:color w:val="auto"/>
                <w:sz w:val="18"/>
                <w:szCs w:val="18"/>
                <w:highlight w:val="none"/>
              </w:rPr>
              <w:t>产出时效</w:t>
            </w:r>
          </w:p>
        </w:tc>
        <w:tc>
          <w:tcPr>
            <w:tcW w:w="493" w:type="pct"/>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spacing w:line="240" w:lineRule="exact"/>
              <w:ind w:firstLine="0" w:firstLineChars="0"/>
              <w:jc w:val="left"/>
              <w:textAlignment w:val="auto"/>
              <w:rPr>
                <w:rFonts w:ascii="CESI宋体-GB2312" w:hAnsi="CESI宋体-GB2312"/>
                <w:color w:val="auto"/>
                <w:highlight w:val="none"/>
              </w:rPr>
            </w:pPr>
            <w:r>
              <w:rPr>
                <w:rFonts w:hint="default" w:ascii="CESI宋体-GB2312" w:hAnsi="CESI宋体-GB2312" w:eastAsia="仿宋_GB2312" w:cs="Times New Roman"/>
                <w:color w:val="auto"/>
                <w:sz w:val="18"/>
                <w:szCs w:val="18"/>
                <w:highlight w:val="none"/>
              </w:rPr>
              <w:t>完成及时性</w:t>
            </w:r>
          </w:p>
        </w:tc>
        <w:tc>
          <w:tcPr>
            <w:tcW w:w="899" w:type="pct"/>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spacing w:line="240" w:lineRule="exact"/>
              <w:ind w:firstLine="0" w:firstLineChars="0"/>
              <w:jc w:val="left"/>
              <w:textAlignment w:val="auto"/>
              <w:rPr>
                <w:rFonts w:ascii="CESI宋体-GB2312" w:hAnsi="CESI宋体-GB2312"/>
                <w:color w:val="auto"/>
                <w:highlight w:val="none"/>
              </w:rPr>
            </w:pPr>
            <w:r>
              <w:rPr>
                <w:rFonts w:hint="default" w:ascii="CESI宋体-GB2312" w:hAnsi="CESI宋体-GB2312" w:eastAsia="仿宋_GB2312" w:cs="Times New Roman"/>
                <w:color w:val="auto"/>
                <w:sz w:val="18"/>
                <w:szCs w:val="18"/>
                <w:highlight w:val="none"/>
              </w:rPr>
              <w:t>项目实际完成时间与计划完成时间的比较，用以反映和考核项目产出时效目标的实现程度。</w:t>
            </w:r>
          </w:p>
        </w:tc>
        <w:tc>
          <w:tcPr>
            <w:tcW w:w="2219" w:type="pct"/>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spacing w:line="240" w:lineRule="exact"/>
              <w:jc w:val="left"/>
              <w:textAlignment w:val="auto"/>
              <w:outlineLvl w:val="9"/>
              <w:rPr>
                <w:rFonts w:hint="default" w:ascii="CESI宋体-GB2312" w:hAnsi="CESI宋体-GB2312" w:eastAsia="仿宋_GB2312" w:cs="Times New Roman"/>
                <w:color w:val="auto"/>
                <w:sz w:val="18"/>
                <w:szCs w:val="18"/>
                <w:highlight w:val="none"/>
              </w:rPr>
            </w:pPr>
            <w:r>
              <w:rPr>
                <w:rFonts w:hint="default" w:ascii="CESI宋体-GB2312" w:hAnsi="CESI宋体-GB2312" w:eastAsia="仿宋_GB2312" w:cs="Times New Roman"/>
                <w:color w:val="auto"/>
                <w:sz w:val="18"/>
                <w:szCs w:val="18"/>
                <w:highlight w:val="none"/>
              </w:rPr>
              <w:t>实际完成时间：项目实施单位完成该项目实际所耗用的时间。</w:t>
            </w:r>
          </w:p>
          <w:p>
            <w:pPr>
              <w:pStyle w:val="13"/>
              <w:keepNext w:val="0"/>
              <w:keepLines w:val="0"/>
              <w:pageBreakBefore w:val="0"/>
              <w:widowControl w:val="0"/>
              <w:kinsoku/>
              <w:wordWrap/>
              <w:overflowPunct/>
              <w:topLinePunct w:val="0"/>
              <w:autoSpaceDE/>
              <w:autoSpaceDN/>
              <w:bidi w:val="0"/>
              <w:adjustRightInd/>
              <w:snapToGrid/>
              <w:spacing w:line="240" w:lineRule="exact"/>
              <w:ind w:firstLine="0" w:firstLineChars="0"/>
              <w:jc w:val="left"/>
              <w:textAlignment w:val="auto"/>
              <w:outlineLvl w:val="9"/>
              <w:rPr>
                <w:rFonts w:ascii="CESI宋体-GB2312" w:hAnsi="CESI宋体-GB2312"/>
                <w:color w:val="auto"/>
                <w:highlight w:val="none"/>
              </w:rPr>
            </w:pPr>
            <w:r>
              <w:rPr>
                <w:rFonts w:hint="default" w:ascii="CESI宋体-GB2312" w:hAnsi="CESI宋体-GB2312" w:eastAsia="仿宋_GB2312" w:cs="Times New Roman"/>
                <w:color w:val="auto"/>
                <w:sz w:val="18"/>
                <w:szCs w:val="18"/>
                <w:highlight w:val="none"/>
              </w:rPr>
              <w:t>计划完成时间：按照项目实施计划或相关规定完成该项目所需的时间。</w:t>
            </w:r>
          </w:p>
        </w:tc>
        <w:tc>
          <w:tcPr>
            <w:tcW w:w="339" w:type="pct"/>
            <w:noWrap/>
            <w:vAlign w:val="center"/>
          </w:tcPr>
          <w:p>
            <w:pPr>
              <w:pStyle w:val="13"/>
              <w:keepNext w:val="0"/>
              <w:keepLines w:val="0"/>
              <w:pageBreakBefore w:val="0"/>
              <w:widowControl w:val="0"/>
              <w:kinsoku/>
              <w:wordWrap/>
              <w:overflowPunct/>
              <w:topLinePunct w:val="0"/>
              <w:autoSpaceDE/>
              <w:autoSpaceDN/>
              <w:bidi w:val="0"/>
              <w:adjustRightInd/>
              <w:snapToGrid/>
              <w:spacing w:line="240" w:lineRule="exact"/>
              <w:ind w:firstLine="0" w:firstLineChars="0"/>
              <w:jc w:val="left"/>
              <w:textAlignment w:val="auto"/>
              <w:rPr>
                <w:rFonts w:ascii="CESI宋体-GB2312" w:hAnsi="CESI宋体-GB2312"/>
                <w:color w:val="auto"/>
                <w:highlight w:val="none"/>
              </w:rPr>
            </w:pPr>
            <w:r>
              <w:rPr>
                <w:rFonts w:hint="eastAsia" w:ascii="CESI宋体-GB2312" w:hAnsi="CESI宋体-GB2312" w:cs="Times New Roman"/>
                <w:color w:val="auto"/>
                <w:sz w:val="18"/>
                <w:szCs w:val="18"/>
                <w:highlight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408" w:type="pct"/>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spacing w:line="240" w:lineRule="exact"/>
              <w:ind w:firstLine="0" w:firstLineChars="0"/>
              <w:jc w:val="left"/>
              <w:textAlignment w:val="auto"/>
              <w:rPr>
                <w:rFonts w:ascii="CESI宋体-GB2312" w:hAnsi="CESI宋体-GB2312"/>
                <w:color w:val="auto"/>
                <w:highlight w:val="none"/>
              </w:rPr>
            </w:pPr>
            <w:r>
              <w:rPr>
                <w:rFonts w:hint="eastAsia" w:ascii="CESI宋体-GB2312" w:hAnsi="CESI宋体-GB2312" w:cs="Times New Roman"/>
                <w:color w:val="auto"/>
                <w:sz w:val="18"/>
                <w:szCs w:val="18"/>
                <w:highlight w:val="none"/>
                <w:lang w:val="en-US" w:eastAsia="zh-CN"/>
              </w:rPr>
              <w:t>成本</w:t>
            </w:r>
          </w:p>
        </w:tc>
        <w:tc>
          <w:tcPr>
            <w:tcW w:w="640" w:type="pct"/>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spacing w:line="240" w:lineRule="exact"/>
              <w:ind w:firstLine="0" w:firstLineChars="0"/>
              <w:jc w:val="left"/>
              <w:textAlignment w:val="auto"/>
              <w:rPr>
                <w:rFonts w:ascii="CESI宋体-GB2312" w:hAnsi="CESI宋体-GB2312"/>
                <w:color w:val="auto"/>
                <w:highlight w:val="none"/>
              </w:rPr>
            </w:pPr>
            <w:r>
              <w:rPr>
                <w:rFonts w:hint="default" w:ascii="CESI宋体-GB2312" w:hAnsi="CESI宋体-GB2312" w:eastAsia="仿宋_GB2312" w:cs="Times New Roman"/>
                <w:color w:val="auto"/>
                <w:sz w:val="18"/>
                <w:szCs w:val="18"/>
                <w:highlight w:val="none"/>
              </w:rPr>
              <w:t>产出成本</w:t>
            </w:r>
          </w:p>
        </w:tc>
        <w:tc>
          <w:tcPr>
            <w:tcW w:w="493" w:type="pct"/>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spacing w:line="240" w:lineRule="exact"/>
              <w:ind w:firstLine="0" w:firstLineChars="0"/>
              <w:jc w:val="left"/>
              <w:textAlignment w:val="auto"/>
              <w:rPr>
                <w:rFonts w:ascii="CESI宋体-GB2312" w:hAnsi="CESI宋体-GB2312"/>
                <w:color w:val="auto"/>
                <w:highlight w:val="none"/>
              </w:rPr>
            </w:pPr>
            <w:r>
              <w:rPr>
                <w:rFonts w:hint="default" w:ascii="CESI宋体-GB2312" w:hAnsi="CESI宋体-GB2312" w:eastAsia="仿宋_GB2312" w:cs="Times New Roman"/>
                <w:color w:val="auto"/>
                <w:sz w:val="18"/>
                <w:szCs w:val="18"/>
                <w:highlight w:val="none"/>
              </w:rPr>
              <w:t>成本节约率</w:t>
            </w:r>
          </w:p>
        </w:tc>
        <w:tc>
          <w:tcPr>
            <w:tcW w:w="899" w:type="pct"/>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spacing w:line="240" w:lineRule="exact"/>
              <w:ind w:firstLine="0" w:firstLineChars="0"/>
              <w:jc w:val="left"/>
              <w:textAlignment w:val="auto"/>
              <w:rPr>
                <w:rFonts w:ascii="CESI宋体-GB2312" w:hAnsi="CESI宋体-GB2312"/>
                <w:color w:val="auto"/>
                <w:highlight w:val="none"/>
              </w:rPr>
            </w:pPr>
            <w:r>
              <w:rPr>
                <w:rFonts w:hint="default" w:ascii="CESI宋体-GB2312" w:hAnsi="CESI宋体-GB2312" w:eastAsia="仿宋_GB2312" w:cs="Times New Roman"/>
                <w:color w:val="auto"/>
                <w:sz w:val="18"/>
                <w:szCs w:val="18"/>
                <w:highlight w:val="none"/>
              </w:rPr>
              <w:t>完成项目计划工作目标的实际节约成本与计划成本的比率，用以反映和考核项目的成本节约程度。</w:t>
            </w:r>
          </w:p>
        </w:tc>
        <w:tc>
          <w:tcPr>
            <w:tcW w:w="2219" w:type="pct"/>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default" w:ascii="CESI宋体-GB2312" w:hAnsi="CESI宋体-GB2312" w:eastAsia="仿宋_GB2312" w:cs="Times New Roman"/>
                <w:color w:val="auto"/>
                <w:sz w:val="18"/>
                <w:szCs w:val="18"/>
                <w:highlight w:val="none"/>
              </w:rPr>
            </w:pPr>
            <w:r>
              <w:rPr>
                <w:rFonts w:hint="default" w:ascii="CESI宋体-GB2312" w:hAnsi="CESI宋体-GB2312" w:eastAsia="仿宋_GB2312" w:cs="Times New Roman"/>
                <w:color w:val="auto"/>
                <w:sz w:val="18"/>
                <w:szCs w:val="18"/>
                <w:highlight w:val="none"/>
              </w:rPr>
              <w:t>成本节约率=〔（计划成本</w:t>
            </w:r>
            <w:r>
              <w:rPr>
                <w:rFonts w:hint="default" w:ascii="CESI宋体-GB2312" w:hAnsi="CESI宋体-GB2312" w:eastAsia="仿宋_GB2312" w:cs="Times New Roman"/>
                <w:color w:val="auto"/>
                <w:sz w:val="18"/>
                <w:szCs w:val="18"/>
                <w:highlight w:val="none"/>
                <w:lang w:eastAsia="zh-CN"/>
              </w:rPr>
              <w:t>－</w:t>
            </w:r>
            <w:r>
              <w:rPr>
                <w:rFonts w:hint="default" w:ascii="CESI宋体-GB2312" w:hAnsi="CESI宋体-GB2312" w:eastAsia="仿宋_GB2312" w:cs="Times New Roman"/>
                <w:color w:val="auto"/>
                <w:sz w:val="18"/>
                <w:szCs w:val="18"/>
                <w:highlight w:val="none"/>
              </w:rPr>
              <w:t>实际成本）/计划成本〕×100%。</w:t>
            </w:r>
          </w:p>
          <w:p>
            <w:pPr>
              <w:pStyle w:val="13"/>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default" w:ascii="CESI宋体-GB2312" w:hAnsi="CESI宋体-GB2312" w:eastAsia="仿宋_GB2312" w:cs="Times New Roman"/>
                <w:color w:val="auto"/>
                <w:sz w:val="18"/>
                <w:szCs w:val="18"/>
                <w:highlight w:val="none"/>
              </w:rPr>
            </w:pPr>
            <w:r>
              <w:rPr>
                <w:rFonts w:hint="default" w:ascii="CESI宋体-GB2312" w:hAnsi="CESI宋体-GB2312" w:eastAsia="仿宋_GB2312" w:cs="Times New Roman"/>
                <w:color w:val="auto"/>
                <w:sz w:val="18"/>
                <w:szCs w:val="18"/>
                <w:highlight w:val="none"/>
              </w:rPr>
              <w:t>实际成本：项目实施单位如期、保质、保量完成既定工作目标实际所耗费的支出。</w:t>
            </w:r>
          </w:p>
          <w:p>
            <w:pPr>
              <w:pStyle w:val="13"/>
              <w:keepNext w:val="0"/>
              <w:keepLines w:val="0"/>
              <w:pageBreakBefore w:val="0"/>
              <w:widowControl w:val="0"/>
              <w:kinsoku/>
              <w:wordWrap/>
              <w:overflowPunct/>
              <w:topLinePunct w:val="0"/>
              <w:autoSpaceDE/>
              <w:autoSpaceDN/>
              <w:bidi w:val="0"/>
              <w:adjustRightInd/>
              <w:snapToGrid/>
              <w:spacing w:line="240" w:lineRule="exact"/>
              <w:ind w:firstLine="0" w:firstLineChars="0"/>
              <w:jc w:val="left"/>
              <w:textAlignment w:val="auto"/>
              <w:rPr>
                <w:rFonts w:ascii="CESI宋体-GB2312" w:hAnsi="CESI宋体-GB2312"/>
                <w:color w:val="auto"/>
                <w:highlight w:val="none"/>
              </w:rPr>
            </w:pPr>
            <w:r>
              <w:rPr>
                <w:rFonts w:hint="default" w:ascii="CESI宋体-GB2312" w:hAnsi="CESI宋体-GB2312" w:eastAsia="仿宋_GB2312" w:cs="Times New Roman"/>
                <w:color w:val="auto"/>
                <w:sz w:val="18"/>
                <w:szCs w:val="18"/>
                <w:highlight w:val="none"/>
              </w:rPr>
              <w:t>计划成本：项目实施单位为完成工作目标计划安排的支出，一般以项目预算为参考。</w:t>
            </w:r>
          </w:p>
        </w:tc>
        <w:tc>
          <w:tcPr>
            <w:tcW w:w="339" w:type="pct"/>
            <w:noWrap/>
            <w:vAlign w:val="center"/>
          </w:tcPr>
          <w:p>
            <w:pPr>
              <w:pStyle w:val="13"/>
              <w:keepNext w:val="0"/>
              <w:keepLines w:val="0"/>
              <w:pageBreakBefore w:val="0"/>
              <w:widowControl w:val="0"/>
              <w:kinsoku/>
              <w:wordWrap/>
              <w:overflowPunct/>
              <w:topLinePunct w:val="0"/>
              <w:autoSpaceDE/>
              <w:autoSpaceDN/>
              <w:bidi w:val="0"/>
              <w:adjustRightInd/>
              <w:snapToGrid/>
              <w:spacing w:line="240" w:lineRule="exact"/>
              <w:ind w:firstLine="0" w:firstLineChars="0"/>
              <w:jc w:val="left"/>
              <w:textAlignment w:val="auto"/>
              <w:rPr>
                <w:rFonts w:ascii="CESI宋体-GB2312" w:hAnsi="CESI宋体-GB2312"/>
                <w:color w:val="auto"/>
                <w:highlight w:val="none"/>
              </w:rPr>
            </w:pPr>
            <w:r>
              <w:rPr>
                <w:rFonts w:hint="eastAsia" w:ascii="CESI宋体-GB2312" w:hAnsi="CESI宋体-GB2312" w:cs="Times New Roman"/>
                <w:color w:val="auto"/>
                <w:sz w:val="18"/>
                <w:szCs w:val="18"/>
                <w:highlight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408" w:type="pct"/>
            <w:vMerge w:val="restart"/>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r>
              <w:rPr>
                <w:rFonts w:ascii="CESI宋体-GB2312" w:hAnsi="CESI宋体-GB2312"/>
                <w:color w:val="auto"/>
                <w:highlight w:val="none"/>
              </w:rPr>
              <w:t>效益</w:t>
            </w:r>
          </w:p>
        </w:tc>
        <w:tc>
          <w:tcPr>
            <w:tcW w:w="640" w:type="pct"/>
            <w:vMerge w:val="restart"/>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r>
              <w:rPr>
                <w:rFonts w:ascii="CESI宋体-GB2312" w:hAnsi="CESI宋体-GB2312"/>
                <w:color w:val="auto"/>
                <w:highlight w:val="none"/>
              </w:rPr>
              <w:t>项目效益</w:t>
            </w:r>
          </w:p>
        </w:tc>
        <w:tc>
          <w:tcPr>
            <w:tcW w:w="493" w:type="pct"/>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r>
              <w:rPr>
                <w:rFonts w:ascii="CESI宋体-GB2312" w:hAnsi="CESI宋体-GB2312"/>
                <w:color w:val="auto"/>
                <w:highlight w:val="none"/>
              </w:rPr>
              <w:t>实施效益</w:t>
            </w:r>
          </w:p>
        </w:tc>
        <w:tc>
          <w:tcPr>
            <w:tcW w:w="899" w:type="pct"/>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r>
              <w:rPr>
                <w:rFonts w:ascii="CESI宋体-GB2312" w:hAnsi="CESI宋体-GB2312"/>
                <w:color w:val="auto"/>
                <w:highlight w:val="none"/>
              </w:rPr>
              <w:t>项目实施所产生的效益。</w:t>
            </w:r>
          </w:p>
        </w:tc>
        <w:tc>
          <w:tcPr>
            <w:tcW w:w="2219" w:type="pct"/>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r>
              <w:rPr>
                <w:rFonts w:ascii="CESI宋体-GB2312" w:hAnsi="CESI宋体-GB2312"/>
                <w:color w:val="auto"/>
                <w:highlight w:val="none"/>
              </w:rPr>
              <w:t>项目实施所产生的社会效益、经济效益、生态效益、可持续影响等。可根据项目实际情况有选择地设置和细化。</w:t>
            </w:r>
          </w:p>
        </w:tc>
        <w:tc>
          <w:tcPr>
            <w:tcW w:w="339" w:type="pct"/>
            <w:noWrap/>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r>
              <w:rPr>
                <w:rFonts w:ascii="CESI宋体-GB2312" w:hAnsi="CESI宋体-GB2312"/>
                <w:color w:val="auto"/>
                <w:highlight w:val="none"/>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0" w:hRule="atLeast"/>
          <w:jc w:val="center"/>
        </w:trPr>
        <w:tc>
          <w:tcPr>
            <w:tcW w:w="408" w:type="pct"/>
            <w:vMerge w:val="continue"/>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c>
          <w:tcPr>
            <w:tcW w:w="640" w:type="pct"/>
            <w:vMerge w:val="continue"/>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p>
        </w:tc>
        <w:tc>
          <w:tcPr>
            <w:tcW w:w="493" w:type="pct"/>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r>
              <w:rPr>
                <w:rFonts w:ascii="CESI宋体-GB2312" w:hAnsi="CESI宋体-GB2312"/>
                <w:color w:val="auto"/>
                <w:highlight w:val="none"/>
              </w:rPr>
              <w:t>满意度</w:t>
            </w:r>
          </w:p>
        </w:tc>
        <w:tc>
          <w:tcPr>
            <w:tcW w:w="899" w:type="pct"/>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r>
              <w:rPr>
                <w:rFonts w:ascii="CESI宋体-GB2312" w:hAnsi="CESI宋体-GB2312"/>
                <w:color w:val="auto"/>
                <w:highlight w:val="none"/>
              </w:rPr>
              <w:t>社会公众或服务对象对项目实施效果的满意程度。</w:t>
            </w:r>
          </w:p>
        </w:tc>
        <w:tc>
          <w:tcPr>
            <w:tcW w:w="2219" w:type="pct"/>
            <w:shd w:val="clear" w:color="auto" w:fill="FFFFFF"/>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r>
              <w:rPr>
                <w:rFonts w:ascii="CESI宋体-GB2312" w:hAnsi="CESI宋体-GB2312"/>
                <w:color w:val="auto"/>
                <w:highlight w:val="none"/>
              </w:rPr>
              <w:t>社会公众或服务对象是指因该项目实施而受到影响的部门（单位）、群体或个人。一般采取社会调查的方式。</w:t>
            </w:r>
          </w:p>
        </w:tc>
        <w:tc>
          <w:tcPr>
            <w:tcW w:w="339" w:type="pct"/>
            <w:noWrap/>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r>
              <w:rPr>
                <w:rFonts w:ascii="CESI宋体-GB2312" w:hAnsi="CESI宋体-GB2312"/>
                <w:color w:val="auto"/>
                <w:highlight w:val="none"/>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4660" w:type="pct"/>
            <w:gridSpan w:val="5"/>
            <w:noWrap/>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r>
              <w:rPr>
                <w:rFonts w:ascii="CESI宋体-GB2312" w:hAnsi="CESI宋体-GB2312"/>
                <w:color w:val="auto"/>
                <w:highlight w:val="none"/>
              </w:rPr>
              <w:t>合计</w:t>
            </w:r>
          </w:p>
        </w:tc>
        <w:tc>
          <w:tcPr>
            <w:tcW w:w="339" w:type="pct"/>
            <w:noWrap/>
            <w:vAlign w:val="center"/>
          </w:tcPr>
          <w:p>
            <w:pPr>
              <w:pStyle w:val="13"/>
              <w:keepNext w:val="0"/>
              <w:keepLines w:val="0"/>
              <w:pageBreakBefore w:val="0"/>
              <w:widowControl w:val="0"/>
              <w:kinsoku/>
              <w:wordWrap/>
              <w:overflowPunct/>
              <w:topLinePunct w:val="0"/>
              <w:autoSpaceDE/>
              <w:autoSpaceDN/>
              <w:bidi w:val="0"/>
              <w:adjustRightInd/>
              <w:snapToGrid/>
              <w:jc w:val="left"/>
              <w:textAlignment w:val="auto"/>
              <w:rPr>
                <w:rFonts w:ascii="CESI宋体-GB2312" w:hAnsi="CESI宋体-GB2312"/>
                <w:color w:val="auto"/>
                <w:highlight w:val="none"/>
              </w:rPr>
            </w:pPr>
            <w:r>
              <w:rPr>
                <w:rFonts w:ascii="CESI宋体-GB2312" w:hAnsi="CESI宋体-GB2312"/>
                <w:color w:val="auto"/>
                <w:highlight w:val="none"/>
              </w:rPr>
              <w:t>100</w:t>
            </w:r>
          </w:p>
        </w:tc>
      </w:tr>
    </w:tbl>
    <w:p>
      <w:pPr>
        <w:keepNext w:val="0"/>
        <w:keepLines w:val="0"/>
        <w:pageBreakBefore w:val="0"/>
        <w:widowControl w:val="0"/>
        <w:kinsoku/>
        <w:wordWrap/>
        <w:overflowPunct/>
        <w:topLinePunct w:val="0"/>
        <w:autoSpaceDE/>
        <w:autoSpaceDN/>
        <w:bidi w:val="0"/>
        <w:adjustRightInd/>
        <w:snapToGrid/>
        <w:ind w:left="0" w:leftChars="0" w:firstLine="640" w:firstLineChars="200"/>
        <w:textAlignment w:val="auto"/>
        <w:rPr>
          <w:rFonts w:hint="eastAsia" w:ascii="CESI宋体-GB2312" w:hAnsi="CESI宋体-GB2312"/>
          <w:color w:val="auto"/>
          <w:highlight w:val="none"/>
        </w:rPr>
      </w:pPr>
      <w:r>
        <w:rPr>
          <w:rFonts w:ascii="CESI宋体-GB2312" w:hAnsi="CESI宋体-GB2312"/>
          <w:color w:val="auto"/>
          <w:highlight w:val="none"/>
        </w:rPr>
        <w:br w:type="column"/>
      </w:r>
      <w:r>
        <w:rPr>
          <w:rFonts w:hint="eastAsia" w:ascii="CESI宋体-GB2312" w:hAnsi="CESI宋体-GB2312"/>
          <w:color w:val="auto"/>
          <w:highlight w:val="none"/>
        </w:rPr>
        <w:t>3、绩效评价方法</w:t>
      </w:r>
      <w:bookmarkEnd w:id="8"/>
      <w:bookmarkEnd w:id="9"/>
    </w:p>
    <w:p>
      <w:pPr>
        <w:bidi w:val="0"/>
        <w:rPr>
          <w:rFonts w:ascii="CESI宋体-GB2312" w:hAnsi="CESI宋体-GB2312"/>
          <w:color w:val="auto"/>
          <w:highlight w:val="none"/>
        </w:rPr>
      </w:pPr>
      <w:r>
        <w:rPr>
          <w:rFonts w:hint="eastAsia" w:ascii="CESI宋体-GB2312" w:hAnsi="CESI宋体-GB2312"/>
          <w:color w:val="auto"/>
          <w:highlight w:val="none"/>
        </w:rPr>
        <w:t>结合</w:t>
      </w:r>
      <w:r>
        <w:rPr>
          <w:rFonts w:hint="eastAsia" w:ascii="CESI宋体-GB2312" w:hAnsi="CESI宋体-GB2312" w:eastAsia="方正仿宋_GBK" w:cs="方正仿宋_GBK"/>
          <w:color w:val="auto"/>
          <w:highlight w:val="none"/>
          <w:lang w:eastAsia="zh-CN"/>
        </w:rPr>
        <w:t>2023年农业保险保费补贴资金（县级配套）</w:t>
      </w:r>
      <w:r>
        <w:rPr>
          <w:rFonts w:hint="eastAsia" w:ascii="CESI宋体-GB2312" w:hAnsi="CESI宋体-GB2312"/>
          <w:color w:val="auto"/>
          <w:highlight w:val="none"/>
        </w:rPr>
        <w:t>的特点，本次评价主要运用比较法、公众评判法，</w:t>
      </w:r>
      <w:r>
        <w:rPr>
          <w:rFonts w:hint="eastAsia" w:ascii="CESI宋体-GB2312" w:hAnsi="CESI宋体-GB2312"/>
          <w:color w:val="auto"/>
          <w:highlight w:val="none"/>
          <w:lang w:val="en-US" w:eastAsia="zh-CN"/>
        </w:rPr>
        <w:t>原因是</w:t>
      </w:r>
      <w:r>
        <w:rPr>
          <w:rFonts w:hint="eastAsia" w:ascii="CESI宋体-GB2312" w:hAnsi="CESI宋体-GB2312"/>
          <w:color w:val="auto"/>
          <w:highlight w:val="none"/>
        </w:rPr>
        <w:t>：</w:t>
      </w:r>
    </w:p>
    <w:p>
      <w:pPr>
        <w:bidi w:val="0"/>
        <w:rPr>
          <w:rFonts w:ascii="CESI宋体-GB2312" w:hAnsi="CESI宋体-GB2312" w:cs="Times New Roman"/>
          <w:color w:val="auto"/>
          <w:highlight w:val="none"/>
        </w:rPr>
      </w:pPr>
      <w:r>
        <w:rPr>
          <w:rFonts w:ascii="CESI宋体-GB2312" w:hAnsi="CESI宋体-GB2312"/>
          <w:color w:val="auto"/>
          <w:highlight w:val="none"/>
        </w:rPr>
        <w:t>比较法</w:t>
      </w:r>
      <w:r>
        <w:rPr>
          <w:rFonts w:hint="eastAsia" w:ascii="CESI宋体-GB2312" w:hAnsi="CESI宋体-GB2312"/>
          <w:color w:val="auto"/>
          <w:highlight w:val="none"/>
        </w:rPr>
        <w:t>：</w:t>
      </w:r>
      <w:r>
        <w:rPr>
          <w:rFonts w:ascii="CESI宋体-GB2312" w:hAnsi="CESI宋体-GB2312" w:cs="Times New Roman"/>
          <w:color w:val="auto"/>
          <w:highlight w:val="none"/>
        </w:rPr>
        <w:t>本项目绩效评价将项目实施情况</w:t>
      </w:r>
      <w:r>
        <w:rPr>
          <w:rFonts w:hint="eastAsia" w:ascii="CESI宋体-GB2312" w:hAnsi="CESI宋体-GB2312" w:cs="Times New Roman"/>
          <w:color w:val="auto"/>
          <w:highlight w:val="none"/>
          <w:lang w:eastAsia="zh-CN"/>
        </w:rPr>
        <w:t>及</w:t>
      </w:r>
      <w:r>
        <w:rPr>
          <w:rFonts w:ascii="CESI宋体-GB2312" w:hAnsi="CESI宋体-GB2312" w:cs="Times New Roman"/>
          <w:color w:val="auto"/>
          <w:highlight w:val="none"/>
        </w:rPr>
        <w:t>实际完成的完成补助面积数量、补贴资金支付数量、资金发放及时率与年初设定的目标进行比较。</w:t>
      </w:r>
    </w:p>
    <w:p>
      <w:pPr>
        <w:bidi w:val="0"/>
        <w:rPr>
          <w:rFonts w:hint="eastAsia" w:ascii="CESI宋体-GB2312" w:hAnsi="CESI宋体-GB2312" w:eastAsia="仿宋_GB2312"/>
          <w:color w:val="auto"/>
          <w:highlight w:val="none"/>
          <w:lang w:eastAsia="zh-CN"/>
        </w:rPr>
      </w:pPr>
      <w:r>
        <w:rPr>
          <w:rFonts w:hint="eastAsia" w:ascii="CESI宋体-GB2312" w:hAnsi="CESI宋体-GB2312"/>
          <w:color w:val="auto"/>
          <w:highlight w:val="none"/>
        </w:rPr>
        <w:t>公众评判法：</w:t>
      </w:r>
      <w:r>
        <w:rPr>
          <w:rFonts w:ascii="CESI宋体-GB2312" w:hAnsi="CESI宋体-GB2312" w:cs="Times New Roman"/>
          <w:color w:val="auto"/>
          <w:highlight w:val="none"/>
        </w:rPr>
        <w:t>通过对</w:t>
      </w:r>
      <w:r>
        <w:rPr>
          <w:rFonts w:hint="eastAsia" w:ascii="CESI宋体-GB2312" w:hAnsi="CESI宋体-GB2312" w:cs="Times New Roman"/>
          <w:color w:val="auto"/>
          <w:highlight w:val="none"/>
          <w:lang w:eastAsia="zh-CN"/>
        </w:rPr>
        <w:t>2023年农业保险保费补贴资金（县级配套）</w:t>
      </w:r>
      <w:r>
        <w:rPr>
          <w:rFonts w:ascii="CESI宋体-GB2312" w:hAnsi="CESI宋体-GB2312" w:cs="Times New Roman"/>
          <w:color w:val="auto"/>
          <w:highlight w:val="none"/>
        </w:rPr>
        <w:t>享受</w:t>
      </w:r>
      <w:r>
        <w:rPr>
          <w:rFonts w:hint="eastAsia" w:ascii="CESI宋体-GB2312" w:hAnsi="CESI宋体-GB2312" w:cs="Times New Roman"/>
          <w:color w:val="auto"/>
          <w:highlight w:val="none"/>
          <w:lang w:eastAsia="zh-CN"/>
        </w:rPr>
        <w:t>地</w:t>
      </w:r>
      <w:r>
        <w:rPr>
          <w:rFonts w:ascii="CESI宋体-GB2312" w:hAnsi="CESI宋体-GB2312" w:cs="Times New Roman"/>
          <w:color w:val="auto"/>
          <w:highlight w:val="none"/>
        </w:rPr>
        <w:t>群众进行问卷及抽样调查等对财政资金效果进行评判，评价绩效目标实现程度</w:t>
      </w:r>
      <w:r>
        <w:rPr>
          <w:rFonts w:hint="eastAsia" w:ascii="CESI宋体-GB2312" w:hAnsi="CESI宋体-GB2312" w:cs="Times New Roman"/>
          <w:color w:val="auto"/>
          <w:highlight w:val="none"/>
          <w:lang w:eastAsia="zh-CN"/>
        </w:rPr>
        <w:t>。</w:t>
      </w:r>
    </w:p>
    <w:p>
      <w:pPr>
        <w:bidi w:val="0"/>
        <w:rPr>
          <w:rFonts w:ascii="CESI宋体-GB2312" w:hAnsi="CESI宋体-GB2312"/>
          <w:b/>
          <w:bCs/>
          <w:color w:val="auto"/>
          <w:highlight w:val="none"/>
        </w:rPr>
      </w:pPr>
      <w:r>
        <w:rPr>
          <w:rFonts w:hint="eastAsia" w:ascii="CESI宋体-GB2312" w:hAnsi="CESI宋体-GB2312"/>
          <w:b/>
          <w:bCs/>
          <w:color w:val="auto"/>
          <w:highlight w:val="none"/>
        </w:rPr>
        <w:t>4、绩效评价标准</w:t>
      </w:r>
    </w:p>
    <w:p>
      <w:pPr>
        <w:bidi w:val="0"/>
        <w:rPr>
          <w:rFonts w:hint="eastAsia" w:ascii="CESI宋体-GB2312" w:hAnsi="CESI宋体-GB2312"/>
          <w:color w:val="auto"/>
          <w:highlight w:val="none"/>
          <w:lang w:val="en-US" w:eastAsia="zh-CN"/>
        </w:rPr>
      </w:pPr>
      <w:r>
        <w:rPr>
          <w:rFonts w:hint="eastAsia" w:ascii="CESI宋体-GB2312" w:hAnsi="CESI宋体-GB2312"/>
          <w:color w:val="auto"/>
          <w:highlight w:val="none"/>
        </w:rPr>
        <w:t>结合</w:t>
      </w:r>
      <w:r>
        <w:rPr>
          <w:rFonts w:hint="eastAsia" w:ascii="CESI宋体-GB2312" w:hAnsi="CESI宋体-GB2312"/>
          <w:color w:val="auto"/>
          <w:highlight w:val="none"/>
          <w:lang w:eastAsia="zh-CN"/>
        </w:rPr>
        <w:t>农业保险补贴资金</w:t>
      </w:r>
      <w:r>
        <w:rPr>
          <w:rFonts w:hint="eastAsia" w:ascii="CESI宋体-GB2312" w:hAnsi="CESI宋体-GB2312"/>
          <w:color w:val="auto"/>
          <w:highlight w:val="none"/>
        </w:rPr>
        <w:t>的特点，本次项目支出绩效自评采用了</w:t>
      </w:r>
      <w:r>
        <w:rPr>
          <w:rFonts w:hint="eastAsia" w:ascii="CESI宋体-GB2312" w:hAnsi="CESI宋体-GB2312"/>
          <w:color w:val="auto"/>
          <w:highlight w:val="none"/>
          <w:lang w:val="en-US" w:eastAsia="zh-CN"/>
        </w:rPr>
        <w:t>以下标准：</w:t>
      </w:r>
    </w:p>
    <w:p>
      <w:pPr>
        <w:bidi w:val="0"/>
        <w:rPr>
          <w:rFonts w:ascii="CESI宋体-GB2312" w:hAnsi="CESI宋体-GB2312"/>
          <w:color w:val="auto"/>
          <w:highlight w:val="none"/>
        </w:rPr>
      </w:pPr>
      <w:r>
        <w:rPr>
          <w:rFonts w:hint="eastAsia" w:ascii="CESI宋体-GB2312" w:hAnsi="CESI宋体-GB2312"/>
          <w:color w:val="auto"/>
          <w:highlight w:val="none"/>
          <w:lang w:val="en-US" w:eastAsia="zh-CN"/>
        </w:rPr>
        <w:t>（1）</w:t>
      </w:r>
      <w:r>
        <w:rPr>
          <w:rFonts w:hint="eastAsia" w:ascii="CESI宋体-GB2312" w:hAnsi="CESI宋体-GB2312"/>
          <w:color w:val="auto"/>
          <w:highlight w:val="none"/>
        </w:rPr>
        <w:t>计划标准，原因</w:t>
      </w:r>
      <w:r>
        <w:rPr>
          <w:rFonts w:hint="eastAsia" w:ascii="CESI宋体-GB2312" w:hAnsi="CESI宋体-GB2312"/>
          <w:color w:val="auto"/>
          <w:highlight w:val="none"/>
          <w:lang w:val="en-US" w:eastAsia="zh-CN"/>
        </w:rPr>
        <w:t>是</w:t>
      </w:r>
      <w:r>
        <w:rPr>
          <w:rFonts w:hint="eastAsia" w:ascii="CESI宋体-GB2312" w:hAnsi="CESI宋体-GB2312"/>
          <w:color w:val="auto"/>
          <w:highlight w:val="none"/>
        </w:rPr>
        <w:t>：根据绩效目标表，以预先制定的三大粮食作物投保面积和覆盖</w:t>
      </w:r>
      <w:r>
        <w:rPr>
          <w:rFonts w:hint="eastAsia" w:ascii="CESI宋体-GB2312" w:hAnsi="CESI宋体-GB2312"/>
          <w:color w:val="auto"/>
          <w:highlight w:val="none"/>
          <w:lang w:val="en-US" w:eastAsia="zh-CN"/>
        </w:rPr>
        <w:t>率65%、育肥猪保险覆盖率35%为计划数</w:t>
      </w:r>
      <w:r>
        <w:rPr>
          <w:rFonts w:hint="eastAsia" w:ascii="CESI宋体-GB2312" w:hAnsi="CESI宋体-GB2312"/>
          <w:color w:val="auto"/>
          <w:highlight w:val="none"/>
        </w:rPr>
        <w:t>作为评价的标准。</w:t>
      </w:r>
    </w:p>
    <w:p>
      <w:pPr>
        <w:bidi w:val="0"/>
        <w:rPr>
          <w:rFonts w:ascii="CESI宋体-GB2312" w:hAnsi="CESI宋体-GB2312"/>
          <w:color w:val="auto"/>
          <w:highlight w:val="none"/>
        </w:rPr>
      </w:pPr>
      <w:r>
        <w:rPr>
          <w:rFonts w:hint="eastAsia" w:ascii="CESI宋体-GB2312" w:hAnsi="CESI宋体-GB2312"/>
          <w:color w:val="auto"/>
          <w:highlight w:val="none"/>
          <w:lang w:eastAsia="zh-CN"/>
        </w:rPr>
        <w:t>（</w:t>
      </w:r>
      <w:r>
        <w:rPr>
          <w:rFonts w:hint="eastAsia" w:ascii="CESI宋体-GB2312" w:hAnsi="CESI宋体-GB2312"/>
          <w:color w:val="auto"/>
          <w:highlight w:val="none"/>
          <w:lang w:val="en-US" w:eastAsia="zh-CN"/>
        </w:rPr>
        <w:t>2</w:t>
      </w:r>
      <w:r>
        <w:rPr>
          <w:rFonts w:hint="eastAsia" w:ascii="CESI宋体-GB2312" w:hAnsi="CESI宋体-GB2312"/>
          <w:color w:val="auto"/>
          <w:highlight w:val="none"/>
          <w:lang w:eastAsia="zh-CN"/>
        </w:rPr>
        <w:t>）</w:t>
      </w:r>
      <w:r>
        <w:rPr>
          <w:rFonts w:hint="eastAsia" w:ascii="CESI宋体-GB2312" w:hAnsi="CESI宋体-GB2312"/>
          <w:color w:val="auto"/>
          <w:highlight w:val="none"/>
        </w:rPr>
        <w:t>历史标准，原因</w:t>
      </w:r>
      <w:r>
        <w:rPr>
          <w:rFonts w:hint="eastAsia" w:ascii="CESI宋体-GB2312" w:hAnsi="CESI宋体-GB2312"/>
          <w:color w:val="auto"/>
          <w:highlight w:val="none"/>
          <w:lang w:val="en-US" w:eastAsia="zh-CN"/>
        </w:rPr>
        <w:t>是</w:t>
      </w:r>
      <w:r>
        <w:rPr>
          <w:rFonts w:hint="eastAsia" w:ascii="CESI宋体-GB2312" w:hAnsi="CESI宋体-GB2312"/>
          <w:color w:val="auto"/>
          <w:highlight w:val="none"/>
        </w:rPr>
        <w:t>：参照本单位同类单位绩效评价指标的历史数据作为样本，运用一定的统计学方法计算出各类指标的平均历史水平作</w:t>
      </w:r>
      <w:bookmarkStart w:id="37" w:name="_GoBack"/>
      <w:bookmarkEnd w:id="37"/>
      <w:r>
        <w:rPr>
          <w:rFonts w:hint="eastAsia" w:ascii="CESI宋体-GB2312" w:hAnsi="CESI宋体-GB2312"/>
          <w:color w:val="auto"/>
          <w:highlight w:val="none"/>
        </w:rPr>
        <w:t>为评价标准。</w:t>
      </w:r>
    </w:p>
    <w:p>
      <w:pPr>
        <w:pStyle w:val="2"/>
        <w:bidi w:val="0"/>
        <w:rPr>
          <w:rFonts w:ascii="CESI宋体-GB2312" w:hAnsi="CESI宋体-GB2312"/>
          <w:color w:val="auto"/>
          <w:highlight w:val="none"/>
        </w:rPr>
      </w:pPr>
      <w:bookmarkStart w:id="10" w:name="_Toc23796"/>
      <w:r>
        <w:rPr>
          <w:rFonts w:hint="eastAsia" w:ascii="CESI宋体-GB2312" w:hAnsi="CESI宋体-GB2312"/>
          <w:color w:val="auto"/>
          <w:highlight w:val="none"/>
        </w:rPr>
        <w:t>（三）绩效评价工作过程</w:t>
      </w:r>
      <w:bookmarkEnd w:id="10"/>
      <w:bookmarkStart w:id="11" w:name="_Toc27442"/>
      <w:bookmarkStart w:id="12" w:name="_Toc30911"/>
      <w:bookmarkStart w:id="13" w:name="_Toc22987"/>
      <w:bookmarkStart w:id="14" w:name="_Toc17595"/>
    </w:p>
    <w:p>
      <w:pPr>
        <w:bidi w:val="0"/>
        <w:rPr>
          <w:rFonts w:ascii="CESI宋体-GB2312" w:hAnsi="CESI宋体-GB2312"/>
          <w:b/>
          <w:bCs/>
          <w:color w:val="auto"/>
          <w:highlight w:val="none"/>
        </w:rPr>
      </w:pPr>
      <w:r>
        <w:rPr>
          <w:rFonts w:hint="eastAsia" w:ascii="CESI宋体-GB2312" w:hAnsi="CESI宋体-GB2312"/>
          <w:b/>
          <w:bCs/>
          <w:color w:val="auto"/>
          <w:highlight w:val="none"/>
        </w:rPr>
        <w:t>1、前期准备</w:t>
      </w:r>
    </w:p>
    <w:p>
      <w:pPr>
        <w:bidi w:val="0"/>
        <w:rPr>
          <w:rFonts w:ascii="CESI宋体-GB2312" w:hAnsi="CESI宋体-GB2312"/>
          <w:color w:val="auto"/>
          <w:highlight w:val="none"/>
        </w:rPr>
      </w:pPr>
      <w:r>
        <w:rPr>
          <w:rFonts w:hint="eastAsia" w:ascii="CESI宋体-GB2312" w:hAnsi="CESI宋体-GB2312"/>
          <w:bCs/>
          <w:color w:val="auto"/>
          <w:szCs w:val="32"/>
          <w:highlight w:val="none"/>
        </w:rPr>
        <w:t>按照《项目支出绩效评价管理办法》（财预〔2020〕10号）文件要求，</w:t>
      </w:r>
      <w:r>
        <w:rPr>
          <w:rFonts w:hint="eastAsia" w:ascii="CESI宋体-GB2312" w:hAnsi="CESI宋体-GB2312"/>
          <w:color w:val="auto"/>
          <w:highlight w:val="none"/>
          <w:lang w:eastAsia="zh-CN"/>
        </w:rPr>
        <w:t>尉犁县</w:t>
      </w:r>
      <w:r>
        <w:rPr>
          <w:rFonts w:hint="eastAsia" w:ascii="CESI宋体-GB2312" w:hAnsi="CESI宋体-GB2312" w:eastAsia="方正仿宋_GBK" w:cs="方正仿宋_GBK"/>
          <w:color w:val="auto"/>
          <w:highlight w:val="none"/>
          <w:lang w:eastAsia="zh-CN"/>
        </w:rPr>
        <w:t>2023年农业保险保费补贴资金（县级配套）</w:t>
      </w:r>
      <w:r>
        <w:rPr>
          <w:rFonts w:hint="eastAsia" w:ascii="CESI宋体-GB2312" w:hAnsi="CESI宋体-GB2312"/>
          <w:bCs/>
          <w:color w:val="auto"/>
          <w:szCs w:val="32"/>
          <w:highlight w:val="none"/>
        </w:rPr>
        <w:t>成立了绩效评价小组，对项目实施的全过程，收集、整理项目实施的相关资料，了解项目实施情况和资金支付情况。从项目内容出发，结合项目预期目标，制定绩效评价的指标体系。</w:t>
      </w:r>
    </w:p>
    <w:p>
      <w:pPr>
        <w:bidi w:val="0"/>
        <w:rPr>
          <w:rFonts w:ascii="CESI宋体-GB2312" w:hAnsi="CESI宋体-GB2312"/>
          <w:b/>
          <w:bCs/>
          <w:color w:val="auto"/>
          <w:highlight w:val="none"/>
        </w:rPr>
      </w:pPr>
      <w:r>
        <w:rPr>
          <w:rFonts w:hint="eastAsia" w:ascii="CESI宋体-GB2312" w:hAnsi="CESI宋体-GB2312"/>
          <w:b/>
          <w:bCs/>
          <w:color w:val="auto"/>
          <w:highlight w:val="none"/>
        </w:rPr>
        <w:t>2、组织实施</w:t>
      </w:r>
    </w:p>
    <w:p>
      <w:pPr>
        <w:bidi w:val="0"/>
        <w:jc w:val="both"/>
        <w:rPr>
          <w:rFonts w:hint="default" w:ascii="CESI宋体-GB2312" w:hAnsi="CESI宋体-GB2312" w:eastAsia="仿宋_GB2312" w:cs="Times New Roman"/>
          <w:color w:val="auto"/>
          <w:highlight w:val="none"/>
        </w:rPr>
      </w:pPr>
      <w:r>
        <w:rPr>
          <w:rFonts w:hint="default" w:ascii="CESI宋体-GB2312" w:hAnsi="CESI宋体-GB2312" w:eastAsia="仿宋_GB2312" w:cs="Times New Roman"/>
          <w:color w:val="auto"/>
          <w:highlight w:val="none"/>
        </w:rPr>
        <w:t>评价的具体实施根据评价指标及评价工作要求，对具体评价内容和不同环节，采用以下取得的资料与评价方式。</w:t>
      </w:r>
    </w:p>
    <w:p>
      <w:pPr>
        <w:bidi w:val="0"/>
        <w:jc w:val="both"/>
        <w:rPr>
          <w:rFonts w:hint="eastAsia" w:ascii="CESI宋体-GB2312" w:hAnsi="CESI宋体-GB2312"/>
          <w:color w:val="auto"/>
          <w:highlight w:val="none"/>
          <w:lang w:val="en-US" w:eastAsia="zh-CN"/>
        </w:rPr>
      </w:pPr>
      <w:r>
        <w:rPr>
          <w:rFonts w:hint="eastAsia" w:ascii="CESI宋体-GB2312" w:hAnsi="CESI宋体-GB2312"/>
          <w:color w:val="auto"/>
          <w:highlight w:val="none"/>
        </w:rPr>
        <w:t>（1）</w:t>
      </w:r>
      <w:r>
        <w:rPr>
          <w:rFonts w:hint="eastAsia" w:ascii="CESI宋体-GB2312" w:hAnsi="CESI宋体-GB2312"/>
          <w:color w:val="auto"/>
          <w:highlight w:val="none"/>
          <w:lang w:val="en-US" w:eastAsia="zh-CN"/>
        </w:rPr>
        <w:t>根据绩效管理的要求，本单位成立项目评价小组，全过程跟踪监管项目实施过程，包括项目资金到位时绩效工作的安排、年中2次绩效监控工作的监督，项目实施完成之后收集资料开展项目绩效评价。</w:t>
      </w:r>
    </w:p>
    <w:p>
      <w:pPr>
        <w:bidi w:val="0"/>
        <w:jc w:val="both"/>
        <w:rPr>
          <w:rFonts w:hint="default" w:ascii="CESI宋体-GB2312" w:hAnsi="CESI宋体-GB2312" w:eastAsia="仿宋_GB2312" w:cs="Times New Roman"/>
          <w:color w:val="auto"/>
          <w:highlight w:val="none"/>
        </w:rPr>
      </w:pPr>
      <w:r>
        <w:rPr>
          <w:rFonts w:hint="default" w:ascii="CESI宋体-GB2312" w:hAnsi="CESI宋体-GB2312" w:eastAsia="仿宋_GB2312" w:cs="Times New Roman"/>
          <w:color w:val="auto"/>
          <w:highlight w:val="none"/>
        </w:rPr>
        <w:t>（</w:t>
      </w:r>
      <w:r>
        <w:rPr>
          <w:rFonts w:hint="eastAsia" w:ascii="CESI宋体-GB2312" w:hAnsi="CESI宋体-GB2312" w:cs="Times New Roman"/>
          <w:color w:val="auto"/>
          <w:highlight w:val="none"/>
          <w:lang w:val="en-US" w:eastAsia="zh-CN"/>
        </w:rPr>
        <w:t>2</w:t>
      </w:r>
      <w:r>
        <w:rPr>
          <w:rFonts w:hint="default" w:ascii="CESI宋体-GB2312" w:hAnsi="CESI宋体-GB2312" w:eastAsia="仿宋_GB2312" w:cs="Times New Roman"/>
          <w:color w:val="auto"/>
          <w:highlight w:val="none"/>
        </w:rPr>
        <w:t>）实地考察。根据评价指标及评价工作要求，到评价实地采取调查、询查、复核等方式收集、整理数据和资料，包括评价对象的基本情况、财政资金使用情况、评价指标体系需要的相关资料等。根据基础资料，核实数据的全面性、真实性以及指标口径的一致性，并对所掌握的有关信息资料采用相关方法进行分类、整理和分析，根据评价标准进行打分。</w:t>
      </w:r>
    </w:p>
    <w:p>
      <w:pPr>
        <w:bidi w:val="0"/>
        <w:jc w:val="both"/>
        <w:rPr>
          <w:rFonts w:hint="default" w:ascii="CESI宋体-GB2312" w:hAnsi="CESI宋体-GB2312" w:eastAsia="仿宋_GB2312" w:cs="Times New Roman"/>
          <w:color w:val="auto"/>
          <w:highlight w:val="none"/>
        </w:rPr>
      </w:pPr>
      <w:r>
        <w:rPr>
          <w:rFonts w:hint="default" w:ascii="CESI宋体-GB2312" w:hAnsi="CESI宋体-GB2312" w:eastAsia="仿宋_GB2312" w:cs="Times New Roman"/>
          <w:color w:val="auto"/>
          <w:highlight w:val="none"/>
        </w:rPr>
        <w:t>（</w:t>
      </w:r>
      <w:r>
        <w:rPr>
          <w:rFonts w:hint="eastAsia" w:ascii="CESI宋体-GB2312" w:hAnsi="CESI宋体-GB2312" w:cs="Times New Roman"/>
          <w:color w:val="auto"/>
          <w:highlight w:val="none"/>
          <w:lang w:val="en-US" w:eastAsia="zh-CN"/>
        </w:rPr>
        <w:t>3</w:t>
      </w:r>
      <w:r>
        <w:rPr>
          <w:rFonts w:hint="default" w:ascii="CESI宋体-GB2312" w:hAnsi="CESI宋体-GB2312" w:eastAsia="仿宋_GB2312" w:cs="Times New Roman"/>
          <w:color w:val="auto"/>
          <w:highlight w:val="none"/>
        </w:rPr>
        <w:t>）问卷调查。选择与项目评价有关的调查对象，设计调查问卷。通过问卷调查，对有关评价内容完成情况进行打分，并根据分值评价绩效目标完成情况，作为对项目评价的依据。</w:t>
      </w:r>
    </w:p>
    <w:p>
      <w:pPr>
        <w:bidi w:val="0"/>
        <w:rPr>
          <w:rFonts w:ascii="CESI宋体-GB2312" w:hAnsi="CESI宋体-GB2312"/>
          <w:color w:val="auto"/>
          <w:highlight w:val="none"/>
        </w:rPr>
      </w:pPr>
      <w:r>
        <w:rPr>
          <w:rFonts w:hint="default" w:ascii="CESI宋体-GB2312" w:hAnsi="CESI宋体-GB2312" w:eastAsia="仿宋_GB2312" w:cs="Times New Roman"/>
          <w:color w:val="auto"/>
          <w:highlight w:val="none"/>
        </w:rPr>
        <w:t>（</w:t>
      </w:r>
      <w:r>
        <w:rPr>
          <w:rFonts w:hint="eastAsia" w:ascii="CESI宋体-GB2312" w:hAnsi="CESI宋体-GB2312" w:cs="Times New Roman"/>
          <w:color w:val="auto"/>
          <w:highlight w:val="none"/>
          <w:lang w:val="en-US" w:eastAsia="zh-CN"/>
        </w:rPr>
        <w:t>4</w:t>
      </w:r>
      <w:r>
        <w:rPr>
          <w:rFonts w:hint="default" w:ascii="CESI宋体-GB2312" w:hAnsi="CESI宋体-GB2312" w:eastAsia="仿宋_GB2312" w:cs="Times New Roman"/>
          <w:color w:val="auto"/>
          <w:highlight w:val="none"/>
        </w:rPr>
        <w:t>）项目评价小组人员与专业技术人员相结合评价。对绩效评价工作专业性较强的内容，在评价工作过程中，采用以专业技术人员与有关科（股）室、其他部门专业人员进行评价相结合的方式，分别对相关专业指标进行现场问询、检验和考查。</w:t>
      </w:r>
    </w:p>
    <w:p>
      <w:pPr>
        <w:bidi w:val="0"/>
        <w:rPr>
          <w:rFonts w:ascii="CESI宋体-GB2312" w:hAnsi="CESI宋体-GB2312"/>
          <w:b/>
          <w:bCs/>
          <w:color w:val="auto"/>
          <w:highlight w:val="none"/>
        </w:rPr>
      </w:pPr>
      <w:r>
        <w:rPr>
          <w:rFonts w:hint="eastAsia" w:ascii="CESI宋体-GB2312" w:hAnsi="CESI宋体-GB2312"/>
          <w:b/>
          <w:bCs/>
          <w:color w:val="auto"/>
          <w:highlight w:val="none"/>
        </w:rPr>
        <w:t>3、数据集中分析</w:t>
      </w:r>
      <w:bookmarkEnd w:id="11"/>
      <w:bookmarkEnd w:id="12"/>
      <w:bookmarkEnd w:id="13"/>
      <w:bookmarkEnd w:id="14"/>
    </w:p>
    <w:p>
      <w:pPr>
        <w:bidi w:val="0"/>
        <w:rPr>
          <w:rFonts w:ascii="CESI宋体-GB2312" w:hAnsi="CESI宋体-GB2312"/>
          <w:color w:val="auto"/>
          <w:highlight w:val="none"/>
        </w:rPr>
      </w:pPr>
      <w:r>
        <w:rPr>
          <w:rFonts w:hint="eastAsia" w:ascii="CESI宋体-GB2312" w:hAnsi="CESI宋体-GB2312"/>
          <w:color w:val="auto"/>
          <w:highlight w:val="none"/>
        </w:rPr>
        <w:t>对相关资料，包括资金文件、项目实施方案、相关管理办法，问卷调查等进行集中分析。在查阅大量项目资料的基础上，根据考察、考评的结果进行整理、分析。</w:t>
      </w:r>
      <w:bookmarkStart w:id="15" w:name="_Toc20775"/>
    </w:p>
    <w:p>
      <w:pPr>
        <w:bidi w:val="0"/>
        <w:rPr>
          <w:rFonts w:ascii="CESI宋体-GB2312" w:hAnsi="CESI宋体-GB2312"/>
          <w:b/>
          <w:bCs/>
          <w:color w:val="auto"/>
          <w:highlight w:val="none"/>
        </w:rPr>
      </w:pPr>
      <w:r>
        <w:rPr>
          <w:rFonts w:hint="eastAsia" w:ascii="CESI宋体-GB2312" w:hAnsi="CESI宋体-GB2312"/>
          <w:b/>
          <w:bCs/>
          <w:color w:val="auto"/>
          <w:highlight w:val="none"/>
        </w:rPr>
        <w:t>4、分析总结</w:t>
      </w:r>
      <w:bookmarkEnd w:id="15"/>
    </w:p>
    <w:p>
      <w:pPr>
        <w:bidi w:val="0"/>
        <w:rPr>
          <w:rFonts w:ascii="CESI宋体-GB2312" w:hAnsi="CESI宋体-GB2312"/>
          <w:color w:val="auto"/>
          <w:highlight w:val="none"/>
        </w:rPr>
      </w:pPr>
      <w:r>
        <w:rPr>
          <w:rFonts w:hint="eastAsia" w:ascii="CESI宋体-GB2312" w:hAnsi="CESI宋体-GB2312"/>
          <w:color w:val="auto"/>
          <w:highlight w:val="none"/>
        </w:rPr>
        <w:t>（1）根据部门自评的意见及考察、考评的结果进行整理、分析，撰写绩效评价报告初稿。</w:t>
      </w:r>
    </w:p>
    <w:p>
      <w:pPr>
        <w:bidi w:val="0"/>
        <w:rPr>
          <w:rFonts w:ascii="CESI宋体-GB2312" w:hAnsi="CESI宋体-GB2312"/>
          <w:color w:val="auto"/>
          <w:highlight w:val="none"/>
        </w:rPr>
      </w:pPr>
      <w:r>
        <w:rPr>
          <w:rFonts w:hint="eastAsia" w:ascii="CESI宋体-GB2312" w:hAnsi="CESI宋体-GB2312"/>
          <w:color w:val="auto"/>
          <w:highlight w:val="none"/>
        </w:rPr>
        <w:t>（2）就部门自评报告与部门具体有关科室征求意见，形成最终的绩效评价报告。</w:t>
      </w:r>
    </w:p>
    <w:p>
      <w:pPr>
        <w:pStyle w:val="4"/>
        <w:bidi w:val="0"/>
        <w:rPr>
          <w:rFonts w:ascii="CESI宋体-GB2312" w:hAnsi="CESI宋体-GB2312"/>
          <w:color w:val="auto"/>
          <w:highlight w:val="none"/>
        </w:rPr>
      </w:pPr>
      <w:bookmarkStart w:id="16" w:name="_Toc20784"/>
      <w:r>
        <w:rPr>
          <w:rFonts w:hint="eastAsia" w:ascii="CESI宋体-GB2312" w:hAnsi="CESI宋体-GB2312"/>
          <w:color w:val="auto"/>
          <w:highlight w:val="none"/>
        </w:rPr>
        <w:t>三、综合评价情况及评价结论</w:t>
      </w:r>
      <w:bookmarkEnd w:id="16"/>
    </w:p>
    <w:p>
      <w:pPr>
        <w:bidi w:val="0"/>
        <w:rPr>
          <w:rFonts w:ascii="CESI宋体-GB2312" w:hAnsi="CESI宋体-GB2312" w:cs="Times New Roman"/>
          <w:color w:val="auto"/>
          <w:highlight w:val="none"/>
        </w:rPr>
      </w:pPr>
      <w:r>
        <w:rPr>
          <w:rFonts w:ascii="CESI宋体-GB2312" w:hAnsi="CESI宋体-GB2312" w:cs="Times New Roman"/>
          <w:color w:val="auto"/>
          <w:highlight w:val="none"/>
        </w:rPr>
        <w:t>本项目的绩效评价结果为“优”，综合评分100分。其中项目决策22分，项目过程18分，项目产出管理得分</w:t>
      </w:r>
      <w:r>
        <w:rPr>
          <w:rFonts w:hint="eastAsia" w:ascii="CESI宋体-GB2312" w:hAnsi="CESI宋体-GB2312" w:cs="Times New Roman"/>
          <w:color w:val="auto"/>
          <w:highlight w:val="none"/>
          <w:lang w:val="en-US" w:eastAsia="zh-CN"/>
        </w:rPr>
        <w:t>3</w:t>
      </w:r>
      <w:r>
        <w:rPr>
          <w:rFonts w:ascii="CESI宋体-GB2312" w:hAnsi="CESI宋体-GB2312" w:cs="Times New Roman"/>
          <w:color w:val="auto"/>
          <w:highlight w:val="none"/>
        </w:rPr>
        <w:t>0分，</w:t>
      </w:r>
      <w:r>
        <w:rPr>
          <w:rFonts w:hint="eastAsia" w:ascii="CESI宋体-GB2312" w:hAnsi="CESI宋体-GB2312" w:cs="Times New Roman"/>
          <w:color w:val="auto"/>
          <w:highlight w:val="none"/>
          <w:lang w:val="en-US" w:eastAsia="zh-CN"/>
        </w:rPr>
        <w:t>项目成本10分，</w:t>
      </w:r>
      <w:r>
        <w:rPr>
          <w:rFonts w:ascii="CESI宋体-GB2312" w:hAnsi="CESI宋体-GB2312" w:cs="Times New Roman"/>
          <w:color w:val="auto"/>
          <w:highlight w:val="none"/>
        </w:rPr>
        <w:t>项目效益20分。各部分权重和绩效汇总分值如下表所示：</w:t>
      </w:r>
    </w:p>
    <w:tbl>
      <w:tblPr>
        <w:tblStyle w:val="10"/>
        <w:tblW w:w="5000" w:type="pct"/>
        <w:jc w:val="center"/>
        <w:tblLayout w:type="autofit"/>
        <w:tblCellMar>
          <w:top w:w="0" w:type="dxa"/>
          <w:left w:w="0" w:type="dxa"/>
          <w:bottom w:w="0" w:type="dxa"/>
          <w:right w:w="0" w:type="dxa"/>
        </w:tblCellMar>
      </w:tblPr>
      <w:tblGrid>
        <w:gridCol w:w="1116"/>
        <w:gridCol w:w="1324"/>
        <w:gridCol w:w="1324"/>
        <w:gridCol w:w="1324"/>
        <w:gridCol w:w="1324"/>
        <w:gridCol w:w="1324"/>
        <w:gridCol w:w="600"/>
      </w:tblGrid>
      <w:tr>
        <w:tblPrEx>
          <w:tblCellMar>
            <w:top w:w="0" w:type="dxa"/>
            <w:left w:w="0" w:type="dxa"/>
            <w:bottom w:w="0" w:type="dxa"/>
            <w:right w:w="0" w:type="dxa"/>
          </w:tblCellMar>
        </w:tblPrEx>
        <w:trPr>
          <w:trHeight w:val="375" w:hRule="atLeast"/>
          <w:jc w:val="center"/>
        </w:trPr>
        <w:tc>
          <w:tcPr>
            <w:tcW w:w="5000" w:type="pct"/>
            <w:gridSpan w:val="7"/>
            <w:tcBorders>
              <w:top w:val="nil"/>
              <w:left w:val="nil"/>
              <w:bottom w:val="nil"/>
              <w:right w:val="nil"/>
            </w:tcBorders>
            <w:noWrap/>
            <w:tcMar>
              <w:top w:w="15" w:type="dxa"/>
              <w:left w:w="15" w:type="dxa"/>
              <w:right w:w="15" w:type="dxa"/>
            </w:tcMar>
            <w:vAlign w:val="center"/>
          </w:tcPr>
          <w:p>
            <w:pPr>
              <w:pStyle w:val="12"/>
              <w:bidi w:val="0"/>
              <w:jc w:val="center"/>
              <w:rPr>
                <w:rFonts w:hint="default" w:ascii="CESI宋体-GB2312" w:hAnsi="CESI宋体-GB2312" w:eastAsia="仿宋_GB2312" w:cs="Times New Roman"/>
                <w:color w:val="auto"/>
                <w:highlight w:val="none"/>
              </w:rPr>
            </w:pPr>
            <w:r>
              <w:rPr>
                <w:rFonts w:hint="eastAsia" w:ascii="CESI宋体-GB2312" w:hAnsi="CESI宋体-GB2312" w:cs="Times New Roman"/>
                <w:color w:val="auto"/>
                <w:highlight w:val="none"/>
                <w:lang w:eastAsia="zh-CN"/>
              </w:rPr>
              <w:t>2023年农业保险保费补贴资金（县级配套）</w:t>
            </w:r>
          </w:p>
          <w:p>
            <w:pPr>
              <w:pStyle w:val="12"/>
              <w:bidi w:val="0"/>
              <w:jc w:val="center"/>
              <w:rPr>
                <w:rFonts w:hint="default" w:ascii="CESI宋体-GB2312" w:hAnsi="CESI宋体-GB2312" w:eastAsia="仿宋_GB2312" w:cs="Times New Roman"/>
                <w:color w:val="auto"/>
                <w:highlight w:val="none"/>
              </w:rPr>
            </w:pPr>
            <w:bookmarkStart w:id="17" w:name="_Toc16086"/>
            <w:bookmarkStart w:id="18" w:name="_Toc3703"/>
            <w:r>
              <w:rPr>
                <w:rFonts w:hint="default" w:ascii="CESI宋体-GB2312" w:hAnsi="CESI宋体-GB2312" w:eastAsia="仿宋_GB2312" w:cs="Times New Roman"/>
                <w:color w:val="auto"/>
                <w:highlight w:val="none"/>
              </w:rPr>
              <w:t>绩效评价</w:t>
            </w:r>
            <w:r>
              <w:rPr>
                <w:rFonts w:hint="default" w:ascii="CESI宋体-GB2312" w:hAnsi="CESI宋体-GB2312" w:eastAsia="仿宋_GB2312" w:cs="Times New Roman"/>
                <w:color w:val="auto"/>
                <w:highlight w:val="none"/>
                <w:lang w:val="zh-TW" w:eastAsia="zh-TW"/>
              </w:rPr>
              <w:t>得分表</w:t>
            </w:r>
            <w:bookmarkEnd w:id="17"/>
            <w:bookmarkEnd w:id="18"/>
          </w:p>
        </w:tc>
      </w:tr>
      <w:tr>
        <w:tblPrEx>
          <w:tblCellMar>
            <w:top w:w="0" w:type="dxa"/>
            <w:left w:w="0" w:type="dxa"/>
            <w:bottom w:w="0" w:type="dxa"/>
            <w:right w:w="0" w:type="dxa"/>
          </w:tblCellMar>
        </w:tblPrEx>
        <w:trPr>
          <w:trHeight w:val="375" w:hRule="atLeast"/>
          <w:jc w:val="center"/>
        </w:trPr>
        <w:tc>
          <w:tcPr>
            <w:tcW w:w="670"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jc w:val="center"/>
              <w:rPr>
                <w:rFonts w:hint="default" w:ascii="CESI宋体-GB2312" w:hAnsi="CESI宋体-GB2312" w:eastAsia="仿宋_GB2312" w:cs="Times New Roman"/>
                <w:color w:val="auto"/>
                <w:highlight w:val="none"/>
              </w:rPr>
            </w:pPr>
            <w:r>
              <w:rPr>
                <w:rFonts w:hint="default" w:ascii="CESI宋体-GB2312" w:hAnsi="CESI宋体-GB2312" w:eastAsia="仿宋_GB2312" w:cs="Times New Roman"/>
                <w:color w:val="auto"/>
                <w:highlight w:val="none"/>
              </w:rPr>
              <w:t>指标类别</w:t>
            </w:r>
          </w:p>
        </w:tc>
        <w:tc>
          <w:tcPr>
            <w:tcW w:w="794"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jc w:val="center"/>
              <w:rPr>
                <w:rFonts w:hint="default" w:ascii="CESI宋体-GB2312" w:hAnsi="CESI宋体-GB2312" w:eastAsia="仿宋_GB2312" w:cs="Times New Roman"/>
                <w:color w:val="auto"/>
                <w:highlight w:val="none"/>
              </w:rPr>
            </w:pPr>
            <w:r>
              <w:rPr>
                <w:rFonts w:hint="default" w:ascii="CESI宋体-GB2312" w:hAnsi="CESI宋体-GB2312" w:eastAsia="仿宋_GB2312" w:cs="Times New Roman"/>
                <w:color w:val="auto"/>
                <w:highlight w:val="none"/>
              </w:rPr>
              <w:t>1.项目决策</w:t>
            </w:r>
          </w:p>
        </w:tc>
        <w:tc>
          <w:tcPr>
            <w:tcW w:w="794"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jc w:val="center"/>
              <w:rPr>
                <w:rFonts w:hint="default" w:ascii="CESI宋体-GB2312" w:hAnsi="CESI宋体-GB2312" w:eastAsia="仿宋_GB2312" w:cs="Times New Roman"/>
                <w:color w:val="auto"/>
                <w:highlight w:val="none"/>
              </w:rPr>
            </w:pPr>
            <w:r>
              <w:rPr>
                <w:rFonts w:hint="default" w:ascii="CESI宋体-GB2312" w:hAnsi="CESI宋体-GB2312" w:eastAsia="仿宋_GB2312" w:cs="Times New Roman"/>
                <w:color w:val="auto"/>
                <w:highlight w:val="none"/>
              </w:rPr>
              <w:t>2.过程管理</w:t>
            </w:r>
          </w:p>
        </w:tc>
        <w:tc>
          <w:tcPr>
            <w:tcW w:w="794"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jc w:val="center"/>
              <w:rPr>
                <w:rFonts w:hint="default" w:ascii="CESI宋体-GB2312" w:hAnsi="CESI宋体-GB2312" w:eastAsia="仿宋_GB2312" w:cs="Times New Roman"/>
                <w:color w:val="auto"/>
                <w:highlight w:val="none"/>
              </w:rPr>
            </w:pPr>
            <w:r>
              <w:rPr>
                <w:rFonts w:hint="default" w:ascii="CESI宋体-GB2312" w:hAnsi="CESI宋体-GB2312" w:eastAsia="仿宋_GB2312" w:cs="Times New Roman"/>
                <w:color w:val="auto"/>
                <w:highlight w:val="none"/>
              </w:rPr>
              <w:t>3.项目产出</w:t>
            </w:r>
          </w:p>
        </w:tc>
        <w:tc>
          <w:tcPr>
            <w:tcW w:w="794"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jc w:val="center"/>
              <w:rPr>
                <w:rFonts w:hint="default" w:ascii="CESI宋体-GB2312" w:hAnsi="CESI宋体-GB2312" w:eastAsia="仿宋_GB2312" w:cs="Times New Roman"/>
                <w:color w:val="auto"/>
                <w:highlight w:val="none"/>
                <w:lang w:val="en-US" w:eastAsia="zh-CN"/>
              </w:rPr>
            </w:pPr>
            <w:r>
              <w:rPr>
                <w:rFonts w:hint="eastAsia" w:ascii="CESI宋体-GB2312" w:hAnsi="CESI宋体-GB2312" w:cs="Times New Roman"/>
                <w:color w:val="auto"/>
                <w:highlight w:val="none"/>
                <w:lang w:val="en-US" w:eastAsia="zh-CN"/>
              </w:rPr>
              <w:t>4.项目成本</w:t>
            </w:r>
          </w:p>
        </w:tc>
        <w:tc>
          <w:tcPr>
            <w:tcW w:w="794"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ind w:firstLine="0" w:firstLineChars="0"/>
              <w:jc w:val="center"/>
              <w:rPr>
                <w:rFonts w:hint="default" w:ascii="CESI宋体-GB2312" w:hAnsi="CESI宋体-GB2312" w:eastAsia="仿宋_GB2312" w:cs="Times New Roman"/>
                <w:color w:val="auto"/>
                <w:kern w:val="44"/>
                <w:sz w:val="21"/>
                <w:szCs w:val="22"/>
                <w:highlight w:val="none"/>
                <w:lang w:val="en-US" w:eastAsia="zh-CN" w:bidi="ar-SA"/>
              </w:rPr>
            </w:pPr>
            <w:r>
              <w:rPr>
                <w:rFonts w:hint="eastAsia" w:ascii="CESI宋体-GB2312" w:hAnsi="CESI宋体-GB2312" w:cs="Times New Roman"/>
                <w:color w:val="auto"/>
                <w:highlight w:val="none"/>
                <w:lang w:val="en-US" w:eastAsia="zh-CN"/>
              </w:rPr>
              <w:t>5</w:t>
            </w:r>
            <w:r>
              <w:rPr>
                <w:rFonts w:hint="default" w:ascii="CESI宋体-GB2312" w:hAnsi="CESI宋体-GB2312" w:eastAsia="仿宋_GB2312" w:cs="Times New Roman"/>
                <w:color w:val="auto"/>
                <w:highlight w:val="none"/>
              </w:rPr>
              <w:t>.项目效益</w:t>
            </w:r>
          </w:p>
        </w:tc>
        <w:tc>
          <w:tcPr>
            <w:tcW w:w="358"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ind w:firstLine="0" w:firstLineChars="0"/>
              <w:jc w:val="center"/>
              <w:rPr>
                <w:rFonts w:hint="default" w:ascii="CESI宋体-GB2312" w:hAnsi="CESI宋体-GB2312" w:eastAsia="仿宋_GB2312" w:cs="Times New Roman"/>
                <w:color w:val="auto"/>
                <w:kern w:val="44"/>
                <w:sz w:val="21"/>
                <w:szCs w:val="22"/>
                <w:highlight w:val="none"/>
                <w:lang w:val="en-US" w:eastAsia="zh-CN" w:bidi="ar-SA"/>
              </w:rPr>
            </w:pPr>
            <w:r>
              <w:rPr>
                <w:rFonts w:hint="default" w:ascii="CESI宋体-GB2312" w:hAnsi="CESI宋体-GB2312" w:eastAsia="仿宋_GB2312" w:cs="Times New Roman"/>
                <w:color w:val="auto"/>
                <w:highlight w:val="none"/>
              </w:rPr>
              <w:t>合计</w:t>
            </w:r>
          </w:p>
        </w:tc>
      </w:tr>
      <w:tr>
        <w:tblPrEx>
          <w:tblCellMar>
            <w:top w:w="0" w:type="dxa"/>
            <w:left w:w="0" w:type="dxa"/>
            <w:bottom w:w="0" w:type="dxa"/>
            <w:right w:w="0" w:type="dxa"/>
          </w:tblCellMar>
        </w:tblPrEx>
        <w:trPr>
          <w:trHeight w:val="441" w:hRule="atLeast"/>
          <w:jc w:val="center"/>
        </w:trPr>
        <w:tc>
          <w:tcPr>
            <w:tcW w:w="670"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jc w:val="center"/>
              <w:rPr>
                <w:rFonts w:hint="default" w:ascii="CESI宋体-GB2312" w:hAnsi="CESI宋体-GB2312" w:eastAsia="仿宋_GB2312" w:cs="Times New Roman"/>
                <w:color w:val="auto"/>
                <w:highlight w:val="none"/>
              </w:rPr>
            </w:pPr>
            <w:r>
              <w:rPr>
                <w:rFonts w:hint="default" w:ascii="CESI宋体-GB2312" w:hAnsi="CESI宋体-GB2312" w:eastAsia="仿宋_GB2312" w:cs="Times New Roman"/>
                <w:color w:val="auto"/>
                <w:highlight w:val="none"/>
              </w:rPr>
              <w:t>权重</w:t>
            </w:r>
          </w:p>
        </w:tc>
        <w:tc>
          <w:tcPr>
            <w:tcW w:w="794"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jc w:val="center"/>
              <w:rPr>
                <w:rFonts w:hint="default" w:ascii="CESI宋体-GB2312" w:hAnsi="CESI宋体-GB2312" w:eastAsia="仿宋_GB2312" w:cs="Times New Roman"/>
                <w:color w:val="auto"/>
                <w:highlight w:val="none"/>
              </w:rPr>
            </w:pPr>
            <w:r>
              <w:rPr>
                <w:rFonts w:hint="default" w:ascii="CESI宋体-GB2312" w:hAnsi="CESI宋体-GB2312" w:eastAsia="仿宋_GB2312" w:cs="Times New Roman"/>
                <w:color w:val="auto"/>
                <w:highlight w:val="none"/>
              </w:rPr>
              <w:t>22%</w:t>
            </w:r>
          </w:p>
        </w:tc>
        <w:tc>
          <w:tcPr>
            <w:tcW w:w="794"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jc w:val="center"/>
              <w:rPr>
                <w:rFonts w:hint="default" w:ascii="CESI宋体-GB2312" w:hAnsi="CESI宋体-GB2312" w:eastAsia="仿宋_GB2312" w:cs="Times New Roman"/>
                <w:color w:val="auto"/>
                <w:highlight w:val="none"/>
              </w:rPr>
            </w:pPr>
            <w:r>
              <w:rPr>
                <w:rFonts w:hint="default" w:ascii="CESI宋体-GB2312" w:hAnsi="CESI宋体-GB2312" w:eastAsia="仿宋_GB2312" w:cs="Times New Roman"/>
                <w:color w:val="auto"/>
                <w:highlight w:val="none"/>
              </w:rPr>
              <w:t>18%</w:t>
            </w:r>
          </w:p>
        </w:tc>
        <w:tc>
          <w:tcPr>
            <w:tcW w:w="794"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jc w:val="center"/>
              <w:rPr>
                <w:rFonts w:hint="default" w:ascii="CESI宋体-GB2312" w:hAnsi="CESI宋体-GB2312" w:eastAsia="仿宋_GB2312" w:cs="Times New Roman"/>
                <w:color w:val="auto"/>
                <w:highlight w:val="none"/>
              </w:rPr>
            </w:pPr>
            <w:r>
              <w:rPr>
                <w:rFonts w:hint="eastAsia" w:ascii="CESI宋体-GB2312" w:hAnsi="CESI宋体-GB2312" w:cs="Times New Roman"/>
                <w:color w:val="auto"/>
                <w:highlight w:val="none"/>
                <w:lang w:val="en-US" w:eastAsia="zh-CN"/>
              </w:rPr>
              <w:t>30</w:t>
            </w:r>
            <w:r>
              <w:rPr>
                <w:rFonts w:hint="default" w:ascii="CESI宋体-GB2312" w:hAnsi="CESI宋体-GB2312" w:eastAsia="仿宋_GB2312" w:cs="Times New Roman"/>
                <w:color w:val="auto"/>
                <w:highlight w:val="none"/>
              </w:rPr>
              <w:t>%</w:t>
            </w:r>
          </w:p>
        </w:tc>
        <w:tc>
          <w:tcPr>
            <w:tcW w:w="794"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jc w:val="center"/>
              <w:rPr>
                <w:rFonts w:hint="default" w:ascii="CESI宋体-GB2312" w:hAnsi="CESI宋体-GB2312" w:eastAsia="仿宋_GB2312" w:cs="Times New Roman"/>
                <w:color w:val="auto"/>
                <w:highlight w:val="none"/>
                <w:lang w:val="en-US" w:eastAsia="zh-CN"/>
              </w:rPr>
            </w:pPr>
            <w:r>
              <w:rPr>
                <w:rFonts w:hint="eastAsia" w:ascii="CESI宋体-GB2312" w:hAnsi="CESI宋体-GB2312" w:cs="Times New Roman"/>
                <w:color w:val="auto"/>
                <w:highlight w:val="none"/>
                <w:lang w:val="en-US" w:eastAsia="zh-CN"/>
              </w:rPr>
              <w:t>10%</w:t>
            </w:r>
          </w:p>
        </w:tc>
        <w:tc>
          <w:tcPr>
            <w:tcW w:w="794"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ind w:firstLine="0" w:firstLineChars="0"/>
              <w:jc w:val="center"/>
              <w:rPr>
                <w:rFonts w:hint="default" w:ascii="CESI宋体-GB2312" w:hAnsi="CESI宋体-GB2312" w:eastAsia="仿宋_GB2312" w:cs="Times New Roman"/>
                <w:color w:val="auto"/>
                <w:kern w:val="44"/>
                <w:sz w:val="21"/>
                <w:szCs w:val="22"/>
                <w:highlight w:val="none"/>
                <w:lang w:val="en-US" w:eastAsia="zh-CN" w:bidi="ar-SA"/>
              </w:rPr>
            </w:pPr>
            <w:r>
              <w:rPr>
                <w:rFonts w:hint="default" w:ascii="CESI宋体-GB2312" w:hAnsi="CESI宋体-GB2312" w:eastAsia="仿宋_GB2312" w:cs="Times New Roman"/>
                <w:color w:val="auto"/>
                <w:highlight w:val="none"/>
              </w:rPr>
              <w:t>20%</w:t>
            </w:r>
          </w:p>
        </w:tc>
        <w:tc>
          <w:tcPr>
            <w:tcW w:w="358"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ind w:firstLine="0" w:firstLineChars="0"/>
              <w:jc w:val="center"/>
              <w:rPr>
                <w:rFonts w:hint="default" w:ascii="CESI宋体-GB2312" w:hAnsi="CESI宋体-GB2312" w:eastAsia="仿宋_GB2312" w:cs="Times New Roman"/>
                <w:color w:val="auto"/>
                <w:kern w:val="44"/>
                <w:sz w:val="21"/>
                <w:szCs w:val="22"/>
                <w:highlight w:val="none"/>
                <w:lang w:val="en-US" w:eastAsia="zh-CN" w:bidi="ar-SA"/>
              </w:rPr>
            </w:pPr>
            <w:r>
              <w:rPr>
                <w:rFonts w:hint="default" w:ascii="CESI宋体-GB2312" w:hAnsi="CESI宋体-GB2312" w:eastAsia="仿宋_GB2312" w:cs="Times New Roman"/>
                <w:color w:val="auto"/>
                <w:highlight w:val="none"/>
              </w:rPr>
              <w:t>100</w:t>
            </w:r>
          </w:p>
        </w:tc>
      </w:tr>
      <w:tr>
        <w:tblPrEx>
          <w:tblCellMar>
            <w:top w:w="0" w:type="dxa"/>
            <w:left w:w="0" w:type="dxa"/>
            <w:bottom w:w="0" w:type="dxa"/>
            <w:right w:w="0" w:type="dxa"/>
          </w:tblCellMar>
        </w:tblPrEx>
        <w:trPr>
          <w:trHeight w:val="375" w:hRule="atLeast"/>
          <w:jc w:val="center"/>
        </w:trPr>
        <w:tc>
          <w:tcPr>
            <w:tcW w:w="670"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jc w:val="center"/>
              <w:rPr>
                <w:rFonts w:hint="default" w:ascii="CESI宋体-GB2312" w:hAnsi="CESI宋体-GB2312" w:eastAsia="仿宋_GB2312" w:cs="Times New Roman"/>
                <w:color w:val="auto"/>
                <w:highlight w:val="none"/>
              </w:rPr>
            </w:pPr>
            <w:r>
              <w:rPr>
                <w:rFonts w:hint="default" w:ascii="CESI宋体-GB2312" w:hAnsi="CESI宋体-GB2312" w:eastAsia="仿宋_GB2312" w:cs="Times New Roman"/>
                <w:color w:val="auto"/>
                <w:highlight w:val="none"/>
              </w:rPr>
              <w:t>分值</w:t>
            </w:r>
          </w:p>
        </w:tc>
        <w:tc>
          <w:tcPr>
            <w:tcW w:w="794"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jc w:val="center"/>
              <w:rPr>
                <w:rFonts w:hint="default" w:ascii="CESI宋体-GB2312" w:hAnsi="CESI宋体-GB2312" w:eastAsia="仿宋_GB2312" w:cs="Times New Roman"/>
                <w:color w:val="auto"/>
                <w:highlight w:val="none"/>
              </w:rPr>
            </w:pPr>
            <w:r>
              <w:rPr>
                <w:rFonts w:hint="default" w:ascii="CESI宋体-GB2312" w:hAnsi="CESI宋体-GB2312" w:eastAsia="仿宋_GB2312" w:cs="Times New Roman"/>
                <w:color w:val="auto"/>
                <w:highlight w:val="none"/>
              </w:rPr>
              <w:t>22</w:t>
            </w:r>
          </w:p>
        </w:tc>
        <w:tc>
          <w:tcPr>
            <w:tcW w:w="794"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jc w:val="center"/>
              <w:rPr>
                <w:rFonts w:hint="default" w:ascii="CESI宋体-GB2312" w:hAnsi="CESI宋体-GB2312" w:eastAsia="仿宋_GB2312" w:cs="Times New Roman"/>
                <w:color w:val="auto"/>
                <w:highlight w:val="none"/>
              </w:rPr>
            </w:pPr>
            <w:r>
              <w:rPr>
                <w:rFonts w:hint="default" w:ascii="CESI宋体-GB2312" w:hAnsi="CESI宋体-GB2312" w:eastAsia="仿宋_GB2312" w:cs="Times New Roman"/>
                <w:color w:val="auto"/>
                <w:highlight w:val="none"/>
              </w:rPr>
              <w:t>18</w:t>
            </w:r>
          </w:p>
        </w:tc>
        <w:tc>
          <w:tcPr>
            <w:tcW w:w="794"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jc w:val="center"/>
              <w:rPr>
                <w:rFonts w:hint="default" w:ascii="CESI宋体-GB2312" w:hAnsi="CESI宋体-GB2312" w:eastAsia="仿宋_GB2312" w:cs="Times New Roman"/>
                <w:color w:val="auto"/>
                <w:highlight w:val="none"/>
                <w:lang w:val="en-US" w:eastAsia="zh-CN"/>
              </w:rPr>
            </w:pPr>
            <w:r>
              <w:rPr>
                <w:rFonts w:hint="eastAsia" w:ascii="CESI宋体-GB2312" w:hAnsi="CESI宋体-GB2312" w:cs="Times New Roman"/>
                <w:color w:val="auto"/>
                <w:highlight w:val="none"/>
                <w:lang w:val="en-US" w:eastAsia="zh-CN"/>
              </w:rPr>
              <w:t>30</w:t>
            </w:r>
          </w:p>
        </w:tc>
        <w:tc>
          <w:tcPr>
            <w:tcW w:w="794"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jc w:val="center"/>
              <w:rPr>
                <w:rFonts w:hint="default" w:ascii="CESI宋体-GB2312" w:hAnsi="CESI宋体-GB2312" w:eastAsia="仿宋_GB2312" w:cs="Times New Roman"/>
                <w:color w:val="auto"/>
                <w:highlight w:val="none"/>
                <w:lang w:val="en-US" w:eastAsia="zh-CN"/>
              </w:rPr>
            </w:pPr>
            <w:r>
              <w:rPr>
                <w:rFonts w:hint="eastAsia" w:ascii="CESI宋体-GB2312" w:hAnsi="CESI宋体-GB2312" w:cs="Times New Roman"/>
                <w:color w:val="auto"/>
                <w:highlight w:val="none"/>
                <w:lang w:val="en-US" w:eastAsia="zh-CN"/>
              </w:rPr>
              <w:t>10</w:t>
            </w:r>
          </w:p>
        </w:tc>
        <w:tc>
          <w:tcPr>
            <w:tcW w:w="794"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ind w:firstLine="0" w:firstLineChars="0"/>
              <w:jc w:val="center"/>
              <w:rPr>
                <w:rFonts w:hint="default" w:ascii="CESI宋体-GB2312" w:hAnsi="CESI宋体-GB2312" w:eastAsia="仿宋_GB2312" w:cs="Times New Roman"/>
                <w:color w:val="auto"/>
                <w:kern w:val="44"/>
                <w:sz w:val="21"/>
                <w:szCs w:val="22"/>
                <w:highlight w:val="none"/>
                <w:lang w:val="en-US" w:eastAsia="zh-CN" w:bidi="ar-SA"/>
              </w:rPr>
            </w:pPr>
            <w:r>
              <w:rPr>
                <w:rFonts w:hint="default" w:ascii="CESI宋体-GB2312" w:hAnsi="CESI宋体-GB2312" w:eastAsia="仿宋_GB2312" w:cs="Times New Roman"/>
                <w:color w:val="auto"/>
                <w:highlight w:val="none"/>
              </w:rPr>
              <w:t>20</w:t>
            </w:r>
          </w:p>
        </w:tc>
        <w:tc>
          <w:tcPr>
            <w:tcW w:w="358"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ind w:firstLine="0" w:firstLineChars="0"/>
              <w:jc w:val="center"/>
              <w:rPr>
                <w:rFonts w:hint="default" w:ascii="CESI宋体-GB2312" w:hAnsi="CESI宋体-GB2312" w:eastAsia="仿宋_GB2312" w:cs="Times New Roman"/>
                <w:color w:val="auto"/>
                <w:kern w:val="44"/>
                <w:sz w:val="21"/>
                <w:szCs w:val="22"/>
                <w:highlight w:val="none"/>
                <w:lang w:val="en-US" w:eastAsia="zh-CN" w:bidi="ar-SA"/>
              </w:rPr>
            </w:pPr>
            <w:r>
              <w:rPr>
                <w:rFonts w:hint="default" w:ascii="CESI宋体-GB2312" w:hAnsi="CESI宋体-GB2312" w:eastAsia="仿宋_GB2312" w:cs="Times New Roman"/>
                <w:color w:val="auto"/>
                <w:highlight w:val="none"/>
              </w:rPr>
              <w:t>100</w:t>
            </w:r>
          </w:p>
        </w:tc>
      </w:tr>
      <w:tr>
        <w:tblPrEx>
          <w:tblCellMar>
            <w:top w:w="0" w:type="dxa"/>
            <w:left w:w="0" w:type="dxa"/>
            <w:bottom w:w="0" w:type="dxa"/>
            <w:right w:w="0" w:type="dxa"/>
          </w:tblCellMar>
        </w:tblPrEx>
        <w:trPr>
          <w:trHeight w:val="375" w:hRule="atLeast"/>
          <w:jc w:val="center"/>
        </w:trPr>
        <w:tc>
          <w:tcPr>
            <w:tcW w:w="670"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jc w:val="center"/>
              <w:rPr>
                <w:rFonts w:hint="default" w:ascii="CESI宋体-GB2312" w:hAnsi="CESI宋体-GB2312" w:eastAsia="仿宋_GB2312" w:cs="Times New Roman"/>
                <w:color w:val="auto"/>
                <w:highlight w:val="none"/>
              </w:rPr>
            </w:pPr>
            <w:r>
              <w:rPr>
                <w:rFonts w:hint="default" w:ascii="CESI宋体-GB2312" w:hAnsi="CESI宋体-GB2312" w:eastAsia="仿宋_GB2312" w:cs="Times New Roman"/>
                <w:color w:val="auto"/>
                <w:highlight w:val="none"/>
              </w:rPr>
              <w:t>得分</w:t>
            </w:r>
          </w:p>
        </w:tc>
        <w:tc>
          <w:tcPr>
            <w:tcW w:w="794"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jc w:val="center"/>
              <w:rPr>
                <w:rFonts w:hint="default" w:ascii="CESI宋体-GB2312" w:hAnsi="CESI宋体-GB2312" w:eastAsia="仿宋_GB2312" w:cs="Times New Roman"/>
                <w:color w:val="auto"/>
                <w:highlight w:val="none"/>
              </w:rPr>
            </w:pPr>
            <w:r>
              <w:rPr>
                <w:rFonts w:hint="default" w:ascii="CESI宋体-GB2312" w:hAnsi="CESI宋体-GB2312" w:eastAsia="仿宋_GB2312" w:cs="Times New Roman"/>
                <w:color w:val="auto"/>
                <w:highlight w:val="none"/>
              </w:rPr>
              <w:t>22</w:t>
            </w:r>
          </w:p>
        </w:tc>
        <w:tc>
          <w:tcPr>
            <w:tcW w:w="794"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jc w:val="center"/>
              <w:rPr>
                <w:rFonts w:hint="default" w:ascii="CESI宋体-GB2312" w:hAnsi="CESI宋体-GB2312" w:eastAsia="仿宋_GB2312" w:cs="Times New Roman"/>
                <w:color w:val="auto"/>
                <w:highlight w:val="none"/>
                <w:lang w:val="en-US" w:eastAsia="zh-CN"/>
              </w:rPr>
            </w:pPr>
            <w:r>
              <w:rPr>
                <w:rFonts w:hint="eastAsia" w:ascii="CESI宋体-GB2312" w:hAnsi="CESI宋体-GB2312" w:cs="Times New Roman"/>
                <w:color w:val="auto"/>
                <w:highlight w:val="none"/>
                <w:lang w:val="en-US" w:eastAsia="zh-CN"/>
              </w:rPr>
              <w:t>18</w:t>
            </w:r>
          </w:p>
        </w:tc>
        <w:tc>
          <w:tcPr>
            <w:tcW w:w="794"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jc w:val="center"/>
              <w:rPr>
                <w:rFonts w:hint="default" w:ascii="CESI宋体-GB2312" w:hAnsi="CESI宋体-GB2312" w:eastAsia="仿宋_GB2312" w:cs="Times New Roman"/>
                <w:color w:val="auto"/>
                <w:highlight w:val="none"/>
                <w:lang w:val="en-US" w:eastAsia="zh-CN"/>
              </w:rPr>
            </w:pPr>
            <w:r>
              <w:rPr>
                <w:rFonts w:hint="eastAsia" w:ascii="CESI宋体-GB2312" w:hAnsi="CESI宋体-GB2312" w:cs="Times New Roman"/>
                <w:color w:val="auto"/>
                <w:highlight w:val="none"/>
                <w:lang w:val="en-US" w:eastAsia="zh-CN"/>
              </w:rPr>
              <w:t>30</w:t>
            </w:r>
          </w:p>
        </w:tc>
        <w:tc>
          <w:tcPr>
            <w:tcW w:w="794"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jc w:val="center"/>
              <w:rPr>
                <w:rFonts w:hint="default" w:ascii="CESI宋体-GB2312" w:hAnsi="CESI宋体-GB2312" w:eastAsia="仿宋_GB2312" w:cs="Times New Roman"/>
                <w:color w:val="auto"/>
                <w:highlight w:val="none"/>
                <w:lang w:val="en-US" w:eastAsia="zh-CN"/>
              </w:rPr>
            </w:pPr>
            <w:r>
              <w:rPr>
                <w:rFonts w:hint="eastAsia" w:ascii="CESI宋体-GB2312" w:hAnsi="CESI宋体-GB2312" w:cs="Times New Roman"/>
                <w:color w:val="auto"/>
                <w:highlight w:val="none"/>
                <w:lang w:val="en-US" w:eastAsia="zh-CN"/>
              </w:rPr>
              <w:t>10</w:t>
            </w:r>
          </w:p>
        </w:tc>
        <w:tc>
          <w:tcPr>
            <w:tcW w:w="794"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ind w:firstLine="0" w:firstLineChars="0"/>
              <w:jc w:val="center"/>
              <w:rPr>
                <w:rFonts w:hint="default" w:ascii="CESI宋体-GB2312" w:hAnsi="CESI宋体-GB2312" w:eastAsia="仿宋_GB2312" w:cs="Times New Roman"/>
                <w:color w:val="auto"/>
                <w:kern w:val="44"/>
                <w:sz w:val="21"/>
                <w:szCs w:val="22"/>
                <w:highlight w:val="none"/>
                <w:lang w:val="en-US" w:eastAsia="zh-CN" w:bidi="ar-SA"/>
              </w:rPr>
            </w:pPr>
            <w:r>
              <w:rPr>
                <w:rFonts w:hint="default" w:ascii="CESI宋体-GB2312" w:hAnsi="CESI宋体-GB2312" w:eastAsia="仿宋_GB2312" w:cs="Times New Roman"/>
                <w:color w:val="auto"/>
                <w:highlight w:val="none"/>
              </w:rPr>
              <w:t>20</w:t>
            </w:r>
          </w:p>
        </w:tc>
        <w:tc>
          <w:tcPr>
            <w:tcW w:w="358"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ind w:firstLine="0" w:firstLineChars="0"/>
              <w:jc w:val="center"/>
              <w:rPr>
                <w:rFonts w:hint="default" w:ascii="CESI宋体-GB2312" w:hAnsi="CESI宋体-GB2312" w:eastAsia="仿宋_GB2312" w:cs="Times New Roman"/>
                <w:color w:val="auto"/>
                <w:kern w:val="44"/>
                <w:sz w:val="21"/>
                <w:szCs w:val="22"/>
                <w:highlight w:val="none"/>
                <w:lang w:val="en-US" w:eastAsia="zh-CN" w:bidi="ar-SA"/>
              </w:rPr>
            </w:pPr>
            <w:r>
              <w:rPr>
                <w:rFonts w:hint="eastAsia" w:ascii="CESI宋体-GB2312" w:hAnsi="CESI宋体-GB2312" w:cs="Times New Roman"/>
                <w:color w:val="auto"/>
                <w:highlight w:val="none"/>
                <w:lang w:val="en-US" w:eastAsia="zh-CN"/>
              </w:rPr>
              <w:t>100</w:t>
            </w:r>
          </w:p>
        </w:tc>
      </w:tr>
    </w:tbl>
    <w:p>
      <w:pPr>
        <w:pStyle w:val="4"/>
        <w:bidi w:val="0"/>
        <w:rPr>
          <w:rFonts w:ascii="CESI宋体-GB2312" w:hAnsi="CESI宋体-GB2312"/>
          <w:color w:val="auto"/>
          <w:highlight w:val="none"/>
        </w:rPr>
      </w:pPr>
      <w:bookmarkStart w:id="19" w:name="_Toc8960"/>
      <w:r>
        <w:rPr>
          <w:rFonts w:hint="eastAsia" w:ascii="CESI宋体-GB2312" w:hAnsi="CESI宋体-GB2312"/>
          <w:color w:val="auto"/>
          <w:highlight w:val="none"/>
        </w:rPr>
        <w:t>四、绩效评价指标分析</w:t>
      </w:r>
      <w:bookmarkEnd w:id="19"/>
    </w:p>
    <w:p>
      <w:pPr>
        <w:pStyle w:val="2"/>
        <w:bidi w:val="0"/>
        <w:rPr>
          <w:rFonts w:ascii="CESI宋体-GB2312" w:hAnsi="CESI宋体-GB2312"/>
          <w:color w:val="auto"/>
          <w:highlight w:val="none"/>
        </w:rPr>
      </w:pPr>
      <w:bookmarkStart w:id="20" w:name="_Toc3445"/>
      <w:r>
        <w:rPr>
          <w:rFonts w:hint="eastAsia" w:ascii="CESI宋体-GB2312" w:hAnsi="CESI宋体-GB2312"/>
          <w:color w:val="auto"/>
          <w:highlight w:val="none"/>
        </w:rPr>
        <w:t>（一）项目决策情况</w:t>
      </w:r>
      <w:bookmarkEnd w:id="20"/>
    </w:p>
    <w:p>
      <w:pPr>
        <w:bidi w:val="0"/>
        <w:rPr>
          <w:rFonts w:ascii="CESI宋体-GB2312" w:hAnsi="CESI宋体-GB2312"/>
          <w:color w:val="auto"/>
          <w:highlight w:val="none"/>
        </w:rPr>
      </w:pPr>
      <w:r>
        <w:rPr>
          <w:rFonts w:hint="eastAsia" w:ascii="CESI宋体-GB2312" w:hAnsi="CESI宋体-GB2312"/>
          <w:color w:val="auto"/>
          <w:highlight w:val="none"/>
        </w:rPr>
        <w:t>1、实施依据充分性</w:t>
      </w:r>
    </w:p>
    <w:p>
      <w:pPr>
        <w:bidi w:val="0"/>
        <w:rPr>
          <w:rFonts w:ascii="CESI宋体-GB2312" w:hAnsi="CESI宋体-GB2312"/>
          <w:color w:val="auto"/>
          <w:highlight w:val="none"/>
        </w:rPr>
      </w:pPr>
      <w:r>
        <w:rPr>
          <w:rFonts w:hint="eastAsia" w:ascii="CESI宋体-GB2312" w:hAnsi="CESI宋体-GB2312"/>
          <w:color w:val="auto"/>
          <w:highlight w:val="none"/>
        </w:rPr>
        <w:t>（1）本项目申报和审批符合国家法律法规、国民经济发展规划和相关政策；</w:t>
      </w:r>
    </w:p>
    <w:p>
      <w:pPr>
        <w:bidi w:val="0"/>
        <w:rPr>
          <w:rFonts w:ascii="CESI宋体-GB2312" w:hAnsi="CESI宋体-GB2312"/>
          <w:color w:val="auto"/>
          <w:highlight w:val="none"/>
        </w:rPr>
      </w:pPr>
      <w:r>
        <w:rPr>
          <w:rFonts w:hint="eastAsia" w:ascii="CESI宋体-GB2312" w:hAnsi="CESI宋体-GB2312"/>
          <w:color w:val="auto"/>
          <w:highlight w:val="none"/>
        </w:rPr>
        <w:t>（2）本项目申报和审批符合行业发展规划和政策要求；</w:t>
      </w:r>
    </w:p>
    <w:p>
      <w:pPr>
        <w:bidi w:val="0"/>
        <w:rPr>
          <w:rFonts w:ascii="CESI宋体-GB2312" w:hAnsi="CESI宋体-GB2312"/>
          <w:color w:val="auto"/>
          <w:highlight w:val="none"/>
        </w:rPr>
      </w:pPr>
      <w:r>
        <w:rPr>
          <w:rFonts w:hint="eastAsia" w:ascii="CESI宋体-GB2312" w:hAnsi="CESI宋体-GB2312"/>
          <w:color w:val="auto"/>
          <w:highlight w:val="none"/>
        </w:rPr>
        <w:t>（3）项目</w:t>
      </w:r>
      <w:r>
        <w:rPr>
          <w:rFonts w:hint="eastAsia" w:ascii="CESI宋体-GB2312" w:hAnsi="CESI宋体-GB2312"/>
          <w:color w:val="auto"/>
          <w:highlight w:val="none"/>
          <w:lang w:val="en-US" w:eastAsia="zh-CN"/>
        </w:rPr>
        <w:t>实施</w:t>
      </w:r>
      <w:r>
        <w:rPr>
          <w:rFonts w:hint="eastAsia" w:ascii="CESI宋体-GB2312" w:hAnsi="CESI宋体-GB2312"/>
          <w:color w:val="auto"/>
          <w:highlight w:val="none"/>
        </w:rPr>
        <w:t>与部门职责范围相符，属于部门履职所需；</w:t>
      </w:r>
    </w:p>
    <w:p>
      <w:pPr>
        <w:bidi w:val="0"/>
        <w:rPr>
          <w:rFonts w:ascii="CESI宋体-GB2312" w:hAnsi="CESI宋体-GB2312"/>
          <w:color w:val="auto"/>
          <w:highlight w:val="none"/>
        </w:rPr>
      </w:pPr>
      <w:r>
        <w:rPr>
          <w:rFonts w:hint="eastAsia" w:ascii="CESI宋体-GB2312" w:hAnsi="CESI宋体-GB2312"/>
          <w:color w:val="auto"/>
          <w:highlight w:val="none"/>
        </w:rPr>
        <w:t>（4）本项目属于公共财政支持范围，符合中央、地方事权支出责任划分原则；</w:t>
      </w:r>
    </w:p>
    <w:p>
      <w:pPr>
        <w:bidi w:val="0"/>
        <w:rPr>
          <w:rFonts w:ascii="CESI宋体-GB2312" w:hAnsi="CESI宋体-GB2312"/>
          <w:color w:val="auto"/>
          <w:highlight w:val="none"/>
        </w:rPr>
      </w:pPr>
      <w:r>
        <w:rPr>
          <w:rFonts w:hint="eastAsia" w:ascii="CESI宋体-GB2312" w:hAnsi="CESI宋体-GB2312"/>
          <w:color w:val="auto"/>
          <w:highlight w:val="none"/>
        </w:rPr>
        <w:t>（5）本项目与相关部门同类项目或部门内部相关项目</w:t>
      </w:r>
      <w:r>
        <w:rPr>
          <w:rFonts w:hint="eastAsia" w:ascii="CESI宋体-GB2312" w:hAnsi="CESI宋体-GB2312"/>
          <w:color w:val="auto"/>
          <w:highlight w:val="none"/>
          <w:lang w:val="en-US" w:eastAsia="zh-CN"/>
        </w:rPr>
        <w:t>不</w:t>
      </w:r>
      <w:r>
        <w:rPr>
          <w:rFonts w:hint="eastAsia" w:ascii="CESI宋体-GB2312" w:hAnsi="CESI宋体-GB2312"/>
          <w:color w:val="auto"/>
          <w:highlight w:val="none"/>
        </w:rPr>
        <w:t>重复。</w:t>
      </w:r>
    </w:p>
    <w:p>
      <w:pPr>
        <w:bidi w:val="0"/>
        <w:rPr>
          <w:rFonts w:ascii="CESI宋体-GB2312" w:hAnsi="CESI宋体-GB2312"/>
          <w:color w:val="auto"/>
          <w:highlight w:val="none"/>
        </w:rPr>
      </w:pPr>
      <w:r>
        <w:rPr>
          <w:rFonts w:hint="eastAsia" w:ascii="CESI宋体-GB2312" w:hAnsi="CESI宋体-GB2312"/>
          <w:color w:val="auto"/>
          <w:highlight w:val="none"/>
        </w:rPr>
        <w:t>本项满分3分，评估得分3分。</w:t>
      </w:r>
    </w:p>
    <w:p>
      <w:pPr>
        <w:bidi w:val="0"/>
        <w:rPr>
          <w:rFonts w:ascii="CESI宋体-GB2312" w:hAnsi="CESI宋体-GB2312"/>
          <w:color w:val="auto"/>
          <w:highlight w:val="none"/>
        </w:rPr>
      </w:pPr>
      <w:r>
        <w:rPr>
          <w:rFonts w:hint="eastAsia" w:ascii="CESI宋体-GB2312" w:hAnsi="CESI宋体-GB2312"/>
          <w:color w:val="auto"/>
          <w:highlight w:val="none"/>
        </w:rPr>
        <w:t>2、实施程序规范性</w:t>
      </w:r>
    </w:p>
    <w:p>
      <w:pPr>
        <w:bidi w:val="0"/>
        <w:rPr>
          <w:rFonts w:ascii="CESI宋体-GB2312" w:hAnsi="CESI宋体-GB2312"/>
          <w:color w:val="auto"/>
          <w:highlight w:val="none"/>
        </w:rPr>
      </w:pPr>
      <w:r>
        <w:rPr>
          <w:rFonts w:hint="eastAsia" w:ascii="CESI宋体-GB2312" w:hAnsi="CESI宋体-GB2312"/>
          <w:bCs/>
          <w:color w:val="auto"/>
          <w:szCs w:val="32"/>
          <w:highlight w:val="none"/>
        </w:rPr>
        <w:t>本项目</w:t>
      </w:r>
      <w:r>
        <w:rPr>
          <w:rFonts w:hint="eastAsia" w:ascii="CESI宋体-GB2312" w:hAnsi="CESI宋体-GB2312"/>
          <w:color w:val="auto"/>
          <w:spacing w:val="-4"/>
          <w:szCs w:val="32"/>
          <w:highlight w:val="none"/>
          <w:lang w:val="en-US" w:eastAsia="zh-CN"/>
        </w:rPr>
        <w:t>实施</w:t>
      </w:r>
      <w:r>
        <w:rPr>
          <w:rFonts w:hint="eastAsia" w:ascii="CESI宋体-GB2312" w:hAnsi="CESI宋体-GB2312"/>
          <w:bCs/>
          <w:color w:val="auto"/>
          <w:szCs w:val="32"/>
          <w:highlight w:val="none"/>
        </w:rPr>
        <w:t>资料全，</w:t>
      </w:r>
      <w:r>
        <w:rPr>
          <w:rFonts w:hint="eastAsia" w:ascii="CESI宋体-GB2312" w:hAnsi="CESI宋体-GB2312"/>
          <w:color w:val="auto"/>
          <w:spacing w:val="-4"/>
          <w:szCs w:val="32"/>
          <w:highlight w:val="none"/>
          <w:lang w:val="en-US" w:eastAsia="zh-CN"/>
        </w:rPr>
        <w:t>实施</w:t>
      </w:r>
      <w:r>
        <w:rPr>
          <w:rFonts w:hint="eastAsia" w:ascii="CESI宋体-GB2312" w:hAnsi="CESI宋体-GB2312"/>
          <w:bCs/>
          <w:color w:val="auto"/>
          <w:szCs w:val="32"/>
          <w:highlight w:val="none"/>
        </w:rPr>
        <w:t>程序规范；审批文件、材料符合相关要求，事前已经过必要的集体决策，</w:t>
      </w:r>
      <w:r>
        <w:rPr>
          <w:rFonts w:hint="eastAsia" w:ascii="CESI宋体-GB2312" w:hAnsi="CESI宋体-GB2312"/>
          <w:color w:val="auto"/>
          <w:highlight w:val="none"/>
        </w:rPr>
        <w:t>实施程序规范。</w:t>
      </w:r>
    </w:p>
    <w:p>
      <w:pPr>
        <w:bidi w:val="0"/>
        <w:rPr>
          <w:rFonts w:ascii="CESI宋体-GB2312" w:hAnsi="CESI宋体-GB2312"/>
          <w:color w:val="auto"/>
          <w:highlight w:val="none"/>
        </w:rPr>
      </w:pPr>
      <w:r>
        <w:rPr>
          <w:rFonts w:hint="eastAsia" w:ascii="CESI宋体-GB2312" w:hAnsi="CESI宋体-GB2312"/>
          <w:color w:val="auto"/>
          <w:highlight w:val="none"/>
        </w:rPr>
        <w:t>本项满分3分，评估得分3分。</w:t>
      </w:r>
    </w:p>
    <w:p>
      <w:pPr>
        <w:bidi w:val="0"/>
        <w:rPr>
          <w:rFonts w:ascii="CESI宋体-GB2312" w:hAnsi="CESI宋体-GB2312"/>
          <w:color w:val="auto"/>
          <w:highlight w:val="none"/>
        </w:rPr>
      </w:pPr>
      <w:r>
        <w:rPr>
          <w:rFonts w:hint="eastAsia" w:ascii="CESI宋体-GB2312" w:hAnsi="CESI宋体-GB2312"/>
          <w:color w:val="auto"/>
          <w:highlight w:val="none"/>
        </w:rPr>
        <w:t>3、绩效目标合理性</w:t>
      </w:r>
    </w:p>
    <w:p>
      <w:pPr>
        <w:bidi w:val="0"/>
        <w:rPr>
          <w:rFonts w:ascii="CESI宋体-GB2312" w:hAnsi="CESI宋体-GB2312"/>
          <w:color w:val="auto"/>
          <w:highlight w:val="none"/>
        </w:rPr>
      </w:pPr>
      <w:r>
        <w:rPr>
          <w:rFonts w:hint="eastAsia" w:ascii="CESI宋体-GB2312" w:hAnsi="CESI宋体-GB2312"/>
          <w:color w:val="auto"/>
          <w:highlight w:val="none"/>
          <w:lang w:eastAsia="zh-CN"/>
        </w:rPr>
        <w:t>2023年农业保险保费补贴资金（县级配套）</w:t>
      </w:r>
      <w:r>
        <w:rPr>
          <w:rFonts w:hint="eastAsia" w:ascii="CESI宋体-GB2312" w:hAnsi="CESI宋体-GB2312"/>
          <w:color w:val="auto"/>
          <w:highlight w:val="none"/>
        </w:rPr>
        <w:t>设立了项目绩效目标，绩效目标指标设置合理，项目绩效目标与实际工作内容相关性较强；项目预期产出效益和效果符合正常的业绩水平；绩效目标与预算确定的项目投资额相匹配。</w:t>
      </w:r>
    </w:p>
    <w:p>
      <w:pPr>
        <w:bidi w:val="0"/>
        <w:rPr>
          <w:rFonts w:ascii="CESI宋体-GB2312" w:hAnsi="CESI宋体-GB2312"/>
          <w:color w:val="auto"/>
          <w:highlight w:val="none"/>
        </w:rPr>
      </w:pPr>
      <w:r>
        <w:rPr>
          <w:rFonts w:hint="eastAsia" w:ascii="CESI宋体-GB2312" w:hAnsi="CESI宋体-GB2312"/>
          <w:color w:val="auto"/>
          <w:highlight w:val="none"/>
        </w:rPr>
        <w:t>本项满分4分，评估得分4分。</w:t>
      </w:r>
    </w:p>
    <w:p>
      <w:pPr>
        <w:bidi w:val="0"/>
        <w:rPr>
          <w:rFonts w:ascii="CESI宋体-GB2312" w:hAnsi="CESI宋体-GB2312"/>
          <w:color w:val="auto"/>
          <w:highlight w:val="none"/>
        </w:rPr>
      </w:pPr>
      <w:r>
        <w:rPr>
          <w:rFonts w:hint="eastAsia" w:ascii="CESI宋体-GB2312" w:hAnsi="CESI宋体-GB2312"/>
          <w:color w:val="auto"/>
          <w:highlight w:val="none"/>
        </w:rPr>
        <w:t>4、绩效指标明确性</w:t>
      </w:r>
    </w:p>
    <w:p>
      <w:pPr>
        <w:bidi w:val="0"/>
        <w:rPr>
          <w:rFonts w:ascii="CESI宋体-GB2312" w:hAnsi="CESI宋体-GB2312"/>
          <w:color w:val="auto"/>
          <w:highlight w:val="none"/>
        </w:rPr>
      </w:pPr>
      <w:r>
        <w:rPr>
          <w:rFonts w:hint="eastAsia" w:ascii="CESI宋体-GB2312" w:hAnsi="CESI宋体-GB2312"/>
          <w:color w:val="auto"/>
          <w:highlight w:val="none"/>
          <w:lang w:eastAsia="zh-CN"/>
        </w:rPr>
        <w:t>农业保险保费经费</w:t>
      </w:r>
      <w:r>
        <w:rPr>
          <w:rFonts w:hint="eastAsia" w:ascii="CESI宋体-GB2312" w:hAnsi="CESI宋体-GB2312"/>
          <w:color w:val="auto"/>
          <w:highlight w:val="none"/>
        </w:rPr>
        <w:t>，设置一级指标三条，二级指标</w:t>
      </w:r>
      <w:r>
        <w:rPr>
          <w:rFonts w:hint="eastAsia" w:ascii="CESI宋体-GB2312" w:hAnsi="CESI宋体-GB2312"/>
          <w:color w:val="auto"/>
          <w:highlight w:val="none"/>
          <w:lang w:val="en-US" w:eastAsia="zh-CN"/>
        </w:rPr>
        <w:t>7</w:t>
      </w:r>
      <w:r>
        <w:rPr>
          <w:rFonts w:hint="eastAsia" w:ascii="CESI宋体-GB2312" w:hAnsi="CESI宋体-GB2312"/>
          <w:color w:val="auto"/>
          <w:highlight w:val="none"/>
        </w:rPr>
        <w:t>条，三级指标</w:t>
      </w:r>
      <w:r>
        <w:rPr>
          <w:rFonts w:hint="eastAsia" w:ascii="CESI宋体-GB2312" w:hAnsi="CESI宋体-GB2312"/>
          <w:color w:val="auto"/>
          <w:highlight w:val="none"/>
          <w:lang w:val="en-US" w:eastAsia="zh-CN"/>
        </w:rPr>
        <w:t>11</w:t>
      </w:r>
      <w:r>
        <w:rPr>
          <w:rFonts w:hint="eastAsia" w:ascii="CESI宋体-GB2312" w:hAnsi="CESI宋体-GB2312"/>
          <w:color w:val="auto"/>
          <w:highlight w:val="none"/>
        </w:rPr>
        <w:t>条，其中量化指标</w:t>
      </w:r>
      <w:r>
        <w:rPr>
          <w:rFonts w:hint="eastAsia" w:ascii="CESI宋体-GB2312" w:hAnsi="CESI宋体-GB2312"/>
          <w:color w:val="auto"/>
          <w:highlight w:val="none"/>
          <w:lang w:val="en-US" w:eastAsia="zh-CN"/>
        </w:rPr>
        <w:t>11</w:t>
      </w:r>
      <w:r>
        <w:rPr>
          <w:rFonts w:hint="eastAsia" w:ascii="CESI宋体-GB2312" w:hAnsi="CESI宋体-GB2312"/>
          <w:color w:val="auto"/>
          <w:highlight w:val="none"/>
        </w:rPr>
        <w:t>条，绩效目标指标设定清晰、可衡量性较强，与项目目标任务计划数对应性较强。</w:t>
      </w:r>
    </w:p>
    <w:p>
      <w:pPr>
        <w:bidi w:val="0"/>
        <w:rPr>
          <w:rFonts w:hint="eastAsia" w:ascii="CESI宋体-GB2312" w:hAnsi="CESI宋体-GB2312"/>
          <w:color w:val="auto"/>
          <w:highlight w:val="none"/>
        </w:rPr>
      </w:pPr>
      <w:r>
        <w:rPr>
          <w:rFonts w:hint="eastAsia" w:ascii="CESI宋体-GB2312" w:hAnsi="CESI宋体-GB2312"/>
          <w:color w:val="auto"/>
          <w:highlight w:val="none"/>
        </w:rPr>
        <w:t>本项满分4分，评估得分4分。</w:t>
      </w:r>
    </w:p>
    <w:p>
      <w:pPr>
        <w:bidi w:val="0"/>
        <w:rPr>
          <w:rFonts w:ascii="CESI宋体-GB2312" w:hAnsi="CESI宋体-GB2312"/>
          <w:color w:val="auto"/>
          <w:highlight w:val="none"/>
        </w:rPr>
      </w:pPr>
      <w:r>
        <w:rPr>
          <w:rFonts w:hint="eastAsia" w:ascii="CESI宋体-GB2312" w:hAnsi="CESI宋体-GB2312"/>
          <w:color w:val="auto"/>
          <w:highlight w:val="none"/>
        </w:rPr>
        <w:t>5、预算编制科学性</w:t>
      </w:r>
    </w:p>
    <w:p>
      <w:pPr>
        <w:bidi w:val="0"/>
        <w:rPr>
          <w:rFonts w:ascii="CESI宋体-GB2312" w:hAnsi="CESI宋体-GB2312"/>
          <w:color w:val="auto"/>
          <w:highlight w:val="none"/>
        </w:rPr>
      </w:pPr>
      <w:r>
        <w:rPr>
          <w:rFonts w:hint="eastAsia" w:ascii="CESI宋体-GB2312" w:hAnsi="CESI宋体-GB2312"/>
          <w:color w:val="auto"/>
          <w:highlight w:val="none"/>
        </w:rPr>
        <w:t>本项目预算资金</w:t>
      </w:r>
      <w:r>
        <w:rPr>
          <w:rFonts w:hint="eastAsia" w:ascii="CESI宋体-GB2312" w:hAnsi="CESI宋体-GB2312" w:eastAsia="方正仿宋_GBK" w:cs="方正仿宋_GBK"/>
          <w:color w:val="auto"/>
          <w:highlight w:val="none"/>
          <w:lang w:val="en-US" w:eastAsia="zh-CN"/>
        </w:rPr>
        <w:t>791.02</w:t>
      </w:r>
      <w:r>
        <w:rPr>
          <w:rFonts w:hint="eastAsia" w:ascii="CESI宋体-GB2312" w:hAnsi="CESI宋体-GB2312"/>
          <w:color w:val="auto"/>
          <w:highlight w:val="none"/>
        </w:rPr>
        <w:t>万元，来源为</w:t>
      </w:r>
      <w:r>
        <w:rPr>
          <w:rFonts w:hint="eastAsia" w:ascii="CESI宋体-GB2312" w:hAnsi="CESI宋体-GB2312"/>
          <w:color w:val="auto"/>
          <w:highlight w:val="none"/>
          <w:lang w:eastAsia="zh-CN"/>
        </w:rPr>
        <w:t>县级财政补贴资金</w:t>
      </w:r>
      <w:r>
        <w:rPr>
          <w:rFonts w:hint="eastAsia" w:ascii="CESI宋体-GB2312" w:hAnsi="CESI宋体-GB2312"/>
          <w:color w:val="auto"/>
          <w:highlight w:val="none"/>
        </w:rPr>
        <w:t>，</w:t>
      </w:r>
      <w:r>
        <w:rPr>
          <w:rFonts w:hint="eastAsia" w:ascii="CESI宋体-GB2312" w:hAnsi="CESI宋体-GB2312"/>
          <w:color w:val="auto"/>
          <w:highlight w:val="none"/>
          <w:lang w:eastAsia="zh-CN"/>
        </w:rPr>
        <w:t>县级财政补贴资金</w:t>
      </w:r>
      <w:r>
        <w:rPr>
          <w:rFonts w:hint="eastAsia" w:ascii="CESI宋体-GB2312" w:hAnsi="CESI宋体-GB2312"/>
          <w:color w:val="auto"/>
          <w:highlight w:val="none"/>
          <w:lang w:val="en-US" w:eastAsia="zh-CN"/>
        </w:rPr>
        <w:t>791.02</w:t>
      </w:r>
      <w:r>
        <w:rPr>
          <w:rFonts w:hint="eastAsia" w:ascii="CESI宋体-GB2312" w:hAnsi="CESI宋体-GB2312"/>
          <w:color w:val="auto"/>
          <w:highlight w:val="none"/>
        </w:rPr>
        <w:t>万元，预算编制较为科学，预算内容与</w:t>
      </w:r>
      <w:r>
        <w:rPr>
          <w:rFonts w:hint="eastAsia" w:ascii="CESI宋体-GB2312" w:hAnsi="CESI宋体-GB2312"/>
          <w:color w:val="auto"/>
          <w:highlight w:val="none"/>
          <w:lang w:val="en-US" w:eastAsia="zh-CN"/>
        </w:rPr>
        <w:t>农业保险保费补贴</w:t>
      </w:r>
      <w:r>
        <w:rPr>
          <w:rFonts w:hint="eastAsia" w:ascii="CESI宋体-GB2312" w:hAnsi="CESI宋体-GB2312"/>
          <w:color w:val="auto"/>
          <w:highlight w:val="none"/>
        </w:rPr>
        <w:t>内容相匹配，预算额度测算依据充分，预算确定的资金量与</w:t>
      </w:r>
      <w:r>
        <w:rPr>
          <w:rFonts w:hint="eastAsia" w:ascii="CESI宋体-GB2312" w:hAnsi="CESI宋体-GB2312"/>
          <w:color w:val="auto"/>
          <w:highlight w:val="none"/>
          <w:lang w:val="en-US" w:eastAsia="zh-CN"/>
        </w:rPr>
        <w:t>工作量</w:t>
      </w:r>
      <w:r>
        <w:rPr>
          <w:rFonts w:hint="eastAsia" w:ascii="CESI宋体-GB2312" w:hAnsi="CESI宋体-GB2312"/>
          <w:color w:val="auto"/>
          <w:highlight w:val="none"/>
        </w:rPr>
        <w:t>相匹配。</w:t>
      </w:r>
    </w:p>
    <w:p>
      <w:pPr>
        <w:bidi w:val="0"/>
        <w:rPr>
          <w:rFonts w:ascii="CESI宋体-GB2312" w:hAnsi="CESI宋体-GB2312"/>
          <w:color w:val="auto"/>
          <w:highlight w:val="none"/>
        </w:rPr>
      </w:pPr>
      <w:r>
        <w:rPr>
          <w:rFonts w:hint="eastAsia" w:ascii="CESI宋体-GB2312" w:hAnsi="CESI宋体-GB2312"/>
          <w:color w:val="auto"/>
          <w:highlight w:val="none"/>
        </w:rPr>
        <w:t>本项满分4分，评估得分4分。</w:t>
      </w:r>
    </w:p>
    <w:p>
      <w:pPr>
        <w:bidi w:val="0"/>
        <w:rPr>
          <w:rFonts w:ascii="CESI宋体-GB2312" w:hAnsi="CESI宋体-GB2312"/>
          <w:color w:val="auto"/>
          <w:highlight w:val="none"/>
        </w:rPr>
      </w:pPr>
      <w:r>
        <w:rPr>
          <w:rFonts w:hint="eastAsia" w:ascii="CESI宋体-GB2312" w:hAnsi="CESI宋体-GB2312"/>
          <w:color w:val="auto"/>
          <w:highlight w:val="none"/>
        </w:rPr>
        <w:t>6、资金分配合理性</w:t>
      </w:r>
    </w:p>
    <w:p>
      <w:pPr>
        <w:bidi w:val="0"/>
        <w:rPr>
          <w:rFonts w:ascii="CESI宋体-GB2312" w:hAnsi="CESI宋体-GB2312"/>
          <w:color w:val="auto"/>
          <w:highlight w:val="none"/>
        </w:rPr>
      </w:pPr>
      <w:r>
        <w:rPr>
          <w:rFonts w:hint="eastAsia" w:ascii="CESI宋体-GB2312" w:hAnsi="CESI宋体-GB2312"/>
          <w:color w:val="auto"/>
          <w:highlight w:val="none"/>
        </w:rPr>
        <w:t>本项目预算资金分配依据充分；资金分配额度合理，与项目单位实际相适应。</w:t>
      </w:r>
    </w:p>
    <w:p>
      <w:pPr>
        <w:bidi w:val="0"/>
        <w:rPr>
          <w:rFonts w:ascii="CESI宋体-GB2312" w:hAnsi="CESI宋体-GB2312"/>
          <w:color w:val="auto"/>
          <w:highlight w:val="none"/>
        </w:rPr>
      </w:pPr>
      <w:r>
        <w:rPr>
          <w:rFonts w:hint="eastAsia" w:ascii="CESI宋体-GB2312" w:hAnsi="CESI宋体-GB2312"/>
          <w:color w:val="auto"/>
          <w:highlight w:val="none"/>
        </w:rPr>
        <w:t>本项满分4分，评估得分4分。</w:t>
      </w:r>
    </w:p>
    <w:p>
      <w:pPr>
        <w:pStyle w:val="2"/>
        <w:bidi w:val="0"/>
        <w:rPr>
          <w:rFonts w:ascii="CESI宋体-GB2312" w:hAnsi="CESI宋体-GB2312"/>
          <w:color w:val="auto"/>
          <w:highlight w:val="none"/>
        </w:rPr>
      </w:pPr>
      <w:bookmarkStart w:id="21" w:name="_Toc11290"/>
      <w:r>
        <w:rPr>
          <w:rFonts w:hint="eastAsia" w:ascii="CESI宋体-GB2312" w:hAnsi="CESI宋体-GB2312"/>
          <w:color w:val="auto"/>
          <w:highlight w:val="none"/>
        </w:rPr>
        <w:t>（二）项目过程情况</w:t>
      </w:r>
      <w:bookmarkEnd w:id="21"/>
    </w:p>
    <w:p>
      <w:pPr>
        <w:bidi w:val="0"/>
        <w:rPr>
          <w:rFonts w:ascii="CESI宋体-GB2312" w:hAnsi="CESI宋体-GB2312"/>
          <w:color w:val="auto"/>
          <w:highlight w:val="none"/>
        </w:rPr>
      </w:pPr>
      <w:r>
        <w:rPr>
          <w:rFonts w:hint="eastAsia" w:ascii="CESI宋体-GB2312" w:hAnsi="CESI宋体-GB2312"/>
          <w:color w:val="auto"/>
          <w:highlight w:val="none"/>
        </w:rPr>
        <w:t>1、资金到位率</w:t>
      </w:r>
    </w:p>
    <w:p>
      <w:pPr>
        <w:bidi w:val="0"/>
        <w:rPr>
          <w:rFonts w:ascii="CESI宋体-GB2312" w:hAnsi="CESI宋体-GB2312"/>
          <w:color w:val="auto"/>
          <w:highlight w:val="none"/>
        </w:rPr>
      </w:pPr>
      <w:r>
        <w:rPr>
          <w:rFonts w:hint="eastAsia" w:ascii="CESI宋体-GB2312" w:hAnsi="CESI宋体-GB2312"/>
          <w:color w:val="auto"/>
          <w:highlight w:val="none"/>
        </w:rPr>
        <w:t>本项目预算资金</w:t>
      </w:r>
      <w:r>
        <w:rPr>
          <w:rFonts w:hint="eastAsia" w:ascii="CESI宋体-GB2312" w:hAnsi="CESI宋体-GB2312" w:eastAsia="方正仿宋_GBK" w:cs="方正仿宋_GBK"/>
          <w:color w:val="auto"/>
          <w:highlight w:val="none"/>
          <w:lang w:val="en-US" w:eastAsia="zh-CN"/>
        </w:rPr>
        <w:t>791.02</w:t>
      </w:r>
      <w:r>
        <w:rPr>
          <w:rFonts w:hint="eastAsia" w:ascii="CESI宋体-GB2312" w:hAnsi="CESI宋体-GB2312"/>
          <w:color w:val="auto"/>
          <w:highlight w:val="none"/>
        </w:rPr>
        <w:t>万元，实际到位资金</w:t>
      </w:r>
      <w:r>
        <w:rPr>
          <w:rFonts w:hint="eastAsia" w:ascii="CESI宋体-GB2312" w:hAnsi="CESI宋体-GB2312" w:eastAsia="方正仿宋_GBK" w:cs="方正仿宋_GBK"/>
          <w:color w:val="auto"/>
          <w:highlight w:val="none"/>
          <w:lang w:val="en-US" w:eastAsia="zh-CN"/>
        </w:rPr>
        <w:t>791.02</w:t>
      </w:r>
      <w:r>
        <w:rPr>
          <w:rFonts w:hint="eastAsia" w:ascii="CESI宋体-GB2312" w:hAnsi="CESI宋体-GB2312"/>
          <w:color w:val="auto"/>
          <w:highlight w:val="none"/>
        </w:rPr>
        <w:t>万元，资金到位率100%。</w:t>
      </w:r>
    </w:p>
    <w:p>
      <w:pPr>
        <w:bidi w:val="0"/>
        <w:rPr>
          <w:rFonts w:ascii="CESI宋体-GB2312" w:hAnsi="CESI宋体-GB2312"/>
          <w:color w:val="auto"/>
          <w:highlight w:val="none"/>
        </w:rPr>
      </w:pPr>
      <w:r>
        <w:rPr>
          <w:rFonts w:hint="eastAsia" w:ascii="CESI宋体-GB2312" w:hAnsi="CESI宋体-GB2312"/>
          <w:color w:val="auto"/>
          <w:highlight w:val="none"/>
        </w:rPr>
        <w:t>本项满分4分，评估得分4分。</w:t>
      </w:r>
    </w:p>
    <w:p>
      <w:pPr>
        <w:bidi w:val="0"/>
        <w:rPr>
          <w:rFonts w:ascii="CESI宋体-GB2312" w:hAnsi="CESI宋体-GB2312"/>
          <w:color w:val="auto"/>
          <w:highlight w:val="none"/>
        </w:rPr>
      </w:pPr>
      <w:r>
        <w:rPr>
          <w:rFonts w:hint="eastAsia" w:ascii="CESI宋体-GB2312" w:hAnsi="CESI宋体-GB2312"/>
          <w:color w:val="auto"/>
          <w:highlight w:val="none"/>
        </w:rPr>
        <w:t>2、预算执行率</w:t>
      </w:r>
    </w:p>
    <w:p>
      <w:pPr>
        <w:bidi w:val="0"/>
        <w:rPr>
          <w:rFonts w:ascii="CESI宋体-GB2312" w:hAnsi="CESI宋体-GB2312"/>
          <w:color w:val="auto"/>
          <w:highlight w:val="none"/>
        </w:rPr>
      </w:pPr>
      <w:r>
        <w:rPr>
          <w:rFonts w:hint="eastAsia" w:ascii="CESI宋体-GB2312" w:hAnsi="CESI宋体-GB2312"/>
          <w:color w:val="auto"/>
          <w:highlight w:val="none"/>
        </w:rPr>
        <w:t>本项目到位资金</w:t>
      </w:r>
      <w:r>
        <w:rPr>
          <w:rFonts w:hint="eastAsia" w:ascii="CESI宋体-GB2312" w:hAnsi="CESI宋体-GB2312" w:eastAsia="方正仿宋_GBK" w:cs="方正仿宋_GBK"/>
          <w:color w:val="auto"/>
          <w:highlight w:val="none"/>
          <w:lang w:val="en-US" w:eastAsia="zh-CN"/>
        </w:rPr>
        <w:t>791.02</w:t>
      </w:r>
      <w:r>
        <w:rPr>
          <w:rFonts w:hint="eastAsia" w:ascii="CESI宋体-GB2312" w:hAnsi="CESI宋体-GB2312"/>
          <w:color w:val="auto"/>
          <w:highlight w:val="none"/>
        </w:rPr>
        <w:t>万元，实际支付资金</w:t>
      </w:r>
      <w:r>
        <w:rPr>
          <w:rFonts w:hint="eastAsia" w:ascii="CESI宋体-GB2312" w:hAnsi="CESI宋体-GB2312" w:eastAsia="方正仿宋_GBK" w:cs="方正仿宋_GBK"/>
          <w:color w:val="auto"/>
          <w:highlight w:val="none"/>
          <w:lang w:val="en-US" w:eastAsia="zh-CN"/>
        </w:rPr>
        <w:t>791.02</w:t>
      </w:r>
      <w:r>
        <w:rPr>
          <w:rFonts w:hint="eastAsia" w:ascii="CESI宋体-GB2312" w:hAnsi="CESI宋体-GB2312"/>
          <w:color w:val="auto"/>
          <w:highlight w:val="none"/>
        </w:rPr>
        <w:t>万元，预算执行率为100%。</w:t>
      </w:r>
    </w:p>
    <w:p>
      <w:pPr>
        <w:bidi w:val="0"/>
        <w:rPr>
          <w:rFonts w:ascii="CESI宋体-GB2312" w:hAnsi="CESI宋体-GB2312"/>
          <w:color w:val="auto"/>
          <w:highlight w:val="none"/>
        </w:rPr>
      </w:pPr>
      <w:r>
        <w:rPr>
          <w:rFonts w:hint="eastAsia" w:ascii="CESI宋体-GB2312" w:hAnsi="CESI宋体-GB2312"/>
          <w:color w:val="auto"/>
          <w:highlight w:val="none"/>
        </w:rPr>
        <w:t>本项满分4分，评估得分4分。</w:t>
      </w:r>
    </w:p>
    <w:p>
      <w:pPr>
        <w:bidi w:val="0"/>
        <w:rPr>
          <w:rFonts w:ascii="CESI宋体-GB2312" w:hAnsi="CESI宋体-GB2312"/>
          <w:color w:val="auto"/>
          <w:highlight w:val="none"/>
        </w:rPr>
      </w:pPr>
      <w:r>
        <w:rPr>
          <w:rFonts w:hint="eastAsia" w:ascii="CESI宋体-GB2312" w:hAnsi="CESI宋体-GB2312"/>
          <w:color w:val="auto"/>
          <w:highlight w:val="none"/>
        </w:rPr>
        <w:t>3、资金使用合规性</w:t>
      </w:r>
    </w:p>
    <w:p>
      <w:pPr>
        <w:bidi w:val="0"/>
        <w:rPr>
          <w:rFonts w:hint="eastAsia" w:ascii="CESI宋体-GB2312" w:hAnsi="CESI宋体-GB2312"/>
          <w:color w:val="auto"/>
          <w:highlight w:val="none"/>
          <w:lang w:val="en-US" w:eastAsia="zh-CN"/>
        </w:rPr>
      </w:pPr>
      <w:r>
        <w:rPr>
          <w:rFonts w:hint="eastAsia" w:ascii="CESI宋体-GB2312" w:hAnsi="CESI宋体-GB2312"/>
          <w:color w:val="auto"/>
          <w:highlight w:val="none"/>
          <w:lang w:val="en-US" w:eastAsia="zh-CN"/>
        </w:rPr>
        <w:t>本项目资金的使用符合《中华人民共和国预算法》《中华人民共和国会计法》等国家有关财经法规以及预算管理制度；符合《尉犁县专项资金管理办法》要求。资金的审批和拨付按照《尉犁县财政资金审批管理办法》执行，有完整的审批程序和手续；资金使用符合专项资金支持的范围。不存在截留、挤占、挪用、虚列支出等情况。</w:t>
      </w:r>
    </w:p>
    <w:p>
      <w:pPr>
        <w:bidi w:val="0"/>
        <w:rPr>
          <w:rFonts w:ascii="CESI宋体-GB2312" w:hAnsi="CESI宋体-GB2312"/>
          <w:color w:val="auto"/>
          <w:highlight w:val="none"/>
        </w:rPr>
      </w:pPr>
      <w:r>
        <w:rPr>
          <w:rFonts w:hint="eastAsia" w:ascii="CESI宋体-GB2312" w:hAnsi="CESI宋体-GB2312"/>
          <w:color w:val="auto"/>
          <w:highlight w:val="none"/>
        </w:rPr>
        <w:t>本项满分4分，评估得分4分。</w:t>
      </w:r>
    </w:p>
    <w:p>
      <w:pPr>
        <w:bidi w:val="0"/>
        <w:rPr>
          <w:rFonts w:ascii="CESI宋体-GB2312" w:hAnsi="CESI宋体-GB2312"/>
          <w:color w:val="auto"/>
          <w:highlight w:val="none"/>
        </w:rPr>
      </w:pPr>
      <w:r>
        <w:rPr>
          <w:rFonts w:hint="eastAsia" w:ascii="CESI宋体-GB2312" w:hAnsi="CESI宋体-GB2312"/>
          <w:color w:val="auto"/>
          <w:highlight w:val="none"/>
        </w:rPr>
        <w:t>4、管理制度健全性</w:t>
      </w:r>
    </w:p>
    <w:p>
      <w:pPr>
        <w:spacing w:line="360" w:lineRule="auto"/>
        <w:ind w:firstLine="640"/>
        <w:rPr>
          <w:rFonts w:hint="eastAsia" w:ascii="CESI宋体-GB2312" w:hAnsi="CESI宋体-GB2312" w:eastAsia="宋体" w:cs="宋体"/>
          <w:b/>
          <w:bCs/>
          <w:color w:val="auto"/>
          <w:kern w:val="2"/>
          <w:sz w:val="32"/>
          <w:szCs w:val="24"/>
          <w:highlight w:val="none"/>
          <w:lang w:val="en-US" w:eastAsia="zh-CN" w:bidi="ar-SA"/>
        </w:rPr>
      </w:pPr>
      <w:r>
        <w:rPr>
          <w:rFonts w:hint="eastAsia" w:ascii="CESI宋体-GB2312" w:hAnsi="CESI宋体-GB2312"/>
          <w:color w:val="auto"/>
          <w:highlight w:val="none"/>
          <w:lang w:val="en-US" w:eastAsia="zh-CN"/>
        </w:rPr>
        <w:t>尉犁县农业农村局（畜牧兽医局）制定了《尉犁县农业农村局（畜牧兽医局）财务管理办法》和《尉犁县农业农村局（畜牧兽医局）内控管理制度》，制定了较为全面的工作管理制度，对工作开展、组织与管理、跟踪与验收、监督与评价以及资金管理等方面都做出明确的规范要求。同时，项目的实施严格遵守《中华人民共和国预算法》《中华人民共和国会计法》等法律法规、财经制度的要求。</w:t>
      </w:r>
    </w:p>
    <w:p>
      <w:pPr>
        <w:bidi w:val="0"/>
        <w:rPr>
          <w:rFonts w:ascii="CESI宋体-GB2312" w:hAnsi="CESI宋体-GB2312"/>
          <w:color w:val="auto"/>
          <w:highlight w:val="none"/>
        </w:rPr>
      </w:pPr>
      <w:r>
        <w:rPr>
          <w:rFonts w:hint="eastAsia" w:ascii="CESI宋体-GB2312" w:hAnsi="CESI宋体-GB2312"/>
          <w:color w:val="auto"/>
          <w:highlight w:val="none"/>
        </w:rPr>
        <w:t>本项满分3分，评估得分3分。</w:t>
      </w:r>
    </w:p>
    <w:p>
      <w:pPr>
        <w:bidi w:val="0"/>
        <w:rPr>
          <w:rFonts w:ascii="CESI宋体-GB2312" w:hAnsi="CESI宋体-GB2312"/>
          <w:color w:val="auto"/>
          <w:highlight w:val="none"/>
        </w:rPr>
      </w:pPr>
      <w:r>
        <w:rPr>
          <w:rFonts w:hint="eastAsia" w:ascii="CESI宋体-GB2312" w:hAnsi="CESI宋体-GB2312"/>
          <w:color w:val="auto"/>
          <w:highlight w:val="none"/>
        </w:rPr>
        <w:t>5、制度执行有效性</w:t>
      </w:r>
    </w:p>
    <w:p>
      <w:pPr>
        <w:bidi w:val="0"/>
        <w:rPr>
          <w:rFonts w:ascii="CESI宋体-GB2312" w:hAnsi="CESI宋体-GB2312"/>
          <w:color w:val="auto"/>
          <w:highlight w:val="none"/>
        </w:rPr>
      </w:pPr>
      <w:r>
        <w:rPr>
          <w:rFonts w:ascii="CESI宋体-GB2312" w:hAnsi="CESI宋体-GB2312"/>
          <w:color w:val="auto"/>
          <w:highlight w:val="none"/>
        </w:rPr>
        <w:t>本项目在实施过程中严格遵守相关法律法规和相关管理规定，</w:t>
      </w:r>
      <w:r>
        <w:rPr>
          <w:rFonts w:hint="eastAsia" w:ascii="CESI宋体-GB2312" w:hAnsi="CESI宋体-GB2312"/>
          <w:color w:val="auto"/>
          <w:highlight w:val="none"/>
        </w:rPr>
        <w:t>如《中华人民共和国预算法</w:t>
      </w:r>
      <w:r>
        <w:rPr>
          <w:rFonts w:hint="eastAsia" w:ascii="CESI宋体-GB2312" w:hAnsi="CESI宋体-GB2312"/>
          <w:color w:val="auto"/>
          <w:highlight w:val="none"/>
          <w:lang w:eastAsia="zh-CN"/>
        </w:rPr>
        <w:t>》《</w:t>
      </w:r>
      <w:r>
        <w:rPr>
          <w:rFonts w:hint="eastAsia" w:ascii="CESI宋体-GB2312" w:hAnsi="CESI宋体-GB2312"/>
          <w:color w:val="auto"/>
          <w:highlight w:val="none"/>
        </w:rPr>
        <w:t>中华人民共和国会计法》等，严格执行项目管理相关文件要求和程序，项目申报、审批、实施、资金拨付、检查及审计等有关资料齐全，并及时整理归档。本项目无项目调整及支出调整，制度执行有效性较高。</w:t>
      </w:r>
    </w:p>
    <w:p>
      <w:pPr>
        <w:bidi w:val="0"/>
        <w:rPr>
          <w:rFonts w:hint="eastAsia" w:ascii="CESI宋体-GB2312" w:hAnsi="CESI宋体-GB2312"/>
          <w:color w:val="auto"/>
          <w:highlight w:val="none"/>
          <w:lang w:val="en-US" w:eastAsia="zh-CN"/>
        </w:rPr>
      </w:pPr>
      <w:r>
        <w:rPr>
          <w:rFonts w:hint="eastAsia" w:ascii="CESI宋体-GB2312" w:hAnsi="CESI宋体-GB2312"/>
          <w:color w:val="auto"/>
          <w:highlight w:val="none"/>
        </w:rPr>
        <w:t>本项满分3分，评估得分3分。</w:t>
      </w:r>
      <w:bookmarkStart w:id="22" w:name="_Toc32013"/>
    </w:p>
    <w:p>
      <w:pPr>
        <w:pStyle w:val="2"/>
        <w:bidi w:val="0"/>
        <w:rPr>
          <w:rFonts w:ascii="CESI宋体-GB2312" w:hAnsi="CESI宋体-GB2312"/>
          <w:color w:val="auto"/>
          <w:highlight w:val="none"/>
        </w:rPr>
      </w:pPr>
      <w:r>
        <w:rPr>
          <w:rFonts w:hint="eastAsia" w:ascii="CESI宋体-GB2312" w:hAnsi="CESI宋体-GB2312"/>
          <w:color w:val="auto"/>
          <w:highlight w:val="none"/>
        </w:rPr>
        <w:t>（三）项目产出情况</w:t>
      </w:r>
      <w:bookmarkEnd w:id="22"/>
    </w:p>
    <w:p>
      <w:pPr>
        <w:bidi w:val="0"/>
        <w:rPr>
          <w:rFonts w:hint="eastAsia" w:ascii="CESI宋体-GB2312" w:hAnsi="CESI宋体-GB2312"/>
          <w:color w:val="auto"/>
          <w:highlight w:val="none"/>
        </w:rPr>
      </w:pPr>
      <w:r>
        <w:rPr>
          <w:rFonts w:hint="eastAsia" w:ascii="CESI宋体-GB2312" w:hAnsi="CESI宋体-GB2312"/>
          <w:color w:val="auto"/>
          <w:highlight w:val="none"/>
        </w:rPr>
        <w:t>1、产出数量</w:t>
      </w:r>
    </w:p>
    <w:p>
      <w:pPr>
        <w:bidi w:val="0"/>
        <w:rPr>
          <w:rFonts w:hint="eastAsia" w:ascii="CESI宋体-GB2312" w:hAnsi="CESI宋体-GB2312"/>
          <w:color w:val="auto"/>
          <w:highlight w:val="none"/>
        </w:rPr>
      </w:pPr>
      <w:r>
        <w:rPr>
          <w:rFonts w:hint="eastAsia" w:ascii="CESI宋体-GB2312" w:hAnsi="CESI宋体-GB2312" w:cs="Times New Roman"/>
          <w:bCs/>
          <w:color w:val="auto"/>
          <w:szCs w:val="32"/>
          <w:highlight w:val="none"/>
          <w:lang w:val="en-US" w:eastAsia="zh-CN"/>
        </w:rPr>
        <w:t>指标1：</w:t>
      </w:r>
      <w:r>
        <w:rPr>
          <w:rFonts w:hint="eastAsia" w:ascii="CESI宋体-GB2312" w:hAnsi="CESI宋体-GB2312"/>
          <w:color w:val="auto"/>
          <w:highlight w:val="none"/>
        </w:rPr>
        <w:t>三大粮食作物投保面积和覆盖面，指标值&gt;=65%，实际完成值95.16%，指标完成率</w:t>
      </w:r>
      <w:r>
        <w:rPr>
          <w:rFonts w:hint="eastAsia" w:ascii="CESI宋体-GB2312" w:hAnsi="CESI宋体-GB2312"/>
          <w:color w:val="auto"/>
          <w:highlight w:val="none"/>
          <w:lang w:val="en-US" w:eastAsia="zh-CN"/>
        </w:rPr>
        <w:t>146.4</w:t>
      </w:r>
      <w:r>
        <w:rPr>
          <w:rFonts w:hint="eastAsia" w:ascii="CESI宋体-GB2312" w:hAnsi="CESI宋体-GB2312"/>
          <w:color w:val="auto"/>
          <w:highlight w:val="none"/>
        </w:rPr>
        <w:t>%；</w:t>
      </w:r>
    </w:p>
    <w:p>
      <w:pPr>
        <w:bidi w:val="0"/>
        <w:rPr>
          <w:rFonts w:hint="eastAsia" w:ascii="CESI宋体-GB2312" w:hAnsi="CESI宋体-GB2312"/>
          <w:color w:val="auto"/>
          <w:highlight w:val="none"/>
        </w:rPr>
      </w:pPr>
      <w:r>
        <w:rPr>
          <w:rFonts w:hint="eastAsia" w:ascii="CESI宋体-GB2312" w:hAnsi="CESI宋体-GB2312" w:cs="Times New Roman"/>
          <w:bCs/>
          <w:color w:val="auto"/>
          <w:szCs w:val="32"/>
          <w:highlight w:val="none"/>
          <w:lang w:val="en-US" w:eastAsia="zh-CN"/>
        </w:rPr>
        <w:t>指标2：</w:t>
      </w:r>
      <w:r>
        <w:rPr>
          <w:rFonts w:hint="eastAsia" w:ascii="CESI宋体-GB2312" w:hAnsi="CESI宋体-GB2312"/>
          <w:color w:val="auto"/>
          <w:highlight w:val="none"/>
        </w:rPr>
        <w:t>育肥猪保险覆盖率，指标值&gt;=35%，实际完成值78.93%，指标完成率</w:t>
      </w:r>
      <w:r>
        <w:rPr>
          <w:rFonts w:hint="eastAsia" w:ascii="CESI宋体-GB2312" w:hAnsi="CESI宋体-GB2312"/>
          <w:color w:val="auto"/>
          <w:highlight w:val="none"/>
          <w:lang w:val="en-US" w:eastAsia="zh-CN"/>
        </w:rPr>
        <w:t>225.51%</w:t>
      </w:r>
      <w:r>
        <w:rPr>
          <w:rFonts w:hint="eastAsia" w:ascii="CESI宋体-GB2312" w:hAnsi="CESI宋体-GB2312"/>
          <w:color w:val="auto"/>
          <w:highlight w:val="none"/>
        </w:rPr>
        <w:t>；</w:t>
      </w:r>
    </w:p>
    <w:p>
      <w:pPr>
        <w:bidi w:val="0"/>
        <w:rPr>
          <w:rFonts w:hint="default" w:ascii="CESI宋体-GB2312" w:hAnsi="CESI宋体-GB2312"/>
          <w:color w:val="auto"/>
          <w:highlight w:val="none"/>
          <w:lang w:val="en-US" w:eastAsia="zh-CN"/>
        </w:rPr>
      </w:pPr>
      <w:r>
        <w:rPr>
          <w:rFonts w:hint="eastAsia" w:ascii="CESI宋体-GB2312" w:hAnsi="CESI宋体-GB2312"/>
          <w:color w:val="auto"/>
          <w:highlight w:val="none"/>
          <w:lang w:eastAsia="zh-CN"/>
        </w:rPr>
        <w:t>本项满分</w:t>
      </w:r>
      <w:r>
        <w:rPr>
          <w:rFonts w:hint="eastAsia" w:ascii="CESI宋体-GB2312" w:hAnsi="CESI宋体-GB2312"/>
          <w:color w:val="auto"/>
          <w:highlight w:val="none"/>
          <w:lang w:val="en-US" w:eastAsia="zh-CN"/>
        </w:rPr>
        <w:t>10</w:t>
      </w:r>
      <w:r>
        <w:rPr>
          <w:rFonts w:hint="eastAsia" w:ascii="CESI宋体-GB2312" w:hAnsi="CESI宋体-GB2312"/>
          <w:color w:val="auto"/>
          <w:highlight w:val="none"/>
          <w:lang w:eastAsia="zh-CN"/>
        </w:rPr>
        <w:t>分，评估得分</w:t>
      </w:r>
      <w:r>
        <w:rPr>
          <w:rFonts w:hint="eastAsia" w:ascii="CESI宋体-GB2312" w:hAnsi="CESI宋体-GB2312"/>
          <w:color w:val="auto"/>
          <w:highlight w:val="none"/>
          <w:lang w:val="en-US" w:eastAsia="zh-CN"/>
        </w:rPr>
        <w:t>10</w:t>
      </w:r>
      <w:r>
        <w:rPr>
          <w:rFonts w:hint="eastAsia" w:ascii="CESI宋体-GB2312" w:hAnsi="CESI宋体-GB2312"/>
          <w:color w:val="auto"/>
          <w:highlight w:val="none"/>
          <w:lang w:eastAsia="zh-CN"/>
        </w:rPr>
        <w:t>分。</w:t>
      </w:r>
    </w:p>
    <w:p>
      <w:pPr>
        <w:numPr>
          <w:ilvl w:val="0"/>
          <w:numId w:val="0"/>
        </w:numPr>
        <w:bidi w:val="0"/>
        <w:ind w:firstLine="640" w:firstLineChars="200"/>
        <w:rPr>
          <w:rFonts w:hint="eastAsia" w:ascii="CESI宋体-GB2312" w:hAnsi="CESI宋体-GB2312"/>
          <w:color w:val="auto"/>
          <w:highlight w:val="none"/>
        </w:rPr>
      </w:pPr>
      <w:r>
        <w:rPr>
          <w:rFonts w:hint="eastAsia" w:ascii="CESI宋体-GB2312" w:hAnsi="CESI宋体-GB2312"/>
          <w:color w:val="auto"/>
          <w:highlight w:val="none"/>
          <w:lang w:val="en-US" w:eastAsia="zh-CN"/>
        </w:rPr>
        <w:t>2、</w:t>
      </w:r>
      <w:r>
        <w:rPr>
          <w:rFonts w:hint="eastAsia" w:ascii="CESI宋体-GB2312" w:hAnsi="CESI宋体-GB2312"/>
          <w:color w:val="auto"/>
          <w:highlight w:val="none"/>
        </w:rPr>
        <w:t>产出质量</w:t>
      </w:r>
    </w:p>
    <w:p>
      <w:pPr>
        <w:numPr>
          <w:ilvl w:val="0"/>
          <w:numId w:val="0"/>
        </w:numPr>
        <w:bidi w:val="0"/>
        <w:ind w:firstLine="640" w:firstLineChars="200"/>
        <w:rPr>
          <w:rFonts w:ascii="CESI宋体-GB2312" w:hAnsi="CESI宋体-GB2312"/>
          <w:b w:val="0"/>
          <w:bCs w:val="0"/>
          <w:color w:val="auto"/>
          <w:highlight w:val="none"/>
        </w:rPr>
      </w:pPr>
      <w:r>
        <w:rPr>
          <w:rFonts w:hint="eastAsia" w:ascii="CESI宋体-GB2312" w:hAnsi="CESI宋体-GB2312" w:cs="Times New Roman"/>
          <w:b w:val="0"/>
          <w:bCs w:val="0"/>
          <w:color w:val="auto"/>
          <w:szCs w:val="32"/>
          <w:highlight w:val="none"/>
          <w:lang w:val="en-US" w:eastAsia="zh-CN"/>
        </w:rPr>
        <w:t>指标1：</w:t>
      </w:r>
      <w:r>
        <w:rPr>
          <w:rFonts w:hint="eastAsia" w:ascii="CESI宋体-GB2312" w:hAnsi="CESI宋体-GB2312"/>
          <w:b w:val="0"/>
          <w:bCs w:val="0"/>
          <w:color w:val="auto"/>
          <w:highlight w:val="none"/>
          <w:lang w:eastAsia="zh-CN"/>
        </w:rPr>
        <w:t>绝对免赔额</w:t>
      </w:r>
      <w:r>
        <w:rPr>
          <w:rFonts w:hint="eastAsia" w:ascii="CESI宋体-GB2312" w:hAnsi="CESI宋体-GB2312"/>
          <w:b w:val="0"/>
          <w:bCs w:val="0"/>
          <w:color w:val="auto"/>
          <w:highlight w:val="none"/>
        </w:rPr>
        <w:t>，指标值=</w:t>
      </w:r>
      <w:r>
        <w:rPr>
          <w:rFonts w:hint="eastAsia" w:ascii="CESI宋体-GB2312" w:hAnsi="CESI宋体-GB2312"/>
          <w:b w:val="0"/>
          <w:bCs w:val="0"/>
          <w:color w:val="auto"/>
          <w:highlight w:val="none"/>
          <w:lang w:val="en-US" w:eastAsia="zh-CN"/>
        </w:rPr>
        <w:t>0</w:t>
      </w:r>
      <w:r>
        <w:rPr>
          <w:rFonts w:hint="eastAsia" w:ascii="CESI宋体-GB2312" w:hAnsi="CESI宋体-GB2312"/>
          <w:b w:val="0"/>
          <w:bCs w:val="0"/>
          <w:color w:val="auto"/>
          <w:highlight w:val="none"/>
        </w:rPr>
        <w:t>%，实际完成值</w:t>
      </w:r>
      <w:r>
        <w:rPr>
          <w:rFonts w:hint="eastAsia" w:ascii="CESI宋体-GB2312" w:hAnsi="CESI宋体-GB2312"/>
          <w:b w:val="0"/>
          <w:bCs w:val="0"/>
          <w:color w:val="auto"/>
          <w:highlight w:val="none"/>
          <w:lang w:val="en-US" w:eastAsia="zh-CN"/>
        </w:rPr>
        <w:t>0%</w:t>
      </w:r>
      <w:r>
        <w:rPr>
          <w:rFonts w:hint="eastAsia" w:ascii="CESI宋体-GB2312" w:hAnsi="CESI宋体-GB2312"/>
          <w:b w:val="0"/>
          <w:bCs w:val="0"/>
          <w:color w:val="auto"/>
          <w:highlight w:val="none"/>
        </w:rPr>
        <w:t>，指标完成率100%；</w:t>
      </w:r>
    </w:p>
    <w:p>
      <w:pPr>
        <w:bidi w:val="0"/>
        <w:rPr>
          <w:rFonts w:hint="eastAsia" w:ascii="CESI宋体-GB2312" w:hAnsi="CESI宋体-GB2312"/>
          <w:color w:val="auto"/>
          <w:highlight w:val="none"/>
        </w:rPr>
      </w:pPr>
      <w:r>
        <w:rPr>
          <w:rFonts w:hint="eastAsia" w:ascii="CESI宋体-GB2312" w:hAnsi="CESI宋体-GB2312" w:cs="Times New Roman"/>
          <w:bCs/>
          <w:color w:val="auto"/>
          <w:szCs w:val="32"/>
          <w:highlight w:val="none"/>
          <w:lang w:val="en-US" w:eastAsia="zh-CN"/>
        </w:rPr>
        <w:t>指标2：</w:t>
      </w:r>
      <w:r>
        <w:rPr>
          <w:rFonts w:hint="eastAsia" w:ascii="CESI宋体-GB2312" w:hAnsi="CESI宋体-GB2312"/>
          <w:color w:val="auto"/>
          <w:highlight w:val="none"/>
          <w:lang w:eastAsia="zh-CN"/>
        </w:rPr>
        <w:t>风险保障水平</w:t>
      </w:r>
      <w:r>
        <w:rPr>
          <w:rFonts w:hint="eastAsia" w:ascii="CESI宋体-GB2312" w:hAnsi="CESI宋体-GB2312"/>
          <w:color w:val="auto"/>
          <w:highlight w:val="none"/>
        </w:rPr>
        <w:t>，指标值&gt;=</w:t>
      </w:r>
      <w:r>
        <w:rPr>
          <w:rFonts w:hint="eastAsia" w:ascii="CESI宋体-GB2312" w:hAnsi="CESI宋体-GB2312"/>
          <w:color w:val="auto"/>
          <w:highlight w:val="none"/>
          <w:lang w:val="en-US" w:eastAsia="zh-CN"/>
        </w:rPr>
        <w:t>90</w:t>
      </w:r>
      <w:r>
        <w:rPr>
          <w:rFonts w:hint="eastAsia" w:ascii="CESI宋体-GB2312" w:hAnsi="CESI宋体-GB2312"/>
          <w:color w:val="auto"/>
          <w:highlight w:val="none"/>
        </w:rPr>
        <w:t>%，实际完成值</w:t>
      </w:r>
      <w:r>
        <w:rPr>
          <w:rFonts w:hint="eastAsia" w:ascii="CESI宋体-GB2312" w:hAnsi="CESI宋体-GB2312"/>
          <w:color w:val="auto"/>
          <w:highlight w:val="none"/>
          <w:lang w:val="en-US" w:eastAsia="zh-CN"/>
        </w:rPr>
        <w:t>90%</w:t>
      </w:r>
      <w:r>
        <w:rPr>
          <w:rFonts w:hint="eastAsia" w:ascii="CESI宋体-GB2312" w:hAnsi="CESI宋体-GB2312"/>
          <w:color w:val="auto"/>
          <w:highlight w:val="none"/>
        </w:rPr>
        <w:t>，指标完成率100%；</w:t>
      </w:r>
    </w:p>
    <w:p>
      <w:pPr>
        <w:bidi w:val="0"/>
        <w:rPr>
          <w:rFonts w:hint="default" w:ascii="CESI宋体-GB2312" w:hAnsi="CESI宋体-GB2312"/>
          <w:color w:val="auto"/>
          <w:highlight w:val="none"/>
          <w:lang w:val="en-US" w:eastAsia="zh-CN"/>
        </w:rPr>
      </w:pPr>
      <w:r>
        <w:rPr>
          <w:rFonts w:hint="eastAsia" w:ascii="CESI宋体-GB2312" w:hAnsi="CESI宋体-GB2312"/>
          <w:color w:val="auto"/>
          <w:highlight w:val="none"/>
          <w:lang w:eastAsia="zh-CN"/>
        </w:rPr>
        <w:t>本项满分</w:t>
      </w:r>
      <w:r>
        <w:rPr>
          <w:rFonts w:hint="eastAsia" w:ascii="CESI宋体-GB2312" w:hAnsi="CESI宋体-GB2312"/>
          <w:color w:val="auto"/>
          <w:highlight w:val="none"/>
          <w:lang w:val="en-US" w:eastAsia="zh-CN"/>
        </w:rPr>
        <w:t>10</w:t>
      </w:r>
      <w:r>
        <w:rPr>
          <w:rFonts w:hint="eastAsia" w:ascii="CESI宋体-GB2312" w:hAnsi="CESI宋体-GB2312"/>
          <w:color w:val="auto"/>
          <w:highlight w:val="none"/>
          <w:lang w:eastAsia="zh-CN"/>
        </w:rPr>
        <w:t>分，评估得分</w:t>
      </w:r>
      <w:r>
        <w:rPr>
          <w:rFonts w:hint="eastAsia" w:ascii="CESI宋体-GB2312" w:hAnsi="CESI宋体-GB2312"/>
          <w:color w:val="auto"/>
          <w:highlight w:val="none"/>
          <w:lang w:val="en-US" w:eastAsia="zh-CN"/>
        </w:rPr>
        <w:t>10</w:t>
      </w:r>
      <w:r>
        <w:rPr>
          <w:rFonts w:hint="eastAsia" w:ascii="CESI宋体-GB2312" w:hAnsi="CESI宋体-GB2312"/>
          <w:color w:val="auto"/>
          <w:highlight w:val="none"/>
          <w:lang w:eastAsia="zh-CN"/>
        </w:rPr>
        <w:t>分。</w:t>
      </w:r>
    </w:p>
    <w:p>
      <w:pPr>
        <w:pStyle w:val="2"/>
        <w:rPr>
          <w:rFonts w:ascii="CESI宋体-GB2312" w:hAnsi="CESI宋体-GB2312"/>
          <w:color w:val="auto"/>
          <w:highlight w:val="none"/>
        </w:rPr>
      </w:pPr>
      <w:r>
        <w:rPr>
          <w:rFonts w:hint="eastAsia" w:ascii="CESI宋体-GB2312" w:hAnsi="CESI宋体-GB2312"/>
          <w:color w:val="auto"/>
          <w:highlight w:val="none"/>
        </w:rPr>
        <w:t>3、产出时效</w:t>
      </w:r>
    </w:p>
    <w:p>
      <w:pPr>
        <w:bidi w:val="0"/>
        <w:rPr>
          <w:rFonts w:ascii="CESI宋体-GB2312" w:hAnsi="CESI宋体-GB2312"/>
          <w:color w:val="auto"/>
          <w:highlight w:val="none"/>
        </w:rPr>
      </w:pPr>
      <w:r>
        <w:rPr>
          <w:rFonts w:hint="eastAsia" w:ascii="CESI宋体-GB2312" w:hAnsi="CESI宋体-GB2312" w:cs="Times New Roman"/>
          <w:bCs/>
          <w:color w:val="auto"/>
          <w:szCs w:val="32"/>
          <w:highlight w:val="none"/>
          <w:lang w:val="en-US" w:eastAsia="zh-CN"/>
        </w:rPr>
        <w:t>指标1：</w:t>
      </w:r>
      <w:r>
        <w:rPr>
          <w:rFonts w:hint="eastAsia" w:ascii="CESI宋体-GB2312" w:hAnsi="CESI宋体-GB2312"/>
          <w:color w:val="auto"/>
          <w:highlight w:val="none"/>
          <w:lang w:eastAsia="zh-CN"/>
        </w:rPr>
        <w:t>补助发放及时率</w:t>
      </w:r>
      <w:r>
        <w:rPr>
          <w:rFonts w:hint="eastAsia" w:ascii="CESI宋体-GB2312" w:hAnsi="CESI宋体-GB2312"/>
          <w:color w:val="auto"/>
          <w:highlight w:val="none"/>
        </w:rPr>
        <w:t>，指标值</w:t>
      </w:r>
      <w:r>
        <w:rPr>
          <w:rFonts w:hint="eastAsia" w:ascii="CESI宋体-GB2312" w:hAnsi="CESI宋体-GB2312"/>
          <w:color w:val="auto"/>
          <w:highlight w:val="none"/>
          <w:lang w:val="en-US" w:eastAsia="zh-CN"/>
        </w:rPr>
        <w:t>=</w:t>
      </w:r>
      <w:r>
        <w:rPr>
          <w:rFonts w:hint="eastAsia" w:ascii="CESI宋体-GB2312" w:hAnsi="CESI宋体-GB2312"/>
          <w:color w:val="auto"/>
          <w:highlight w:val="none"/>
        </w:rPr>
        <w:t>10</w:t>
      </w:r>
      <w:r>
        <w:rPr>
          <w:rFonts w:hint="eastAsia" w:ascii="CESI宋体-GB2312" w:hAnsi="CESI宋体-GB2312"/>
          <w:color w:val="auto"/>
          <w:highlight w:val="none"/>
          <w:lang w:val="en-US" w:eastAsia="zh-CN"/>
        </w:rPr>
        <w:t>0%</w:t>
      </w:r>
      <w:r>
        <w:rPr>
          <w:rFonts w:hint="eastAsia" w:ascii="CESI宋体-GB2312" w:hAnsi="CESI宋体-GB2312"/>
          <w:color w:val="auto"/>
          <w:highlight w:val="none"/>
        </w:rPr>
        <w:t>，实际完成值</w:t>
      </w:r>
      <w:r>
        <w:rPr>
          <w:rFonts w:hint="eastAsia" w:ascii="CESI宋体-GB2312" w:hAnsi="CESI宋体-GB2312"/>
          <w:color w:val="auto"/>
          <w:highlight w:val="none"/>
          <w:lang w:val="en-US" w:eastAsia="zh-CN"/>
        </w:rPr>
        <w:t>100%</w:t>
      </w:r>
      <w:r>
        <w:rPr>
          <w:rFonts w:hint="eastAsia" w:ascii="CESI宋体-GB2312" w:hAnsi="CESI宋体-GB2312"/>
          <w:color w:val="auto"/>
          <w:highlight w:val="none"/>
        </w:rPr>
        <w:t>，指标完成率100%；</w:t>
      </w:r>
    </w:p>
    <w:p>
      <w:pPr>
        <w:bidi w:val="0"/>
        <w:rPr>
          <w:rFonts w:hint="default" w:ascii="CESI宋体-GB2312" w:hAnsi="CESI宋体-GB2312"/>
          <w:color w:val="auto"/>
          <w:highlight w:val="none"/>
          <w:lang w:val="en-US" w:eastAsia="zh-CN"/>
        </w:rPr>
      </w:pPr>
      <w:r>
        <w:rPr>
          <w:rFonts w:hint="eastAsia" w:ascii="CESI宋体-GB2312" w:hAnsi="CESI宋体-GB2312"/>
          <w:color w:val="auto"/>
          <w:highlight w:val="none"/>
          <w:lang w:eastAsia="zh-CN"/>
        </w:rPr>
        <w:t>本项满分</w:t>
      </w:r>
      <w:r>
        <w:rPr>
          <w:rFonts w:hint="eastAsia" w:ascii="CESI宋体-GB2312" w:hAnsi="CESI宋体-GB2312"/>
          <w:color w:val="auto"/>
          <w:highlight w:val="none"/>
          <w:lang w:val="en-US" w:eastAsia="zh-CN"/>
        </w:rPr>
        <w:t>10</w:t>
      </w:r>
      <w:r>
        <w:rPr>
          <w:rFonts w:hint="eastAsia" w:ascii="CESI宋体-GB2312" w:hAnsi="CESI宋体-GB2312"/>
          <w:color w:val="auto"/>
          <w:highlight w:val="none"/>
          <w:lang w:eastAsia="zh-CN"/>
        </w:rPr>
        <w:t>分，评估得分</w:t>
      </w:r>
      <w:r>
        <w:rPr>
          <w:rFonts w:hint="eastAsia" w:ascii="CESI宋体-GB2312" w:hAnsi="CESI宋体-GB2312"/>
          <w:color w:val="auto"/>
          <w:highlight w:val="none"/>
          <w:lang w:val="en-US" w:eastAsia="zh-CN"/>
        </w:rPr>
        <w:t>10</w:t>
      </w:r>
      <w:r>
        <w:rPr>
          <w:rFonts w:hint="eastAsia" w:ascii="CESI宋体-GB2312" w:hAnsi="CESI宋体-GB2312"/>
          <w:color w:val="auto"/>
          <w:highlight w:val="none"/>
          <w:lang w:eastAsia="zh-CN"/>
        </w:rPr>
        <w:t>分。</w:t>
      </w:r>
    </w:p>
    <w:p>
      <w:pPr>
        <w:bidi w:val="0"/>
        <w:rPr>
          <w:rFonts w:hint="eastAsia" w:ascii="CESI宋体-GB2312" w:hAnsi="CESI宋体-GB2312"/>
          <w:color w:val="auto"/>
          <w:highlight w:val="none"/>
          <w:lang w:val="en-US" w:eastAsia="zh-CN"/>
        </w:rPr>
      </w:pPr>
      <w:r>
        <w:rPr>
          <w:rFonts w:hint="eastAsia" w:ascii="CESI宋体-GB2312" w:hAnsi="CESI宋体-GB2312" w:eastAsia="楷体_GB2312" w:cstheme="minorBidi"/>
          <w:b/>
          <w:color w:val="auto"/>
          <w:kern w:val="2"/>
          <w:sz w:val="32"/>
          <w:szCs w:val="22"/>
          <w:highlight w:val="none"/>
          <w:lang w:val="en-US" w:eastAsia="zh-CN" w:bidi="ar-SA"/>
        </w:rPr>
        <w:t>（四）产出成本</w:t>
      </w:r>
    </w:p>
    <w:p>
      <w:pPr>
        <w:bidi w:val="0"/>
        <w:rPr>
          <w:rFonts w:hint="eastAsia" w:ascii="CESI宋体-GB2312" w:hAnsi="CESI宋体-GB2312"/>
          <w:color w:val="auto"/>
          <w:highlight w:val="none"/>
          <w:lang w:eastAsia="zh-CN"/>
        </w:rPr>
      </w:pPr>
      <w:r>
        <w:rPr>
          <w:rFonts w:hint="eastAsia" w:ascii="CESI宋体-GB2312" w:hAnsi="CESI宋体-GB2312"/>
          <w:color w:val="auto"/>
          <w:highlight w:val="none"/>
          <w:lang w:val="en-US" w:eastAsia="zh-CN"/>
        </w:rPr>
        <w:t>指标1：棉花保费标准、</w:t>
      </w:r>
      <w:r>
        <w:rPr>
          <w:rFonts w:hint="eastAsia" w:ascii="CESI宋体-GB2312" w:hAnsi="CESI宋体-GB2312"/>
          <w:color w:val="auto"/>
          <w:highlight w:val="none"/>
          <w:lang w:eastAsia="zh-CN"/>
        </w:rPr>
        <w:t>指标值</w:t>
      </w:r>
      <w:r>
        <w:rPr>
          <w:rFonts w:hint="eastAsia" w:ascii="CESI宋体-GB2312" w:hAnsi="CESI宋体-GB2312"/>
          <w:color w:val="auto"/>
          <w:highlight w:val="none"/>
          <w:lang w:val="en-US" w:eastAsia="zh-CN"/>
        </w:rPr>
        <w:t>=70元/亩</w:t>
      </w:r>
      <w:r>
        <w:rPr>
          <w:rFonts w:hint="eastAsia" w:ascii="CESI宋体-GB2312" w:hAnsi="CESI宋体-GB2312"/>
          <w:color w:val="auto"/>
          <w:highlight w:val="none"/>
          <w:lang w:eastAsia="zh-CN"/>
        </w:rPr>
        <w:t>，实际完成值</w:t>
      </w:r>
      <w:r>
        <w:rPr>
          <w:rFonts w:hint="eastAsia" w:ascii="CESI宋体-GB2312" w:hAnsi="CESI宋体-GB2312"/>
          <w:color w:val="auto"/>
          <w:highlight w:val="none"/>
          <w:lang w:val="en-US" w:eastAsia="zh-CN"/>
        </w:rPr>
        <w:t>70元/亩</w:t>
      </w:r>
      <w:r>
        <w:rPr>
          <w:rFonts w:hint="eastAsia" w:ascii="CESI宋体-GB2312" w:hAnsi="CESI宋体-GB2312"/>
          <w:color w:val="auto"/>
          <w:highlight w:val="none"/>
          <w:lang w:eastAsia="zh-CN"/>
        </w:rPr>
        <w:t>，指标完成率100%；</w:t>
      </w:r>
    </w:p>
    <w:p>
      <w:pPr>
        <w:bidi w:val="0"/>
        <w:rPr>
          <w:rFonts w:hint="eastAsia" w:ascii="CESI宋体-GB2312" w:hAnsi="CESI宋体-GB2312"/>
          <w:color w:val="auto"/>
          <w:highlight w:val="none"/>
          <w:lang w:eastAsia="zh-CN"/>
        </w:rPr>
      </w:pPr>
      <w:r>
        <w:rPr>
          <w:rFonts w:hint="eastAsia" w:ascii="CESI宋体-GB2312" w:hAnsi="CESI宋体-GB2312"/>
          <w:color w:val="auto"/>
          <w:highlight w:val="none"/>
          <w:lang w:val="en-US" w:eastAsia="zh-CN"/>
        </w:rPr>
        <w:t>指标2：玉米保费标准、</w:t>
      </w:r>
      <w:r>
        <w:rPr>
          <w:rFonts w:hint="eastAsia" w:ascii="CESI宋体-GB2312" w:hAnsi="CESI宋体-GB2312"/>
          <w:color w:val="auto"/>
          <w:highlight w:val="none"/>
          <w:lang w:eastAsia="zh-CN"/>
        </w:rPr>
        <w:t>指标值</w:t>
      </w:r>
      <w:r>
        <w:rPr>
          <w:rFonts w:hint="eastAsia" w:ascii="CESI宋体-GB2312" w:hAnsi="CESI宋体-GB2312"/>
          <w:color w:val="auto"/>
          <w:highlight w:val="none"/>
          <w:lang w:val="en-US" w:eastAsia="zh-CN"/>
        </w:rPr>
        <w:t>=49元/亩</w:t>
      </w:r>
      <w:r>
        <w:rPr>
          <w:rFonts w:hint="eastAsia" w:ascii="CESI宋体-GB2312" w:hAnsi="CESI宋体-GB2312"/>
          <w:color w:val="auto"/>
          <w:highlight w:val="none"/>
          <w:lang w:eastAsia="zh-CN"/>
        </w:rPr>
        <w:t>，实际完成值</w:t>
      </w:r>
      <w:r>
        <w:rPr>
          <w:rFonts w:hint="eastAsia" w:ascii="CESI宋体-GB2312" w:hAnsi="CESI宋体-GB2312"/>
          <w:color w:val="auto"/>
          <w:highlight w:val="none"/>
          <w:lang w:val="en-US" w:eastAsia="zh-CN"/>
        </w:rPr>
        <w:t>49元/亩</w:t>
      </w:r>
      <w:r>
        <w:rPr>
          <w:rFonts w:hint="eastAsia" w:ascii="CESI宋体-GB2312" w:hAnsi="CESI宋体-GB2312"/>
          <w:color w:val="auto"/>
          <w:highlight w:val="none"/>
          <w:lang w:eastAsia="zh-CN"/>
        </w:rPr>
        <w:t>，指标完成率100%</w:t>
      </w:r>
    </w:p>
    <w:p>
      <w:pPr>
        <w:bidi w:val="0"/>
        <w:rPr>
          <w:rFonts w:hint="eastAsia" w:ascii="CESI宋体-GB2312" w:hAnsi="CESI宋体-GB2312"/>
          <w:color w:val="auto"/>
          <w:highlight w:val="none"/>
          <w:lang w:eastAsia="zh-CN"/>
        </w:rPr>
      </w:pPr>
      <w:r>
        <w:rPr>
          <w:rFonts w:hint="eastAsia" w:ascii="CESI宋体-GB2312" w:hAnsi="CESI宋体-GB2312"/>
          <w:color w:val="auto"/>
          <w:highlight w:val="none"/>
          <w:lang w:val="en-US" w:eastAsia="zh-CN"/>
        </w:rPr>
        <w:t>指标1：小麦保费标准、</w:t>
      </w:r>
      <w:r>
        <w:rPr>
          <w:rFonts w:hint="eastAsia" w:ascii="CESI宋体-GB2312" w:hAnsi="CESI宋体-GB2312"/>
          <w:color w:val="auto"/>
          <w:highlight w:val="none"/>
          <w:lang w:eastAsia="zh-CN"/>
        </w:rPr>
        <w:t>指标值</w:t>
      </w:r>
      <w:r>
        <w:rPr>
          <w:rFonts w:hint="eastAsia" w:ascii="CESI宋体-GB2312" w:hAnsi="CESI宋体-GB2312"/>
          <w:color w:val="auto"/>
          <w:highlight w:val="none"/>
          <w:lang w:val="en-US" w:eastAsia="zh-CN"/>
        </w:rPr>
        <w:t>=30元/亩</w:t>
      </w:r>
      <w:r>
        <w:rPr>
          <w:rFonts w:hint="eastAsia" w:ascii="CESI宋体-GB2312" w:hAnsi="CESI宋体-GB2312"/>
          <w:color w:val="auto"/>
          <w:highlight w:val="none"/>
          <w:lang w:eastAsia="zh-CN"/>
        </w:rPr>
        <w:t>，实际完成值</w:t>
      </w:r>
      <w:r>
        <w:rPr>
          <w:rFonts w:hint="eastAsia" w:ascii="CESI宋体-GB2312" w:hAnsi="CESI宋体-GB2312"/>
          <w:color w:val="auto"/>
          <w:highlight w:val="none"/>
          <w:lang w:val="en-US" w:eastAsia="zh-CN"/>
        </w:rPr>
        <w:t>30元/亩</w:t>
      </w:r>
      <w:r>
        <w:rPr>
          <w:rFonts w:hint="eastAsia" w:ascii="CESI宋体-GB2312" w:hAnsi="CESI宋体-GB2312"/>
          <w:color w:val="auto"/>
          <w:highlight w:val="none"/>
          <w:lang w:eastAsia="zh-CN"/>
        </w:rPr>
        <w:t>，指标完成率100%</w:t>
      </w:r>
    </w:p>
    <w:p>
      <w:pPr>
        <w:bidi w:val="0"/>
        <w:rPr>
          <w:rFonts w:hint="default" w:ascii="CESI宋体-GB2312" w:hAnsi="CESI宋体-GB2312"/>
          <w:color w:val="auto"/>
          <w:highlight w:val="none"/>
          <w:lang w:val="en-US" w:eastAsia="zh-CN"/>
        </w:rPr>
      </w:pPr>
      <w:r>
        <w:rPr>
          <w:rFonts w:hint="eastAsia" w:ascii="CESI宋体-GB2312" w:hAnsi="CESI宋体-GB2312"/>
          <w:color w:val="auto"/>
          <w:highlight w:val="none"/>
          <w:lang w:eastAsia="zh-CN"/>
        </w:rPr>
        <w:t>本项满分</w:t>
      </w:r>
      <w:r>
        <w:rPr>
          <w:rFonts w:hint="eastAsia" w:ascii="CESI宋体-GB2312" w:hAnsi="CESI宋体-GB2312"/>
          <w:color w:val="auto"/>
          <w:highlight w:val="none"/>
          <w:lang w:val="en-US" w:eastAsia="zh-CN"/>
        </w:rPr>
        <w:t>10</w:t>
      </w:r>
      <w:r>
        <w:rPr>
          <w:rFonts w:hint="eastAsia" w:ascii="CESI宋体-GB2312" w:hAnsi="CESI宋体-GB2312"/>
          <w:color w:val="auto"/>
          <w:highlight w:val="none"/>
          <w:lang w:eastAsia="zh-CN"/>
        </w:rPr>
        <w:t>分，评估得分</w:t>
      </w:r>
      <w:r>
        <w:rPr>
          <w:rFonts w:hint="eastAsia" w:ascii="CESI宋体-GB2312" w:hAnsi="CESI宋体-GB2312"/>
          <w:color w:val="auto"/>
          <w:highlight w:val="none"/>
          <w:lang w:val="en-US" w:eastAsia="zh-CN"/>
        </w:rPr>
        <w:t>10</w:t>
      </w:r>
      <w:r>
        <w:rPr>
          <w:rFonts w:hint="eastAsia" w:ascii="CESI宋体-GB2312" w:hAnsi="CESI宋体-GB2312"/>
          <w:color w:val="auto"/>
          <w:highlight w:val="none"/>
          <w:lang w:eastAsia="zh-CN"/>
        </w:rPr>
        <w:t>分。</w:t>
      </w:r>
    </w:p>
    <w:p>
      <w:pPr>
        <w:pStyle w:val="2"/>
        <w:bidi w:val="0"/>
        <w:rPr>
          <w:rFonts w:ascii="CESI宋体-GB2312" w:hAnsi="CESI宋体-GB2312"/>
          <w:color w:val="auto"/>
          <w:highlight w:val="none"/>
        </w:rPr>
      </w:pPr>
      <w:bookmarkStart w:id="23" w:name="_Toc28354"/>
      <w:r>
        <w:rPr>
          <w:rFonts w:hint="eastAsia" w:ascii="CESI宋体-GB2312" w:hAnsi="CESI宋体-GB2312"/>
          <w:color w:val="auto"/>
          <w:highlight w:val="none"/>
        </w:rPr>
        <w:t>（</w:t>
      </w:r>
      <w:r>
        <w:rPr>
          <w:rFonts w:hint="eastAsia" w:ascii="CESI宋体-GB2312" w:hAnsi="CESI宋体-GB2312"/>
          <w:color w:val="auto"/>
          <w:highlight w:val="none"/>
          <w:lang w:val="en-US" w:eastAsia="zh-CN"/>
        </w:rPr>
        <w:t>五</w:t>
      </w:r>
      <w:r>
        <w:rPr>
          <w:rFonts w:hint="eastAsia" w:ascii="CESI宋体-GB2312" w:hAnsi="CESI宋体-GB2312"/>
          <w:color w:val="auto"/>
          <w:highlight w:val="none"/>
        </w:rPr>
        <w:t>）项目效益情况</w:t>
      </w:r>
      <w:bookmarkEnd w:id="23"/>
    </w:p>
    <w:p>
      <w:pPr>
        <w:bidi w:val="0"/>
        <w:rPr>
          <w:rFonts w:ascii="CESI宋体-GB2312" w:hAnsi="CESI宋体-GB2312"/>
          <w:color w:val="auto"/>
          <w:highlight w:val="none"/>
        </w:rPr>
      </w:pPr>
      <w:r>
        <w:rPr>
          <w:rFonts w:hint="eastAsia" w:ascii="CESI宋体-GB2312" w:hAnsi="CESI宋体-GB2312"/>
          <w:color w:val="auto"/>
          <w:highlight w:val="none"/>
        </w:rPr>
        <w:t>1、实际效益</w:t>
      </w:r>
    </w:p>
    <w:p>
      <w:pPr>
        <w:bidi w:val="0"/>
        <w:rPr>
          <w:rFonts w:hint="eastAsia" w:ascii="CESI宋体-GB2312" w:hAnsi="CESI宋体-GB2312"/>
          <w:color w:val="auto"/>
          <w:highlight w:val="none"/>
          <w:lang w:val="en-US" w:eastAsia="zh-CN"/>
        </w:rPr>
      </w:pPr>
      <w:r>
        <w:rPr>
          <w:rFonts w:hint="eastAsia" w:ascii="CESI宋体-GB2312" w:hAnsi="CESI宋体-GB2312"/>
          <w:color w:val="auto"/>
          <w:highlight w:val="none"/>
        </w:rPr>
        <w:t>本项目实施所产生的效益主要包括</w:t>
      </w:r>
      <w:r>
        <w:rPr>
          <w:rFonts w:hint="eastAsia" w:ascii="CESI宋体-GB2312" w:hAnsi="CESI宋体-GB2312"/>
          <w:color w:val="auto"/>
          <w:highlight w:val="none"/>
          <w:lang w:val="en-US" w:eastAsia="zh-CN"/>
        </w:rPr>
        <w:t>经济效益和社会效益。项目的实施达到了风险保障总额，经办机构县级分支机构100%覆盖</w:t>
      </w:r>
      <w:r>
        <w:rPr>
          <w:rFonts w:hint="eastAsia" w:ascii="CESI宋体-GB2312" w:hAnsi="CESI宋体-GB2312"/>
          <w:color w:val="auto"/>
          <w:highlight w:val="none"/>
          <w:lang w:eastAsia="zh-CN"/>
        </w:rPr>
        <w:t>。保障</w:t>
      </w:r>
      <w:r>
        <w:rPr>
          <w:rFonts w:hint="eastAsia" w:ascii="CESI宋体-GB2312" w:hAnsi="CESI宋体-GB2312"/>
          <w:color w:val="auto"/>
          <w:highlight w:val="none"/>
          <w:lang w:val="en-US" w:eastAsia="zh-CN"/>
        </w:rPr>
        <w:t>了</w:t>
      </w:r>
      <w:r>
        <w:rPr>
          <w:rFonts w:hint="eastAsia" w:ascii="CESI宋体-GB2312" w:hAnsi="CESI宋体-GB2312"/>
          <w:color w:val="auto"/>
          <w:highlight w:val="none"/>
          <w:lang w:eastAsia="zh-CN"/>
        </w:rPr>
        <w:t>农民收入。</w:t>
      </w:r>
    </w:p>
    <w:p>
      <w:pPr>
        <w:bidi w:val="0"/>
        <w:rPr>
          <w:rFonts w:ascii="CESI宋体-GB2312" w:hAnsi="CESI宋体-GB2312"/>
          <w:color w:val="auto"/>
          <w:highlight w:val="none"/>
        </w:rPr>
      </w:pPr>
      <w:r>
        <w:rPr>
          <w:rFonts w:hint="eastAsia" w:ascii="CESI宋体-GB2312" w:hAnsi="CESI宋体-GB2312"/>
          <w:color w:val="auto"/>
          <w:highlight w:val="none"/>
        </w:rPr>
        <w:t>本项满分</w:t>
      </w:r>
      <w:r>
        <w:rPr>
          <w:rFonts w:hint="eastAsia" w:ascii="CESI宋体-GB2312" w:hAnsi="CESI宋体-GB2312"/>
          <w:color w:val="auto"/>
          <w:highlight w:val="none"/>
          <w:lang w:val="en-US" w:eastAsia="zh-CN"/>
        </w:rPr>
        <w:t>1</w:t>
      </w:r>
      <w:r>
        <w:rPr>
          <w:rFonts w:hint="eastAsia" w:ascii="CESI宋体-GB2312" w:hAnsi="CESI宋体-GB2312"/>
          <w:color w:val="auto"/>
          <w:highlight w:val="none"/>
        </w:rPr>
        <w:t>0分，评估得分</w:t>
      </w:r>
      <w:r>
        <w:rPr>
          <w:rFonts w:hint="eastAsia" w:ascii="CESI宋体-GB2312" w:hAnsi="CESI宋体-GB2312"/>
          <w:color w:val="auto"/>
          <w:highlight w:val="none"/>
          <w:lang w:val="en-US" w:eastAsia="zh-CN"/>
        </w:rPr>
        <w:t>1</w:t>
      </w:r>
      <w:r>
        <w:rPr>
          <w:rFonts w:hint="eastAsia" w:ascii="CESI宋体-GB2312" w:hAnsi="CESI宋体-GB2312"/>
          <w:color w:val="auto"/>
          <w:highlight w:val="none"/>
        </w:rPr>
        <w:t>0分。</w:t>
      </w:r>
    </w:p>
    <w:p>
      <w:pPr>
        <w:bidi w:val="0"/>
        <w:rPr>
          <w:rFonts w:ascii="CESI宋体-GB2312" w:hAnsi="CESI宋体-GB2312"/>
          <w:color w:val="auto"/>
          <w:highlight w:val="none"/>
        </w:rPr>
      </w:pPr>
      <w:r>
        <w:rPr>
          <w:rFonts w:hint="eastAsia" w:ascii="CESI宋体-GB2312" w:hAnsi="CESI宋体-GB2312"/>
          <w:color w:val="auto"/>
          <w:highlight w:val="none"/>
        </w:rPr>
        <w:t>2、满意度</w:t>
      </w:r>
    </w:p>
    <w:p>
      <w:pPr>
        <w:bidi w:val="0"/>
        <w:rPr>
          <w:rFonts w:ascii="CESI宋体-GB2312" w:hAnsi="CESI宋体-GB2312"/>
          <w:color w:val="auto"/>
          <w:highlight w:val="none"/>
        </w:rPr>
      </w:pPr>
      <w:r>
        <w:rPr>
          <w:rFonts w:hint="eastAsia" w:ascii="CESI宋体-GB2312" w:hAnsi="CESI宋体-GB2312"/>
          <w:color w:val="auto"/>
          <w:highlight w:val="none"/>
        </w:rPr>
        <w:t>本项目服务对象和受益群众主要是</w:t>
      </w:r>
      <w:r>
        <w:rPr>
          <w:rFonts w:hint="eastAsia" w:ascii="CESI宋体-GB2312" w:hAnsi="CESI宋体-GB2312"/>
          <w:color w:val="auto"/>
          <w:highlight w:val="none"/>
          <w:lang w:val="en-US" w:eastAsia="zh-CN"/>
        </w:rPr>
        <w:t>投保农户</w:t>
      </w:r>
      <w:r>
        <w:rPr>
          <w:rFonts w:hint="eastAsia" w:ascii="CESI宋体-GB2312" w:hAnsi="CESI宋体-GB2312"/>
          <w:color w:val="auto"/>
          <w:highlight w:val="none"/>
        </w:rPr>
        <w:t>，通过问卷调查方式收集</w:t>
      </w:r>
      <w:r>
        <w:rPr>
          <w:rFonts w:hint="eastAsia" w:ascii="CESI宋体-GB2312" w:hAnsi="CESI宋体-GB2312"/>
          <w:color w:val="auto"/>
          <w:highlight w:val="none"/>
          <w:lang w:val="en-US" w:eastAsia="zh-CN"/>
        </w:rPr>
        <w:t>投保农户</w:t>
      </w:r>
      <w:r>
        <w:rPr>
          <w:rFonts w:hint="eastAsia" w:ascii="CESI宋体-GB2312" w:hAnsi="CESI宋体-GB2312"/>
          <w:color w:val="auto"/>
          <w:highlight w:val="none"/>
        </w:rPr>
        <w:t>对本项目实施的满意度。服务群众满意度</w:t>
      </w:r>
      <w:r>
        <w:rPr>
          <w:rFonts w:hint="eastAsia" w:ascii="CESI宋体-GB2312" w:hAnsi="CESI宋体-GB2312"/>
          <w:color w:val="auto"/>
          <w:highlight w:val="none"/>
          <w:lang w:val="en-US" w:eastAsia="zh-CN"/>
        </w:rPr>
        <w:t>80%。</w:t>
      </w:r>
    </w:p>
    <w:p>
      <w:pPr>
        <w:bidi w:val="0"/>
        <w:rPr>
          <w:rFonts w:ascii="CESI宋体-GB2312" w:hAnsi="CESI宋体-GB2312"/>
          <w:color w:val="auto"/>
          <w:highlight w:val="none"/>
        </w:rPr>
      </w:pPr>
      <w:r>
        <w:rPr>
          <w:rFonts w:hint="eastAsia" w:ascii="CESI宋体-GB2312" w:hAnsi="CESI宋体-GB2312"/>
          <w:color w:val="auto"/>
          <w:highlight w:val="none"/>
        </w:rPr>
        <w:t>本项满分10分，评估得分10分。</w:t>
      </w:r>
    </w:p>
    <w:p>
      <w:pPr>
        <w:pStyle w:val="4"/>
        <w:bidi w:val="0"/>
        <w:rPr>
          <w:rFonts w:ascii="CESI宋体-GB2312" w:hAnsi="CESI宋体-GB2312"/>
          <w:color w:val="auto"/>
          <w:highlight w:val="none"/>
        </w:rPr>
      </w:pPr>
      <w:bookmarkStart w:id="24" w:name="_Toc27244"/>
      <w:r>
        <w:rPr>
          <w:rFonts w:hint="eastAsia" w:ascii="CESI宋体-GB2312" w:hAnsi="CESI宋体-GB2312"/>
          <w:color w:val="auto"/>
          <w:highlight w:val="none"/>
        </w:rPr>
        <w:t>五、主要经验及做法、存在的问题及原因分析</w:t>
      </w:r>
      <w:bookmarkEnd w:id="24"/>
    </w:p>
    <w:p>
      <w:pPr>
        <w:pStyle w:val="2"/>
        <w:bidi w:val="0"/>
        <w:rPr>
          <w:rFonts w:ascii="CESI宋体-GB2312" w:hAnsi="CESI宋体-GB2312"/>
          <w:color w:val="auto"/>
          <w:highlight w:val="none"/>
        </w:rPr>
      </w:pPr>
      <w:bookmarkStart w:id="25" w:name="_Toc18880"/>
      <w:r>
        <w:rPr>
          <w:rFonts w:hint="eastAsia" w:ascii="CESI宋体-GB2312" w:hAnsi="CESI宋体-GB2312"/>
          <w:color w:val="auto"/>
          <w:highlight w:val="none"/>
        </w:rPr>
        <w:t>（一）主要经验及做法</w:t>
      </w:r>
      <w:bookmarkEnd w:id="25"/>
    </w:p>
    <w:p>
      <w:pPr>
        <w:bidi w:val="0"/>
        <w:rPr>
          <w:rFonts w:ascii="CESI宋体-GB2312" w:hAnsi="CESI宋体-GB2312"/>
          <w:color w:val="auto"/>
          <w:highlight w:val="none"/>
        </w:rPr>
      </w:pPr>
      <w:r>
        <w:rPr>
          <w:rFonts w:hint="eastAsia" w:ascii="CESI宋体-GB2312" w:hAnsi="CESI宋体-GB2312"/>
          <w:color w:val="auto"/>
          <w:highlight w:val="none"/>
          <w:lang w:eastAsia="zh-CN"/>
        </w:rPr>
        <w:t>2023年农业保险保费补贴资金（县级配套）</w:t>
      </w:r>
      <w:r>
        <w:rPr>
          <w:rFonts w:hint="eastAsia" w:ascii="CESI宋体-GB2312" w:hAnsi="CESI宋体-GB2312"/>
          <w:color w:val="auto"/>
          <w:highlight w:val="none"/>
        </w:rPr>
        <w:t>在</w:t>
      </w:r>
      <w:r>
        <w:rPr>
          <w:rFonts w:hint="eastAsia" w:ascii="CESI宋体-GB2312" w:hAnsi="CESI宋体-GB2312"/>
          <w:color w:val="auto"/>
          <w:highlight w:val="none"/>
          <w:lang w:eastAsia="zh-CN"/>
        </w:rPr>
        <w:t>尉犁县委、县政府</w:t>
      </w:r>
      <w:r>
        <w:rPr>
          <w:rFonts w:hint="eastAsia" w:ascii="CESI宋体-GB2312" w:hAnsi="CESI宋体-GB2312"/>
          <w:color w:val="auto"/>
          <w:highlight w:val="none"/>
        </w:rPr>
        <w:t>的支持下，在相关部门的配合下，全面顺利完成，绩效评价“优”，主要经验及做法如下：</w:t>
      </w:r>
    </w:p>
    <w:p>
      <w:pPr>
        <w:bidi w:val="0"/>
        <w:rPr>
          <w:rFonts w:ascii="CESI宋体-GB2312" w:hAnsi="CESI宋体-GB2312"/>
          <w:color w:val="auto"/>
          <w:highlight w:val="none"/>
        </w:rPr>
      </w:pPr>
      <w:r>
        <w:rPr>
          <w:rFonts w:hint="eastAsia" w:ascii="CESI宋体-GB2312" w:hAnsi="CESI宋体-GB2312"/>
          <w:color w:val="auto"/>
          <w:highlight w:val="none"/>
        </w:rPr>
        <w:t>1、加强领导，落实责任。为规范、有效推进</w:t>
      </w:r>
      <w:r>
        <w:rPr>
          <w:rFonts w:hint="eastAsia" w:ascii="CESI宋体-GB2312" w:hAnsi="CESI宋体-GB2312"/>
          <w:color w:val="auto"/>
          <w:highlight w:val="none"/>
          <w:lang w:val="en-US" w:eastAsia="zh-CN"/>
        </w:rPr>
        <w:t>工作开展</w:t>
      </w:r>
      <w:r>
        <w:rPr>
          <w:rFonts w:hint="eastAsia" w:ascii="CESI宋体-GB2312" w:hAnsi="CESI宋体-GB2312"/>
          <w:color w:val="auto"/>
          <w:highlight w:val="none"/>
        </w:rPr>
        <w:t>，成立县</w:t>
      </w:r>
      <w:r>
        <w:rPr>
          <w:rFonts w:hint="eastAsia" w:ascii="CESI宋体-GB2312" w:hAnsi="CESI宋体-GB2312"/>
          <w:color w:val="auto"/>
          <w:highlight w:val="none"/>
          <w:lang w:eastAsia="zh-CN"/>
        </w:rPr>
        <w:t>2023年农业保险保费补贴资金（县级配套）</w:t>
      </w:r>
      <w:r>
        <w:rPr>
          <w:rFonts w:hint="eastAsia" w:ascii="CESI宋体-GB2312" w:hAnsi="CESI宋体-GB2312"/>
          <w:color w:val="auto"/>
          <w:highlight w:val="none"/>
        </w:rPr>
        <w:t>项目资金有效管理领导小组，由常委会副主任任组长，办公室主任任副组长，各部门领导为成员的项目领导小组，明确了各部门工作职责，从</w:t>
      </w:r>
      <w:r>
        <w:rPr>
          <w:rFonts w:hint="eastAsia" w:ascii="CESI宋体-GB2312" w:hAnsi="CESI宋体-GB2312"/>
          <w:color w:val="auto"/>
          <w:highlight w:val="none"/>
          <w:lang w:val="en-US" w:eastAsia="zh-CN"/>
        </w:rPr>
        <w:t>制定工作方案、工作推进</w:t>
      </w:r>
      <w:r>
        <w:rPr>
          <w:rFonts w:hint="eastAsia" w:ascii="CESI宋体-GB2312" w:hAnsi="CESI宋体-GB2312"/>
          <w:color w:val="auto"/>
          <w:highlight w:val="none"/>
        </w:rPr>
        <w:t>、资金管理各方面加强统筹协调，共同推进</w:t>
      </w:r>
      <w:r>
        <w:rPr>
          <w:rFonts w:hint="eastAsia" w:ascii="CESI宋体-GB2312" w:hAnsi="CESI宋体-GB2312"/>
          <w:color w:val="auto"/>
          <w:highlight w:val="none"/>
          <w:lang w:val="en-US" w:eastAsia="zh-CN"/>
        </w:rPr>
        <w:t>2023年农业保险保费补贴资金（县级配套）</w:t>
      </w:r>
      <w:r>
        <w:rPr>
          <w:rFonts w:hint="eastAsia" w:ascii="CESI宋体-GB2312" w:hAnsi="CESI宋体-GB2312"/>
          <w:color w:val="auto"/>
          <w:highlight w:val="none"/>
        </w:rPr>
        <w:t>顺利实施。</w:t>
      </w:r>
    </w:p>
    <w:p>
      <w:pPr>
        <w:bidi w:val="0"/>
        <w:rPr>
          <w:rFonts w:ascii="CESI宋体-GB2312" w:hAnsi="CESI宋体-GB2312"/>
          <w:color w:val="auto"/>
          <w:highlight w:val="none"/>
        </w:rPr>
      </w:pPr>
      <w:r>
        <w:rPr>
          <w:rFonts w:hint="eastAsia" w:ascii="CESI宋体-GB2312" w:hAnsi="CESI宋体-GB2312"/>
          <w:color w:val="auto"/>
          <w:highlight w:val="none"/>
        </w:rPr>
        <w:t>2、严格程序，确保资金效益。严格资金审批流程，明确资金使用范围，保证项目资金专款专用，有效杜绝了截留、挪用、滞留、浪费资金等现象的发生，确保了资金使用安全和最大效益的发挥。</w:t>
      </w:r>
    </w:p>
    <w:p>
      <w:pPr>
        <w:pStyle w:val="2"/>
        <w:bidi w:val="0"/>
        <w:rPr>
          <w:rFonts w:ascii="CESI宋体-GB2312" w:hAnsi="CESI宋体-GB2312"/>
          <w:color w:val="auto"/>
          <w:highlight w:val="none"/>
        </w:rPr>
      </w:pPr>
      <w:bookmarkStart w:id="26" w:name="_Toc9914"/>
      <w:r>
        <w:rPr>
          <w:rFonts w:hint="eastAsia" w:ascii="CESI宋体-GB2312" w:hAnsi="CESI宋体-GB2312"/>
          <w:color w:val="auto"/>
          <w:highlight w:val="none"/>
        </w:rPr>
        <w:t>（二）存在问题及原因分析</w:t>
      </w:r>
      <w:bookmarkEnd w:id="26"/>
    </w:p>
    <w:p>
      <w:pPr>
        <w:pStyle w:val="4"/>
        <w:bidi w:val="0"/>
        <w:rPr>
          <w:rFonts w:hint="eastAsia" w:ascii="CESI宋体-GB2312" w:hAnsi="CESI宋体-GB2312" w:eastAsia="仿宋_GB2312" w:cstheme="minorBidi"/>
          <w:bCs w:val="0"/>
          <w:iCs w:val="0"/>
          <w:color w:val="auto"/>
          <w:kern w:val="2"/>
          <w:sz w:val="32"/>
          <w:szCs w:val="22"/>
          <w:highlight w:val="none"/>
          <w:lang w:val="en-US" w:eastAsia="zh-CN" w:bidi="ar-SA"/>
        </w:rPr>
      </w:pPr>
      <w:bookmarkStart w:id="27" w:name="_Toc2334"/>
      <w:r>
        <w:rPr>
          <w:rFonts w:hint="eastAsia" w:ascii="CESI宋体-GB2312" w:hAnsi="CESI宋体-GB2312" w:eastAsia="仿宋_GB2312" w:cstheme="minorBidi"/>
          <w:bCs w:val="0"/>
          <w:iCs w:val="0"/>
          <w:color w:val="auto"/>
          <w:kern w:val="2"/>
          <w:sz w:val="32"/>
          <w:szCs w:val="22"/>
          <w:highlight w:val="none"/>
          <w:lang w:val="en-US" w:eastAsia="zh-CN" w:bidi="ar-SA"/>
        </w:rPr>
        <w:t>1、预算绩效管理制度体系不健全，预算绩效观念不深入。</w:t>
      </w:r>
    </w:p>
    <w:p>
      <w:pPr>
        <w:rPr>
          <w:rFonts w:hint="default" w:ascii="CESI宋体-GB2312" w:hAnsi="CESI宋体-GB2312"/>
          <w:color w:val="auto"/>
          <w:highlight w:val="none"/>
          <w:lang w:val="en-US" w:eastAsia="zh-CN"/>
        </w:rPr>
      </w:pPr>
      <w:r>
        <w:rPr>
          <w:rFonts w:hint="eastAsia" w:ascii="CESI宋体-GB2312" w:hAnsi="CESI宋体-GB2312" w:cstheme="minorBidi"/>
          <w:bCs w:val="0"/>
          <w:iCs w:val="0"/>
          <w:color w:val="auto"/>
          <w:kern w:val="2"/>
          <w:sz w:val="32"/>
          <w:szCs w:val="22"/>
          <w:highlight w:val="none"/>
          <w:lang w:val="en-US" w:eastAsia="zh-CN" w:bidi="ar-SA"/>
        </w:rPr>
        <w:t>2、年初设定目标不精准，指标完成率过高，造成偏差。绩效管理工作需进一步加强。</w:t>
      </w:r>
    </w:p>
    <w:p>
      <w:pPr>
        <w:pStyle w:val="4"/>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六、有关</w:t>
      </w:r>
      <w:r>
        <w:rPr>
          <w:rFonts w:hint="eastAsia" w:ascii="CESI宋体-GB2312" w:hAnsi="CESI宋体-GB2312"/>
          <w:color w:val="auto"/>
          <w:highlight w:val="none"/>
        </w:rPr>
        <w:t>建议</w:t>
      </w:r>
      <w:bookmarkEnd w:id="27"/>
    </w:p>
    <w:p>
      <w:pPr>
        <w:bidi w:val="0"/>
        <w:rPr>
          <w:rFonts w:hint="eastAsia" w:ascii="CESI宋体-GB2312" w:hAnsi="CESI宋体-GB2312"/>
          <w:color w:val="auto"/>
          <w:highlight w:val="none"/>
          <w:lang w:val="en-US" w:eastAsia="zh-CN"/>
        </w:rPr>
      </w:pPr>
      <w:r>
        <w:rPr>
          <w:rFonts w:hint="eastAsia" w:ascii="CESI宋体-GB2312" w:hAnsi="CESI宋体-GB2312"/>
          <w:color w:val="auto"/>
          <w:highlight w:val="none"/>
          <w:lang w:val="en-US" w:eastAsia="zh-CN"/>
        </w:rPr>
        <w:t>1、</w:t>
      </w:r>
      <w:r>
        <w:rPr>
          <w:rFonts w:hint="eastAsia" w:ascii="CESI宋体-GB2312" w:hAnsi="CESI宋体-GB2312"/>
          <w:color w:val="auto"/>
          <w:highlight w:val="none"/>
        </w:rPr>
        <w:t>进一步完善</w:t>
      </w:r>
      <w:r>
        <w:rPr>
          <w:rFonts w:hint="eastAsia" w:ascii="CESI宋体-GB2312" w:hAnsi="CESI宋体-GB2312"/>
          <w:color w:val="auto"/>
          <w:highlight w:val="none"/>
          <w:lang w:val="en-US" w:eastAsia="zh-CN"/>
        </w:rPr>
        <w:t>内部</w:t>
      </w:r>
      <w:r>
        <w:rPr>
          <w:rFonts w:hint="eastAsia" w:ascii="CESI宋体-GB2312" w:hAnsi="CESI宋体-GB2312"/>
          <w:color w:val="auto"/>
          <w:highlight w:val="none"/>
        </w:rPr>
        <w:t>预算绩效管理机制、体制建设，</w:t>
      </w:r>
      <w:r>
        <w:rPr>
          <w:rFonts w:hint="eastAsia" w:ascii="CESI宋体-GB2312" w:hAnsi="CESI宋体-GB2312"/>
          <w:color w:val="auto"/>
          <w:highlight w:val="none"/>
          <w:lang w:val="en-US" w:eastAsia="zh-CN"/>
        </w:rPr>
        <w:t>建章建制，建立统一的管理制度。</w:t>
      </w:r>
    </w:p>
    <w:p>
      <w:pPr>
        <w:bidi w:val="0"/>
        <w:rPr>
          <w:rFonts w:hint="default" w:ascii="CESI宋体-GB2312" w:hAnsi="CESI宋体-GB2312"/>
          <w:color w:val="auto"/>
          <w:highlight w:val="none"/>
          <w:lang w:val="en-US" w:eastAsia="zh-CN"/>
        </w:rPr>
      </w:pPr>
      <w:r>
        <w:rPr>
          <w:rFonts w:hint="eastAsia" w:ascii="CESI宋体-GB2312" w:hAnsi="CESI宋体-GB2312"/>
          <w:color w:val="auto"/>
          <w:highlight w:val="none"/>
          <w:lang w:val="en-US" w:eastAsia="zh-CN"/>
        </w:rPr>
        <w:t>2、加强绩效管理培训，夯实绩效管理基础工作，提高绩效目标设置精准度。</w:t>
      </w:r>
    </w:p>
    <w:p>
      <w:pPr>
        <w:pStyle w:val="4"/>
        <w:bidi w:val="0"/>
        <w:rPr>
          <w:rFonts w:ascii="CESI宋体-GB2312" w:hAnsi="CESI宋体-GB2312"/>
          <w:color w:val="auto"/>
          <w:highlight w:val="none"/>
        </w:rPr>
      </w:pPr>
      <w:bookmarkStart w:id="28" w:name="_Toc30571"/>
      <w:r>
        <w:rPr>
          <w:rFonts w:hint="eastAsia" w:ascii="CESI宋体-GB2312" w:hAnsi="CESI宋体-GB2312"/>
          <w:color w:val="auto"/>
          <w:highlight w:val="none"/>
        </w:rPr>
        <w:t>七、其他需要说明的问题</w:t>
      </w:r>
      <w:bookmarkEnd w:id="28"/>
    </w:p>
    <w:p>
      <w:pPr>
        <w:bidi w:val="0"/>
        <w:rPr>
          <w:rFonts w:ascii="CESI宋体-GB2312" w:hAnsi="CESI宋体-GB2312"/>
          <w:color w:val="auto"/>
          <w:highlight w:val="none"/>
        </w:rPr>
      </w:pPr>
      <w:r>
        <w:rPr>
          <w:rFonts w:hint="eastAsia" w:ascii="CESI宋体-GB2312" w:hAnsi="CESI宋体-GB2312"/>
          <w:color w:val="auto"/>
          <w:highlight w:val="none"/>
        </w:rPr>
        <w:t>无其他需要说明的问题。</w:t>
      </w:r>
    </w:p>
    <w:p>
      <w:pPr>
        <w:pStyle w:val="4"/>
        <w:bidi w:val="0"/>
        <w:rPr>
          <w:rFonts w:ascii="CESI宋体-GB2312" w:hAnsi="CESI宋体-GB2312"/>
          <w:color w:val="auto"/>
          <w:highlight w:val="none"/>
        </w:rPr>
      </w:pPr>
      <w:bookmarkStart w:id="29" w:name="_Toc10180"/>
      <w:r>
        <w:rPr>
          <w:rFonts w:hint="eastAsia" w:ascii="CESI宋体-GB2312" w:hAnsi="CESI宋体-GB2312"/>
          <w:color w:val="auto"/>
          <w:highlight w:val="none"/>
        </w:rPr>
        <w:t>八、相关附件</w:t>
      </w:r>
      <w:bookmarkEnd w:id="29"/>
    </w:p>
    <w:p>
      <w:pPr>
        <w:bidi w:val="0"/>
        <w:rPr>
          <w:rFonts w:ascii="CESI宋体-GB2312" w:hAnsi="CESI宋体-GB2312"/>
          <w:color w:val="auto"/>
          <w:highlight w:val="none"/>
        </w:rPr>
      </w:pPr>
      <w:r>
        <w:rPr>
          <w:rFonts w:hint="eastAsia" w:ascii="CESI宋体-GB2312" w:hAnsi="CESI宋体-GB2312"/>
          <w:color w:val="auto"/>
          <w:highlight w:val="none"/>
        </w:rPr>
        <w:t>1、项目支出绩效自评表</w:t>
      </w:r>
    </w:p>
    <w:p>
      <w:pPr>
        <w:bidi w:val="0"/>
        <w:rPr>
          <w:rFonts w:ascii="CESI宋体-GB2312" w:hAnsi="CESI宋体-GB2312"/>
          <w:color w:val="auto"/>
          <w:highlight w:val="none"/>
        </w:rPr>
      </w:pPr>
      <w:r>
        <w:rPr>
          <w:rFonts w:hint="eastAsia" w:ascii="CESI宋体-GB2312" w:hAnsi="CESI宋体-GB2312"/>
          <w:color w:val="auto"/>
          <w:highlight w:val="none"/>
        </w:rPr>
        <w:t>2、评价指标体系及得分表</w:t>
      </w:r>
    </w:p>
    <w:p>
      <w:pPr>
        <w:bidi w:val="0"/>
        <w:rPr>
          <w:rFonts w:ascii="CESI宋体-GB2312" w:hAnsi="CESI宋体-GB2312"/>
          <w:color w:val="auto"/>
          <w:highlight w:val="none"/>
        </w:rPr>
        <w:sectPr>
          <w:footerReference r:id="rId3" w:type="default"/>
          <w:pgSz w:w="11906" w:h="16838"/>
          <w:pgMar w:top="1440" w:right="1800" w:bottom="1440" w:left="1800" w:header="851" w:footer="992" w:gutter="0"/>
          <w:pgNumType w:fmt="decimal" w:start="1"/>
          <w:cols w:space="425" w:num="1"/>
          <w:docGrid w:type="lines" w:linePitch="312" w:charSpace="0"/>
        </w:sectPr>
      </w:pPr>
    </w:p>
    <w:p>
      <w:pPr>
        <w:pStyle w:val="4"/>
        <w:bidi w:val="0"/>
        <w:ind w:left="0" w:leftChars="0" w:firstLine="0" w:firstLineChars="0"/>
        <w:jc w:val="both"/>
        <w:rPr>
          <w:rFonts w:ascii="CESI宋体-GB2312" w:hAnsi="CESI宋体-GB2312"/>
          <w:color w:val="auto"/>
          <w:highlight w:val="none"/>
        </w:rPr>
      </w:pPr>
      <w:bookmarkStart w:id="30" w:name="_Toc18004"/>
      <w:bookmarkStart w:id="31" w:name="_Toc6652"/>
      <w:bookmarkStart w:id="32" w:name="_Toc12781"/>
      <w:r>
        <w:rPr>
          <w:rFonts w:ascii="CESI宋体-GB2312" w:hAnsi="CESI宋体-GB2312"/>
          <w:color w:val="auto"/>
          <w:highlight w:val="none"/>
        </w:rPr>
        <w:t>附件1：项目支出绩效自评表</w:t>
      </w:r>
      <w:bookmarkEnd w:id="30"/>
      <w:bookmarkEnd w:id="31"/>
      <w:bookmarkEnd w:id="32"/>
    </w:p>
    <w:tbl>
      <w:tblPr>
        <w:tblStyle w:val="10"/>
        <w:tblW w:w="4999"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89"/>
        <w:gridCol w:w="993"/>
        <w:gridCol w:w="990"/>
        <w:gridCol w:w="1000"/>
        <w:gridCol w:w="1388"/>
        <w:gridCol w:w="990"/>
        <w:gridCol w:w="1312"/>
        <w:gridCol w:w="990"/>
        <w:gridCol w:w="1009"/>
        <w:gridCol w:w="990"/>
        <w:gridCol w:w="1404"/>
        <w:gridCol w:w="1398"/>
        <w:gridCol w:w="1267"/>
        <w:gridCol w:w="119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2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项目名称</w:t>
            </w:r>
          </w:p>
        </w:tc>
        <w:tc>
          <w:tcPr>
            <w:tcW w:w="4376" w:type="pct"/>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2"/>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2023年农业保险保费补贴资金（县级配套）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62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主管部门</w:t>
            </w:r>
          </w:p>
        </w:tc>
        <w:tc>
          <w:tcPr>
            <w:tcW w:w="1784"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尉犁县农业农村局</w:t>
            </w:r>
          </w:p>
        </w:tc>
        <w:tc>
          <w:tcPr>
            <w:tcW w:w="62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实施单位</w:t>
            </w:r>
          </w:p>
        </w:tc>
        <w:tc>
          <w:tcPr>
            <w:tcW w:w="1965"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尉犁县农业农村局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623"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项目资金</w:t>
            </w:r>
            <w:r>
              <w:rPr>
                <w:rFonts w:hint="eastAsia" w:ascii="CESI宋体-GB2312" w:hAnsi="CESI宋体-GB2312"/>
                <w:color w:val="auto"/>
                <w:highlight w:val="none"/>
                <w:lang w:val="en-US" w:eastAsia="zh-CN"/>
              </w:rPr>
              <w:br w:type="textWrapping"/>
            </w:r>
            <w:r>
              <w:rPr>
                <w:rFonts w:hint="eastAsia" w:ascii="CESI宋体-GB2312" w:hAnsi="CESI宋体-GB2312"/>
                <w:color w:val="auto"/>
                <w:highlight w:val="none"/>
                <w:lang w:val="en-US" w:eastAsia="zh-CN"/>
              </w:rPr>
              <w:t>（万元）</w:t>
            </w:r>
          </w:p>
        </w:tc>
        <w:tc>
          <w:tcPr>
            <w:tcW w:w="62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资金来源</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年初预算数</w:t>
            </w:r>
          </w:p>
        </w:tc>
        <w:tc>
          <w:tcPr>
            <w:tcW w:w="72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全年预算数</w:t>
            </w:r>
          </w:p>
        </w:tc>
        <w:tc>
          <w:tcPr>
            <w:tcW w:w="62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全年执行数</w:t>
            </w:r>
          </w:p>
        </w:tc>
        <w:tc>
          <w:tcPr>
            <w:tcW w:w="75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分值权重</w:t>
            </w:r>
          </w:p>
        </w:tc>
        <w:tc>
          <w:tcPr>
            <w:tcW w:w="8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执行率</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623"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p>
        </w:tc>
        <w:tc>
          <w:tcPr>
            <w:tcW w:w="62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年度资金总额</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791.02</w:t>
            </w:r>
          </w:p>
        </w:tc>
        <w:tc>
          <w:tcPr>
            <w:tcW w:w="72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791.02</w:t>
            </w:r>
          </w:p>
        </w:tc>
        <w:tc>
          <w:tcPr>
            <w:tcW w:w="62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791.02</w:t>
            </w:r>
          </w:p>
        </w:tc>
        <w:tc>
          <w:tcPr>
            <w:tcW w:w="75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10</w:t>
            </w:r>
          </w:p>
        </w:tc>
        <w:tc>
          <w:tcPr>
            <w:tcW w:w="8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100.00%</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10.00分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623"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p>
        </w:tc>
        <w:tc>
          <w:tcPr>
            <w:tcW w:w="62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其中：当年财政拨款</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791.02</w:t>
            </w:r>
          </w:p>
        </w:tc>
        <w:tc>
          <w:tcPr>
            <w:tcW w:w="72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791.02</w:t>
            </w:r>
          </w:p>
        </w:tc>
        <w:tc>
          <w:tcPr>
            <w:tcW w:w="62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791.02</w:t>
            </w:r>
          </w:p>
        </w:tc>
        <w:tc>
          <w:tcPr>
            <w:tcW w:w="75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w:t>
            </w:r>
          </w:p>
        </w:tc>
        <w:tc>
          <w:tcPr>
            <w:tcW w:w="8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623"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p>
        </w:tc>
        <w:tc>
          <w:tcPr>
            <w:tcW w:w="62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上年结转资金</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lang w:val="en-US" w:eastAsia="zh-CN"/>
              </w:rPr>
            </w:pPr>
            <w:r>
              <w:rPr>
                <w:rFonts w:hint="eastAsia" w:ascii="CESI宋体-GB2312" w:hAnsi="CESI宋体-GB2312"/>
                <w:color w:val="auto"/>
                <w:highlight w:val="none"/>
                <w:lang w:val="en-US" w:eastAsia="zh-CN"/>
              </w:rPr>
              <w:t>0</w:t>
            </w:r>
          </w:p>
        </w:tc>
        <w:tc>
          <w:tcPr>
            <w:tcW w:w="72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lang w:val="en-US" w:eastAsia="zh-CN"/>
              </w:rPr>
            </w:pPr>
            <w:r>
              <w:rPr>
                <w:rFonts w:hint="eastAsia" w:ascii="CESI宋体-GB2312" w:hAnsi="CESI宋体-GB2312"/>
                <w:color w:val="auto"/>
                <w:highlight w:val="none"/>
                <w:lang w:val="en-US" w:eastAsia="zh-CN"/>
              </w:rPr>
              <w:t>0</w:t>
            </w:r>
          </w:p>
        </w:tc>
        <w:tc>
          <w:tcPr>
            <w:tcW w:w="62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lang w:val="en-US" w:eastAsia="zh-CN"/>
              </w:rPr>
            </w:pPr>
            <w:r>
              <w:rPr>
                <w:rFonts w:hint="eastAsia" w:ascii="CESI宋体-GB2312" w:hAnsi="CESI宋体-GB2312"/>
                <w:color w:val="auto"/>
                <w:highlight w:val="none"/>
                <w:lang w:val="en-US" w:eastAsia="zh-CN"/>
              </w:rPr>
              <w:t>0</w:t>
            </w:r>
          </w:p>
        </w:tc>
        <w:tc>
          <w:tcPr>
            <w:tcW w:w="75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w:t>
            </w:r>
          </w:p>
        </w:tc>
        <w:tc>
          <w:tcPr>
            <w:tcW w:w="8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623"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p>
        </w:tc>
        <w:tc>
          <w:tcPr>
            <w:tcW w:w="62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其他资金</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0</w:t>
            </w:r>
          </w:p>
        </w:tc>
        <w:tc>
          <w:tcPr>
            <w:tcW w:w="72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0</w:t>
            </w:r>
          </w:p>
        </w:tc>
        <w:tc>
          <w:tcPr>
            <w:tcW w:w="62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0</w:t>
            </w:r>
          </w:p>
        </w:tc>
        <w:tc>
          <w:tcPr>
            <w:tcW w:w="75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w:t>
            </w:r>
          </w:p>
        </w:tc>
        <w:tc>
          <w:tcPr>
            <w:tcW w:w="8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31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年度总体目标</w:t>
            </w:r>
          </w:p>
        </w:tc>
        <w:tc>
          <w:tcPr>
            <w:tcW w:w="2722" w:type="pct"/>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总体目标</w:t>
            </w:r>
          </w:p>
        </w:tc>
        <w:tc>
          <w:tcPr>
            <w:tcW w:w="1965"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总体目标完成情况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60" w:hRule="atLeast"/>
        </w:trPr>
        <w:tc>
          <w:tcPr>
            <w:tcW w:w="31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p>
        </w:tc>
        <w:tc>
          <w:tcPr>
            <w:tcW w:w="2722" w:type="pct"/>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1.引导和支持农户参加农业保险。2.主要保障关系国计民生和粮食安全的大宗农产品，重点支持农业生产环节。3.不断扩大农业保险覆盖面积和风险保障水平，逐步建立市场化的农业生产风险防范化解机制。4.稳定农业生产，保障农民收入。</w:t>
            </w:r>
          </w:p>
        </w:tc>
        <w:tc>
          <w:tcPr>
            <w:tcW w:w="1965"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1.三大粮食作物投保面积和覆盖面达95.16%；2.育肥猪保险覆盖率达78.93%。3.提升了农业保险覆盖面和风险保障水平，进一步建立市场化的农业生产风险防范化解机制。4.稳定农业生产，保障农民收入。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一级指标</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二级指标</w:t>
            </w:r>
          </w:p>
        </w:tc>
        <w:tc>
          <w:tcPr>
            <w:tcW w:w="31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三级指标</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指标值</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指标值设置依据</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上年完成值</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指标分值权重</w:t>
            </w:r>
          </w:p>
        </w:tc>
        <w:tc>
          <w:tcPr>
            <w:tcW w:w="314"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指标赋分规则</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佐证资料</w:t>
            </w:r>
          </w:p>
        </w:tc>
        <w:tc>
          <w:tcPr>
            <w:tcW w:w="441"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指标实际完成值</w:t>
            </w:r>
          </w:p>
        </w:tc>
        <w:tc>
          <w:tcPr>
            <w:tcW w:w="439"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完成率</w:t>
            </w:r>
          </w:p>
        </w:tc>
        <w:tc>
          <w:tcPr>
            <w:tcW w:w="39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指标得分</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31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年度绩效指标完成情况</w:t>
            </w:r>
          </w:p>
        </w:tc>
        <w:tc>
          <w:tcPr>
            <w:tcW w:w="31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产出指标</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数量指标</w:t>
            </w:r>
          </w:p>
        </w:tc>
        <w:tc>
          <w:tcPr>
            <w:tcW w:w="31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三大粮食作物投保面积和覆盖面</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&gt;=65%</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计划标准</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=65%</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8</w:t>
            </w:r>
          </w:p>
        </w:tc>
        <w:tc>
          <w:tcPr>
            <w:tcW w:w="314"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按照完成比例赋分</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工作资料</w:t>
            </w:r>
          </w:p>
        </w:tc>
        <w:tc>
          <w:tcPr>
            <w:tcW w:w="441"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=95.16%</w:t>
            </w:r>
          </w:p>
        </w:tc>
        <w:tc>
          <w:tcPr>
            <w:tcW w:w="439"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146.4%</w:t>
            </w:r>
          </w:p>
        </w:tc>
        <w:tc>
          <w:tcPr>
            <w:tcW w:w="39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8</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相比2022年，2023年三大粮食作物种植面积增加，种植户投保量增加。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36" w:hRule="atLeast"/>
        </w:trPr>
        <w:tc>
          <w:tcPr>
            <w:tcW w:w="31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p>
        </w:tc>
        <w:tc>
          <w:tcPr>
            <w:tcW w:w="31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数量指标</w:t>
            </w:r>
          </w:p>
        </w:tc>
        <w:tc>
          <w:tcPr>
            <w:tcW w:w="31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育肥猪保险覆盖率</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&gt;=35%</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计划标准</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=35%</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8</w:t>
            </w:r>
          </w:p>
        </w:tc>
        <w:tc>
          <w:tcPr>
            <w:tcW w:w="314"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color w:val="auto"/>
                <w:highlight w:val="none"/>
              </w:rPr>
              <w:t>按照完成比例赋分</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工作资料</w:t>
            </w:r>
          </w:p>
        </w:tc>
        <w:tc>
          <w:tcPr>
            <w:tcW w:w="441"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=78.93%</w:t>
            </w:r>
          </w:p>
        </w:tc>
        <w:tc>
          <w:tcPr>
            <w:tcW w:w="439"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225.51%</w:t>
            </w:r>
          </w:p>
        </w:tc>
        <w:tc>
          <w:tcPr>
            <w:tcW w:w="39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8</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相比2022年，2023年育肥猪养殖户增加，养殖数量增加，养殖户投保量增加。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31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p>
        </w:tc>
        <w:tc>
          <w:tcPr>
            <w:tcW w:w="31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质量指标</w:t>
            </w:r>
          </w:p>
        </w:tc>
        <w:tc>
          <w:tcPr>
            <w:tcW w:w="31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绝对免赔额</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=0%</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计划标准</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=0%</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8</w:t>
            </w:r>
          </w:p>
        </w:tc>
        <w:tc>
          <w:tcPr>
            <w:tcW w:w="314"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color w:val="auto"/>
                <w:highlight w:val="none"/>
              </w:rPr>
              <w:t>按照完成比例赋分</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工作资料</w:t>
            </w:r>
          </w:p>
        </w:tc>
        <w:tc>
          <w:tcPr>
            <w:tcW w:w="441"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=0%</w:t>
            </w:r>
          </w:p>
        </w:tc>
        <w:tc>
          <w:tcPr>
            <w:tcW w:w="439"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100%</w:t>
            </w:r>
          </w:p>
        </w:tc>
        <w:tc>
          <w:tcPr>
            <w:tcW w:w="39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8</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31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p>
        </w:tc>
        <w:tc>
          <w:tcPr>
            <w:tcW w:w="31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质量指标</w:t>
            </w:r>
          </w:p>
        </w:tc>
        <w:tc>
          <w:tcPr>
            <w:tcW w:w="31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风险保障水平</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&gt;=90%</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计划标准</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=90%</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8</w:t>
            </w:r>
          </w:p>
        </w:tc>
        <w:tc>
          <w:tcPr>
            <w:tcW w:w="314"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color w:val="auto"/>
                <w:highlight w:val="none"/>
              </w:rPr>
              <w:t>按照完成比例赋分</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工作资料</w:t>
            </w:r>
          </w:p>
        </w:tc>
        <w:tc>
          <w:tcPr>
            <w:tcW w:w="441"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=90%</w:t>
            </w:r>
          </w:p>
        </w:tc>
        <w:tc>
          <w:tcPr>
            <w:tcW w:w="439"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100%</w:t>
            </w:r>
          </w:p>
        </w:tc>
        <w:tc>
          <w:tcPr>
            <w:tcW w:w="39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8</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31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p>
        </w:tc>
        <w:tc>
          <w:tcPr>
            <w:tcW w:w="31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时效指标</w:t>
            </w:r>
          </w:p>
        </w:tc>
        <w:tc>
          <w:tcPr>
            <w:tcW w:w="31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补助发放及时率</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=100%</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计划标准</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=100%</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8</w:t>
            </w:r>
          </w:p>
        </w:tc>
        <w:tc>
          <w:tcPr>
            <w:tcW w:w="314"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color w:val="auto"/>
                <w:highlight w:val="none"/>
              </w:rPr>
              <w:t>按照完成比例赋分</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工作资料</w:t>
            </w:r>
          </w:p>
        </w:tc>
        <w:tc>
          <w:tcPr>
            <w:tcW w:w="441"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=100%</w:t>
            </w:r>
          </w:p>
        </w:tc>
        <w:tc>
          <w:tcPr>
            <w:tcW w:w="439"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100%</w:t>
            </w:r>
          </w:p>
        </w:tc>
        <w:tc>
          <w:tcPr>
            <w:tcW w:w="39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8</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31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p>
        </w:tc>
        <w:tc>
          <w:tcPr>
            <w:tcW w:w="31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成本指标</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经济成本指标</w:t>
            </w:r>
          </w:p>
        </w:tc>
        <w:tc>
          <w:tcPr>
            <w:tcW w:w="31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棉花保费标准</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=70元/亩</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其他标准</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100%</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10</w:t>
            </w:r>
          </w:p>
        </w:tc>
        <w:tc>
          <w:tcPr>
            <w:tcW w:w="314"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color w:val="auto"/>
                <w:highlight w:val="none"/>
              </w:rPr>
              <w:t>按照完成比例赋分</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工作资料</w:t>
            </w:r>
          </w:p>
        </w:tc>
        <w:tc>
          <w:tcPr>
            <w:tcW w:w="441"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=70元/亩</w:t>
            </w:r>
          </w:p>
        </w:tc>
        <w:tc>
          <w:tcPr>
            <w:tcW w:w="439"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100%</w:t>
            </w:r>
          </w:p>
        </w:tc>
        <w:tc>
          <w:tcPr>
            <w:tcW w:w="39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10</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31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p>
        </w:tc>
        <w:tc>
          <w:tcPr>
            <w:tcW w:w="31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经济成本指标</w:t>
            </w:r>
          </w:p>
        </w:tc>
        <w:tc>
          <w:tcPr>
            <w:tcW w:w="31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玉米保费标准</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=49元/亩</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其他标准</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100%</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5</w:t>
            </w:r>
          </w:p>
        </w:tc>
        <w:tc>
          <w:tcPr>
            <w:tcW w:w="314"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color w:val="auto"/>
                <w:highlight w:val="none"/>
              </w:rPr>
              <w:t>按照完成比例赋分</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工作资料</w:t>
            </w:r>
          </w:p>
        </w:tc>
        <w:tc>
          <w:tcPr>
            <w:tcW w:w="441"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=49元/亩</w:t>
            </w:r>
          </w:p>
        </w:tc>
        <w:tc>
          <w:tcPr>
            <w:tcW w:w="439"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100%</w:t>
            </w:r>
          </w:p>
        </w:tc>
        <w:tc>
          <w:tcPr>
            <w:tcW w:w="39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5</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31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p>
        </w:tc>
        <w:tc>
          <w:tcPr>
            <w:tcW w:w="31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经济成本指标</w:t>
            </w:r>
          </w:p>
        </w:tc>
        <w:tc>
          <w:tcPr>
            <w:tcW w:w="31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小麦保费标准</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=30元/亩</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其他标准</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100%</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5</w:t>
            </w:r>
          </w:p>
        </w:tc>
        <w:tc>
          <w:tcPr>
            <w:tcW w:w="314"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color w:val="auto"/>
                <w:highlight w:val="none"/>
              </w:rPr>
              <w:t>按照完成比例赋分</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工作资料</w:t>
            </w:r>
          </w:p>
        </w:tc>
        <w:tc>
          <w:tcPr>
            <w:tcW w:w="441"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=30元/亩</w:t>
            </w:r>
          </w:p>
        </w:tc>
        <w:tc>
          <w:tcPr>
            <w:tcW w:w="439"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100%</w:t>
            </w:r>
          </w:p>
        </w:tc>
        <w:tc>
          <w:tcPr>
            <w:tcW w:w="39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5</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31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p>
        </w:tc>
        <w:tc>
          <w:tcPr>
            <w:tcW w:w="31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效益指标</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经济效益指标</w:t>
            </w:r>
          </w:p>
        </w:tc>
        <w:tc>
          <w:tcPr>
            <w:tcW w:w="31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风险保障总额</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&gt;113000万元</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计划标准</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113000万元</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10</w:t>
            </w:r>
          </w:p>
        </w:tc>
        <w:tc>
          <w:tcPr>
            <w:tcW w:w="314"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color w:val="auto"/>
                <w:highlight w:val="none"/>
              </w:rPr>
              <w:t>按照完成比例赋分</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工作资料</w:t>
            </w:r>
          </w:p>
        </w:tc>
        <w:tc>
          <w:tcPr>
            <w:tcW w:w="441"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=113000万元</w:t>
            </w:r>
          </w:p>
        </w:tc>
        <w:tc>
          <w:tcPr>
            <w:tcW w:w="439"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100%</w:t>
            </w:r>
          </w:p>
        </w:tc>
        <w:tc>
          <w:tcPr>
            <w:tcW w:w="39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10</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31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p>
        </w:tc>
        <w:tc>
          <w:tcPr>
            <w:tcW w:w="31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社会效益指标</w:t>
            </w:r>
          </w:p>
        </w:tc>
        <w:tc>
          <w:tcPr>
            <w:tcW w:w="31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经办机构县级分支机构覆盖率</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=100%</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计划标准</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=100%</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10</w:t>
            </w:r>
          </w:p>
        </w:tc>
        <w:tc>
          <w:tcPr>
            <w:tcW w:w="314"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color w:val="auto"/>
                <w:highlight w:val="none"/>
              </w:rPr>
              <w:t>按照完成比例赋分</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工作资料</w:t>
            </w:r>
          </w:p>
        </w:tc>
        <w:tc>
          <w:tcPr>
            <w:tcW w:w="441"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=100%</w:t>
            </w:r>
          </w:p>
        </w:tc>
        <w:tc>
          <w:tcPr>
            <w:tcW w:w="439"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100%</w:t>
            </w:r>
          </w:p>
        </w:tc>
        <w:tc>
          <w:tcPr>
            <w:tcW w:w="39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10</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31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满意度指标</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满意度指标</w:t>
            </w:r>
          </w:p>
        </w:tc>
        <w:tc>
          <w:tcPr>
            <w:tcW w:w="31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投保农户满意度</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&gt;=80%</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计划标准</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=80%</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10</w:t>
            </w:r>
          </w:p>
        </w:tc>
        <w:tc>
          <w:tcPr>
            <w:tcW w:w="314"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满意度赋分</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工作资料</w:t>
            </w:r>
          </w:p>
        </w:tc>
        <w:tc>
          <w:tcPr>
            <w:tcW w:w="441"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=80%</w:t>
            </w:r>
          </w:p>
        </w:tc>
        <w:tc>
          <w:tcPr>
            <w:tcW w:w="439"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100%</w:t>
            </w:r>
          </w:p>
        </w:tc>
        <w:tc>
          <w:tcPr>
            <w:tcW w:w="39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10</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248"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总分</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p>
        </w:tc>
        <w:tc>
          <w:tcPr>
            <w:tcW w:w="314"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p>
        </w:tc>
        <w:tc>
          <w:tcPr>
            <w:tcW w:w="441"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p>
        </w:tc>
        <w:tc>
          <w:tcPr>
            <w:tcW w:w="439"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p>
        </w:tc>
        <w:tc>
          <w:tcPr>
            <w:tcW w:w="39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r>
              <w:rPr>
                <w:rFonts w:hint="eastAsia" w:ascii="CESI宋体-GB2312" w:hAnsi="CESI宋体-GB2312"/>
                <w:color w:val="auto"/>
                <w:highlight w:val="none"/>
                <w:lang w:val="en-US" w:eastAsia="zh-CN"/>
              </w:rPr>
              <w:t>100.00分</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ascii="CESI宋体-GB2312" w:hAnsi="CESI宋体-GB2312"/>
                <w:color w:val="auto"/>
                <w:highlight w:val="none"/>
              </w:rPr>
            </w:pPr>
          </w:p>
        </w:tc>
      </w:tr>
    </w:tbl>
    <w:p>
      <w:pPr>
        <w:rPr>
          <w:rFonts w:ascii="CESI宋体-GB2312" w:hAnsi="CESI宋体-GB2312"/>
          <w:color w:val="auto"/>
          <w:highlight w:val="none"/>
        </w:rPr>
      </w:pPr>
    </w:p>
    <w:p>
      <w:pPr>
        <w:rPr>
          <w:rFonts w:ascii="CESI宋体-GB2312" w:hAnsi="CESI宋体-GB2312"/>
          <w:color w:val="auto"/>
          <w:highlight w:val="none"/>
        </w:rPr>
        <w:sectPr>
          <w:pgSz w:w="16838" w:h="11906" w:orient="landscape"/>
          <w:pgMar w:top="1803" w:right="567" w:bottom="1803" w:left="567" w:header="851" w:footer="992" w:gutter="0"/>
          <w:pgNumType w:fmt="decimal"/>
          <w:cols w:space="0" w:num="1"/>
          <w:rtlGutter w:val="0"/>
          <w:docGrid w:type="lines" w:linePitch="312" w:charSpace="0"/>
        </w:sectPr>
      </w:pPr>
    </w:p>
    <w:p>
      <w:pPr>
        <w:pStyle w:val="2"/>
        <w:rPr>
          <w:rFonts w:ascii="CESI宋体-GB2312" w:hAnsi="CESI宋体-GB2312"/>
          <w:color w:val="auto"/>
          <w:highlight w:val="none"/>
        </w:rPr>
      </w:pPr>
    </w:p>
    <w:p>
      <w:pPr>
        <w:pStyle w:val="4"/>
        <w:bidi w:val="0"/>
        <w:rPr>
          <w:rFonts w:ascii="CESI宋体-GB2312" w:hAnsi="CESI宋体-GB2312"/>
          <w:color w:val="auto"/>
          <w:highlight w:val="none"/>
        </w:rPr>
      </w:pPr>
      <w:bookmarkStart w:id="33" w:name="_Toc5134"/>
      <w:bookmarkStart w:id="34" w:name="_Toc1641"/>
      <w:bookmarkStart w:id="35" w:name="_Toc28099"/>
      <w:bookmarkStart w:id="36" w:name="_Toc23301"/>
      <w:r>
        <w:rPr>
          <w:rFonts w:ascii="CESI宋体-GB2312" w:hAnsi="CESI宋体-GB2312"/>
          <w:color w:val="auto"/>
          <w:highlight w:val="none"/>
        </w:rPr>
        <w:t>附件</w:t>
      </w:r>
      <w:r>
        <w:rPr>
          <w:rFonts w:hint="eastAsia" w:ascii="CESI宋体-GB2312" w:hAnsi="CESI宋体-GB2312"/>
          <w:color w:val="auto"/>
          <w:highlight w:val="none"/>
        </w:rPr>
        <w:t>2</w:t>
      </w:r>
      <w:r>
        <w:rPr>
          <w:rFonts w:ascii="CESI宋体-GB2312" w:hAnsi="CESI宋体-GB2312"/>
          <w:color w:val="auto"/>
          <w:highlight w:val="none"/>
        </w:rPr>
        <w:t>：项目支出绩效评价指标体系及评分</w:t>
      </w:r>
      <w:bookmarkEnd w:id="33"/>
      <w:bookmarkEnd w:id="34"/>
      <w:bookmarkEnd w:id="35"/>
      <w:bookmarkEnd w:id="36"/>
    </w:p>
    <w:p>
      <w:pPr>
        <w:pStyle w:val="12"/>
        <w:bidi w:val="0"/>
        <w:rPr>
          <w:rFonts w:ascii="CESI宋体-GB2312" w:hAnsi="CESI宋体-GB2312"/>
          <w:color w:val="auto"/>
          <w:highlight w:val="none"/>
        </w:rPr>
      </w:pPr>
      <w:r>
        <w:rPr>
          <w:rFonts w:ascii="CESI宋体-GB2312" w:hAnsi="CESI宋体-GB2312"/>
          <w:color w:val="auto"/>
          <w:highlight w:val="none"/>
        </w:rPr>
        <w:t>项目支出绩效评价指标体系及评分</w:t>
      </w:r>
    </w:p>
    <w:tbl>
      <w:tblPr>
        <w:tblStyle w:val="10"/>
        <w:tblpPr w:leftFromText="180" w:rightFromText="180" w:vertAnchor="text" w:horzAnchor="page" w:tblpXSpec="center" w:tblpY="180"/>
        <w:tblOverlap w:val="never"/>
        <w:tblW w:w="4930" w:type="pct"/>
        <w:jc w:val="center"/>
        <w:tblLayout w:type="autofit"/>
        <w:tblCellMar>
          <w:top w:w="0" w:type="dxa"/>
          <w:left w:w="108" w:type="dxa"/>
          <w:bottom w:w="0" w:type="dxa"/>
          <w:right w:w="108" w:type="dxa"/>
        </w:tblCellMar>
      </w:tblPr>
      <w:tblGrid>
        <w:gridCol w:w="498"/>
        <w:gridCol w:w="673"/>
        <w:gridCol w:w="818"/>
        <w:gridCol w:w="1580"/>
        <w:gridCol w:w="3305"/>
        <w:gridCol w:w="532"/>
        <w:gridCol w:w="991"/>
      </w:tblGrid>
      <w:tr>
        <w:tblPrEx>
          <w:tblCellMar>
            <w:top w:w="0" w:type="dxa"/>
            <w:left w:w="108" w:type="dxa"/>
            <w:bottom w:w="0" w:type="dxa"/>
            <w:right w:w="108" w:type="dxa"/>
          </w:tblCellMar>
        </w:tblPrEx>
        <w:trPr>
          <w:trHeight w:val="460" w:hRule="atLeast"/>
          <w:jc w:val="center"/>
        </w:trPr>
        <w:tc>
          <w:tcPr>
            <w:tcW w:w="35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r>
              <w:rPr>
                <w:rFonts w:ascii="CESI宋体-GB2312" w:hAnsi="CESI宋体-GB2312"/>
                <w:color w:val="auto"/>
                <w:highlight w:val="none"/>
              </w:rPr>
              <w:t>一级指标</w:t>
            </w:r>
          </w:p>
        </w:tc>
        <w:tc>
          <w:tcPr>
            <w:tcW w:w="456"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r>
              <w:rPr>
                <w:rFonts w:ascii="CESI宋体-GB2312" w:hAnsi="CESI宋体-GB2312"/>
                <w:color w:val="auto"/>
                <w:highlight w:val="none"/>
              </w:rPr>
              <w:t>二级指标</w:t>
            </w:r>
          </w:p>
        </w:tc>
        <w:tc>
          <w:tcPr>
            <w:tcW w:w="54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r>
              <w:rPr>
                <w:rFonts w:ascii="CESI宋体-GB2312" w:hAnsi="CESI宋体-GB2312"/>
                <w:color w:val="auto"/>
                <w:highlight w:val="none"/>
              </w:rPr>
              <w:t>三级指标</w:t>
            </w:r>
          </w:p>
        </w:tc>
        <w:tc>
          <w:tcPr>
            <w:tcW w:w="996" w:type="pct"/>
            <w:tcBorders>
              <w:top w:val="single" w:color="000000" w:sz="4" w:space="0"/>
              <w:left w:val="single" w:color="000000" w:sz="4" w:space="0"/>
              <w:bottom w:val="single" w:color="000000" w:sz="4" w:space="0"/>
              <w:right w:val="nil"/>
            </w:tcBorders>
            <w:shd w:val="clear" w:color="auto" w:fill="FFFFFF"/>
            <w:vAlign w:val="center"/>
          </w:tcPr>
          <w:p>
            <w:pPr>
              <w:pStyle w:val="13"/>
              <w:bidi w:val="0"/>
              <w:rPr>
                <w:rFonts w:ascii="CESI宋体-GB2312" w:hAnsi="CESI宋体-GB2312"/>
                <w:color w:val="auto"/>
                <w:highlight w:val="none"/>
              </w:rPr>
            </w:pPr>
            <w:r>
              <w:rPr>
                <w:rFonts w:ascii="CESI宋体-GB2312" w:hAnsi="CESI宋体-GB2312"/>
                <w:color w:val="auto"/>
                <w:highlight w:val="none"/>
              </w:rPr>
              <w:t>指标解释</w:t>
            </w:r>
          </w:p>
        </w:tc>
        <w:tc>
          <w:tcPr>
            <w:tcW w:w="2020"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r>
              <w:rPr>
                <w:rFonts w:ascii="CESI宋体-GB2312" w:hAnsi="CESI宋体-GB2312"/>
                <w:color w:val="auto"/>
                <w:highlight w:val="none"/>
              </w:rPr>
              <w:t>指标说明</w:t>
            </w:r>
          </w:p>
        </w:tc>
        <w:tc>
          <w:tcPr>
            <w:tcW w:w="31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r>
              <w:rPr>
                <w:rFonts w:ascii="CESI宋体-GB2312" w:hAnsi="CESI宋体-GB2312"/>
                <w:color w:val="auto"/>
                <w:highlight w:val="none"/>
              </w:rPr>
              <w:t>分值</w:t>
            </w:r>
          </w:p>
        </w:tc>
        <w:tc>
          <w:tcPr>
            <w:tcW w:w="31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r>
              <w:rPr>
                <w:rFonts w:hint="eastAsia" w:ascii="CESI宋体-GB2312" w:hAnsi="CESI宋体-GB2312"/>
                <w:color w:val="auto"/>
                <w:highlight w:val="none"/>
              </w:rPr>
              <w:t>得分</w:t>
            </w:r>
          </w:p>
        </w:tc>
      </w:tr>
      <w:tr>
        <w:tblPrEx>
          <w:tblCellMar>
            <w:top w:w="0" w:type="dxa"/>
            <w:left w:w="108" w:type="dxa"/>
            <w:bottom w:w="0" w:type="dxa"/>
            <w:right w:w="108" w:type="dxa"/>
          </w:tblCellMar>
        </w:tblPrEx>
        <w:trPr>
          <w:trHeight w:val="460" w:hRule="atLeast"/>
          <w:jc w:val="center"/>
        </w:trPr>
        <w:tc>
          <w:tcPr>
            <w:tcW w:w="35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r>
              <w:rPr>
                <w:rFonts w:ascii="CESI宋体-GB2312" w:hAnsi="CESI宋体-GB2312"/>
                <w:color w:val="auto"/>
                <w:highlight w:val="none"/>
              </w:rPr>
              <w:t>决策</w:t>
            </w:r>
          </w:p>
        </w:tc>
        <w:tc>
          <w:tcPr>
            <w:tcW w:w="456"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r>
              <w:rPr>
                <w:rFonts w:ascii="CESI宋体-GB2312" w:hAnsi="CESI宋体-GB2312"/>
                <w:color w:val="auto"/>
                <w:highlight w:val="none"/>
              </w:rPr>
              <w:t>项目</w:t>
            </w:r>
            <w:r>
              <w:rPr>
                <w:rFonts w:hint="eastAsia" w:ascii="CESI宋体-GB2312" w:hAnsi="CESI宋体-GB2312"/>
                <w:color w:val="auto"/>
                <w:highlight w:val="none"/>
              </w:rPr>
              <w:t>实施</w:t>
            </w:r>
          </w:p>
        </w:tc>
        <w:tc>
          <w:tcPr>
            <w:tcW w:w="54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r>
              <w:rPr>
                <w:rFonts w:hint="eastAsia" w:ascii="CESI宋体-GB2312" w:hAnsi="CESI宋体-GB2312"/>
                <w:color w:val="auto"/>
                <w:highlight w:val="none"/>
              </w:rPr>
              <w:t>实施</w:t>
            </w:r>
            <w:r>
              <w:rPr>
                <w:rFonts w:ascii="CESI宋体-GB2312" w:hAnsi="CESI宋体-GB2312"/>
                <w:color w:val="auto"/>
                <w:highlight w:val="none"/>
              </w:rPr>
              <w:t>依据充分性</w:t>
            </w:r>
          </w:p>
        </w:tc>
        <w:tc>
          <w:tcPr>
            <w:tcW w:w="996" w:type="pct"/>
            <w:vMerge w:val="restart"/>
            <w:tcBorders>
              <w:top w:val="single" w:color="000000" w:sz="4" w:space="0"/>
              <w:left w:val="single" w:color="000000" w:sz="4" w:space="0"/>
              <w:bottom w:val="single" w:color="000000" w:sz="4" w:space="0"/>
              <w:right w:val="nil"/>
            </w:tcBorders>
            <w:shd w:val="clear" w:color="auto" w:fill="FFFFFF"/>
            <w:vAlign w:val="center"/>
          </w:tcPr>
          <w:p>
            <w:pPr>
              <w:pStyle w:val="13"/>
              <w:bidi w:val="0"/>
              <w:rPr>
                <w:rFonts w:ascii="CESI宋体-GB2312" w:hAnsi="CESI宋体-GB2312"/>
                <w:color w:val="auto"/>
                <w:highlight w:val="none"/>
              </w:rPr>
            </w:pPr>
            <w:r>
              <w:rPr>
                <w:rFonts w:ascii="CESI宋体-GB2312" w:hAnsi="CESI宋体-GB2312"/>
                <w:color w:val="auto"/>
                <w:highlight w:val="none"/>
              </w:rPr>
              <w:t>项目</w:t>
            </w:r>
            <w:r>
              <w:rPr>
                <w:rFonts w:hint="eastAsia" w:ascii="CESI宋体-GB2312" w:hAnsi="CESI宋体-GB2312"/>
                <w:color w:val="auto"/>
                <w:highlight w:val="none"/>
              </w:rPr>
              <w:t>实施</w:t>
            </w:r>
            <w:r>
              <w:rPr>
                <w:rFonts w:ascii="CESI宋体-GB2312" w:hAnsi="CESI宋体-GB2312"/>
                <w:color w:val="auto"/>
                <w:highlight w:val="none"/>
              </w:rPr>
              <w:t>是否符合法律法规、相关政策、发展规划以及部门职责，用以反映和考核项目</w:t>
            </w:r>
            <w:r>
              <w:rPr>
                <w:rFonts w:hint="eastAsia" w:ascii="CESI宋体-GB2312" w:hAnsi="CESI宋体-GB2312"/>
                <w:color w:val="auto"/>
                <w:highlight w:val="none"/>
              </w:rPr>
              <w:t>实施</w:t>
            </w:r>
            <w:r>
              <w:rPr>
                <w:rFonts w:ascii="CESI宋体-GB2312" w:hAnsi="CESI宋体-GB2312"/>
                <w:color w:val="auto"/>
                <w:highlight w:val="none"/>
              </w:rPr>
              <w:t>依据情况。</w:t>
            </w:r>
          </w:p>
        </w:tc>
        <w:tc>
          <w:tcPr>
            <w:tcW w:w="2020" w:type="pct"/>
            <w:tcBorders>
              <w:top w:val="nil"/>
              <w:left w:val="single" w:color="000000" w:sz="4" w:space="0"/>
              <w:bottom w:val="nil"/>
              <w:right w:val="single" w:color="000000" w:sz="4" w:space="0"/>
            </w:tcBorders>
            <w:shd w:val="clear" w:color="auto" w:fill="FFFFFF"/>
            <w:vAlign w:val="center"/>
          </w:tcPr>
          <w:p>
            <w:pPr>
              <w:pStyle w:val="13"/>
              <w:bidi w:val="0"/>
              <w:rPr>
                <w:rFonts w:ascii="CESI宋体-GB2312" w:hAnsi="CESI宋体-GB2312"/>
                <w:color w:val="auto"/>
                <w:highlight w:val="none"/>
              </w:rPr>
            </w:pPr>
            <w:r>
              <w:rPr>
                <w:rFonts w:ascii="CESI宋体-GB2312" w:hAnsi="CESI宋体-GB2312"/>
                <w:color w:val="auto"/>
                <w:highlight w:val="none"/>
              </w:rPr>
              <w:t>评价要点：</w:t>
            </w:r>
          </w:p>
        </w:tc>
        <w:tc>
          <w:tcPr>
            <w:tcW w:w="315" w:type="pct"/>
            <w:vMerge w:val="restart"/>
            <w:tcBorders>
              <w:top w:val="single" w:color="000000" w:sz="4" w:space="0"/>
              <w:left w:val="single" w:color="000000" w:sz="4" w:space="0"/>
              <w:bottom w:val="single" w:color="000000" w:sz="4" w:space="0"/>
              <w:right w:val="single" w:color="000000" w:sz="4" w:space="0"/>
            </w:tcBorders>
            <w:noWrap/>
            <w:vAlign w:val="center"/>
          </w:tcPr>
          <w:p>
            <w:pPr>
              <w:pStyle w:val="13"/>
              <w:bidi w:val="0"/>
              <w:rPr>
                <w:rFonts w:ascii="CESI宋体-GB2312" w:hAnsi="CESI宋体-GB2312"/>
                <w:color w:val="auto"/>
                <w:highlight w:val="none"/>
              </w:rPr>
            </w:pPr>
            <w:r>
              <w:rPr>
                <w:rFonts w:ascii="CESI宋体-GB2312" w:hAnsi="CESI宋体-GB2312"/>
                <w:color w:val="auto"/>
                <w:highlight w:val="none"/>
              </w:rPr>
              <w:t>3</w:t>
            </w:r>
          </w:p>
        </w:tc>
        <w:tc>
          <w:tcPr>
            <w:tcW w:w="315" w:type="pct"/>
            <w:vMerge w:val="restart"/>
            <w:tcBorders>
              <w:top w:val="single" w:color="000000" w:sz="4" w:space="0"/>
              <w:left w:val="single" w:color="000000" w:sz="4" w:space="0"/>
              <w:right w:val="single" w:color="000000" w:sz="4" w:space="0"/>
            </w:tcBorders>
            <w:noWrap/>
            <w:vAlign w:val="center"/>
          </w:tcPr>
          <w:p>
            <w:pPr>
              <w:pStyle w:val="13"/>
              <w:bidi w:val="0"/>
              <w:rPr>
                <w:rFonts w:ascii="CESI宋体-GB2312" w:hAnsi="CESI宋体-GB2312"/>
                <w:color w:val="auto"/>
                <w:highlight w:val="none"/>
              </w:rPr>
            </w:pPr>
            <w:r>
              <w:rPr>
                <w:rFonts w:hint="eastAsia" w:ascii="CESI宋体-GB2312" w:hAnsi="CESI宋体-GB2312"/>
                <w:color w:val="auto"/>
                <w:highlight w:val="none"/>
              </w:rPr>
              <w:t>3</w:t>
            </w:r>
          </w:p>
        </w:tc>
      </w:tr>
      <w:tr>
        <w:tblPrEx>
          <w:tblCellMar>
            <w:top w:w="0" w:type="dxa"/>
            <w:left w:w="108" w:type="dxa"/>
            <w:bottom w:w="0" w:type="dxa"/>
            <w:right w:w="108" w:type="dxa"/>
          </w:tblCellMar>
        </w:tblPrEx>
        <w:trPr>
          <w:trHeight w:val="460" w:hRule="atLeast"/>
          <w:jc w:val="center"/>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rFonts w:ascii="CESI宋体-GB2312" w:hAnsi="CESI宋体-GB2312"/>
                <w:color w:val="auto"/>
                <w:highlight w:val="none"/>
              </w:rPr>
            </w:pPr>
          </w:p>
        </w:tc>
        <w:tc>
          <w:tcPr>
            <w:tcW w:w="2020" w:type="pct"/>
            <w:tcBorders>
              <w:top w:val="nil"/>
              <w:left w:val="single" w:color="000000" w:sz="4" w:space="0"/>
              <w:bottom w:val="nil"/>
              <w:right w:val="single" w:color="000000" w:sz="4" w:space="0"/>
            </w:tcBorders>
            <w:shd w:val="clear" w:color="auto" w:fill="FFFFFF"/>
            <w:vAlign w:val="center"/>
          </w:tcPr>
          <w:p>
            <w:pPr>
              <w:pStyle w:val="13"/>
              <w:bidi w:val="0"/>
              <w:rPr>
                <w:rFonts w:ascii="CESI宋体-GB2312" w:hAnsi="CESI宋体-GB2312"/>
                <w:color w:val="auto"/>
                <w:highlight w:val="none"/>
              </w:rPr>
            </w:pPr>
            <w:r>
              <w:rPr>
                <w:rFonts w:ascii="CESI宋体-GB2312" w:hAnsi="CESI宋体-GB2312"/>
                <w:color w:val="auto"/>
                <w:highlight w:val="none"/>
              </w:rPr>
              <w:t>①项目</w:t>
            </w:r>
            <w:r>
              <w:rPr>
                <w:rFonts w:hint="eastAsia" w:ascii="CESI宋体-GB2312" w:hAnsi="CESI宋体-GB2312"/>
                <w:color w:val="auto"/>
                <w:highlight w:val="none"/>
              </w:rPr>
              <w:t>实施</w:t>
            </w:r>
            <w:r>
              <w:rPr>
                <w:rFonts w:ascii="CESI宋体-GB2312" w:hAnsi="CESI宋体-GB2312"/>
                <w:color w:val="auto"/>
                <w:highlight w:val="none"/>
              </w:rPr>
              <w:t>是否符合国家法律法规、国民经济发展规划和相关政策；</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rPr>
                <w:rFonts w:ascii="CESI宋体-GB2312" w:hAnsi="CESI宋体-GB2312"/>
                <w:color w:val="auto"/>
                <w:highlight w:val="none"/>
              </w:rPr>
            </w:pPr>
          </w:p>
        </w:tc>
        <w:tc>
          <w:tcPr>
            <w:tcW w:w="315" w:type="pct"/>
            <w:vMerge w:val="continue"/>
            <w:tcBorders>
              <w:left w:val="single" w:color="000000" w:sz="4" w:space="0"/>
              <w:right w:val="single" w:color="000000" w:sz="4" w:space="0"/>
            </w:tcBorders>
            <w:noWrap/>
            <w:vAlign w:val="center"/>
          </w:tcPr>
          <w:p>
            <w:pPr>
              <w:pStyle w:val="13"/>
              <w:bidi w:val="0"/>
              <w:rPr>
                <w:rFonts w:ascii="CESI宋体-GB2312" w:hAnsi="CESI宋体-GB2312"/>
                <w:color w:val="auto"/>
                <w:highlight w:val="none"/>
              </w:rPr>
            </w:pPr>
          </w:p>
        </w:tc>
      </w:tr>
      <w:tr>
        <w:tblPrEx>
          <w:tblCellMar>
            <w:top w:w="0" w:type="dxa"/>
            <w:left w:w="108" w:type="dxa"/>
            <w:bottom w:w="0" w:type="dxa"/>
            <w:right w:w="108" w:type="dxa"/>
          </w:tblCellMar>
        </w:tblPrEx>
        <w:trPr>
          <w:trHeight w:val="460" w:hRule="atLeast"/>
          <w:jc w:val="center"/>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rFonts w:ascii="CESI宋体-GB2312" w:hAnsi="CESI宋体-GB2312"/>
                <w:color w:val="auto"/>
                <w:highlight w:val="none"/>
              </w:rPr>
            </w:pPr>
          </w:p>
        </w:tc>
        <w:tc>
          <w:tcPr>
            <w:tcW w:w="2020" w:type="pct"/>
            <w:tcBorders>
              <w:top w:val="nil"/>
              <w:left w:val="single" w:color="000000" w:sz="4" w:space="0"/>
              <w:bottom w:val="nil"/>
              <w:right w:val="single" w:color="000000" w:sz="4" w:space="0"/>
            </w:tcBorders>
            <w:shd w:val="clear" w:color="auto" w:fill="FFFFFF"/>
            <w:vAlign w:val="center"/>
          </w:tcPr>
          <w:p>
            <w:pPr>
              <w:pStyle w:val="13"/>
              <w:bidi w:val="0"/>
              <w:rPr>
                <w:rFonts w:ascii="CESI宋体-GB2312" w:hAnsi="CESI宋体-GB2312"/>
                <w:color w:val="auto"/>
                <w:highlight w:val="none"/>
              </w:rPr>
            </w:pPr>
            <w:r>
              <w:rPr>
                <w:rFonts w:ascii="CESI宋体-GB2312" w:hAnsi="CESI宋体-GB2312"/>
                <w:color w:val="auto"/>
                <w:highlight w:val="none"/>
              </w:rPr>
              <w:t>②项目</w:t>
            </w:r>
            <w:r>
              <w:rPr>
                <w:rFonts w:hint="eastAsia" w:ascii="CESI宋体-GB2312" w:hAnsi="CESI宋体-GB2312"/>
                <w:color w:val="auto"/>
                <w:highlight w:val="none"/>
              </w:rPr>
              <w:t>实施</w:t>
            </w:r>
            <w:r>
              <w:rPr>
                <w:rFonts w:ascii="CESI宋体-GB2312" w:hAnsi="CESI宋体-GB2312"/>
                <w:color w:val="auto"/>
                <w:highlight w:val="none"/>
              </w:rPr>
              <w:t>是否符合行业发展规划和政策要求；</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rPr>
                <w:rFonts w:ascii="CESI宋体-GB2312" w:hAnsi="CESI宋体-GB2312"/>
                <w:color w:val="auto"/>
                <w:highlight w:val="none"/>
              </w:rPr>
            </w:pPr>
          </w:p>
        </w:tc>
        <w:tc>
          <w:tcPr>
            <w:tcW w:w="315" w:type="pct"/>
            <w:vMerge w:val="continue"/>
            <w:tcBorders>
              <w:left w:val="single" w:color="000000" w:sz="4" w:space="0"/>
              <w:right w:val="single" w:color="000000" w:sz="4" w:space="0"/>
            </w:tcBorders>
            <w:noWrap/>
            <w:vAlign w:val="center"/>
          </w:tcPr>
          <w:p>
            <w:pPr>
              <w:pStyle w:val="13"/>
              <w:bidi w:val="0"/>
              <w:rPr>
                <w:rFonts w:ascii="CESI宋体-GB2312" w:hAnsi="CESI宋体-GB2312"/>
                <w:color w:val="auto"/>
                <w:highlight w:val="none"/>
              </w:rPr>
            </w:pPr>
          </w:p>
        </w:tc>
      </w:tr>
      <w:tr>
        <w:tblPrEx>
          <w:tblCellMar>
            <w:top w:w="0" w:type="dxa"/>
            <w:left w:w="108" w:type="dxa"/>
            <w:bottom w:w="0" w:type="dxa"/>
            <w:right w:w="108" w:type="dxa"/>
          </w:tblCellMar>
        </w:tblPrEx>
        <w:trPr>
          <w:trHeight w:val="460" w:hRule="atLeast"/>
          <w:jc w:val="center"/>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rFonts w:ascii="CESI宋体-GB2312" w:hAnsi="CESI宋体-GB2312"/>
                <w:color w:val="auto"/>
                <w:highlight w:val="none"/>
              </w:rPr>
            </w:pPr>
          </w:p>
        </w:tc>
        <w:tc>
          <w:tcPr>
            <w:tcW w:w="2020" w:type="pct"/>
            <w:tcBorders>
              <w:top w:val="nil"/>
              <w:left w:val="single" w:color="000000" w:sz="4" w:space="0"/>
              <w:bottom w:val="nil"/>
              <w:right w:val="single" w:color="000000" w:sz="4" w:space="0"/>
            </w:tcBorders>
            <w:shd w:val="clear" w:color="auto" w:fill="FFFFFF"/>
            <w:vAlign w:val="center"/>
          </w:tcPr>
          <w:p>
            <w:pPr>
              <w:pStyle w:val="13"/>
              <w:bidi w:val="0"/>
              <w:rPr>
                <w:rFonts w:ascii="CESI宋体-GB2312" w:hAnsi="CESI宋体-GB2312"/>
                <w:color w:val="auto"/>
                <w:highlight w:val="none"/>
              </w:rPr>
            </w:pPr>
            <w:r>
              <w:rPr>
                <w:rFonts w:ascii="CESI宋体-GB2312" w:hAnsi="CESI宋体-GB2312"/>
                <w:color w:val="auto"/>
                <w:highlight w:val="none"/>
              </w:rPr>
              <w:t>③项目</w:t>
            </w:r>
            <w:r>
              <w:rPr>
                <w:rFonts w:hint="eastAsia" w:ascii="CESI宋体-GB2312" w:hAnsi="CESI宋体-GB2312"/>
                <w:color w:val="auto"/>
                <w:highlight w:val="none"/>
              </w:rPr>
              <w:t>实施</w:t>
            </w:r>
            <w:r>
              <w:rPr>
                <w:rFonts w:ascii="CESI宋体-GB2312" w:hAnsi="CESI宋体-GB2312"/>
                <w:color w:val="auto"/>
                <w:highlight w:val="none"/>
              </w:rPr>
              <w:t>是否与部门职责范围相符，属于部门履职所需；</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rPr>
                <w:rFonts w:ascii="CESI宋体-GB2312" w:hAnsi="CESI宋体-GB2312"/>
                <w:color w:val="auto"/>
                <w:highlight w:val="none"/>
              </w:rPr>
            </w:pPr>
          </w:p>
        </w:tc>
        <w:tc>
          <w:tcPr>
            <w:tcW w:w="315" w:type="pct"/>
            <w:vMerge w:val="continue"/>
            <w:tcBorders>
              <w:left w:val="single" w:color="000000" w:sz="4" w:space="0"/>
              <w:right w:val="single" w:color="000000" w:sz="4" w:space="0"/>
            </w:tcBorders>
            <w:noWrap/>
            <w:vAlign w:val="center"/>
          </w:tcPr>
          <w:p>
            <w:pPr>
              <w:pStyle w:val="13"/>
              <w:bidi w:val="0"/>
              <w:rPr>
                <w:rFonts w:ascii="CESI宋体-GB2312" w:hAnsi="CESI宋体-GB2312"/>
                <w:color w:val="auto"/>
                <w:highlight w:val="none"/>
              </w:rPr>
            </w:pPr>
          </w:p>
        </w:tc>
      </w:tr>
      <w:tr>
        <w:tblPrEx>
          <w:tblCellMar>
            <w:top w:w="0" w:type="dxa"/>
            <w:left w:w="108" w:type="dxa"/>
            <w:bottom w:w="0" w:type="dxa"/>
            <w:right w:w="108" w:type="dxa"/>
          </w:tblCellMar>
        </w:tblPrEx>
        <w:trPr>
          <w:trHeight w:val="460" w:hRule="atLeast"/>
          <w:jc w:val="center"/>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rFonts w:ascii="CESI宋体-GB2312" w:hAnsi="CESI宋体-GB2312"/>
                <w:color w:val="auto"/>
                <w:highlight w:val="none"/>
              </w:rPr>
            </w:pPr>
          </w:p>
        </w:tc>
        <w:tc>
          <w:tcPr>
            <w:tcW w:w="2020" w:type="pct"/>
            <w:tcBorders>
              <w:top w:val="nil"/>
              <w:left w:val="single" w:color="000000" w:sz="4" w:space="0"/>
              <w:bottom w:val="nil"/>
              <w:right w:val="single" w:color="000000" w:sz="4" w:space="0"/>
            </w:tcBorders>
            <w:shd w:val="clear" w:color="auto" w:fill="FFFFFF"/>
            <w:vAlign w:val="center"/>
          </w:tcPr>
          <w:p>
            <w:pPr>
              <w:pStyle w:val="13"/>
              <w:bidi w:val="0"/>
              <w:rPr>
                <w:rFonts w:ascii="CESI宋体-GB2312" w:hAnsi="CESI宋体-GB2312"/>
                <w:color w:val="auto"/>
                <w:highlight w:val="none"/>
              </w:rPr>
            </w:pPr>
            <w:r>
              <w:rPr>
                <w:rFonts w:ascii="CESI宋体-GB2312" w:hAnsi="CESI宋体-GB2312"/>
                <w:color w:val="auto"/>
                <w:highlight w:val="none"/>
              </w:rPr>
              <w:t>④项目是否属于公共财政支持范围，是否符合中央、地方事权支出责任划分原则；</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rPr>
                <w:rFonts w:ascii="CESI宋体-GB2312" w:hAnsi="CESI宋体-GB2312"/>
                <w:color w:val="auto"/>
                <w:highlight w:val="none"/>
              </w:rPr>
            </w:pPr>
          </w:p>
        </w:tc>
        <w:tc>
          <w:tcPr>
            <w:tcW w:w="315" w:type="pct"/>
            <w:vMerge w:val="continue"/>
            <w:tcBorders>
              <w:left w:val="single" w:color="000000" w:sz="4" w:space="0"/>
              <w:right w:val="single" w:color="000000" w:sz="4" w:space="0"/>
            </w:tcBorders>
            <w:noWrap/>
            <w:vAlign w:val="center"/>
          </w:tcPr>
          <w:p>
            <w:pPr>
              <w:pStyle w:val="13"/>
              <w:bidi w:val="0"/>
              <w:rPr>
                <w:rFonts w:ascii="CESI宋体-GB2312" w:hAnsi="CESI宋体-GB2312"/>
                <w:color w:val="auto"/>
                <w:highlight w:val="none"/>
              </w:rPr>
            </w:pPr>
          </w:p>
        </w:tc>
      </w:tr>
      <w:tr>
        <w:tblPrEx>
          <w:tblCellMar>
            <w:top w:w="0" w:type="dxa"/>
            <w:left w:w="108" w:type="dxa"/>
            <w:bottom w:w="0" w:type="dxa"/>
            <w:right w:w="108" w:type="dxa"/>
          </w:tblCellMar>
        </w:tblPrEx>
        <w:trPr>
          <w:trHeight w:val="460" w:hRule="atLeast"/>
          <w:jc w:val="center"/>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rFonts w:ascii="CESI宋体-GB2312" w:hAnsi="CESI宋体-GB2312"/>
                <w:color w:val="auto"/>
                <w:highlight w:val="none"/>
              </w:rPr>
            </w:pPr>
          </w:p>
        </w:tc>
        <w:tc>
          <w:tcPr>
            <w:tcW w:w="2020" w:type="pct"/>
            <w:tcBorders>
              <w:top w:val="nil"/>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r>
              <w:rPr>
                <w:rFonts w:ascii="CESI宋体-GB2312" w:hAnsi="CESI宋体-GB2312"/>
                <w:color w:val="auto"/>
                <w:highlight w:val="none"/>
              </w:rPr>
              <w:t>⑤项目是否与相关部门同类项目或部门内部相关项目重复。</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rPr>
                <w:rFonts w:ascii="CESI宋体-GB2312" w:hAnsi="CESI宋体-GB2312"/>
                <w:color w:val="auto"/>
                <w:highlight w:val="none"/>
              </w:rPr>
            </w:pPr>
          </w:p>
        </w:tc>
        <w:tc>
          <w:tcPr>
            <w:tcW w:w="315" w:type="pct"/>
            <w:vMerge w:val="continue"/>
            <w:tcBorders>
              <w:left w:val="single" w:color="000000" w:sz="4" w:space="0"/>
              <w:bottom w:val="single" w:color="000000" w:sz="4" w:space="0"/>
              <w:right w:val="single" w:color="000000" w:sz="4" w:space="0"/>
            </w:tcBorders>
            <w:noWrap/>
            <w:vAlign w:val="center"/>
          </w:tcPr>
          <w:p>
            <w:pPr>
              <w:pStyle w:val="13"/>
              <w:bidi w:val="0"/>
              <w:rPr>
                <w:rFonts w:ascii="CESI宋体-GB2312" w:hAnsi="CESI宋体-GB2312"/>
                <w:color w:val="auto"/>
                <w:highlight w:val="none"/>
              </w:rPr>
            </w:pPr>
          </w:p>
        </w:tc>
      </w:tr>
      <w:tr>
        <w:tblPrEx>
          <w:tblCellMar>
            <w:top w:w="0" w:type="dxa"/>
            <w:left w:w="108" w:type="dxa"/>
            <w:bottom w:w="0" w:type="dxa"/>
            <w:right w:w="108" w:type="dxa"/>
          </w:tblCellMar>
        </w:tblPrEx>
        <w:trPr>
          <w:trHeight w:val="460" w:hRule="atLeast"/>
          <w:jc w:val="center"/>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p>
        </w:tc>
        <w:tc>
          <w:tcPr>
            <w:tcW w:w="54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r>
              <w:rPr>
                <w:rFonts w:hint="eastAsia" w:ascii="CESI宋体-GB2312" w:hAnsi="CESI宋体-GB2312"/>
                <w:color w:val="auto"/>
                <w:highlight w:val="none"/>
              </w:rPr>
              <w:t>实施</w:t>
            </w:r>
            <w:r>
              <w:rPr>
                <w:rFonts w:ascii="CESI宋体-GB2312" w:hAnsi="CESI宋体-GB2312"/>
                <w:color w:val="auto"/>
                <w:highlight w:val="none"/>
              </w:rPr>
              <w:t>程序规范性</w:t>
            </w:r>
          </w:p>
        </w:tc>
        <w:tc>
          <w:tcPr>
            <w:tcW w:w="996" w:type="pct"/>
            <w:vMerge w:val="restart"/>
            <w:tcBorders>
              <w:top w:val="single" w:color="000000" w:sz="4" w:space="0"/>
              <w:left w:val="single" w:color="000000" w:sz="4" w:space="0"/>
              <w:bottom w:val="single" w:color="000000" w:sz="4" w:space="0"/>
              <w:right w:val="nil"/>
            </w:tcBorders>
            <w:shd w:val="clear" w:color="auto" w:fill="FFFFFF"/>
            <w:vAlign w:val="center"/>
          </w:tcPr>
          <w:p>
            <w:pPr>
              <w:pStyle w:val="13"/>
              <w:bidi w:val="0"/>
              <w:rPr>
                <w:rFonts w:ascii="CESI宋体-GB2312" w:hAnsi="CESI宋体-GB2312"/>
                <w:color w:val="auto"/>
                <w:highlight w:val="none"/>
              </w:rPr>
            </w:pPr>
            <w:r>
              <w:rPr>
                <w:rFonts w:ascii="CESI宋体-GB2312" w:hAnsi="CESI宋体-GB2312"/>
                <w:color w:val="auto"/>
                <w:highlight w:val="none"/>
              </w:rPr>
              <w:t>项目申请、设立过程是否符合相关要求，用以反映和考核项目</w:t>
            </w:r>
            <w:r>
              <w:rPr>
                <w:rFonts w:hint="eastAsia" w:ascii="CESI宋体-GB2312" w:hAnsi="CESI宋体-GB2312"/>
                <w:color w:val="auto"/>
                <w:highlight w:val="none"/>
              </w:rPr>
              <w:t>实施</w:t>
            </w:r>
            <w:r>
              <w:rPr>
                <w:rFonts w:ascii="CESI宋体-GB2312" w:hAnsi="CESI宋体-GB2312"/>
                <w:color w:val="auto"/>
                <w:highlight w:val="none"/>
              </w:rPr>
              <w:t>的规范情况。</w:t>
            </w:r>
          </w:p>
        </w:tc>
        <w:tc>
          <w:tcPr>
            <w:tcW w:w="2020" w:type="pct"/>
            <w:tcBorders>
              <w:top w:val="single" w:color="000000" w:sz="4" w:space="0"/>
              <w:left w:val="single" w:color="000000" w:sz="4" w:space="0"/>
              <w:bottom w:val="nil"/>
              <w:right w:val="single" w:color="000000" w:sz="4" w:space="0"/>
            </w:tcBorders>
            <w:shd w:val="clear" w:color="auto" w:fill="FFFFFF"/>
            <w:vAlign w:val="center"/>
          </w:tcPr>
          <w:p>
            <w:pPr>
              <w:pStyle w:val="13"/>
              <w:bidi w:val="0"/>
              <w:rPr>
                <w:rFonts w:ascii="CESI宋体-GB2312" w:hAnsi="CESI宋体-GB2312"/>
                <w:color w:val="auto"/>
                <w:highlight w:val="none"/>
              </w:rPr>
            </w:pPr>
            <w:r>
              <w:rPr>
                <w:rFonts w:ascii="CESI宋体-GB2312" w:hAnsi="CESI宋体-GB2312"/>
                <w:color w:val="auto"/>
                <w:highlight w:val="none"/>
              </w:rPr>
              <w:t>评价要点：</w:t>
            </w:r>
          </w:p>
        </w:tc>
        <w:tc>
          <w:tcPr>
            <w:tcW w:w="315" w:type="pct"/>
            <w:vMerge w:val="restart"/>
            <w:tcBorders>
              <w:top w:val="single" w:color="000000" w:sz="4" w:space="0"/>
              <w:left w:val="single" w:color="000000" w:sz="4" w:space="0"/>
              <w:bottom w:val="single" w:color="000000" w:sz="4" w:space="0"/>
              <w:right w:val="single" w:color="000000" w:sz="4" w:space="0"/>
            </w:tcBorders>
            <w:noWrap/>
            <w:vAlign w:val="center"/>
          </w:tcPr>
          <w:p>
            <w:pPr>
              <w:pStyle w:val="13"/>
              <w:bidi w:val="0"/>
              <w:rPr>
                <w:rFonts w:ascii="CESI宋体-GB2312" w:hAnsi="CESI宋体-GB2312"/>
                <w:color w:val="auto"/>
                <w:highlight w:val="none"/>
              </w:rPr>
            </w:pPr>
            <w:r>
              <w:rPr>
                <w:rFonts w:ascii="CESI宋体-GB2312" w:hAnsi="CESI宋体-GB2312"/>
                <w:color w:val="auto"/>
                <w:highlight w:val="none"/>
              </w:rPr>
              <w:t>3</w:t>
            </w:r>
          </w:p>
        </w:tc>
        <w:tc>
          <w:tcPr>
            <w:tcW w:w="315" w:type="pct"/>
            <w:vMerge w:val="restart"/>
            <w:tcBorders>
              <w:top w:val="single" w:color="000000" w:sz="4" w:space="0"/>
              <w:left w:val="single" w:color="000000" w:sz="4" w:space="0"/>
              <w:right w:val="single" w:color="000000" w:sz="4" w:space="0"/>
            </w:tcBorders>
            <w:noWrap/>
            <w:vAlign w:val="center"/>
          </w:tcPr>
          <w:p>
            <w:pPr>
              <w:pStyle w:val="13"/>
              <w:bidi w:val="0"/>
              <w:rPr>
                <w:rFonts w:ascii="CESI宋体-GB2312" w:hAnsi="CESI宋体-GB2312"/>
                <w:color w:val="auto"/>
                <w:highlight w:val="none"/>
              </w:rPr>
            </w:pPr>
            <w:r>
              <w:rPr>
                <w:rFonts w:hint="eastAsia" w:ascii="CESI宋体-GB2312" w:hAnsi="CESI宋体-GB2312"/>
                <w:color w:val="auto"/>
                <w:highlight w:val="none"/>
              </w:rPr>
              <w:t>3</w:t>
            </w:r>
          </w:p>
        </w:tc>
      </w:tr>
      <w:tr>
        <w:tblPrEx>
          <w:tblCellMar>
            <w:top w:w="0" w:type="dxa"/>
            <w:left w:w="108" w:type="dxa"/>
            <w:bottom w:w="0" w:type="dxa"/>
            <w:right w:w="108" w:type="dxa"/>
          </w:tblCellMar>
        </w:tblPrEx>
        <w:trPr>
          <w:trHeight w:val="460" w:hRule="atLeast"/>
          <w:jc w:val="center"/>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rFonts w:ascii="CESI宋体-GB2312" w:hAnsi="CESI宋体-GB2312"/>
                <w:color w:val="auto"/>
                <w:highlight w:val="none"/>
              </w:rPr>
            </w:pPr>
          </w:p>
        </w:tc>
        <w:tc>
          <w:tcPr>
            <w:tcW w:w="2020" w:type="pct"/>
            <w:tcBorders>
              <w:top w:val="nil"/>
              <w:left w:val="single" w:color="000000" w:sz="4" w:space="0"/>
              <w:bottom w:val="nil"/>
              <w:right w:val="single" w:color="000000" w:sz="4" w:space="0"/>
            </w:tcBorders>
            <w:shd w:val="clear" w:color="auto" w:fill="FFFFFF"/>
            <w:vAlign w:val="center"/>
          </w:tcPr>
          <w:p>
            <w:pPr>
              <w:pStyle w:val="13"/>
              <w:bidi w:val="0"/>
              <w:rPr>
                <w:rFonts w:ascii="CESI宋体-GB2312" w:hAnsi="CESI宋体-GB2312"/>
                <w:color w:val="auto"/>
                <w:highlight w:val="none"/>
              </w:rPr>
            </w:pPr>
            <w:r>
              <w:rPr>
                <w:rFonts w:ascii="CESI宋体-GB2312" w:hAnsi="CESI宋体-GB2312"/>
                <w:color w:val="auto"/>
                <w:highlight w:val="none"/>
              </w:rPr>
              <w:t>①项目是否按照规定的程序申请设立；</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rPr>
                <w:rFonts w:ascii="CESI宋体-GB2312" w:hAnsi="CESI宋体-GB2312"/>
                <w:color w:val="auto"/>
                <w:highlight w:val="none"/>
              </w:rPr>
            </w:pPr>
          </w:p>
        </w:tc>
        <w:tc>
          <w:tcPr>
            <w:tcW w:w="315" w:type="pct"/>
            <w:vMerge w:val="continue"/>
            <w:tcBorders>
              <w:left w:val="single" w:color="000000" w:sz="4" w:space="0"/>
              <w:right w:val="single" w:color="000000" w:sz="4" w:space="0"/>
            </w:tcBorders>
            <w:noWrap/>
            <w:vAlign w:val="center"/>
          </w:tcPr>
          <w:p>
            <w:pPr>
              <w:pStyle w:val="13"/>
              <w:bidi w:val="0"/>
              <w:rPr>
                <w:rFonts w:ascii="CESI宋体-GB2312" w:hAnsi="CESI宋体-GB2312"/>
                <w:color w:val="auto"/>
                <w:highlight w:val="none"/>
              </w:rPr>
            </w:pPr>
          </w:p>
        </w:tc>
      </w:tr>
      <w:tr>
        <w:tblPrEx>
          <w:tblCellMar>
            <w:top w:w="0" w:type="dxa"/>
            <w:left w:w="108" w:type="dxa"/>
            <w:bottom w:w="0" w:type="dxa"/>
            <w:right w:w="108" w:type="dxa"/>
          </w:tblCellMar>
        </w:tblPrEx>
        <w:trPr>
          <w:trHeight w:val="460" w:hRule="atLeast"/>
          <w:jc w:val="center"/>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rFonts w:ascii="CESI宋体-GB2312" w:hAnsi="CESI宋体-GB2312"/>
                <w:color w:val="auto"/>
                <w:highlight w:val="none"/>
              </w:rPr>
            </w:pPr>
          </w:p>
        </w:tc>
        <w:tc>
          <w:tcPr>
            <w:tcW w:w="2020" w:type="pct"/>
            <w:tcBorders>
              <w:top w:val="nil"/>
              <w:left w:val="single" w:color="000000" w:sz="4" w:space="0"/>
              <w:bottom w:val="nil"/>
              <w:right w:val="single" w:color="000000" w:sz="4" w:space="0"/>
            </w:tcBorders>
            <w:shd w:val="clear" w:color="auto" w:fill="FFFFFF"/>
            <w:vAlign w:val="center"/>
          </w:tcPr>
          <w:p>
            <w:pPr>
              <w:pStyle w:val="13"/>
              <w:bidi w:val="0"/>
              <w:rPr>
                <w:rFonts w:ascii="CESI宋体-GB2312" w:hAnsi="CESI宋体-GB2312"/>
                <w:color w:val="auto"/>
                <w:highlight w:val="none"/>
              </w:rPr>
            </w:pPr>
            <w:r>
              <w:rPr>
                <w:rFonts w:ascii="CESI宋体-GB2312" w:hAnsi="CESI宋体-GB2312"/>
                <w:color w:val="auto"/>
                <w:highlight w:val="none"/>
              </w:rPr>
              <w:t>②审批文件、材料是否符合相关要求；</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rPr>
                <w:rFonts w:ascii="CESI宋体-GB2312" w:hAnsi="CESI宋体-GB2312"/>
                <w:color w:val="auto"/>
                <w:highlight w:val="none"/>
              </w:rPr>
            </w:pPr>
          </w:p>
        </w:tc>
        <w:tc>
          <w:tcPr>
            <w:tcW w:w="315" w:type="pct"/>
            <w:vMerge w:val="continue"/>
            <w:tcBorders>
              <w:left w:val="single" w:color="000000" w:sz="4" w:space="0"/>
              <w:bottom w:val="single" w:color="000000" w:sz="4" w:space="0"/>
              <w:right w:val="single" w:color="000000" w:sz="4" w:space="0"/>
            </w:tcBorders>
            <w:noWrap/>
            <w:vAlign w:val="center"/>
          </w:tcPr>
          <w:p>
            <w:pPr>
              <w:pStyle w:val="13"/>
              <w:bidi w:val="0"/>
              <w:rPr>
                <w:rFonts w:ascii="CESI宋体-GB2312" w:hAnsi="CESI宋体-GB2312"/>
                <w:color w:val="auto"/>
                <w:highlight w:val="none"/>
              </w:rPr>
            </w:pPr>
          </w:p>
        </w:tc>
      </w:tr>
      <w:tr>
        <w:tblPrEx>
          <w:tblCellMar>
            <w:top w:w="0" w:type="dxa"/>
            <w:left w:w="108" w:type="dxa"/>
            <w:bottom w:w="0" w:type="dxa"/>
            <w:right w:w="108" w:type="dxa"/>
          </w:tblCellMar>
        </w:tblPrEx>
        <w:trPr>
          <w:trHeight w:val="460" w:hRule="atLeast"/>
          <w:jc w:val="center"/>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p>
        </w:tc>
        <w:tc>
          <w:tcPr>
            <w:tcW w:w="456"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r>
              <w:rPr>
                <w:rFonts w:ascii="CESI宋体-GB2312" w:hAnsi="CESI宋体-GB2312"/>
                <w:color w:val="auto"/>
                <w:highlight w:val="none"/>
              </w:rPr>
              <w:t>绩效目标</w:t>
            </w:r>
          </w:p>
        </w:tc>
        <w:tc>
          <w:tcPr>
            <w:tcW w:w="54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r>
              <w:rPr>
                <w:rFonts w:ascii="CESI宋体-GB2312" w:hAnsi="CESI宋体-GB2312"/>
                <w:color w:val="auto"/>
                <w:highlight w:val="none"/>
              </w:rPr>
              <w:t>绩效目标合理性</w:t>
            </w:r>
          </w:p>
        </w:tc>
        <w:tc>
          <w:tcPr>
            <w:tcW w:w="996" w:type="pct"/>
            <w:vMerge w:val="restart"/>
            <w:tcBorders>
              <w:top w:val="single" w:color="000000" w:sz="4" w:space="0"/>
              <w:left w:val="single" w:color="000000" w:sz="4" w:space="0"/>
              <w:bottom w:val="single" w:color="000000" w:sz="4" w:space="0"/>
              <w:right w:val="nil"/>
            </w:tcBorders>
            <w:shd w:val="clear" w:color="auto" w:fill="FFFFFF"/>
            <w:vAlign w:val="center"/>
          </w:tcPr>
          <w:p>
            <w:pPr>
              <w:pStyle w:val="13"/>
              <w:bidi w:val="0"/>
              <w:rPr>
                <w:rFonts w:ascii="CESI宋体-GB2312" w:hAnsi="CESI宋体-GB2312"/>
                <w:color w:val="auto"/>
                <w:highlight w:val="none"/>
              </w:rPr>
            </w:pPr>
            <w:r>
              <w:rPr>
                <w:rFonts w:ascii="CESI宋体-GB2312" w:hAnsi="CESI宋体-GB2312"/>
                <w:color w:val="auto"/>
                <w:highlight w:val="none"/>
              </w:rPr>
              <w:t>项目所设定的绩效目标是否依据充分，是否符合客观实际，用以反映和考核项目绩效目标与项目实施的相符情况。</w:t>
            </w:r>
          </w:p>
        </w:tc>
        <w:tc>
          <w:tcPr>
            <w:tcW w:w="2020" w:type="pct"/>
            <w:tcBorders>
              <w:top w:val="single" w:color="000000" w:sz="4" w:space="0"/>
              <w:left w:val="single" w:color="000000" w:sz="4" w:space="0"/>
              <w:bottom w:val="nil"/>
              <w:right w:val="single" w:color="000000" w:sz="4" w:space="0"/>
            </w:tcBorders>
            <w:shd w:val="clear" w:color="auto" w:fill="FFFFFF"/>
            <w:vAlign w:val="center"/>
          </w:tcPr>
          <w:p>
            <w:pPr>
              <w:pStyle w:val="13"/>
              <w:bidi w:val="0"/>
              <w:rPr>
                <w:rFonts w:ascii="CESI宋体-GB2312" w:hAnsi="CESI宋体-GB2312"/>
                <w:color w:val="auto"/>
                <w:highlight w:val="none"/>
              </w:rPr>
            </w:pPr>
            <w:r>
              <w:rPr>
                <w:rFonts w:ascii="CESI宋体-GB2312" w:hAnsi="CESI宋体-GB2312"/>
                <w:color w:val="auto"/>
                <w:highlight w:val="none"/>
              </w:rPr>
              <w:t>评价要点：</w:t>
            </w:r>
          </w:p>
        </w:tc>
        <w:tc>
          <w:tcPr>
            <w:tcW w:w="315" w:type="pct"/>
            <w:vMerge w:val="restart"/>
            <w:tcBorders>
              <w:top w:val="single" w:color="000000" w:sz="4" w:space="0"/>
              <w:left w:val="single" w:color="000000" w:sz="4" w:space="0"/>
              <w:bottom w:val="single" w:color="000000" w:sz="4" w:space="0"/>
              <w:right w:val="single" w:color="000000" w:sz="4" w:space="0"/>
            </w:tcBorders>
            <w:noWrap/>
            <w:vAlign w:val="center"/>
          </w:tcPr>
          <w:p>
            <w:pPr>
              <w:pStyle w:val="13"/>
              <w:bidi w:val="0"/>
              <w:rPr>
                <w:rFonts w:ascii="CESI宋体-GB2312" w:hAnsi="CESI宋体-GB2312"/>
                <w:color w:val="auto"/>
                <w:highlight w:val="none"/>
              </w:rPr>
            </w:pPr>
            <w:r>
              <w:rPr>
                <w:rFonts w:ascii="CESI宋体-GB2312" w:hAnsi="CESI宋体-GB2312"/>
                <w:color w:val="auto"/>
                <w:highlight w:val="none"/>
              </w:rPr>
              <w:t>4</w:t>
            </w:r>
          </w:p>
        </w:tc>
        <w:tc>
          <w:tcPr>
            <w:tcW w:w="315" w:type="pct"/>
            <w:vMerge w:val="restart"/>
            <w:tcBorders>
              <w:top w:val="single" w:color="000000" w:sz="4" w:space="0"/>
              <w:left w:val="single" w:color="000000" w:sz="4" w:space="0"/>
              <w:right w:val="single" w:color="000000" w:sz="4" w:space="0"/>
            </w:tcBorders>
            <w:noWrap/>
            <w:vAlign w:val="center"/>
          </w:tcPr>
          <w:p>
            <w:pPr>
              <w:pStyle w:val="13"/>
              <w:bidi w:val="0"/>
              <w:rPr>
                <w:rFonts w:ascii="CESI宋体-GB2312" w:hAnsi="CESI宋体-GB2312"/>
                <w:color w:val="auto"/>
                <w:highlight w:val="none"/>
              </w:rPr>
            </w:pPr>
            <w:r>
              <w:rPr>
                <w:rFonts w:hint="eastAsia" w:ascii="CESI宋体-GB2312" w:hAnsi="CESI宋体-GB2312"/>
                <w:color w:val="auto"/>
                <w:highlight w:val="none"/>
              </w:rPr>
              <w:t>4</w:t>
            </w:r>
          </w:p>
        </w:tc>
      </w:tr>
      <w:tr>
        <w:tblPrEx>
          <w:tblCellMar>
            <w:top w:w="0" w:type="dxa"/>
            <w:left w:w="108" w:type="dxa"/>
            <w:bottom w:w="0" w:type="dxa"/>
            <w:right w:w="108" w:type="dxa"/>
          </w:tblCellMar>
        </w:tblPrEx>
        <w:trPr>
          <w:trHeight w:val="460" w:hRule="atLeast"/>
          <w:jc w:val="center"/>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rFonts w:ascii="CESI宋体-GB2312" w:hAnsi="CESI宋体-GB2312"/>
                <w:color w:val="auto"/>
                <w:highlight w:val="none"/>
              </w:rPr>
            </w:pPr>
          </w:p>
        </w:tc>
        <w:tc>
          <w:tcPr>
            <w:tcW w:w="2020" w:type="pct"/>
            <w:tcBorders>
              <w:top w:val="nil"/>
              <w:left w:val="single" w:color="000000" w:sz="4" w:space="0"/>
              <w:bottom w:val="nil"/>
              <w:right w:val="single" w:color="000000" w:sz="4" w:space="0"/>
            </w:tcBorders>
            <w:shd w:val="clear" w:color="auto" w:fill="FFFFFF"/>
            <w:vAlign w:val="center"/>
          </w:tcPr>
          <w:p>
            <w:pPr>
              <w:pStyle w:val="13"/>
              <w:bidi w:val="0"/>
              <w:rPr>
                <w:rFonts w:ascii="CESI宋体-GB2312" w:hAnsi="CESI宋体-GB2312"/>
                <w:color w:val="auto"/>
                <w:highlight w:val="none"/>
              </w:rPr>
            </w:pPr>
            <w:r>
              <w:rPr>
                <w:rFonts w:ascii="CESI宋体-GB2312" w:hAnsi="CESI宋体-GB2312"/>
                <w:color w:val="auto"/>
                <w:highlight w:val="none"/>
              </w:rPr>
              <w:t>①项目是否有绩效目标；</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rPr>
                <w:rFonts w:ascii="CESI宋体-GB2312" w:hAnsi="CESI宋体-GB2312"/>
                <w:color w:val="auto"/>
                <w:highlight w:val="none"/>
              </w:rPr>
            </w:pPr>
          </w:p>
        </w:tc>
        <w:tc>
          <w:tcPr>
            <w:tcW w:w="315" w:type="pct"/>
            <w:vMerge w:val="continue"/>
            <w:tcBorders>
              <w:left w:val="single" w:color="000000" w:sz="4" w:space="0"/>
              <w:right w:val="single" w:color="000000" w:sz="4" w:space="0"/>
            </w:tcBorders>
            <w:noWrap/>
            <w:vAlign w:val="center"/>
          </w:tcPr>
          <w:p>
            <w:pPr>
              <w:pStyle w:val="13"/>
              <w:bidi w:val="0"/>
              <w:rPr>
                <w:rFonts w:ascii="CESI宋体-GB2312" w:hAnsi="CESI宋体-GB2312"/>
                <w:color w:val="auto"/>
                <w:highlight w:val="none"/>
              </w:rPr>
            </w:pPr>
          </w:p>
        </w:tc>
      </w:tr>
      <w:tr>
        <w:tblPrEx>
          <w:tblCellMar>
            <w:top w:w="0" w:type="dxa"/>
            <w:left w:w="108" w:type="dxa"/>
            <w:bottom w:w="0" w:type="dxa"/>
            <w:right w:w="108" w:type="dxa"/>
          </w:tblCellMar>
        </w:tblPrEx>
        <w:trPr>
          <w:trHeight w:val="460" w:hRule="atLeast"/>
          <w:jc w:val="center"/>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rFonts w:ascii="CESI宋体-GB2312" w:hAnsi="CESI宋体-GB2312"/>
                <w:color w:val="auto"/>
                <w:highlight w:val="none"/>
              </w:rPr>
            </w:pPr>
          </w:p>
        </w:tc>
        <w:tc>
          <w:tcPr>
            <w:tcW w:w="2020" w:type="pct"/>
            <w:tcBorders>
              <w:top w:val="nil"/>
              <w:left w:val="single" w:color="000000" w:sz="4" w:space="0"/>
              <w:bottom w:val="nil"/>
              <w:right w:val="single" w:color="000000" w:sz="4" w:space="0"/>
            </w:tcBorders>
            <w:shd w:val="clear" w:color="auto" w:fill="FFFFFF"/>
            <w:vAlign w:val="center"/>
          </w:tcPr>
          <w:p>
            <w:pPr>
              <w:pStyle w:val="13"/>
              <w:bidi w:val="0"/>
              <w:rPr>
                <w:rFonts w:ascii="CESI宋体-GB2312" w:hAnsi="CESI宋体-GB2312"/>
                <w:color w:val="auto"/>
                <w:highlight w:val="none"/>
              </w:rPr>
            </w:pPr>
            <w:r>
              <w:rPr>
                <w:rFonts w:ascii="CESI宋体-GB2312" w:hAnsi="CESI宋体-GB2312"/>
                <w:color w:val="auto"/>
                <w:highlight w:val="none"/>
              </w:rPr>
              <w:t>②项目绩效目标与实际工作内容是否具有相关性；</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rPr>
                <w:rFonts w:ascii="CESI宋体-GB2312" w:hAnsi="CESI宋体-GB2312"/>
                <w:color w:val="auto"/>
                <w:highlight w:val="none"/>
              </w:rPr>
            </w:pPr>
          </w:p>
        </w:tc>
        <w:tc>
          <w:tcPr>
            <w:tcW w:w="315" w:type="pct"/>
            <w:vMerge w:val="continue"/>
            <w:tcBorders>
              <w:left w:val="single" w:color="000000" w:sz="4" w:space="0"/>
              <w:right w:val="single" w:color="000000" w:sz="4" w:space="0"/>
            </w:tcBorders>
            <w:noWrap/>
            <w:vAlign w:val="center"/>
          </w:tcPr>
          <w:p>
            <w:pPr>
              <w:pStyle w:val="13"/>
              <w:bidi w:val="0"/>
              <w:rPr>
                <w:rFonts w:ascii="CESI宋体-GB2312" w:hAnsi="CESI宋体-GB2312"/>
                <w:color w:val="auto"/>
                <w:highlight w:val="none"/>
              </w:rPr>
            </w:pPr>
          </w:p>
        </w:tc>
      </w:tr>
      <w:tr>
        <w:tblPrEx>
          <w:tblCellMar>
            <w:top w:w="0" w:type="dxa"/>
            <w:left w:w="108" w:type="dxa"/>
            <w:bottom w:w="0" w:type="dxa"/>
            <w:right w:w="108" w:type="dxa"/>
          </w:tblCellMar>
        </w:tblPrEx>
        <w:trPr>
          <w:trHeight w:val="460" w:hRule="atLeast"/>
          <w:jc w:val="center"/>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rFonts w:ascii="CESI宋体-GB2312" w:hAnsi="CESI宋体-GB2312"/>
                <w:color w:val="auto"/>
                <w:highlight w:val="none"/>
              </w:rPr>
            </w:pPr>
          </w:p>
        </w:tc>
        <w:tc>
          <w:tcPr>
            <w:tcW w:w="2020" w:type="pct"/>
            <w:tcBorders>
              <w:top w:val="nil"/>
              <w:left w:val="single" w:color="000000" w:sz="4" w:space="0"/>
              <w:bottom w:val="nil"/>
              <w:right w:val="single" w:color="000000" w:sz="4" w:space="0"/>
            </w:tcBorders>
            <w:shd w:val="clear" w:color="auto" w:fill="FFFFFF"/>
            <w:vAlign w:val="center"/>
          </w:tcPr>
          <w:p>
            <w:pPr>
              <w:pStyle w:val="13"/>
              <w:bidi w:val="0"/>
              <w:rPr>
                <w:rFonts w:ascii="CESI宋体-GB2312" w:hAnsi="CESI宋体-GB2312"/>
                <w:color w:val="auto"/>
                <w:highlight w:val="none"/>
              </w:rPr>
            </w:pPr>
            <w:r>
              <w:rPr>
                <w:rFonts w:ascii="CESI宋体-GB2312" w:hAnsi="CESI宋体-GB2312"/>
                <w:color w:val="auto"/>
                <w:highlight w:val="none"/>
              </w:rPr>
              <w:t>③项目预期产出效益和效果是否符合正常的业绩水平；</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rPr>
                <w:rFonts w:ascii="CESI宋体-GB2312" w:hAnsi="CESI宋体-GB2312"/>
                <w:color w:val="auto"/>
                <w:highlight w:val="none"/>
              </w:rPr>
            </w:pPr>
          </w:p>
        </w:tc>
        <w:tc>
          <w:tcPr>
            <w:tcW w:w="315" w:type="pct"/>
            <w:vMerge w:val="continue"/>
            <w:tcBorders>
              <w:left w:val="single" w:color="000000" w:sz="4" w:space="0"/>
              <w:right w:val="single" w:color="000000" w:sz="4" w:space="0"/>
            </w:tcBorders>
            <w:noWrap/>
            <w:vAlign w:val="center"/>
          </w:tcPr>
          <w:p>
            <w:pPr>
              <w:pStyle w:val="13"/>
              <w:bidi w:val="0"/>
              <w:rPr>
                <w:rFonts w:ascii="CESI宋体-GB2312" w:hAnsi="CESI宋体-GB2312"/>
                <w:color w:val="auto"/>
                <w:highlight w:val="none"/>
              </w:rPr>
            </w:pPr>
          </w:p>
        </w:tc>
      </w:tr>
      <w:tr>
        <w:tblPrEx>
          <w:tblCellMar>
            <w:top w:w="0" w:type="dxa"/>
            <w:left w:w="108" w:type="dxa"/>
            <w:bottom w:w="0" w:type="dxa"/>
            <w:right w:w="108" w:type="dxa"/>
          </w:tblCellMar>
        </w:tblPrEx>
        <w:trPr>
          <w:trHeight w:val="460" w:hRule="atLeast"/>
          <w:jc w:val="center"/>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rFonts w:ascii="CESI宋体-GB2312" w:hAnsi="CESI宋体-GB2312"/>
                <w:color w:val="auto"/>
                <w:highlight w:val="none"/>
              </w:rPr>
            </w:pPr>
          </w:p>
        </w:tc>
        <w:tc>
          <w:tcPr>
            <w:tcW w:w="2020" w:type="pct"/>
            <w:tcBorders>
              <w:top w:val="nil"/>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r>
              <w:rPr>
                <w:rFonts w:ascii="CESI宋体-GB2312" w:hAnsi="CESI宋体-GB2312"/>
                <w:color w:val="auto"/>
                <w:highlight w:val="none"/>
              </w:rPr>
              <w:t>④是否与预算确定的项目投资额或资金量相匹配。</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rPr>
                <w:rFonts w:ascii="CESI宋体-GB2312" w:hAnsi="CESI宋体-GB2312"/>
                <w:color w:val="auto"/>
                <w:highlight w:val="none"/>
              </w:rPr>
            </w:pPr>
          </w:p>
        </w:tc>
        <w:tc>
          <w:tcPr>
            <w:tcW w:w="315" w:type="pct"/>
            <w:vMerge w:val="continue"/>
            <w:tcBorders>
              <w:left w:val="single" w:color="000000" w:sz="4" w:space="0"/>
              <w:bottom w:val="single" w:color="000000" w:sz="4" w:space="0"/>
              <w:right w:val="single" w:color="000000" w:sz="4" w:space="0"/>
            </w:tcBorders>
            <w:noWrap/>
            <w:vAlign w:val="center"/>
          </w:tcPr>
          <w:p>
            <w:pPr>
              <w:pStyle w:val="13"/>
              <w:bidi w:val="0"/>
              <w:rPr>
                <w:rFonts w:ascii="CESI宋体-GB2312" w:hAnsi="CESI宋体-GB2312"/>
                <w:color w:val="auto"/>
                <w:highlight w:val="none"/>
              </w:rPr>
            </w:pPr>
          </w:p>
        </w:tc>
      </w:tr>
      <w:tr>
        <w:tblPrEx>
          <w:tblCellMar>
            <w:top w:w="0" w:type="dxa"/>
            <w:left w:w="108" w:type="dxa"/>
            <w:bottom w:w="0" w:type="dxa"/>
            <w:right w:w="108" w:type="dxa"/>
          </w:tblCellMar>
        </w:tblPrEx>
        <w:trPr>
          <w:trHeight w:val="460" w:hRule="atLeast"/>
          <w:jc w:val="center"/>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p>
        </w:tc>
        <w:tc>
          <w:tcPr>
            <w:tcW w:w="54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r>
              <w:rPr>
                <w:rFonts w:ascii="CESI宋体-GB2312" w:hAnsi="CESI宋体-GB2312"/>
                <w:color w:val="auto"/>
                <w:highlight w:val="none"/>
              </w:rPr>
              <w:t>绩效指标明确性</w:t>
            </w:r>
          </w:p>
        </w:tc>
        <w:tc>
          <w:tcPr>
            <w:tcW w:w="996" w:type="pct"/>
            <w:vMerge w:val="restart"/>
            <w:tcBorders>
              <w:top w:val="single" w:color="000000" w:sz="4" w:space="0"/>
              <w:left w:val="single" w:color="000000" w:sz="4" w:space="0"/>
              <w:bottom w:val="single" w:color="000000" w:sz="4" w:space="0"/>
              <w:right w:val="nil"/>
            </w:tcBorders>
            <w:shd w:val="clear" w:color="auto" w:fill="FFFFFF"/>
            <w:vAlign w:val="center"/>
          </w:tcPr>
          <w:p>
            <w:pPr>
              <w:pStyle w:val="13"/>
              <w:bidi w:val="0"/>
              <w:rPr>
                <w:rFonts w:ascii="CESI宋体-GB2312" w:hAnsi="CESI宋体-GB2312"/>
                <w:color w:val="auto"/>
                <w:highlight w:val="none"/>
              </w:rPr>
            </w:pPr>
            <w:r>
              <w:rPr>
                <w:rFonts w:ascii="CESI宋体-GB2312" w:hAnsi="CESI宋体-GB2312"/>
                <w:color w:val="auto"/>
                <w:highlight w:val="none"/>
              </w:rPr>
              <w:t>依据绩效目标设定的绩效指标是否清晰、细化、可衡量等，用以反映和考核项目绩效目标的明细化情况。</w:t>
            </w:r>
          </w:p>
        </w:tc>
        <w:tc>
          <w:tcPr>
            <w:tcW w:w="2020" w:type="pct"/>
            <w:tcBorders>
              <w:top w:val="single" w:color="000000" w:sz="4" w:space="0"/>
              <w:left w:val="single" w:color="000000" w:sz="4" w:space="0"/>
              <w:bottom w:val="nil"/>
              <w:right w:val="single" w:color="000000" w:sz="4" w:space="0"/>
            </w:tcBorders>
            <w:shd w:val="clear" w:color="auto" w:fill="FFFFFF"/>
            <w:vAlign w:val="center"/>
          </w:tcPr>
          <w:p>
            <w:pPr>
              <w:pStyle w:val="13"/>
              <w:bidi w:val="0"/>
              <w:rPr>
                <w:rFonts w:ascii="CESI宋体-GB2312" w:hAnsi="CESI宋体-GB2312"/>
                <w:color w:val="auto"/>
                <w:highlight w:val="none"/>
              </w:rPr>
            </w:pPr>
            <w:r>
              <w:rPr>
                <w:rFonts w:ascii="CESI宋体-GB2312" w:hAnsi="CESI宋体-GB2312"/>
                <w:color w:val="auto"/>
                <w:highlight w:val="none"/>
              </w:rPr>
              <w:t>评价要点：</w:t>
            </w:r>
          </w:p>
        </w:tc>
        <w:tc>
          <w:tcPr>
            <w:tcW w:w="315" w:type="pct"/>
            <w:vMerge w:val="restart"/>
            <w:tcBorders>
              <w:top w:val="single" w:color="000000" w:sz="4" w:space="0"/>
              <w:left w:val="single" w:color="000000" w:sz="4" w:space="0"/>
              <w:bottom w:val="single" w:color="000000" w:sz="4" w:space="0"/>
              <w:right w:val="single" w:color="000000" w:sz="4" w:space="0"/>
            </w:tcBorders>
            <w:noWrap/>
            <w:vAlign w:val="center"/>
          </w:tcPr>
          <w:p>
            <w:pPr>
              <w:pStyle w:val="13"/>
              <w:bidi w:val="0"/>
              <w:rPr>
                <w:rFonts w:ascii="CESI宋体-GB2312" w:hAnsi="CESI宋体-GB2312"/>
                <w:color w:val="auto"/>
                <w:highlight w:val="none"/>
              </w:rPr>
            </w:pPr>
            <w:r>
              <w:rPr>
                <w:rFonts w:ascii="CESI宋体-GB2312" w:hAnsi="CESI宋体-GB2312"/>
                <w:color w:val="auto"/>
                <w:highlight w:val="none"/>
              </w:rPr>
              <w:t>4</w:t>
            </w:r>
          </w:p>
        </w:tc>
        <w:tc>
          <w:tcPr>
            <w:tcW w:w="315" w:type="pct"/>
            <w:vMerge w:val="restart"/>
            <w:tcBorders>
              <w:top w:val="single" w:color="000000" w:sz="4" w:space="0"/>
              <w:left w:val="single" w:color="000000" w:sz="4" w:space="0"/>
              <w:right w:val="single" w:color="000000" w:sz="4" w:space="0"/>
            </w:tcBorders>
            <w:noWrap/>
            <w:vAlign w:val="center"/>
          </w:tcPr>
          <w:p>
            <w:pPr>
              <w:pStyle w:val="13"/>
              <w:bidi w:val="0"/>
              <w:rPr>
                <w:rFonts w:ascii="CESI宋体-GB2312" w:hAnsi="CESI宋体-GB2312"/>
                <w:color w:val="auto"/>
                <w:highlight w:val="none"/>
              </w:rPr>
            </w:pPr>
            <w:r>
              <w:rPr>
                <w:rFonts w:hint="eastAsia" w:ascii="CESI宋体-GB2312" w:hAnsi="CESI宋体-GB2312"/>
                <w:color w:val="auto"/>
                <w:highlight w:val="none"/>
              </w:rPr>
              <w:t>4</w:t>
            </w:r>
          </w:p>
        </w:tc>
      </w:tr>
      <w:tr>
        <w:tblPrEx>
          <w:tblCellMar>
            <w:top w:w="0" w:type="dxa"/>
            <w:left w:w="108" w:type="dxa"/>
            <w:bottom w:w="0" w:type="dxa"/>
            <w:right w:w="108" w:type="dxa"/>
          </w:tblCellMar>
        </w:tblPrEx>
        <w:trPr>
          <w:trHeight w:val="460" w:hRule="atLeast"/>
          <w:jc w:val="center"/>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rFonts w:ascii="CESI宋体-GB2312" w:hAnsi="CESI宋体-GB2312"/>
                <w:color w:val="auto"/>
                <w:highlight w:val="none"/>
              </w:rPr>
            </w:pPr>
          </w:p>
        </w:tc>
        <w:tc>
          <w:tcPr>
            <w:tcW w:w="2020" w:type="pct"/>
            <w:tcBorders>
              <w:top w:val="nil"/>
              <w:left w:val="single" w:color="000000" w:sz="4" w:space="0"/>
              <w:bottom w:val="nil"/>
              <w:right w:val="single" w:color="000000" w:sz="4" w:space="0"/>
            </w:tcBorders>
            <w:shd w:val="clear" w:color="auto" w:fill="FFFFFF"/>
            <w:vAlign w:val="center"/>
          </w:tcPr>
          <w:p>
            <w:pPr>
              <w:pStyle w:val="13"/>
              <w:bidi w:val="0"/>
              <w:rPr>
                <w:rFonts w:ascii="CESI宋体-GB2312" w:hAnsi="CESI宋体-GB2312"/>
                <w:color w:val="auto"/>
                <w:highlight w:val="none"/>
              </w:rPr>
            </w:pPr>
            <w:r>
              <w:rPr>
                <w:rFonts w:ascii="CESI宋体-GB2312" w:hAnsi="CESI宋体-GB2312"/>
                <w:color w:val="auto"/>
                <w:highlight w:val="none"/>
              </w:rPr>
              <w:t>①是否将项目绩效目标细化分解为具体的绩效指标；</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rPr>
                <w:rFonts w:ascii="CESI宋体-GB2312" w:hAnsi="CESI宋体-GB2312"/>
                <w:color w:val="auto"/>
                <w:highlight w:val="none"/>
              </w:rPr>
            </w:pPr>
          </w:p>
        </w:tc>
        <w:tc>
          <w:tcPr>
            <w:tcW w:w="315" w:type="pct"/>
            <w:vMerge w:val="continue"/>
            <w:tcBorders>
              <w:left w:val="single" w:color="000000" w:sz="4" w:space="0"/>
              <w:right w:val="single" w:color="000000" w:sz="4" w:space="0"/>
            </w:tcBorders>
            <w:noWrap/>
            <w:vAlign w:val="center"/>
          </w:tcPr>
          <w:p>
            <w:pPr>
              <w:pStyle w:val="13"/>
              <w:bidi w:val="0"/>
              <w:rPr>
                <w:rFonts w:ascii="CESI宋体-GB2312" w:hAnsi="CESI宋体-GB2312"/>
                <w:color w:val="auto"/>
                <w:highlight w:val="none"/>
              </w:rPr>
            </w:pPr>
          </w:p>
        </w:tc>
      </w:tr>
      <w:tr>
        <w:tblPrEx>
          <w:tblCellMar>
            <w:top w:w="0" w:type="dxa"/>
            <w:left w:w="108" w:type="dxa"/>
            <w:bottom w:w="0" w:type="dxa"/>
            <w:right w:w="108" w:type="dxa"/>
          </w:tblCellMar>
        </w:tblPrEx>
        <w:trPr>
          <w:trHeight w:val="460" w:hRule="atLeast"/>
          <w:jc w:val="center"/>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rFonts w:ascii="CESI宋体-GB2312" w:hAnsi="CESI宋体-GB2312"/>
                <w:color w:val="auto"/>
                <w:highlight w:val="none"/>
              </w:rPr>
            </w:pPr>
          </w:p>
        </w:tc>
        <w:tc>
          <w:tcPr>
            <w:tcW w:w="2020" w:type="pct"/>
            <w:tcBorders>
              <w:top w:val="nil"/>
              <w:left w:val="single" w:color="000000" w:sz="4" w:space="0"/>
              <w:bottom w:val="nil"/>
              <w:right w:val="single" w:color="000000" w:sz="4" w:space="0"/>
            </w:tcBorders>
            <w:shd w:val="clear" w:color="auto" w:fill="FFFFFF"/>
            <w:vAlign w:val="center"/>
          </w:tcPr>
          <w:p>
            <w:pPr>
              <w:pStyle w:val="13"/>
              <w:bidi w:val="0"/>
              <w:rPr>
                <w:rFonts w:ascii="CESI宋体-GB2312" w:hAnsi="CESI宋体-GB2312"/>
                <w:color w:val="auto"/>
                <w:highlight w:val="none"/>
              </w:rPr>
            </w:pPr>
            <w:r>
              <w:rPr>
                <w:rFonts w:ascii="CESI宋体-GB2312" w:hAnsi="CESI宋体-GB2312"/>
                <w:color w:val="auto"/>
                <w:highlight w:val="none"/>
              </w:rPr>
              <w:t>②是否通过清晰、可衡量的指标值予以体现；</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rPr>
                <w:rFonts w:ascii="CESI宋体-GB2312" w:hAnsi="CESI宋体-GB2312"/>
                <w:color w:val="auto"/>
                <w:highlight w:val="none"/>
              </w:rPr>
            </w:pPr>
          </w:p>
        </w:tc>
        <w:tc>
          <w:tcPr>
            <w:tcW w:w="315" w:type="pct"/>
            <w:vMerge w:val="continue"/>
            <w:tcBorders>
              <w:left w:val="single" w:color="000000" w:sz="4" w:space="0"/>
              <w:right w:val="single" w:color="000000" w:sz="4" w:space="0"/>
            </w:tcBorders>
            <w:noWrap/>
            <w:vAlign w:val="center"/>
          </w:tcPr>
          <w:p>
            <w:pPr>
              <w:pStyle w:val="13"/>
              <w:bidi w:val="0"/>
              <w:rPr>
                <w:rFonts w:ascii="CESI宋体-GB2312" w:hAnsi="CESI宋体-GB2312"/>
                <w:color w:val="auto"/>
                <w:highlight w:val="none"/>
              </w:rPr>
            </w:pPr>
          </w:p>
        </w:tc>
      </w:tr>
      <w:tr>
        <w:tblPrEx>
          <w:tblCellMar>
            <w:top w:w="0" w:type="dxa"/>
            <w:left w:w="108" w:type="dxa"/>
            <w:bottom w:w="0" w:type="dxa"/>
            <w:right w:w="108" w:type="dxa"/>
          </w:tblCellMar>
        </w:tblPrEx>
        <w:trPr>
          <w:trHeight w:val="460" w:hRule="atLeast"/>
          <w:jc w:val="center"/>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rFonts w:ascii="CESI宋体-GB2312" w:hAnsi="CESI宋体-GB2312"/>
                <w:color w:val="auto"/>
                <w:highlight w:val="none"/>
              </w:rPr>
            </w:pPr>
          </w:p>
        </w:tc>
        <w:tc>
          <w:tcPr>
            <w:tcW w:w="2020" w:type="pct"/>
            <w:tcBorders>
              <w:top w:val="nil"/>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r>
              <w:rPr>
                <w:rFonts w:ascii="CESI宋体-GB2312" w:hAnsi="CESI宋体-GB2312"/>
                <w:color w:val="auto"/>
                <w:highlight w:val="none"/>
              </w:rPr>
              <w:t>③是否与项目目标任务数或计划数相对应。</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rPr>
                <w:rFonts w:ascii="CESI宋体-GB2312" w:hAnsi="CESI宋体-GB2312"/>
                <w:color w:val="auto"/>
                <w:highlight w:val="none"/>
              </w:rPr>
            </w:pPr>
          </w:p>
        </w:tc>
        <w:tc>
          <w:tcPr>
            <w:tcW w:w="315" w:type="pct"/>
            <w:vMerge w:val="continue"/>
            <w:tcBorders>
              <w:left w:val="single" w:color="000000" w:sz="4" w:space="0"/>
              <w:bottom w:val="single" w:color="000000" w:sz="4" w:space="0"/>
              <w:right w:val="single" w:color="000000" w:sz="4" w:space="0"/>
            </w:tcBorders>
            <w:noWrap/>
            <w:vAlign w:val="center"/>
          </w:tcPr>
          <w:p>
            <w:pPr>
              <w:pStyle w:val="13"/>
              <w:bidi w:val="0"/>
              <w:rPr>
                <w:rFonts w:ascii="CESI宋体-GB2312" w:hAnsi="CESI宋体-GB2312"/>
                <w:color w:val="auto"/>
                <w:highlight w:val="none"/>
              </w:rPr>
            </w:pPr>
          </w:p>
        </w:tc>
      </w:tr>
      <w:tr>
        <w:tblPrEx>
          <w:tblCellMar>
            <w:top w:w="0" w:type="dxa"/>
            <w:left w:w="108" w:type="dxa"/>
            <w:bottom w:w="0" w:type="dxa"/>
            <w:right w:w="108" w:type="dxa"/>
          </w:tblCellMar>
        </w:tblPrEx>
        <w:trPr>
          <w:trHeight w:val="460" w:hRule="atLeast"/>
          <w:jc w:val="center"/>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p>
        </w:tc>
        <w:tc>
          <w:tcPr>
            <w:tcW w:w="456"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r>
              <w:rPr>
                <w:rFonts w:ascii="CESI宋体-GB2312" w:hAnsi="CESI宋体-GB2312"/>
                <w:color w:val="auto"/>
                <w:highlight w:val="none"/>
              </w:rPr>
              <w:t>资金投入</w:t>
            </w:r>
          </w:p>
        </w:tc>
        <w:tc>
          <w:tcPr>
            <w:tcW w:w="54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r>
              <w:rPr>
                <w:rFonts w:ascii="CESI宋体-GB2312" w:hAnsi="CESI宋体-GB2312"/>
                <w:color w:val="auto"/>
                <w:highlight w:val="none"/>
              </w:rPr>
              <w:t>预算编制科学性</w:t>
            </w:r>
          </w:p>
        </w:tc>
        <w:tc>
          <w:tcPr>
            <w:tcW w:w="996" w:type="pct"/>
            <w:vMerge w:val="restart"/>
            <w:tcBorders>
              <w:top w:val="single" w:color="000000" w:sz="4" w:space="0"/>
              <w:left w:val="single" w:color="000000" w:sz="4" w:space="0"/>
              <w:bottom w:val="single" w:color="000000" w:sz="4" w:space="0"/>
              <w:right w:val="nil"/>
            </w:tcBorders>
            <w:shd w:val="clear" w:color="auto" w:fill="FFFFFF"/>
            <w:vAlign w:val="center"/>
          </w:tcPr>
          <w:p>
            <w:pPr>
              <w:pStyle w:val="13"/>
              <w:bidi w:val="0"/>
              <w:rPr>
                <w:rFonts w:ascii="CESI宋体-GB2312" w:hAnsi="CESI宋体-GB2312"/>
                <w:color w:val="auto"/>
                <w:highlight w:val="none"/>
              </w:rPr>
            </w:pPr>
            <w:r>
              <w:rPr>
                <w:rFonts w:ascii="CESI宋体-GB2312" w:hAnsi="CESI宋体-GB2312"/>
                <w:color w:val="auto"/>
                <w:highlight w:val="none"/>
              </w:rPr>
              <w:t>项目预算编制是否经过科学论证、有明确标准，资金额度与年度目标是否相适应，用以反映和考核项目预算编制的科学性、合理性情况。</w:t>
            </w:r>
          </w:p>
        </w:tc>
        <w:tc>
          <w:tcPr>
            <w:tcW w:w="2020" w:type="pct"/>
            <w:tcBorders>
              <w:top w:val="single" w:color="000000" w:sz="4" w:space="0"/>
              <w:left w:val="single" w:color="000000" w:sz="4" w:space="0"/>
              <w:bottom w:val="nil"/>
              <w:right w:val="single" w:color="000000" w:sz="4" w:space="0"/>
            </w:tcBorders>
            <w:shd w:val="clear" w:color="auto" w:fill="FFFFFF"/>
            <w:vAlign w:val="center"/>
          </w:tcPr>
          <w:p>
            <w:pPr>
              <w:pStyle w:val="13"/>
              <w:bidi w:val="0"/>
              <w:rPr>
                <w:rFonts w:ascii="CESI宋体-GB2312" w:hAnsi="CESI宋体-GB2312"/>
                <w:color w:val="auto"/>
                <w:highlight w:val="none"/>
              </w:rPr>
            </w:pPr>
            <w:r>
              <w:rPr>
                <w:rFonts w:ascii="CESI宋体-GB2312" w:hAnsi="CESI宋体-GB2312"/>
                <w:color w:val="auto"/>
                <w:highlight w:val="none"/>
              </w:rPr>
              <w:t>评价要点：</w:t>
            </w:r>
          </w:p>
        </w:tc>
        <w:tc>
          <w:tcPr>
            <w:tcW w:w="315" w:type="pct"/>
            <w:vMerge w:val="restart"/>
            <w:tcBorders>
              <w:top w:val="single" w:color="000000" w:sz="4" w:space="0"/>
              <w:left w:val="single" w:color="000000" w:sz="4" w:space="0"/>
              <w:bottom w:val="single" w:color="000000" w:sz="4" w:space="0"/>
              <w:right w:val="single" w:color="000000" w:sz="4" w:space="0"/>
            </w:tcBorders>
            <w:noWrap/>
            <w:vAlign w:val="center"/>
          </w:tcPr>
          <w:p>
            <w:pPr>
              <w:pStyle w:val="13"/>
              <w:bidi w:val="0"/>
              <w:rPr>
                <w:rFonts w:ascii="CESI宋体-GB2312" w:hAnsi="CESI宋体-GB2312"/>
                <w:color w:val="auto"/>
                <w:highlight w:val="none"/>
              </w:rPr>
            </w:pPr>
            <w:r>
              <w:rPr>
                <w:rFonts w:ascii="CESI宋体-GB2312" w:hAnsi="CESI宋体-GB2312"/>
                <w:color w:val="auto"/>
                <w:highlight w:val="none"/>
              </w:rPr>
              <w:t>4</w:t>
            </w:r>
          </w:p>
        </w:tc>
        <w:tc>
          <w:tcPr>
            <w:tcW w:w="315" w:type="pct"/>
            <w:vMerge w:val="restart"/>
            <w:tcBorders>
              <w:top w:val="single" w:color="000000" w:sz="4" w:space="0"/>
              <w:left w:val="single" w:color="000000" w:sz="4" w:space="0"/>
              <w:right w:val="single" w:color="000000" w:sz="4" w:space="0"/>
            </w:tcBorders>
            <w:noWrap/>
            <w:vAlign w:val="center"/>
          </w:tcPr>
          <w:p>
            <w:pPr>
              <w:pStyle w:val="13"/>
              <w:bidi w:val="0"/>
              <w:rPr>
                <w:rFonts w:ascii="CESI宋体-GB2312" w:hAnsi="CESI宋体-GB2312"/>
                <w:color w:val="auto"/>
                <w:highlight w:val="none"/>
              </w:rPr>
            </w:pPr>
            <w:r>
              <w:rPr>
                <w:rFonts w:hint="eastAsia" w:ascii="CESI宋体-GB2312" w:hAnsi="CESI宋体-GB2312"/>
                <w:color w:val="auto"/>
                <w:highlight w:val="none"/>
              </w:rPr>
              <w:t>4</w:t>
            </w:r>
          </w:p>
        </w:tc>
      </w:tr>
      <w:tr>
        <w:tblPrEx>
          <w:tblCellMar>
            <w:top w:w="0" w:type="dxa"/>
            <w:left w:w="108" w:type="dxa"/>
            <w:bottom w:w="0" w:type="dxa"/>
            <w:right w:w="108" w:type="dxa"/>
          </w:tblCellMar>
        </w:tblPrEx>
        <w:trPr>
          <w:trHeight w:val="460" w:hRule="atLeast"/>
          <w:jc w:val="center"/>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rFonts w:ascii="CESI宋体-GB2312" w:hAnsi="CESI宋体-GB2312"/>
                <w:color w:val="auto"/>
                <w:highlight w:val="none"/>
              </w:rPr>
            </w:pPr>
          </w:p>
        </w:tc>
        <w:tc>
          <w:tcPr>
            <w:tcW w:w="2020" w:type="pct"/>
            <w:tcBorders>
              <w:top w:val="nil"/>
              <w:left w:val="single" w:color="000000" w:sz="4" w:space="0"/>
              <w:bottom w:val="nil"/>
              <w:right w:val="single" w:color="000000" w:sz="4" w:space="0"/>
            </w:tcBorders>
            <w:shd w:val="clear" w:color="auto" w:fill="FFFFFF"/>
            <w:vAlign w:val="center"/>
          </w:tcPr>
          <w:p>
            <w:pPr>
              <w:pStyle w:val="13"/>
              <w:bidi w:val="0"/>
              <w:rPr>
                <w:rFonts w:ascii="CESI宋体-GB2312" w:hAnsi="CESI宋体-GB2312"/>
                <w:color w:val="auto"/>
                <w:highlight w:val="none"/>
              </w:rPr>
            </w:pPr>
            <w:r>
              <w:rPr>
                <w:rFonts w:ascii="CESI宋体-GB2312" w:hAnsi="CESI宋体-GB2312"/>
                <w:color w:val="auto"/>
                <w:highlight w:val="none"/>
              </w:rPr>
              <w:t>①预算编制是否经过科学论证；</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rPr>
                <w:rFonts w:ascii="CESI宋体-GB2312" w:hAnsi="CESI宋体-GB2312"/>
                <w:color w:val="auto"/>
                <w:highlight w:val="none"/>
              </w:rPr>
            </w:pPr>
          </w:p>
        </w:tc>
        <w:tc>
          <w:tcPr>
            <w:tcW w:w="315" w:type="pct"/>
            <w:vMerge w:val="continue"/>
            <w:tcBorders>
              <w:left w:val="single" w:color="000000" w:sz="4" w:space="0"/>
              <w:right w:val="single" w:color="000000" w:sz="4" w:space="0"/>
            </w:tcBorders>
            <w:noWrap/>
            <w:vAlign w:val="center"/>
          </w:tcPr>
          <w:p>
            <w:pPr>
              <w:pStyle w:val="13"/>
              <w:bidi w:val="0"/>
              <w:rPr>
                <w:rFonts w:ascii="CESI宋体-GB2312" w:hAnsi="CESI宋体-GB2312"/>
                <w:color w:val="auto"/>
                <w:highlight w:val="none"/>
              </w:rPr>
            </w:pPr>
          </w:p>
        </w:tc>
      </w:tr>
      <w:tr>
        <w:tblPrEx>
          <w:tblCellMar>
            <w:top w:w="0" w:type="dxa"/>
            <w:left w:w="108" w:type="dxa"/>
            <w:bottom w:w="0" w:type="dxa"/>
            <w:right w:w="108" w:type="dxa"/>
          </w:tblCellMar>
        </w:tblPrEx>
        <w:trPr>
          <w:trHeight w:val="460" w:hRule="atLeast"/>
          <w:jc w:val="center"/>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rFonts w:ascii="CESI宋体-GB2312" w:hAnsi="CESI宋体-GB2312"/>
                <w:color w:val="auto"/>
                <w:highlight w:val="none"/>
              </w:rPr>
            </w:pPr>
          </w:p>
        </w:tc>
        <w:tc>
          <w:tcPr>
            <w:tcW w:w="2020" w:type="pct"/>
            <w:tcBorders>
              <w:top w:val="nil"/>
              <w:left w:val="single" w:color="000000" w:sz="4" w:space="0"/>
              <w:bottom w:val="nil"/>
              <w:right w:val="single" w:color="000000" w:sz="4" w:space="0"/>
            </w:tcBorders>
            <w:shd w:val="clear" w:color="auto" w:fill="FFFFFF"/>
            <w:vAlign w:val="center"/>
          </w:tcPr>
          <w:p>
            <w:pPr>
              <w:pStyle w:val="13"/>
              <w:bidi w:val="0"/>
              <w:rPr>
                <w:rFonts w:ascii="CESI宋体-GB2312" w:hAnsi="CESI宋体-GB2312"/>
                <w:color w:val="auto"/>
                <w:highlight w:val="none"/>
              </w:rPr>
            </w:pPr>
            <w:r>
              <w:rPr>
                <w:rFonts w:ascii="CESI宋体-GB2312" w:hAnsi="CESI宋体-GB2312"/>
                <w:color w:val="auto"/>
                <w:highlight w:val="none"/>
              </w:rPr>
              <w:t>②预算内容与项目内容是否匹配；</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rPr>
                <w:rFonts w:ascii="CESI宋体-GB2312" w:hAnsi="CESI宋体-GB2312"/>
                <w:color w:val="auto"/>
                <w:highlight w:val="none"/>
              </w:rPr>
            </w:pPr>
          </w:p>
        </w:tc>
        <w:tc>
          <w:tcPr>
            <w:tcW w:w="315" w:type="pct"/>
            <w:vMerge w:val="continue"/>
            <w:tcBorders>
              <w:left w:val="single" w:color="000000" w:sz="4" w:space="0"/>
              <w:right w:val="single" w:color="000000" w:sz="4" w:space="0"/>
            </w:tcBorders>
            <w:noWrap/>
            <w:vAlign w:val="center"/>
          </w:tcPr>
          <w:p>
            <w:pPr>
              <w:pStyle w:val="13"/>
              <w:bidi w:val="0"/>
              <w:rPr>
                <w:rFonts w:ascii="CESI宋体-GB2312" w:hAnsi="CESI宋体-GB2312"/>
                <w:color w:val="auto"/>
                <w:highlight w:val="none"/>
              </w:rPr>
            </w:pPr>
          </w:p>
        </w:tc>
      </w:tr>
      <w:tr>
        <w:tblPrEx>
          <w:tblCellMar>
            <w:top w:w="0" w:type="dxa"/>
            <w:left w:w="108" w:type="dxa"/>
            <w:bottom w:w="0" w:type="dxa"/>
            <w:right w:w="108" w:type="dxa"/>
          </w:tblCellMar>
        </w:tblPrEx>
        <w:trPr>
          <w:trHeight w:val="460" w:hRule="atLeast"/>
          <w:jc w:val="center"/>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rFonts w:ascii="CESI宋体-GB2312" w:hAnsi="CESI宋体-GB2312"/>
                <w:color w:val="auto"/>
                <w:highlight w:val="none"/>
              </w:rPr>
            </w:pPr>
          </w:p>
        </w:tc>
        <w:tc>
          <w:tcPr>
            <w:tcW w:w="2020" w:type="pct"/>
            <w:tcBorders>
              <w:top w:val="nil"/>
              <w:left w:val="single" w:color="000000" w:sz="4" w:space="0"/>
              <w:bottom w:val="nil"/>
              <w:right w:val="single" w:color="000000" w:sz="4" w:space="0"/>
            </w:tcBorders>
            <w:shd w:val="clear" w:color="auto" w:fill="FFFFFF"/>
            <w:vAlign w:val="center"/>
          </w:tcPr>
          <w:p>
            <w:pPr>
              <w:pStyle w:val="13"/>
              <w:bidi w:val="0"/>
              <w:rPr>
                <w:rFonts w:ascii="CESI宋体-GB2312" w:hAnsi="CESI宋体-GB2312"/>
                <w:color w:val="auto"/>
                <w:highlight w:val="none"/>
              </w:rPr>
            </w:pPr>
            <w:r>
              <w:rPr>
                <w:rFonts w:ascii="CESI宋体-GB2312" w:hAnsi="CESI宋体-GB2312"/>
                <w:color w:val="auto"/>
                <w:highlight w:val="none"/>
              </w:rPr>
              <w:t>③预算额度测算依据是否充分，是否按照标准编制；</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rPr>
                <w:rFonts w:ascii="CESI宋体-GB2312" w:hAnsi="CESI宋体-GB2312"/>
                <w:color w:val="auto"/>
                <w:highlight w:val="none"/>
              </w:rPr>
            </w:pPr>
          </w:p>
        </w:tc>
        <w:tc>
          <w:tcPr>
            <w:tcW w:w="315" w:type="pct"/>
            <w:vMerge w:val="continue"/>
            <w:tcBorders>
              <w:left w:val="single" w:color="000000" w:sz="4" w:space="0"/>
              <w:right w:val="single" w:color="000000" w:sz="4" w:space="0"/>
            </w:tcBorders>
            <w:noWrap/>
            <w:vAlign w:val="center"/>
          </w:tcPr>
          <w:p>
            <w:pPr>
              <w:pStyle w:val="13"/>
              <w:bidi w:val="0"/>
              <w:rPr>
                <w:rFonts w:ascii="CESI宋体-GB2312" w:hAnsi="CESI宋体-GB2312"/>
                <w:color w:val="auto"/>
                <w:highlight w:val="none"/>
              </w:rPr>
            </w:pPr>
          </w:p>
        </w:tc>
      </w:tr>
      <w:tr>
        <w:tblPrEx>
          <w:tblCellMar>
            <w:top w:w="0" w:type="dxa"/>
            <w:left w:w="108" w:type="dxa"/>
            <w:bottom w:w="0" w:type="dxa"/>
            <w:right w:w="108" w:type="dxa"/>
          </w:tblCellMar>
        </w:tblPrEx>
        <w:trPr>
          <w:trHeight w:val="460" w:hRule="atLeast"/>
          <w:jc w:val="center"/>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rFonts w:ascii="CESI宋体-GB2312" w:hAnsi="CESI宋体-GB2312"/>
                <w:color w:val="auto"/>
                <w:highlight w:val="none"/>
              </w:rPr>
            </w:pPr>
          </w:p>
        </w:tc>
        <w:tc>
          <w:tcPr>
            <w:tcW w:w="2020" w:type="pct"/>
            <w:tcBorders>
              <w:top w:val="nil"/>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r>
              <w:rPr>
                <w:rFonts w:ascii="CESI宋体-GB2312" w:hAnsi="CESI宋体-GB2312"/>
                <w:color w:val="auto"/>
                <w:highlight w:val="none"/>
              </w:rPr>
              <w:t>④预算确定的项目投资额或资金量是否与工作任务相匹配。</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rPr>
                <w:rFonts w:ascii="CESI宋体-GB2312" w:hAnsi="CESI宋体-GB2312"/>
                <w:color w:val="auto"/>
                <w:highlight w:val="none"/>
              </w:rPr>
            </w:pPr>
          </w:p>
        </w:tc>
        <w:tc>
          <w:tcPr>
            <w:tcW w:w="315" w:type="pct"/>
            <w:vMerge w:val="continue"/>
            <w:tcBorders>
              <w:left w:val="single" w:color="000000" w:sz="4" w:space="0"/>
              <w:bottom w:val="single" w:color="000000" w:sz="4" w:space="0"/>
              <w:right w:val="single" w:color="000000" w:sz="4" w:space="0"/>
            </w:tcBorders>
            <w:noWrap/>
            <w:vAlign w:val="center"/>
          </w:tcPr>
          <w:p>
            <w:pPr>
              <w:pStyle w:val="13"/>
              <w:bidi w:val="0"/>
              <w:rPr>
                <w:rFonts w:ascii="CESI宋体-GB2312" w:hAnsi="CESI宋体-GB2312"/>
                <w:color w:val="auto"/>
                <w:highlight w:val="none"/>
              </w:rPr>
            </w:pPr>
          </w:p>
        </w:tc>
      </w:tr>
      <w:tr>
        <w:tblPrEx>
          <w:tblCellMar>
            <w:top w:w="0" w:type="dxa"/>
            <w:left w:w="108" w:type="dxa"/>
            <w:bottom w:w="0" w:type="dxa"/>
            <w:right w:w="108" w:type="dxa"/>
          </w:tblCellMar>
        </w:tblPrEx>
        <w:trPr>
          <w:trHeight w:val="460" w:hRule="atLeast"/>
          <w:jc w:val="center"/>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p>
        </w:tc>
        <w:tc>
          <w:tcPr>
            <w:tcW w:w="54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r>
              <w:rPr>
                <w:rFonts w:ascii="CESI宋体-GB2312" w:hAnsi="CESI宋体-GB2312"/>
                <w:color w:val="auto"/>
                <w:highlight w:val="none"/>
              </w:rPr>
              <w:t>资金分配合理性</w:t>
            </w:r>
          </w:p>
        </w:tc>
        <w:tc>
          <w:tcPr>
            <w:tcW w:w="996" w:type="pct"/>
            <w:vMerge w:val="restart"/>
            <w:tcBorders>
              <w:top w:val="single" w:color="000000" w:sz="4" w:space="0"/>
              <w:left w:val="single" w:color="000000" w:sz="4" w:space="0"/>
              <w:bottom w:val="single" w:color="000000" w:sz="4" w:space="0"/>
              <w:right w:val="nil"/>
            </w:tcBorders>
            <w:shd w:val="clear" w:color="auto" w:fill="FFFFFF"/>
            <w:vAlign w:val="center"/>
          </w:tcPr>
          <w:p>
            <w:pPr>
              <w:pStyle w:val="13"/>
              <w:bidi w:val="0"/>
              <w:rPr>
                <w:rFonts w:ascii="CESI宋体-GB2312" w:hAnsi="CESI宋体-GB2312"/>
                <w:color w:val="auto"/>
                <w:highlight w:val="none"/>
              </w:rPr>
            </w:pPr>
            <w:r>
              <w:rPr>
                <w:rFonts w:ascii="CESI宋体-GB2312" w:hAnsi="CESI宋体-GB2312"/>
                <w:color w:val="auto"/>
                <w:highlight w:val="none"/>
              </w:rPr>
              <w:t>项目预算资金分配是否有测算依据，与补助单位或地方实际是否相适应，用以反映和考核项目预算资金分配的科学性、合理性情况。</w:t>
            </w:r>
          </w:p>
        </w:tc>
        <w:tc>
          <w:tcPr>
            <w:tcW w:w="2020" w:type="pct"/>
            <w:tcBorders>
              <w:top w:val="single" w:color="000000" w:sz="4" w:space="0"/>
              <w:left w:val="single" w:color="000000" w:sz="4" w:space="0"/>
              <w:bottom w:val="nil"/>
              <w:right w:val="single" w:color="000000" w:sz="4" w:space="0"/>
            </w:tcBorders>
            <w:shd w:val="clear" w:color="auto" w:fill="FFFFFF"/>
            <w:vAlign w:val="center"/>
          </w:tcPr>
          <w:p>
            <w:pPr>
              <w:pStyle w:val="13"/>
              <w:bidi w:val="0"/>
              <w:rPr>
                <w:rFonts w:ascii="CESI宋体-GB2312" w:hAnsi="CESI宋体-GB2312"/>
                <w:color w:val="auto"/>
                <w:highlight w:val="none"/>
              </w:rPr>
            </w:pPr>
            <w:r>
              <w:rPr>
                <w:rFonts w:ascii="CESI宋体-GB2312" w:hAnsi="CESI宋体-GB2312"/>
                <w:color w:val="auto"/>
                <w:highlight w:val="none"/>
              </w:rPr>
              <w:t>评价要点：</w:t>
            </w:r>
          </w:p>
        </w:tc>
        <w:tc>
          <w:tcPr>
            <w:tcW w:w="315" w:type="pct"/>
            <w:vMerge w:val="restart"/>
            <w:tcBorders>
              <w:top w:val="single" w:color="000000" w:sz="4" w:space="0"/>
              <w:left w:val="single" w:color="000000" w:sz="4" w:space="0"/>
              <w:bottom w:val="single" w:color="000000" w:sz="4" w:space="0"/>
              <w:right w:val="single" w:color="000000" w:sz="4" w:space="0"/>
            </w:tcBorders>
            <w:noWrap/>
            <w:vAlign w:val="center"/>
          </w:tcPr>
          <w:p>
            <w:pPr>
              <w:pStyle w:val="13"/>
              <w:bidi w:val="0"/>
              <w:rPr>
                <w:rFonts w:ascii="CESI宋体-GB2312" w:hAnsi="CESI宋体-GB2312"/>
                <w:color w:val="auto"/>
                <w:highlight w:val="none"/>
              </w:rPr>
            </w:pPr>
            <w:r>
              <w:rPr>
                <w:rFonts w:ascii="CESI宋体-GB2312" w:hAnsi="CESI宋体-GB2312"/>
                <w:color w:val="auto"/>
                <w:highlight w:val="none"/>
              </w:rPr>
              <w:t>4</w:t>
            </w:r>
          </w:p>
        </w:tc>
        <w:tc>
          <w:tcPr>
            <w:tcW w:w="315" w:type="pct"/>
            <w:vMerge w:val="restart"/>
            <w:tcBorders>
              <w:top w:val="single" w:color="000000" w:sz="4" w:space="0"/>
              <w:left w:val="single" w:color="000000" w:sz="4" w:space="0"/>
              <w:right w:val="single" w:color="000000" w:sz="4" w:space="0"/>
            </w:tcBorders>
            <w:noWrap/>
            <w:vAlign w:val="center"/>
          </w:tcPr>
          <w:p>
            <w:pPr>
              <w:pStyle w:val="13"/>
              <w:bidi w:val="0"/>
              <w:rPr>
                <w:rFonts w:ascii="CESI宋体-GB2312" w:hAnsi="CESI宋体-GB2312"/>
                <w:color w:val="auto"/>
                <w:highlight w:val="none"/>
              </w:rPr>
            </w:pPr>
            <w:r>
              <w:rPr>
                <w:rFonts w:hint="eastAsia" w:ascii="CESI宋体-GB2312" w:hAnsi="CESI宋体-GB2312"/>
                <w:color w:val="auto"/>
                <w:highlight w:val="none"/>
              </w:rPr>
              <w:t>4</w:t>
            </w:r>
          </w:p>
        </w:tc>
      </w:tr>
      <w:tr>
        <w:tblPrEx>
          <w:tblCellMar>
            <w:top w:w="0" w:type="dxa"/>
            <w:left w:w="108" w:type="dxa"/>
            <w:bottom w:w="0" w:type="dxa"/>
            <w:right w:w="108" w:type="dxa"/>
          </w:tblCellMar>
        </w:tblPrEx>
        <w:trPr>
          <w:trHeight w:val="460" w:hRule="atLeast"/>
          <w:jc w:val="center"/>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rFonts w:ascii="CESI宋体-GB2312" w:hAnsi="CESI宋体-GB2312"/>
                <w:color w:val="auto"/>
                <w:highlight w:val="none"/>
              </w:rPr>
            </w:pPr>
          </w:p>
        </w:tc>
        <w:tc>
          <w:tcPr>
            <w:tcW w:w="2020" w:type="pct"/>
            <w:tcBorders>
              <w:top w:val="nil"/>
              <w:left w:val="single" w:color="000000" w:sz="4" w:space="0"/>
              <w:bottom w:val="nil"/>
              <w:right w:val="single" w:color="000000" w:sz="4" w:space="0"/>
            </w:tcBorders>
            <w:shd w:val="clear" w:color="auto" w:fill="FFFFFF"/>
            <w:vAlign w:val="center"/>
          </w:tcPr>
          <w:p>
            <w:pPr>
              <w:pStyle w:val="13"/>
              <w:bidi w:val="0"/>
              <w:rPr>
                <w:rFonts w:ascii="CESI宋体-GB2312" w:hAnsi="CESI宋体-GB2312"/>
                <w:color w:val="auto"/>
                <w:highlight w:val="none"/>
              </w:rPr>
            </w:pPr>
            <w:r>
              <w:rPr>
                <w:rFonts w:ascii="CESI宋体-GB2312" w:hAnsi="CESI宋体-GB2312"/>
                <w:color w:val="auto"/>
                <w:highlight w:val="none"/>
              </w:rPr>
              <w:t>①预算资金分配依据是否充分；</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rPr>
                <w:rFonts w:ascii="CESI宋体-GB2312" w:hAnsi="CESI宋体-GB2312"/>
                <w:color w:val="auto"/>
                <w:highlight w:val="none"/>
              </w:rPr>
            </w:pPr>
          </w:p>
        </w:tc>
        <w:tc>
          <w:tcPr>
            <w:tcW w:w="315" w:type="pct"/>
            <w:vMerge w:val="continue"/>
            <w:tcBorders>
              <w:left w:val="single" w:color="000000" w:sz="4" w:space="0"/>
              <w:right w:val="single" w:color="000000" w:sz="4" w:space="0"/>
            </w:tcBorders>
            <w:noWrap/>
            <w:vAlign w:val="center"/>
          </w:tcPr>
          <w:p>
            <w:pPr>
              <w:pStyle w:val="13"/>
              <w:bidi w:val="0"/>
              <w:rPr>
                <w:rFonts w:ascii="CESI宋体-GB2312" w:hAnsi="CESI宋体-GB2312"/>
                <w:color w:val="auto"/>
                <w:highlight w:val="none"/>
              </w:rPr>
            </w:pPr>
          </w:p>
        </w:tc>
      </w:tr>
      <w:tr>
        <w:tblPrEx>
          <w:tblCellMar>
            <w:top w:w="0" w:type="dxa"/>
            <w:left w:w="108" w:type="dxa"/>
            <w:bottom w:w="0" w:type="dxa"/>
            <w:right w:w="108" w:type="dxa"/>
          </w:tblCellMar>
        </w:tblPrEx>
        <w:trPr>
          <w:trHeight w:val="460" w:hRule="atLeast"/>
          <w:jc w:val="center"/>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rFonts w:ascii="CESI宋体-GB2312" w:hAnsi="CESI宋体-GB2312"/>
                <w:color w:val="auto"/>
                <w:highlight w:val="none"/>
              </w:rPr>
            </w:pPr>
          </w:p>
        </w:tc>
        <w:tc>
          <w:tcPr>
            <w:tcW w:w="2020" w:type="pct"/>
            <w:tcBorders>
              <w:top w:val="nil"/>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r>
              <w:rPr>
                <w:rFonts w:ascii="CESI宋体-GB2312" w:hAnsi="CESI宋体-GB2312"/>
                <w:color w:val="auto"/>
                <w:highlight w:val="none"/>
              </w:rPr>
              <w:t>②资金分配额度是否合理，与</w:t>
            </w:r>
            <w:r>
              <w:rPr>
                <w:rFonts w:hint="eastAsia" w:ascii="CESI宋体-GB2312" w:hAnsi="CESI宋体-GB2312"/>
                <w:color w:val="auto"/>
                <w:highlight w:val="none"/>
              </w:rPr>
              <w:t>补助</w:t>
            </w:r>
            <w:r>
              <w:rPr>
                <w:rFonts w:ascii="CESI宋体-GB2312" w:hAnsi="CESI宋体-GB2312"/>
                <w:color w:val="auto"/>
                <w:highlight w:val="none"/>
              </w:rPr>
              <w:t>项目单位或地方实际是否相适应。</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rPr>
                <w:rFonts w:ascii="CESI宋体-GB2312" w:hAnsi="CESI宋体-GB2312"/>
                <w:color w:val="auto"/>
                <w:highlight w:val="none"/>
              </w:rPr>
            </w:pPr>
          </w:p>
        </w:tc>
        <w:tc>
          <w:tcPr>
            <w:tcW w:w="315" w:type="pct"/>
            <w:vMerge w:val="continue"/>
            <w:tcBorders>
              <w:left w:val="single" w:color="000000" w:sz="4" w:space="0"/>
              <w:bottom w:val="single" w:color="000000" w:sz="4" w:space="0"/>
              <w:right w:val="single" w:color="000000" w:sz="4" w:space="0"/>
            </w:tcBorders>
            <w:noWrap/>
            <w:vAlign w:val="center"/>
          </w:tcPr>
          <w:p>
            <w:pPr>
              <w:pStyle w:val="13"/>
              <w:bidi w:val="0"/>
              <w:rPr>
                <w:rFonts w:ascii="CESI宋体-GB2312" w:hAnsi="CESI宋体-GB2312"/>
                <w:color w:val="auto"/>
                <w:highlight w:val="none"/>
              </w:rPr>
            </w:pPr>
          </w:p>
        </w:tc>
      </w:tr>
      <w:tr>
        <w:tblPrEx>
          <w:tblCellMar>
            <w:top w:w="0" w:type="dxa"/>
            <w:left w:w="108" w:type="dxa"/>
            <w:bottom w:w="0" w:type="dxa"/>
            <w:right w:w="108" w:type="dxa"/>
          </w:tblCellMar>
        </w:tblPrEx>
        <w:trPr>
          <w:trHeight w:val="460" w:hRule="atLeast"/>
          <w:jc w:val="center"/>
        </w:trPr>
        <w:tc>
          <w:tcPr>
            <w:tcW w:w="35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r>
              <w:rPr>
                <w:rFonts w:ascii="CESI宋体-GB2312" w:hAnsi="CESI宋体-GB2312"/>
                <w:color w:val="auto"/>
                <w:highlight w:val="none"/>
              </w:rPr>
              <w:t>过程</w:t>
            </w:r>
          </w:p>
        </w:tc>
        <w:tc>
          <w:tcPr>
            <w:tcW w:w="456"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r>
              <w:rPr>
                <w:rFonts w:ascii="CESI宋体-GB2312" w:hAnsi="CESI宋体-GB2312"/>
                <w:color w:val="auto"/>
                <w:highlight w:val="none"/>
              </w:rPr>
              <w:t>资金管理</w:t>
            </w:r>
          </w:p>
        </w:tc>
        <w:tc>
          <w:tcPr>
            <w:tcW w:w="54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r>
              <w:rPr>
                <w:rFonts w:ascii="CESI宋体-GB2312" w:hAnsi="CESI宋体-GB2312"/>
                <w:color w:val="auto"/>
                <w:highlight w:val="none"/>
              </w:rPr>
              <w:t>资金到位率</w:t>
            </w:r>
          </w:p>
        </w:tc>
        <w:tc>
          <w:tcPr>
            <w:tcW w:w="996" w:type="pct"/>
            <w:vMerge w:val="restart"/>
            <w:tcBorders>
              <w:top w:val="single" w:color="000000" w:sz="4" w:space="0"/>
              <w:left w:val="single" w:color="000000" w:sz="4" w:space="0"/>
              <w:bottom w:val="single" w:color="000000" w:sz="4" w:space="0"/>
              <w:right w:val="nil"/>
            </w:tcBorders>
            <w:shd w:val="clear" w:color="auto" w:fill="FFFFFF"/>
            <w:vAlign w:val="center"/>
          </w:tcPr>
          <w:p>
            <w:pPr>
              <w:pStyle w:val="13"/>
              <w:bidi w:val="0"/>
              <w:rPr>
                <w:rFonts w:ascii="CESI宋体-GB2312" w:hAnsi="CESI宋体-GB2312"/>
                <w:color w:val="auto"/>
                <w:highlight w:val="none"/>
              </w:rPr>
            </w:pPr>
            <w:r>
              <w:rPr>
                <w:rFonts w:ascii="CESI宋体-GB2312" w:hAnsi="CESI宋体-GB2312"/>
                <w:color w:val="auto"/>
                <w:highlight w:val="none"/>
              </w:rPr>
              <w:t>实际到位资金与预算资金的比率，用以反映和考核资金落实情况对项目实施的总体保障程度。</w:t>
            </w:r>
          </w:p>
        </w:tc>
        <w:tc>
          <w:tcPr>
            <w:tcW w:w="2020" w:type="pct"/>
            <w:tcBorders>
              <w:top w:val="single" w:color="000000" w:sz="4" w:space="0"/>
              <w:left w:val="single" w:color="000000" w:sz="4" w:space="0"/>
              <w:bottom w:val="nil"/>
              <w:right w:val="single" w:color="000000" w:sz="4" w:space="0"/>
            </w:tcBorders>
            <w:shd w:val="clear" w:color="auto" w:fill="FFFFFF"/>
            <w:vAlign w:val="center"/>
          </w:tcPr>
          <w:p>
            <w:pPr>
              <w:pStyle w:val="13"/>
              <w:bidi w:val="0"/>
              <w:rPr>
                <w:rFonts w:ascii="CESI宋体-GB2312" w:hAnsi="CESI宋体-GB2312"/>
                <w:color w:val="auto"/>
                <w:highlight w:val="none"/>
              </w:rPr>
            </w:pPr>
            <w:r>
              <w:rPr>
                <w:rFonts w:ascii="CESI宋体-GB2312" w:hAnsi="CESI宋体-GB2312"/>
                <w:color w:val="auto"/>
                <w:highlight w:val="none"/>
              </w:rPr>
              <w:t>资金到位率=（实际到位资金/预算资金）×100%。</w:t>
            </w:r>
          </w:p>
        </w:tc>
        <w:tc>
          <w:tcPr>
            <w:tcW w:w="315" w:type="pct"/>
            <w:vMerge w:val="restart"/>
            <w:tcBorders>
              <w:top w:val="single" w:color="000000" w:sz="4" w:space="0"/>
              <w:left w:val="single" w:color="000000" w:sz="4" w:space="0"/>
              <w:bottom w:val="single" w:color="000000" w:sz="4" w:space="0"/>
              <w:right w:val="single" w:color="000000" w:sz="4" w:space="0"/>
            </w:tcBorders>
            <w:noWrap/>
            <w:vAlign w:val="center"/>
          </w:tcPr>
          <w:p>
            <w:pPr>
              <w:pStyle w:val="13"/>
              <w:bidi w:val="0"/>
              <w:rPr>
                <w:rFonts w:ascii="CESI宋体-GB2312" w:hAnsi="CESI宋体-GB2312"/>
                <w:color w:val="auto"/>
                <w:highlight w:val="none"/>
              </w:rPr>
            </w:pPr>
            <w:r>
              <w:rPr>
                <w:rFonts w:ascii="CESI宋体-GB2312" w:hAnsi="CESI宋体-GB2312"/>
                <w:color w:val="auto"/>
                <w:highlight w:val="none"/>
              </w:rPr>
              <w:t>4</w:t>
            </w:r>
          </w:p>
        </w:tc>
        <w:tc>
          <w:tcPr>
            <w:tcW w:w="315" w:type="pct"/>
            <w:vMerge w:val="restart"/>
            <w:tcBorders>
              <w:top w:val="single" w:color="000000" w:sz="4" w:space="0"/>
              <w:left w:val="single" w:color="000000" w:sz="4" w:space="0"/>
              <w:right w:val="single" w:color="000000" w:sz="4" w:space="0"/>
            </w:tcBorders>
            <w:noWrap/>
            <w:vAlign w:val="center"/>
          </w:tcPr>
          <w:p>
            <w:pPr>
              <w:pStyle w:val="13"/>
              <w:bidi w:val="0"/>
              <w:rPr>
                <w:rFonts w:ascii="CESI宋体-GB2312" w:hAnsi="CESI宋体-GB2312"/>
                <w:color w:val="auto"/>
                <w:highlight w:val="none"/>
              </w:rPr>
            </w:pPr>
            <w:r>
              <w:rPr>
                <w:rFonts w:hint="eastAsia" w:ascii="CESI宋体-GB2312" w:hAnsi="CESI宋体-GB2312"/>
                <w:color w:val="auto"/>
                <w:highlight w:val="none"/>
              </w:rPr>
              <w:t>4</w:t>
            </w:r>
          </w:p>
        </w:tc>
      </w:tr>
      <w:tr>
        <w:tblPrEx>
          <w:tblCellMar>
            <w:top w:w="0" w:type="dxa"/>
            <w:left w:w="108" w:type="dxa"/>
            <w:bottom w:w="0" w:type="dxa"/>
            <w:right w:w="108" w:type="dxa"/>
          </w:tblCellMar>
        </w:tblPrEx>
        <w:trPr>
          <w:trHeight w:val="460" w:hRule="atLeast"/>
          <w:jc w:val="center"/>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rFonts w:ascii="CESI宋体-GB2312" w:hAnsi="CESI宋体-GB2312"/>
                <w:color w:val="auto"/>
                <w:highlight w:val="none"/>
              </w:rPr>
            </w:pPr>
          </w:p>
        </w:tc>
        <w:tc>
          <w:tcPr>
            <w:tcW w:w="2020" w:type="pct"/>
            <w:tcBorders>
              <w:top w:val="nil"/>
              <w:left w:val="single" w:color="000000" w:sz="4" w:space="0"/>
              <w:bottom w:val="nil"/>
              <w:right w:val="single" w:color="000000" w:sz="4" w:space="0"/>
            </w:tcBorders>
            <w:shd w:val="clear" w:color="auto" w:fill="FFFFFF"/>
            <w:vAlign w:val="center"/>
          </w:tcPr>
          <w:p>
            <w:pPr>
              <w:pStyle w:val="13"/>
              <w:bidi w:val="0"/>
              <w:rPr>
                <w:rFonts w:ascii="CESI宋体-GB2312" w:hAnsi="CESI宋体-GB2312"/>
                <w:color w:val="auto"/>
                <w:highlight w:val="none"/>
              </w:rPr>
            </w:pPr>
            <w:r>
              <w:rPr>
                <w:rFonts w:ascii="CESI宋体-GB2312" w:hAnsi="CESI宋体-GB2312"/>
                <w:color w:val="auto"/>
                <w:highlight w:val="none"/>
              </w:rPr>
              <w:t>实际到位资金：一定时期（本年度或项目期）内落实到具体项目的资金。</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rPr>
                <w:rFonts w:ascii="CESI宋体-GB2312" w:hAnsi="CESI宋体-GB2312"/>
                <w:color w:val="auto"/>
                <w:highlight w:val="none"/>
              </w:rPr>
            </w:pPr>
          </w:p>
        </w:tc>
        <w:tc>
          <w:tcPr>
            <w:tcW w:w="315" w:type="pct"/>
            <w:vMerge w:val="continue"/>
            <w:tcBorders>
              <w:left w:val="single" w:color="000000" w:sz="4" w:space="0"/>
              <w:right w:val="single" w:color="000000" w:sz="4" w:space="0"/>
            </w:tcBorders>
            <w:noWrap/>
            <w:vAlign w:val="center"/>
          </w:tcPr>
          <w:p>
            <w:pPr>
              <w:pStyle w:val="13"/>
              <w:bidi w:val="0"/>
              <w:rPr>
                <w:rFonts w:ascii="CESI宋体-GB2312" w:hAnsi="CESI宋体-GB2312"/>
                <w:color w:val="auto"/>
                <w:highlight w:val="none"/>
              </w:rPr>
            </w:pPr>
          </w:p>
        </w:tc>
      </w:tr>
      <w:tr>
        <w:tblPrEx>
          <w:tblCellMar>
            <w:top w:w="0" w:type="dxa"/>
            <w:left w:w="108" w:type="dxa"/>
            <w:bottom w:w="0" w:type="dxa"/>
            <w:right w:w="108" w:type="dxa"/>
          </w:tblCellMar>
        </w:tblPrEx>
        <w:trPr>
          <w:trHeight w:val="460" w:hRule="atLeast"/>
          <w:jc w:val="center"/>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rFonts w:ascii="CESI宋体-GB2312" w:hAnsi="CESI宋体-GB2312"/>
                <w:color w:val="auto"/>
                <w:highlight w:val="none"/>
              </w:rPr>
            </w:pPr>
          </w:p>
        </w:tc>
        <w:tc>
          <w:tcPr>
            <w:tcW w:w="2020" w:type="pct"/>
            <w:tcBorders>
              <w:top w:val="nil"/>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r>
              <w:rPr>
                <w:rFonts w:ascii="CESI宋体-GB2312" w:hAnsi="CESI宋体-GB2312"/>
                <w:color w:val="auto"/>
                <w:highlight w:val="none"/>
              </w:rPr>
              <w:t>预算资金：一定时期（本年度或项目期）内预算安排到具体项目的资金。</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rPr>
                <w:rFonts w:ascii="CESI宋体-GB2312" w:hAnsi="CESI宋体-GB2312"/>
                <w:color w:val="auto"/>
                <w:highlight w:val="none"/>
              </w:rPr>
            </w:pPr>
          </w:p>
        </w:tc>
        <w:tc>
          <w:tcPr>
            <w:tcW w:w="315" w:type="pct"/>
            <w:vMerge w:val="continue"/>
            <w:tcBorders>
              <w:left w:val="single" w:color="000000" w:sz="4" w:space="0"/>
              <w:bottom w:val="single" w:color="000000" w:sz="4" w:space="0"/>
              <w:right w:val="single" w:color="000000" w:sz="4" w:space="0"/>
            </w:tcBorders>
            <w:noWrap/>
            <w:vAlign w:val="center"/>
          </w:tcPr>
          <w:p>
            <w:pPr>
              <w:pStyle w:val="13"/>
              <w:bidi w:val="0"/>
              <w:rPr>
                <w:rFonts w:ascii="CESI宋体-GB2312" w:hAnsi="CESI宋体-GB2312"/>
                <w:color w:val="auto"/>
                <w:highlight w:val="none"/>
              </w:rPr>
            </w:pPr>
          </w:p>
        </w:tc>
      </w:tr>
      <w:tr>
        <w:tblPrEx>
          <w:tblCellMar>
            <w:top w:w="0" w:type="dxa"/>
            <w:left w:w="108" w:type="dxa"/>
            <w:bottom w:w="0" w:type="dxa"/>
            <w:right w:w="108" w:type="dxa"/>
          </w:tblCellMar>
        </w:tblPrEx>
        <w:trPr>
          <w:trHeight w:val="460" w:hRule="atLeast"/>
          <w:jc w:val="center"/>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p>
        </w:tc>
        <w:tc>
          <w:tcPr>
            <w:tcW w:w="54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r>
              <w:rPr>
                <w:rFonts w:ascii="CESI宋体-GB2312" w:hAnsi="CESI宋体-GB2312"/>
                <w:color w:val="auto"/>
                <w:highlight w:val="none"/>
              </w:rPr>
              <w:t>预算执行率</w:t>
            </w:r>
          </w:p>
        </w:tc>
        <w:tc>
          <w:tcPr>
            <w:tcW w:w="996" w:type="pct"/>
            <w:vMerge w:val="restart"/>
            <w:tcBorders>
              <w:top w:val="single" w:color="000000" w:sz="4" w:space="0"/>
              <w:left w:val="single" w:color="000000" w:sz="4" w:space="0"/>
              <w:bottom w:val="single" w:color="000000" w:sz="4" w:space="0"/>
              <w:right w:val="nil"/>
            </w:tcBorders>
            <w:shd w:val="clear" w:color="auto" w:fill="FFFFFF"/>
            <w:vAlign w:val="center"/>
          </w:tcPr>
          <w:p>
            <w:pPr>
              <w:pStyle w:val="13"/>
              <w:bidi w:val="0"/>
              <w:rPr>
                <w:rFonts w:ascii="CESI宋体-GB2312" w:hAnsi="CESI宋体-GB2312"/>
                <w:color w:val="auto"/>
                <w:highlight w:val="none"/>
              </w:rPr>
            </w:pPr>
            <w:r>
              <w:rPr>
                <w:rFonts w:ascii="CESI宋体-GB2312" w:hAnsi="CESI宋体-GB2312"/>
                <w:color w:val="auto"/>
                <w:highlight w:val="none"/>
              </w:rPr>
              <w:t>项目预算资金是否按照计划执行，用以反映或考核项目预算执行情况。</w:t>
            </w:r>
          </w:p>
        </w:tc>
        <w:tc>
          <w:tcPr>
            <w:tcW w:w="2020" w:type="pct"/>
            <w:tcBorders>
              <w:top w:val="single" w:color="000000" w:sz="4" w:space="0"/>
              <w:left w:val="single" w:color="000000" w:sz="4" w:space="0"/>
              <w:bottom w:val="nil"/>
              <w:right w:val="single" w:color="000000" w:sz="4" w:space="0"/>
            </w:tcBorders>
            <w:shd w:val="clear" w:color="auto" w:fill="FFFFFF"/>
            <w:vAlign w:val="center"/>
          </w:tcPr>
          <w:p>
            <w:pPr>
              <w:pStyle w:val="13"/>
              <w:bidi w:val="0"/>
              <w:rPr>
                <w:rFonts w:ascii="CESI宋体-GB2312" w:hAnsi="CESI宋体-GB2312"/>
                <w:color w:val="auto"/>
                <w:highlight w:val="none"/>
              </w:rPr>
            </w:pPr>
            <w:r>
              <w:rPr>
                <w:rFonts w:ascii="CESI宋体-GB2312" w:hAnsi="CESI宋体-GB2312"/>
                <w:color w:val="auto"/>
                <w:highlight w:val="none"/>
              </w:rPr>
              <w:t>预算执行率=（实际支出资金/实际到位资金）×100%。</w:t>
            </w:r>
          </w:p>
        </w:tc>
        <w:tc>
          <w:tcPr>
            <w:tcW w:w="315" w:type="pct"/>
            <w:vMerge w:val="restart"/>
            <w:tcBorders>
              <w:top w:val="single" w:color="000000" w:sz="4" w:space="0"/>
              <w:left w:val="single" w:color="000000" w:sz="4" w:space="0"/>
              <w:bottom w:val="single" w:color="000000" w:sz="4" w:space="0"/>
              <w:right w:val="single" w:color="000000" w:sz="4" w:space="0"/>
            </w:tcBorders>
            <w:noWrap/>
            <w:vAlign w:val="center"/>
          </w:tcPr>
          <w:p>
            <w:pPr>
              <w:pStyle w:val="13"/>
              <w:bidi w:val="0"/>
              <w:rPr>
                <w:rFonts w:ascii="CESI宋体-GB2312" w:hAnsi="CESI宋体-GB2312"/>
                <w:color w:val="auto"/>
                <w:highlight w:val="none"/>
              </w:rPr>
            </w:pPr>
            <w:r>
              <w:rPr>
                <w:rFonts w:ascii="CESI宋体-GB2312" w:hAnsi="CESI宋体-GB2312"/>
                <w:color w:val="auto"/>
                <w:highlight w:val="none"/>
              </w:rPr>
              <w:t>4</w:t>
            </w:r>
          </w:p>
        </w:tc>
        <w:tc>
          <w:tcPr>
            <w:tcW w:w="315" w:type="pct"/>
            <w:vMerge w:val="restart"/>
            <w:tcBorders>
              <w:top w:val="single" w:color="000000" w:sz="4" w:space="0"/>
              <w:left w:val="single" w:color="000000" w:sz="4" w:space="0"/>
              <w:right w:val="single" w:color="000000" w:sz="4" w:space="0"/>
            </w:tcBorders>
            <w:noWrap/>
            <w:vAlign w:val="center"/>
          </w:tcPr>
          <w:p>
            <w:pPr>
              <w:pStyle w:val="13"/>
              <w:bidi w:val="0"/>
              <w:rPr>
                <w:rFonts w:ascii="CESI宋体-GB2312" w:hAnsi="CESI宋体-GB2312"/>
                <w:color w:val="auto"/>
                <w:highlight w:val="none"/>
              </w:rPr>
            </w:pPr>
            <w:r>
              <w:rPr>
                <w:rFonts w:hint="eastAsia" w:ascii="CESI宋体-GB2312" w:hAnsi="CESI宋体-GB2312"/>
                <w:color w:val="auto"/>
                <w:highlight w:val="none"/>
              </w:rPr>
              <w:t>4</w:t>
            </w:r>
          </w:p>
        </w:tc>
      </w:tr>
      <w:tr>
        <w:tblPrEx>
          <w:tblCellMar>
            <w:top w:w="0" w:type="dxa"/>
            <w:left w:w="108" w:type="dxa"/>
            <w:bottom w:w="0" w:type="dxa"/>
            <w:right w:w="108" w:type="dxa"/>
          </w:tblCellMar>
        </w:tblPrEx>
        <w:trPr>
          <w:trHeight w:val="460" w:hRule="atLeast"/>
          <w:jc w:val="center"/>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rFonts w:ascii="CESI宋体-GB2312" w:hAnsi="CESI宋体-GB2312"/>
                <w:color w:val="auto"/>
                <w:highlight w:val="none"/>
              </w:rPr>
            </w:pPr>
          </w:p>
        </w:tc>
        <w:tc>
          <w:tcPr>
            <w:tcW w:w="2020" w:type="pct"/>
            <w:tcBorders>
              <w:top w:val="nil"/>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r>
              <w:rPr>
                <w:rFonts w:ascii="CESI宋体-GB2312" w:hAnsi="CESI宋体-GB2312"/>
                <w:color w:val="auto"/>
                <w:highlight w:val="none"/>
              </w:rPr>
              <w:t>实际支出资金：一定时期（本年度或项目期）内项目实际拨付的资金。</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rPr>
                <w:rFonts w:ascii="CESI宋体-GB2312" w:hAnsi="CESI宋体-GB2312"/>
                <w:color w:val="auto"/>
                <w:highlight w:val="none"/>
              </w:rPr>
            </w:pPr>
          </w:p>
        </w:tc>
        <w:tc>
          <w:tcPr>
            <w:tcW w:w="315" w:type="pct"/>
            <w:vMerge w:val="continue"/>
            <w:tcBorders>
              <w:left w:val="single" w:color="000000" w:sz="4" w:space="0"/>
              <w:bottom w:val="single" w:color="000000" w:sz="4" w:space="0"/>
              <w:right w:val="single" w:color="000000" w:sz="4" w:space="0"/>
            </w:tcBorders>
            <w:noWrap/>
            <w:vAlign w:val="center"/>
          </w:tcPr>
          <w:p>
            <w:pPr>
              <w:pStyle w:val="13"/>
              <w:bidi w:val="0"/>
              <w:rPr>
                <w:rFonts w:ascii="CESI宋体-GB2312" w:hAnsi="CESI宋体-GB2312"/>
                <w:color w:val="auto"/>
                <w:highlight w:val="none"/>
              </w:rPr>
            </w:pPr>
          </w:p>
        </w:tc>
      </w:tr>
      <w:tr>
        <w:tblPrEx>
          <w:tblCellMar>
            <w:top w:w="0" w:type="dxa"/>
            <w:left w:w="108" w:type="dxa"/>
            <w:bottom w:w="0" w:type="dxa"/>
            <w:right w:w="108" w:type="dxa"/>
          </w:tblCellMar>
        </w:tblPrEx>
        <w:trPr>
          <w:trHeight w:val="460" w:hRule="atLeast"/>
          <w:jc w:val="center"/>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p>
        </w:tc>
        <w:tc>
          <w:tcPr>
            <w:tcW w:w="54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r>
              <w:rPr>
                <w:rFonts w:ascii="CESI宋体-GB2312" w:hAnsi="CESI宋体-GB2312"/>
                <w:color w:val="auto"/>
                <w:highlight w:val="none"/>
              </w:rPr>
              <w:t>资金使用合规性</w:t>
            </w:r>
          </w:p>
        </w:tc>
        <w:tc>
          <w:tcPr>
            <w:tcW w:w="996" w:type="pct"/>
            <w:vMerge w:val="restart"/>
            <w:tcBorders>
              <w:top w:val="single" w:color="000000" w:sz="4" w:space="0"/>
              <w:left w:val="single" w:color="000000" w:sz="4" w:space="0"/>
              <w:bottom w:val="single" w:color="000000" w:sz="4" w:space="0"/>
              <w:right w:val="nil"/>
            </w:tcBorders>
            <w:shd w:val="clear" w:color="auto" w:fill="FFFFFF"/>
            <w:vAlign w:val="center"/>
          </w:tcPr>
          <w:p>
            <w:pPr>
              <w:pStyle w:val="13"/>
              <w:bidi w:val="0"/>
              <w:rPr>
                <w:rFonts w:ascii="CESI宋体-GB2312" w:hAnsi="CESI宋体-GB2312"/>
                <w:color w:val="auto"/>
                <w:highlight w:val="none"/>
              </w:rPr>
            </w:pPr>
            <w:r>
              <w:rPr>
                <w:rFonts w:ascii="CESI宋体-GB2312" w:hAnsi="CESI宋体-GB2312"/>
                <w:color w:val="auto"/>
                <w:highlight w:val="none"/>
              </w:rPr>
              <w:t>项目资金使用是否符合相关的财务管理制度规定，用以反映和考核项目资金的规范运行情况。</w:t>
            </w:r>
          </w:p>
        </w:tc>
        <w:tc>
          <w:tcPr>
            <w:tcW w:w="2020" w:type="pct"/>
            <w:tcBorders>
              <w:top w:val="single" w:color="000000" w:sz="4" w:space="0"/>
              <w:left w:val="single" w:color="000000" w:sz="4" w:space="0"/>
              <w:bottom w:val="nil"/>
              <w:right w:val="single" w:color="000000" w:sz="4" w:space="0"/>
            </w:tcBorders>
            <w:shd w:val="clear" w:color="auto" w:fill="FFFFFF"/>
            <w:vAlign w:val="center"/>
          </w:tcPr>
          <w:p>
            <w:pPr>
              <w:pStyle w:val="13"/>
              <w:bidi w:val="0"/>
              <w:rPr>
                <w:rFonts w:ascii="CESI宋体-GB2312" w:hAnsi="CESI宋体-GB2312"/>
                <w:color w:val="auto"/>
                <w:highlight w:val="none"/>
              </w:rPr>
            </w:pPr>
            <w:r>
              <w:rPr>
                <w:rFonts w:ascii="CESI宋体-GB2312" w:hAnsi="CESI宋体-GB2312"/>
                <w:color w:val="auto"/>
                <w:highlight w:val="none"/>
              </w:rPr>
              <w:t>评价要点：</w:t>
            </w:r>
          </w:p>
        </w:tc>
        <w:tc>
          <w:tcPr>
            <w:tcW w:w="315" w:type="pct"/>
            <w:vMerge w:val="restart"/>
            <w:tcBorders>
              <w:top w:val="single" w:color="000000" w:sz="4" w:space="0"/>
              <w:left w:val="single" w:color="000000" w:sz="4" w:space="0"/>
              <w:bottom w:val="single" w:color="000000" w:sz="4" w:space="0"/>
              <w:right w:val="single" w:color="000000" w:sz="4" w:space="0"/>
            </w:tcBorders>
            <w:noWrap/>
            <w:vAlign w:val="center"/>
          </w:tcPr>
          <w:p>
            <w:pPr>
              <w:pStyle w:val="13"/>
              <w:bidi w:val="0"/>
              <w:rPr>
                <w:rFonts w:ascii="CESI宋体-GB2312" w:hAnsi="CESI宋体-GB2312"/>
                <w:color w:val="auto"/>
                <w:highlight w:val="none"/>
              </w:rPr>
            </w:pPr>
            <w:r>
              <w:rPr>
                <w:rFonts w:ascii="CESI宋体-GB2312" w:hAnsi="CESI宋体-GB2312"/>
                <w:color w:val="auto"/>
                <w:highlight w:val="none"/>
              </w:rPr>
              <w:t>4</w:t>
            </w:r>
          </w:p>
        </w:tc>
        <w:tc>
          <w:tcPr>
            <w:tcW w:w="315" w:type="pct"/>
            <w:vMerge w:val="restart"/>
            <w:tcBorders>
              <w:top w:val="single" w:color="000000" w:sz="4" w:space="0"/>
              <w:left w:val="single" w:color="000000" w:sz="4" w:space="0"/>
              <w:right w:val="single" w:color="000000" w:sz="4" w:space="0"/>
            </w:tcBorders>
            <w:noWrap/>
            <w:vAlign w:val="center"/>
          </w:tcPr>
          <w:p>
            <w:pPr>
              <w:pStyle w:val="13"/>
              <w:bidi w:val="0"/>
              <w:rPr>
                <w:rFonts w:ascii="CESI宋体-GB2312" w:hAnsi="CESI宋体-GB2312"/>
                <w:color w:val="auto"/>
                <w:highlight w:val="none"/>
              </w:rPr>
            </w:pPr>
            <w:r>
              <w:rPr>
                <w:rFonts w:hint="eastAsia" w:ascii="CESI宋体-GB2312" w:hAnsi="CESI宋体-GB2312"/>
                <w:color w:val="auto"/>
                <w:highlight w:val="none"/>
              </w:rPr>
              <w:t>4</w:t>
            </w:r>
          </w:p>
        </w:tc>
      </w:tr>
      <w:tr>
        <w:tblPrEx>
          <w:tblCellMar>
            <w:top w:w="0" w:type="dxa"/>
            <w:left w:w="108" w:type="dxa"/>
            <w:bottom w:w="0" w:type="dxa"/>
            <w:right w:w="108" w:type="dxa"/>
          </w:tblCellMar>
        </w:tblPrEx>
        <w:trPr>
          <w:trHeight w:val="460" w:hRule="atLeast"/>
          <w:jc w:val="center"/>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rFonts w:ascii="CESI宋体-GB2312" w:hAnsi="CESI宋体-GB2312"/>
                <w:color w:val="auto"/>
                <w:highlight w:val="none"/>
              </w:rPr>
            </w:pPr>
          </w:p>
        </w:tc>
        <w:tc>
          <w:tcPr>
            <w:tcW w:w="2020" w:type="pct"/>
            <w:tcBorders>
              <w:top w:val="nil"/>
              <w:left w:val="single" w:color="000000" w:sz="4" w:space="0"/>
              <w:bottom w:val="nil"/>
              <w:right w:val="single" w:color="000000" w:sz="4" w:space="0"/>
            </w:tcBorders>
            <w:shd w:val="clear" w:color="auto" w:fill="FFFFFF"/>
            <w:vAlign w:val="center"/>
          </w:tcPr>
          <w:p>
            <w:pPr>
              <w:pStyle w:val="13"/>
              <w:bidi w:val="0"/>
              <w:rPr>
                <w:rFonts w:ascii="CESI宋体-GB2312" w:hAnsi="CESI宋体-GB2312"/>
                <w:color w:val="auto"/>
                <w:highlight w:val="none"/>
              </w:rPr>
            </w:pPr>
            <w:r>
              <w:rPr>
                <w:rFonts w:ascii="CESI宋体-GB2312" w:hAnsi="CESI宋体-GB2312"/>
                <w:color w:val="auto"/>
                <w:highlight w:val="none"/>
              </w:rPr>
              <w:t>①是否符合国家财经法规和财务管理制度以及有关专项资金管理办法的规定；</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rPr>
                <w:rFonts w:ascii="CESI宋体-GB2312" w:hAnsi="CESI宋体-GB2312"/>
                <w:color w:val="auto"/>
                <w:highlight w:val="none"/>
              </w:rPr>
            </w:pPr>
          </w:p>
        </w:tc>
        <w:tc>
          <w:tcPr>
            <w:tcW w:w="315" w:type="pct"/>
            <w:vMerge w:val="continue"/>
            <w:tcBorders>
              <w:left w:val="single" w:color="000000" w:sz="4" w:space="0"/>
              <w:right w:val="single" w:color="000000" w:sz="4" w:space="0"/>
            </w:tcBorders>
            <w:noWrap/>
            <w:vAlign w:val="center"/>
          </w:tcPr>
          <w:p>
            <w:pPr>
              <w:pStyle w:val="13"/>
              <w:bidi w:val="0"/>
              <w:rPr>
                <w:rFonts w:ascii="CESI宋体-GB2312" w:hAnsi="CESI宋体-GB2312"/>
                <w:color w:val="auto"/>
                <w:highlight w:val="none"/>
              </w:rPr>
            </w:pPr>
          </w:p>
        </w:tc>
      </w:tr>
      <w:tr>
        <w:tblPrEx>
          <w:tblCellMar>
            <w:top w:w="0" w:type="dxa"/>
            <w:left w:w="108" w:type="dxa"/>
            <w:bottom w:w="0" w:type="dxa"/>
            <w:right w:w="108" w:type="dxa"/>
          </w:tblCellMar>
        </w:tblPrEx>
        <w:trPr>
          <w:trHeight w:val="460" w:hRule="atLeast"/>
          <w:jc w:val="center"/>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rFonts w:ascii="CESI宋体-GB2312" w:hAnsi="CESI宋体-GB2312"/>
                <w:color w:val="auto"/>
                <w:highlight w:val="none"/>
              </w:rPr>
            </w:pPr>
          </w:p>
        </w:tc>
        <w:tc>
          <w:tcPr>
            <w:tcW w:w="2020" w:type="pct"/>
            <w:tcBorders>
              <w:top w:val="nil"/>
              <w:left w:val="single" w:color="000000" w:sz="4" w:space="0"/>
              <w:bottom w:val="nil"/>
              <w:right w:val="single" w:color="000000" w:sz="4" w:space="0"/>
            </w:tcBorders>
            <w:shd w:val="clear" w:color="auto" w:fill="FFFFFF"/>
            <w:vAlign w:val="center"/>
          </w:tcPr>
          <w:p>
            <w:pPr>
              <w:pStyle w:val="13"/>
              <w:bidi w:val="0"/>
              <w:rPr>
                <w:rFonts w:ascii="CESI宋体-GB2312" w:hAnsi="CESI宋体-GB2312"/>
                <w:color w:val="auto"/>
                <w:highlight w:val="none"/>
              </w:rPr>
            </w:pPr>
            <w:r>
              <w:rPr>
                <w:rFonts w:ascii="CESI宋体-GB2312" w:hAnsi="CESI宋体-GB2312"/>
                <w:color w:val="auto"/>
                <w:highlight w:val="none"/>
              </w:rPr>
              <w:t>②资金的拨付是否有完整的审批程序和手续；</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rPr>
                <w:rFonts w:ascii="CESI宋体-GB2312" w:hAnsi="CESI宋体-GB2312"/>
                <w:color w:val="auto"/>
                <w:highlight w:val="none"/>
              </w:rPr>
            </w:pPr>
          </w:p>
        </w:tc>
        <w:tc>
          <w:tcPr>
            <w:tcW w:w="315" w:type="pct"/>
            <w:vMerge w:val="continue"/>
            <w:tcBorders>
              <w:left w:val="single" w:color="000000" w:sz="4" w:space="0"/>
              <w:right w:val="single" w:color="000000" w:sz="4" w:space="0"/>
            </w:tcBorders>
            <w:noWrap/>
            <w:vAlign w:val="center"/>
          </w:tcPr>
          <w:p>
            <w:pPr>
              <w:pStyle w:val="13"/>
              <w:bidi w:val="0"/>
              <w:rPr>
                <w:rFonts w:ascii="CESI宋体-GB2312" w:hAnsi="CESI宋体-GB2312"/>
                <w:color w:val="auto"/>
                <w:highlight w:val="none"/>
              </w:rPr>
            </w:pPr>
          </w:p>
        </w:tc>
      </w:tr>
      <w:tr>
        <w:tblPrEx>
          <w:tblCellMar>
            <w:top w:w="0" w:type="dxa"/>
            <w:left w:w="108" w:type="dxa"/>
            <w:bottom w:w="0" w:type="dxa"/>
            <w:right w:w="108" w:type="dxa"/>
          </w:tblCellMar>
        </w:tblPrEx>
        <w:trPr>
          <w:trHeight w:val="460" w:hRule="atLeast"/>
          <w:jc w:val="center"/>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rFonts w:ascii="CESI宋体-GB2312" w:hAnsi="CESI宋体-GB2312"/>
                <w:color w:val="auto"/>
                <w:highlight w:val="none"/>
              </w:rPr>
            </w:pPr>
          </w:p>
        </w:tc>
        <w:tc>
          <w:tcPr>
            <w:tcW w:w="2020" w:type="pct"/>
            <w:tcBorders>
              <w:top w:val="nil"/>
              <w:left w:val="single" w:color="000000" w:sz="4" w:space="0"/>
              <w:bottom w:val="nil"/>
              <w:right w:val="single" w:color="000000" w:sz="4" w:space="0"/>
            </w:tcBorders>
            <w:shd w:val="clear" w:color="auto" w:fill="FFFFFF"/>
            <w:vAlign w:val="center"/>
          </w:tcPr>
          <w:p>
            <w:pPr>
              <w:pStyle w:val="13"/>
              <w:bidi w:val="0"/>
              <w:rPr>
                <w:rFonts w:ascii="CESI宋体-GB2312" w:hAnsi="CESI宋体-GB2312"/>
                <w:color w:val="auto"/>
                <w:highlight w:val="none"/>
              </w:rPr>
            </w:pPr>
            <w:r>
              <w:rPr>
                <w:rFonts w:ascii="CESI宋体-GB2312" w:hAnsi="CESI宋体-GB2312"/>
                <w:color w:val="auto"/>
                <w:highlight w:val="none"/>
              </w:rPr>
              <w:t>③是否符合项目预算批复或合同规定的用途；</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rPr>
                <w:rFonts w:ascii="CESI宋体-GB2312" w:hAnsi="CESI宋体-GB2312"/>
                <w:color w:val="auto"/>
                <w:highlight w:val="none"/>
              </w:rPr>
            </w:pPr>
          </w:p>
        </w:tc>
        <w:tc>
          <w:tcPr>
            <w:tcW w:w="315" w:type="pct"/>
            <w:vMerge w:val="continue"/>
            <w:tcBorders>
              <w:left w:val="single" w:color="000000" w:sz="4" w:space="0"/>
              <w:right w:val="single" w:color="000000" w:sz="4" w:space="0"/>
            </w:tcBorders>
            <w:noWrap/>
            <w:vAlign w:val="center"/>
          </w:tcPr>
          <w:p>
            <w:pPr>
              <w:pStyle w:val="13"/>
              <w:bidi w:val="0"/>
              <w:rPr>
                <w:rFonts w:ascii="CESI宋体-GB2312" w:hAnsi="CESI宋体-GB2312"/>
                <w:color w:val="auto"/>
                <w:highlight w:val="none"/>
              </w:rPr>
            </w:pPr>
          </w:p>
        </w:tc>
      </w:tr>
      <w:tr>
        <w:tblPrEx>
          <w:tblCellMar>
            <w:top w:w="0" w:type="dxa"/>
            <w:left w:w="108" w:type="dxa"/>
            <w:bottom w:w="0" w:type="dxa"/>
            <w:right w:w="108" w:type="dxa"/>
          </w:tblCellMar>
        </w:tblPrEx>
        <w:trPr>
          <w:trHeight w:val="460" w:hRule="atLeast"/>
          <w:jc w:val="center"/>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rFonts w:ascii="CESI宋体-GB2312" w:hAnsi="CESI宋体-GB2312"/>
                <w:color w:val="auto"/>
                <w:highlight w:val="none"/>
              </w:rPr>
            </w:pPr>
          </w:p>
        </w:tc>
        <w:tc>
          <w:tcPr>
            <w:tcW w:w="2020" w:type="pct"/>
            <w:tcBorders>
              <w:top w:val="nil"/>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r>
              <w:rPr>
                <w:rFonts w:ascii="CESI宋体-GB2312" w:hAnsi="CESI宋体-GB2312"/>
                <w:color w:val="auto"/>
                <w:highlight w:val="none"/>
              </w:rPr>
              <w:t>④是否存在截留、挤占、挪用、虚列支出等情况。</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rPr>
                <w:rFonts w:ascii="CESI宋体-GB2312" w:hAnsi="CESI宋体-GB2312"/>
                <w:color w:val="auto"/>
                <w:highlight w:val="none"/>
              </w:rPr>
            </w:pPr>
          </w:p>
        </w:tc>
        <w:tc>
          <w:tcPr>
            <w:tcW w:w="315" w:type="pct"/>
            <w:vMerge w:val="continue"/>
            <w:tcBorders>
              <w:left w:val="single" w:color="000000" w:sz="4" w:space="0"/>
              <w:bottom w:val="single" w:color="000000" w:sz="4" w:space="0"/>
              <w:right w:val="single" w:color="000000" w:sz="4" w:space="0"/>
            </w:tcBorders>
            <w:noWrap/>
            <w:vAlign w:val="center"/>
          </w:tcPr>
          <w:p>
            <w:pPr>
              <w:pStyle w:val="13"/>
              <w:bidi w:val="0"/>
              <w:rPr>
                <w:rFonts w:ascii="CESI宋体-GB2312" w:hAnsi="CESI宋体-GB2312"/>
                <w:color w:val="auto"/>
                <w:highlight w:val="none"/>
              </w:rPr>
            </w:pPr>
          </w:p>
        </w:tc>
      </w:tr>
      <w:tr>
        <w:tblPrEx>
          <w:tblCellMar>
            <w:top w:w="0" w:type="dxa"/>
            <w:left w:w="108" w:type="dxa"/>
            <w:bottom w:w="0" w:type="dxa"/>
            <w:right w:w="108" w:type="dxa"/>
          </w:tblCellMar>
        </w:tblPrEx>
        <w:trPr>
          <w:trHeight w:val="460" w:hRule="atLeast"/>
          <w:jc w:val="center"/>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p>
        </w:tc>
        <w:tc>
          <w:tcPr>
            <w:tcW w:w="456"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r>
              <w:rPr>
                <w:rFonts w:ascii="CESI宋体-GB2312" w:hAnsi="CESI宋体-GB2312"/>
                <w:color w:val="auto"/>
                <w:highlight w:val="none"/>
              </w:rPr>
              <w:t>组织实施</w:t>
            </w:r>
          </w:p>
        </w:tc>
        <w:tc>
          <w:tcPr>
            <w:tcW w:w="54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r>
              <w:rPr>
                <w:rFonts w:ascii="CESI宋体-GB2312" w:hAnsi="CESI宋体-GB2312"/>
                <w:color w:val="auto"/>
                <w:highlight w:val="none"/>
              </w:rPr>
              <w:t>管理制度健全性</w:t>
            </w:r>
          </w:p>
        </w:tc>
        <w:tc>
          <w:tcPr>
            <w:tcW w:w="996" w:type="pct"/>
            <w:vMerge w:val="restart"/>
            <w:tcBorders>
              <w:top w:val="single" w:color="000000" w:sz="4" w:space="0"/>
              <w:left w:val="single" w:color="000000" w:sz="4" w:space="0"/>
              <w:bottom w:val="single" w:color="000000" w:sz="4" w:space="0"/>
              <w:right w:val="nil"/>
            </w:tcBorders>
            <w:shd w:val="clear" w:color="auto" w:fill="FFFFFF"/>
            <w:vAlign w:val="center"/>
          </w:tcPr>
          <w:p>
            <w:pPr>
              <w:pStyle w:val="13"/>
              <w:bidi w:val="0"/>
              <w:rPr>
                <w:rFonts w:ascii="CESI宋体-GB2312" w:hAnsi="CESI宋体-GB2312"/>
                <w:color w:val="auto"/>
                <w:highlight w:val="none"/>
              </w:rPr>
            </w:pPr>
            <w:r>
              <w:rPr>
                <w:rFonts w:ascii="CESI宋体-GB2312" w:hAnsi="CESI宋体-GB2312"/>
                <w:color w:val="auto"/>
                <w:highlight w:val="none"/>
              </w:rPr>
              <w:t>项目实施单位的财务和业务管理制度是否健全，用以反映和考核财务和业务管理制度对项目顺利实施的保障情况。</w:t>
            </w:r>
          </w:p>
        </w:tc>
        <w:tc>
          <w:tcPr>
            <w:tcW w:w="2020" w:type="pct"/>
            <w:tcBorders>
              <w:top w:val="single" w:color="000000" w:sz="4" w:space="0"/>
              <w:left w:val="single" w:color="000000" w:sz="4" w:space="0"/>
              <w:bottom w:val="nil"/>
              <w:right w:val="single" w:color="000000" w:sz="4" w:space="0"/>
            </w:tcBorders>
            <w:shd w:val="clear" w:color="auto" w:fill="FFFFFF"/>
            <w:vAlign w:val="center"/>
          </w:tcPr>
          <w:p>
            <w:pPr>
              <w:pStyle w:val="13"/>
              <w:bidi w:val="0"/>
              <w:rPr>
                <w:rFonts w:ascii="CESI宋体-GB2312" w:hAnsi="CESI宋体-GB2312"/>
                <w:color w:val="auto"/>
                <w:highlight w:val="none"/>
              </w:rPr>
            </w:pPr>
            <w:r>
              <w:rPr>
                <w:rFonts w:ascii="CESI宋体-GB2312" w:hAnsi="CESI宋体-GB2312"/>
                <w:color w:val="auto"/>
                <w:highlight w:val="none"/>
              </w:rPr>
              <w:t>评价要点：</w:t>
            </w:r>
          </w:p>
        </w:tc>
        <w:tc>
          <w:tcPr>
            <w:tcW w:w="315" w:type="pct"/>
            <w:vMerge w:val="restart"/>
            <w:tcBorders>
              <w:top w:val="single" w:color="000000" w:sz="4" w:space="0"/>
              <w:left w:val="single" w:color="000000" w:sz="4" w:space="0"/>
              <w:bottom w:val="single" w:color="000000" w:sz="4" w:space="0"/>
              <w:right w:val="single" w:color="000000" w:sz="4" w:space="0"/>
            </w:tcBorders>
            <w:noWrap/>
            <w:vAlign w:val="center"/>
          </w:tcPr>
          <w:p>
            <w:pPr>
              <w:pStyle w:val="13"/>
              <w:bidi w:val="0"/>
              <w:rPr>
                <w:rFonts w:ascii="CESI宋体-GB2312" w:hAnsi="CESI宋体-GB2312"/>
                <w:color w:val="auto"/>
                <w:highlight w:val="none"/>
              </w:rPr>
            </w:pPr>
            <w:r>
              <w:rPr>
                <w:rFonts w:ascii="CESI宋体-GB2312" w:hAnsi="CESI宋体-GB2312"/>
                <w:color w:val="auto"/>
                <w:highlight w:val="none"/>
              </w:rPr>
              <w:t>3</w:t>
            </w:r>
          </w:p>
        </w:tc>
        <w:tc>
          <w:tcPr>
            <w:tcW w:w="315" w:type="pct"/>
            <w:vMerge w:val="restart"/>
            <w:tcBorders>
              <w:top w:val="single" w:color="000000" w:sz="4" w:space="0"/>
              <w:left w:val="single" w:color="000000" w:sz="4" w:space="0"/>
              <w:right w:val="single" w:color="000000" w:sz="4" w:space="0"/>
            </w:tcBorders>
            <w:noWrap/>
            <w:vAlign w:val="center"/>
          </w:tcPr>
          <w:p>
            <w:pPr>
              <w:pStyle w:val="13"/>
              <w:bidi w:val="0"/>
              <w:rPr>
                <w:rFonts w:ascii="CESI宋体-GB2312" w:hAnsi="CESI宋体-GB2312"/>
                <w:color w:val="auto"/>
                <w:highlight w:val="none"/>
              </w:rPr>
            </w:pPr>
            <w:r>
              <w:rPr>
                <w:rFonts w:hint="eastAsia" w:ascii="CESI宋体-GB2312" w:hAnsi="CESI宋体-GB2312"/>
                <w:color w:val="auto"/>
                <w:highlight w:val="none"/>
              </w:rPr>
              <w:t>3</w:t>
            </w:r>
          </w:p>
        </w:tc>
      </w:tr>
      <w:tr>
        <w:tblPrEx>
          <w:tblCellMar>
            <w:top w:w="0" w:type="dxa"/>
            <w:left w:w="108" w:type="dxa"/>
            <w:bottom w:w="0" w:type="dxa"/>
            <w:right w:w="108" w:type="dxa"/>
          </w:tblCellMar>
        </w:tblPrEx>
        <w:trPr>
          <w:trHeight w:val="460" w:hRule="atLeast"/>
          <w:jc w:val="center"/>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rFonts w:ascii="CESI宋体-GB2312" w:hAnsi="CESI宋体-GB2312"/>
                <w:color w:val="auto"/>
                <w:highlight w:val="none"/>
              </w:rPr>
            </w:pPr>
          </w:p>
        </w:tc>
        <w:tc>
          <w:tcPr>
            <w:tcW w:w="2020" w:type="pct"/>
            <w:tcBorders>
              <w:top w:val="nil"/>
              <w:left w:val="single" w:color="000000" w:sz="4" w:space="0"/>
              <w:bottom w:val="nil"/>
              <w:right w:val="single" w:color="000000" w:sz="4" w:space="0"/>
            </w:tcBorders>
            <w:shd w:val="clear" w:color="auto" w:fill="FFFFFF"/>
            <w:vAlign w:val="center"/>
          </w:tcPr>
          <w:p>
            <w:pPr>
              <w:pStyle w:val="13"/>
              <w:bidi w:val="0"/>
              <w:rPr>
                <w:rFonts w:ascii="CESI宋体-GB2312" w:hAnsi="CESI宋体-GB2312"/>
                <w:color w:val="auto"/>
                <w:highlight w:val="none"/>
              </w:rPr>
            </w:pPr>
            <w:r>
              <w:rPr>
                <w:rFonts w:ascii="CESI宋体-GB2312" w:hAnsi="CESI宋体-GB2312"/>
                <w:color w:val="auto"/>
                <w:highlight w:val="none"/>
              </w:rPr>
              <w:t>①是否已制定或具有相应的财务和业务管理制度；</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rPr>
                <w:rFonts w:ascii="CESI宋体-GB2312" w:hAnsi="CESI宋体-GB2312"/>
                <w:color w:val="auto"/>
                <w:highlight w:val="none"/>
              </w:rPr>
            </w:pPr>
          </w:p>
        </w:tc>
        <w:tc>
          <w:tcPr>
            <w:tcW w:w="315" w:type="pct"/>
            <w:vMerge w:val="continue"/>
            <w:tcBorders>
              <w:left w:val="single" w:color="000000" w:sz="4" w:space="0"/>
              <w:right w:val="single" w:color="000000" w:sz="4" w:space="0"/>
            </w:tcBorders>
            <w:noWrap/>
            <w:vAlign w:val="center"/>
          </w:tcPr>
          <w:p>
            <w:pPr>
              <w:pStyle w:val="13"/>
              <w:bidi w:val="0"/>
              <w:rPr>
                <w:rFonts w:ascii="CESI宋体-GB2312" w:hAnsi="CESI宋体-GB2312"/>
                <w:color w:val="auto"/>
                <w:highlight w:val="none"/>
              </w:rPr>
            </w:pPr>
          </w:p>
        </w:tc>
      </w:tr>
      <w:tr>
        <w:tblPrEx>
          <w:tblCellMar>
            <w:top w:w="0" w:type="dxa"/>
            <w:left w:w="108" w:type="dxa"/>
            <w:bottom w:w="0" w:type="dxa"/>
            <w:right w:w="108" w:type="dxa"/>
          </w:tblCellMar>
        </w:tblPrEx>
        <w:trPr>
          <w:trHeight w:val="460" w:hRule="atLeast"/>
          <w:jc w:val="center"/>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rFonts w:ascii="CESI宋体-GB2312" w:hAnsi="CESI宋体-GB2312"/>
                <w:color w:val="auto"/>
                <w:highlight w:val="none"/>
              </w:rPr>
            </w:pPr>
          </w:p>
        </w:tc>
        <w:tc>
          <w:tcPr>
            <w:tcW w:w="2020" w:type="pct"/>
            <w:tcBorders>
              <w:top w:val="nil"/>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r>
              <w:rPr>
                <w:rFonts w:ascii="CESI宋体-GB2312" w:hAnsi="CESI宋体-GB2312"/>
                <w:color w:val="auto"/>
                <w:highlight w:val="none"/>
              </w:rPr>
              <w:t>②财务和业务管理制度是否合法、合规、完整。</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rPr>
                <w:rFonts w:ascii="CESI宋体-GB2312" w:hAnsi="CESI宋体-GB2312"/>
                <w:color w:val="auto"/>
                <w:highlight w:val="none"/>
              </w:rPr>
            </w:pPr>
          </w:p>
        </w:tc>
        <w:tc>
          <w:tcPr>
            <w:tcW w:w="315" w:type="pct"/>
            <w:vMerge w:val="continue"/>
            <w:tcBorders>
              <w:left w:val="single" w:color="000000" w:sz="4" w:space="0"/>
              <w:bottom w:val="single" w:color="000000" w:sz="4" w:space="0"/>
              <w:right w:val="single" w:color="000000" w:sz="4" w:space="0"/>
            </w:tcBorders>
            <w:noWrap/>
            <w:vAlign w:val="center"/>
          </w:tcPr>
          <w:p>
            <w:pPr>
              <w:pStyle w:val="13"/>
              <w:bidi w:val="0"/>
              <w:rPr>
                <w:rFonts w:ascii="CESI宋体-GB2312" w:hAnsi="CESI宋体-GB2312"/>
                <w:color w:val="auto"/>
                <w:highlight w:val="none"/>
              </w:rPr>
            </w:pPr>
          </w:p>
        </w:tc>
      </w:tr>
      <w:tr>
        <w:tblPrEx>
          <w:tblCellMar>
            <w:top w:w="0" w:type="dxa"/>
            <w:left w:w="108" w:type="dxa"/>
            <w:bottom w:w="0" w:type="dxa"/>
            <w:right w:w="108" w:type="dxa"/>
          </w:tblCellMar>
        </w:tblPrEx>
        <w:trPr>
          <w:trHeight w:val="460" w:hRule="atLeast"/>
          <w:jc w:val="center"/>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p>
        </w:tc>
        <w:tc>
          <w:tcPr>
            <w:tcW w:w="54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r>
              <w:rPr>
                <w:rFonts w:ascii="CESI宋体-GB2312" w:hAnsi="CESI宋体-GB2312"/>
                <w:color w:val="auto"/>
                <w:highlight w:val="none"/>
              </w:rPr>
              <w:t>制度执行有效性</w:t>
            </w:r>
          </w:p>
        </w:tc>
        <w:tc>
          <w:tcPr>
            <w:tcW w:w="996" w:type="pct"/>
            <w:vMerge w:val="restart"/>
            <w:tcBorders>
              <w:top w:val="single" w:color="000000" w:sz="4" w:space="0"/>
              <w:left w:val="single" w:color="000000" w:sz="4" w:space="0"/>
              <w:bottom w:val="single" w:color="000000" w:sz="4" w:space="0"/>
              <w:right w:val="nil"/>
            </w:tcBorders>
            <w:shd w:val="clear" w:color="auto" w:fill="FFFFFF"/>
            <w:vAlign w:val="center"/>
          </w:tcPr>
          <w:p>
            <w:pPr>
              <w:pStyle w:val="13"/>
              <w:bidi w:val="0"/>
              <w:rPr>
                <w:rFonts w:ascii="CESI宋体-GB2312" w:hAnsi="CESI宋体-GB2312"/>
                <w:color w:val="auto"/>
                <w:highlight w:val="none"/>
              </w:rPr>
            </w:pPr>
            <w:r>
              <w:rPr>
                <w:rFonts w:ascii="CESI宋体-GB2312" w:hAnsi="CESI宋体-GB2312"/>
                <w:color w:val="auto"/>
                <w:highlight w:val="none"/>
              </w:rPr>
              <w:t>项目实施是否符合相关管理规定，用以反映和考核相关管理制度的有效执行情况。</w:t>
            </w:r>
          </w:p>
        </w:tc>
        <w:tc>
          <w:tcPr>
            <w:tcW w:w="2020" w:type="pct"/>
            <w:tcBorders>
              <w:top w:val="single" w:color="000000" w:sz="4" w:space="0"/>
              <w:left w:val="single" w:color="000000" w:sz="4" w:space="0"/>
              <w:bottom w:val="nil"/>
              <w:right w:val="single" w:color="000000" w:sz="4" w:space="0"/>
            </w:tcBorders>
            <w:shd w:val="clear" w:color="auto" w:fill="FFFFFF"/>
            <w:vAlign w:val="center"/>
          </w:tcPr>
          <w:p>
            <w:pPr>
              <w:pStyle w:val="13"/>
              <w:bidi w:val="0"/>
              <w:rPr>
                <w:rFonts w:ascii="CESI宋体-GB2312" w:hAnsi="CESI宋体-GB2312"/>
                <w:color w:val="auto"/>
                <w:highlight w:val="none"/>
              </w:rPr>
            </w:pPr>
            <w:r>
              <w:rPr>
                <w:rFonts w:ascii="CESI宋体-GB2312" w:hAnsi="CESI宋体-GB2312"/>
                <w:color w:val="auto"/>
                <w:highlight w:val="none"/>
              </w:rPr>
              <w:t>评价要点：</w:t>
            </w:r>
          </w:p>
        </w:tc>
        <w:tc>
          <w:tcPr>
            <w:tcW w:w="315" w:type="pct"/>
            <w:vMerge w:val="restart"/>
            <w:tcBorders>
              <w:top w:val="single" w:color="000000" w:sz="4" w:space="0"/>
              <w:left w:val="single" w:color="000000" w:sz="4" w:space="0"/>
              <w:bottom w:val="single" w:color="000000" w:sz="4" w:space="0"/>
              <w:right w:val="single" w:color="000000" w:sz="4" w:space="0"/>
            </w:tcBorders>
            <w:noWrap/>
            <w:vAlign w:val="center"/>
          </w:tcPr>
          <w:p>
            <w:pPr>
              <w:pStyle w:val="13"/>
              <w:bidi w:val="0"/>
              <w:rPr>
                <w:rFonts w:ascii="CESI宋体-GB2312" w:hAnsi="CESI宋体-GB2312"/>
                <w:color w:val="auto"/>
                <w:highlight w:val="none"/>
              </w:rPr>
            </w:pPr>
            <w:r>
              <w:rPr>
                <w:rFonts w:ascii="CESI宋体-GB2312" w:hAnsi="CESI宋体-GB2312"/>
                <w:color w:val="auto"/>
                <w:highlight w:val="none"/>
              </w:rPr>
              <w:t>3</w:t>
            </w:r>
          </w:p>
        </w:tc>
        <w:tc>
          <w:tcPr>
            <w:tcW w:w="315" w:type="pct"/>
            <w:vMerge w:val="restart"/>
            <w:tcBorders>
              <w:top w:val="single" w:color="000000" w:sz="4" w:space="0"/>
              <w:left w:val="single" w:color="000000" w:sz="4" w:space="0"/>
              <w:right w:val="single" w:color="000000" w:sz="4" w:space="0"/>
            </w:tcBorders>
            <w:noWrap/>
            <w:vAlign w:val="center"/>
          </w:tcPr>
          <w:p>
            <w:pPr>
              <w:pStyle w:val="13"/>
              <w:bidi w:val="0"/>
              <w:rPr>
                <w:rFonts w:ascii="CESI宋体-GB2312" w:hAnsi="CESI宋体-GB2312"/>
                <w:color w:val="auto"/>
                <w:highlight w:val="none"/>
              </w:rPr>
            </w:pPr>
            <w:r>
              <w:rPr>
                <w:rFonts w:hint="eastAsia" w:ascii="CESI宋体-GB2312" w:hAnsi="CESI宋体-GB2312"/>
                <w:color w:val="auto"/>
                <w:highlight w:val="none"/>
              </w:rPr>
              <w:t>3</w:t>
            </w:r>
          </w:p>
        </w:tc>
      </w:tr>
      <w:tr>
        <w:tblPrEx>
          <w:tblCellMar>
            <w:top w:w="0" w:type="dxa"/>
            <w:left w:w="108" w:type="dxa"/>
            <w:bottom w:w="0" w:type="dxa"/>
            <w:right w:w="108" w:type="dxa"/>
          </w:tblCellMar>
        </w:tblPrEx>
        <w:trPr>
          <w:trHeight w:val="460" w:hRule="atLeast"/>
          <w:jc w:val="center"/>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rFonts w:ascii="CESI宋体-GB2312" w:hAnsi="CESI宋体-GB2312"/>
                <w:color w:val="auto"/>
                <w:highlight w:val="none"/>
              </w:rPr>
            </w:pPr>
          </w:p>
        </w:tc>
        <w:tc>
          <w:tcPr>
            <w:tcW w:w="2020" w:type="pct"/>
            <w:tcBorders>
              <w:top w:val="nil"/>
              <w:left w:val="single" w:color="000000" w:sz="4" w:space="0"/>
              <w:bottom w:val="nil"/>
              <w:right w:val="single" w:color="000000" w:sz="4" w:space="0"/>
            </w:tcBorders>
            <w:shd w:val="clear" w:color="auto" w:fill="FFFFFF"/>
            <w:vAlign w:val="center"/>
          </w:tcPr>
          <w:p>
            <w:pPr>
              <w:pStyle w:val="13"/>
              <w:bidi w:val="0"/>
              <w:rPr>
                <w:rFonts w:ascii="CESI宋体-GB2312" w:hAnsi="CESI宋体-GB2312"/>
                <w:color w:val="auto"/>
                <w:highlight w:val="none"/>
              </w:rPr>
            </w:pPr>
            <w:r>
              <w:rPr>
                <w:rFonts w:ascii="CESI宋体-GB2312" w:hAnsi="CESI宋体-GB2312"/>
                <w:color w:val="auto"/>
                <w:highlight w:val="none"/>
              </w:rPr>
              <w:t>①是否遵守相关法律法规和相关管理规定；</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rPr>
                <w:rFonts w:ascii="CESI宋体-GB2312" w:hAnsi="CESI宋体-GB2312"/>
                <w:color w:val="auto"/>
                <w:highlight w:val="none"/>
              </w:rPr>
            </w:pPr>
          </w:p>
        </w:tc>
        <w:tc>
          <w:tcPr>
            <w:tcW w:w="315" w:type="pct"/>
            <w:vMerge w:val="continue"/>
            <w:tcBorders>
              <w:left w:val="single" w:color="000000" w:sz="4" w:space="0"/>
              <w:right w:val="single" w:color="000000" w:sz="4" w:space="0"/>
            </w:tcBorders>
            <w:noWrap/>
            <w:vAlign w:val="center"/>
          </w:tcPr>
          <w:p>
            <w:pPr>
              <w:pStyle w:val="13"/>
              <w:bidi w:val="0"/>
              <w:rPr>
                <w:rFonts w:ascii="CESI宋体-GB2312" w:hAnsi="CESI宋体-GB2312"/>
                <w:color w:val="auto"/>
                <w:highlight w:val="none"/>
              </w:rPr>
            </w:pPr>
          </w:p>
        </w:tc>
      </w:tr>
      <w:tr>
        <w:tblPrEx>
          <w:tblCellMar>
            <w:top w:w="0" w:type="dxa"/>
            <w:left w:w="108" w:type="dxa"/>
            <w:bottom w:w="0" w:type="dxa"/>
            <w:right w:w="108" w:type="dxa"/>
          </w:tblCellMar>
        </w:tblPrEx>
        <w:trPr>
          <w:trHeight w:val="460" w:hRule="atLeast"/>
          <w:jc w:val="center"/>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rFonts w:ascii="CESI宋体-GB2312" w:hAnsi="CESI宋体-GB2312"/>
                <w:color w:val="auto"/>
                <w:highlight w:val="none"/>
              </w:rPr>
            </w:pPr>
          </w:p>
        </w:tc>
        <w:tc>
          <w:tcPr>
            <w:tcW w:w="2020" w:type="pct"/>
            <w:tcBorders>
              <w:top w:val="nil"/>
              <w:left w:val="single" w:color="000000" w:sz="4" w:space="0"/>
              <w:bottom w:val="nil"/>
              <w:right w:val="single" w:color="000000" w:sz="4" w:space="0"/>
            </w:tcBorders>
            <w:shd w:val="clear" w:color="auto" w:fill="FFFFFF"/>
            <w:vAlign w:val="center"/>
          </w:tcPr>
          <w:p>
            <w:pPr>
              <w:pStyle w:val="13"/>
              <w:bidi w:val="0"/>
              <w:rPr>
                <w:rFonts w:ascii="CESI宋体-GB2312" w:hAnsi="CESI宋体-GB2312"/>
                <w:color w:val="auto"/>
                <w:highlight w:val="none"/>
              </w:rPr>
            </w:pPr>
            <w:r>
              <w:rPr>
                <w:rFonts w:ascii="CESI宋体-GB2312" w:hAnsi="CESI宋体-GB2312"/>
                <w:color w:val="auto"/>
                <w:highlight w:val="none"/>
              </w:rPr>
              <w:t>②项目调整及支出调整手续是否完备；</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rPr>
                <w:rFonts w:ascii="CESI宋体-GB2312" w:hAnsi="CESI宋体-GB2312"/>
                <w:color w:val="auto"/>
                <w:highlight w:val="none"/>
              </w:rPr>
            </w:pPr>
          </w:p>
        </w:tc>
        <w:tc>
          <w:tcPr>
            <w:tcW w:w="315" w:type="pct"/>
            <w:vMerge w:val="continue"/>
            <w:tcBorders>
              <w:left w:val="single" w:color="000000" w:sz="4" w:space="0"/>
              <w:bottom w:val="single" w:color="000000" w:sz="4" w:space="0"/>
              <w:right w:val="single" w:color="000000" w:sz="4" w:space="0"/>
            </w:tcBorders>
            <w:noWrap/>
            <w:vAlign w:val="center"/>
          </w:tcPr>
          <w:p>
            <w:pPr>
              <w:pStyle w:val="13"/>
              <w:bidi w:val="0"/>
              <w:rPr>
                <w:rFonts w:ascii="CESI宋体-GB2312" w:hAnsi="CESI宋体-GB2312"/>
                <w:color w:val="auto"/>
                <w:highlight w:val="none"/>
              </w:rPr>
            </w:pPr>
          </w:p>
        </w:tc>
      </w:tr>
      <w:tr>
        <w:tblPrEx>
          <w:tblCellMar>
            <w:top w:w="0" w:type="dxa"/>
            <w:left w:w="108" w:type="dxa"/>
            <w:bottom w:w="0" w:type="dxa"/>
            <w:right w:w="108" w:type="dxa"/>
          </w:tblCellMar>
        </w:tblPrEx>
        <w:trPr>
          <w:trHeight w:val="460" w:hRule="atLeast"/>
          <w:jc w:val="center"/>
        </w:trPr>
        <w:tc>
          <w:tcPr>
            <w:tcW w:w="352" w:type="pct"/>
            <w:vMerge w:val="restart"/>
            <w:tcBorders>
              <w:top w:val="single" w:color="000000" w:sz="4" w:space="0"/>
              <w:left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r>
              <w:rPr>
                <w:rFonts w:ascii="CESI宋体-GB2312" w:hAnsi="CESI宋体-GB2312"/>
                <w:color w:val="auto"/>
                <w:highlight w:val="none"/>
              </w:rPr>
              <w:t>产出</w:t>
            </w:r>
          </w:p>
        </w:tc>
        <w:tc>
          <w:tcPr>
            <w:tcW w:w="456"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r>
              <w:rPr>
                <w:rFonts w:ascii="CESI宋体-GB2312" w:hAnsi="CESI宋体-GB2312"/>
                <w:color w:val="auto"/>
                <w:highlight w:val="none"/>
              </w:rPr>
              <w:t>产出数量</w:t>
            </w:r>
          </w:p>
        </w:tc>
        <w:tc>
          <w:tcPr>
            <w:tcW w:w="54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r>
              <w:rPr>
                <w:rFonts w:ascii="CESI宋体-GB2312" w:hAnsi="CESI宋体-GB2312"/>
                <w:color w:val="auto"/>
                <w:highlight w:val="none"/>
              </w:rPr>
              <w:t>实际完成率</w:t>
            </w:r>
          </w:p>
        </w:tc>
        <w:tc>
          <w:tcPr>
            <w:tcW w:w="996" w:type="pct"/>
            <w:vMerge w:val="restart"/>
            <w:tcBorders>
              <w:top w:val="single" w:color="000000" w:sz="4" w:space="0"/>
              <w:left w:val="single" w:color="000000" w:sz="4" w:space="0"/>
              <w:bottom w:val="single" w:color="000000" w:sz="4" w:space="0"/>
              <w:right w:val="nil"/>
            </w:tcBorders>
            <w:shd w:val="clear" w:color="auto" w:fill="FFFFFF"/>
            <w:vAlign w:val="center"/>
          </w:tcPr>
          <w:p>
            <w:pPr>
              <w:pStyle w:val="13"/>
              <w:bidi w:val="0"/>
              <w:rPr>
                <w:rFonts w:ascii="CESI宋体-GB2312" w:hAnsi="CESI宋体-GB2312"/>
                <w:color w:val="auto"/>
                <w:highlight w:val="none"/>
              </w:rPr>
            </w:pPr>
            <w:r>
              <w:rPr>
                <w:rFonts w:ascii="CESI宋体-GB2312" w:hAnsi="CESI宋体-GB2312"/>
                <w:color w:val="auto"/>
                <w:highlight w:val="none"/>
              </w:rPr>
              <w:t>项目实施的实际产出数与计划产出数的比率，用以反映和考核项目产出数量目标的实现程度。</w:t>
            </w:r>
          </w:p>
        </w:tc>
        <w:tc>
          <w:tcPr>
            <w:tcW w:w="2020" w:type="pct"/>
            <w:tcBorders>
              <w:top w:val="single" w:color="000000" w:sz="4" w:space="0"/>
              <w:left w:val="single" w:color="000000" w:sz="4" w:space="0"/>
              <w:bottom w:val="nil"/>
              <w:right w:val="single" w:color="000000" w:sz="4" w:space="0"/>
            </w:tcBorders>
            <w:shd w:val="clear" w:color="auto" w:fill="FFFFFF"/>
            <w:vAlign w:val="center"/>
          </w:tcPr>
          <w:p>
            <w:pPr>
              <w:pStyle w:val="13"/>
              <w:bidi w:val="0"/>
              <w:rPr>
                <w:rFonts w:ascii="CESI宋体-GB2312" w:hAnsi="CESI宋体-GB2312"/>
                <w:color w:val="auto"/>
                <w:highlight w:val="none"/>
              </w:rPr>
            </w:pPr>
            <w:r>
              <w:rPr>
                <w:rFonts w:ascii="CESI宋体-GB2312" w:hAnsi="CESI宋体-GB2312"/>
                <w:color w:val="auto"/>
                <w:highlight w:val="none"/>
              </w:rPr>
              <w:t>实际完成率=（实际产出数/计划产出数）×100%。</w:t>
            </w:r>
          </w:p>
        </w:tc>
        <w:tc>
          <w:tcPr>
            <w:tcW w:w="315" w:type="pct"/>
            <w:vMerge w:val="restart"/>
            <w:tcBorders>
              <w:top w:val="single" w:color="000000" w:sz="4" w:space="0"/>
              <w:left w:val="single" w:color="000000" w:sz="4" w:space="0"/>
              <w:bottom w:val="single" w:color="000000" w:sz="4" w:space="0"/>
              <w:right w:val="single" w:color="000000" w:sz="4" w:space="0"/>
            </w:tcBorders>
            <w:noWrap/>
            <w:vAlign w:val="center"/>
          </w:tcPr>
          <w:p>
            <w:pPr>
              <w:pStyle w:val="13"/>
              <w:bidi w:val="0"/>
              <w:rPr>
                <w:rFonts w:hint="default" w:ascii="CESI宋体-GB2312" w:hAnsi="CESI宋体-GB2312" w:eastAsia="仿宋_GB2312"/>
                <w:color w:val="auto"/>
                <w:highlight w:val="none"/>
                <w:lang w:val="en-US" w:eastAsia="zh-CN"/>
              </w:rPr>
            </w:pPr>
            <w:r>
              <w:rPr>
                <w:rFonts w:hint="eastAsia" w:ascii="CESI宋体-GB2312" w:hAnsi="CESI宋体-GB2312"/>
                <w:color w:val="auto"/>
                <w:highlight w:val="none"/>
                <w:lang w:val="en-US" w:eastAsia="zh-CN"/>
              </w:rPr>
              <w:t>10</w:t>
            </w:r>
          </w:p>
        </w:tc>
        <w:tc>
          <w:tcPr>
            <w:tcW w:w="990" w:type="dxa"/>
            <w:vMerge w:val="restart"/>
            <w:tcBorders>
              <w:top w:val="single" w:color="000000" w:sz="4" w:space="0"/>
              <w:left w:val="single" w:color="000000" w:sz="4" w:space="0"/>
              <w:right w:val="single" w:color="000000" w:sz="4" w:space="0"/>
            </w:tcBorders>
            <w:noWrap/>
            <w:vAlign w:val="center"/>
          </w:tcPr>
          <w:p>
            <w:pPr>
              <w:pStyle w:val="13"/>
              <w:bidi w:val="0"/>
              <w:ind w:firstLine="0" w:firstLineChars="0"/>
              <w:rPr>
                <w:rFonts w:hint="default" w:ascii="CESI宋体-GB2312" w:hAnsi="CESI宋体-GB2312" w:eastAsia="仿宋_GB2312"/>
                <w:color w:val="auto"/>
                <w:highlight w:val="none"/>
                <w:lang w:val="en-US" w:eastAsia="zh-CN"/>
              </w:rPr>
            </w:pPr>
            <w:r>
              <w:rPr>
                <w:rFonts w:hint="eastAsia" w:ascii="CESI宋体-GB2312" w:hAnsi="CESI宋体-GB2312"/>
                <w:color w:val="auto"/>
                <w:highlight w:val="none"/>
                <w:lang w:val="en-US" w:eastAsia="zh-CN"/>
              </w:rPr>
              <w:t>10</w:t>
            </w:r>
          </w:p>
        </w:tc>
      </w:tr>
      <w:tr>
        <w:tblPrEx>
          <w:tblCellMar>
            <w:top w:w="0" w:type="dxa"/>
            <w:left w:w="108" w:type="dxa"/>
            <w:bottom w:w="0" w:type="dxa"/>
            <w:right w:w="108" w:type="dxa"/>
          </w:tblCellMar>
        </w:tblPrEx>
        <w:trPr>
          <w:trHeight w:val="460" w:hRule="atLeast"/>
          <w:jc w:val="center"/>
        </w:trPr>
        <w:tc>
          <w:tcPr>
            <w:tcW w:w="352" w:type="pct"/>
            <w:vMerge w:val="continue"/>
            <w:tcBorders>
              <w:left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rFonts w:ascii="CESI宋体-GB2312" w:hAnsi="CESI宋体-GB2312"/>
                <w:color w:val="auto"/>
                <w:highlight w:val="none"/>
              </w:rPr>
            </w:pPr>
          </w:p>
        </w:tc>
        <w:tc>
          <w:tcPr>
            <w:tcW w:w="2020" w:type="pct"/>
            <w:tcBorders>
              <w:top w:val="nil"/>
              <w:left w:val="single" w:color="000000" w:sz="4" w:space="0"/>
              <w:bottom w:val="nil"/>
              <w:right w:val="single" w:color="000000" w:sz="4" w:space="0"/>
            </w:tcBorders>
            <w:shd w:val="clear" w:color="auto" w:fill="FFFFFF"/>
            <w:vAlign w:val="center"/>
          </w:tcPr>
          <w:p>
            <w:pPr>
              <w:pStyle w:val="13"/>
              <w:bidi w:val="0"/>
              <w:rPr>
                <w:rFonts w:ascii="CESI宋体-GB2312" w:hAnsi="CESI宋体-GB2312"/>
                <w:color w:val="auto"/>
                <w:highlight w:val="none"/>
              </w:rPr>
            </w:pPr>
            <w:r>
              <w:rPr>
                <w:rFonts w:ascii="CESI宋体-GB2312" w:hAnsi="CESI宋体-GB2312"/>
                <w:color w:val="auto"/>
                <w:highlight w:val="none"/>
              </w:rPr>
              <w:t>实际产出数：一定时期（本年度或项目期）内项目实际产出的产品或提供的服务数量。</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rPr>
                <w:rFonts w:ascii="CESI宋体-GB2312" w:hAnsi="CESI宋体-GB2312"/>
                <w:color w:val="auto"/>
                <w:highlight w:val="none"/>
              </w:rPr>
            </w:pPr>
          </w:p>
        </w:tc>
        <w:tc>
          <w:tcPr>
            <w:tcW w:w="315" w:type="pct"/>
            <w:vMerge w:val="continue"/>
            <w:tcBorders>
              <w:left w:val="single" w:color="000000" w:sz="4" w:space="0"/>
              <w:right w:val="single" w:color="000000" w:sz="4" w:space="0"/>
            </w:tcBorders>
            <w:noWrap/>
            <w:vAlign w:val="center"/>
          </w:tcPr>
          <w:p>
            <w:pPr>
              <w:pStyle w:val="13"/>
              <w:bidi w:val="0"/>
              <w:rPr>
                <w:rFonts w:ascii="CESI宋体-GB2312" w:hAnsi="CESI宋体-GB2312"/>
                <w:color w:val="auto"/>
                <w:highlight w:val="none"/>
              </w:rPr>
            </w:pPr>
          </w:p>
        </w:tc>
      </w:tr>
      <w:tr>
        <w:tblPrEx>
          <w:tblCellMar>
            <w:top w:w="0" w:type="dxa"/>
            <w:left w:w="108" w:type="dxa"/>
            <w:bottom w:w="0" w:type="dxa"/>
            <w:right w:w="108" w:type="dxa"/>
          </w:tblCellMar>
        </w:tblPrEx>
        <w:trPr>
          <w:trHeight w:val="460" w:hRule="atLeast"/>
          <w:jc w:val="center"/>
        </w:trPr>
        <w:tc>
          <w:tcPr>
            <w:tcW w:w="352" w:type="pct"/>
            <w:vMerge w:val="continue"/>
            <w:tcBorders>
              <w:left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rFonts w:ascii="CESI宋体-GB2312" w:hAnsi="CESI宋体-GB2312"/>
                <w:color w:val="auto"/>
                <w:highlight w:val="none"/>
              </w:rPr>
            </w:pPr>
          </w:p>
        </w:tc>
        <w:tc>
          <w:tcPr>
            <w:tcW w:w="2020" w:type="pct"/>
            <w:tcBorders>
              <w:top w:val="nil"/>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r>
              <w:rPr>
                <w:rFonts w:ascii="CESI宋体-GB2312" w:hAnsi="CESI宋体-GB2312"/>
                <w:color w:val="auto"/>
                <w:highlight w:val="none"/>
              </w:rPr>
              <w:t>计划产出数：项目绩效目标确定的在一定时期（本年度或项目期）内计划产出的产品或提供的服务数量。</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rPr>
                <w:rFonts w:ascii="CESI宋体-GB2312" w:hAnsi="CESI宋体-GB2312"/>
                <w:color w:val="auto"/>
                <w:highlight w:val="none"/>
              </w:rPr>
            </w:pPr>
          </w:p>
        </w:tc>
        <w:tc>
          <w:tcPr>
            <w:tcW w:w="315" w:type="pct"/>
            <w:vMerge w:val="continue"/>
            <w:tcBorders>
              <w:left w:val="single" w:color="000000" w:sz="4" w:space="0"/>
              <w:bottom w:val="single" w:color="000000" w:sz="4" w:space="0"/>
              <w:right w:val="single" w:color="000000" w:sz="4" w:space="0"/>
            </w:tcBorders>
            <w:noWrap/>
            <w:vAlign w:val="center"/>
          </w:tcPr>
          <w:p>
            <w:pPr>
              <w:pStyle w:val="13"/>
              <w:bidi w:val="0"/>
              <w:rPr>
                <w:rFonts w:ascii="CESI宋体-GB2312" w:hAnsi="CESI宋体-GB2312"/>
                <w:color w:val="auto"/>
                <w:highlight w:val="none"/>
              </w:rPr>
            </w:pPr>
          </w:p>
        </w:tc>
      </w:tr>
      <w:tr>
        <w:tblPrEx>
          <w:tblCellMar>
            <w:top w:w="0" w:type="dxa"/>
            <w:left w:w="108" w:type="dxa"/>
            <w:bottom w:w="0" w:type="dxa"/>
            <w:right w:w="108" w:type="dxa"/>
          </w:tblCellMar>
        </w:tblPrEx>
        <w:trPr>
          <w:trHeight w:val="780" w:hRule="atLeast"/>
          <w:jc w:val="center"/>
        </w:trPr>
        <w:tc>
          <w:tcPr>
            <w:tcW w:w="352" w:type="pct"/>
            <w:vMerge w:val="continue"/>
            <w:tcBorders>
              <w:left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p>
        </w:tc>
        <w:tc>
          <w:tcPr>
            <w:tcW w:w="456"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r>
              <w:rPr>
                <w:rFonts w:ascii="CESI宋体-GB2312" w:hAnsi="CESI宋体-GB2312"/>
                <w:color w:val="auto"/>
                <w:highlight w:val="none"/>
              </w:rPr>
              <w:t>产出质量</w:t>
            </w:r>
          </w:p>
        </w:tc>
        <w:tc>
          <w:tcPr>
            <w:tcW w:w="54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r>
              <w:rPr>
                <w:rFonts w:ascii="CESI宋体-GB2312" w:hAnsi="CESI宋体-GB2312"/>
                <w:color w:val="auto"/>
                <w:highlight w:val="none"/>
              </w:rPr>
              <w:t>质量达标率</w:t>
            </w:r>
          </w:p>
        </w:tc>
        <w:tc>
          <w:tcPr>
            <w:tcW w:w="996" w:type="pct"/>
            <w:vMerge w:val="restart"/>
            <w:tcBorders>
              <w:top w:val="single" w:color="000000" w:sz="4" w:space="0"/>
              <w:left w:val="single" w:color="000000" w:sz="4" w:space="0"/>
              <w:bottom w:val="single" w:color="000000" w:sz="4" w:space="0"/>
              <w:right w:val="nil"/>
            </w:tcBorders>
            <w:shd w:val="clear" w:color="auto" w:fill="FFFFFF"/>
            <w:vAlign w:val="center"/>
          </w:tcPr>
          <w:p>
            <w:pPr>
              <w:pStyle w:val="13"/>
              <w:bidi w:val="0"/>
              <w:rPr>
                <w:rFonts w:ascii="CESI宋体-GB2312" w:hAnsi="CESI宋体-GB2312"/>
                <w:color w:val="auto"/>
                <w:highlight w:val="none"/>
              </w:rPr>
            </w:pPr>
            <w:r>
              <w:rPr>
                <w:rFonts w:ascii="CESI宋体-GB2312" w:hAnsi="CESI宋体-GB2312"/>
                <w:color w:val="auto"/>
                <w:highlight w:val="none"/>
              </w:rPr>
              <w:t>项目完成的质量达标产出数与实际产出数的比率，用以反映和考核项目产出质量目标的实现程度。</w:t>
            </w:r>
          </w:p>
        </w:tc>
        <w:tc>
          <w:tcPr>
            <w:tcW w:w="2020" w:type="pct"/>
            <w:tcBorders>
              <w:top w:val="single" w:color="000000" w:sz="4" w:space="0"/>
              <w:left w:val="single" w:color="000000" w:sz="4" w:space="0"/>
              <w:bottom w:val="nil"/>
              <w:right w:val="single" w:color="000000" w:sz="4" w:space="0"/>
            </w:tcBorders>
            <w:shd w:val="clear" w:color="auto" w:fill="FFFFFF"/>
            <w:vAlign w:val="center"/>
          </w:tcPr>
          <w:p>
            <w:pPr>
              <w:pStyle w:val="13"/>
              <w:bidi w:val="0"/>
              <w:rPr>
                <w:rFonts w:ascii="CESI宋体-GB2312" w:hAnsi="CESI宋体-GB2312"/>
                <w:color w:val="auto"/>
                <w:highlight w:val="none"/>
              </w:rPr>
            </w:pPr>
            <w:r>
              <w:rPr>
                <w:rFonts w:ascii="CESI宋体-GB2312" w:hAnsi="CESI宋体-GB2312"/>
                <w:color w:val="auto"/>
                <w:highlight w:val="none"/>
              </w:rPr>
              <w:t>质量达标率=（质量达标产出数/实际产出数）×100%。</w:t>
            </w:r>
          </w:p>
        </w:tc>
        <w:tc>
          <w:tcPr>
            <w:tcW w:w="315" w:type="pct"/>
            <w:vMerge w:val="restart"/>
            <w:tcBorders>
              <w:top w:val="single" w:color="000000" w:sz="4" w:space="0"/>
              <w:left w:val="single" w:color="000000" w:sz="4" w:space="0"/>
              <w:bottom w:val="single" w:color="000000" w:sz="4" w:space="0"/>
              <w:right w:val="single" w:color="000000" w:sz="4" w:space="0"/>
            </w:tcBorders>
            <w:noWrap/>
            <w:vAlign w:val="center"/>
          </w:tcPr>
          <w:p>
            <w:pPr>
              <w:pStyle w:val="13"/>
              <w:bidi w:val="0"/>
              <w:rPr>
                <w:rFonts w:hint="default" w:ascii="CESI宋体-GB2312" w:hAnsi="CESI宋体-GB2312" w:eastAsia="仿宋_GB2312"/>
                <w:color w:val="auto"/>
                <w:highlight w:val="none"/>
                <w:lang w:val="en-US" w:eastAsia="zh-CN"/>
              </w:rPr>
            </w:pPr>
            <w:r>
              <w:rPr>
                <w:rFonts w:hint="eastAsia" w:ascii="CESI宋体-GB2312" w:hAnsi="CESI宋体-GB2312"/>
                <w:color w:val="auto"/>
                <w:highlight w:val="none"/>
                <w:lang w:val="en-US" w:eastAsia="zh-CN"/>
              </w:rPr>
              <w:t>10</w:t>
            </w:r>
          </w:p>
        </w:tc>
        <w:tc>
          <w:tcPr>
            <w:tcW w:w="990" w:type="dxa"/>
            <w:vMerge w:val="restart"/>
            <w:tcBorders>
              <w:top w:val="single" w:color="000000" w:sz="4" w:space="0"/>
              <w:left w:val="single" w:color="000000" w:sz="4" w:space="0"/>
              <w:right w:val="single" w:color="000000" w:sz="4" w:space="0"/>
            </w:tcBorders>
            <w:noWrap/>
            <w:vAlign w:val="center"/>
          </w:tcPr>
          <w:p>
            <w:pPr>
              <w:pStyle w:val="13"/>
              <w:bidi w:val="0"/>
              <w:ind w:firstLine="0" w:firstLineChars="0"/>
              <w:rPr>
                <w:rFonts w:hint="default" w:ascii="CESI宋体-GB2312" w:hAnsi="CESI宋体-GB2312" w:eastAsia="仿宋_GB2312"/>
                <w:color w:val="auto"/>
                <w:highlight w:val="none"/>
                <w:lang w:val="en-US" w:eastAsia="zh-CN"/>
              </w:rPr>
            </w:pPr>
            <w:r>
              <w:rPr>
                <w:rFonts w:hint="eastAsia" w:ascii="CESI宋体-GB2312" w:hAnsi="CESI宋体-GB2312"/>
                <w:color w:val="auto"/>
                <w:highlight w:val="none"/>
                <w:lang w:val="en-US" w:eastAsia="zh-CN"/>
              </w:rPr>
              <w:t>10</w:t>
            </w:r>
          </w:p>
        </w:tc>
      </w:tr>
      <w:tr>
        <w:tblPrEx>
          <w:tblCellMar>
            <w:top w:w="0" w:type="dxa"/>
            <w:left w:w="108" w:type="dxa"/>
            <w:bottom w:w="0" w:type="dxa"/>
            <w:right w:w="108" w:type="dxa"/>
          </w:tblCellMar>
        </w:tblPrEx>
        <w:trPr>
          <w:trHeight w:val="880" w:hRule="atLeast"/>
          <w:jc w:val="center"/>
        </w:trPr>
        <w:tc>
          <w:tcPr>
            <w:tcW w:w="352" w:type="pct"/>
            <w:vMerge w:val="continue"/>
            <w:tcBorders>
              <w:left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rFonts w:ascii="CESI宋体-GB2312" w:hAnsi="CESI宋体-GB2312"/>
                <w:color w:val="auto"/>
                <w:highlight w:val="none"/>
              </w:rPr>
            </w:pPr>
          </w:p>
        </w:tc>
        <w:tc>
          <w:tcPr>
            <w:tcW w:w="2020" w:type="pct"/>
            <w:tcBorders>
              <w:top w:val="nil"/>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r>
              <w:rPr>
                <w:rFonts w:ascii="CESI宋体-GB2312" w:hAnsi="CESI宋体-GB2312"/>
                <w:color w:val="auto"/>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rPr>
                <w:rFonts w:ascii="CESI宋体-GB2312" w:hAnsi="CESI宋体-GB2312"/>
                <w:color w:val="auto"/>
                <w:highlight w:val="none"/>
              </w:rPr>
            </w:pPr>
          </w:p>
        </w:tc>
        <w:tc>
          <w:tcPr>
            <w:tcW w:w="315" w:type="pct"/>
            <w:vMerge w:val="continue"/>
            <w:tcBorders>
              <w:left w:val="single" w:color="000000" w:sz="4" w:space="0"/>
              <w:bottom w:val="single" w:color="000000" w:sz="4" w:space="0"/>
              <w:right w:val="single" w:color="000000" w:sz="4" w:space="0"/>
            </w:tcBorders>
            <w:noWrap/>
            <w:vAlign w:val="center"/>
          </w:tcPr>
          <w:p>
            <w:pPr>
              <w:pStyle w:val="13"/>
              <w:bidi w:val="0"/>
              <w:rPr>
                <w:rFonts w:ascii="CESI宋体-GB2312" w:hAnsi="CESI宋体-GB2312"/>
                <w:color w:val="auto"/>
                <w:highlight w:val="none"/>
              </w:rPr>
            </w:pPr>
          </w:p>
        </w:tc>
      </w:tr>
      <w:tr>
        <w:tblPrEx>
          <w:tblCellMar>
            <w:top w:w="0" w:type="dxa"/>
            <w:left w:w="108" w:type="dxa"/>
            <w:bottom w:w="0" w:type="dxa"/>
            <w:right w:w="108" w:type="dxa"/>
          </w:tblCellMar>
        </w:tblPrEx>
        <w:trPr>
          <w:trHeight w:val="460" w:hRule="atLeast"/>
          <w:jc w:val="center"/>
        </w:trPr>
        <w:tc>
          <w:tcPr>
            <w:tcW w:w="352" w:type="pct"/>
            <w:vMerge w:val="continue"/>
            <w:tcBorders>
              <w:left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p>
        </w:tc>
        <w:tc>
          <w:tcPr>
            <w:tcW w:w="456"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r>
              <w:rPr>
                <w:rFonts w:ascii="CESI宋体-GB2312" w:hAnsi="CESI宋体-GB2312"/>
                <w:color w:val="auto"/>
                <w:highlight w:val="none"/>
              </w:rPr>
              <w:t>产出时效</w:t>
            </w:r>
          </w:p>
        </w:tc>
        <w:tc>
          <w:tcPr>
            <w:tcW w:w="54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r>
              <w:rPr>
                <w:rFonts w:ascii="CESI宋体-GB2312" w:hAnsi="CESI宋体-GB2312"/>
                <w:color w:val="auto"/>
                <w:highlight w:val="none"/>
              </w:rPr>
              <w:t>完成及时性</w:t>
            </w:r>
          </w:p>
        </w:tc>
        <w:tc>
          <w:tcPr>
            <w:tcW w:w="996" w:type="pct"/>
            <w:vMerge w:val="restart"/>
            <w:tcBorders>
              <w:top w:val="single" w:color="000000" w:sz="4" w:space="0"/>
              <w:left w:val="single" w:color="000000" w:sz="4" w:space="0"/>
              <w:bottom w:val="single" w:color="000000" w:sz="4" w:space="0"/>
              <w:right w:val="nil"/>
            </w:tcBorders>
            <w:shd w:val="clear" w:color="auto" w:fill="FFFFFF"/>
            <w:vAlign w:val="center"/>
          </w:tcPr>
          <w:p>
            <w:pPr>
              <w:pStyle w:val="13"/>
              <w:bidi w:val="0"/>
              <w:rPr>
                <w:rFonts w:ascii="CESI宋体-GB2312" w:hAnsi="CESI宋体-GB2312"/>
                <w:color w:val="auto"/>
                <w:highlight w:val="none"/>
              </w:rPr>
            </w:pPr>
            <w:r>
              <w:rPr>
                <w:rFonts w:ascii="CESI宋体-GB2312" w:hAnsi="CESI宋体-GB2312"/>
                <w:color w:val="auto"/>
                <w:highlight w:val="none"/>
              </w:rPr>
              <w:t>项目实际完成时间与计划完成时间的比较，用以反映和考核项目产出时效目标的实现程度。</w:t>
            </w:r>
          </w:p>
        </w:tc>
        <w:tc>
          <w:tcPr>
            <w:tcW w:w="2020" w:type="pct"/>
            <w:tcBorders>
              <w:top w:val="single" w:color="000000" w:sz="4" w:space="0"/>
              <w:left w:val="single" w:color="000000" w:sz="4" w:space="0"/>
              <w:bottom w:val="nil"/>
              <w:right w:val="single" w:color="000000" w:sz="4" w:space="0"/>
            </w:tcBorders>
            <w:shd w:val="clear" w:color="auto" w:fill="FFFFFF"/>
            <w:vAlign w:val="center"/>
          </w:tcPr>
          <w:p>
            <w:pPr>
              <w:pStyle w:val="13"/>
              <w:bidi w:val="0"/>
              <w:rPr>
                <w:rFonts w:ascii="CESI宋体-GB2312" w:hAnsi="CESI宋体-GB2312"/>
                <w:color w:val="auto"/>
                <w:highlight w:val="none"/>
              </w:rPr>
            </w:pPr>
            <w:r>
              <w:rPr>
                <w:rFonts w:ascii="CESI宋体-GB2312" w:hAnsi="CESI宋体-GB2312"/>
                <w:color w:val="auto"/>
                <w:highlight w:val="none"/>
              </w:rPr>
              <w:t>实际完成时间：项目实施单位完成该项目实际所耗用的时间。</w:t>
            </w:r>
          </w:p>
        </w:tc>
        <w:tc>
          <w:tcPr>
            <w:tcW w:w="315" w:type="pct"/>
            <w:vMerge w:val="restart"/>
            <w:tcBorders>
              <w:top w:val="single" w:color="000000" w:sz="4" w:space="0"/>
              <w:left w:val="single" w:color="000000" w:sz="4" w:space="0"/>
              <w:bottom w:val="single" w:color="000000" w:sz="4" w:space="0"/>
              <w:right w:val="single" w:color="000000" w:sz="4" w:space="0"/>
            </w:tcBorders>
            <w:noWrap/>
            <w:vAlign w:val="center"/>
          </w:tcPr>
          <w:p>
            <w:pPr>
              <w:pStyle w:val="13"/>
              <w:bidi w:val="0"/>
              <w:rPr>
                <w:rFonts w:hint="default" w:ascii="CESI宋体-GB2312" w:hAnsi="CESI宋体-GB2312" w:eastAsia="仿宋_GB2312"/>
                <w:color w:val="auto"/>
                <w:highlight w:val="none"/>
                <w:lang w:val="en-US" w:eastAsia="zh-CN"/>
              </w:rPr>
            </w:pPr>
            <w:r>
              <w:rPr>
                <w:rFonts w:hint="eastAsia" w:ascii="CESI宋体-GB2312" w:hAnsi="CESI宋体-GB2312"/>
                <w:color w:val="auto"/>
                <w:highlight w:val="none"/>
                <w:lang w:val="en-US" w:eastAsia="zh-CN"/>
              </w:rPr>
              <w:t>10</w:t>
            </w:r>
          </w:p>
        </w:tc>
        <w:tc>
          <w:tcPr>
            <w:tcW w:w="990" w:type="dxa"/>
            <w:vMerge w:val="restart"/>
            <w:tcBorders>
              <w:top w:val="single" w:color="000000" w:sz="4" w:space="0"/>
              <w:left w:val="single" w:color="000000" w:sz="4" w:space="0"/>
              <w:right w:val="single" w:color="000000" w:sz="4" w:space="0"/>
            </w:tcBorders>
            <w:noWrap/>
            <w:vAlign w:val="center"/>
          </w:tcPr>
          <w:p>
            <w:pPr>
              <w:pStyle w:val="13"/>
              <w:bidi w:val="0"/>
              <w:ind w:firstLine="0" w:firstLineChars="0"/>
              <w:rPr>
                <w:rFonts w:hint="eastAsia" w:ascii="CESI宋体-GB2312" w:hAnsi="CESI宋体-GB2312" w:eastAsia="仿宋_GB2312"/>
                <w:color w:val="auto"/>
                <w:highlight w:val="none"/>
                <w:lang w:eastAsia="zh-CN"/>
              </w:rPr>
            </w:pPr>
            <w:r>
              <w:rPr>
                <w:rFonts w:hint="eastAsia" w:ascii="CESI宋体-GB2312" w:hAnsi="CESI宋体-GB2312"/>
                <w:color w:val="auto"/>
                <w:highlight w:val="none"/>
                <w:lang w:val="en-US" w:eastAsia="zh-CN"/>
              </w:rPr>
              <w:t>10</w:t>
            </w:r>
          </w:p>
        </w:tc>
      </w:tr>
      <w:tr>
        <w:tblPrEx>
          <w:tblCellMar>
            <w:top w:w="0" w:type="dxa"/>
            <w:left w:w="108" w:type="dxa"/>
            <w:bottom w:w="0" w:type="dxa"/>
            <w:right w:w="108" w:type="dxa"/>
          </w:tblCellMar>
        </w:tblPrEx>
        <w:trPr>
          <w:trHeight w:val="460" w:hRule="atLeast"/>
          <w:jc w:val="center"/>
        </w:trPr>
        <w:tc>
          <w:tcPr>
            <w:tcW w:w="352" w:type="pct"/>
            <w:vMerge w:val="continue"/>
            <w:tcBorders>
              <w:left w:val="single" w:color="000000" w:sz="4" w:space="0"/>
              <w:bottom w:val="single" w:color="auto" w:sz="4" w:space="0"/>
              <w:right w:val="single" w:color="000000" w:sz="4" w:space="0"/>
            </w:tcBorders>
            <w:shd w:val="clear" w:color="auto" w:fill="FFFFFF"/>
            <w:vAlign w:val="center"/>
          </w:tcPr>
          <w:p>
            <w:pPr>
              <w:pStyle w:val="13"/>
              <w:bidi w:val="0"/>
              <w:rPr>
                <w:rFonts w:ascii="CESI宋体-GB2312" w:hAnsi="CESI宋体-GB2312"/>
                <w:color w:val="auto"/>
                <w:highlight w:val="none"/>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rFonts w:ascii="CESI宋体-GB2312" w:hAnsi="CESI宋体-GB2312"/>
                <w:color w:val="auto"/>
                <w:highlight w:val="none"/>
              </w:rPr>
            </w:pPr>
          </w:p>
        </w:tc>
        <w:tc>
          <w:tcPr>
            <w:tcW w:w="2020" w:type="pct"/>
            <w:tcBorders>
              <w:top w:val="nil"/>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r>
              <w:rPr>
                <w:rFonts w:ascii="CESI宋体-GB2312" w:hAnsi="CESI宋体-GB2312"/>
                <w:color w:val="auto"/>
                <w:highlight w:val="none"/>
              </w:rPr>
              <w:t>计划完成时间：按照项目实施计划或相关规定完成该项目所需的时间。</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rPr>
                <w:rFonts w:ascii="CESI宋体-GB2312" w:hAnsi="CESI宋体-GB2312"/>
                <w:color w:val="auto"/>
                <w:highlight w:val="none"/>
              </w:rPr>
            </w:pPr>
          </w:p>
        </w:tc>
        <w:tc>
          <w:tcPr>
            <w:tcW w:w="315" w:type="pct"/>
            <w:vMerge w:val="continue"/>
            <w:tcBorders>
              <w:left w:val="single" w:color="000000" w:sz="4" w:space="0"/>
              <w:bottom w:val="single" w:color="000000" w:sz="4" w:space="0"/>
              <w:right w:val="single" w:color="000000" w:sz="4" w:space="0"/>
            </w:tcBorders>
            <w:noWrap/>
            <w:vAlign w:val="center"/>
          </w:tcPr>
          <w:p>
            <w:pPr>
              <w:pStyle w:val="13"/>
              <w:bidi w:val="0"/>
              <w:rPr>
                <w:rFonts w:ascii="CESI宋体-GB2312" w:hAnsi="CESI宋体-GB2312"/>
                <w:color w:val="auto"/>
                <w:highlight w:val="none"/>
              </w:rPr>
            </w:pPr>
          </w:p>
        </w:tc>
      </w:tr>
      <w:tr>
        <w:tblPrEx>
          <w:tblCellMar>
            <w:top w:w="0" w:type="dxa"/>
            <w:left w:w="108" w:type="dxa"/>
            <w:bottom w:w="0" w:type="dxa"/>
            <w:right w:w="108" w:type="dxa"/>
          </w:tblCellMar>
        </w:tblPrEx>
        <w:trPr>
          <w:trHeight w:val="457" w:hRule="atLeast"/>
          <w:jc w:val="center"/>
        </w:trPr>
        <w:tc>
          <w:tcPr>
            <w:tcW w:w="352" w:type="pct"/>
            <w:tcBorders>
              <w:top w:val="single" w:color="auto"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r>
              <w:rPr>
                <w:rFonts w:hint="default" w:ascii="CESI宋体-GB2312" w:hAnsi="CESI宋体-GB2312" w:eastAsia="仿宋_GB2312" w:cs="Times New Roman"/>
                <w:color w:val="auto"/>
                <w:sz w:val="18"/>
                <w:szCs w:val="18"/>
                <w:highlight w:val="none"/>
              </w:rPr>
              <w:t>成本</w:t>
            </w:r>
          </w:p>
        </w:tc>
        <w:tc>
          <w:tcPr>
            <w:tcW w:w="456"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keepNext w:val="0"/>
              <w:keepLines/>
              <w:pageBreakBefore w:val="0"/>
              <w:widowControl w:val="0"/>
              <w:kinsoku/>
              <w:wordWrap/>
              <w:overflowPunct/>
              <w:topLinePunct w:val="0"/>
              <w:autoSpaceDE/>
              <w:autoSpaceDN/>
              <w:bidi w:val="0"/>
              <w:adjustRightInd/>
              <w:snapToGrid/>
              <w:spacing w:line="240" w:lineRule="exact"/>
              <w:ind w:firstLine="0" w:firstLineChars="0"/>
              <w:jc w:val="center"/>
              <w:textAlignment w:val="auto"/>
              <w:rPr>
                <w:rFonts w:hint="default" w:ascii="CESI宋体-GB2312" w:hAnsi="CESI宋体-GB2312" w:eastAsia="仿宋_GB2312" w:cs="Times New Roman"/>
                <w:color w:val="auto"/>
                <w:kern w:val="44"/>
                <w:sz w:val="18"/>
                <w:szCs w:val="18"/>
                <w:highlight w:val="none"/>
                <w:lang w:val="en-US" w:eastAsia="zh-CN" w:bidi="ar-SA"/>
              </w:rPr>
            </w:pPr>
            <w:r>
              <w:rPr>
                <w:rFonts w:hint="default" w:ascii="CESI宋体-GB2312" w:hAnsi="CESI宋体-GB2312" w:eastAsia="仿宋_GB2312" w:cs="Times New Roman"/>
                <w:color w:val="auto"/>
                <w:sz w:val="18"/>
                <w:szCs w:val="18"/>
                <w:highlight w:val="none"/>
              </w:rPr>
              <w:t>产出成本</w:t>
            </w:r>
          </w:p>
        </w:tc>
        <w:tc>
          <w:tcPr>
            <w:tcW w:w="54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keepNext w:val="0"/>
              <w:keepLines/>
              <w:pageBreakBefore w:val="0"/>
              <w:widowControl w:val="0"/>
              <w:kinsoku/>
              <w:wordWrap/>
              <w:overflowPunct/>
              <w:topLinePunct w:val="0"/>
              <w:autoSpaceDE/>
              <w:autoSpaceDN/>
              <w:bidi w:val="0"/>
              <w:adjustRightInd/>
              <w:snapToGrid/>
              <w:spacing w:line="240" w:lineRule="exact"/>
              <w:ind w:firstLine="0" w:firstLineChars="0"/>
              <w:jc w:val="center"/>
              <w:textAlignment w:val="auto"/>
              <w:rPr>
                <w:rFonts w:hint="default" w:ascii="CESI宋体-GB2312" w:hAnsi="CESI宋体-GB2312" w:eastAsia="仿宋_GB2312" w:cs="Times New Roman"/>
                <w:color w:val="auto"/>
                <w:kern w:val="44"/>
                <w:sz w:val="18"/>
                <w:szCs w:val="18"/>
                <w:highlight w:val="none"/>
                <w:lang w:val="en-US" w:eastAsia="zh-CN" w:bidi="ar-SA"/>
              </w:rPr>
            </w:pPr>
            <w:r>
              <w:rPr>
                <w:rFonts w:hint="default" w:ascii="CESI宋体-GB2312" w:hAnsi="CESI宋体-GB2312" w:eastAsia="仿宋_GB2312" w:cs="Times New Roman"/>
                <w:color w:val="auto"/>
                <w:sz w:val="18"/>
                <w:szCs w:val="18"/>
                <w:highlight w:val="none"/>
              </w:rPr>
              <w:t>成本节约率</w:t>
            </w:r>
          </w:p>
        </w:tc>
        <w:tc>
          <w:tcPr>
            <w:tcW w:w="996" w:type="pct"/>
            <w:tcBorders>
              <w:top w:val="single" w:color="000000" w:sz="4" w:space="0"/>
              <w:left w:val="single" w:color="000000" w:sz="4" w:space="0"/>
              <w:bottom w:val="single" w:color="000000" w:sz="4" w:space="0"/>
              <w:right w:val="nil"/>
            </w:tcBorders>
            <w:shd w:val="clear" w:color="auto" w:fill="FFFFFF"/>
            <w:vAlign w:val="center"/>
          </w:tcPr>
          <w:p>
            <w:pPr>
              <w:pStyle w:val="13"/>
              <w:keepNext w:val="0"/>
              <w:keepLines/>
              <w:pageBreakBefore w:val="0"/>
              <w:widowControl w:val="0"/>
              <w:kinsoku/>
              <w:wordWrap/>
              <w:overflowPunct/>
              <w:topLinePunct w:val="0"/>
              <w:autoSpaceDE/>
              <w:autoSpaceDN/>
              <w:bidi w:val="0"/>
              <w:adjustRightInd/>
              <w:snapToGrid/>
              <w:spacing w:line="240" w:lineRule="exact"/>
              <w:ind w:firstLine="0" w:firstLineChars="0"/>
              <w:jc w:val="both"/>
              <w:textAlignment w:val="auto"/>
              <w:rPr>
                <w:rFonts w:hint="default" w:ascii="CESI宋体-GB2312" w:hAnsi="CESI宋体-GB2312" w:eastAsia="仿宋_GB2312" w:cs="Times New Roman"/>
                <w:color w:val="auto"/>
                <w:kern w:val="44"/>
                <w:sz w:val="18"/>
                <w:szCs w:val="18"/>
                <w:highlight w:val="none"/>
                <w:lang w:val="en-US" w:eastAsia="zh-CN" w:bidi="ar-SA"/>
              </w:rPr>
            </w:pPr>
            <w:r>
              <w:rPr>
                <w:rFonts w:hint="default" w:ascii="CESI宋体-GB2312" w:hAnsi="CESI宋体-GB2312" w:eastAsia="仿宋_GB2312" w:cs="Times New Roman"/>
                <w:color w:val="auto"/>
                <w:sz w:val="18"/>
                <w:szCs w:val="18"/>
                <w:highlight w:val="none"/>
              </w:rPr>
              <w:t>完成项目计划工作目标的实际节约成本与计划成本的比率，用以反映和考核项目的成本节约程度。</w:t>
            </w:r>
          </w:p>
        </w:tc>
        <w:tc>
          <w:tcPr>
            <w:tcW w:w="2020"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CESI宋体-GB2312" w:hAnsi="CESI宋体-GB2312" w:eastAsia="仿宋_GB2312" w:cs="Times New Roman"/>
                <w:color w:val="auto"/>
                <w:sz w:val="18"/>
                <w:szCs w:val="18"/>
                <w:highlight w:val="none"/>
              </w:rPr>
            </w:pPr>
            <w:r>
              <w:rPr>
                <w:rFonts w:hint="default" w:ascii="CESI宋体-GB2312" w:hAnsi="CESI宋体-GB2312" w:eastAsia="仿宋_GB2312" w:cs="Times New Roman"/>
                <w:color w:val="auto"/>
                <w:sz w:val="18"/>
                <w:szCs w:val="18"/>
                <w:highlight w:val="none"/>
              </w:rPr>
              <w:t>成本节约率=〔（计划成本</w:t>
            </w:r>
            <w:r>
              <w:rPr>
                <w:rFonts w:hint="default" w:ascii="CESI宋体-GB2312" w:hAnsi="CESI宋体-GB2312" w:eastAsia="仿宋_GB2312" w:cs="Times New Roman"/>
                <w:color w:val="auto"/>
                <w:sz w:val="18"/>
                <w:szCs w:val="18"/>
                <w:highlight w:val="none"/>
                <w:lang w:eastAsia="zh-CN"/>
              </w:rPr>
              <w:t>－</w:t>
            </w:r>
            <w:r>
              <w:rPr>
                <w:rFonts w:hint="default" w:ascii="CESI宋体-GB2312" w:hAnsi="CESI宋体-GB2312" w:eastAsia="仿宋_GB2312" w:cs="Times New Roman"/>
                <w:color w:val="auto"/>
                <w:sz w:val="18"/>
                <w:szCs w:val="18"/>
                <w:highlight w:val="none"/>
              </w:rPr>
              <w:t>实际成本）/计划成本〕×100%。</w:t>
            </w:r>
          </w:p>
          <w:p>
            <w:pPr>
              <w:pStyle w:val="13"/>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CESI宋体-GB2312" w:hAnsi="CESI宋体-GB2312" w:eastAsia="仿宋_GB2312" w:cs="Times New Roman"/>
                <w:color w:val="auto"/>
                <w:sz w:val="18"/>
                <w:szCs w:val="18"/>
                <w:highlight w:val="none"/>
              </w:rPr>
            </w:pPr>
            <w:r>
              <w:rPr>
                <w:rFonts w:hint="default" w:ascii="CESI宋体-GB2312" w:hAnsi="CESI宋体-GB2312" w:eastAsia="仿宋_GB2312" w:cs="Times New Roman"/>
                <w:color w:val="auto"/>
                <w:sz w:val="18"/>
                <w:szCs w:val="18"/>
                <w:highlight w:val="none"/>
              </w:rPr>
              <w:t>实际成本：项目实施单位如期、保质、保量完成既定工作目标实际所耗费的支出。</w:t>
            </w:r>
          </w:p>
          <w:p>
            <w:pPr>
              <w:pStyle w:val="13"/>
              <w:keepNext w:val="0"/>
              <w:keepLines/>
              <w:pageBreakBefore w:val="0"/>
              <w:widowControl w:val="0"/>
              <w:kinsoku/>
              <w:wordWrap/>
              <w:overflowPunct/>
              <w:topLinePunct w:val="0"/>
              <w:autoSpaceDE/>
              <w:autoSpaceDN/>
              <w:bidi w:val="0"/>
              <w:adjustRightInd/>
              <w:snapToGrid/>
              <w:spacing w:line="240" w:lineRule="exact"/>
              <w:ind w:firstLine="0" w:firstLineChars="0"/>
              <w:jc w:val="both"/>
              <w:textAlignment w:val="auto"/>
              <w:rPr>
                <w:rFonts w:hint="default" w:ascii="CESI宋体-GB2312" w:hAnsi="CESI宋体-GB2312" w:eastAsia="仿宋_GB2312" w:cs="Times New Roman"/>
                <w:color w:val="auto"/>
                <w:kern w:val="44"/>
                <w:sz w:val="18"/>
                <w:szCs w:val="18"/>
                <w:highlight w:val="none"/>
                <w:lang w:val="en-US" w:eastAsia="zh-CN" w:bidi="ar-SA"/>
              </w:rPr>
            </w:pPr>
            <w:r>
              <w:rPr>
                <w:rFonts w:hint="default" w:ascii="CESI宋体-GB2312" w:hAnsi="CESI宋体-GB2312" w:eastAsia="仿宋_GB2312" w:cs="Times New Roman"/>
                <w:color w:val="auto"/>
                <w:sz w:val="18"/>
                <w:szCs w:val="18"/>
                <w:highlight w:val="none"/>
              </w:rPr>
              <w:t>计划成本：项目实施单位为完成工作目标计划安排的支出，一般以项目预算为参考。</w:t>
            </w:r>
          </w:p>
        </w:tc>
        <w:tc>
          <w:tcPr>
            <w:tcW w:w="315" w:type="pct"/>
            <w:tcBorders>
              <w:top w:val="single" w:color="000000" w:sz="4" w:space="0"/>
              <w:left w:val="single" w:color="000000" w:sz="4" w:space="0"/>
              <w:bottom w:val="single" w:color="000000" w:sz="4" w:space="0"/>
              <w:right w:val="single" w:color="000000" w:sz="4" w:space="0"/>
            </w:tcBorders>
            <w:noWrap/>
            <w:vAlign w:val="center"/>
          </w:tcPr>
          <w:p>
            <w:pPr>
              <w:pStyle w:val="13"/>
              <w:bidi w:val="0"/>
              <w:ind w:firstLine="0" w:firstLineChars="0"/>
              <w:rPr>
                <w:rFonts w:hint="default" w:ascii="CESI宋体-GB2312" w:hAnsi="CESI宋体-GB2312" w:eastAsia="仿宋_GB2312" w:cs="Times New Roman"/>
                <w:color w:val="auto"/>
                <w:kern w:val="44"/>
                <w:sz w:val="18"/>
                <w:szCs w:val="18"/>
                <w:highlight w:val="none"/>
                <w:lang w:val="en-US" w:eastAsia="zh-CN" w:bidi="ar-SA"/>
              </w:rPr>
            </w:pPr>
            <w:r>
              <w:rPr>
                <w:rFonts w:hint="eastAsia" w:ascii="CESI宋体-GB2312" w:hAnsi="CESI宋体-GB2312"/>
                <w:color w:val="auto"/>
                <w:highlight w:val="none"/>
                <w:lang w:val="en-US" w:eastAsia="zh-CN"/>
              </w:rPr>
              <w:t>10</w:t>
            </w:r>
          </w:p>
        </w:tc>
        <w:tc>
          <w:tcPr>
            <w:tcW w:w="990" w:type="dxa"/>
            <w:tcBorders>
              <w:top w:val="single" w:color="000000" w:sz="4" w:space="0"/>
              <w:left w:val="single" w:color="000000" w:sz="4" w:space="0"/>
              <w:bottom w:val="single" w:color="000000" w:sz="4" w:space="0"/>
              <w:right w:val="single" w:color="000000" w:sz="4" w:space="0"/>
            </w:tcBorders>
            <w:noWrap/>
            <w:vAlign w:val="center"/>
          </w:tcPr>
          <w:p>
            <w:pPr>
              <w:pStyle w:val="13"/>
              <w:bidi w:val="0"/>
              <w:ind w:firstLine="0" w:firstLineChars="0"/>
              <w:rPr>
                <w:rFonts w:hint="default" w:ascii="CESI宋体-GB2312" w:hAnsi="CESI宋体-GB2312"/>
                <w:color w:val="auto"/>
                <w:highlight w:val="none"/>
                <w:lang w:val="en-US"/>
              </w:rPr>
            </w:pPr>
            <w:r>
              <w:rPr>
                <w:rFonts w:hint="eastAsia" w:ascii="CESI宋体-GB2312" w:hAnsi="CESI宋体-GB2312"/>
                <w:color w:val="auto"/>
                <w:highlight w:val="none"/>
                <w:lang w:val="en-US" w:eastAsia="zh-CN"/>
              </w:rPr>
              <w:t>10</w:t>
            </w:r>
          </w:p>
        </w:tc>
      </w:tr>
      <w:tr>
        <w:tblPrEx>
          <w:tblCellMar>
            <w:top w:w="0" w:type="dxa"/>
            <w:left w:w="108" w:type="dxa"/>
            <w:bottom w:w="0" w:type="dxa"/>
            <w:right w:w="108" w:type="dxa"/>
          </w:tblCellMar>
        </w:tblPrEx>
        <w:trPr>
          <w:trHeight w:val="780" w:hRule="atLeast"/>
          <w:jc w:val="center"/>
        </w:trPr>
        <w:tc>
          <w:tcPr>
            <w:tcW w:w="35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r>
              <w:rPr>
                <w:rFonts w:ascii="CESI宋体-GB2312" w:hAnsi="CESI宋体-GB2312"/>
                <w:color w:val="auto"/>
                <w:highlight w:val="none"/>
              </w:rPr>
              <w:t>效益</w:t>
            </w:r>
          </w:p>
        </w:tc>
        <w:tc>
          <w:tcPr>
            <w:tcW w:w="456"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r>
              <w:rPr>
                <w:rFonts w:ascii="CESI宋体-GB2312" w:hAnsi="CESI宋体-GB2312"/>
                <w:color w:val="auto"/>
                <w:highlight w:val="none"/>
              </w:rPr>
              <w:t>项目效益</w:t>
            </w:r>
          </w:p>
        </w:tc>
        <w:tc>
          <w:tcPr>
            <w:tcW w:w="54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r>
              <w:rPr>
                <w:rFonts w:ascii="CESI宋体-GB2312" w:hAnsi="CESI宋体-GB2312"/>
                <w:color w:val="auto"/>
                <w:highlight w:val="none"/>
              </w:rPr>
              <w:t>实施效益</w:t>
            </w:r>
          </w:p>
        </w:tc>
        <w:tc>
          <w:tcPr>
            <w:tcW w:w="996" w:type="pct"/>
            <w:tcBorders>
              <w:top w:val="single" w:color="000000" w:sz="4" w:space="0"/>
              <w:left w:val="single" w:color="000000" w:sz="4" w:space="0"/>
              <w:bottom w:val="single" w:color="000000" w:sz="4" w:space="0"/>
              <w:right w:val="nil"/>
            </w:tcBorders>
            <w:shd w:val="clear" w:color="auto" w:fill="FFFFFF"/>
            <w:vAlign w:val="center"/>
          </w:tcPr>
          <w:p>
            <w:pPr>
              <w:pStyle w:val="13"/>
              <w:bidi w:val="0"/>
              <w:rPr>
                <w:rFonts w:ascii="CESI宋体-GB2312" w:hAnsi="CESI宋体-GB2312"/>
                <w:color w:val="auto"/>
                <w:highlight w:val="none"/>
              </w:rPr>
            </w:pPr>
            <w:r>
              <w:rPr>
                <w:rFonts w:ascii="CESI宋体-GB2312" w:hAnsi="CESI宋体-GB2312"/>
                <w:color w:val="auto"/>
                <w:highlight w:val="none"/>
              </w:rPr>
              <w:t>项目实施所产生的效益。</w:t>
            </w:r>
          </w:p>
        </w:tc>
        <w:tc>
          <w:tcPr>
            <w:tcW w:w="2020"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r>
              <w:rPr>
                <w:rFonts w:ascii="CESI宋体-GB2312" w:hAnsi="CESI宋体-GB2312"/>
                <w:color w:val="auto"/>
                <w:highlight w:val="none"/>
              </w:rPr>
              <w:t>项目实施所产生的社会效益、经济效益、生态效益、可持续影响等。可根据项目实际情况有选择地设置和细化。</w:t>
            </w:r>
          </w:p>
        </w:tc>
        <w:tc>
          <w:tcPr>
            <w:tcW w:w="315" w:type="pct"/>
            <w:tcBorders>
              <w:top w:val="single" w:color="000000" w:sz="4" w:space="0"/>
              <w:left w:val="single" w:color="000000" w:sz="4" w:space="0"/>
              <w:bottom w:val="single" w:color="000000" w:sz="4" w:space="0"/>
              <w:right w:val="single" w:color="000000" w:sz="4" w:space="0"/>
            </w:tcBorders>
            <w:noWrap/>
            <w:vAlign w:val="center"/>
          </w:tcPr>
          <w:p>
            <w:pPr>
              <w:pStyle w:val="13"/>
              <w:bidi w:val="0"/>
              <w:rPr>
                <w:rFonts w:ascii="CESI宋体-GB2312" w:hAnsi="CESI宋体-GB2312"/>
                <w:color w:val="auto"/>
                <w:highlight w:val="none"/>
              </w:rPr>
            </w:pPr>
            <w:r>
              <w:rPr>
                <w:rFonts w:ascii="CESI宋体-GB2312" w:hAnsi="CESI宋体-GB2312"/>
                <w:color w:val="auto"/>
                <w:highlight w:val="none"/>
              </w:rPr>
              <w:t>10</w:t>
            </w:r>
          </w:p>
        </w:tc>
        <w:tc>
          <w:tcPr>
            <w:tcW w:w="315" w:type="pct"/>
            <w:tcBorders>
              <w:top w:val="single" w:color="000000" w:sz="4" w:space="0"/>
              <w:left w:val="single" w:color="000000" w:sz="4" w:space="0"/>
              <w:bottom w:val="single" w:color="000000" w:sz="4" w:space="0"/>
              <w:right w:val="single" w:color="000000" w:sz="4" w:space="0"/>
            </w:tcBorders>
            <w:noWrap/>
            <w:vAlign w:val="center"/>
          </w:tcPr>
          <w:p>
            <w:pPr>
              <w:pStyle w:val="13"/>
              <w:bidi w:val="0"/>
              <w:rPr>
                <w:rFonts w:ascii="CESI宋体-GB2312" w:hAnsi="CESI宋体-GB2312"/>
                <w:color w:val="auto"/>
                <w:highlight w:val="none"/>
              </w:rPr>
            </w:pPr>
            <w:r>
              <w:rPr>
                <w:rFonts w:hint="eastAsia" w:ascii="CESI宋体-GB2312" w:hAnsi="CESI宋体-GB2312"/>
                <w:color w:val="auto"/>
                <w:highlight w:val="none"/>
              </w:rPr>
              <w:t>10</w:t>
            </w:r>
          </w:p>
        </w:tc>
      </w:tr>
      <w:tr>
        <w:tblPrEx>
          <w:tblCellMar>
            <w:top w:w="0" w:type="dxa"/>
            <w:left w:w="108" w:type="dxa"/>
            <w:bottom w:w="0" w:type="dxa"/>
            <w:right w:w="108" w:type="dxa"/>
          </w:tblCellMar>
        </w:tblPrEx>
        <w:trPr>
          <w:trHeight w:val="860" w:hRule="atLeast"/>
          <w:jc w:val="center"/>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p>
        </w:tc>
        <w:tc>
          <w:tcPr>
            <w:tcW w:w="54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r>
              <w:rPr>
                <w:rFonts w:ascii="CESI宋体-GB2312" w:hAnsi="CESI宋体-GB2312"/>
                <w:color w:val="auto"/>
                <w:highlight w:val="none"/>
              </w:rPr>
              <w:t>满意度</w:t>
            </w:r>
          </w:p>
        </w:tc>
        <w:tc>
          <w:tcPr>
            <w:tcW w:w="996" w:type="pct"/>
            <w:tcBorders>
              <w:top w:val="single" w:color="000000" w:sz="4" w:space="0"/>
              <w:left w:val="single" w:color="000000" w:sz="4" w:space="0"/>
              <w:bottom w:val="single" w:color="000000" w:sz="4" w:space="0"/>
              <w:right w:val="nil"/>
            </w:tcBorders>
            <w:shd w:val="clear" w:color="auto" w:fill="FFFFFF"/>
            <w:vAlign w:val="center"/>
          </w:tcPr>
          <w:p>
            <w:pPr>
              <w:pStyle w:val="13"/>
              <w:bidi w:val="0"/>
              <w:rPr>
                <w:rFonts w:ascii="CESI宋体-GB2312" w:hAnsi="CESI宋体-GB2312"/>
                <w:color w:val="auto"/>
                <w:highlight w:val="none"/>
              </w:rPr>
            </w:pPr>
            <w:r>
              <w:rPr>
                <w:rFonts w:ascii="CESI宋体-GB2312" w:hAnsi="CESI宋体-GB2312"/>
                <w:color w:val="auto"/>
                <w:highlight w:val="none"/>
              </w:rPr>
              <w:t>社会公众或服务对象对项目实施效果的满意程度。</w:t>
            </w:r>
          </w:p>
        </w:tc>
        <w:tc>
          <w:tcPr>
            <w:tcW w:w="2020"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ascii="CESI宋体-GB2312" w:hAnsi="CESI宋体-GB2312"/>
                <w:color w:val="auto"/>
                <w:highlight w:val="none"/>
              </w:rPr>
            </w:pPr>
            <w:r>
              <w:rPr>
                <w:rFonts w:ascii="CESI宋体-GB2312" w:hAnsi="CESI宋体-GB2312"/>
                <w:color w:val="auto"/>
                <w:highlight w:val="none"/>
              </w:rPr>
              <w:t>社会公众或服务对象是指因该项目实施而受到影响的部门（单位）、群体或个人。一般采取社会调查的方式。</w:t>
            </w:r>
          </w:p>
        </w:tc>
        <w:tc>
          <w:tcPr>
            <w:tcW w:w="315" w:type="pct"/>
            <w:tcBorders>
              <w:top w:val="single" w:color="000000" w:sz="4" w:space="0"/>
              <w:left w:val="single" w:color="000000" w:sz="4" w:space="0"/>
              <w:bottom w:val="single" w:color="000000" w:sz="4" w:space="0"/>
              <w:right w:val="single" w:color="000000" w:sz="4" w:space="0"/>
            </w:tcBorders>
            <w:noWrap/>
            <w:vAlign w:val="center"/>
          </w:tcPr>
          <w:p>
            <w:pPr>
              <w:pStyle w:val="13"/>
              <w:bidi w:val="0"/>
              <w:rPr>
                <w:rFonts w:ascii="CESI宋体-GB2312" w:hAnsi="CESI宋体-GB2312"/>
                <w:color w:val="auto"/>
                <w:highlight w:val="none"/>
              </w:rPr>
            </w:pPr>
            <w:r>
              <w:rPr>
                <w:rFonts w:ascii="CESI宋体-GB2312" w:hAnsi="CESI宋体-GB2312"/>
                <w:color w:val="auto"/>
                <w:highlight w:val="none"/>
              </w:rPr>
              <w:t>10</w:t>
            </w:r>
          </w:p>
        </w:tc>
        <w:tc>
          <w:tcPr>
            <w:tcW w:w="315" w:type="pct"/>
            <w:tcBorders>
              <w:top w:val="single" w:color="000000" w:sz="4" w:space="0"/>
              <w:left w:val="single" w:color="000000" w:sz="4" w:space="0"/>
              <w:bottom w:val="single" w:color="000000" w:sz="4" w:space="0"/>
              <w:right w:val="single" w:color="000000" w:sz="4" w:space="0"/>
            </w:tcBorders>
            <w:noWrap/>
            <w:vAlign w:val="center"/>
          </w:tcPr>
          <w:p>
            <w:pPr>
              <w:pStyle w:val="13"/>
              <w:bidi w:val="0"/>
              <w:rPr>
                <w:rFonts w:ascii="CESI宋体-GB2312" w:hAnsi="CESI宋体-GB2312"/>
                <w:color w:val="auto"/>
                <w:highlight w:val="none"/>
              </w:rPr>
            </w:pPr>
            <w:r>
              <w:rPr>
                <w:rFonts w:hint="eastAsia" w:ascii="CESI宋体-GB2312" w:hAnsi="CESI宋体-GB2312"/>
                <w:color w:val="auto"/>
                <w:highlight w:val="none"/>
              </w:rPr>
              <w:t>10</w:t>
            </w:r>
          </w:p>
        </w:tc>
      </w:tr>
      <w:tr>
        <w:tblPrEx>
          <w:tblCellMar>
            <w:top w:w="0" w:type="dxa"/>
            <w:left w:w="108" w:type="dxa"/>
            <w:bottom w:w="0" w:type="dxa"/>
            <w:right w:w="108" w:type="dxa"/>
          </w:tblCellMar>
        </w:tblPrEx>
        <w:trPr>
          <w:trHeight w:val="460" w:hRule="atLeast"/>
          <w:jc w:val="center"/>
        </w:trPr>
        <w:tc>
          <w:tcPr>
            <w:tcW w:w="4368" w:type="pct"/>
            <w:gridSpan w:val="5"/>
            <w:tcBorders>
              <w:top w:val="single" w:color="000000" w:sz="4" w:space="0"/>
              <w:left w:val="single" w:color="000000" w:sz="4" w:space="0"/>
              <w:bottom w:val="single" w:color="000000" w:sz="4" w:space="0"/>
              <w:right w:val="single" w:color="000000" w:sz="4" w:space="0"/>
            </w:tcBorders>
            <w:noWrap/>
            <w:vAlign w:val="center"/>
          </w:tcPr>
          <w:p>
            <w:pPr>
              <w:pStyle w:val="13"/>
              <w:bidi w:val="0"/>
              <w:rPr>
                <w:rFonts w:ascii="CESI宋体-GB2312" w:hAnsi="CESI宋体-GB2312"/>
                <w:color w:val="auto"/>
                <w:highlight w:val="none"/>
              </w:rPr>
            </w:pPr>
            <w:r>
              <w:rPr>
                <w:rFonts w:ascii="CESI宋体-GB2312" w:hAnsi="CESI宋体-GB2312"/>
                <w:color w:val="auto"/>
                <w:highlight w:val="none"/>
              </w:rPr>
              <w:t>合计</w:t>
            </w:r>
          </w:p>
        </w:tc>
        <w:tc>
          <w:tcPr>
            <w:tcW w:w="315" w:type="pct"/>
            <w:tcBorders>
              <w:top w:val="single" w:color="000000" w:sz="4" w:space="0"/>
              <w:left w:val="single" w:color="000000" w:sz="4" w:space="0"/>
              <w:bottom w:val="single" w:color="000000" w:sz="4" w:space="0"/>
              <w:right w:val="single" w:color="000000" w:sz="4" w:space="0"/>
            </w:tcBorders>
            <w:noWrap/>
            <w:vAlign w:val="center"/>
          </w:tcPr>
          <w:p>
            <w:pPr>
              <w:pStyle w:val="13"/>
              <w:bidi w:val="0"/>
              <w:rPr>
                <w:rFonts w:ascii="CESI宋体-GB2312" w:hAnsi="CESI宋体-GB2312"/>
                <w:color w:val="auto"/>
                <w:highlight w:val="none"/>
              </w:rPr>
            </w:pPr>
            <w:r>
              <w:rPr>
                <w:rFonts w:ascii="CESI宋体-GB2312" w:hAnsi="CESI宋体-GB2312"/>
                <w:color w:val="auto"/>
                <w:highlight w:val="none"/>
              </w:rPr>
              <w:t>100</w:t>
            </w:r>
          </w:p>
        </w:tc>
        <w:tc>
          <w:tcPr>
            <w:tcW w:w="315" w:type="pct"/>
            <w:tcBorders>
              <w:top w:val="single" w:color="000000" w:sz="4" w:space="0"/>
              <w:left w:val="single" w:color="000000" w:sz="4" w:space="0"/>
              <w:bottom w:val="single" w:color="000000" w:sz="4" w:space="0"/>
              <w:right w:val="single" w:color="000000" w:sz="4" w:space="0"/>
            </w:tcBorders>
            <w:noWrap/>
            <w:vAlign w:val="center"/>
          </w:tcPr>
          <w:p>
            <w:pPr>
              <w:pStyle w:val="13"/>
              <w:bidi w:val="0"/>
              <w:rPr>
                <w:rFonts w:ascii="CESI宋体-GB2312" w:hAnsi="CESI宋体-GB2312"/>
                <w:color w:val="auto"/>
                <w:highlight w:val="none"/>
              </w:rPr>
            </w:pPr>
            <w:r>
              <w:rPr>
                <w:rFonts w:hint="eastAsia" w:ascii="CESI宋体-GB2312" w:hAnsi="CESI宋体-GB2312"/>
                <w:color w:val="auto"/>
                <w:highlight w:val="none"/>
              </w:rPr>
              <w:t>100</w:t>
            </w:r>
          </w:p>
        </w:tc>
      </w:tr>
    </w:tbl>
    <w:p>
      <w:pPr>
        <w:ind w:firstLine="640"/>
        <w:rPr>
          <w:rFonts w:ascii="CESI宋体-GB2312" w:hAnsi="CESI宋体-GB2312"/>
          <w:color w:val="auto"/>
          <w:highlight w:val="none"/>
        </w:rPr>
      </w:pPr>
    </w:p>
    <w:sectPr>
      <w:pgSz w:w="11906" w:h="16838"/>
      <w:pgMar w:top="567" w:right="1803" w:bottom="567" w:left="1803" w:header="851" w:footer="992"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2"/>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F0E7730-850D-40A8-B719-3B2F8A3E905F}"/>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embedRegular r:id="rId2" w:fontKey="{230C79AE-4D91-4903-B3EA-79CDEFF4FF2A}"/>
  </w:font>
  <w:font w:name="方正小标宋_GBK">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embedRegular r:id="rId3" w:fontKey="{7CB3A5B7-12B1-470A-99C8-957011FABE13}"/>
  </w:font>
  <w:font w:name="CESI宋体-GB2312">
    <w:altName w:val="宋体"/>
    <w:panose1 w:val="02000500000000000000"/>
    <w:charset w:val="86"/>
    <w:family w:val="auto"/>
    <w:pitch w:val="default"/>
    <w:sig w:usb0="00000000" w:usb1="00000000" w:usb2="00000010" w:usb3="00000000" w:csb0="0004000F" w:csb1="00000000"/>
    <w:embedRegular r:id="rId4" w:fontKey="{9AB3D04A-278F-410D-9520-B18E18352F26}"/>
  </w:font>
  <w:font w:name="方正仿宋_GBK">
    <w:panose1 w:val="03000509000000000000"/>
    <w:charset w:val="86"/>
    <w:family w:val="auto"/>
    <w:pitch w:val="default"/>
    <w:sig w:usb0="00000001" w:usb1="080E0000" w:usb2="00000000" w:usb3="00000000" w:csb0="00040000" w:csb1="00000000"/>
    <w:embedRegular r:id="rId5" w:fontKey="{D0FDBC7C-7439-4990-852F-2D68121F6AE8}"/>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7"/>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iwgorEBAABOAwAADgAAAGRycy9lMm9Eb2MueG1srVPBbtswDL0P2D8I&#10;ui9yAmwIjDhFh6LDgKEt0O0DFFmKBUiiICmx8wPtH+y0S+/9rnzHKMVOt+429CJTJPX4HkmvLgZr&#10;yF6GqME1dD6rKJFOQKvdtqE/vl9/WFISE3ctN+BkQw8y0ov1+3er3tdyAR2YVgaCIC7WvW9ol5Kv&#10;GYuik5bHGXjpMKggWJ7wGrasDbxHdGvYoqo+sR5C6wMIGSN6r05Bui74SkmRbpWKMhHTUOSWyhnK&#10;ucknW694vQ3cd1qMNPh/sLBcOyx6hrriiZNd0P9AWS0CRFBpJsAyUEoLWTSgmnn1Ss19x70sWrA5&#10;0Z/bFN8OVtzs7wLRLc6OEsctjuj48/H46/n49EDm1eJj7lDvY42J9x5T0/AZhpw9+iM6s/BBBZu/&#10;KIlgHHt9OPdXDomI/Gi5WC4rDAmMTRfEYS/PfYjpiwRLstHQgAMsfeX7bzGdUqeUXM3BtTYG/bw2&#10;7i8HYmYPy9xPHLOVhs0wEt9Ae0A9Pc6+oQ6XkxLz1WFr85pMRpiMzWTsfNDbruxRrhf95S4hicIt&#10;VzjBjoVxaEXduGB5K/68l6yX32D9G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CKLCCisQEA&#10;AE4DAAAOAAAAAAAAAAEAIAAAAB4BAABkcnMvZTJvRG9jLnhtbFBLBQYAAAAABgAGAFkBAABBBQAA&#10;AAA=&#10;">
              <v:fill on="f" focussize="0,0"/>
              <v:stroke on="f"/>
              <v:imagedata o:title=""/>
              <o:lock v:ext="edit" aspectratio="f"/>
              <v:textbox inset="0mm,0mm,0mm,0mm" style="mso-fit-shape-to-text:t;">
                <w:txbxContent>
                  <w:p>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E4NTQ3OTRmYjcwMWNmY2FkZTJjNDYwNGEyMjllYmYifQ=="/>
  </w:docVars>
  <w:rsids>
    <w:rsidRoot w:val="0055607C"/>
    <w:rsid w:val="00004A41"/>
    <w:rsid w:val="000348DC"/>
    <w:rsid w:val="000449F7"/>
    <w:rsid w:val="00055BDC"/>
    <w:rsid w:val="00060667"/>
    <w:rsid w:val="000611E4"/>
    <w:rsid w:val="000947D1"/>
    <w:rsid w:val="000A0952"/>
    <w:rsid w:val="000B2381"/>
    <w:rsid w:val="001144B9"/>
    <w:rsid w:val="00124518"/>
    <w:rsid w:val="0016767F"/>
    <w:rsid w:val="00175EE1"/>
    <w:rsid w:val="00191B2B"/>
    <w:rsid w:val="001A2E59"/>
    <w:rsid w:val="001E68A9"/>
    <w:rsid w:val="001F399B"/>
    <w:rsid w:val="002071C8"/>
    <w:rsid w:val="00213EE5"/>
    <w:rsid w:val="00226BE1"/>
    <w:rsid w:val="0028195E"/>
    <w:rsid w:val="00286273"/>
    <w:rsid w:val="002D4048"/>
    <w:rsid w:val="00314E81"/>
    <w:rsid w:val="00345492"/>
    <w:rsid w:val="00346B64"/>
    <w:rsid w:val="0039188D"/>
    <w:rsid w:val="003D7562"/>
    <w:rsid w:val="00410175"/>
    <w:rsid w:val="00415424"/>
    <w:rsid w:val="0046454C"/>
    <w:rsid w:val="004720E4"/>
    <w:rsid w:val="0048209D"/>
    <w:rsid w:val="004C4B92"/>
    <w:rsid w:val="004D51B2"/>
    <w:rsid w:val="004E1243"/>
    <w:rsid w:val="004E7DF7"/>
    <w:rsid w:val="004F73B1"/>
    <w:rsid w:val="0051467D"/>
    <w:rsid w:val="00515E7D"/>
    <w:rsid w:val="00540A1E"/>
    <w:rsid w:val="00550F8E"/>
    <w:rsid w:val="005512D1"/>
    <w:rsid w:val="00554F57"/>
    <w:rsid w:val="005554BD"/>
    <w:rsid w:val="0055607C"/>
    <w:rsid w:val="00571D72"/>
    <w:rsid w:val="005730A0"/>
    <w:rsid w:val="005A6F3B"/>
    <w:rsid w:val="005C29C5"/>
    <w:rsid w:val="005C7035"/>
    <w:rsid w:val="00602228"/>
    <w:rsid w:val="0062286C"/>
    <w:rsid w:val="0062723C"/>
    <w:rsid w:val="00686AA3"/>
    <w:rsid w:val="006A2D78"/>
    <w:rsid w:val="006C65BA"/>
    <w:rsid w:val="006F40CE"/>
    <w:rsid w:val="0079140F"/>
    <w:rsid w:val="007C5EE5"/>
    <w:rsid w:val="00813321"/>
    <w:rsid w:val="00813D9F"/>
    <w:rsid w:val="00851942"/>
    <w:rsid w:val="00861118"/>
    <w:rsid w:val="00870F32"/>
    <w:rsid w:val="00902AAE"/>
    <w:rsid w:val="00922570"/>
    <w:rsid w:val="00966991"/>
    <w:rsid w:val="00970CC9"/>
    <w:rsid w:val="0098249A"/>
    <w:rsid w:val="009834FF"/>
    <w:rsid w:val="00994901"/>
    <w:rsid w:val="009D3696"/>
    <w:rsid w:val="00A15D3A"/>
    <w:rsid w:val="00A22F3B"/>
    <w:rsid w:val="00A25D71"/>
    <w:rsid w:val="00A47B7A"/>
    <w:rsid w:val="00A6185E"/>
    <w:rsid w:val="00A725AF"/>
    <w:rsid w:val="00A762DA"/>
    <w:rsid w:val="00A83C01"/>
    <w:rsid w:val="00AA01D2"/>
    <w:rsid w:val="00AA4A54"/>
    <w:rsid w:val="00AA7227"/>
    <w:rsid w:val="00AA723D"/>
    <w:rsid w:val="00AD1679"/>
    <w:rsid w:val="00B049E0"/>
    <w:rsid w:val="00B05394"/>
    <w:rsid w:val="00B120CB"/>
    <w:rsid w:val="00B22074"/>
    <w:rsid w:val="00B42303"/>
    <w:rsid w:val="00B423D0"/>
    <w:rsid w:val="00B722B8"/>
    <w:rsid w:val="00B76F6C"/>
    <w:rsid w:val="00B822E2"/>
    <w:rsid w:val="00B92E9D"/>
    <w:rsid w:val="00BC3A59"/>
    <w:rsid w:val="00BE59E0"/>
    <w:rsid w:val="00BE6CCC"/>
    <w:rsid w:val="00C01C00"/>
    <w:rsid w:val="00C05D07"/>
    <w:rsid w:val="00C14165"/>
    <w:rsid w:val="00C36056"/>
    <w:rsid w:val="00C619F0"/>
    <w:rsid w:val="00CA7138"/>
    <w:rsid w:val="00CC2307"/>
    <w:rsid w:val="00CC652E"/>
    <w:rsid w:val="00CD3409"/>
    <w:rsid w:val="00CE43AD"/>
    <w:rsid w:val="00D22B5F"/>
    <w:rsid w:val="00D24FF5"/>
    <w:rsid w:val="00D32557"/>
    <w:rsid w:val="00D43E32"/>
    <w:rsid w:val="00D56A00"/>
    <w:rsid w:val="00D60FB5"/>
    <w:rsid w:val="00D72542"/>
    <w:rsid w:val="00D75372"/>
    <w:rsid w:val="00DA534A"/>
    <w:rsid w:val="00DC6A68"/>
    <w:rsid w:val="00DD2019"/>
    <w:rsid w:val="00DF0F32"/>
    <w:rsid w:val="00E12FCD"/>
    <w:rsid w:val="00E61A26"/>
    <w:rsid w:val="00F05AE2"/>
    <w:rsid w:val="00F070CA"/>
    <w:rsid w:val="00F26083"/>
    <w:rsid w:val="00F4288E"/>
    <w:rsid w:val="00F53D1D"/>
    <w:rsid w:val="00F65612"/>
    <w:rsid w:val="00F72E2D"/>
    <w:rsid w:val="00FA14B6"/>
    <w:rsid w:val="00FB1332"/>
    <w:rsid w:val="00FC61AF"/>
    <w:rsid w:val="00FD1006"/>
    <w:rsid w:val="00FF1FCF"/>
    <w:rsid w:val="04B83EBA"/>
    <w:rsid w:val="06D92B10"/>
    <w:rsid w:val="098343E1"/>
    <w:rsid w:val="0BC21086"/>
    <w:rsid w:val="0C5469CB"/>
    <w:rsid w:val="0C7D249E"/>
    <w:rsid w:val="0CC854B7"/>
    <w:rsid w:val="0CFC50E7"/>
    <w:rsid w:val="0E615C91"/>
    <w:rsid w:val="0F2A6DD4"/>
    <w:rsid w:val="14BE5A22"/>
    <w:rsid w:val="16F541C7"/>
    <w:rsid w:val="180579A0"/>
    <w:rsid w:val="18656FCD"/>
    <w:rsid w:val="1AFC58EB"/>
    <w:rsid w:val="1B056B32"/>
    <w:rsid w:val="1D867D27"/>
    <w:rsid w:val="1FFE7346"/>
    <w:rsid w:val="20DF3CB6"/>
    <w:rsid w:val="22002F1A"/>
    <w:rsid w:val="2217066C"/>
    <w:rsid w:val="229D30B0"/>
    <w:rsid w:val="24F84ABC"/>
    <w:rsid w:val="258A4700"/>
    <w:rsid w:val="25BD52F4"/>
    <w:rsid w:val="28CE74FD"/>
    <w:rsid w:val="2A083AEA"/>
    <w:rsid w:val="2ADB64CF"/>
    <w:rsid w:val="2D170966"/>
    <w:rsid w:val="309171FA"/>
    <w:rsid w:val="32B4641F"/>
    <w:rsid w:val="344C0265"/>
    <w:rsid w:val="34C31CC8"/>
    <w:rsid w:val="3570514E"/>
    <w:rsid w:val="375F795E"/>
    <w:rsid w:val="391F1A12"/>
    <w:rsid w:val="392C744A"/>
    <w:rsid w:val="397B3E04"/>
    <w:rsid w:val="39AC74F9"/>
    <w:rsid w:val="3A0168D3"/>
    <w:rsid w:val="3A57603B"/>
    <w:rsid w:val="3B457B92"/>
    <w:rsid w:val="3DF9E8A1"/>
    <w:rsid w:val="3F9EDE09"/>
    <w:rsid w:val="3FD249E5"/>
    <w:rsid w:val="419E5AFB"/>
    <w:rsid w:val="41EC0D67"/>
    <w:rsid w:val="45297C62"/>
    <w:rsid w:val="469D4A12"/>
    <w:rsid w:val="491A0401"/>
    <w:rsid w:val="497E634B"/>
    <w:rsid w:val="4A931CAD"/>
    <w:rsid w:val="4BFC3821"/>
    <w:rsid w:val="4C0D65C5"/>
    <w:rsid w:val="4F8B059A"/>
    <w:rsid w:val="4FD42264"/>
    <w:rsid w:val="506817B9"/>
    <w:rsid w:val="50B00C42"/>
    <w:rsid w:val="5163606E"/>
    <w:rsid w:val="564448B6"/>
    <w:rsid w:val="56D45B12"/>
    <w:rsid w:val="5A98522A"/>
    <w:rsid w:val="5BBB4441"/>
    <w:rsid w:val="5C3274F4"/>
    <w:rsid w:val="5E4E357A"/>
    <w:rsid w:val="5E68756F"/>
    <w:rsid w:val="5FEF65C1"/>
    <w:rsid w:val="608A66C5"/>
    <w:rsid w:val="618B4BBA"/>
    <w:rsid w:val="629B444C"/>
    <w:rsid w:val="643E2A9B"/>
    <w:rsid w:val="656C651C"/>
    <w:rsid w:val="665F2AFC"/>
    <w:rsid w:val="69937072"/>
    <w:rsid w:val="69F410BB"/>
    <w:rsid w:val="6AE87029"/>
    <w:rsid w:val="6BA3165E"/>
    <w:rsid w:val="6CE81EE8"/>
    <w:rsid w:val="6DC4467E"/>
    <w:rsid w:val="72A37968"/>
    <w:rsid w:val="72D05C96"/>
    <w:rsid w:val="74135864"/>
    <w:rsid w:val="7480197B"/>
    <w:rsid w:val="7633478D"/>
    <w:rsid w:val="77683CFD"/>
    <w:rsid w:val="78D952D0"/>
    <w:rsid w:val="78FA2B51"/>
    <w:rsid w:val="7C9A1C94"/>
    <w:rsid w:val="7DF460B4"/>
    <w:rsid w:val="7F86039A"/>
    <w:rsid w:val="7FDE07C8"/>
    <w:rsid w:val="AEFC2824"/>
    <w:rsid w:val="BFFBD2D5"/>
    <w:rsid w:val="FFDB91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qFormat="1" w:uiPriority="99" w:name="annotation text"/>
    <w:lsdException w:qFormat="1" w:uiPriority="99" w:semiHidden="0"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880" w:firstLineChars="200"/>
      <w:jc w:val="both"/>
    </w:pPr>
    <w:rPr>
      <w:rFonts w:ascii="Times New Roman" w:hAnsi="Times New Roman" w:eastAsia="仿宋_GB2312" w:cstheme="minorBidi"/>
      <w:kern w:val="2"/>
      <w:sz w:val="32"/>
      <w:szCs w:val="22"/>
      <w:lang w:val="en-US" w:eastAsia="zh-CN" w:bidi="ar-SA"/>
    </w:rPr>
  </w:style>
  <w:style w:type="paragraph" w:styleId="3">
    <w:name w:val="heading 1"/>
    <w:basedOn w:val="1"/>
    <w:next w:val="1"/>
    <w:link w:val="18"/>
    <w:qFormat/>
    <w:uiPriority w:val="9"/>
    <w:pPr>
      <w:keepNext/>
      <w:keepLines/>
      <w:ind w:firstLine="0" w:firstLineChars="0"/>
      <w:jc w:val="center"/>
      <w:outlineLvl w:val="0"/>
    </w:pPr>
    <w:rPr>
      <w:rFonts w:eastAsia="方正小标宋_GBK"/>
      <w:kern w:val="44"/>
      <w:sz w:val="36"/>
    </w:rPr>
  </w:style>
  <w:style w:type="paragraph" w:styleId="4">
    <w:name w:val="heading 2"/>
    <w:basedOn w:val="1"/>
    <w:next w:val="1"/>
    <w:link w:val="16"/>
    <w:qFormat/>
    <w:uiPriority w:val="99"/>
    <w:pPr>
      <w:keepNext/>
      <w:outlineLvl w:val="1"/>
    </w:pPr>
    <w:rPr>
      <w:rFonts w:eastAsia="黑体" w:cs="Times New Roman"/>
      <w:bCs/>
      <w:iCs/>
      <w:szCs w:val="21"/>
    </w:rPr>
  </w:style>
  <w:style w:type="paragraph" w:styleId="2">
    <w:name w:val="heading 3"/>
    <w:basedOn w:val="1"/>
    <w:next w:val="1"/>
    <w:link w:val="17"/>
    <w:unhideWhenUsed/>
    <w:qFormat/>
    <w:uiPriority w:val="9"/>
    <w:pPr>
      <w:keepNext/>
      <w:keepLines/>
      <w:outlineLvl w:val="2"/>
    </w:pPr>
    <w:rPr>
      <w:rFonts w:eastAsia="楷体_GB2312"/>
      <w:b/>
    </w:rPr>
  </w:style>
  <w:style w:type="paragraph" w:styleId="5">
    <w:name w:val="heading 4"/>
    <w:basedOn w:val="1"/>
    <w:next w:val="1"/>
    <w:unhideWhenUsed/>
    <w:qFormat/>
    <w:uiPriority w:val="9"/>
    <w:pPr>
      <w:keepNext/>
      <w:keepLines/>
      <w:spacing w:line="372" w:lineRule="auto"/>
      <w:outlineLvl w:val="3"/>
    </w:pPr>
    <w:rPr>
      <w:rFonts w:ascii="Arial" w:hAnsi="Arial" w:eastAsia="黑体"/>
      <w:b/>
      <w:sz w:val="28"/>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6">
    <w:name w:val="annotation text"/>
    <w:basedOn w:val="1"/>
    <w:semiHidden/>
    <w:unhideWhenUsed/>
    <w:qFormat/>
    <w:uiPriority w:val="99"/>
    <w:pPr>
      <w:jc w:val="left"/>
    </w:pPr>
  </w:style>
  <w:style w:type="paragraph" w:styleId="7">
    <w:name w:val="footer"/>
    <w:basedOn w:val="1"/>
    <w:link w:val="14"/>
    <w:semiHidden/>
    <w:unhideWhenUsed/>
    <w:qFormat/>
    <w:uiPriority w:val="99"/>
    <w:pPr>
      <w:tabs>
        <w:tab w:val="center" w:pos="4153"/>
        <w:tab w:val="right" w:pos="8306"/>
      </w:tabs>
      <w:snapToGrid w:val="0"/>
      <w:jc w:val="left"/>
    </w:pPr>
    <w:rPr>
      <w:sz w:val="18"/>
    </w:rPr>
  </w:style>
  <w:style w:type="paragraph" w:styleId="8">
    <w:name w:val="header"/>
    <w:basedOn w:val="1"/>
    <w:link w:val="15"/>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9">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12">
    <w:name w:val="表格标题"/>
    <w:basedOn w:val="1"/>
    <w:next w:val="1"/>
    <w:qFormat/>
    <w:uiPriority w:val="0"/>
    <w:pPr>
      <w:keepNext/>
      <w:keepLines/>
      <w:ind w:firstLine="0" w:firstLineChars="0"/>
      <w:jc w:val="center"/>
      <w:outlineLvl w:val="0"/>
    </w:pPr>
    <w:rPr>
      <w:rFonts w:hint="eastAsia"/>
      <w:b/>
      <w:kern w:val="44"/>
    </w:rPr>
  </w:style>
  <w:style w:type="paragraph" w:customStyle="1" w:styleId="13">
    <w:name w:val="表格内容"/>
    <w:basedOn w:val="1"/>
    <w:next w:val="1"/>
    <w:qFormat/>
    <w:uiPriority w:val="0"/>
    <w:pPr>
      <w:keepNext/>
      <w:keepLines/>
      <w:spacing w:line="240" w:lineRule="auto"/>
      <w:ind w:firstLine="0" w:firstLineChars="0"/>
      <w:jc w:val="center"/>
      <w:outlineLvl w:val="0"/>
    </w:pPr>
    <w:rPr>
      <w:rFonts w:hint="eastAsia"/>
      <w:kern w:val="44"/>
      <w:sz w:val="21"/>
    </w:rPr>
  </w:style>
  <w:style w:type="character" w:customStyle="1" w:styleId="14">
    <w:name w:val="页脚 字符"/>
    <w:basedOn w:val="11"/>
    <w:link w:val="7"/>
    <w:semiHidden/>
    <w:qFormat/>
    <w:uiPriority w:val="99"/>
    <w:rPr>
      <w:rFonts w:eastAsia="仿宋_GB2312" w:cstheme="minorBidi"/>
      <w:kern w:val="2"/>
      <w:sz w:val="18"/>
      <w:szCs w:val="22"/>
    </w:rPr>
  </w:style>
  <w:style w:type="character" w:customStyle="1" w:styleId="15">
    <w:name w:val="页眉 字符"/>
    <w:basedOn w:val="11"/>
    <w:link w:val="8"/>
    <w:qFormat/>
    <w:uiPriority w:val="99"/>
    <w:rPr>
      <w:rFonts w:eastAsia="仿宋_GB2312" w:cstheme="minorBidi"/>
      <w:kern w:val="2"/>
      <w:sz w:val="18"/>
      <w:szCs w:val="22"/>
    </w:rPr>
  </w:style>
  <w:style w:type="character" w:customStyle="1" w:styleId="16">
    <w:name w:val="标题 2 字符"/>
    <w:basedOn w:val="11"/>
    <w:link w:val="4"/>
    <w:qFormat/>
    <w:uiPriority w:val="99"/>
    <w:rPr>
      <w:rFonts w:eastAsia="黑体"/>
      <w:bCs/>
      <w:iCs/>
      <w:kern w:val="2"/>
      <w:sz w:val="32"/>
      <w:szCs w:val="21"/>
    </w:rPr>
  </w:style>
  <w:style w:type="character" w:customStyle="1" w:styleId="17">
    <w:name w:val="标题 3 字符"/>
    <w:link w:val="2"/>
    <w:qFormat/>
    <w:uiPriority w:val="9"/>
    <w:rPr>
      <w:rFonts w:eastAsia="楷体_GB2312" w:cstheme="minorBidi"/>
      <w:b/>
      <w:kern w:val="2"/>
      <w:sz w:val="32"/>
      <w:szCs w:val="22"/>
    </w:rPr>
  </w:style>
  <w:style w:type="character" w:customStyle="1" w:styleId="18">
    <w:name w:val="标题 1 字符"/>
    <w:basedOn w:val="11"/>
    <w:link w:val="3"/>
    <w:qFormat/>
    <w:uiPriority w:val="9"/>
    <w:rPr>
      <w:rFonts w:eastAsia="方正小标宋_GBK" w:cstheme="minorBidi"/>
      <w:kern w:val="44"/>
      <w:sz w:val="36"/>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26</Pages>
  <Words>11090</Words>
  <Characters>11567</Characters>
  <Lines>98</Lines>
  <Paragraphs>27</Paragraphs>
  <TotalTime>0</TotalTime>
  <ScaleCrop>false</ScaleCrop>
  <LinksUpToDate>false</LinksUpToDate>
  <CharactersWithSpaces>11589</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2020-05-26T17:48:00Z</dcterms:created>
  <dc:creator>Administrator</dc:creator>
  <cp:lastModifiedBy>Administrator</cp:lastModifiedBy>
  <dcterms:modified xsi:type="dcterms:W3CDTF">2024-08-14T04:46:30Z</dcterms:modified>
  <cp:revision>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1D6551DBC3B14667B20A58B2FF68CCF3</vt:lpwstr>
  </property>
</Properties>
</file>